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BC814" w14:textId="0E322771" w:rsidR="00D85BF2" w:rsidRPr="002C0E44" w:rsidRDefault="002C0E44" w:rsidP="002C0E44">
      <w:pPr>
        <w:spacing w:before="120" w:after="0" w:line="360" w:lineRule="auto"/>
        <w:jc w:val="center"/>
        <w:rPr>
          <w:rFonts w:ascii="Times New Roman" w:hAnsi="Times New Roman" w:cs="Times New Roman"/>
          <w:smallCaps/>
          <w:sz w:val="24"/>
          <w:szCs w:val="24"/>
        </w:rPr>
      </w:pPr>
      <w:r>
        <w:rPr>
          <w:rFonts w:ascii="Times New Roman" w:hAnsi="Times New Roman" w:cs="Times New Roman"/>
          <w:smallCaps/>
          <w:sz w:val="24"/>
          <w:szCs w:val="24"/>
        </w:rPr>
        <w:t>UZASADNIENIE</w:t>
      </w:r>
    </w:p>
    <w:p w14:paraId="1EB9FADA" w14:textId="355DAE9B" w:rsidR="00DE4602" w:rsidRPr="002C0E44" w:rsidRDefault="00DE4602" w:rsidP="002C0E44">
      <w:pPr>
        <w:pStyle w:val="Akapitzlist"/>
        <w:numPr>
          <w:ilvl w:val="0"/>
          <w:numId w:val="12"/>
        </w:numPr>
        <w:spacing w:before="120"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bookmarkStart w:id="0" w:name="_Ref96594910"/>
      <w:r w:rsidRPr="002C0E44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Cel regulacji</w:t>
      </w:r>
      <w:bookmarkEnd w:id="0"/>
      <w:r w:rsidRPr="002C0E44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14:paraId="2AA83297" w14:textId="6A3A990F" w:rsidR="00567B87" w:rsidRPr="002C0E44" w:rsidRDefault="006823FF" w:rsidP="002C0E44">
      <w:pPr>
        <w:spacing w:before="120"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E44">
        <w:rPr>
          <w:rFonts w:ascii="Times New Roman" w:hAnsi="Times New Roman" w:cs="Times New Roman"/>
          <w:sz w:val="24"/>
          <w:szCs w:val="24"/>
        </w:rPr>
        <w:t>Cel</w:t>
      </w:r>
      <w:r w:rsidR="0065045C" w:rsidRPr="002C0E44">
        <w:rPr>
          <w:rFonts w:ascii="Times New Roman" w:hAnsi="Times New Roman" w:cs="Times New Roman"/>
          <w:sz w:val="24"/>
          <w:szCs w:val="24"/>
        </w:rPr>
        <w:t>em</w:t>
      </w:r>
      <w:r w:rsidRPr="002C0E44">
        <w:rPr>
          <w:rFonts w:ascii="Times New Roman" w:hAnsi="Times New Roman" w:cs="Times New Roman"/>
          <w:sz w:val="24"/>
          <w:szCs w:val="24"/>
        </w:rPr>
        <w:t xml:space="preserve"> nowelizacji </w:t>
      </w:r>
      <w:r w:rsidR="00A61E3F" w:rsidRPr="002C0E44">
        <w:rPr>
          <w:rFonts w:ascii="Times New Roman" w:hAnsi="Times New Roman" w:cs="Times New Roman"/>
          <w:sz w:val="24"/>
          <w:szCs w:val="24"/>
        </w:rPr>
        <w:t>ustawy z dnia 29 września 1994 r. o rachunkowości (Dz. U. z 202</w:t>
      </w:r>
      <w:r w:rsidR="00C831EC" w:rsidRPr="002C0E44">
        <w:rPr>
          <w:rFonts w:ascii="Times New Roman" w:hAnsi="Times New Roman" w:cs="Times New Roman"/>
          <w:sz w:val="24"/>
          <w:szCs w:val="24"/>
        </w:rPr>
        <w:t>3</w:t>
      </w:r>
      <w:r w:rsidR="002C0E44">
        <w:rPr>
          <w:rFonts w:ascii="Times New Roman" w:hAnsi="Times New Roman" w:cs="Times New Roman"/>
          <w:sz w:val="24"/>
          <w:szCs w:val="24"/>
        </w:rPr>
        <w:t> </w:t>
      </w:r>
      <w:r w:rsidR="00A61E3F" w:rsidRPr="002C0E44">
        <w:rPr>
          <w:rFonts w:ascii="Times New Roman" w:hAnsi="Times New Roman" w:cs="Times New Roman"/>
          <w:sz w:val="24"/>
          <w:szCs w:val="24"/>
        </w:rPr>
        <w:t xml:space="preserve">r. poz. </w:t>
      </w:r>
      <w:r w:rsidR="00C831EC" w:rsidRPr="002C0E44">
        <w:rPr>
          <w:rFonts w:ascii="Times New Roman" w:hAnsi="Times New Roman" w:cs="Times New Roman"/>
          <w:sz w:val="24"/>
          <w:szCs w:val="24"/>
        </w:rPr>
        <w:t>120</w:t>
      </w:r>
      <w:r w:rsidR="00691E8B" w:rsidRPr="002C0E44">
        <w:rPr>
          <w:rFonts w:ascii="Times New Roman" w:hAnsi="Times New Roman" w:cs="Times New Roman"/>
          <w:sz w:val="24"/>
          <w:szCs w:val="24"/>
        </w:rPr>
        <w:t>, z późn. zm.</w:t>
      </w:r>
      <w:r w:rsidR="00A61E3F" w:rsidRPr="002C0E44">
        <w:rPr>
          <w:rFonts w:ascii="Times New Roman" w:hAnsi="Times New Roman" w:cs="Times New Roman"/>
          <w:sz w:val="24"/>
          <w:szCs w:val="24"/>
        </w:rPr>
        <w:t>)</w:t>
      </w:r>
      <w:r w:rsidR="00DA6C2C" w:rsidRPr="002C0E44">
        <w:rPr>
          <w:rFonts w:ascii="Times New Roman" w:hAnsi="Times New Roman" w:cs="Times New Roman"/>
          <w:sz w:val="24"/>
          <w:szCs w:val="24"/>
        </w:rPr>
        <w:t>,</w:t>
      </w:r>
      <w:r w:rsidRPr="002C0E44">
        <w:rPr>
          <w:rFonts w:ascii="Times New Roman" w:hAnsi="Times New Roman" w:cs="Times New Roman"/>
          <w:sz w:val="24"/>
          <w:szCs w:val="24"/>
        </w:rPr>
        <w:t xml:space="preserve"> zwanej</w:t>
      </w:r>
      <w:r w:rsidR="00567B87" w:rsidRPr="002C0E44">
        <w:rPr>
          <w:rFonts w:ascii="Times New Roman" w:hAnsi="Times New Roman" w:cs="Times New Roman"/>
          <w:sz w:val="24"/>
          <w:szCs w:val="24"/>
        </w:rPr>
        <w:t xml:space="preserve"> dalej „</w:t>
      </w:r>
      <w:r w:rsidR="00567B87" w:rsidRPr="00077499">
        <w:rPr>
          <w:rFonts w:ascii="Times New Roman" w:hAnsi="Times New Roman" w:cs="Times New Roman"/>
          <w:color w:val="000000" w:themeColor="text1"/>
          <w:sz w:val="24"/>
          <w:szCs w:val="24"/>
        </w:rPr>
        <w:t>ustawą o rachunkowości</w:t>
      </w:r>
      <w:r w:rsidR="00567B87" w:rsidRPr="002C0E44">
        <w:rPr>
          <w:rFonts w:ascii="Times New Roman" w:hAnsi="Times New Roman" w:cs="Times New Roman"/>
          <w:sz w:val="24"/>
          <w:szCs w:val="24"/>
        </w:rPr>
        <w:t>”</w:t>
      </w:r>
      <w:r w:rsidR="00FF7312" w:rsidRPr="002C0E44">
        <w:rPr>
          <w:rFonts w:ascii="Times New Roman" w:hAnsi="Times New Roman" w:cs="Times New Roman"/>
          <w:sz w:val="24"/>
          <w:szCs w:val="24"/>
        </w:rPr>
        <w:t>, ustawy z dnia 20 sierpnia 1997</w:t>
      </w:r>
      <w:r w:rsidR="002C0E44">
        <w:rPr>
          <w:rFonts w:ascii="Times New Roman" w:hAnsi="Times New Roman" w:cs="Times New Roman"/>
          <w:sz w:val="24"/>
          <w:szCs w:val="24"/>
        </w:rPr>
        <w:t> </w:t>
      </w:r>
      <w:r w:rsidR="00FF7312" w:rsidRPr="002C0E44">
        <w:rPr>
          <w:rFonts w:ascii="Times New Roman" w:hAnsi="Times New Roman" w:cs="Times New Roman"/>
          <w:sz w:val="24"/>
          <w:szCs w:val="24"/>
        </w:rPr>
        <w:t>r. o Krajowym Rejestrze Sądowym (Dz. U. z 202</w:t>
      </w:r>
      <w:r w:rsidR="00166807" w:rsidRPr="002C0E44">
        <w:rPr>
          <w:rFonts w:ascii="Times New Roman" w:hAnsi="Times New Roman" w:cs="Times New Roman"/>
          <w:sz w:val="24"/>
          <w:szCs w:val="24"/>
        </w:rPr>
        <w:t>3</w:t>
      </w:r>
      <w:r w:rsidR="00FF7312" w:rsidRPr="002C0E44">
        <w:rPr>
          <w:rFonts w:ascii="Times New Roman" w:hAnsi="Times New Roman" w:cs="Times New Roman"/>
          <w:sz w:val="24"/>
          <w:szCs w:val="24"/>
        </w:rPr>
        <w:t xml:space="preserve"> r. poz. </w:t>
      </w:r>
      <w:r w:rsidR="00166807" w:rsidRPr="002C0E44">
        <w:rPr>
          <w:rFonts w:ascii="Times New Roman" w:hAnsi="Times New Roman" w:cs="Times New Roman"/>
          <w:sz w:val="24"/>
          <w:szCs w:val="24"/>
        </w:rPr>
        <w:t>685</w:t>
      </w:r>
      <w:r w:rsidR="00691E8B" w:rsidRPr="002C0E44">
        <w:rPr>
          <w:rFonts w:ascii="Times New Roman" w:hAnsi="Times New Roman" w:cs="Times New Roman"/>
          <w:sz w:val="24"/>
          <w:szCs w:val="24"/>
        </w:rPr>
        <w:t>, z późn. zm.</w:t>
      </w:r>
      <w:r w:rsidR="00FF7312" w:rsidRPr="002C0E44">
        <w:rPr>
          <w:rFonts w:ascii="Times New Roman" w:hAnsi="Times New Roman" w:cs="Times New Roman"/>
          <w:sz w:val="24"/>
          <w:szCs w:val="24"/>
        </w:rPr>
        <w:t>)</w:t>
      </w:r>
      <w:r w:rsidR="00DA6C2C" w:rsidRPr="002C0E44">
        <w:rPr>
          <w:rFonts w:ascii="Times New Roman" w:hAnsi="Times New Roman" w:cs="Times New Roman"/>
          <w:sz w:val="24"/>
          <w:szCs w:val="24"/>
        </w:rPr>
        <w:t>,</w:t>
      </w:r>
      <w:r w:rsidR="00FF7312" w:rsidRPr="002C0E44">
        <w:rPr>
          <w:rFonts w:ascii="Times New Roman" w:hAnsi="Times New Roman" w:cs="Times New Roman"/>
          <w:sz w:val="24"/>
          <w:szCs w:val="24"/>
        </w:rPr>
        <w:t xml:space="preserve"> zwanej dalej „</w:t>
      </w:r>
      <w:r w:rsidR="00FF7312" w:rsidRPr="00077499">
        <w:rPr>
          <w:rFonts w:ascii="Times New Roman" w:hAnsi="Times New Roman" w:cs="Times New Roman"/>
          <w:color w:val="000000" w:themeColor="text1"/>
          <w:sz w:val="24"/>
          <w:szCs w:val="24"/>
        </w:rPr>
        <w:t>ustawą o Krajowym Rejestrze Sądowym</w:t>
      </w:r>
      <w:r w:rsidR="00FF7312" w:rsidRPr="002C0E44">
        <w:rPr>
          <w:rFonts w:ascii="Times New Roman" w:hAnsi="Times New Roman" w:cs="Times New Roman"/>
          <w:sz w:val="24"/>
          <w:szCs w:val="24"/>
        </w:rPr>
        <w:t>”</w:t>
      </w:r>
      <w:r w:rsidRPr="002C0E44">
        <w:rPr>
          <w:rFonts w:ascii="Times New Roman" w:hAnsi="Times New Roman" w:cs="Times New Roman"/>
          <w:sz w:val="24"/>
          <w:szCs w:val="24"/>
        </w:rPr>
        <w:t xml:space="preserve"> </w:t>
      </w:r>
      <w:r w:rsidR="00A61E3F" w:rsidRPr="002C0E44">
        <w:rPr>
          <w:rFonts w:ascii="Times New Roman" w:hAnsi="Times New Roman" w:cs="Times New Roman"/>
          <w:sz w:val="24"/>
          <w:szCs w:val="24"/>
        </w:rPr>
        <w:t xml:space="preserve">oraz ustawy z dnia 11 maja </w:t>
      </w:r>
      <w:r w:rsidR="00567B87" w:rsidRPr="002C0E44">
        <w:rPr>
          <w:rFonts w:ascii="Times New Roman" w:hAnsi="Times New Roman" w:cs="Times New Roman"/>
          <w:sz w:val="24"/>
          <w:szCs w:val="24"/>
        </w:rPr>
        <w:t xml:space="preserve">2017 r. o biegłych rewidentach, </w:t>
      </w:r>
      <w:r w:rsidR="00A61E3F" w:rsidRPr="002C0E44">
        <w:rPr>
          <w:rFonts w:ascii="Times New Roman" w:hAnsi="Times New Roman" w:cs="Times New Roman"/>
          <w:sz w:val="24"/>
          <w:szCs w:val="24"/>
        </w:rPr>
        <w:t>firmach audytorskich oraz nadzorze publicznym (Dz. U. z 202</w:t>
      </w:r>
      <w:r w:rsidR="00166807" w:rsidRPr="002C0E44">
        <w:rPr>
          <w:rFonts w:ascii="Times New Roman" w:hAnsi="Times New Roman" w:cs="Times New Roman"/>
          <w:sz w:val="24"/>
          <w:szCs w:val="24"/>
        </w:rPr>
        <w:t>3</w:t>
      </w:r>
      <w:r w:rsidR="00A61E3F" w:rsidRPr="002C0E44">
        <w:rPr>
          <w:rFonts w:ascii="Times New Roman" w:hAnsi="Times New Roman" w:cs="Times New Roman"/>
          <w:sz w:val="24"/>
          <w:szCs w:val="24"/>
        </w:rPr>
        <w:t xml:space="preserve"> r. poz.</w:t>
      </w:r>
      <w:r w:rsidR="002C0E44">
        <w:rPr>
          <w:rFonts w:ascii="Times New Roman" w:hAnsi="Times New Roman" w:cs="Times New Roman"/>
          <w:sz w:val="24"/>
          <w:szCs w:val="24"/>
        </w:rPr>
        <w:t> </w:t>
      </w:r>
      <w:r w:rsidR="00166807" w:rsidRPr="002C0E44">
        <w:rPr>
          <w:rFonts w:ascii="Times New Roman" w:hAnsi="Times New Roman" w:cs="Times New Roman"/>
          <w:sz w:val="24"/>
          <w:szCs w:val="24"/>
        </w:rPr>
        <w:t>1015, z</w:t>
      </w:r>
      <w:r w:rsidR="002C0E44">
        <w:rPr>
          <w:rFonts w:ascii="Times New Roman" w:hAnsi="Times New Roman" w:cs="Times New Roman"/>
          <w:sz w:val="24"/>
          <w:szCs w:val="24"/>
        </w:rPr>
        <w:t> </w:t>
      </w:r>
      <w:r w:rsidR="00F66FCD" w:rsidRPr="002C0E44">
        <w:rPr>
          <w:rFonts w:ascii="Times New Roman" w:hAnsi="Times New Roman" w:cs="Times New Roman"/>
          <w:sz w:val="24"/>
          <w:szCs w:val="24"/>
        </w:rPr>
        <w:t>późn</w:t>
      </w:r>
      <w:r w:rsidR="00166807" w:rsidRPr="002C0E44">
        <w:rPr>
          <w:rFonts w:ascii="Times New Roman" w:hAnsi="Times New Roman" w:cs="Times New Roman"/>
          <w:sz w:val="24"/>
          <w:szCs w:val="24"/>
        </w:rPr>
        <w:t>. zm.</w:t>
      </w:r>
      <w:r w:rsidR="00A61E3F" w:rsidRPr="002C0E44">
        <w:rPr>
          <w:rFonts w:ascii="Times New Roman" w:hAnsi="Times New Roman" w:cs="Times New Roman"/>
          <w:sz w:val="24"/>
          <w:szCs w:val="24"/>
        </w:rPr>
        <w:t>)</w:t>
      </w:r>
      <w:r w:rsidR="00DA6C2C" w:rsidRPr="002C0E44">
        <w:rPr>
          <w:rFonts w:ascii="Times New Roman" w:hAnsi="Times New Roman" w:cs="Times New Roman"/>
          <w:sz w:val="24"/>
          <w:szCs w:val="24"/>
        </w:rPr>
        <w:t>,</w:t>
      </w:r>
      <w:r w:rsidR="00A61E3F" w:rsidRPr="002C0E44">
        <w:rPr>
          <w:rFonts w:ascii="Times New Roman" w:hAnsi="Times New Roman" w:cs="Times New Roman"/>
          <w:sz w:val="24"/>
          <w:szCs w:val="24"/>
        </w:rPr>
        <w:t xml:space="preserve"> zwanej dalej „</w:t>
      </w:r>
      <w:r w:rsidR="00A61E3F" w:rsidRPr="000774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ustawą o </w:t>
      </w:r>
      <w:r w:rsidR="00567B87" w:rsidRPr="00077499">
        <w:rPr>
          <w:rFonts w:ascii="Times New Roman" w:hAnsi="Times New Roman" w:cs="Times New Roman"/>
          <w:color w:val="000000" w:themeColor="text1"/>
          <w:sz w:val="24"/>
          <w:szCs w:val="24"/>
        </w:rPr>
        <w:t>biegłych rewidentach</w:t>
      </w:r>
      <w:r w:rsidR="00567B87" w:rsidRPr="002C0E44">
        <w:rPr>
          <w:rFonts w:ascii="Times New Roman" w:hAnsi="Times New Roman" w:cs="Times New Roman"/>
          <w:sz w:val="24"/>
          <w:szCs w:val="24"/>
        </w:rPr>
        <w:t xml:space="preserve">”, </w:t>
      </w:r>
      <w:r w:rsidR="0065045C" w:rsidRPr="002C0E44">
        <w:rPr>
          <w:rFonts w:ascii="Times New Roman" w:hAnsi="Times New Roman" w:cs="Times New Roman"/>
          <w:sz w:val="24"/>
          <w:szCs w:val="24"/>
        </w:rPr>
        <w:t>jest</w:t>
      </w:r>
      <w:r w:rsidRPr="002C0E44">
        <w:rPr>
          <w:rFonts w:ascii="Times New Roman" w:hAnsi="Times New Roman" w:cs="Times New Roman"/>
          <w:sz w:val="24"/>
          <w:szCs w:val="24"/>
        </w:rPr>
        <w:t xml:space="preserve"> </w:t>
      </w:r>
      <w:r w:rsidR="0065045C" w:rsidRPr="002C0E44">
        <w:rPr>
          <w:rFonts w:ascii="Times New Roman" w:hAnsi="Times New Roman" w:cs="Times New Roman"/>
          <w:sz w:val="24"/>
          <w:szCs w:val="24"/>
        </w:rPr>
        <w:t>transpozycja</w:t>
      </w:r>
      <w:r w:rsidRPr="002C0E44">
        <w:rPr>
          <w:rFonts w:ascii="Times New Roman" w:hAnsi="Times New Roman" w:cs="Times New Roman"/>
          <w:sz w:val="24"/>
          <w:szCs w:val="24"/>
        </w:rPr>
        <w:t xml:space="preserve"> dyrektywy </w:t>
      </w:r>
      <w:r w:rsidR="00567B87" w:rsidRPr="002C0E44">
        <w:rPr>
          <w:rFonts w:ascii="Times New Roman" w:hAnsi="Times New Roman" w:cs="Times New Roman"/>
          <w:sz w:val="24"/>
          <w:szCs w:val="24"/>
        </w:rPr>
        <w:t xml:space="preserve">Parlamentu Europejskiego i Rady (UE) 2021/2101 z dnia 24 listopada 2021 r. zmieniającej dyrektywę 2013/34/UE w odniesieniu do ujawniania informacji o podatku dochodowym przez niektóre jednostki i oddziały (Dz. Urz. UE L 429 z </w:t>
      </w:r>
      <w:r w:rsidR="00166807" w:rsidRPr="002C0E44">
        <w:rPr>
          <w:rFonts w:ascii="Times New Roman" w:hAnsi="Times New Roman" w:cs="Times New Roman"/>
          <w:sz w:val="24"/>
          <w:szCs w:val="24"/>
        </w:rPr>
        <w:t>0</w:t>
      </w:r>
      <w:r w:rsidR="00567B87" w:rsidRPr="002C0E44">
        <w:rPr>
          <w:rFonts w:ascii="Times New Roman" w:hAnsi="Times New Roman" w:cs="Times New Roman"/>
          <w:sz w:val="24"/>
          <w:szCs w:val="24"/>
        </w:rPr>
        <w:t>1.1</w:t>
      </w:r>
      <w:r w:rsidR="00837A18" w:rsidRPr="002C0E44">
        <w:rPr>
          <w:rFonts w:ascii="Times New Roman" w:hAnsi="Times New Roman" w:cs="Times New Roman"/>
          <w:sz w:val="24"/>
          <w:szCs w:val="24"/>
        </w:rPr>
        <w:t>2.2021, str.</w:t>
      </w:r>
      <w:r w:rsidR="00205BE7" w:rsidRPr="002C0E44">
        <w:rPr>
          <w:rFonts w:ascii="Times New Roman" w:hAnsi="Times New Roman" w:cs="Times New Roman"/>
          <w:sz w:val="24"/>
          <w:szCs w:val="24"/>
        </w:rPr>
        <w:t xml:space="preserve"> 1) zwanej dalej „</w:t>
      </w:r>
      <w:r w:rsidR="00205BE7" w:rsidRPr="00077499">
        <w:rPr>
          <w:rFonts w:ascii="Times New Roman" w:hAnsi="Times New Roman" w:cs="Times New Roman"/>
          <w:color w:val="000000" w:themeColor="text1"/>
          <w:sz w:val="24"/>
          <w:szCs w:val="24"/>
        </w:rPr>
        <w:t>dyrektywą</w:t>
      </w:r>
      <w:r w:rsidR="00837A18" w:rsidRPr="000774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67B87" w:rsidRPr="00077499">
        <w:rPr>
          <w:rFonts w:ascii="Times New Roman" w:hAnsi="Times New Roman" w:cs="Times New Roman"/>
          <w:color w:val="000000" w:themeColor="text1"/>
          <w:sz w:val="24"/>
          <w:szCs w:val="24"/>
        </w:rPr>
        <w:t>2021/2101</w:t>
      </w:r>
      <w:r w:rsidR="00567B87" w:rsidRPr="002C0E44">
        <w:rPr>
          <w:rFonts w:ascii="Times New Roman" w:hAnsi="Times New Roman" w:cs="Times New Roman"/>
          <w:sz w:val="24"/>
          <w:szCs w:val="24"/>
        </w:rPr>
        <w:t>”.</w:t>
      </w:r>
    </w:p>
    <w:p w14:paraId="417947F1" w14:textId="09B63644" w:rsidR="000B14DD" w:rsidRPr="002C0E44" w:rsidRDefault="000B14DD" w:rsidP="002C0E44">
      <w:pPr>
        <w:spacing w:before="120"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E44">
        <w:rPr>
          <w:rFonts w:ascii="Times New Roman" w:hAnsi="Times New Roman" w:cs="Times New Roman"/>
          <w:sz w:val="24"/>
          <w:szCs w:val="24"/>
        </w:rPr>
        <w:t>Przepisy dyrektywy 2021/2101 stanowią kolejną, obok dyrektywy w zakresie współpracy administracyjnej w dziedzinie opodatkowania</w:t>
      </w:r>
      <w:r w:rsidR="005A56C3" w:rsidRPr="002C0E44">
        <w:rPr>
          <w:rFonts w:ascii="Times New Roman" w:hAnsi="Times New Roman" w:cs="Times New Roman"/>
          <w:sz w:val="24"/>
          <w:szCs w:val="24"/>
        </w:rPr>
        <w:t xml:space="preserve"> (dyrektywa 2011/16/WE)</w:t>
      </w:r>
      <w:r w:rsidRPr="002C0E44">
        <w:rPr>
          <w:rFonts w:ascii="Times New Roman" w:hAnsi="Times New Roman" w:cs="Times New Roman"/>
          <w:sz w:val="24"/>
          <w:szCs w:val="24"/>
        </w:rPr>
        <w:t>, wdrożonej w Polsce ustawą z dnia 9 marca 2017 r. o wymianie informacji podatkowych z</w:t>
      </w:r>
      <w:r w:rsidR="002C0E44">
        <w:rPr>
          <w:rFonts w:ascii="Times New Roman" w:hAnsi="Times New Roman" w:cs="Times New Roman"/>
          <w:sz w:val="24"/>
          <w:szCs w:val="24"/>
        </w:rPr>
        <w:t> </w:t>
      </w:r>
      <w:r w:rsidRPr="002C0E44">
        <w:rPr>
          <w:rFonts w:ascii="Times New Roman" w:hAnsi="Times New Roman" w:cs="Times New Roman"/>
          <w:sz w:val="24"/>
          <w:szCs w:val="24"/>
        </w:rPr>
        <w:t xml:space="preserve">innymi państwami </w:t>
      </w:r>
      <w:r w:rsidR="009C4CF5" w:rsidRPr="002C0E44">
        <w:rPr>
          <w:rFonts w:ascii="Times New Roman" w:hAnsi="Times New Roman" w:cs="Times New Roman"/>
          <w:sz w:val="24"/>
          <w:szCs w:val="24"/>
        </w:rPr>
        <w:t>(Dz. U. z 2023 r. poz. 241), zwan</w:t>
      </w:r>
      <w:r w:rsidR="00307A73" w:rsidRPr="002C0E44">
        <w:rPr>
          <w:rFonts w:ascii="Times New Roman" w:hAnsi="Times New Roman" w:cs="Times New Roman"/>
          <w:sz w:val="24"/>
          <w:szCs w:val="24"/>
        </w:rPr>
        <w:t>ą</w:t>
      </w:r>
      <w:r w:rsidR="009C4CF5" w:rsidRPr="002C0E44">
        <w:rPr>
          <w:rFonts w:ascii="Times New Roman" w:hAnsi="Times New Roman" w:cs="Times New Roman"/>
          <w:sz w:val="24"/>
          <w:szCs w:val="24"/>
        </w:rPr>
        <w:t xml:space="preserve"> dalej </w:t>
      </w:r>
      <w:r w:rsidRPr="002C0E44">
        <w:rPr>
          <w:rFonts w:ascii="Times New Roman" w:hAnsi="Times New Roman" w:cs="Times New Roman"/>
          <w:sz w:val="24"/>
          <w:szCs w:val="24"/>
        </w:rPr>
        <w:t>„</w:t>
      </w:r>
      <w:r w:rsidRPr="00077499">
        <w:rPr>
          <w:rFonts w:ascii="Times New Roman" w:hAnsi="Times New Roman" w:cs="Times New Roman"/>
          <w:color w:val="000000" w:themeColor="text1"/>
          <w:sz w:val="24"/>
          <w:szCs w:val="24"/>
        </w:rPr>
        <w:t>ustaw</w:t>
      </w:r>
      <w:r w:rsidR="009C4CF5" w:rsidRPr="00077499">
        <w:rPr>
          <w:rFonts w:ascii="Times New Roman" w:hAnsi="Times New Roman" w:cs="Times New Roman"/>
          <w:color w:val="000000" w:themeColor="text1"/>
          <w:sz w:val="24"/>
          <w:szCs w:val="24"/>
        </w:rPr>
        <w:t>ą</w:t>
      </w:r>
      <w:r w:rsidRPr="000774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wymianie informacji</w:t>
      </w:r>
      <w:r w:rsidRPr="002C0E44">
        <w:rPr>
          <w:rFonts w:ascii="Times New Roman" w:hAnsi="Times New Roman" w:cs="Times New Roman"/>
          <w:sz w:val="24"/>
          <w:szCs w:val="24"/>
        </w:rPr>
        <w:t>”, część pakietu dotyczącego przeciwdziałania unikaniu opodatkowania przyjętego przez Komisję Europejską w dniu 28 stycznia 2016 r</w:t>
      </w:r>
      <w:r w:rsidR="00F66FCD">
        <w:rPr>
          <w:rFonts w:ascii="Times New Roman" w:hAnsi="Times New Roman" w:cs="Times New Roman"/>
          <w:sz w:val="24"/>
          <w:szCs w:val="24"/>
        </w:rPr>
        <w:t>.</w:t>
      </w:r>
      <w:r w:rsidRPr="002C0E44">
        <w:rPr>
          <w:rFonts w:ascii="Times New Roman" w:hAnsi="Times New Roman" w:cs="Times New Roman"/>
          <w:sz w:val="24"/>
          <w:szCs w:val="24"/>
        </w:rPr>
        <w:t xml:space="preserve"> („pakiet Komisji o przeciwdziałaniu unikania opodatkowania”)</w:t>
      </w:r>
      <w:bookmarkStart w:id="1" w:name="_Ref96594946"/>
      <w:r w:rsidRPr="002C0E44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bookmarkEnd w:id="1"/>
      <w:r w:rsidRPr="002C0E44">
        <w:rPr>
          <w:rFonts w:ascii="Times New Roman" w:hAnsi="Times New Roman" w:cs="Times New Roman"/>
          <w:sz w:val="24"/>
          <w:szCs w:val="24"/>
        </w:rPr>
        <w:t>.</w:t>
      </w:r>
    </w:p>
    <w:p w14:paraId="64C9CF80" w14:textId="498F96B8" w:rsidR="000B14DD" w:rsidRPr="002C0E44" w:rsidRDefault="000B14DD" w:rsidP="002C0E44">
      <w:pPr>
        <w:spacing w:before="120"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E44">
        <w:rPr>
          <w:rFonts w:ascii="Times New Roman" w:hAnsi="Times New Roman" w:cs="Times New Roman"/>
          <w:sz w:val="24"/>
          <w:szCs w:val="24"/>
        </w:rPr>
        <w:t>Skomplikowane przepisy podatkowe</w:t>
      </w:r>
      <w:r w:rsidR="00843587" w:rsidRPr="002C0E44">
        <w:rPr>
          <w:rFonts w:ascii="Times New Roman" w:hAnsi="Times New Roman" w:cs="Times New Roman"/>
          <w:sz w:val="24"/>
          <w:szCs w:val="24"/>
        </w:rPr>
        <w:t xml:space="preserve"> i tajemnica podatkowa umożliwiają</w:t>
      </w:r>
      <w:r w:rsidRPr="002C0E44">
        <w:rPr>
          <w:rFonts w:ascii="Times New Roman" w:hAnsi="Times New Roman" w:cs="Times New Roman"/>
          <w:sz w:val="24"/>
          <w:szCs w:val="24"/>
        </w:rPr>
        <w:t xml:space="preserve"> niektórym przedsiębiorstwom wielonarodowym realizację strategii polegających na agresywnym planowaniu podatkowym. W przeciwieństwie do małych i średnich przedsiębiorstw lub indywidualnych podatników przedsiębiorstwa wielonarodowe mają możliwość wykorzystania luk w krajowych i międzynarodowych przepisach podatkowych, co pozwala im przenosić zyski z jednego kraju do drugiego w celu obniżenia płaconych podatków. Szacuje się, że państwa członkowskie Unii Europejskiej („UE”) tracą rocznie 50–70 mld EUR w wyniku unikania opodatkowania przez przedsiębiorstwa wielonarodowe</w:t>
      </w:r>
      <w:r w:rsidR="0065045C" w:rsidRPr="002C0E44">
        <w:rPr>
          <w:rFonts w:ascii="Times New Roman" w:hAnsi="Times New Roman" w:cs="Times New Roman"/>
          <w:sz w:val="24"/>
          <w:szCs w:val="24"/>
        </w:rPr>
        <w:t>,</w:t>
      </w:r>
      <w:r w:rsidRPr="002C0E44">
        <w:rPr>
          <w:rFonts w:ascii="Times New Roman" w:hAnsi="Times New Roman" w:cs="Times New Roman"/>
          <w:sz w:val="24"/>
          <w:szCs w:val="24"/>
        </w:rPr>
        <w:t xml:space="preserve"> a niektóre przedsiębiorstwa wielonarodowe płacą nieproporcjonalnie niskie podatki, co podważa ogólną skuteczność i</w:t>
      </w:r>
      <w:r w:rsidR="004E7D6F">
        <w:rPr>
          <w:rFonts w:ascii="Times New Roman" w:hAnsi="Times New Roman" w:cs="Times New Roman"/>
          <w:sz w:val="24"/>
          <w:szCs w:val="24"/>
        </w:rPr>
        <w:t> </w:t>
      </w:r>
      <w:r w:rsidRPr="002C0E44">
        <w:rPr>
          <w:rFonts w:ascii="Times New Roman" w:hAnsi="Times New Roman" w:cs="Times New Roman"/>
          <w:sz w:val="24"/>
          <w:szCs w:val="24"/>
        </w:rPr>
        <w:t>sprawiedliwość systemów podatkowych w UE.</w:t>
      </w:r>
    </w:p>
    <w:p w14:paraId="3A73833D" w14:textId="70EC1ADC" w:rsidR="003C1C00" w:rsidRPr="002C0E44" w:rsidRDefault="003C1C00" w:rsidP="00F66FCD">
      <w:pPr>
        <w:spacing w:before="120"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E44">
        <w:rPr>
          <w:rFonts w:ascii="Times New Roman" w:hAnsi="Times New Roman" w:cs="Times New Roman"/>
          <w:sz w:val="24"/>
          <w:szCs w:val="24"/>
        </w:rPr>
        <w:lastRenderedPageBreak/>
        <w:t>Dyrektywa 2021/2101 nakłada na duże przedsiębiorstwa wielonarodowe (jednostki dominujące najwyższego szczebla grupy kapitałowej i jednostki samodzielne</w:t>
      </w:r>
      <w:r w:rsidR="006F6EB4" w:rsidRPr="002C0E44">
        <w:rPr>
          <w:rFonts w:ascii="Times New Roman" w:hAnsi="Times New Roman" w:cs="Times New Roman"/>
          <w:sz w:val="24"/>
          <w:szCs w:val="24"/>
        </w:rPr>
        <w:t>,</w:t>
      </w:r>
      <w:r w:rsidRPr="002C0E44">
        <w:rPr>
          <w:rFonts w:ascii="Times New Roman" w:hAnsi="Times New Roman" w:cs="Times New Roman"/>
          <w:sz w:val="24"/>
          <w:szCs w:val="24"/>
        </w:rPr>
        <w:t xml:space="preserve"> o </w:t>
      </w:r>
      <w:r w:rsidR="006F6EB4" w:rsidRPr="002C0E44">
        <w:rPr>
          <w:rFonts w:ascii="Times New Roman" w:hAnsi="Times New Roman" w:cs="Times New Roman"/>
          <w:sz w:val="24"/>
          <w:szCs w:val="24"/>
        </w:rPr>
        <w:t xml:space="preserve">odpowiednio </w:t>
      </w:r>
      <w:r w:rsidRPr="002C0E44">
        <w:rPr>
          <w:rFonts w:ascii="Times New Roman" w:hAnsi="Times New Roman" w:cs="Times New Roman"/>
          <w:sz w:val="24"/>
          <w:szCs w:val="24"/>
        </w:rPr>
        <w:t xml:space="preserve">skonsolidowanych przychodach </w:t>
      </w:r>
      <w:r w:rsidR="00F66FCD">
        <w:rPr>
          <w:rFonts w:ascii="Times New Roman" w:hAnsi="Times New Roman" w:cs="Times New Roman"/>
          <w:sz w:val="24"/>
          <w:szCs w:val="24"/>
        </w:rPr>
        <w:t>–</w:t>
      </w:r>
      <w:r w:rsidR="006F6EB4" w:rsidRPr="002C0E44">
        <w:rPr>
          <w:rFonts w:ascii="Times New Roman" w:hAnsi="Times New Roman" w:cs="Times New Roman"/>
          <w:sz w:val="24"/>
          <w:szCs w:val="24"/>
        </w:rPr>
        <w:t xml:space="preserve"> dla jednostek dominujących</w:t>
      </w:r>
      <w:r w:rsidR="00B9573E" w:rsidRPr="002C0E44">
        <w:rPr>
          <w:rFonts w:ascii="Times New Roman" w:hAnsi="Times New Roman" w:cs="Times New Roman"/>
          <w:sz w:val="24"/>
          <w:szCs w:val="24"/>
        </w:rPr>
        <w:t xml:space="preserve"> najwyższego szczebla</w:t>
      </w:r>
      <w:r w:rsidR="0065045C" w:rsidRPr="002C0E44">
        <w:rPr>
          <w:rFonts w:ascii="Times New Roman" w:hAnsi="Times New Roman" w:cs="Times New Roman"/>
          <w:sz w:val="24"/>
          <w:szCs w:val="24"/>
        </w:rPr>
        <w:t xml:space="preserve"> </w:t>
      </w:r>
      <w:r w:rsidR="00F66FCD">
        <w:rPr>
          <w:rFonts w:ascii="Times New Roman" w:hAnsi="Times New Roman" w:cs="Times New Roman"/>
          <w:sz w:val="24"/>
          <w:szCs w:val="24"/>
        </w:rPr>
        <w:t>–</w:t>
      </w:r>
      <w:r w:rsidR="006F6EB4" w:rsidRPr="002C0E44">
        <w:rPr>
          <w:rFonts w:ascii="Times New Roman" w:hAnsi="Times New Roman" w:cs="Times New Roman"/>
          <w:sz w:val="24"/>
          <w:szCs w:val="24"/>
        </w:rPr>
        <w:t xml:space="preserve"> i</w:t>
      </w:r>
      <w:r w:rsidR="004E7D6F">
        <w:rPr>
          <w:rFonts w:ascii="Times New Roman" w:hAnsi="Times New Roman" w:cs="Times New Roman"/>
          <w:sz w:val="24"/>
          <w:szCs w:val="24"/>
        </w:rPr>
        <w:t> </w:t>
      </w:r>
      <w:r w:rsidR="006F6EB4" w:rsidRPr="002C0E44">
        <w:rPr>
          <w:rFonts w:ascii="Times New Roman" w:hAnsi="Times New Roman" w:cs="Times New Roman"/>
          <w:sz w:val="24"/>
          <w:szCs w:val="24"/>
        </w:rPr>
        <w:t xml:space="preserve">przychodach </w:t>
      </w:r>
      <w:r w:rsidR="00F66FCD">
        <w:rPr>
          <w:rFonts w:ascii="Times New Roman" w:hAnsi="Times New Roman" w:cs="Times New Roman"/>
          <w:sz w:val="24"/>
          <w:szCs w:val="24"/>
        </w:rPr>
        <w:t>–</w:t>
      </w:r>
      <w:r w:rsidR="006F6EB4" w:rsidRPr="002C0E44">
        <w:rPr>
          <w:rFonts w:ascii="Times New Roman" w:hAnsi="Times New Roman" w:cs="Times New Roman"/>
          <w:sz w:val="24"/>
          <w:szCs w:val="24"/>
        </w:rPr>
        <w:t xml:space="preserve"> dla jednostek samodzielnych</w:t>
      </w:r>
      <w:r w:rsidR="000D7AF6" w:rsidRPr="002C0E44">
        <w:rPr>
          <w:rFonts w:ascii="Times New Roman" w:hAnsi="Times New Roman" w:cs="Times New Roman"/>
          <w:sz w:val="24"/>
          <w:szCs w:val="24"/>
        </w:rPr>
        <w:t>,</w:t>
      </w:r>
      <w:r w:rsidR="006F6EB4" w:rsidRPr="002C0E44">
        <w:rPr>
          <w:rFonts w:ascii="Times New Roman" w:hAnsi="Times New Roman" w:cs="Times New Roman"/>
          <w:sz w:val="24"/>
          <w:szCs w:val="24"/>
        </w:rPr>
        <w:t xml:space="preserve"> </w:t>
      </w:r>
      <w:r w:rsidRPr="002C0E44">
        <w:rPr>
          <w:rFonts w:ascii="Times New Roman" w:hAnsi="Times New Roman" w:cs="Times New Roman"/>
          <w:sz w:val="24"/>
          <w:szCs w:val="24"/>
        </w:rPr>
        <w:t xml:space="preserve">przekraczających w kolejnych dwóch latach </w:t>
      </w:r>
      <w:r w:rsidR="006F6EB4" w:rsidRPr="002C0E44">
        <w:rPr>
          <w:rFonts w:ascii="Times New Roman" w:hAnsi="Times New Roman" w:cs="Times New Roman"/>
          <w:sz w:val="24"/>
          <w:szCs w:val="24"/>
        </w:rPr>
        <w:t xml:space="preserve">kwotę </w:t>
      </w:r>
      <w:r w:rsidRPr="002C0E44">
        <w:rPr>
          <w:rFonts w:ascii="Times New Roman" w:hAnsi="Times New Roman" w:cs="Times New Roman"/>
          <w:sz w:val="24"/>
          <w:szCs w:val="24"/>
        </w:rPr>
        <w:t>750 mln EUR) z siedzibą w UE</w:t>
      </w:r>
      <w:r w:rsidR="00F66FCD">
        <w:rPr>
          <w:rFonts w:ascii="Times New Roman" w:hAnsi="Times New Roman" w:cs="Times New Roman"/>
          <w:sz w:val="24"/>
          <w:szCs w:val="24"/>
        </w:rPr>
        <w:t>,</w:t>
      </w:r>
      <w:r w:rsidRPr="002C0E44">
        <w:rPr>
          <w:rFonts w:ascii="Times New Roman" w:hAnsi="Times New Roman" w:cs="Times New Roman"/>
          <w:sz w:val="24"/>
          <w:szCs w:val="24"/>
        </w:rPr>
        <w:t xml:space="preserve"> jak i przedsiębiorstwa wielonarodowe spoza </w:t>
      </w:r>
      <w:r w:rsidR="0043690B" w:rsidRPr="002C0E44">
        <w:rPr>
          <w:rFonts w:ascii="Times New Roman" w:hAnsi="Times New Roman" w:cs="Times New Roman"/>
          <w:sz w:val="24"/>
          <w:szCs w:val="24"/>
        </w:rPr>
        <w:t>Europejskiego Obszaru Gospodarczego („</w:t>
      </w:r>
      <w:r w:rsidR="0043690B" w:rsidRPr="00077499">
        <w:rPr>
          <w:rFonts w:ascii="Times New Roman" w:hAnsi="Times New Roman" w:cs="Times New Roman"/>
          <w:color w:val="000000" w:themeColor="text1"/>
          <w:sz w:val="24"/>
          <w:szCs w:val="24"/>
        </w:rPr>
        <w:t>EOG</w:t>
      </w:r>
      <w:r w:rsidR="0043690B" w:rsidRPr="002C0E44">
        <w:rPr>
          <w:rFonts w:ascii="Times New Roman" w:hAnsi="Times New Roman" w:cs="Times New Roman"/>
          <w:sz w:val="24"/>
          <w:szCs w:val="24"/>
        </w:rPr>
        <w:t>”)</w:t>
      </w:r>
      <w:r w:rsidRPr="002C0E44">
        <w:rPr>
          <w:rFonts w:ascii="Times New Roman" w:hAnsi="Times New Roman" w:cs="Times New Roman"/>
          <w:sz w:val="24"/>
          <w:szCs w:val="24"/>
        </w:rPr>
        <w:t xml:space="preserve"> prowadzące działalność gospodarczą w UE za pośrednictwem oddziału lub </w:t>
      </w:r>
      <w:r w:rsidR="009950DE" w:rsidRPr="002C0E44">
        <w:rPr>
          <w:rFonts w:ascii="Times New Roman" w:hAnsi="Times New Roman" w:cs="Times New Roman"/>
          <w:sz w:val="24"/>
          <w:szCs w:val="24"/>
        </w:rPr>
        <w:t xml:space="preserve">jednostki </w:t>
      </w:r>
      <w:r w:rsidRPr="002C0E44">
        <w:rPr>
          <w:rFonts w:ascii="Times New Roman" w:hAnsi="Times New Roman" w:cs="Times New Roman"/>
          <w:sz w:val="24"/>
          <w:szCs w:val="24"/>
        </w:rPr>
        <w:t>zależnej obowiązek publicznego ujawnienia informacji o zapłaconym podatku dochodowym oraz innych informacji związanych z</w:t>
      </w:r>
      <w:r w:rsidR="004E7D6F">
        <w:rPr>
          <w:rFonts w:ascii="Times New Roman" w:hAnsi="Times New Roman" w:cs="Times New Roman"/>
          <w:sz w:val="24"/>
          <w:szCs w:val="24"/>
        </w:rPr>
        <w:t> </w:t>
      </w:r>
      <w:r w:rsidRPr="002C0E44">
        <w:rPr>
          <w:rFonts w:ascii="Times New Roman" w:hAnsi="Times New Roman" w:cs="Times New Roman"/>
          <w:sz w:val="24"/>
          <w:szCs w:val="24"/>
        </w:rPr>
        <w:t>podatkami w podziale na poszczególne kraje („sprawozdanie o podatku dochodowym”).</w:t>
      </w:r>
    </w:p>
    <w:p w14:paraId="206EA3EE" w14:textId="2997BCDC" w:rsidR="003C1C00" w:rsidRPr="002C0E44" w:rsidRDefault="003C1C00" w:rsidP="002C0E44">
      <w:pPr>
        <w:spacing w:before="120"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E44">
        <w:rPr>
          <w:rFonts w:ascii="Times New Roman" w:hAnsi="Times New Roman" w:cs="Times New Roman"/>
          <w:sz w:val="24"/>
          <w:szCs w:val="24"/>
        </w:rPr>
        <w:t xml:space="preserve">W wyniku przyjętego </w:t>
      </w:r>
      <w:r w:rsidR="00456EA1" w:rsidRPr="002C0E44">
        <w:rPr>
          <w:rFonts w:ascii="Times New Roman" w:hAnsi="Times New Roman" w:cs="Times New Roman"/>
          <w:sz w:val="24"/>
          <w:szCs w:val="24"/>
        </w:rPr>
        <w:t>przez Komisję</w:t>
      </w:r>
      <w:r w:rsidRPr="002C0E44">
        <w:rPr>
          <w:rFonts w:ascii="Times New Roman" w:hAnsi="Times New Roman" w:cs="Times New Roman"/>
          <w:sz w:val="24"/>
          <w:szCs w:val="24"/>
        </w:rPr>
        <w:t xml:space="preserve"> </w:t>
      </w:r>
      <w:r w:rsidR="00456EA1" w:rsidRPr="002C0E44">
        <w:rPr>
          <w:rFonts w:ascii="Times New Roman" w:hAnsi="Times New Roman" w:cs="Times New Roman"/>
          <w:sz w:val="24"/>
          <w:szCs w:val="24"/>
        </w:rPr>
        <w:t xml:space="preserve">pakietu </w:t>
      </w:r>
      <w:r w:rsidRPr="002C0E44">
        <w:rPr>
          <w:rFonts w:ascii="Times New Roman" w:hAnsi="Times New Roman" w:cs="Times New Roman"/>
          <w:sz w:val="24"/>
          <w:szCs w:val="24"/>
        </w:rPr>
        <w:t>o przeciwdziałaniu unikania opodatkowania i wdrożonej na jego podstawie do krajowego porządku prawnego us</w:t>
      </w:r>
      <w:r w:rsidR="00456EA1" w:rsidRPr="002C0E44">
        <w:rPr>
          <w:rFonts w:ascii="Times New Roman" w:hAnsi="Times New Roman" w:cs="Times New Roman"/>
          <w:sz w:val="24"/>
          <w:szCs w:val="24"/>
        </w:rPr>
        <w:t>tawy o</w:t>
      </w:r>
      <w:r w:rsidR="004E7D6F">
        <w:rPr>
          <w:rFonts w:ascii="Times New Roman" w:hAnsi="Times New Roman" w:cs="Times New Roman"/>
          <w:sz w:val="24"/>
          <w:szCs w:val="24"/>
        </w:rPr>
        <w:t> </w:t>
      </w:r>
      <w:r w:rsidR="00456EA1" w:rsidRPr="002C0E44">
        <w:rPr>
          <w:rFonts w:ascii="Times New Roman" w:hAnsi="Times New Roman" w:cs="Times New Roman"/>
          <w:sz w:val="24"/>
          <w:szCs w:val="24"/>
        </w:rPr>
        <w:t xml:space="preserve">wymianie informacji, </w:t>
      </w:r>
      <w:r w:rsidRPr="002C0E44">
        <w:rPr>
          <w:rFonts w:ascii="Times New Roman" w:hAnsi="Times New Roman" w:cs="Times New Roman"/>
          <w:sz w:val="24"/>
          <w:szCs w:val="24"/>
        </w:rPr>
        <w:t xml:space="preserve">aktualnie duże przedsiębiorstwa wielonarodowe mają </w:t>
      </w:r>
      <w:r w:rsidR="00E56976" w:rsidRPr="002C0E44">
        <w:rPr>
          <w:rFonts w:ascii="Times New Roman" w:hAnsi="Times New Roman" w:cs="Times New Roman"/>
          <w:sz w:val="24"/>
          <w:szCs w:val="24"/>
        </w:rPr>
        <w:t xml:space="preserve">już </w:t>
      </w:r>
      <w:r w:rsidRPr="002C0E44">
        <w:rPr>
          <w:rFonts w:ascii="Times New Roman" w:hAnsi="Times New Roman" w:cs="Times New Roman"/>
          <w:sz w:val="24"/>
          <w:szCs w:val="24"/>
        </w:rPr>
        <w:t>obowiązek przedstawiani</w:t>
      </w:r>
      <w:r w:rsidR="00F502D6" w:rsidRPr="002C0E44">
        <w:rPr>
          <w:rFonts w:ascii="Times New Roman" w:hAnsi="Times New Roman" w:cs="Times New Roman"/>
          <w:sz w:val="24"/>
          <w:szCs w:val="24"/>
        </w:rPr>
        <w:t>a organom podatkowym informacji</w:t>
      </w:r>
      <w:r w:rsidR="00A93F08" w:rsidRPr="002C0E44">
        <w:rPr>
          <w:rFonts w:ascii="Times New Roman" w:hAnsi="Times New Roman" w:cs="Times New Roman"/>
          <w:sz w:val="24"/>
          <w:szCs w:val="24"/>
        </w:rPr>
        <w:t xml:space="preserve"> </w:t>
      </w:r>
      <w:r w:rsidRPr="002C0E44">
        <w:rPr>
          <w:rFonts w:ascii="Times New Roman" w:hAnsi="Times New Roman" w:cs="Times New Roman"/>
          <w:sz w:val="24"/>
          <w:szCs w:val="24"/>
        </w:rPr>
        <w:t>na temat zapłaconego</w:t>
      </w:r>
      <w:r w:rsidR="00F502D6" w:rsidRPr="002C0E44">
        <w:rPr>
          <w:rFonts w:ascii="Times New Roman" w:hAnsi="Times New Roman" w:cs="Times New Roman"/>
          <w:sz w:val="24"/>
          <w:szCs w:val="24"/>
        </w:rPr>
        <w:t xml:space="preserve"> podatku dochodowego oraz innych informacji związanych</w:t>
      </w:r>
      <w:r w:rsidRPr="002C0E44">
        <w:rPr>
          <w:rFonts w:ascii="Times New Roman" w:hAnsi="Times New Roman" w:cs="Times New Roman"/>
          <w:sz w:val="24"/>
          <w:szCs w:val="24"/>
        </w:rPr>
        <w:t xml:space="preserve"> z podatkami w podziale na kraje.</w:t>
      </w:r>
    </w:p>
    <w:p w14:paraId="4F93B169" w14:textId="3F8732E7" w:rsidR="003C1C00" w:rsidRPr="002C0E44" w:rsidRDefault="003C1C00" w:rsidP="002C0E44">
      <w:pPr>
        <w:spacing w:before="120"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E44">
        <w:rPr>
          <w:rFonts w:ascii="Times New Roman" w:hAnsi="Times New Roman" w:cs="Times New Roman"/>
          <w:sz w:val="24"/>
          <w:szCs w:val="24"/>
        </w:rPr>
        <w:t>Proponowane zmiany ustawy o rachunkowości, wdraża</w:t>
      </w:r>
      <w:r w:rsidR="0065045C" w:rsidRPr="002C0E44">
        <w:rPr>
          <w:rFonts w:ascii="Times New Roman" w:hAnsi="Times New Roman" w:cs="Times New Roman"/>
          <w:sz w:val="24"/>
          <w:szCs w:val="24"/>
        </w:rPr>
        <w:t>jące</w:t>
      </w:r>
      <w:r w:rsidRPr="002C0E44">
        <w:rPr>
          <w:rFonts w:ascii="Times New Roman" w:hAnsi="Times New Roman" w:cs="Times New Roman"/>
          <w:sz w:val="24"/>
          <w:szCs w:val="24"/>
        </w:rPr>
        <w:t xml:space="preserve"> dyrektyw</w:t>
      </w:r>
      <w:r w:rsidR="0065045C" w:rsidRPr="002C0E44">
        <w:rPr>
          <w:rFonts w:ascii="Times New Roman" w:hAnsi="Times New Roman" w:cs="Times New Roman"/>
          <w:sz w:val="24"/>
          <w:szCs w:val="24"/>
        </w:rPr>
        <w:t>ę</w:t>
      </w:r>
      <w:r w:rsidRPr="002C0E44">
        <w:rPr>
          <w:rFonts w:ascii="Times New Roman" w:hAnsi="Times New Roman" w:cs="Times New Roman"/>
          <w:sz w:val="24"/>
          <w:szCs w:val="24"/>
        </w:rPr>
        <w:t xml:space="preserve"> 2021/2101, uzupełniają </w:t>
      </w:r>
      <w:r w:rsidR="000979C7" w:rsidRPr="002C0E44">
        <w:rPr>
          <w:rFonts w:ascii="Times New Roman" w:hAnsi="Times New Roman" w:cs="Times New Roman"/>
          <w:sz w:val="24"/>
          <w:szCs w:val="24"/>
        </w:rPr>
        <w:t xml:space="preserve">ww. wymóg </w:t>
      </w:r>
      <w:r w:rsidRPr="002C0E44">
        <w:rPr>
          <w:rFonts w:ascii="Times New Roman" w:hAnsi="Times New Roman" w:cs="Times New Roman"/>
          <w:sz w:val="24"/>
          <w:szCs w:val="24"/>
        </w:rPr>
        <w:t>nałożon</w:t>
      </w:r>
      <w:r w:rsidR="000979C7" w:rsidRPr="002C0E44">
        <w:rPr>
          <w:rFonts w:ascii="Times New Roman" w:hAnsi="Times New Roman" w:cs="Times New Roman"/>
          <w:sz w:val="24"/>
          <w:szCs w:val="24"/>
        </w:rPr>
        <w:t>y</w:t>
      </w:r>
      <w:r w:rsidRPr="002C0E44">
        <w:rPr>
          <w:rFonts w:ascii="Times New Roman" w:hAnsi="Times New Roman" w:cs="Times New Roman"/>
          <w:sz w:val="24"/>
          <w:szCs w:val="24"/>
        </w:rPr>
        <w:t xml:space="preserve"> na powyższe jednostki objęte obowiązkiem raportowania danych do organów podatkowych, </w:t>
      </w:r>
      <w:r w:rsidR="000979C7" w:rsidRPr="002C0E44">
        <w:rPr>
          <w:rFonts w:ascii="Times New Roman" w:hAnsi="Times New Roman" w:cs="Times New Roman"/>
          <w:sz w:val="24"/>
          <w:szCs w:val="24"/>
        </w:rPr>
        <w:t xml:space="preserve">wprowadzając </w:t>
      </w:r>
      <w:r w:rsidRPr="002C0E44">
        <w:rPr>
          <w:rFonts w:ascii="Times New Roman" w:hAnsi="Times New Roman" w:cs="Times New Roman"/>
          <w:sz w:val="24"/>
          <w:szCs w:val="24"/>
        </w:rPr>
        <w:t>obowiązek publicznego ujawniania sprawozdania o podatku dochodowym w podziale na kraje.</w:t>
      </w:r>
    </w:p>
    <w:p w14:paraId="453EDBC3" w14:textId="56432135" w:rsidR="003C1C00" w:rsidRPr="002C0E44" w:rsidRDefault="003C1C00" w:rsidP="002C0E44">
      <w:pPr>
        <w:spacing w:before="120"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E44">
        <w:rPr>
          <w:rFonts w:ascii="Times New Roman" w:hAnsi="Times New Roman" w:cs="Times New Roman"/>
          <w:sz w:val="24"/>
          <w:szCs w:val="24"/>
        </w:rPr>
        <w:t xml:space="preserve">Dane </w:t>
      </w:r>
      <w:r w:rsidR="00364C54" w:rsidRPr="002C0E44">
        <w:rPr>
          <w:rFonts w:ascii="Times New Roman" w:hAnsi="Times New Roman" w:cs="Times New Roman"/>
          <w:sz w:val="24"/>
          <w:szCs w:val="24"/>
        </w:rPr>
        <w:t xml:space="preserve">zawarte w sprawozdaniu </w:t>
      </w:r>
      <w:r w:rsidRPr="002C0E44">
        <w:rPr>
          <w:rFonts w:ascii="Times New Roman" w:hAnsi="Times New Roman" w:cs="Times New Roman"/>
          <w:sz w:val="24"/>
          <w:szCs w:val="24"/>
        </w:rPr>
        <w:t xml:space="preserve">będą musiały być ujawniane </w:t>
      </w:r>
      <w:r w:rsidR="000979C7" w:rsidRPr="002C0E44">
        <w:rPr>
          <w:rFonts w:ascii="Times New Roman" w:hAnsi="Times New Roman" w:cs="Times New Roman"/>
          <w:sz w:val="24"/>
          <w:szCs w:val="24"/>
        </w:rPr>
        <w:t xml:space="preserve">odrębnie </w:t>
      </w:r>
      <w:r w:rsidRPr="002C0E44">
        <w:rPr>
          <w:rFonts w:ascii="Times New Roman" w:hAnsi="Times New Roman" w:cs="Times New Roman"/>
          <w:sz w:val="24"/>
          <w:szCs w:val="24"/>
        </w:rPr>
        <w:t xml:space="preserve">dla wszystkich państw </w:t>
      </w:r>
      <w:r w:rsidR="00CC46AC" w:rsidRPr="002C0E44">
        <w:rPr>
          <w:rFonts w:ascii="Times New Roman" w:hAnsi="Times New Roman" w:cs="Times New Roman"/>
          <w:sz w:val="24"/>
          <w:szCs w:val="24"/>
        </w:rPr>
        <w:t>EOG</w:t>
      </w:r>
      <w:r w:rsidRPr="002C0E44">
        <w:rPr>
          <w:rFonts w:ascii="Times New Roman" w:hAnsi="Times New Roman" w:cs="Times New Roman"/>
          <w:sz w:val="24"/>
          <w:szCs w:val="24"/>
        </w:rPr>
        <w:t>, w których dane przedsiębiorstwo prowadzi działalność, a także dla jurysdykcji podatkowych, które nie przestrzegają standardów dobrego zarządzania w kwestiach podatkowych (tzw. „rajów podatkowych”). W odniesieniu do pozostałych jurysdykcji podatkowych informacje będą przedstawiane w formie zagregowanej.</w:t>
      </w:r>
    </w:p>
    <w:p w14:paraId="658006B9" w14:textId="37D249E3" w:rsidR="003C1C00" w:rsidRPr="002C0E44" w:rsidRDefault="003C1C00" w:rsidP="002C0E44">
      <w:pPr>
        <w:spacing w:before="120"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E44">
        <w:rPr>
          <w:rFonts w:ascii="Times New Roman" w:hAnsi="Times New Roman" w:cs="Times New Roman"/>
          <w:sz w:val="24"/>
          <w:szCs w:val="24"/>
        </w:rPr>
        <w:t>Udostępnianie publicznie informacji na temat podatków zapłaconych w miejscu, w</w:t>
      </w:r>
      <w:r w:rsidR="004E7D6F">
        <w:rPr>
          <w:rFonts w:ascii="Times New Roman" w:hAnsi="Times New Roman" w:cs="Times New Roman"/>
          <w:sz w:val="24"/>
          <w:szCs w:val="24"/>
        </w:rPr>
        <w:t> </w:t>
      </w:r>
      <w:r w:rsidRPr="002C0E44">
        <w:rPr>
          <w:rFonts w:ascii="Times New Roman" w:hAnsi="Times New Roman" w:cs="Times New Roman"/>
          <w:sz w:val="24"/>
          <w:szCs w:val="24"/>
        </w:rPr>
        <w:t xml:space="preserve">którym rzeczywiście został wygenerowany zysk, ma kluczowe znaczenie dla zwiększenia przejrzystości podatkowej. Sprawozdawczość w podziale na kraje może wzmocnić zaufanie publiczne i zwiększyć społeczną odpowiedzialność przedsiębiorstw przez przyczynianie się – przez płacenie podatków – do dobrobytu w kraju, w którym prowadzona jest działalność. Może ona również wspierać świadomą debatę na temat potencjalnych braków w systemach podatkowych. Sprawozdawczość </w:t>
      </w:r>
      <w:r w:rsidR="00F502D6" w:rsidRPr="002C0E44">
        <w:rPr>
          <w:rFonts w:ascii="Times New Roman" w:hAnsi="Times New Roman" w:cs="Times New Roman"/>
          <w:sz w:val="24"/>
          <w:szCs w:val="24"/>
        </w:rPr>
        <w:t xml:space="preserve">podatkowa </w:t>
      </w:r>
      <w:r w:rsidRPr="002C0E44">
        <w:rPr>
          <w:rFonts w:ascii="Times New Roman" w:hAnsi="Times New Roman" w:cs="Times New Roman"/>
          <w:sz w:val="24"/>
          <w:szCs w:val="24"/>
        </w:rPr>
        <w:t>w podziale na kraje</w:t>
      </w:r>
      <w:r w:rsidR="000979C7" w:rsidRPr="002C0E44">
        <w:rPr>
          <w:rFonts w:ascii="Times New Roman" w:hAnsi="Times New Roman" w:cs="Times New Roman"/>
          <w:sz w:val="24"/>
          <w:szCs w:val="24"/>
        </w:rPr>
        <w:t>,</w:t>
      </w:r>
      <w:r w:rsidRPr="002C0E44">
        <w:rPr>
          <w:rFonts w:ascii="Times New Roman" w:hAnsi="Times New Roman" w:cs="Times New Roman"/>
          <w:sz w:val="24"/>
          <w:szCs w:val="24"/>
        </w:rPr>
        <w:t xml:space="preserve"> obejmująca publikowanie określonego zestawu danych przez duże przedsiębiorstwa wielonarodowe, daje ogółowi społeczeństwa ogólny przegląd podatków płaconych przez przedsiębiorstwa wielonarodowe od ich dochodu.</w:t>
      </w:r>
    </w:p>
    <w:p w14:paraId="49470D2F" w14:textId="59D27FDE" w:rsidR="003C1C00" w:rsidRPr="002C0E44" w:rsidRDefault="00B9573E" w:rsidP="002C0E44">
      <w:pPr>
        <w:spacing w:before="120"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E44">
        <w:rPr>
          <w:rFonts w:ascii="Times New Roman" w:hAnsi="Times New Roman" w:cs="Times New Roman"/>
          <w:sz w:val="24"/>
          <w:szCs w:val="24"/>
        </w:rPr>
        <w:lastRenderedPageBreak/>
        <w:t>Należy ponadto wskazać, że n</w:t>
      </w:r>
      <w:r w:rsidR="003C1C00" w:rsidRPr="002C0E44">
        <w:rPr>
          <w:rFonts w:ascii="Times New Roman" w:hAnsi="Times New Roman" w:cs="Times New Roman"/>
          <w:sz w:val="24"/>
          <w:szCs w:val="24"/>
        </w:rPr>
        <w:t xml:space="preserve">iektóre przepisy dotyczące sprawozdawczości podatkowej w podziale na kraje istnieją już w UE i zostały wdrożone do krajowego porządku prawnego: sprawozdawczość </w:t>
      </w:r>
      <w:r w:rsidR="00364C54" w:rsidRPr="002C0E44">
        <w:rPr>
          <w:rFonts w:ascii="Times New Roman" w:hAnsi="Times New Roman" w:cs="Times New Roman"/>
          <w:sz w:val="24"/>
          <w:szCs w:val="24"/>
        </w:rPr>
        <w:t xml:space="preserve">podatkowa </w:t>
      </w:r>
      <w:r w:rsidR="003C1C00" w:rsidRPr="002C0E44">
        <w:rPr>
          <w:rFonts w:ascii="Times New Roman" w:hAnsi="Times New Roman" w:cs="Times New Roman"/>
          <w:sz w:val="24"/>
          <w:szCs w:val="24"/>
        </w:rPr>
        <w:t>w podziale na kraje dla sektora bankowego</w:t>
      </w:r>
      <w:r w:rsidRPr="002C0E44">
        <w:rPr>
          <w:rFonts w:ascii="Times New Roman" w:hAnsi="Times New Roman" w:cs="Times New Roman"/>
          <w:sz w:val="24"/>
          <w:szCs w:val="24"/>
        </w:rPr>
        <w:t xml:space="preserve"> (dyrektywa 2013/36/UE wdrożona ustawą</w:t>
      </w:r>
      <w:r w:rsidR="00DB7071" w:rsidRPr="002C0E44">
        <w:rPr>
          <w:rFonts w:ascii="Times New Roman" w:hAnsi="Times New Roman" w:cs="Times New Roman"/>
          <w:sz w:val="24"/>
          <w:szCs w:val="24"/>
        </w:rPr>
        <w:t xml:space="preserve"> z dnia 29 sierpnia 1997 r.</w:t>
      </w:r>
      <w:r w:rsidRPr="002C0E44">
        <w:rPr>
          <w:rFonts w:ascii="Times New Roman" w:hAnsi="Times New Roman" w:cs="Times New Roman"/>
          <w:sz w:val="24"/>
          <w:szCs w:val="24"/>
        </w:rPr>
        <w:t xml:space="preserve"> </w:t>
      </w:r>
      <w:r w:rsidR="00D71DA2" w:rsidRPr="002C0E44">
        <w:rPr>
          <w:rFonts w:ascii="Times New Roman" w:hAnsi="Times New Roman" w:cs="Times New Roman"/>
          <w:sz w:val="24"/>
          <w:szCs w:val="24"/>
        </w:rPr>
        <w:t xml:space="preserve">– </w:t>
      </w:r>
      <w:r w:rsidRPr="002C0E44">
        <w:rPr>
          <w:rFonts w:ascii="Times New Roman" w:hAnsi="Times New Roman" w:cs="Times New Roman"/>
          <w:sz w:val="24"/>
          <w:szCs w:val="24"/>
        </w:rPr>
        <w:t>Prawo bankowe</w:t>
      </w:r>
      <w:r w:rsidR="00DB7071" w:rsidRPr="002C0E44">
        <w:rPr>
          <w:rFonts w:ascii="Times New Roman" w:hAnsi="Times New Roman" w:cs="Times New Roman"/>
          <w:sz w:val="24"/>
          <w:szCs w:val="24"/>
        </w:rPr>
        <w:t xml:space="preserve"> (Dz.</w:t>
      </w:r>
      <w:r w:rsidR="004E7D6F">
        <w:rPr>
          <w:rFonts w:ascii="Times New Roman" w:hAnsi="Times New Roman" w:cs="Times New Roman"/>
          <w:sz w:val="24"/>
          <w:szCs w:val="24"/>
        </w:rPr>
        <w:t> </w:t>
      </w:r>
      <w:r w:rsidR="00DB7071" w:rsidRPr="002C0E44">
        <w:rPr>
          <w:rFonts w:ascii="Times New Roman" w:hAnsi="Times New Roman" w:cs="Times New Roman"/>
          <w:sz w:val="24"/>
          <w:szCs w:val="24"/>
        </w:rPr>
        <w:t>U. z 2023 r. poz. 2488)</w:t>
      </w:r>
      <w:r w:rsidRPr="002C0E44">
        <w:rPr>
          <w:rFonts w:ascii="Times New Roman" w:hAnsi="Times New Roman" w:cs="Times New Roman"/>
          <w:sz w:val="24"/>
          <w:szCs w:val="24"/>
        </w:rPr>
        <w:t>)</w:t>
      </w:r>
      <w:r w:rsidR="003C1C00" w:rsidRPr="002C0E44">
        <w:rPr>
          <w:rFonts w:ascii="Times New Roman" w:hAnsi="Times New Roman" w:cs="Times New Roman"/>
          <w:sz w:val="24"/>
          <w:szCs w:val="24"/>
        </w:rPr>
        <w:t xml:space="preserve"> oraz dla przedsiębiorstw z branży wydobywczej i przedsiębiorstw prowadzących wyręb lasów pierwotnych</w:t>
      </w:r>
      <w:r w:rsidRPr="002C0E44">
        <w:rPr>
          <w:rFonts w:ascii="Times New Roman" w:hAnsi="Times New Roman" w:cs="Times New Roman"/>
          <w:sz w:val="24"/>
          <w:szCs w:val="24"/>
        </w:rPr>
        <w:t xml:space="preserve"> (dyrektywa 2013/34/UE wdrożona ustawą o</w:t>
      </w:r>
      <w:r w:rsidR="004E7D6F">
        <w:rPr>
          <w:rFonts w:ascii="Times New Roman" w:hAnsi="Times New Roman" w:cs="Times New Roman"/>
          <w:sz w:val="24"/>
          <w:szCs w:val="24"/>
        </w:rPr>
        <w:t> </w:t>
      </w:r>
      <w:r w:rsidRPr="002C0E44">
        <w:rPr>
          <w:rFonts w:ascii="Times New Roman" w:hAnsi="Times New Roman" w:cs="Times New Roman"/>
          <w:sz w:val="24"/>
          <w:szCs w:val="24"/>
        </w:rPr>
        <w:t>rachunkowości)</w:t>
      </w:r>
      <w:r w:rsidR="003C1C00" w:rsidRPr="002C0E44">
        <w:rPr>
          <w:rFonts w:ascii="Times New Roman" w:hAnsi="Times New Roman" w:cs="Times New Roman"/>
          <w:sz w:val="24"/>
          <w:szCs w:val="24"/>
        </w:rPr>
        <w:t>.</w:t>
      </w:r>
    </w:p>
    <w:p w14:paraId="7AB3FBF2" w14:textId="49029371" w:rsidR="00FF695A" w:rsidRPr="002C0E44" w:rsidRDefault="00FF695A" w:rsidP="002C0E44">
      <w:pPr>
        <w:spacing w:before="120"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E44">
        <w:rPr>
          <w:rFonts w:ascii="Times New Roman" w:hAnsi="Times New Roman" w:cs="Times New Roman"/>
          <w:sz w:val="24"/>
          <w:szCs w:val="24"/>
        </w:rPr>
        <w:t>Nowelizacja zawiera również zmianę porządkującą w zakresie sformułowania przepisów karnych, na którą zwróciła uwagę sejmowa Komisja ds. Petycji w opinii nr 1 z dnia 11 stycznia 2022 r.</w:t>
      </w:r>
    </w:p>
    <w:p w14:paraId="0D108479" w14:textId="17FF1B27" w:rsidR="00364C54" w:rsidRPr="002C0E44" w:rsidRDefault="00364C54" w:rsidP="002C0E44">
      <w:pPr>
        <w:pStyle w:val="Akapitzlist"/>
        <w:numPr>
          <w:ilvl w:val="0"/>
          <w:numId w:val="12"/>
        </w:numPr>
        <w:spacing w:before="120"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0E44">
        <w:rPr>
          <w:rFonts w:ascii="Times New Roman" w:hAnsi="Times New Roman" w:cs="Times New Roman"/>
          <w:b/>
          <w:bCs/>
          <w:sz w:val="24"/>
          <w:szCs w:val="24"/>
        </w:rPr>
        <w:t xml:space="preserve">Proponowane zmiany w ustawie o rachunkowości </w:t>
      </w:r>
      <w:r w:rsidR="00DD0AAF" w:rsidRPr="002C0E44">
        <w:rPr>
          <w:rFonts w:ascii="Times New Roman" w:hAnsi="Times New Roman" w:cs="Times New Roman"/>
          <w:b/>
          <w:bCs/>
          <w:sz w:val="24"/>
          <w:szCs w:val="24"/>
        </w:rPr>
        <w:t>(art. 1 ustawy nowelizującej)</w:t>
      </w:r>
    </w:p>
    <w:p w14:paraId="3B7743F7" w14:textId="2082F1F0" w:rsidR="007E6A91" w:rsidRPr="002C0E44" w:rsidRDefault="007E6A91" w:rsidP="002C0E44">
      <w:pPr>
        <w:spacing w:before="120"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E44">
        <w:rPr>
          <w:rFonts w:ascii="Times New Roman" w:hAnsi="Times New Roman" w:cs="Times New Roman"/>
          <w:sz w:val="24"/>
          <w:szCs w:val="24"/>
        </w:rPr>
        <w:t>Przepisy ustawy o rachunkowości zawierają już, wprowadzony ustawą z dnia 23 lipca 2015 r. o zmianie ustawy o rachunkowości oraz niektórych innych ustaw (Dz.</w:t>
      </w:r>
      <w:r w:rsidR="006944B7" w:rsidRPr="002C0E44">
        <w:rPr>
          <w:rFonts w:ascii="Times New Roman" w:hAnsi="Times New Roman" w:cs="Times New Roman"/>
          <w:sz w:val="24"/>
          <w:szCs w:val="24"/>
        </w:rPr>
        <w:t xml:space="preserve"> </w:t>
      </w:r>
      <w:r w:rsidR="00D56A94" w:rsidRPr="002C0E44">
        <w:rPr>
          <w:rFonts w:ascii="Times New Roman" w:hAnsi="Times New Roman" w:cs="Times New Roman"/>
          <w:sz w:val="24"/>
          <w:szCs w:val="24"/>
        </w:rPr>
        <w:t>U.</w:t>
      </w:r>
      <w:r w:rsidRPr="002C0E44">
        <w:rPr>
          <w:rFonts w:ascii="Times New Roman" w:hAnsi="Times New Roman" w:cs="Times New Roman"/>
          <w:sz w:val="24"/>
          <w:szCs w:val="24"/>
        </w:rPr>
        <w:t xml:space="preserve"> poz.</w:t>
      </w:r>
      <w:r w:rsidR="006944B7" w:rsidRPr="002C0E44">
        <w:rPr>
          <w:rFonts w:ascii="Times New Roman" w:hAnsi="Times New Roman" w:cs="Times New Roman"/>
          <w:sz w:val="24"/>
          <w:szCs w:val="24"/>
        </w:rPr>
        <w:t> </w:t>
      </w:r>
      <w:r w:rsidRPr="002C0E44">
        <w:rPr>
          <w:rFonts w:ascii="Times New Roman" w:hAnsi="Times New Roman" w:cs="Times New Roman"/>
          <w:sz w:val="24"/>
          <w:szCs w:val="24"/>
        </w:rPr>
        <w:t>1333), obowiązek sporządzania przez przedsiębiorstwa z branży wydobywczej oraz przedsiębiorstwa prowadzące wyręb lasów pierwotnych sprawozdania dotyczącego płatności n</w:t>
      </w:r>
      <w:r w:rsidR="00E56976" w:rsidRPr="002C0E44">
        <w:rPr>
          <w:rFonts w:ascii="Times New Roman" w:hAnsi="Times New Roman" w:cs="Times New Roman"/>
          <w:sz w:val="24"/>
          <w:szCs w:val="24"/>
        </w:rPr>
        <w:t>a rzecz administracji publicznej</w:t>
      </w:r>
      <w:r w:rsidRPr="002C0E44">
        <w:rPr>
          <w:rFonts w:ascii="Times New Roman" w:hAnsi="Times New Roman" w:cs="Times New Roman"/>
          <w:sz w:val="24"/>
          <w:szCs w:val="24"/>
        </w:rPr>
        <w:t>.</w:t>
      </w:r>
    </w:p>
    <w:p w14:paraId="3DF08F9D" w14:textId="02EFC37E" w:rsidR="007E6A91" w:rsidRPr="002C0E44" w:rsidRDefault="007E6A91" w:rsidP="007950DA">
      <w:pPr>
        <w:spacing w:before="120"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E44">
        <w:rPr>
          <w:rFonts w:ascii="Times New Roman" w:hAnsi="Times New Roman" w:cs="Times New Roman"/>
          <w:sz w:val="24"/>
          <w:szCs w:val="24"/>
        </w:rPr>
        <w:t xml:space="preserve">Proponowane zmiany wprowadzane niniejszym </w:t>
      </w:r>
      <w:r w:rsidR="00627706" w:rsidRPr="002C0E44">
        <w:rPr>
          <w:rFonts w:ascii="Times New Roman" w:hAnsi="Times New Roman" w:cs="Times New Roman"/>
          <w:sz w:val="24"/>
          <w:szCs w:val="24"/>
        </w:rPr>
        <w:t>projektem</w:t>
      </w:r>
      <w:r w:rsidRPr="002C0E44">
        <w:rPr>
          <w:rFonts w:ascii="Times New Roman" w:hAnsi="Times New Roman" w:cs="Times New Roman"/>
          <w:sz w:val="24"/>
          <w:szCs w:val="24"/>
        </w:rPr>
        <w:t xml:space="preserve"> </w:t>
      </w:r>
      <w:r w:rsidR="002B5FC0" w:rsidRPr="002C0E44">
        <w:rPr>
          <w:rFonts w:ascii="Times New Roman" w:hAnsi="Times New Roman" w:cs="Times New Roman"/>
          <w:sz w:val="24"/>
          <w:szCs w:val="24"/>
        </w:rPr>
        <w:t>nakładają</w:t>
      </w:r>
      <w:r w:rsidRPr="002C0E44">
        <w:rPr>
          <w:rFonts w:ascii="Times New Roman" w:hAnsi="Times New Roman" w:cs="Times New Roman"/>
          <w:sz w:val="24"/>
          <w:szCs w:val="24"/>
        </w:rPr>
        <w:t xml:space="preserve"> obowiązek sporządzania spraw</w:t>
      </w:r>
      <w:r w:rsidR="002B5FC0" w:rsidRPr="002C0E44">
        <w:rPr>
          <w:rFonts w:ascii="Times New Roman" w:hAnsi="Times New Roman" w:cs="Times New Roman"/>
          <w:sz w:val="24"/>
          <w:szCs w:val="24"/>
        </w:rPr>
        <w:t xml:space="preserve">ozdania o podatku dochodowym na wszystkie duże </w:t>
      </w:r>
      <w:r w:rsidR="00A540D8" w:rsidRPr="002C0E44">
        <w:rPr>
          <w:rFonts w:ascii="Times New Roman" w:hAnsi="Times New Roman" w:cs="Times New Roman"/>
          <w:sz w:val="24"/>
          <w:szCs w:val="24"/>
        </w:rPr>
        <w:t>przedsiębiorstwa wielonarodowe</w:t>
      </w:r>
      <w:r w:rsidR="002B5FC0" w:rsidRPr="002C0E44">
        <w:rPr>
          <w:rFonts w:ascii="Times New Roman" w:hAnsi="Times New Roman" w:cs="Times New Roman"/>
          <w:sz w:val="24"/>
          <w:szCs w:val="24"/>
        </w:rPr>
        <w:t xml:space="preserve"> (jednostki dominujące najwyższego szczebla grupy kapitałowej i jednostki samodzielne </w:t>
      </w:r>
      <w:r w:rsidR="000D7AF6" w:rsidRPr="002C0E44">
        <w:rPr>
          <w:rFonts w:ascii="Times New Roman" w:hAnsi="Times New Roman" w:cs="Times New Roman"/>
          <w:sz w:val="24"/>
          <w:szCs w:val="24"/>
        </w:rPr>
        <w:t xml:space="preserve">o odpowiednio skonsolidowanych przychodach </w:t>
      </w:r>
      <w:r w:rsidR="007950DA">
        <w:rPr>
          <w:rFonts w:ascii="Times New Roman" w:hAnsi="Times New Roman" w:cs="Times New Roman"/>
          <w:sz w:val="24"/>
          <w:szCs w:val="24"/>
        </w:rPr>
        <w:t>–</w:t>
      </w:r>
      <w:r w:rsidR="000D7AF6" w:rsidRPr="002C0E44">
        <w:rPr>
          <w:rFonts w:ascii="Times New Roman" w:hAnsi="Times New Roman" w:cs="Times New Roman"/>
          <w:sz w:val="24"/>
          <w:szCs w:val="24"/>
        </w:rPr>
        <w:t xml:space="preserve"> dla jednostek dominujących</w:t>
      </w:r>
      <w:r w:rsidR="00B9573E" w:rsidRPr="002C0E44">
        <w:rPr>
          <w:rFonts w:ascii="Times New Roman" w:hAnsi="Times New Roman" w:cs="Times New Roman"/>
          <w:sz w:val="24"/>
          <w:szCs w:val="24"/>
        </w:rPr>
        <w:t xml:space="preserve"> najwyższego szczebla </w:t>
      </w:r>
      <w:r w:rsidR="007950DA">
        <w:rPr>
          <w:rFonts w:ascii="Times New Roman" w:hAnsi="Times New Roman" w:cs="Times New Roman"/>
          <w:sz w:val="24"/>
          <w:szCs w:val="24"/>
        </w:rPr>
        <w:t>–</w:t>
      </w:r>
      <w:r w:rsidR="000D7AF6" w:rsidRPr="002C0E44">
        <w:rPr>
          <w:rFonts w:ascii="Times New Roman" w:hAnsi="Times New Roman" w:cs="Times New Roman"/>
          <w:sz w:val="24"/>
          <w:szCs w:val="24"/>
        </w:rPr>
        <w:t xml:space="preserve"> i przychodach </w:t>
      </w:r>
      <w:r w:rsidR="007950DA">
        <w:rPr>
          <w:rFonts w:ascii="Times New Roman" w:hAnsi="Times New Roman" w:cs="Times New Roman"/>
          <w:sz w:val="24"/>
          <w:szCs w:val="24"/>
        </w:rPr>
        <w:t>–</w:t>
      </w:r>
      <w:r w:rsidR="000D7AF6" w:rsidRPr="002C0E44">
        <w:rPr>
          <w:rFonts w:ascii="Times New Roman" w:hAnsi="Times New Roman" w:cs="Times New Roman"/>
          <w:sz w:val="24"/>
          <w:szCs w:val="24"/>
        </w:rPr>
        <w:t xml:space="preserve"> dla jednostek </w:t>
      </w:r>
      <w:r w:rsidR="00A540D8" w:rsidRPr="002C0E44">
        <w:rPr>
          <w:rFonts w:ascii="Times New Roman" w:hAnsi="Times New Roman" w:cs="Times New Roman"/>
          <w:sz w:val="24"/>
          <w:szCs w:val="24"/>
        </w:rPr>
        <w:t>samodzielnych, przekraczających</w:t>
      </w:r>
      <w:r w:rsidR="000D7AF6" w:rsidRPr="002C0E44">
        <w:rPr>
          <w:rFonts w:ascii="Times New Roman" w:hAnsi="Times New Roman" w:cs="Times New Roman"/>
          <w:sz w:val="24"/>
          <w:szCs w:val="24"/>
        </w:rPr>
        <w:t xml:space="preserve"> w</w:t>
      </w:r>
      <w:r w:rsidR="004E7D6F">
        <w:rPr>
          <w:rFonts w:ascii="Times New Roman" w:hAnsi="Times New Roman" w:cs="Times New Roman"/>
          <w:sz w:val="24"/>
          <w:szCs w:val="24"/>
        </w:rPr>
        <w:t> </w:t>
      </w:r>
      <w:r w:rsidR="000D7AF6" w:rsidRPr="002C0E44">
        <w:rPr>
          <w:rFonts w:ascii="Times New Roman" w:hAnsi="Times New Roman" w:cs="Times New Roman"/>
          <w:sz w:val="24"/>
          <w:szCs w:val="24"/>
        </w:rPr>
        <w:t>kolejnych dwóch latach kwotę 750 mln EUR</w:t>
      </w:r>
      <w:r w:rsidR="002B5FC0" w:rsidRPr="002C0E44">
        <w:rPr>
          <w:rFonts w:ascii="Times New Roman" w:hAnsi="Times New Roman" w:cs="Times New Roman"/>
          <w:sz w:val="24"/>
          <w:szCs w:val="24"/>
        </w:rPr>
        <w:t>) mające siedzibę lub miejsce sprawowania zarządu na terytorium Rzeczypospolitej Polskiej</w:t>
      </w:r>
      <w:r w:rsidR="00B9573E" w:rsidRPr="002C0E44">
        <w:rPr>
          <w:rFonts w:ascii="Times New Roman" w:hAnsi="Times New Roman" w:cs="Times New Roman"/>
          <w:sz w:val="24"/>
          <w:szCs w:val="24"/>
        </w:rPr>
        <w:t>,</w:t>
      </w:r>
      <w:r w:rsidR="002B5FC0" w:rsidRPr="002C0E44">
        <w:rPr>
          <w:rFonts w:ascii="Times New Roman" w:hAnsi="Times New Roman" w:cs="Times New Roman"/>
          <w:sz w:val="24"/>
          <w:szCs w:val="24"/>
        </w:rPr>
        <w:t xml:space="preserve"> jak i przedsiębiorstwa wielonarodowe spoza </w:t>
      </w:r>
      <w:r w:rsidR="0043690B" w:rsidRPr="002C0E44">
        <w:rPr>
          <w:rFonts w:ascii="Times New Roman" w:hAnsi="Times New Roman" w:cs="Times New Roman"/>
          <w:sz w:val="24"/>
          <w:szCs w:val="24"/>
        </w:rPr>
        <w:t>EOG</w:t>
      </w:r>
      <w:r w:rsidR="007950DA">
        <w:rPr>
          <w:rFonts w:ascii="Times New Roman" w:hAnsi="Times New Roman" w:cs="Times New Roman"/>
          <w:sz w:val="24"/>
          <w:szCs w:val="24"/>
        </w:rPr>
        <w:t>,</w:t>
      </w:r>
      <w:r w:rsidR="002B5FC0" w:rsidRPr="002C0E44">
        <w:rPr>
          <w:rFonts w:ascii="Times New Roman" w:hAnsi="Times New Roman" w:cs="Times New Roman"/>
          <w:sz w:val="24"/>
          <w:szCs w:val="24"/>
        </w:rPr>
        <w:t xml:space="preserve"> prowadzące działalność gospodarczą na terytorium Rzeczypospolitej Polskiej za pośrednictwem oddziału lub </w:t>
      </w:r>
      <w:r w:rsidR="009950DE" w:rsidRPr="002C0E44">
        <w:rPr>
          <w:rFonts w:ascii="Times New Roman" w:hAnsi="Times New Roman" w:cs="Times New Roman"/>
          <w:sz w:val="24"/>
          <w:szCs w:val="24"/>
        </w:rPr>
        <w:t xml:space="preserve">jednostki </w:t>
      </w:r>
      <w:r w:rsidR="002B5FC0" w:rsidRPr="002C0E44">
        <w:rPr>
          <w:rFonts w:ascii="Times New Roman" w:hAnsi="Times New Roman" w:cs="Times New Roman"/>
          <w:sz w:val="24"/>
          <w:szCs w:val="24"/>
        </w:rPr>
        <w:t>zależnej.</w:t>
      </w:r>
    </w:p>
    <w:p w14:paraId="461FA88A" w14:textId="71160541" w:rsidR="00ED7F45" w:rsidRPr="002C0E44" w:rsidRDefault="00A93F08" w:rsidP="002C0E44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E44">
        <w:rPr>
          <w:rFonts w:ascii="Times New Roman" w:hAnsi="Times New Roman" w:cs="Times New Roman"/>
          <w:sz w:val="24"/>
          <w:szCs w:val="24"/>
        </w:rPr>
        <w:t>W cel</w:t>
      </w:r>
      <w:r w:rsidR="00D52824" w:rsidRPr="002C0E44">
        <w:rPr>
          <w:rFonts w:ascii="Times New Roman" w:hAnsi="Times New Roman" w:cs="Times New Roman"/>
          <w:sz w:val="24"/>
          <w:szCs w:val="24"/>
        </w:rPr>
        <w:t xml:space="preserve">u realizacji powyższego obowiązku </w:t>
      </w:r>
      <w:r w:rsidRPr="002C0E44">
        <w:rPr>
          <w:rFonts w:ascii="Times New Roman" w:hAnsi="Times New Roman" w:cs="Times New Roman"/>
          <w:sz w:val="24"/>
          <w:szCs w:val="24"/>
        </w:rPr>
        <w:t>projekt zakłada wprowadzenie poniższych zmian w</w:t>
      </w:r>
      <w:r w:rsidR="004E7D6F">
        <w:rPr>
          <w:rFonts w:ascii="Times New Roman" w:hAnsi="Times New Roman" w:cs="Times New Roman"/>
          <w:sz w:val="24"/>
          <w:szCs w:val="24"/>
        </w:rPr>
        <w:t> </w:t>
      </w:r>
      <w:r w:rsidRPr="002C0E44">
        <w:rPr>
          <w:rFonts w:ascii="Times New Roman" w:hAnsi="Times New Roman" w:cs="Times New Roman"/>
          <w:sz w:val="24"/>
          <w:szCs w:val="24"/>
        </w:rPr>
        <w:t>ustawie:</w:t>
      </w:r>
    </w:p>
    <w:p w14:paraId="4D56E5E9" w14:textId="60C4B78B" w:rsidR="002A5489" w:rsidRPr="002C0E44" w:rsidRDefault="00287177" w:rsidP="002C0E44">
      <w:pPr>
        <w:pStyle w:val="Default"/>
        <w:spacing w:before="120" w:line="360" w:lineRule="auto"/>
        <w:ind w:firstLine="708"/>
        <w:jc w:val="both"/>
      </w:pPr>
      <w:r w:rsidRPr="002C0E44">
        <w:t xml:space="preserve">W </w:t>
      </w:r>
      <w:r w:rsidRPr="002C0E44">
        <w:rPr>
          <w:b/>
        </w:rPr>
        <w:t xml:space="preserve">art. 4a w ust. </w:t>
      </w:r>
      <w:r w:rsidR="00112FB9" w:rsidRPr="002C0E44">
        <w:rPr>
          <w:b/>
        </w:rPr>
        <w:t>1</w:t>
      </w:r>
      <w:r w:rsidR="00EC6B7D" w:rsidRPr="002C0E44">
        <w:t xml:space="preserve"> (art. 1 pkt 1 ustawy nowelizującej)</w:t>
      </w:r>
      <w:r w:rsidR="00BB00D9" w:rsidRPr="002C0E44">
        <w:t xml:space="preserve">, </w:t>
      </w:r>
      <w:r w:rsidR="000B6C1D" w:rsidRPr="002C0E44">
        <w:t xml:space="preserve">w związku z wprowadzeniem nowego obowiązku sprawozdawczego, </w:t>
      </w:r>
      <w:r w:rsidRPr="002C0E44">
        <w:t>rozszerzono zakres stosowania dotychczasowego przepisu o sprawozdanie o podatku dochodowym.</w:t>
      </w:r>
      <w:r w:rsidR="00EC6B7D" w:rsidRPr="002C0E44">
        <w:t xml:space="preserve"> Zapis ten stanowi transpozycję art.</w:t>
      </w:r>
      <w:r w:rsidR="004E7D6F">
        <w:t> </w:t>
      </w:r>
      <w:r w:rsidR="00EC6B7D" w:rsidRPr="002C0E44">
        <w:t>48e dyrektywy 2021/2101.</w:t>
      </w:r>
      <w:r w:rsidRPr="002C0E44">
        <w:t xml:space="preserve"> </w:t>
      </w:r>
      <w:r w:rsidR="001550F6" w:rsidRPr="002C0E44">
        <w:t xml:space="preserve">Należy wskazać, że pod pojęciem kierownika jednostki będzie </w:t>
      </w:r>
      <w:r w:rsidR="001550F6" w:rsidRPr="002C0E44">
        <w:lastRenderedPageBreak/>
        <w:t xml:space="preserve">rozumiana także osoba wyznaczona do dokonywania formalności dotyczących ujawniania informacji przewidzianych w art. 41 dyrektywy 2017/1132 dla oddziałów. </w:t>
      </w:r>
      <w:r w:rsidR="00112FB9" w:rsidRPr="002C0E44">
        <w:t>Dodatkowo katalog sprawozdań ulega rozszerzeniu o sprawozdanie z płatności</w:t>
      </w:r>
      <w:r w:rsidR="000064C9" w:rsidRPr="002C0E44">
        <w:t xml:space="preserve"> na rzecz administracji publicznej</w:t>
      </w:r>
      <w:r w:rsidR="00112FB9" w:rsidRPr="002C0E44">
        <w:t xml:space="preserve"> i</w:t>
      </w:r>
      <w:r w:rsidR="004E7D6F">
        <w:t> </w:t>
      </w:r>
      <w:r w:rsidR="00112FB9" w:rsidRPr="002C0E44">
        <w:t>skonsolidowane sprawozdanie z płatności</w:t>
      </w:r>
      <w:r w:rsidR="000064C9" w:rsidRPr="002C0E44">
        <w:t xml:space="preserve"> na rzecz administracji publicznej</w:t>
      </w:r>
      <w:r w:rsidR="00112FB9" w:rsidRPr="002C0E44">
        <w:t xml:space="preserve"> </w:t>
      </w:r>
      <w:r w:rsidR="00A540D8" w:rsidRPr="002C0E44">
        <w:t>nieobjętych</w:t>
      </w:r>
      <w:r w:rsidR="00112FB9" w:rsidRPr="002C0E44">
        <w:t xml:space="preserve"> nowelizacją ustawy </w:t>
      </w:r>
      <w:r w:rsidR="009E27EC" w:rsidRPr="002C0E44">
        <w:t>z dnia 23 lipca 2015 r. o zmianie ustawy o rachunkowości oraz niektórych innych ustaw.</w:t>
      </w:r>
    </w:p>
    <w:p w14:paraId="60AAFB39" w14:textId="170EA3AF" w:rsidR="002A5489" w:rsidRPr="002C0E44" w:rsidRDefault="002A5489" w:rsidP="002C0E44">
      <w:pPr>
        <w:spacing w:before="120"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E44">
        <w:rPr>
          <w:rFonts w:ascii="Times New Roman" w:hAnsi="Times New Roman" w:cs="Times New Roman"/>
          <w:b/>
          <w:sz w:val="24"/>
          <w:szCs w:val="24"/>
        </w:rPr>
        <w:t>A</w:t>
      </w:r>
      <w:r w:rsidR="00C37A30" w:rsidRPr="002C0E44">
        <w:rPr>
          <w:rFonts w:ascii="Times New Roman" w:hAnsi="Times New Roman" w:cs="Times New Roman"/>
          <w:b/>
          <w:sz w:val="24"/>
          <w:szCs w:val="24"/>
        </w:rPr>
        <w:t xml:space="preserve">rt. 1 </w:t>
      </w:r>
      <w:r w:rsidRPr="002C0E44">
        <w:rPr>
          <w:rFonts w:ascii="Times New Roman" w:hAnsi="Times New Roman" w:cs="Times New Roman"/>
          <w:b/>
          <w:sz w:val="24"/>
          <w:szCs w:val="24"/>
        </w:rPr>
        <w:t>pkt 2 ustawy nowelizującej</w:t>
      </w:r>
      <w:r w:rsidRPr="002C0E44">
        <w:rPr>
          <w:rFonts w:ascii="Times New Roman" w:hAnsi="Times New Roman" w:cs="Times New Roman"/>
          <w:sz w:val="24"/>
          <w:szCs w:val="24"/>
        </w:rPr>
        <w:t xml:space="preserve"> wprowadza nowy rozdział 6b w ustawie o</w:t>
      </w:r>
      <w:r w:rsidR="004E7D6F">
        <w:rPr>
          <w:rFonts w:ascii="Times New Roman" w:hAnsi="Times New Roman" w:cs="Times New Roman"/>
          <w:sz w:val="24"/>
          <w:szCs w:val="24"/>
        </w:rPr>
        <w:t> </w:t>
      </w:r>
      <w:r w:rsidRPr="002C0E44">
        <w:rPr>
          <w:rFonts w:ascii="Times New Roman" w:hAnsi="Times New Roman" w:cs="Times New Roman"/>
          <w:sz w:val="24"/>
          <w:szCs w:val="24"/>
        </w:rPr>
        <w:t>rachunkowości</w:t>
      </w:r>
      <w:r w:rsidR="00C37A30" w:rsidRPr="002C0E44">
        <w:rPr>
          <w:rFonts w:ascii="Times New Roman" w:hAnsi="Times New Roman" w:cs="Times New Roman"/>
          <w:sz w:val="24"/>
          <w:szCs w:val="24"/>
        </w:rPr>
        <w:t>,</w:t>
      </w:r>
      <w:r w:rsidRPr="002C0E44">
        <w:rPr>
          <w:rFonts w:ascii="Times New Roman" w:hAnsi="Times New Roman" w:cs="Times New Roman"/>
          <w:sz w:val="24"/>
          <w:szCs w:val="24"/>
        </w:rPr>
        <w:t xml:space="preserve"> nakładający obowiązek sporządzania sprawozdania o podatku dochodowym na przedsiębiorstwa wielonarodowe</w:t>
      </w:r>
      <w:r w:rsidR="00755A41">
        <w:rPr>
          <w:rFonts w:ascii="Times New Roman" w:hAnsi="Times New Roman" w:cs="Times New Roman"/>
          <w:sz w:val="24"/>
          <w:szCs w:val="24"/>
        </w:rPr>
        <w:t>,</w:t>
      </w:r>
      <w:r w:rsidRPr="002C0E44">
        <w:rPr>
          <w:rFonts w:ascii="Times New Roman" w:hAnsi="Times New Roman" w:cs="Times New Roman"/>
          <w:sz w:val="24"/>
          <w:szCs w:val="24"/>
        </w:rPr>
        <w:t xml:space="preserve"> mające siedzibę lub miejsce sprawowania zarządu na terytorium Rzeczypospolitej Polskiej</w:t>
      </w:r>
      <w:r w:rsidR="00CC46AC" w:rsidRPr="002C0E44">
        <w:rPr>
          <w:rFonts w:ascii="Times New Roman" w:hAnsi="Times New Roman" w:cs="Times New Roman"/>
          <w:sz w:val="24"/>
          <w:szCs w:val="24"/>
        </w:rPr>
        <w:t>,</w:t>
      </w:r>
      <w:r w:rsidRPr="002C0E44">
        <w:rPr>
          <w:rFonts w:ascii="Times New Roman" w:hAnsi="Times New Roman" w:cs="Times New Roman"/>
          <w:sz w:val="24"/>
          <w:szCs w:val="24"/>
        </w:rPr>
        <w:t xml:space="preserve"> jak i </w:t>
      </w:r>
      <w:r w:rsidR="00954B07" w:rsidRPr="002C0E44">
        <w:rPr>
          <w:rFonts w:ascii="Times New Roman" w:hAnsi="Times New Roman" w:cs="Times New Roman"/>
          <w:sz w:val="24"/>
          <w:szCs w:val="24"/>
        </w:rPr>
        <w:t xml:space="preserve">na </w:t>
      </w:r>
      <w:r w:rsidRPr="002C0E44">
        <w:rPr>
          <w:rFonts w:ascii="Times New Roman" w:hAnsi="Times New Roman" w:cs="Times New Roman"/>
          <w:sz w:val="24"/>
          <w:szCs w:val="24"/>
        </w:rPr>
        <w:t xml:space="preserve">przedsiębiorstwa wielonarodowe spoza </w:t>
      </w:r>
      <w:r w:rsidR="0043690B" w:rsidRPr="002C0E44">
        <w:rPr>
          <w:rFonts w:ascii="Times New Roman" w:hAnsi="Times New Roman" w:cs="Times New Roman"/>
          <w:sz w:val="24"/>
          <w:szCs w:val="24"/>
        </w:rPr>
        <w:t>EOG</w:t>
      </w:r>
      <w:r w:rsidR="00755A41">
        <w:rPr>
          <w:rFonts w:ascii="Times New Roman" w:hAnsi="Times New Roman" w:cs="Times New Roman"/>
          <w:sz w:val="24"/>
          <w:szCs w:val="24"/>
        </w:rPr>
        <w:t>,</w:t>
      </w:r>
      <w:r w:rsidRPr="002C0E44">
        <w:rPr>
          <w:rFonts w:ascii="Times New Roman" w:hAnsi="Times New Roman" w:cs="Times New Roman"/>
          <w:sz w:val="24"/>
          <w:szCs w:val="24"/>
        </w:rPr>
        <w:t xml:space="preserve"> prowadzące działalność gospodarczą na terytorium Rzeczypospolitej Polskiej za pośrednictw</w:t>
      </w:r>
      <w:r w:rsidR="00BB00D9" w:rsidRPr="002C0E44">
        <w:rPr>
          <w:rFonts w:ascii="Times New Roman" w:hAnsi="Times New Roman" w:cs="Times New Roman"/>
          <w:sz w:val="24"/>
          <w:szCs w:val="24"/>
        </w:rPr>
        <w:t xml:space="preserve">em oddziału lub </w:t>
      </w:r>
      <w:r w:rsidR="009950DE" w:rsidRPr="002C0E44">
        <w:rPr>
          <w:rFonts w:ascii="Times New Roman" w:hAnsi="Times New Roman" w:cs="Times New Roman"/>
          <w:sz w:val="24"/>
          <w:szCs w:val="24"/>
        </w:rPr>
        <w:t xml:space="preserve">jednostki </w:t>
      </w:r>
      <w:r w:rsidR="00BB00D9" w:rsidRPr="002C0E44">
        <w:rPr>
          <w:rFonts w:ascii="Times New Roman" w:hAnsi="Times New Roman" w:cs="Times New Roman"/>
          <w:sz w:val="24"/>
          <w:szCs w:val="24"/>
        </w:rPr>
        <w:t xml:space="preserve">zależnej, spełniające określone </w:t>
      </w:r>
      <w:r w:rsidR="00485157" w:rsidRPr="002C0E44">
        <w:rPr>
          <w:rFonts w:ascii="Times New Roman" w:hAnsi="Times New Roman" w:cs="Times New Roman"/>
          <w:sz w:val="24"/>
          <w:szCs w:val="24"/>
        </w:rPr>
        <w:t xml:space="preserve">warunki, </w:t>
      </w:r>
      <w:r w:rsidR="00287177" w:rsidRPr="002C0E44">
        <w:rPr>
          <w:rFonts w:ascii="Times New Roman" w:hAnsi="Times New Roman" w:cs="Times New Roman"/>
          <w:sz w:val="24"/>
          <w:szCs w:val="24"/>
        </w:rPr>
        <w:t>w tym</w:t>
      </w:r>
      <w:r w:rsidR="00485157" w:rsidRPr="002C0E44">
        <w:rPr>
          <w:rFonts w:ascii="Times New Roman" w:hAnsi="Times New Roman" w:cs="Times New Roman"/>
          <w:sz w:val="24"/>
          <w:szCs w:val="24"/>
        </w:rPr>
        <w:t>,</w:t>
      </w:r>
      <w:r w:rsidR="00287177" w:rsidRPr="002C0E44">
        <w:rPr>
          <w:rFonts w:ascii="Times New Roman" w:hAnsi="Times New Roman" w:cs="Times New Roman"/>
          <w:sz w:val="24"/>
          <w:szCs w:val="24"/>
        </w:rPr>
        <w:t xml:space="preserve"> w</w:t>
      </w:r>
      <w:r w:rsidR="004E7D6F">
        <w:rPr>
          <w:rFonts w:ascii="Times New Roman" w:hAnsi="Times New Roman" w:cs="Times New Roman"/>
          <w:sz w:val="24"/>
          <w:szCs w:val="24"/>
        </w:rPr>
        <w:t> </w:t>
      </w:r>
      <w:r w:rsidR="00287177" w:rsidRPr="002C0E44">
        <w:rPr>
          <w:rFonts w:ascii="Times New Roman" w:hAnsi="Times New Roman" w:cs="Times New Roman"/>
          <w:sz w:val="24"/>
          <w:szCs w:val="24"/>
        </w:rPr>
        <w:t>zakresie</w:t>
      </w:r>
      <w:r w:rsidR="00BB00D9" w:rsidRPr="002C0E44">
        <w:rPr>
          <w:rFonts w:ascii="Times New Roman" w:hAnsi="Times New Roman" w:cs="Times New Roman"/>
          <w:sz w:val="24"/>
          <w:szCs w:val="24"/>
        </w:rPr>
        <w:t xml:space="preserve"> wysokości osiąganych przychodów.</w:t>
      </w:r>
    </w:p>
    <w:p w14:paraId="51642E5F" w14:textId="0228FEF1" w:rsidR="00E64836" w:rsidRPr="002C0E44" w:rsidRDefault="00ED7F45" w:rsidP="002C0E44">
      <w:pPr>
        <w:spacing w:before="120" w:after="0" w:line="36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2C0E44">
        <w:rPr>
          <w:rFonts w:ascii="Times New Roman" w:hAnsi="Times New Roman" w:cs="Times New Roman"/>
          <w:b/>
          <w:sz w:val="24"/>
          <w:szCs w:val="24"/>
        </w:rPr>
        <w:t>Art. 63</w:t>
      </w:r>
      <w:r w:rsidR="00A540D8" w:rsidRPr="002C0E44">
        <w:rPr>
          <w:rFonts w:ascii="Times New Roman" w:hAnsi="Times New Roman" w:cs="Times New Roman"/>
          <w:b/>
          <w:sz w:val="24"/>
          <w:szCs w:val="24"/>
        </w:rPr>
        <w:t>l ust</w:t>
      </w:r>
      <w:r w:rsidR="00712482" w:rsidRPr="002C0E44">
        <w:rPr>
          <w:rFonts w:ascii="Times New Roman" w:hAnsi="Times New Roman" w:cs="Times New Roman"/>
          <w:b/>
          <w:sz w:val="24"/>
          <w:szCs w:val="24"/>
        </w:rPr>
        <w:t>.</w:t>
      </w:r>
      <w:r w:rsidRPr="002C0E44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EC6B7D" w:rsidRPr="002C0E44">
        <w:rPr>
          <w:rFonts w:ascii="Times New Roman" w:hAnsi="Times New Roman" w:cs="Times New Roman"/>
          <w:sz w:val="24"/>
          <w:szCs w:val="24"/>
        </w:rPr>
        <w:t xml:space="preserve"> (w ślad za art. 48a ust. 1 dyrektywy 2021/2101)</w:t>
      </w:r>
      <w:r w:rsidRPr="002C0E44">
        <w:rPr>
          <w:rFonts w:ascii="Times New Roman" w:hAnsi="Times New Roman" w:cs="Times New Roman"/>
          <w:sz w:val="24"/>
          <w:szCs w:val="24"/>
        </w:rPr>
        <w:t xml:space="preserve"> wprowadza definicje: jednostki dominującej najwyższego szczebla, </w:t>
      </w:r>
      <w:r w:rsidR="008415AA" w:rsidRPr="002C0E44">
        <w:rPr>
          <w:rFonts w:ascii="Times New Roman" w:hAnsi="Times New Roman" w:cs="Times New Roman"/>
          <w:sz w:val="24"/>
          <w:szCs w:val="24"/>
        </w:rPr>
        <w:t xml:space="preserve">jednostki samodzielnej, </w:t>
      </w:r>
      <w:r w:rsidRPr="002C0E44">
        <w:rPr>
          <w:rFonts w:ascii="Times New Roman" w:hAnsi="Times New Roman" w:cs="Times New Roman"/>
          <w:sz w:val="24"/>
          <w:szCs w:val="24"/>
        </w:rPr>
        <w:t>jurysdykcji podatkowej</w:t>
      </w:r>
      <w:r w:rsidR="004331BC">
        <w:rPr>
          <w:rFonts w:ascii="Times New Roman" w:hAnsi="Times New Roman" w:cs="Times New Roman"/>
          <w:sz w:val="24"/>
          <w:szCs w:val="24"/>
        </w:rPr>
        <w:t xml:space="preserve"> </w:t>
      </w:r>
      <w:r w:rsidR="002A2D39" w:rsidRPr="002C0E44">
        <w:rPr>
          <w:rFonts w:ascii="Times New Roman" w:hAnsi="Times New Roman" w:cs="Times New Roman"/>
          <w:sz w:val="24"/>
          <w:szCs w:val="24"/>
        </w:rPr>
        <w:t>oraz</w:t>
      </w:r>
      <w:r w:rsidRPr="002C0E44">
        <w:rPr>
          <w:rFonts w:ascii="Times New Roman" w:hAnsi="Times New Roman" w:cs="Times New Roman"/>
          <w:sz w:val="24"/>
          <w:szCs w:val="24"/>
        </w:rPr>
        <w:t xml:space="preserve"> konkluzji Rady, na potrzeby sprawozdania o podatku dochodowym. </w:t>
      </w:r>
      <w:r w:rsidR="00CC46AC" w:rsidRPr="002C0E44">
        <w:rPr>
          <w:rFonts w:ascii="Times New Roman" w:hAnsi="Times New Roman" w:cs="Times New Roman"/>
          <w:sz w:val="24"/>
          <w:szCs w:val="24"/>
        </w:rPr>
        <w:t>Jednocześnie nie zachodzi potrzeba bezpośredniego zdefiniowania skonsolidowanego sprawozdania finansowego, ponieważ definicja skonsolidowanego sprawozdania finansowego wynika pośrednio z obecnego brzmienia art. 55 ust. 1 ustawy o rachunkowości.</w:t>
      </w:r>
    </w:p>
    <w:p w14:paraId="6068A494" w14:textId="4785FDC1" w:rsidR="00E64836" w:rsidRPr="002C0E44" w:rsidRDefault="00656C0E" w:rsidP="002C0E44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E44">
        <w:rPr>
          <w:rFonts w:ascii="Times New Roman" w:hAnsi="Times New Roman" w:cs="Times New Roman"/>
          <w:sz w:val="24"/>
          <w:szCs w:val="24"/>
        </w:rPr>
        <w:t>Jeśli chodzi o pojęcie „autonomii fiskalnej” w zakresie podatku dochodowego od osób prawnych zawarte w definicji jurysdykcji podatkowej, należy wskazać, że nie występuje ono w polskim systemie prawa. Niemniej jednak należałoby przez nie rozumieć prawo do nakładania i pobierania podatku dochodowego od osób prawnych.</w:t>
      </w:r>
      <w:r w:rsidR="00E64836" w:rsidRPr="002C0E44">
        <w:rPr>
          <w:rFonts w:ascii="Times New Roman" w:hAnsi="Times New Roman" w:cs="Times New Roman"/>
          <w:sz w:val="24"/>
          <w:szCs w:val="24"/>
        </w:rPr>
        <w:t xml:space="preserve"> Jednocześnie należy zauważyć, że informacje wymagane w sprawozdaniu o podatku dochodowym będą podawane w podziale na </w:t>
      </w:r>
      <w:r w:rsidR="00E64836" w:rsidRPr="002C0E44">
        <w:rPr>
          <w:rFonts w:ascii="Times New Roman" w:hAnsi="Times New Roman" w:cs="Times New Roman"/>
          <w:sz w:val="24"/>
          <w:szCs w:val="24"/>
          <w:u w:val="single"/>
        </w:rPr>
        <w:t xml:space="preserve">państwa </w:t>
      </w:r>
      <w:r w:rsidR="0043690B" w:rsidRPr="002C0E44">
        <w:rPr>
          <w:rFonts w:ascii="Times New Roman" w:hAnsi="Times New Roman" w:cs="Times New Roman"/>
          <w:sz w:val="24"/>
          <w:szCs w:val="24"/>
          <w:u w:val="single"/>
        </w:rPr>
        <w:t>EOG</w:t>
      </w:r>
      <w:r w:rsidR="00E64836" w:rsidRPr="002C0E44">
        <w:rPr>
          <w:rFonts w:ascii="Times New Roman" w:hAnsi="Times New Roman" w:cs="Times New Roman"/>
          <w:sz w:val="24"/>
          <w:szCs w:val="24"/>
        </w:rPr>
        <w:t xml:space="preserve"> – zatem nawet jeżeli w danym państwie </w:t>
      </w:r>
      <w:r w:rsidR="0043690B" w:rsidRPr="002C0E44">
        <w:rPr>
          <w:rFonts w:ascii="Times New Roman" w:hAnsi="Times New Roman" w:cs="Times New Roman"/>
          <w:sz w:val="24"/>
          <w:szCs w:val="24"/>
        </w:rPr>
        <w:t>EOG</w:t>
      </w:r>
      <w:r w:rsidR="00E64836" w:rsidRPr="002C0E44">
        <w:rPr>
          <w:rFonts w:ascii="Times New Roman" w:hAnsi="Times New Roman" w:cs="Times New Roman"/>
          <w:sz w:val="24"/>
          <w:szCs w:val="24"/>
        </w:rPr>
        <w:t xml:space="preserve"> występuje więcej niż jedna jurysdykcja podatkowa, to informacje </w:t>
      </w:r>
      <w:r w:rsidR="00755A41" w:rsidRPr="002C0E44">
        <w:rPr>
          <w:rFonts w:ascii="Times New Roman" w:hAnsi="Times New Roman" w:cs="Times New Roman"/>
          <w:sz w:val="24"/>
          <w:szCs w:val="24"/>
        </w:rPr>
        <w:t xml:space="preserve">będą </w:t>
      </w:r>
      <w:r w:rsidR="00E64836" w:rsidRPr="002C0E44">
        <w:rPr>
          <w:rFonts w:ascii="Times New Roman" w:hAnsi="Times New Roman" w:cs="Times New Roman"/>
          <w:sz w:val="24"/>
          <w:szCs w:val="24"/>
        </w:rPr>
        <w:t xml:space="preserve">przedstawiane łącznie na poziomie </w:t>
      </w:r>
      <w:r w:rsidR="007E2D6A" w:rsidRPr="002C0E44">
        <w:rPr>
          <w:rFonts w:ascii="Times New Roman" w:hAnsi="Times New Roman" w:cs="Times New Roman"/>
          <w:sz w:val="24"/>
          <w:szCs w:val="24"/>
        </w:rPr>
        <w:t>tego</w:t>
      </w:r>
      <w:r w:rsidR="00E64836" w:rsidRPr="002C0E44">
        <w:rPr>
          <w:rFonts w:ascii="Times New Roman" w:hAnsi="Times New Roman" w:cs="Times New Roman"/>
          <w:sz w:val="24"/>
          <w:szCs w:val="24"/>
        </w:rPr>
        <w:t xml:space="preserve"> państwa, więc nie będzie potrzeby identyfikowania tych jurysdykcji. Natomiast w przypadku jurysdykcji podatkowych z państw trzecich, dla których będzie obowiązek wykazywania informacji odrębnie, ich identyfikacja też nie powinna stanowić problemu, ponieważ będą one wymienione z nazwy w wykazie jurysdykcji niechętnych współpracy, przyjętym i</w:t>
      </w:r>
      <w:r w:rsidR="004E7D6F">
        <w:rPr>
          <w:rFonts w:ascii="Times New Roman" w:hAnsi="Times New Roman" w:cs="Times New Roman"/>
          <w:sz w:val="24"/>
          <w:szCs w:val="24"/>
        </w:rPr>
        <w:t> </w:t>
      </w:r>
      <w:r w:rsidR="00E64836" w:rsidRPr="002C0E44">
        <w:rPr>
          <w:rFonts w:ascii="Times New Roman" w:hAnsi="Times New Roman" w:cs="Times New Roman"/>
          <w:sz w:val="24"/>
          <w:szCs w:val="24"/>
        </w:rPr>
        <w:t>akutalizowanym przez Radę Unii Europejskiej.</w:t>
      </w:r>
    </w:p>
    <w:p w14:paraId="47919D9C" w14:textId="04299A7F" w:rsidR="00ED7F45" w:rsidRPr="002C0E44" w:rsidRDefault="00E64836" w:rsidP="002C0E44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E44">
        <w:rPr>
          <w:rFonts w:ascii="Times New Roman" w:hAnsi="Times New Roman" w:cs="Times New Roman"/>
          <w:sz w:val="24"/>
          <w:szCs w:val="24"/>
        </w:rPr>
        <w:t>W</w:t>
      </w:r>
      <w:r w:rsidR="00656C0E" w:rsidRPr="002C0E44">
        <w:rPr>
          <w:rFonts w:ascii="Times New Roman" w:hAnsi="Times New Roman" w:cs="Times New Roman"/>
          <w:sz w:val="24"/>
          <w:szCs w:val="24"/>
        </w:rPr>
        <w:t xml:space="preserve"> odniesieniu do definicji konkluzji Rady</w:t>
      </w:r>
      <w:r w:rsidRPr="002C0E44">
        <w:rPr>
          <w:rFonts w:ascii="Times New Roman" w:hAnsi="Times New Roman" w:cs="Times New Roman"/>
          <w:sz w:val="24"/>
          <w:szCs w:val="24"/>
        </w:rPr>
        <w:t xml:space="preserve"> odsyła ona bezpośrednio do unijnego wykazu jurysdykcji niechętnych współpracy do celów podatkowych. Wykaz ten </w:t>
      </w:r>
      <w:r w:rsidR="00A5496E" w:rsidRPr="002C0E44">
        <w:rPr>
          <w:rFonts w:ascii="Times New Roman" w:hAnsi="Times New Roman" w:cs="Times New Roman"/>
          <w:sz w:val="24"/>
          <w:szCs w:val="24"/>
        </w:rPr>
        <w:t xml:space="preserve">(w postaci dwóch </w:t>
      </w:r>
      <w:r w:rsidR="00A5496E" w:rsidRPr="002C0E44">
        <w:rPr>
          <w:rFonts w:ascii="Times New Roman" w:hAnsi="Times New Roman" w:cs="Times New Roman"/>
          <w:sz w:val="24"/>
          <w:szCs w:val="24"/>
        </w:rPr>
        <w:lastRenderedPageBreak/>
        <w:t xml:space="preserve">załączników) </w:t>
      </w:r>
      <w:r w:rsidRPr="002C0E44">
        <w:rPr>
          <w:rFonts w:ascii="Times New Roman" w:hAnsi="Times New Roman" w:cs="Times New Roman"/>
          <w:sz w:val="24"/>
          <w:szCs w:val="24"/>
        </w:rPr>
        <w:t xml:space="preserve">został przyjęty przez Radę Unii Europejskiej </w:t>
      </w:r>
      <w:r w:rsidR="00FA2738" w:rsidRPr="002C0E44">
        <w:rPr>
          <w:rFonts w:ascii="Times New Roman" w:hAnsi="Times New Roman" w:cs="Times New Roman"/>
          <w:sz w:val="24"/>
          <w:szCs w:val="24"/>
        </w:rPr>
        <w:t xml:space="preserve">w formie konkluzji Rady </w:t>
      </w:r>
      <w:r w:rsidRPr="002C0E44">
        <w:rPr>
          <w:rFonts w:ascii="Times New Roman" w:hAnsi="Times New Roman" w:cs="Times New Roman"/>
          <w:sz w:val="24"/>
          <w:szCs w:val="24"/>
        </w:rPr>
        <w:t xml:space="preserve">i jest cyklicznie aktualizowany przez nią dwa razy </w:t>
      </w:r>
      <w:r w:rsidR="00FA2738" w:rsidRPr="002C0E44">
        <w:rPr>
          <w:rFonts w:ascii="Times New Roman" w:hAnsi="Times New Roman" w:cs="Times New Roman"/>
          <w:sz w:val="24"/>
          <w:szCs w:val="24"/>
        </w:rPr>
        <w:t>w</w:t>
      </w:r>
      <w:r w:rsidRPr="002C0E44">
        <w:rPr>
          <w:rFonts w:ascii="Times New Roman" w:hAnsi="Times New Roman" w:cs="Times New Roman"/>
          <w:sz w:val="24"/>
          <w:szCs w:val="24"/>
        </w:rPr>
        <w:t xml:space="preserve"> roku</w:t>
      </w:r>
      <w:r w:rsidR="00FA2738" w:rsidRPr="002C0E44">
        <w:rPr>
          <w:rFonts w:ascii="Times New Roman" w:hAnsi="Times New Roman" w:cs="Times New Roman"/>
          <w:sz w:val="24"/>
          <w:szCs w:val="24"/>
        </w:rPr>
        <w:t xml:space="preserve"> (również w formie konkluzji). Co do zasady aktualizacje te mają miejsce w lutym i październiku. Są one </w:t>
      </w:r>
      <w:r w:rsidR="00D26CD1" w:rsidRPr="002C0E44">
        <w:rPr>
          <w:rFonts w:ascii="Times New Roman" w:hAnsi="Times New Roman" w:cs="Times New Roman"/>
          <w:sz w:val="24"/>
          <w:szCs w:val="24"/>
        </w:rPr>
        <w:t>ogłaszane</w:t>
      </w:r>
      <w:r w:rsidR="00FA2738" w:rsidRPr="002C0E44">
        <w:rPr>
          <w:rFonts w:ascii="Times New Roman" w:hAnsi="Times New Roman" w:cs="Times New Roman"/>
          <w:sz w:val="24"/>
          <w:szCs w:val="24"/>
        </w:rPr>
        <w:t xml:space="preserve"> w Dzienniku Urzędowym Unii Europejskiej</w:t>
      </w:r>
      <w:r w:rsidR="00755A41">
        <w:rPr>
          <w:rFonts w:ascii="Times New Roman" w:hAnsi="Times New Roman" w:cs="Times New Roman"/>
          <w:sz w:val="24"/>
          <w:szCs w:val="24"/>
        </w:rPr>
        <w:t xml:space="preserve"> </w:t>
      </w:r>
      <w:r w:rsidR="00FA2738" w:rsidRPr="002C0E44">
        <w:rPr>
          <w:rFonts w:ascii="Times New Roman" w:hAnsi="Times New Roman" w:cs="Times New Roman"/>
          <w:sz w:val="24"/>
          <w:szCs w:val="24"/>
        </w:rPr>
        <w:t>C.</w:t>
      </w:r>
      <w:r w:rsidR="00FA2738" w:rsidRPr="002C0E44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"/>
      </w:r>
    </w:p>
    <w:p w14:paraId="47765E99" w14:textId="02C9A1A1" w:rsidR="00712482" w:rsidRPr="002C0E44" w:rsidRDefault="00712482" w:rsidP="00755A41">
      <w:pPr>
        <w:spacing w:before="120" w:after="0" w:line="36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2C0E44">
        <w:rPr>
          <w:rFonts w:ascii="Times New Roman" w:hAnsi="Times New Roman" w:cs="Times New Roman"/>
          <w:b/>
          <w:sz w:val="24"/>
          <w:szCs w:val="24"/>
        </w:rPr>
        <w:t xml:space="preserve">Art. 63l ust. 2 </w:t>
      </w:r>
      <w:r w:rsidR="00EC6B7D" w:rsidRPr="002C0E44">
        <w:rPr>
          <w:rFonts w:ascii="Times New Roman" w:hAnsi="Times New Roman" w:cs="Times New Roman"/>
          <w:sz w:val="24"/>
          <w:szCs w:val="24"/>
        </w:rPr>
        <w:t xml:space="preserve">(w ślad za art. 48a ust. 2 dyrektywy 2021/2101) </w:t>
      </w:r>
      <w:r w:rsidR="00A52F8C" w:rsidRPr="002C0E44">
        <w:rPr>
          <w:rFonts w:ascii="Times New Roman" w:hAnsi="Times New Roman" w:cs="Times New Roman"/>
          <w:sz w:val="24"/>
          <w:szCs w:val="24"/>
        </w:rPr>
        <w:t>wprowadza definicję przychodów dla</w:t>
      </w:r>
      <w:r w:rsidR="00C45517" w:rsidRPr="002C0E44">
        <w:rPr>
          <w:rFonts w:ascii="Times New Roman" w:hAnsi="Times New Roman" w:cs="Times New Roman"/>
          <w:sz w:val="24"/>
          <w:szCs w:val="24"/>
        </w:rPr>
        <w:t xml:space="preserve"> celów określenia progu </w:t>
      </w:r>
      <w:r w:rsidR="00A52F8C" w:rsidRPr="002C0E44">
        <w:rPr>
          <w:rFonts w:ascii="Times New Roman" w:hAnsi="Times New Roman" w:cs="Times New Roman"/>
          <w:sz w:val="24"/>
          <w:szCs w:val="24"/>
        </w:rPr>
        <w:t xml:space="preserve">przychodów, od </w:t>
      </w:r>
      <w:r w:rsidR="00A67799" w:rsidRPr="002C0E44">
        <w:rPr>
          <w:rFonts w:ascii="Times New Roman" w:hAnsi="Times New Roman" w:cs="Times New Roman"/>
          <w:sz w:val="24"/>
          <w:szCs w:val="24"/>
        </w:rPr>
        <w:t xml:space="preserve">wartości </w:t>
      </w:r>
      <w:r w:rsidR="00A52F8C" w:rsidRPr="002C0E44">
        <w:rPr>
          <w:rFonts w:ascii="Times New Roman" w:hAnsi="Times New Roman" w:cs="Times New Roman"/>
          <w:sz w:val="24"/>
          <w:szCs w:val="24"/>
        </w:rPr>
        <w:t xml:space="preserve">którego jednostki będą zobowiązane do sporządzania sprawozdania o podatku dochodowym. W </w:t>
      </w:r>
      <w:r w:rsidR="002A2D39" w:rsidRPr="002C0E44">
        <w:rPr>
          <w:rFonts w:ascii="Times New Roman" w:hAnsi="Times New Roman" w:cs="Times New Roman"/>
          <w:sz w:val="24"/>
          <w:szCs w:val="24"/>
        </w:rPr>
        <w:t xml:space="preserve">proponowanym przepisie </w:t>
      </w:r>
      <w:r w:rsidR="00A52F8C" w:rsidRPr="002C0E44">
        <w:rPr>
          <w:rFonts w:ascii="Times New Roman" w:hAnsi="Times New Roman" w:cs="Times New Roman"/>
          <w:sz w:val="24"/>
          <w:szCs w:val="24"/>
        </w:rPr>
        <w:t>ujęte są dwie definicje przychodów</w:t>
      </w:r>
      <w:r w:rsidR="00162C87" w:rsidRPr="002C0E44">
        <w:rPr>
          <w:rFonts w:ascii="Times New Roman" w:hAnsi="Times New Roman" w:cs="Times New Roman"/>
          <w:sz w:val="24"/>
          <w:szCs w:val="24"/>
        </w:rPr>
        <w:t xml:space="preserve"> dla określenia progu</w:t>
      </w:r>
      <w:r w:rsidR="00E00A56" w:rsidRPr="002C0E44">
        <w:rPr>
          <w:rFonts w:ascii="Times New Roman" w:hAnsi="Times New Roman" w:cs="Times New Roman"/>
          <w:sz w:val="24"/>
          <w:szCs w:val="24"/>
        </w:rPr>
        <w:t xml:space="preserve"> przychodów</w:t>
      </w:r>
      <w:r w:rsidR="00A52F8C" w:rsidRPr="002C0E44">
        <w:rPr>
          <w:rFonts w:ascii="Times New Roman" w:hAnsi="Times New Roman" w:cs="Times New Roman"/>
          <w:sz w:val="24"/>
          <w:szCs w:val="24"/>
        </w:rPr>
        <w:t>: pierwsza</w:t>
      </w:r>
      <w:r w:rsidR="00162C87" w:rsidRPr="002C0E44">
        <w:rPr>
          <w:rFonts w:ascii="Times New Roman" w:hAnsi="Times New Roman" w:cs="Times New Roman"/>
          <w:sz w:val="24"/>
          <w:szCs w:val="24"/>
        </w:rPr>
        <w:t xml:space="preserve"> </w:t>
      </w:r>
      <w:r w:rsidR="00755A41">
        <w:rPr>
          <w:rFonts w:ascii="Times New Roman" w:hAnsi="Times New Roman" w:cs="Times New Roman"/>
          <w:sz w:val="24"/>
          <w:szCs w:val="24"/>
        </w:rPr>
        <w:t>–</w:t>
      </w:r>
      <w:r w:rsidR="00A52F8C" w:rsidRPr="002C0E44">
        <w:rPr>
          <w:rFonts w:ascii="Times New Roman" w:hAnsi="Times New Roman" w:cs="Times New Roman"/>
          <w:sz w:val="24"/>
          <w:szCs w:val="24"/>
        </w:rPr>
        <w:t xml:space="preserve"> dla jednostek mających siedzibę lub miejsce sprawowania zarządu na terytorium Rzeczypospolitej Polskiej</w:t>
      </w:r>
      <w:r w:rsidR="00A12B13" w:rsidRPr="002C0E44">
        <w:rPr>
          <w:rFonts w:ascii="Times New Roman" w:hAnsi="Times New Roman" w:cs="Times New Roman"/>
          <w:sz w:val="24"/>
          <w:szCs w:val="24"/>
        </w:rPr>
        <w:t>,</w:t>
      </w:r>
      <w:r w:rsidR="00A52F8C" w:rsidRPr="002C0E44">
        <w:rPr>
          <w:rFonts w:ascii="Times New Roman" w:hAnsi="Times New Roman" w:cs="Times New Roman"/>
          <w:sz w:val="24"/>
          <w:szCs w:val="24"/>
        </w:rPr>
        <w:t xml:space="preserve"> które nie stosują </w:t>
      </w:r>
      <w:r w:rsidR="00A12B13" w:rsidRPr="002C0E44">
        <w:rPr>
          <w:rFonts w:ascii="Times New Roman" w:hAnsi="Times New Roman" w:cs="Times New Roman"/>
          <w:sz w:val="24"/>
          <w:szCs w:val="24"/>
        </w:rPr>
        <w:t>MSR (tj. M</w:t>
      </w:r>
      <w:r w:rsidR="00A52F8C" w:rsidRPr="002C0E44">
        <w:rPr>
          <w:rFonts w:ascii="Times New Roman" w:hAnsi="Times New Roman" w:cs="Times New Roman"/>
          <w:sz w:val="24"/>
          <w:szCs w:val="24"/>
        </w:rPr>
        <w:t xml:space="preserve">iędzynarodowych </w:t>
      </w:r>
      <w:r w:rsidR="00A12B13" w:rsidRPr="002C0E44">
        <w:rPr>
          <w:rFonts w:ascii="Times New Roman" w:hAnsi="Times New Roman" w:cs="Times New Roman"/>
          <w:sz w:val="24"/>
          <w:szCs w:val="24"/>
        </w:rPr>
        <w:t>S</w:t>
      </w:r>
      <w:r w:rsidR="00A52F8C" w:rsidRPr="002C0E44">
        <w:rPr>
          <w:rFonts w:ascii="Times New Roman" w:hAnsi="Times New Roman" w:cs="Times New Roman"/>
          <w:sz w:val="24"/>
          <w:szCs w:val="24"/>
        </w:rPr>
        <w:t xml:space="preserve">tandardów </w:t>
      </w:r>
      <w:r w:rsidR="00A12B13" w:rsidRPr="002C0E44">
        <w:rPr>
          <w:rFonts w:ascii="Times New Roman" w:hAnsi="Times New Roman" w:cs="Times New Roman"/>
          <w:sz w:val="24"/>
          <w:szCs w:val="24"/>
        </w:rPr>
        <w:t>R</w:t>
      </w:r>
      <w:r w:rsidR="00A52F8C" w:rsidRPr="002C0E44">
        <w:rPr>
          <w:rFonts w:ascii="Times New Roman" w:hAnsi="Times New Roman" w:cs="Times New Roman"/>
          <w:sz w:val="24"/>
          <w:szCs w:val="24"/>
        </w:rPr>
        <w:t>achunkowości przyjętych na podstawie rozporządzenia (WE) nr 1606/202 Parlamentu Europejskiego i Rady z dnia 19 lipca 2002 r.</w:t>
      </w:r>
      <w:r w:rsidR="00D62B13" w:rsidRPr="002C0E44">
        <w:rPr>
          <w:rFonts w:ascii="Times New Roman" w:hAnsi="Times New Roman" w:cs="Times New Roman"/>
          <w:sz w:val="24"/>
          <w:szCs w:val="24"/>
        </w:rPr>
        <w:t>)</w:t>
      </w:r>
      <w:r w:rsidR="00A12B13" w:rsidRPr="002C0E44">
        <w:rPr>
          <w:rFonts w:ascii="Times New Roman" w:hAnsi="Times New Roman" w:cs="Times New Roman"/>
          <w:sz w:val="24"/>
          <w:szCs w:val="24"/>
        </w:rPr>
        <w:t>,</w:t>
      </w:r>
      <w:r w:rsidR="00D62B13" w:rsidRPr="002C0E44">
        <w:rPr>
          <w:rFonts w:ascii="Times New Roman" w:hAnsi="Times New Roman" w:cs="Times New Roman"/>
          <w:sz w:val="24"/>
          <w:szCs w:val="24"/>
        </w:rPr>
        <w:t xml:space="preserve"> przez</w:t>
      </w:r>
      <w:r w:rsidR="00A12B13" w:rsidRPr="002C0E44">
        <w:rPr>
          <w:rFonts w:ascii="Times New Roman" w:hAnsi="Times New Roman" w:cs="Times New Roman"/>
          <w:sz w:val="24"/>
          <w:szCs w:val="24"/>
        </w:rPr>
        <w:t xml:space="preserve"> które </w:t>
      </w:r>
      <w:r w:rsidR="00D62B13" w:rsidRPr="002C0E44">
        <w:rPr>
          <w:rFonts w:ascii="Times New Roman" w:hAnsi="Times New Roman" w:cs="Times New Roman"/>
          <w:sz w:val="24"/>
          <w:szCs w:val="24"/>
        </w:rPr>
        <w:t>należy rozumieć przychody netto ze sprzedaży towarów i</w:t>
      </w:r>
      <w:r w:rsidR="004E7D6F">
        <w:rPr>
          <w:rFonts w:ascii="Times New Roman" w:hAnsi="Times New Roman" w:cs="Times New Roman"/>
          <w:sz w:val="24"/>
          <w:szCs w:val="24"/>
        </w:rPr>
        <w:t> </w:t>
      </w:r>
      <w:r w:rsidR="00D62B13" w:rsidRPr="002C0E44">
        <w:rPr>
          <w:rFonts w:ascii="Times New Roman" w:hAnsi="Times New Roman" w:cs="Times New Roman"/>
          <w:sz w:val="24"/>
          <w:szCs w:val="24"/>
        </w:rPr>
        <w:t>produktów,</w:t>
      </w:r>
      <w:r w:rsidR="00A52F8C" w:rsidRPr="002C0E44">
        <w:rPr>
          <w:rFonts w:ascii="Times New Roman" w:hAnsi="Times New Roman" w:cs="Times New Roman"/>
          <w:sz w:val="24"/>
          <w:szCs w:val="24"/>
        </w:rPr>
        <w:t xml:space="preserve"> oraz druga definicja </w:t>
      </w:r>
      <w:r w:rsidR="00755A41">
        <w:rPr>
          <w:rFonts w:ascii="Times New Roman" w:hAnsi="Times New Roman" w:cs="Times New Roman"/>
          <w:sz w:val="24"/>
          <w:szCs w:val="24"/>
        </w:rPr>
        <w:t>–</w:t>
      </w:r>
      <w:r w:rsidR="00162C87" w:rsidRPr="002C0E44">
        <w:rPr>
          <w:rFonts w:ascii="Times New Roman" w:hAnsi="Times New Roman" w:cs="Times New Roman"/>
          <w:sz w:val="24"/>
          <w:szCs w:val="24"/>
        </w:rPr>
        <w:t xml:space="preserve"> </w:t>
      </w:r>
      <w:r w:rsidR="00A52F8C" w:rsidRPr="002C0E44">
        <w:rPr>
          <w:rFonts w:ascii="Times New Roman" w:hAnsi="Times New Roman" w:cs="Times New Roman"/>
          <w:sz w:val="24"/>
          <w:szCs w:val="24"/>
        </w:rPr>
        <w:t xml:space="preserve">dla pozostałych jednostek. </w:t>
      </w:r>
      <w:r w:rsidR="0028740F" w:rsidRPr="002C0E44">
        <w:rPr>
          <w:rFonts w:ascii="Times New Roman" w:hAnsi="Times New Roman" w:cs="Times New Roman"/>
          <w:sz w:val="24"/>
          <w:szCs w:val="24"/>
        </w:rPr>
        <w:t xml:space="preserve">W tym przypadku jednostka musi odnieść się do definicji przychodów ujętej w „ramach sprawozdawczości finansowej”, które jednostka stosuje. Pod pojęciem </w:t>
      </w:r>
      <w:r w:rsidR="00416148" w:rsidRPr="002C0E44">
        <w:rPr>
          <w:rFonts w:ascii="Times New Roman" w:hAnsi="Times New Roman" w:cs="Times New Roman"/>
          <w:sz w:val="24"/>
          <w:szCs w:val="24"/>
        </w:rPr>
        <w:t>„ramy sprawozdawczości finansowej”</w:t>
      </w:r>
      <w:r w:rsidR="0028740F" w:rsidRPr="002C0E44">
        <w:rPr>
          <w:rFonts w:ascii="Times New Roman" w:hAnsi="Times New Roman" w:cs="Times New Roman"/>
          <w:sz w:val="24"/>
          <w:szCs w:val="24"/>
        </w:rPr>
        <w:t xml:space="preserve"> należy rozumieć zbiór przepisów lub standardów określających zasady </w:t>
      </w:r>
      <w:r w:rsidR="00E41D16" w:rsidRPr="002C0E44">
        <w:rPr>
          <w:rFonts w:ascii="Times New Roman" w:hAnsi="Times New Roman" w:cs="Times New Roman"/>
          <w:sz w:val="24"/>
          <w:szCs w:val="24"/>
        </w:rPr>
        <w:t>sporządzania sprawozdań finansowych</w:t>
      </w:r>
      <w:r w:rsidR="0028740F" w:rsidRPr="002C0E44">
        <w:rPr>
          <w:rFonts w:ascii="Times New Roman" w:hAnsi="Times New Roman" w:cs="Times New Roman"/>
          <w:sz w:val="24"/>
          <w:szCs w:val="24"/>
        </w:rPr>
        <w:t>.</w:t>
      </w:r>
    </w:p>
    <w:p w14:paraId="10A48BF6" w14:textId="7A94F480" w:rsidR="0009671D" w:rsidRPr="002C0E44" w:rsidRDefault="00162C87" w:rsidP="002C0E44">
      <w:pPr>
        <w:spacing w:before="120"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E44">
        <w:rPr>
          <w:rFonts w:ascii="Times New Roman" w:hAnsi="Times New Roman" w:cs="Times New Roman"/>
          <w:sz w:val="24"/>
          <w:szCs w:val="24"/>
        </w:rPr>
        <w:t xml:space="preserve">W </w:t>
      </w:r>
      <w:r w:rsidRPr="002C0E44">
        <w:rPr>
          <w:rFonts w:ascii="Times New Roman" w:hAnsi="Times New Roman" w:cs="Times New Roman"/>
          <w:b/>
          <w:sz w:val="24"/>
          <w:szCs w:val="24"/>
        </w:rPr>
        <w:t>art. 63</w:t>
      </w:r>
      <w:r w:rsidR="00AB4929" w:rsidRPr="002C0E44">
        <w:rPr>
          <w:rFonts w:ascii="Times New Roman" w:hAnsi="Times New Roman" w:cs="Times New Roman"/>
          <w:b/>
          <w:sz w:val="24"/>
          <w:szCs w:val="24"/>
        </w:rPr>
        <w:t>m</w:t>
      </w:r>
      <w:r w:rsidRPr="002C0E44">
        <w:rPr>
          <w:rFonts w:ascii="Times New Roman" w:hAnsi="Times New Roman" w:cs="Times New Roman"/>
          <w:b/>
          <w:sz w:val="24"/>
          <w:szCs w:val="24"/>
        </w:rPr>
        <w:t xml:space="preserve"> w ust. 1 i 2</w:t>
      </w:r>
      <w:r w:rsidRPr="002C0E44">
        <w:rPr>
          <w:rFonts w:ascii="Times New Roman" w:hAnsi="Times New Roman" w:cs="Times New Roman"/>
          <w:sz w:val="24"/>
          <w:szCs w:val="24"/>
        </w:rPr>
        <w:t xml:space="preserve"> </w:t>
      </w:r>
      <w:r w:rsidR="00A12B13" w:rsidRPr="002C0E44">
        <w:rPr>
          <w:rFonts w:ascii="Times New Roman" w:hAnsi="Times New Roman" w:cs="Times New Roman"/>
          <w:sz w:val="24"/>
          <w:szCs w:val="24"/>
        </w:rPr>
        <w:t>(na podstawie art. 48b ust. 1</w:t>
      </w:r>
      <w:r w:rsidR="00145676" w:rsidRPr="002C0E44">
        <w:rPr>
          <w:rFonts w:ascii="Times New Roman" w:hAnsi="Times New Roman" w:cs="Times New Roman"/>
          <w:sz w:val="24"/>
          <w:szCs w:val="24"/>
        </w:rPr>
        <w:t xml:space="preserve"> akapit pierwszy i trzeci</w:t>
      </w:r>
      <w:r w:rsidR="00824B7C" w:rsidRPr="002C0E44">
        <w:rPr>
          <w:rFonts w:ascii="Times New Roman" w:hAnsi="Times New Roman" w:cs="Times New Roman"/>
          <w:sz w:val="24"/>
          <w:szCs w:val="24"/>
        </w:rPr>
        <w:t xml:space="preserve"> dyrektywy 2021/2101) </w:t>
      </w:r>
      <w:r w:rsidR="00755A41" w:rsidRPr="002C0E44">
        <w:rPr>
          <w:rFonts w:ascii="Times New Roman" w:hAnsi="Times New Roman" w:cs="Times New Roman"/>
          <w:sz w:val="24"/>
          <w:szCs w:val="24"/>
        </w:rPr>
        <w:t xml:space="preserve">są </w:t>
      </w:r>
      <w:r w:rsidRPr="002C0E44">
        <w:rPr>
          <w:rFonts w:ascii="Times New Roman" w:hAnsi="Times New Roman" w:cs="Times New Roman"/>
          <w:sz w:val="24"/>
          <w:szCs w:val="24"/>
        </w:rPr>
        <w:t xml:space="preserve">zawarte przepisy </w:t>
      </w:r>
      <w:r w:rsidR="00A540D8" w:rsidRPr="002C0E44">
        <w:rPr>
          <w:rFonts w:ascii="Times New Roman" w:hAnsi="Times New Roman" w:cs="Times New Roman"/>
          <w:sz w:val="24"/>
          <w:szCs w:val="24"/>
        </w:rPr>
        <w:t xml:space="preserve">określające </w:t>
      </w:r>
      <w:r w:rsidR="00E46A4A" w:rsidRPr="002C0E44">
        <w:rPr>
          <w:rFonts w:ascii="Times New Roman" w:hAnsi="Times New Roman" w:cs="Times New Roman"/>
          <w:sz w:val="24"/>
          <w:szCs w:val="24"/>
        </w:rPr>
        <w:t>główny katalog jednostek zobowiązanych</w:t>
      </w:r>
      <w:r w:rsidRPr="002C0E44">
        <w:rPr>
          <w:rFonts w:ascii="Times New Roman" w:hAnsi="Times New Roman" w:cs="Times New Roman"/>
          <w:sz w:val="24"/>
          <w:szCs w:val="24"/>
        </w:rPr>
        <w:t xml:space="preserve"> do sporządz</w:t>
      </w:r>
      <w:r w:rsidR="00F4133C" w:rsidRPr="002C0E44">
        <w:rPr>
          <w:rFonts w:ascii="Times New Roman" w:hAnsi="Times New Roman" w:cs="Times New Roman"/>
          <w:sz w:val="24"/>
          <w:szCs w:val="24"/>
        </w:rPr>
        <w:t>a</w:t>
      </w:r>
      <w:r w:rsidRPr="002C0E44">
        <w:rPr>
          <w:rFonts w:ascii="Times New Roman" w:hAnsi="Times New Roman" w:cs="Times New Roman"/>
          <w:sz w:val="24"/>
          <w:szCs w:val="24"/>
        </w:rPr>
        <w:t xml:space="preserve">nia sprawozdania </w:t>
      </w:r>
      <w:r w:rsidR="00C37A30" w:rsidRPr="002C0E44">
        <w:rPr>
          <w:rFonts w:ascii="Times New Roman" w:hAnsi="Times New Roman" w:cs="Times New Roman"/>
          <w:sz w:val="24"/>
          <w:szCs w:val="24"/>
        </w:rPr>
        <w:t>o podatku dochodowym</w:t>
      </w:r>
      <w:r w:rsidRPr="002C0E44">
        <w:rPr>
          <w:rFonts w:ascii="Times New Roman" w:hAnsi="Times New Roman" w:cs="Times New Roman"/>
          <w:sz w:val="24"/>
          <w:szCs w:val="24"/>
        </w:rPr>
        <w:t xml:space="preserve">. Będą je sporządzać </w:t>
      </w:r>
      <w:r w:rsidR="00B5454E" w:rsidRPr="002C0E44">
        <w:rPr>
          <w:rFonts w:ascii="Times New Roman" w:hAnsi="Times New Roman" w:cs="Times New Roman"/>
          <w:sz w:val="24"/>
          <w:szCs w:val="24"/>
        </w:rPr>
        <w:t xml:space="preserve">krajowe </w:t>
      </w:r>
      <w:r w:rsidR="003177CE" w:rsidRPr="002C0E44">
        <w:rPr>
          <w:rFonts w:ascii="Times New Roman" w:hAnsi="Times New Roman" w:cs="Times New Roman"/>
          <w:sz w:val="24"/>
          <w:szCs w:val="24"/>
        </w:rPr>
        <w:t xml:space="preserve">jednostki dominujące najwyższego szczebla i </w:t>
      </w:r>
      <w:r w:rsidR="00AE4CFA" w:rsidRPr="002C0E44">
        <w:rPr>
          <w:rFonts w:ascii="Times New Roman" w:hAnsi="Times New Roman" w:cs="Times New Roman"/>
          <w:sz w:val="24"/>
          <w:szCs w:val="24"/>
        </w:rPr>
        <w:t xml:space="preserve">jednostki samodzielne (mające formę </w:t>
      </w:r>
      <w:r w:rsidR="003177CE" w:rsidRPr="002C0E44">
        <w:rPr>
          <w:rFonts w:ascii="Times New Roman" w:hAnsi="Times New Roman" w:cs="Times New Roman"/>
          <w:sz w:val="24"/>
          <w:szCs w:val="24"/>
        </w:rPr>
        <w:t>spółek kapitałowych, spółek</w:t>
      </w:r>
      <w:r w:rsidRPr="002C0E44">
        <w:rPr>
          <w:rFonts w:ascii="Times New Roman" w:hAnsi="Times New Roman" w:cs="Times New Roman"/>
          <w:sz w:val="24"/>
          <w:szCs w:val="24"/>
        </w:rPr>
        <w:t xml:space="preserve"> komandytowo</w:t>
      </w:r>
      <w:r w:rsidR="00755A41">
        <w:rPr>
          <w:rFonts w:ascii="Times New Roman" w:hAnsi="Times New Roman" w:cs="Times New Roman"/>
          <w:sz w:val="24"/>
          <w:szCs w:val="24"/>
        </w:rPr>
        <w:t>-</w:t>
      </w:r>
      <w:r w:rsidRPr="002C0E44">
        <w:rPr>
          <w:rFonts w:ascii="Times New Roman" w:hAnsi="Times New Roman" w:cs="Times New Roman"/>
          <w:sz w:val="24"/>
          <w:szCs w:val="24"/>
        </w:rPr>
        <w:t>akc</w:t>
      </w:r>
      <w:r w:rsidR="003177CE" w:rsidRPr="002C0E44">
        <w:rPr>
          <w:rFonts w:ascii="Times New Roman" w:hAnsi="Times New Roman" w:cs="Times New Roman"/>
          <w:sz w:val="24"/>
          <w:szCs w:val="24"/>
        </w:rPr>
        <w:t>yjn</w:t>
      </w:r>
      <w:r w:rsidR="00B5454E" w:rsidRPr="002C0E44">
        <w:rPr>
          <w:rFonts w:ascii="Times New Roman" w:hAnsi="Times New Roman" w:cs="Times New Roman"/>
          <w:sz w:val="24"/>
          <w:szCs w:val="24"/>
        </w:rPr>
        <w:t>ych</w:t>
      </w:r>
      <w:r w:rsidR="003177CE" w:rsidRPr="002C0E44">
        <w:rPr>
          <w:rFonts w:ascii="Times New Roman" w:hAnsi="Times New Roman" w:cs="Times New Roman"/>
          <w:sz w:val="24"/>
          <w:szCs w:val="24"/>
        </w:rPr>
        <w:t>, a także takich spółek jawnych i komandytowych</w:t>
      </w:r>
      <w:r w:rsidRPr="002C0E44">
        <w:rPr>
          <w:rFonts w:ascii="Times New Roman" w:hAnsi="Times New Roman" w:cs="Times New Roman"/>
          <w:sz w:val="24"/>
          <w:szCs w:val="24"/>
        </w:rPr>
        <w:t>, których wszystkimi udziałowcami ponoszącymi ograniczoną odpowiedzialność są spółki kapitałowe lub spółki komandytowo</w:t>
      </w:r>
      <w:r w:rsidR="00755A41">
        <w:rPr>
          <w:rFonts w:ascii="Times New Roman" w:hAnsi="Times New Roman" w:cs="Times New Roman"/>
          <w:sz w:val="24"/>
          <w:szCs w:val="24"/>
        </w:rPr>
        <w:t>-</w:t>
      </w:r>
      <w:r w:rsidRPr="002C0E44">
        <w:rPr>
          <w:rFonts w:ascii="Times New Roman" w:hAnsi="Times New Roman" w:cs="Times New Roman"/>
          <w:sz w:val="24"/>
          <w:szCs w:val="24"/>
        </w:rPr>
        <w:t>akcyjne bądź spółki z innych państw o podobnej do tych spółek formie prawnej</w:t>
      </w:r>
      <w:r w:rsidR="003177CE" w:rsidRPr="002C0E44">
        <w:rPr>
          <w:rFonts w:ascii="Times New Roman" w:hAnsi="Times New Roman" w:cs="Times New Roman"/>
          <w:sz w:val="24"/>
          <w:szCs w:val="24"/>
        </w:rPr>
        <w:t>)</w:t>
      </w:r>
      <w:r w:rsidRPr="002C0E44">
        <w:rPr>
          <w:rFonts w:ascii="Times New Roman" w:hAnsi="Times New Roman" w:cs="Times New Roman"/>
          <w:sz w:val="24"/>
          <w:szCs w:val="24"/>
        </w:rPr>
        <w:t xml:space="preserve">, </w:t>
      </w:r>
      <w:r w:rsidR="003177CE" w:rsidRPr="002C0E44">
        <w:rPr>
          <w:rFonts w:ascii="Times New Roman" w:hAnsi="Times New Roman" w:cs="Times New Roman"/>
          <w:sz w:val="24"/>
          <w:szCs w:val="24"/>
        </w:rPr>
        <w:t>których skonsolidowane przychody dla jednostek dominu</w:t>
      </w:r>
      <w:r w:rsidR="00AE4CFA" w:rsidRPr="002C0E44">
        <w:rPr>
          <w:rFonts w:ascii="Times New Roman" w:hAnsi="Times New Roman" w:cs="Times New Roman"/>
          <w:sz w:val="24"/>
          <w:szCs w:val="24"/>
        </w:rPr>
        <w:t xml:space="preserve">jących najwyższego szczebla i </w:t>
      </w:r>
      <w:r w:rsidR="003177CE" w:rsidRPr="002C0E44">
        <w:rPr>
          <w:rFonts w:ascii="Times New Roman" w:hAnsi="Times New Roman" w:cs="Times New Roman"/>
          <w:sz w:val="24"/>
          <w:szCs w:val="24"/>
        </w:rPr>
        <w:t xml:space="preserve">przychody dla jednostek samodzielnych, w dwóch </w:t>
      </w:r>
      <w:r w:rsidR="00B5454E" w:rsidRPr="002C0E44">
        <w:rPr>
          <w:rFonts w:ascii="Times New Roman" w:hAnsi="Times New Roman" w:cs="Times New Roman"/>
          <w:sz w:val="24"/>
          <w:szCs w:val="24"/>
        </w:rPr>
        <w:t>ostatnich</w:t>
      </w:r>
      <w:r w:rsidR="003177CE" w:rsidRPr="002C0E44">
        <w:rPr>
          <w:rFonts w:ascii="Times New Roman" w:hAnsi="Times New Roman" w:cs="Times New Roman"/>
          <w:sz w:val="24"/>
          <w:szCs w:val="24"/>
        </w:rPr>
        <w:t xml:space="preserve"> latach obrotowych, dla każdego z tych lat, przekroczą kwotę 3</w:t>
      </w:r>
      <w:r w:rsidR="00755A41">
        <w:rPr>
          <w:rFonts w:ascii="Times New Roman" w:hAnsi="Times New Roman" w:cs="Times New Roman"/>
          <w:sz w:val="24"/>
          <w:szCs w:val="24"/>
        </w:rPr>
        <w:t> </w:t>
      </w:r>
      <w:r w:rsidR="003177CE" w:rsidRPr="002C0E44">
        <w:rPr>
          <w:rFonts w:ascii="Times New Roman" w:hAnsi="Times New Roman" w:cs="Times New Roman"/>
          <w:sz w:val="24"/>
          <w:szCs w:val="24"/>
        </w:rPr>
        <w:t>500</w:t>
      </w:r>
      <w:r w:rsidR="00755A41">
        <w:rPr>
          <w:rFonts w:ascii="Times New Roman" w:hAnsi="Times New Roman" w:cs="Times New Roman"/>
          <w:sz w:val="24"/>
          <w:szCs w:val="24"/>
        </w:rPr>
        <w:t> </w:t>
      </w:r>
      <w:r w:rsidR="003177CE" w:rsidRPr="002C0E44">
        <w:rPr>
          <w:rFonts w:ascii="Times New Roman" w:hAnsi="Times New Roman" w:cs="Times New Roman"/>
          <w:sz w:val="24"/>
          <w:szCs w:val="24"/>
        </w:rPr>
        <w:t>000</w:t>
      </w:r>
      <w:r w:rsidR="00755A41">
        <w:rPr>
          <w:rFonts w:ascii="Times New Roman" w:hAnsi="Times New Roman" w:cs="Times New Roman"/>
          <w:sz w:val="24"/>
          <w:szCs w:val="24"/>
        </w:rPr>
        <w:t> </w:t>
      </w:r>
      <w:r w:rsidR="003177CE" w:rsidRPr="002C0E44">
        <w:rPr>
          <w:rFonts w:ascii="Times New Roman" w:hAnsi="Times New Roman" w:cs="Times New Roman"/>
          <w:sz w:val="24"/>
          <w:szCs w:val="24"/>
        </w:rPr>
        <w:t>000</w:t>
      </w:r>
      <w:r w:rsidR="00755A41">
        <w:rPr>
          <w:rFonts w:ascii="Times New Roman" w:hAnsi="Times New Roman" w:cs="Times New Roman"/>
          <w:sz w:val="24"/>
          <w:szCs w:val="24"/>
        </w:rPr>
        <w:t> </w:t>
      </w:r>
      <w:r w:rsidR="00A540D8" w:rsidRPr="002C0E44">
        <w:rPr>
          <w:rFonts w:ascii="Times New Roman" w:hAnsi="Times New Roman" w:cs="Times New Roman"/>
          <w:sz w:val="24"/>
          <w:szCs w:val="24"/>
        </w:rPr>
        <w:t>zł</w:t>
      </w:r>
      <w:r w:rsidR="003177CE" w:rsidRPr="002C0E44">
        <w:rPr>
          <w:rFonts w:ascii="Times New Roman" w:hAnsi="Times New Roman" w:cs="Times New Roman"/>
          <w:sz w:val="24"/>
          <w:szCs w:val="24"/>
        </w:rPr>
        <w:t>.</w:t>
      </w:r>
      <w:r w:rsidR="002E7ABA" w:rsidRPr="002C0E44">
        <w:rPr>
          <w:rFonts w:ascii="Times New Roman" w:hAnsi="Times New Roman" w:cs="Times New Roman"/>
          <w:sz w:val="24"/>
          <w:szCs w:val="24"/>
        </w:rPr>
        <w:t xml:space="preserve"> </w:t>
      </w:r>
      <w:r w:rsidR="009F372C" w:rsidRPr="002C0E44">
        <w:rPr>
          <w:rFonts w:ascii="Times New Roman" w:hAnsi="Times New Roman" w:cs="Times New Roman"/>
          <w:sz w:val="24"/>
          <w:szCs w:val="24"/>
        </w:rPr>
        <w:t xml:space="preserve">Sprawozdanie będzie sporządzane na dzień bilansowy (o czym wskazano w art. 63o ust. 1) i w odniesieniu do późniejszego z ww. dwóch lat obrotowych. </w:t>
      </w:r>
      <w:r w:rsidR="00FF1A6E" w:rsidRPr="002C0E44">
        <w:rPr>
          <w:rFonts w:ascii="Times New Roman" w:hAnsi="Times New Roman" w:cs="Times New Roman"/>
          <w:sz w:val="24"/>
          <w:szCs w:val="24"/>
        </w:rPr>
        <w:t xml:space="preserve">Kwota </w:t>
      </w:r>
      <w:r w:rsidR="009F372C" w:rsidRPr="002C0E44">
        <w:rPr>
          <w:rFonts w:ascii="Times New Roman" w:hAnsi="Times New Roman" w:cs="Times New Roman"/>
          <w:sz w:val="24"/>
          <w:szCs w:val="24"/>
        </w:rPr>
        <w:t>3</w:t>
      </w:r>
      <w:r w:rsidR="00755A41">
        <w:rPr>
          <w:rFonts w:ascii="Times New Roman" w:hAnsi="Times New Roman" w:cs="Times New Roman"/>
          <w:sz w:val="24"/>
          <w:szCs w:val="24"/>
        </w:rPr>
        <w:t> </w:t>
      </w:r>
      <w:r w:rsidR="009F372C" w:rsidRPr="002C0E44">
        <w:rPr>
          <w:rFonts w:ascii="Times New Roman" w:hAnsi="Times New Roman" w:cs="Times New Roman"/>
          <w:sz w:val="24"/>
          <w:szCs w:val="24"/>
        </w:rPr>
        <w:t>500</w:t>
      </w:r>
      <w:r w:rsidR="00755A41">
        <w:rPr>
          <w:rFonts w:ascii="Times New Roman" w:hAnsi="Times New Roman" w:cs="Times New Roman"/>
          <w:sz w:val="24"/>
          <w:szCs w:val="24"/>
        </w:rPr>
        <w:t> </w:t>
      </w:r>
      <w:r w:rsidR="009F372C" w:rsidRPr="002C0E44">
        <w:rPr>
          <w:rFonts w:ascii="Times New Roman" w:hAnsi="Times New Roman" w:cs="Times New Roman"/>
          <w:sz w:val="24"/>
          <w:szCs w:val="24"/>
        </w:rPr>
        <w:t>000</w:t>
      </w:r>
      <w:r w:rsidR="00755A41">
        <w:rPr>
          <w:rFonts w:ascii="Times New Roman" w:hAnsi="Times New Roman" w:cs="Times New Roman"/>
          <w:sz w:val="24"/>
          <w:szCs w:val="24"/>
        </w:rPr>
        <w:t> </w:t>
      </w:r>
      <w:r w:rsidR="009F372C" w:rsidRPr="002C0E44">
        <w:rPr>
          <w:rFonts w:ascii="Times New Roman" w:hAnsi="Times New Roman" w:cs="Times New Roman"/>
          <w:sz w:val="24"/>
          <w:szCs w:val="24"/>
        </w:rPr>
        <w:t>000</w:t>
      </w:r>
      <w:r w:rsidR="00755A41">
        <w:rPr>
          <w:rFonts w:ascii="Times New Roman" w:hAnsi="Times New Roman" w:cs="Times New Roman"/>
          <w:sz w:val="24"/>
          <w:szCs w:val="24"/>
        </w:rPr>
        <w:t> </w:t>
      </w:r>
      <w:r w:rsidR="009F372C" w:rsidRPr="002C0E44">
        <w:rPr>
          <w:rFonts w:ascii="Times New Roman" w:hAnsi="Times New Roman" w:cs="Times New Roman"/>
          <w:sz w:val="24"/>
          <w:szCs w:val="24"/>
        </w:rPr>
        <w:t>zł</w:t>
      </w:r>
      <w:r w:rsidR="00FF1A6E" w:rsidRPr="002C0E44">
        <w:rPr>
          <w:rFonts w:ascii="Times New Roman" w:hAnsi="Times New Roman" w:cs="Times New Roman"/>
          <w:sz w:val="24"/>
          <w:szCs w:val="24"/>
        </w:rPr>
        <w:t xml:space="preserve"> została ustalona przez przeliczenie 750</w:t>
      </w:r>
      <w:r w:rsidR="004E7D6F">
        <w:rPr>
          <w:rFonts w:ascii="Times New Roman" w:hAnsi="Times New Roman" w:cs="Times New Roman"/>
          <w:sz w:val="24"/>
          <w:szCs w:val="24"/>
        </w:rPr>
        <w:t> </w:t>
      </w:r>
      <w:r w:rsidR="00FF1A6E" w:rsidRPr="002C0E44">
        <w:rPr>
          <w:rFonts w:ascii="Times New Roman" w:hAnsi="Times New Roman" w:cs="Times New Roman"/>
          <w:sz w:val="24"/>
          <w:szCs w:val="24"/>
        </w:rPr>
        <w:t>mln</w:t>
      </w:r>
      <w:r w:rsidR="004E7D6F">
        <w:rPr>
          <w:rFonts w:ascii="Times New Roman" w:hAnsi="Times New Roman" w:cs="Times New Roman"/>
          <w:sz w:val="24"/>
          <w:szCs w:val="24"/>
        </w:rPr>
        <w:t> </w:t>
      </w:r>
      <w:r w:rsidR="00FF1A6E" w:rsidRPr="002C0E44">
        <w:rPr>
          <w:rFonts w:ascii="Times New Roman" w:hAnsi="Times New Roman" w:cs="Times New Roman"/>
          <w:sz w:val="24"/>
          <w:szCs w:val="24"/>
        </w:rPr>
        <w:t>euro na walutę polską przy zastosowaniu oficjalnego kursu z dnia 21 grudnia 2021</w:t>
      </w:r>
      <w:r w:rsidR="004E7D6F">
        <w:rPr>
          <w:rFonts w:ascii="Times New Roman" w:hAnsi="Times New Roman" w:cs="Times New Roman"/>
          <w:sz w:val="24"/>
          <w:szCs w:val="24"/>
        </w:rPr>
        <w:t> </w:t>
      </w:r>
      <w:r w:rsidR="00FF1A6E" w:rsidRPr="002C0E44">
        <w:rPr>
          <w:rFonts w:ascii="Times New Roman" w:hAnsi="Times New Roman" w:cs="Times New Roman"/>
          <w:sz w:val="24"/>
          <w:szCs w:val="24"/>
        </w:rPr>
        <w:t xml:space="preserve">r. </w:t>
      </w:r>
      <w:r w:rsidR="00D26CD1" w:rsidRPr="002C0E44">
        <w:rPr>
          <w:rFonts w:ascii="Times New Roman" w:hAnsi="Times New Roman" w:cs="Times New Roman"/>
          <w:sz w:val="24"/>
          <w:szCs w:val="24"/>
        </w:rPr>
        <w:t>ogłoszonego</w:t>
      </w:r>
      <w:r w:rsidR="00FF1A6E" w:rsidRPr="002C0E44">
        <w:rPr>
          <w:rFonts w:ascii="Times New Roman" w:hAnsi="Times New Roman" w:cs="Times New Roman"/>
          <w:sz w:val="24"/>
          <w:szCs w:val="24"/>
        </w:rPr>
        <w:t xml:space="preserve"> w Dzienniku Urzędowym UE i </w:t>
      </w:r>
      <w:r w:rsidR="00D26CD1" w:rsidRPr="002C0E44">
        <w:rPr>
          <w:rFonts w:ascii="Times New Roman" w:hAnsi="Times New Roman" w:cs="Times New Roman"/>
          <w:sz w:val="24"/>
          <w:szCs w:val="24"/>
        </w:rPr>
        <w:t xml:space="preserve">po </w:t>
      </w:r>
      <w:r w:rsidR="00FF1A6E" w:rsidRPr="002C0E44">
        <w:rPr>
          <w:rFonts w:ascii="Times New Roman" w:hAnsi="Times New Roman" w:cs="Times New Roman"/>
          <w:sz w:val="24"/>
          <w:szCs w:val="24"/>
        </w:rPr>
        <w:t>zaokrągleniu do pełnych tysięcy, gdzie zaokrąglenie to mieści się w granicach 5% dozwolonych w art. 48</w:t>
      </w:r>
      <w:r w:rsidR="002628E9" w:rsidRPr="002C0E44">
        <w:rPr>
          <w:rFonts w:ascii="Times New Roman" w:hAnsi="Times New Roman" w:cs="Times New Roman"/>
          <w:sz w:val="24"/>
          <w:szCs w:val="24"/>
        </w:rPr>
        <w:t>c</w:t>
      </w:r>
      <w:r w:rsidR="00FF1A6E" w:rsidRPr="002C0E44">
        <w:rPr>
          <w:rFonts w:ascii="Times New Roman" w:hAnsi="Times New Roman" w:cs="Times New Roman"/>
          <w:sz w:val="24"/>
          <w:szCs w:val="24"/>
        </w:rPr>
        <w:t xml:space="preserve"> ust. 9 akapit pierwszy </w:t>
      </w:r>
      <w:r w:rsidR="00FF1A6E" w:rsidRPr="002C0E44">
        <w:rPr>
          <w:rFonts w:ascii="Times New Roman" w:hAnsi="Times New Roman" w:cs="Times New Roman"/>
          <w:sz w:val="24"/>
          <w:szCs w:val="24"/>
        </w:rPr>
        <w:lastRenderedPageBreak/>
        <w:t>dyrektywy 2021/2101.</w:t>
      </w:r>
      <w:r w:rsidR="008F45FE" w:rsidRPr="002C0E44">
        <w:rPr>
          <w:rFonts w:ascii="Times New Roman" w:hAnsi="Times New Roman" w:cs="Times New Roman"/>
          <w:sz w:val="24"/>
          <w:szCs w:val="24"/>
        </w:rPr>
        <w:t xml:space="preserve"> Jednocześnie należy wskazać, że </w:t>
      </w:r>
      <w:r w:rsidR="00B3086D" w:rsidRPr="002C0E44">
        <w:rPr>
          <w:rFonts w:ascii="Times New Roman" w:hAnsi="Times New Roman" w:cs="Times New Roman"/>
          <w:sz w:val="24"/>
          <w:szCs w:val="24"/>
        </w:rPr>
        <w:t>w</w:t>
      </w:r>
      <w:r w:rsidR="008F45FE" w:rsidRPr="002C0E44">
        <w:rPr>
          <w:rFonts w:ascii="Times New Roman" w:hAnsi="Times New Roman" w:cs="Times New Roman"/>
          <w:sz w:val="24"/>
          <w:szCs w:val="24"/>
        </w:rPr>
        <w:t xml:space="preserve">w. </w:t>
      </w:r>
      <w:r w:rsidR="0043690B" w:rsidRPr="002C0E44">
        <w:rPr>
          <w:rFonts w:ascii="Times New Roman" w:hAnsi="Times New Roman" w:cs="Times New Roman"/>
          <w:sz w:val="24"/>
          <w:szCs w:val="24"/>
        </w:rPr>
        <w:t>ust. 1</w:t>
      </w:r>
      <w:r w:rsidR="008F45FE" w:rsidRPr="002C0E44">
        <w:rPr>
          <w:rFonts w:ascii="Times New Roman" w:hAnsi="Times New Roman" w:cs="Times New Roman"/>
          <w:sz w:val="24"/>
          <w:szCs w:val="24"/>
        </w:rPr>
        <w:t xml:space="preserve"> określa nie tylko moment powstania samego obowiązku sporządzenia sprawozdania o podatku dochodowym (przekroczenie </w:t>
      </w:r>
      <w:r w:rsidR="008B2F6D" w:rsidRPr="002C0E44">
        <w:rPr>
          <w:rFonts w:ascii="Times New Roman" w:hAnsi="Times New Roman" w:cs="Times New Roman"/>
          <w:sz w:val="24"/>
          <w:szCs w:val="24"/>
        </w:rPr>
        <w:t>kwoty przychodów w wysokości 3,</w:t>
      </w:r>
      <w:r w:rsidR="008F45FE" w:rsidRPr="002C0E44">
        <w:rPr>
          <w:rFonts w:ascii="Times New Roman" w:hAnsi="Times New Roman" w:cs="Times New Roman"/>
          <w:sz w:val="24"/>
          <w:szCs w:val="24"/>
        </w:rPr>
        <w:t xml:space="preserve">5 mld złotych </w:t>
      </w:r>
      <w:r w:rsidR="008F45FE" w:rsidRPr="002C0E44">
        <w:rPr>
          <w:rFonts w:ascii="Times New Roman" w:hAnsi="Times New Roman" w:cs="Times New Roman"/>
          <w:sz w:val="24"/>
          <w:szCs w:val="24"/>
          <w:u w:val="single"/>
        </w:rPr>
        <w:t>w dwóch kolejnych latach obrotowych</w:t>
      </w:r>
      <w:r w:rsidR="008F45FE" w:rsidRPr="002C0E44">
        <w:rPr>
          <w:rFonts w:ascii="Times New Roman" w:hAnsi="Times New Roman" w:cs="Times New Roman"/>
          <w:sz w:val="24"/>
          <w:szCs w:val="24"/>
        </w:rPr>
        <w:t>). Na jego podstawie jednostka, która już</w:t>
      </w:r>
      <w:r w:rsidR="00B3086D" w:rsidRPr="002C0E44">
        <w:rPr>
          <w:rFonts w:ascii="Times New Roman" w:hAnsi="Times New Roman" w:cs="Times New Roman"/>
          <w:sz w:val="24"/>
          <w:szCs w:val="24"/>
        </w:rPr>
        <w:t xml:space="preserve"> raz </w:t>
      </w:r>
      <w:r w:rsidR="008F45FE" w:rsidRPr="002C0E44">
        <w:rPr>
          <w:rFonts w:ascii="Times New Roman" w:hAnsi="Times New Roman" w:cs="Times New Roman"/>
          <w:sz w:val="24"/>
          <w:szCs w:val="24"/>
        </w:rPr>
        <w:t xml:space="preserve">weszła w obowiązek </w:t>
      </w:r>
      <w:r w:rsidR="00B3086D" w:rsidRPr="002C0E44">
        <w:rPr>
          <w:rFonts w:ascii="Times New Roman" w:hAnsi="Times New Roman" w:cs="Times New Roman"/>
          <w:sz w:val="24"/>
          <w:szCs w:val="24"/>
        </w:rPr>
        <w:t>sprawozdawczy, będzie nadal zobowiązana do sporządzania sprawozdania o podatku dochodowym</w:t>
      </w:r>
      <w:r w:rsidR="0043690B" w:rsidRPr="002C0E44">
        <w:rPr>
          <w:rFonts w:ascii="Times New Roman" w:hAnsi="Times New Roman" w:cs="Times New Roman"/>
          <w:sz w:val="24"/>
          <w:szCs w:val="24"/>
        </w:rPr>
        <w:t>,</w:t>
      </w:r>
      <w:r w:rsidR="00B3086D" w:rsidRPr="002C0E44">
        <w:rPr>
          <w:rFonts w:ascii="Times New Roman" w:hAnsi="Times New Roman" w:cs="Times New Roman"/>
          <w:sz w:val="24"/>
          <w:szCs w:val="24"/>
        </w:rPr>
        <w:t xml:space="preserve"> nawet jeżeli w jednym z kolejnych lat obrotowych nie przekroczy ww. wysokości przychodów</w:t>
      </w:r>
      <w:r w:rsidR="00806BBF" w:rsidRPr="002C0E44">
        <w:rPr>
          <w:rFonts w:ascii="Times New Roman" w:hAnsi="Times New Roman" w:cs="Times New Roman"/>
          <w:sz w:val="24"/>
          <w:szCs w:val="24"/>
        </w:rPr>
        <w:t xml:space="preserve"> (warunek przekraczania ww. przychodów w dwóch kolejnych latach obrotowych nie będzie miał tu już zastosowania).</w:t>
      </w:r>
      <w:r w:rsidR="00B3086D" w:rsidRPr="002C0E44">
        <w:rPr>
          <w:rFonts w:ascii="Times New Roman" w:hAnsi="Times New Roman" w:cs="Times New Roman"/>
          <w:sz w:val="24"/>
          <w:szCs w:val="24"/>
        </w:rPr>
        <w:t xml:space="preserve"> Obowiązek sprawozdawczy ustanie dla niej dopiero w przypadku, gdy kwota wygenerowanych przez nią przychodów </w:t>
      </w:r>
      <w:r w:rsidR="00B3086D" w:rsidRPr="002C0E44">
        <w:rPr>
          <w:rFonts w:ascii="Times New Roman" w:hAnsi="Times New Roman" w:cs="Times New Roman"/>
          <w:sz w:val="24"/>
          <w:szCs w:val="24"/>
          <w:u w:val="single"/>
        </w:rPr>
        <w:t>nie przekroczy</w:t>
      </w:r>
      <w:r w:rsidR="00B3086D" w:rsidRPr="002C0E44">
        <w:rPr>
          <w:rFonts w:ascii="Times New Roman" w:hAnsi="Times New Roman" w:cs="Times New Roman"/>
          <w:sz w:val="24"/>
          <w:szCs w:val="24"/>
        </w:rPr>
        <w:t xml:space="preserve"> wysokości 3,5 mld złotych </w:t>
      </w:r>
      <w:r w:rsidR="00B3086D" w:rsidRPr="002C0E44">
        <w:rPr>
          <w:rFonts w:ascii="Times New Roman" w:hAnsi="Times New Roman" w:cs="Times New Roman"/>
          <w:sz w:val="24"/>
          <w:szCs w:val="24"/>
          <w:u w:val="single"/>
        </w:rPr>
        <w:t>w dwóch kolejnych</w:t>
      </w:r>
      <w:r w:rsidR="00B3086D" w:rsidRPr="002C0E44">
        <w:rPr>
          <w:rFonts w:ascii="Times New Roman" w:hAnsi="Times New Roman" w:cs="Times New Roman"/>
          <w:sz w:val="24"/>
          <w:szCs w:val="24"/>
        </w:rPr>
        <w:t xml:space="preserve"> latach obrotowych</w:t>
      </w:r>
      <w:r w:rsidR="00806BBF" w:rsidRPr="002C0E44">
        <w:rPr>
          <w:rFonts w:ascii="Times New Roman" w:hAnsi="Times New Roman" w:cs="Times New Roman"/>
          <w:sz w:val="24"/>
          <w:szCs w:val="24"/>
        </w:rPr>
        <w:t xml:space="preserve"> (por. art. 63m ust. 6)</w:t>
      </w:r>
      <w:r w:rsidR="00B3086D" w:rsidRPr="002C0E44">
        <w:rPr>
          <w:rFonts w:ascii="Times New Roman" w:hAnsi="Times New Roman" w:cs="Times New Roman"/>
          <w:sz w:val="24"/>
          <w:szCs w:val="24"/>
        </w:rPr>
        <w:t>.</w:t>
      </w:r>
      <w:r w:rsidR="00DD4F52" w:rsidRPr="002C0E44">
        <w:rPr>
          <w:rFonts w:ascii="Times New Roman" w:hAnsi="Times New Roman" w:cs="Times New Roman"/>
          <w:sz w:val="24"/>
          <w:szCs w:val="24"/>
        </w:rPr>
        <w:t xml:space="preserve"> Bowiem zapisy ust. 1 należy czytać łącznie z zapisami ust. 6.</w:t>
      </w:r>
      <w:r w:rsidR="0043690B" w:rsidRPr="002C0E44">
        <w:rPr>
          <w:rFonts w:ascii="Times New Roman" w:hAnsi="Times New Roman" w:cs="Times New Roman"/>
          <w:sz w:val="24"/>
          <w:szCs w:val="24"/>
        </w:rPr>
        <w:t xml:space="preserve"> Podobnie te same zasady będą miały zastosowanie w przypadku jednostek zależnych i oddziałów, o których mowa w art. 63n ust. 1 – warunkiem wejścia w obowiązek sprawozdawczy będzie przekroczenie odpowiednich wielkości </w:t>
      </w:r>
      <w:r w:rsidR="00424CA3" w:rsidRPr="002C0E44">
        <w:rPr>
          <w:rFonts w:ascii="Times New Roman" w:hAnsi="Times New Roman" w:cs="Times New Roman"/>
          <w:sz w:val="24"/>
          <w:szCs w:val="24"/>
        </w:rPr>
        <w:t xml:space="preserve">(zarówno przez same jednostki zależne czy oddziały, jak również przez jednostki, które je kontrolują lub utworzyły) </w:t>
      </w:r>
      <w:r w:rsidR="0043690B" w:rsidRPr="002C0E44">
        <w:rPr>
          <w:rFonts w:ascii="Times New Roman" w:hAnsi="Times New Roman" w:cs="Times New Roman"/>
          <w:sz w:val="24"/>
          <w:szCs w:val="24"/>
        </w:rPr>
        <w:t>w dwóch kolejnych latach obrotowych, podczas gdy obowiązek ten ustanie dopiero w momencie, gdy</w:t>
      </w:r>
      <w:r w:rsidR="00424CA3" w:rsidRPr="002C0E44">
        <w:rPr>
          <w:rFonts w:ascii="Times New Roman" w:hAnsi="Times New Roman" w:cs="Times New Roman"/>
          <w:sz w:val="24"/>
          <w:szCs w:val="24"/>
        </w:rPr>
        <w:t xml:space="preserve"> wielkości te nie będą przekroczone również w dwóch kolejnych latach obrotowych (por.</w:t>
      </w:r>
      <w:r w:rsidR="004E7D6F">
        <w:rPr>
          <w:rFonts w:ascii="Times New Roman" w:hAnsi="Times New Roman" w:cs="Times New Roman"/>
          <w:sz w:val="24"/>
          <w:szCs w:val="24"/>
        </w:rPr>
        <w:t> </w:t>
      </w:r>
      <w:r w:rsidR="00424CA3" w:rsidRPr="002C0E44">
        <w:rPr>
          <w:rFonts w:ascii="Times New Roman" w:hAnsi="Times New Roman" w:cs="Times New Roman"/>
          <w:sz w:val="24"/>
          <w:szCs w:val="24"/>
        </w:rPr>
        <w:t>art.</w:t>
      </w:r>
      <w:r w:rsidR="004E7D6F">
        <w:rPr>
          <w:rFonts w:ascii="Times New Roman" w:hAnsi="Times New Roman" w:cs="Times New Roman"/>
          <w:sz w:val="24"/>
          <w:szCs w:val="24"/>
        </w:rPr>
        <w:t> </w:t>
      </w:r>
      <w:r w:rsidR="00424CA3" w:rsidRPr="002C0E44">
        <w:rPr>
          <w:rFonts w:ascii="Times New Roman" w:hAnsi="Times New Roman" w:cs="Times New Roman"/>
          <w:sz w:val="24"/>
          <w:szCs w:val="24"/>
        </w:rPr>
        <w:t>63n ust. 8).</w:t>
      </w:r>
    </w:p>
    <w:p w14:paraId="64A598FA" w14:textId="0E7B029C" w:rsidR="00F84A5B" w:rsidRPr="002C0E44" w:rsidRDefault="00400901" w:rsidP="002C0E44">
      <w:pPr>
        <w:spacing w:before="120"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E44">
        <w:rPr>
          <w:rFonts w:ascii="Times New Roman" w:hAnsi="Times New Roman" w:cs="Times New Roman"/>
          <w:sz w:val="24"/>
          <w:szCs w:val="24"/>
        </w:rPr>
        <w:t xml:space="preserve">W </w:t>
      </w:r>
      <w:r w:rsidRPr="002C0E44">
        <w:rPr>
          <w:rFonts w:ascii="Times New Roman" w:hAnsi="Times New Roman" w:cs="Times New Roman"/>
          <w:b/>
          <w:sz w:val="24"/>
          <w:szCs w:val="24"/>
        </w:rPr>
        <w:t>art. 63</w:t>
      </w:r>
      <w:r w:rsidR="00E70584" w:rsidRPr="002C0E44">
        <w:rPr>
          <w:rFonts w:ascii="Times New Roman" w:hAnsi="Times New Roman" w:cs="Times New Roman"/>
          <w:b/>
          <w:sz w:val="24"/>
          <w:szCs w:val="24"/>
        </w:rPr>
        <w:t>m</w:t>
      </w:r>
      <w:r w:rsidR="00541ECA" w:rsidRPr="002C0E44">
        <w:rPr>
          <w:rFonts w:ascii="Times New Roman" w:hAnsi="Times New Roman" w:cs="Times New Roman"/>
          <w:b/>
          <w:sz w:val="24"/>
          <w:szCs w:val="24"/>
        </w:rPr>
        <w:t xml:space="preserve"> ust. 3 </w:t>
      </w:r>
      <w:r w:rsidR="00F84A5B" w:rsidRPr="002C0E44">
        <w:rPr>
          <w:rFonts w:ascii="Times New Roman" w:hAnsi="Times New Roman" w:cs="Times New Roman"/>
          <w:sz w:val="24"/>
          <w:szCs w:val="24"/>
        </w:rPr>
        <w:t xml:space="preserve">wprowadza możliwość niesporządzania sprawozdania o podatku dochodowym zgodnie z ustawą o rachunkowości, w </w:t>
      </w:r>
      <w:r w:rsidR="00A540D8" w:rsidRPr="002C0E44">
        <w:rPr>
          <w:rFonts w:ascii="Times New Roman" w:hAnsi="Times New Roman" w:cs="Times New Roman"/>
          <w:sz w:val="24"/>
          <w:szCs w:val="24"/>
        </w:rPr>
        <w:t>sytuacji gdy</w:t>
      </w:r>
      <w:r w:rsidR="00F84A5B" w:rsidRPr="002C0E44">
        <w:rPr>
          <w:rFonts w:ascii="Times New Roman" w:hAnsi="Times New Roman" w:cs="Times New Roman"/>
          <w:sz w:val="24"/>
          <w:szCs w:val="24"/>
        </w:rPr>
        <w:t>:</w:t>
      </w:r>
    </w:p>
    <w:p w14:paraId="056DF1B0" w14:textId="7FBE5564" w:rsidR="00F84A5B" w:rsidRPr="002C0E44" w:rsidRDefault="004A416E" w:rsidP="002C0E44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E44">
        <w:rPr>
          <w:rFonts w:ascii="Times New Roman" w:hAnsi="Times New Roman" w:cs="Times New Roman"/>
          <w:sz w:val="24"/>
          <w:szCs w:val="24"/>
        </w:rPr>
        <w:t xml:space="preserve">– </w:t>
      </w:r>
      <w:r w:rsidR="00F84A5B" w:rsidRPr="002C0E44">
        <w:rPr>
          <w:rFonts w:ascii="Times New Roman" w:hAnsi="Times New Roman" w:cs="Times New Roman"/>
          <w:sz w:val="24"/>
          <w:szCs w:val="24"/>
        </w:rPr>
        <w:t>jednostka samodzielna, w tym jej oddziały</w:t>
      </w:r>
      <w:r w:rsidR="00D81926" w:rsidRPr="002C0E44">
        <w:rPr>
          <w:rFonts w:ascii="Times New Roman" w:hAnsi="Times New Roman" w:cs="Times New Roman"/>
          <w:sz w:val="24"/>
          <w:szCs w:val="24"/>
        </w:rPr>
        <w:t>,</w:t>
      </w:r>
      <w:r w:rsidR="00F84A5B" w:rsidRPr="002C0E44">
        <w:rPr>
          <w:rFonts w:ascii="Times New Roman" w:hAnsi="Times New Roman" w:cs="Times New Roman"/>
          <w:sz w:val="24"/>
          <w:szCs w:val="24"/>
        </w:rPr>
        <w:t xml:space="preserve"> lub jednostka dominująca najwyższego szczebla i jej wszystkie jednostki </w:t>
      </w:r>
      <w:r w:rsidR="00E46A4A" w:rsidRPr="002C0E44">
        <w:rPr>
          <w:rFonts w:ascii="Times New Roman" w:hAnsi="Times New Roman" w:cs="Times New Roman"/>
          <w:sz w:val="24"/>
          <w:szCs w:val="24"/>
        </w:rPr>
        <w:t>zależne</w:t>
      </w:r>
      <w:r w:rsidR="00D81926" w:rsidRPr="002C0E44">
        <w:rPr>
          <w:rFonts w:ascii="Times New Roman" w:hAnsi="Times New Roman" w:cs="Times New Roman"/>
          <w:sz w:val="24"/>
          <w:szCs w:val="24"/>
        </w:rPr>
        <w:t xml:space="preserve"> oraz ich oddziały</w:t>
      </w:r>
      <w:r w:rsidR="00F84A5B" w:rsidRPr="002C0E44">
        <w:rPr>
          <w:rFonts w:ascii="Times New Roman" w:hAnsi="Times New Roman" w:cs="Times New Roman"/>
          <w:sz w:val="24"/>
          <w:szCs w:val="24"/>
        </w:rPr>
        <w:t xml:space="preserve"> mają siedzibę lub stałe miejsce prowadzenia działalności </w:t>
      </w:r>
      <w:r w:rsidR="00E46A4A" w:rsidRPr="002C0E44">
        <w:rPr>
          <w:rFonts w:ascii="Times New Roman" w:hAnsi="Times New Roman" w:cs="Times New Roman"/>
          <w:sz w:val="24"/>
          <w:szCs w:val="24"/>
        </w:rPr>
        <w:t xml:space="preserve">wyłącznie </w:t>
      </w:r>
      <w:r w:rsidR="00F84A5B" w:rsidRPr="002C0E44">
        <w:rPr>
          <w:rFonts w:ascii="Times New Roman" w:hAnsi="Times New Roman" w:cs="Times New Roman"/>
          <w:sz w:val="24"/>
          <w:szCs w:val="24"/>
        </w:rPr>
        <w:t>na terytorium Rzeczypospolitej Polskiej</w:t>
      </w:r>
      <w:r w:rsidR="00D81926" w:rsidRPr="002C0E44">
        <w:rPr>
          <w:rFonts w:ascii="Times New Roman" w:hAnsi="Times New Roman" w:cs="Times New Roman"/>
          <w:sz w:val="24"/>
          <w:szCs w:val="24"/>
        </w:rPr>
        <w:t xml:space="preserve"> (implementacja art. 48b ust.</w:t>
      </w:r>
      <w:r w:rsidR="004E7D6F">
        <w:rPr>
          <w:rFonts w:ascii="Times New Roman" w:hAnsi="Times New Roman" w:cs="Times New Roman"/>
          <w:sz w:val="24"/>
          <w:szCs w:val="24"/>
        </w:rPr>
        <w:t> </w:t>
      </w:r>
      <w:r w:rsidR="00D81926" w:rsidRPr="002C0E44">
        <w:rPr>
          <w:rFonts w:ascii="Times New Roman" w:hAnsi="Times New Roman" w:cs="Times New Roman"/>
          <w:sz w:val="24"/>
          <w:szCs w:val="24"/>
        </w:rPr>
        <w:t>2 dyrektywy 2021/2101)</w:t>
      </w:r>
      <w:r w:rsidR="00F84A5B" w:rsidRPr="002C0E44">
        <w:rPr>
          <w:rFonts w:ascii="Times New Roman" w:hAnsi="Times New Roman" w:cs="Times New Roman"/>
          <w:sz w:val="24"/>
          <w:szCs w:val="24"/>
        </w:rPr>
        <w:t>, lub</w:t>
      </w:r>
    </w:p>
    <w:p w14:paraId="53D6C245" w14:textId="08399200" w:rsidR="00F84A5B" w:rsidRPr="002C0E44" w:rsidRDefault="004A416E" w:rsidP="002C0E44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E44">
        <w:rPr>
          <w:rFonts w:ascii="Times New Roman" w:hAnsi="Times New Roman" w:cs="Times New Roman"/>
          <w:sz w:val="24"/>
          <w:szCs w:val="24"/>
        </w:rPr>
        <w:t xml:space="preserve">– </w:t>
      </w:r>
      <w:r w:rsidR="00F84A5B" w:rsidRPr="002C0E44">
        <w:rPr>
          <w:rFonts w:ascii="Times New Roman" w:hAnsi="Times New Roman" w:cs="Times New Roman"/>
          <w:sz w:val="24"/>
          <w:szCs w:val="24"/>
        </w:rPr>
        <w:t>jednostka samodzielna lub jednostka dominująca najwyższego szczebla ujawniają sprawozdanie zgodnie z wymogami art. 111a. ust. 1</w:t>
      </w:r>
      <w:r w:rsidR="007047EC" w:rsidRPr="002C0E44">
        <w:rPr>
          <w:rFonts w:ascii="Times New Roman" w:hAnsi="Times New Roman" w:cs="Times New Roman"/>
          <w:sz w:val="24"/>
          <w:szCs w:val="24"/>
        </w:rPr>
        <w:t xml:space="preserve"> pkt 1</w:t>
      </w:r>
      <w:r w:rsidR="00F84A5B" w:rsidRPr="002C0E44">
        <w:rPr>
          <w:rFonts w:ascii="Times New Roman" w:hAnsi="Times New Roman" w:cs="Times New Roman"/>
          <w:sz w:val="24"/>
          <w:szCs w:val="24"/>
        </w:rPr>
        <w:t xml:space="preserve"> i</w:t>
      </w:r>
      <w:r w:rsidR="007047EC" w:rsidRPr="002C0E44">
        <w:rPr>
          <w:rFonts w:ascii="Times New Roman" w:hAnsi="Times New Roman" w:cs="Times New Roman"/>
          <w:sz w:val="24"/>
          <w:szCs w:val="24"/>
        </w:rPr>
        <w:t xml:space="preserve"> ust.</w:t>
      </w:r>
      <w:r w:rsidR="00F84A5B" w:rsidRPr="002C0E44">
        <w:rPr>
          <w:rFonts w:ascii="Times New Roman" w:hAnsi="Times New Roman" w:cs="Times New Roman"/>
          <w:sz w:val="24"/>
          <w:szCs w:val="24"/>
        </w:rPr>
        <w:t xml:space="preserve"> 2 Prawa bankowego pod warunkiem</w:t>
      </w:r>
      <w:r w:rsidR="00491163">
        <w:rPr>
          <w:rFonts w:ascii="Times New Roman" w:hAnsi="Times New Roman" w:cs="Times New Roman"/>
          <w:sz w:val="24"/>
          <w:szCs w:val="24"/>
        </w:rPr>
        <w:t>,</w:t>
      </w:r>
      <w:r w:rsidR="00F84A5B" w:rsidRPr="002C0E44">
        <w:rPr>
          <w:rFonts w:ascii="Times New Roman" w:hAnsi="Times New Roman" w:cs="Times New Roman"/>
          <w:sz w:val="24"/>
          <w:szCs w:val="24"/>
        </w:rPr>
        <w:t xml:space="preserve"> że sprawozdanie to zawiera informacje o całej działalności jednostki samodzielnej lub o całej działalności prowadzonej przez wszystkie jednostki powiązane objęte skonsolidowanym sprawozdaniem finansowym jednostki</w:t>
      </w:r>
      <w:r w:rsidR="007047EC" w:rsidRPr="002C0E44">
        <w:rPr>
          <w:rFonts w:ascii="Times New Roman" w:hAnsi="Times New Roman" w:cs="Times New Roman"/>
          <w:sz w:val="24"/>
          <w:szCs w:val="24"/>
        </w:rPr>
        <w:t xml:space="preserve"> dominującej najwyższego szczebla (implementacja art. 48b ust. 3 dyrektywy 2021/2101)</w:t>
      </w:r>
      <w:r w:rsidR="00F84A5B" w:rsidRPr="002C0E44">
        <w:rPr>
          <w:rFonts w:ascii="Times New Roman" w:hAnsi="Times New Roman" w:cs="Times New Roman"/>
          <w:sz w:val="24"/>
          <w:szCs w:val="24"/>
        </w:rPr>
        <w:t>.</w:t>
      </w:r>
    </w:p>
    <w:p w14:paraId="00531C50" w14:textId="28110AEE" w:rsidR="00E8466C" w:rsidRPr="002C0E44" w:rsidRDefault="00E8466C" w:rsidP="002C0E44">
      <w:pPr>
        <w:spacing w:before="120"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E44">
        <w:rPr>
          <w:rFonts w:ascii="Times New Roman" w:hAnsi="Times New Roman" w:cs="Times New Roman"/>
          <w:sz w:val="24"/>
          <w:szCs w:val="24"/>
        </w:rPr>
        <w:t xml:space="preserve">W </w:t>
      </w:r>
      <w:r w:rsidRPr="002C0E44">
        <w:rPr>
          <w:rFonts w:ascii="Times New Roman" w:hAnsi="Times New Roman" w:cs="Times New Roman"/>
          <w:b/>
          <w:sz w:val="24"/>
          <w:szCs w:val="24"/>
        </w:rPr>
        <w:t>art. 63m ust. 4</w:t>
      </w:r>
      <w:r w:rsidR="00D131F1" w:rsidRPr="002C0E44">
        <w:rPr>
          <w:rFonts w:ascii="Times New Roman" w:hAnsi="Times New Roman" w:cs="Times New Roman"/>
          <w:b/>
          <w:sz w:val="24"/>
          <w:szCs w:val="24"/>
        </w:rPr>
        <w:t xml:space="preserve"> i 5</w:t>
      </w:r>
      <w:r w:rsidRPr="002C0E44">
        <w:rPr>
          <w:rFonts w:ascii="Times New Roman" w:hAnsi="Times New Roman" w:cs="Times New Roman"/>
          <w:sz w:val="24"/>
          <w:szCs w:val="24"/>
        </w:rPr>
        <w:t xml:space="preserve"> doprecyzowuj</w:t>
      </w:r>
      <w:r w:rsidR="002763E8" w:rsidRPr="002C0E44">
        <w:rPr>
          <w:rFonts w:ascii="Times New Roman" w:hAnsi="Times New Roman" w:cs="Times New Roman"/>
          <w:sz w:val="24"/>
          <w:szCs w:val="24"/>
        </w:rPr>
        <w:t>ą</w:t>
      </w:r>
      <w:r w:rsidRPr="002C0E44">
        <w:rPr>
          <w:rFonts w:ascii="Times New Roman" w:hAnsi="Times New Roman" w:cs="Times New Roman"/>
          <w:sz w:val="24"/>
          <w:szCs w:val="24"/>
        </w:rPr>
        <w:t xml:space="preserve"> obowiązki związane z publikacją oraz udostępnieniem, o których wspomniano w ust. 1 </w:t>
      </w:r>
      <w:r w:rsidR="00345040" w:rsidRPr="002C0E44">
        <w:rPr>
          <w:rFonts w:ascii="Times New Roman" w:hAnsi="Times New Roman" w:cs="Times New Roman"/>
          <w:sz w:val="24"/>
          <w:szCs w:val="24"/>
        </w:rPr>
        <w:t>tego</w:t>
      </w:r>
      <w:r w:rsidRPr="002C0E44">
        <w:rPr>
          <w:rFonts w:ascii="Times New Roman" w:hAnsi="Times New Roman" w:cs="Times New Roman"/>
          <w:sz w:val="24"/>
          <w:szCs w:val="24"/>
        </w:rPr>
        <w:t xml:space="preserve"> artykułu. I tak w terminie 12 miesięcy od dnia bilansowego będzie ono musiało zostać:</w:t>
      </w:r>
    </w:p>
    <w:p w14:paraId="07074D89" w14:textId="14AF6569" w:rsidR="00E8466C" w:rsidRPr="002C0E44" w:rsidRDefault="004A416E" w:rsidP="002C0E44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E44">
        <w:rPr>
          <w:rFonts w:ascii="Times New Roman" w:hAnsi="Times New Roman" w:cs="Times New Roman"/>
          <w:sz w:val="24"/>
          <w:szCs w:val="24"/>
        </w:rPr>
        <w:lastRenderedPageBreak/>
        <w:t xml:space="preserve">– </w:t>
      </w:r>
      <w:r w:rsidR="00E8466C" w:rsidRPr="002C0E44">
        <w:rPr>
          <w:rFonts w:ascii="Times New Roman" w:hAnsi="Times New Roman" w:cs="Times New Roman"/>
          <w:sz w:val="24"/>
          <w:szCs w:val="24"/>
        </w:rPr>
        <w:t xml:space="preserve">złożone do Krajowego Rejestru Sądowego (publikacja); wraz ze sprawozdaniem </w:t>
      </w:r>
      <w:r w:rsidRPr="002C0E44">
        <w:rPr>
          <w:rFonts w:ascii="Times New Roman" w:hAnsi="Times New Roman" w:cs="Times New Roman"/>
          <w:sz w:val="24"/>
          <w:szCs w:val="24"/>
        </w:rPr>
        <w:t xml:space="preserve">będą </w:t>
      </w:r>
      <w:r w:rsidR="00EF64A7" w:rsidRPr="002C0E44">
        <w:rPr>
          <w:rFonts w:ascii="Times New Roman" w:hAnsi="Times New Roman" w:cs="Times New Roman"/>
          <w:sz w:val="24"/>
          <w:szCs w:val="24"/>
        </w:rPr>
        <w:t xml:space="preserve">musiały być także </w:t>
      </w:r>
      <w:r w:rsidR="00E8466C" w:rsidRPr="002C0E44">
        <w:rPr>
          <w:rFonts w:ascii="Times New Roman" w:hAnsi="Times New Roman" w:cs="Times New Roman"/>
          <w:sz w:val="24"/>
          <w:szCs w:val="24"/>
        </w:rPr>
        <w:t>złożone</w:t>
      </w:r>
      <w:r w:rsidR="00046140" w:rsidRPr="002C0E44">
        <w:rPr>
          <w:rFonts w:ascii="Times New Roman" w:hAnsi="Times New Roman" w:cs="Times New Roman"/>
          <w:sz w:val="24"/>
          <w:szCs w:val="24"/>
        </w:rPr>
        <w:t xml:space="preserve">: </w:t>
      </w:r>
      <w:r w:rsidR="00E8466C" w:rsidRPr="002C0E44">
        <w:rPr>
          <w:rFonts w:ascii="Times New Roman" w:hAnsi="Times New Roman" w:cs="Times New Roman"/>
          <w:sz w:val="24"/>
          <w:szCs w:val="24"/>
        </w:rPr>
        <w:t>odmowa podpisu tego sprawozdania oraz oświadczenie, że sprawozdanie spełnia wymagania przewidziane w ustawie lub odm</w:t>
      </w:r>
      <w:r w:rsidR="00046140" w:rsidRPr="002C0E44">
        <w:rPr>
          <w:rFonts w:ascii="Times New Roman" w:hAnsi="Times New Roman" w:cs="Times New Roman"/>
          <w:sz w:val="24"/>
          <w:szCs w:val="24"/>
        </w:rPr>
        <w:t>owa</w:t>
      </w:r>
      <w:r w:rsidR="00E8466C" w:rsidRPr="002C0E44">
        <w:rPr>
          <w:rFonts w:ascii="Times New Roman" w:hAnsi="Times New Roman" w:cs="Times New Roman"/>
          <w:sz w:val="24"/>
          <w:szCs w:val="24"/>
        </w:rPr>
        <w:t xml:space="preserve"> złożenia taki</w:t>
      </w:r>
      <w:r w:rsidR="00046140" w:rsidRPr="002C0E44">
        <w:rPr>
          <w:rFonts w:ascii="Times New Roman" w:hAnsi="Times New Roman" w:cs="Times New Roman"/>
          <w:sz w:val="24"/>
          <w:szCs w:val="24"/>
        </w:rPr>
        <w:t>ego</w:t>
      </w:r>
      <w:r w:rsidR="00E8466C" w:rsidRPr="002C0E44">
        <w:rPr>
          <w:rFonts w:ascii="Times New Roman" w:hAnsi="Times New Roman" w:cs="Times New Roman"/>
          <w:sz w:val="24"/>
          <w:szCs w:val="24"/>
        </w:rPr>
        <w:t xml:space="preserve"> oświadcze</w:t>
      </w:r>
      <w:r w:rsidR="00443370" w:rsidRPr="002C0E44">
        <w:rPr>
          <w:rFonts w:ascii="Times New Roman" w:hAnsi="Times New Roman" w:cs="Times New Roman"/>
          <w:sz w:val="24"/>
          <w:szCs w:val="24"/>
        </w:rPr>
        <w:t>nia</w:t>
      </w:r>
      <w:r w:rsidR="00046140" w:rsidRPr="002C0E44">
        <w:rPr>
          <w:rFonts w:ascii="Times New Roman" w:hAnsi="Times New Roman" w:cs="Times New Roman"/>
          <w:sz w:val="24"/>
          <w:szCs w:val="24"/>
        </w:rPr>
        <w:t xml:space="preserve">, jeżeli </w:t>
      </w:r>
      <w:r w:rsidR="00214394" w:rsidRPr="002C0E44">
        <w:rPr>
          <w:rFonts w:ascii="Times New Roman" w:hAnsi="Times New Roman" w:cs="Times New Roman"/>
          <w:sz w:val="24"/>
          <w:szCs w:val="24"/>
        </w:rPr>
        <w:t xml:space="preserve">dokumenty te </w:t>
      </w:r>
      <w:r w:rsidR="00046140" w:rsidRPr="002C0E44">
        <w:rPr>
          <w:rFonts w:ascii="Times New Roman" w:hAnsi="Times New Roman" w:cs="Times New Roman"/>
          <w:sz w:val="24"/>
          <w:szCs w:val="24"/>
        </w:rPr>
        <w:t>zostały sporządzone</w:t>
      </w:r>
      <w:r w:rsidR="00D26CD1" w:rsidRPr="002C0E44">
        <w:rPr>
          <w:rFonts w:ascii="Times New Roman" w:hAnsi="Times New Roman" w:cs="Times New Roman"/>
          <w:sz w:val="24"/>
          <w:szCs w:val="24"/>
        </w:rPr>
        <w:t xml:space="preserve"> oraz</w:t>
      </w:r>
    </w:p>
    <w:p w14:paraId="68E23C0E" w14:textId="0F47C2D6" w:rsidR="00046140" w:rsidRPr="002C0E44" w:rsidRDefault="004A416E" w:rsidP="002C0E44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E44">
        <w:rPr>
          <w:rFonts w:ascii="Times New Roman" w:hAnsi="Times New Roman" w:cs="Times New Roman"/>
          <w:sz w:val="24"/>
          <w:szCs w:val="24"/>
        </w:rPr>
        <w:t xml:space="preserve">– </w:t>
      </w:r>
      <w:r w:rsidR="00046140" w:rsidRPr="002C0E44">
        <w:rPr>
          <w:rFonts w:ascii="Times New Roman" w:hAnsi="Times New Roman" w:cs="Times New Roman"/>
          <w:sz w:val="24"/>
          <w:szCs w:val="24"/>
        </w:rPr>
        <w:t>zamieszczone na stronie internetowej jednostki (udostępnienie) i być tam dostępne przez okres co najmniej 5 lat.</w:t>
      </w:r>
    </w:p>
    <w:p w14:paraId="0F549129" w14:textId="03854E94" w:rsidR="00046140" w:rsidRPr="002C0E44" w:rsidRDefault="00046140" w:rsidP="002C0E44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E44">
        <w:rPr>
          <w:rFonts w:ascii="Times New Roman" w:hAnsi="Times New Roman" w:cs="Times New Roman"/>
          <w:sz w:val="24"/>
          <w:szCs w:val="24"/>
        </w:rPr>
        <w:t>Powyższe przepisy stanowią implementację art. 48d ust. 1 i 2 dyrektywy.</w:t>
      </w:r>
    </w:p>
    <w:p w14:paraId="4944CC99" w14:textId="0DF3BD9A" w:rsidR="004E1A9E" w:rsidRPr="002C0E44" w:rsidRDefault="00B32809" w:rsidP="002C0E44">
      <w:pPr>
        <w:spacing w:before="120"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E44">
        <w:rPr>
          <w:rFonts w:ascii="Times New Roman" w:hAnsi="Times New Roman" w:cs="Times New Roman"/>
          <w:b/>
          <w:sz w:val="24"/>
          <w:szCs w:val="24"/>
        </w:rPr>
        <w:t>Art. 63</w:t>
      </w:r>
      <w:r w:rsidR="00E70584" w:rsidRPr="002C0E44">
        <w:rPr>
          <w:rFonts w:ascii="Times New Roman" w:hAnsi="Times New Roman" w:cs="Times New Roman"/>
          <w:b/>
          <w:sz w:val="24"/>
          <w:szCs w:val="24"/>
        </w:rPr>
        <w:t>m</w:t>
      </w:r>
      <w:r w:rsidRPr="002C0E44">
        <w:rPr>
          <w:rFonts w:ascii="Times New Roman" w:hAnsi="Times New Roman" w:cs="Times New Roman"/>
          <w:b/>
          <w:sz w:val="24"/>
          <w:szCs w:val="24"/>
        </w:rPr>
        <w:t xml:space="preserve"> ust. </w:t>
      </w:r>
      <w:r w:rsidR="002763E8" w:rsidRPr="002C0E44">
        <w:rPr>
          <w:rFonts w:ascii="Times New Roman" w:hAnsi="Times New Roman" w:cs="Times New Roman"/>
          <w:b/>
          <w:sz w:val="24"/>
          <w:szCs w:val="24"/>
        </w:rPr>
        <w:t>6</w:t>
      </w:r>
      <w:r w:rsidRPr="002C0E44">
        <w:rPr>
          <w:rFonts w:ascii="Times New Roman" w:hAnsi="Times New Roman" w:cs="Times New Roman"/>
          <w:sz w:val="24"/>
          <w:szCs w:val="24"/>
        </w:rPr>
        <w:t xml:space="preserve"> </w:t>
      </w:r>
      <w:r w:rsidR="00324365" w:rsidRPr="002C0E44">
        <w:rPr>
          <w:rFonts w:ascii="Times New Roman" w:hAnsi="Times New Roman" w:cs="Times New Roman"/>
          <w:sz w:val="24"/>
          <w:szCs w:val="24"/>
        </w:rPr>
        <w:t xml:space="preserve">(na podstawie art. 48b ust. 1 akapit drugi i czwarty dyrektywy 2021/2101) </w:t>
      </w:r>
      <w:r w:rsidR="00851CD5" w:rsidRPr="002C0E44">
        <w:rPr>
          <w:rFonts w:ascii="Times New Roman" w:hAnsi="Times New Roman" w:cs="Times New Roman"/>
          <w:sz w:val="24"/>
          <w:szCs w:val="24"/>
        </w:rPr>
        <w:t xml:space="preserve">określa </w:t>
      </w:r>
      <w:r w:rsidR="009028DA" w:rsidRPr="002C0E44">
        <w:rPr>
          <w:rFonts w:ascii="Times New Roman" w:hAnsi="Times New Roman" w:cs="Times New Roman"/>
          <w:sz w:val="24"/>
          <w:szCs w:val="24"/>
        </w:rPr>
        <w:t>moment,</w:t>
      </w:r>
      <w:r w:rsidR="00851CD5" w:rsidRPr="002C0E44">
        <w:rPr>
          <w:rFonts w:ascii="Times New Roman" w:hAnsi="Times New Roman" w:cs="Times New Roman"/>
          <w:sz w:val="24"/>
          <w:szCs w:val="24"/>
        </w:rPr>
        <w:t xml:space="preserve"> w który</w:t>
      </w:r>
      <w:r w:rsidR="009028DA" w:rsidRPr="002C0E44">
        <w:rPr>
          <w:rFonts w:ascii="Times New Roman" w:hAnsi="Times New Roman" w:cs="Times New Roman"/>
          <w:sz w:val="24"/>
          <w:szCs w:val="24"/>
        </w:rPr>
        <w:t>m</w:t>
      </w:r>
      <w:r w:rsidR="00851CD5" w:rsidRPr="002C0E44">
        <w:rPr>
          <w:rFonts w:ascii="Times New Roman" w:hAnsi="Times New Roman" w:cs="Times New Roman"/>
          <w:sz w:val="24"/>
          <w:szCs w:val="24"/>
        </w:rPr>
        <w:t xml:space="preserve"> jednostki</w:t>
      </w:r>
      <w:r w:rsidR="009028DA" w:rsidRPr="002C0E44">
        <w:rPr>
          <w:rFonts w:ascii="Times New Roman" w:hAnsi="Times New Roman" w:cs="Times New Roman"/>
          <w:sz w:val="24"/>
          <w:szCs w:val="24"/>
        </w:rPr>
        <w:t xml:space="preserve"> już sporządzające sprawozdanie o podatku dochodowym</w:t>
      </w:r>
      <w:r w:rsidR="00851CD5" w:rsidRPr="002C0E44">
        <w:rPr>
          <w:rFonts w:ascii="Times New Roman" w:hAnsi="Times New Roman" w:cs="Times New Roman"/>
          <w:sz w:val="24"/>
          <w:szCs w:val="24"/>
        </w:rPr>
        <w:t xml:space="preserve"> przestają podlegać </w:t>
      </w:r>
      <w:r w:rsidR="009028DA" w:rsidRPr="002C0E44">
        <w:rPr>
          <w:rFonts w:ascii="Times New Roman" w:hAnsi="Times New Roman" w:cs="Times New Roman"/>
          <w:sz w:val="24"/>
          <w:szCs w:val="24"/>
        </w:rPr>
        <w:t xml:space="preserve">temu </w:t>
      </w:r>
      <w:r w:rsidR="00851CD5" w:rsidRPr="002C0E44">
        <w:rPr>
          <w:rFonts w:ascii="Times New Roman" w:hAnsi="Times New Roman" w:cs="Times New Roman"/>
          <w:sz w:val="24"/>
          <w:szCs w:val="24"/>
        </w:rPr>
        <w:t>obowiązko</w:t>
      </w:r>
      <w:r w:rsidR="009028DA" w:rsidRPr="002C0E44">
        <w:rPr>
          <w:rFonts w:ascii="Times New Roman" w:hAnsi="Times New Roman" w:cs="Times New Roman"/>
          <w:sz w:val="24"/>
          <w:szCs w:val="24"/>
        </w:rPr>
        <w:t>wi</w:t>
      </w:r>
      <w:r w:rsidR="00851CD5" w:rsidRPr="002C0E44">
        <w:rPr>
          <w:rFonts w:ascii="Times New Roman" w:hAnsi="Times New Roman" w:cs="Times New Roman"/>
          <w:sz w:val="24"/>
          <w:szCs w:val="24"/>
        </w:rPr>
        <w:t xml:space="preserve"> sprawozdawcz</w:t>
      </w:r>
      <w:r w:rsidR="009028DA" w:rsidRPr="002C0E44">
        <w:rPr>
          <w:rFonts w:ascii="Times New Roman" w:hAnsi="Times New Roman" w:cs="Times New Roman"/>
          <w:sz w:val="24"/>
          <w:szCs w:val="24"/>
        </w:rPr>
        <w:t>emu</w:t>
      </w:r>
      <w:r w:rsidR="00851CD5" w:rsidRPr="002C0E44">
        <w:rPr>
          <w:rFonts w:ascii="Times New Roman" w:hAnsi="Times New Roman" w:cs="Times New Roman"/>
          <w:sz w:val="24"/>
          <w:szCs w:val="24"/>
        </w:rPr>
        <w:t xml:space="preserve">. </w:t>
      </w:r>
      <w:r w:rsidR="009028DA" w:rsidRPr="002C0E44">
        <w:rPr>
          <w:rFonts w:ascii="Times New Roman" w:hAnsi="Times New Roman" w:cs="Times New Roman"/>
          <w:sz w:val="24"/>
          <w:szCs w:val="24"/>
        </w:rPr>
        <w:t>M</w:t>
      </w:r>
      <w:r w:rsidR="00851CD5" w:rsidRPr="002C0E44">
        <w:rPr>
          <w:rFonts w:ascii="Times New Roman" w:hAnsi="Times New Roman" w:cs="Times New Roman"/>
          <w:sz w:val="24"/>
          <w:szCs w:val="24"/>
        </w:rPr>
        <w:t>a</w:t>
      </w:r>
      <w:r w:rsidR="009028DA" w:rsidRPr="002C0E44">
        <w:rPr>
          <w:rFonts w:ascii="Times New Roman" w:hAnsi="Times New Roman" w:cs="Times New Roman"/>
          <w:sz w:val="24"/>
          <w:szCs w:val="24"/>
        </w:rPr>
        <w:t xml:space="preserve"> to</w:t>
      </w:r>
      <w:r w:rsidR="00851CD5" w:rsidRPr="002C0E44">
        <w:rPr>
          <w:rFonts w:ascii="Times New Roman" w:hAnsi="Times New Roman" w:cs="Times New Roman"/>
          <w:sz w:val="24"/>
          <w:szCs w:val="24"/>
        </w:rPr>
        <w:t xml:space="preserve"> miejsce</w:t>
      </w:r>
      <w:r w:rsidR="009028DA" w:rsidRPr="002C0E44">
        <w:rPr>
          <w:rFonts w:ascii="Times New Roman" w:hAnsi="Times New Roman" w:cs="Times New Roman"/>
          <w:sz w:val="24"/>
          <w:szCs w:val="24"/>
        </w:rPr>
        <w:t>,</w:t>
      </w:r>
      <w:r w:rsidR="00851CD5" w:rsidRPr="002C0E44">
        <w:rPr>
          <w:rFonts w:ascii="Times New Roman" w:hAnsi="Times New Roman" w:cs="Times New Roman"/>
          <w:sz w:val="24"/>
          <w:szCs w:val="24"/>
        </w:rPr>
        <w:t xml:space="preserve"> gdy dla każdego z dwóch </w:t>
      </w:r>
      <w:r w:rsidR="009028DA" w:rsidRPr="002C0E44">
        <w:rPr>
          <w:rFonts w:ascii="Times New Roman" w:hAnsi="Times New Roman" w:cs="Times New Roman"/>
          <w:sz w:val="24"/>
          <w:szCs w:val="24"/>
        </w:rPr>
        <w:t>ostatnich</w:t>
      </w:r>
      <w:r w:rsidR="00851CD5" w:rsidRPr="002C0E44">
        <w:rPr>
          <w:rFonts w:ascii="Times New Roman" w:hAnsi="Times New Roman" w:cs="Times New Roman"/>
          <w:sz w:val="24"/>
          <w:szCs w:val="24"/>
        </w:rPr>
        <w:t xml:space="preserve"> lat obrotowych kwota skonsolidowanych przychodów dla jednostki dominującej najwyższego szczebla</w:t>
      </w:r>
      <w:r w:rsidR="00D51A7C" w:rsidRPr="002C0E44">
        <w:rPr>
          <w:rFonts w:ascii="Times New Roman" w:hAnsi="Times New Roman" w:cs="Times New Roman"/>
          <w:sz w:val="24"/>
          <w:szCs w:val="24"/>
        </w:rPr>
        <w:t xml:space="preserve"> wskazanej w ust. 1 pkt 1</w:t>
      </w:r>
      <w:r w:rsidR="00851CD5" w:rsidRPr="002C0E44">
        <w:rPr>
          <w:rFonts w:ascii="Times New Roman" w:hAnsi="Times New Roman" w:cs="Times New Roman"/>
          <w:sz w:val="24"/>
          <w:szCs w:val="24"/>
        </w:rPr>
        <w:t xml:space="preserve"> lub kwota przychodów dla jednostki samodzielnej</w:t>
      </w:r>
      <w:r w:rsidR="009410AA" w:rsidRPr="002C0E44">
        <w:rPr>
          <w:rFonts w:ascii="Times New Roman" w:hAnsi="Times New Roman" w:cs="Times New Roman"/>
          <w:sz w:val="24"/>
          <w:szCs w:val="24"/>
        </w:rPr>
        <w:t xml:space="preserve"> wskazanej w ust. 1 pkt 2</w:t>
      </w:r>
      <w:r w:rsidR="00851CD5" w:rsidRPr="002C0E44">
        <w:rPr>
          <w:rFonts w:ascii="Times New Roman" w:hAnsi="Times New Roman" w:cs="Times New Roman"/>
          <w:sz w:val="24"/>
          <w:szCs w:val="24"/>
        </w:rPr>
        <w:t xml:space="preserve"> </w:t>
      </w:r>
      <w:r w:rsidR="00DF2563" w:rsidRPr="002C0E44">
        <w:rPr>
          <w:rFonts w:ascii="Times New Roman" w:hAnsi="Times New Roman" w:cs="Times New Roman"/>
          <w:sz w:val="24"/>
          <w:szCs w:val="24"/>
        </w:rPr>
        <w:t>j</w:t>
      </w:r>
      <w:r w:rsidR="0069427C" w:rsidRPr="002C0E44">
        <w:rPr>
          <w:rFonts w:ascii="Times New Roman" w:hAnsi="Times New Roman" w:cs="Times New Roman"/>
          <w:sz w:val="24"/>
          <w:szCs w:val="24"/>
        </w:rPr>
        <w:t>est niższa niż 3</w:t>
      </w:r>
      <w:r w:rsidR="004A416E">
        <w:rPr>
          <w:rFonts w:ascii="Times New Roman" w:hAnsi="Times New Roman" w:cs="Times New Roman"/>
          <w:sz w:val="24"/>
          <w:szCs w:val="24"/>
        </w:rPr>
        <w:t> </w:t>
      </w:r>
      <w:r w:rsidR="0069427C" w:rsidRPr="002C0E44">
        <w:rPr>
          <w:rFonts w:ascii="Times New Roman" w:hAnsi="Times New Roman" w:cs="Times New Roman"/>
          <w:sz w:val="24"/>
          <w:szCs w:val="24"/>
        </w:rPr>
        <w:t>500</w:t>
      </w:r>
      <w:r w:rsidR="004A416E">
        <w:rPr>
          <w:rFonts w:ascii="Times New Roman" w:hAnsi="Times New Roman" w:cs="Times New Roman"/>
          <w:sz w:val="24"/>
          <w:szCs w:val="24"/>
        </w:rPr>
        <w:t> </w:t>
      </w:r>
      <w:r w:rsidR="0069427C" w:rsidRPr="002C0E44">
        <w:rPr>
          <w:rFonts w:ascii="Times New Roman" w:hAnsi="Times New Roman" w:cs="Times New Roman"/>
          <w:sz w:val="24"/>
          <w:szCs w:val="24"/>
        </w:rPr>
        <w:t>000</w:t>
      </w:r>
      <w:r w:rsidR="004A416E">
        <w:rPr>
          <w:rFonts w:ascii="Times New Roman" w:hAnsi="Times New Roman" w:cs="Times New Roman"/>
          <w:sz w:val="24"/>
          <w:szCs w:val="24"/>
        </w:rPr>
        <w:t> </w:t>
      </w:r>
      <w:r w:rsidR="0069427C" w:rsidRPr="002C0E44">
        <w:rPr>
          <w:rFonts w:ascii="Times New Roman" w:hAnsi="Times New Roman" w:cs="Times New Roman"/>
          <w:sz w:val="24"/>
          <w:szCs w:val="24"/>
        </w:rPr>
        <w:t>000</w:t>
      </w:r>
      <w:r w:rsidR="004A416E">
        <w:rPr>
          <w:rFonts w:ascii="Times New Roman" w:hAnsi="Times New Roman" w:cs="Times New Roman"/>
          <w:sz w:val="24"/>
          <w:szCs w:val="24"/>
        </w:rPr>
        <w:t> </w:t>
      </w:r>
      <w:r w:rsidR="0069427C" w:rsidRPr="002C0E44">
        <w:rPr>
          <w:rFonts w:ascii="Times New Roman" w:hAnsi="Times New Roman" w:cs="Times New Roman"/>
          <w:sz w:val="24"/>
          <w:szCs w:val="24"/>
        </w:rPr>
        <w:t>zł</w:t>
      </w:r>
      <w:r w:rsidR="00DF2563" w:rsidRPr="002C0E44">
        <w:rPr>
          <w:rFonts w:ascii="Times New Roman" w:hAnsi="Times New Roman" w:cs="Times New Roman"/>
          <w:sz w:val="24"/>
          <w:szCs w:val="24"/>
        </w:rPr>
        <w:t>.</w:t>
      </w:r>
    </w:p>
    <w:p w14:paraId="1AEB829A" w14:textId="374FB8F3" w:rsidR="00CE046A" w:rsidRPr="002C0E44" w:rsidRDefault="00663475" w:rsidP="002C0E44">
      <w:pPr>
        <w:spacing w:before="120"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E44">
        <w:rPr>
          <w:rFonts w:ascii="Times New Roman" w:hAnsi="Times New Roman" w:cs="Times New Roman"/>
          <w:b/>
          <w:sz w:val="24"/>
          <w:szCs w:val="24"/>
        </w:rPr>
        <w:t>A</w:t>
      </w:r>
      <w:r w:rsidR="00CE046A" w:rsidRPr="002C0E44">
        <w:rPr>
          <w:rFonts w:ascii="Times New Roman" w:hAnsi="Times New Roman" w:cs="Times New Roman"/>
          <w:b/>
          <w:sz w:val="24"/>
          <w:szCs w:val="24"/>
        </w:rPr>
        <w:t xml:space="preserve">rt. 63n ust. 1 </w:t>
      </w:r>
      <w:r w:rsidR="00316B9C" w:rsidRPr="002C0E44">
        <w:rPr>
          <w:rFonts w:ascii="Times New Roman" w:hAnsi="Times New Roman" w:cs="Times New Roman"/>
          <w:b/>
          <w:sz w:val="24"/>
          <w:szCs w:val="24"/>
        </w:rPr>
        <w:t>pkt 1 i ust. 2</w:t>
      </w:r>
      <w:r w:rsidR="00316B9C" w:rsidRPr="002C0E44">
        <w:rPr>
          <w:rFonts w:ascii="Times New Roman" w:hAnsi="Times New Roman" w:cs="Times New Roman"/>
          <w:sz w:val="24"/>
          <w:szCs w:val="24"/>
        </w:rPr>
        <w:t xml:space="preserve"> (na podstawie art. 48b ust. 4 akapit pierwszy dyrektywy 2021/2101) </w:t>
      </w:r>
      <w:r w:rsidRPr="002C0E44">
        <w:rPr>
          <w:rFonts w:ascii="Times New Roman" w:hAnsi="Times New Roman" w:cs="Times New Roman"/>
          <w:sz w:val="24"/>
          <w:szCs w:val="24"/>
        </w:rPr>
        <w:t>nakłada obowiązek publikacji i udostępnienia sprawozdania o podatku dochodowym</w:t>
      </w:r>
      <w:r w:rsidR="004D0B33" w:rsidRPr="002C0E44">
        <w:rPr>
          <w:rFonts w:ascii="Times New Roman" w:hAnsi="Times New Roman" w:cs="Times New Roman"/>
          <w:sz w:val="24"/>
          <w:szCs w:val="24"/>
        </w:rPr>
        <w:t>,</w:t>
      </w:r>
      <w:r w:rsidRPr="002C0E44">
        <w:rPr>
          <w:rFonts w:ascii="Times New Roman" w:hAnsi="Times New Roman" w:cs="Times New Roman"/>
          <w:sz w:val="24"/>
          <w:szCs w:val="24"/>
        </w:rPr>
        <w:t xml:space="preserve"> dotyczącego jednostki dominującej</w:t>
      </w:r>
      <w:r w:rsidR="004D0B33" w:rsidRPr="002C0E44">
        <w:rPr>
          <w:rFonts w:ascii="Times New Roman" w:hAnsi="Times New Roman" w:cs="Times New Roman"/>
          <w:sz w:val="24"/>
          <w:szCs w:val="24"/>
        </w:rPr>
        <w:t xml:space="preserve"> najwyższego szczebla mającej siedzibę lub miejsce sprawowania zarządu poza terytorium </w:t>
      </w:r>
      <w:r w:rsidR="0043690B" w:rsidRPr="002C0E44">
        <w:rPr>
          <w:rFonts w:ascii="Times New Roman" w:hAnsi="Times New Roman" w:cs="Times New Roman"/>
          <w:sz w:val="24"/>
          <w:szCs w:val="24"/>
        </w:rPr>
        <w:t>EOG</w:t>
      </w:r>
      <w:r w:rsidR="00F77283" w:rsidRPr="002C0E44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3"/>
      </w:r>
      <w:r w:rsidR="004D0B33" w:rsidRPr="002C0E44">
        <w:rPr>
          <w:rFonts w:ascii="Times New Roman" w:hAnsi="Times New Roman" w:cs="Times New Roman"/>
          <w:sz w:val="24"/>
          <w:szCs w:val="24"/>
        </w:rPr>
        <w:t>, której skonsolidowane przychody w</w:t>
      </w:r>
      <w:r w:rsidR="004E7D6F">
        <w:rPr>
          <w:rFonts w:ascii="Times New Roman" w:hAnsi="Times New Roman" w:cs="Times New Roman"/>
          <w:sz w:val="24"/>
          <w:szCs w:val="24"/>
        </w:rPr>
        <w:t> </w:t>
      </w:r>
      <w:r w:rsidR="00B80592" w:rsidRPr="002C0E44">
        <w:rPr>
          <w:rFonts w:ascii="Times New Roman" w:hAnsi="Times New Roman" w:cs="Times New Roman"/>
          <w:sz w:val="24"/>
          <w:szCs w:val="24"/>
        </w:rPr>
        <w:t xml:space="preserve">skonsolidowanym </w:t>
      </w:r>
      <w:r w:rsidR="004D0B33" w:rsidRPr="002C0E44">
        <w:rPr>
          <w:rFonts w:ascii="Times New Roman" w:hAnsi="Times New Roman" w:cs="Times New Roman"/>
          <w:sz w:val="24"/>
          <w:szCs w:val="24"/>
        </w:rPr>
        <w:t>sprawozdaniu finansowym dla każdego z dwóch ostatnich lat obrotowych przekroczą 750</w:t>
      </w:r>
      <w:r w:rsidR="00E41C4F">
        <w:rPr>
          <w:rFonts w:ascii="Times New Roman" w:hAnsi="Times New Roman" w:cs="Times New Roman"/>
          <w:sz w:val="24"/>
          <w:szCs w:val="24"/>
        </w:rPr>
        <w:t> </w:t>
      </w:r>
      <w:r w:rsidR="004D0B33" w:rsidRPr="002C0E44">
        <w:rPr>
          <w:rFonts w:ascii="Times New Roman" w:hAnsi="Times New Roman" w:cs="Times New Roman"/>
          <w:sz w:val="24"/>
          <w:szCs w:val="24"/>
        </w:rPr>
        <w:t>000</w:t>
      </w:r>
      <w:r w:rsidR="00E41C4F">
        <w:rPr>
          <w:rFonts w:ascii="Times New Roman" w:hAnsi="Times New Roman" w:cs="Times New Roman"/>
          <w:sz w:val="24"/>
          <w:szCs w:val="24"/>
        </w:rPr>
        <w:t> </w:t>
      </w:r>
      <w:r w:rsidR="004D0B33" w:rsidRPr="002C0E44">
        <w:rPr>
          <w:rFonts w:ascii="Times New Roman" w:hAnsi="Times New Roman" w:cs="Times New Roman"/>
          <w:sz w:val="24"/>
          <w:szCs w:val="24"/>
        </w:rPr>
        <w:t>000</w:t>
      </w:r>
      <w:r w:rsidR="00E41C4F">
        <w:rPr>
          <w:rFonts w:ascii="Times New Roman" w:hAnsi="Times New Roman" w:cs="Times New Roman"/>
          <w:sz w:val="24"/>
          <w:szCs w:val="24"/>
        </w:rPr>
        <w:t> </w:t>
      </w:r>
      <w:r w:rsidR="004D0B33" w:rsidRPr="002C0E44">
        <w:rPr>
          <w:rFonts w:ascii="Times New Roman" w:hAnsi="Times New Roman" w:cs="Times New Roman"/>
          <w:sz w:val="24"/>
          <w:szCs w:val="24"/>
        </w:rPr>
        <w:t>euro, na</w:t>
      </w:r>
      <w:r w:rsidR="00CE046A" w:rsidRPr="002C0E44">
        <w:rPr>
          <w:rFonts w:ascii="Times New Roman" w:hAnsi="Times New Roman" w:cs="Times New Roman"/>
          <w:sz w:val="24"/>
          <w:szCs w:val="24"/>
        </w:rPr>
        <w:t xml:space="preserve"> wybrane krajowe </w:t>
      </w:r>
      <w:r w:rsidR="009950DE" w:rsidRPr="002C0E44">
        <w:rPr>
          <w:rFonts w:ascii="Times New Roman" w:hAnsi="Times New Roman" w:cs="Times New Roman"/>
          <w:sz w:val="24"/>
          <w:szCs w:val="24"/>
        </w:rPr>
        <w:t>jednostk</w:t>
      </w:r>
      <w:r w:rsidR="00CE046A" w:rsidRPr="002C0E44">
        <w:rPr>
          <w:rFonts w:ascii="Times New Roman" w:hAnsi="Times New Roman" w:cs="Times New Roman"/>
          <w:sz w:val="24"/>
          <w:szCs w:val="24"/>
        </w:rPr>
        <w:t xml:space="preserve">i zależne kontrolowane przez </w:t>
      </w:r>
      <w:r w:rsidR="004D0B33" w:rsidRPr="002C0E44">
        <w:rPr>
          <w:rFonts w:ascii="Times New Roman" w:hAnsi="Times New Roman" w:cs="Times New Roman"/>
          <w:sz w:val="24"/>
          <w:szCs w:val="24"/>
        </w:rPr>
        <w:t xml:space="preserve">taką </w:t>
      </w:r>
      <w:r w:rsidR="00CE046A" w:rsidRPr="002C0E44">
        <w:rPr>
          <w:rFonts w:ascii="Times New Roman" w:hAnsi="Times New Roman" w:cs="Times New Roman"/>
          <w:sz w:val="24"/>
          <w:szCs w:val="24"/>
        </w:rPr>
        <w:t>jednostkę dominującą najwyższego szczebla. Dyrektywa wymaga</w:t>
      </w:r>
      <w:r w:rsidR="00E41C4F">
        <w:rPr>
          <w:rFonts w:ascii="Times New Roman" w:hAnsi="Times New Roman" w:cs="Times New Roman"/>
          <w:sz w:val="24"/>
          <w:szCs w:val="24"/>
        </w:rPr>
        <w:t>,</w:t>
      </w:r>
      <w:r w:rsidR="00CE046A" w:rsidRPr="002C0E44">
        <w:rPr>
          <w:rFonts w:ascii="Times New Roman" w:hAnsi="Times New Roman" w:cs="Times New Roman"/>
          <w:sz w:val="24"/>
          <w:szCs w:val="24"/>
        </w:rPr>
        <w:t xml:space="preserve"> </w:t>
      </w:r>
      <w:r w:rsidR="00E41C4F">
        <w:rPr>
          <w:rFonts w:ascii="Times New Roman" w:hAnsi="Times New Roman" w:cs="Times New Roman"/>
          <w:sz w:val="24"/>
          <w:szCs w:val="24"/>
        </w:rPr>
        <w:t>a</w:t>
      </w:r>
      <w:r w:rsidR="00CE046A" w:rsidRPr="002C0E44">
        <w:rPr>
          <w:rFonts w:ascii="Times New Roman" w:hAnsi="Times New Roman" w:cs="Times New Roman"/>
          <w:sz w:val="24"/>
          <w:szCs w:val="24"/>
        </w:rPr>
        <w:t xml:space="preserve">by obowiązkowi </w:t>
      </w:r>
      <w:r w:rsidR="004D0B33" w:rsidRPr="002C0E44">
        <w:rPr>
          <w:rFonts w:ascii="Times New Roman" w:hAnsi="Times New Roman" w:cs="Times New Roman"/>
          <w:sz w:val="24"/>
          <w:szCs w:val="24"/>
        </w:rPr>
        <w:t>temu</w:t>
      </w:r>
      <w:r w:rsidR="00CE046A" w:rsidRPr="002C0E44">
        <w:rPr>
          <w:rFonts w:ascii="Times New Roman" w:hAnsi="Times New Roman" w:cs="Times New Roman"/>
          <w:sz w:val="24"/>
          <w:szCs w:val="24"/>
        </w:rPr>
        <w:t xml:space="preserve"> podlegały jedynie średnie i duże jednostki zależne (tj. jednostki, o których mowa w art. 3 ust.</w:t>
      </w:r>
      <w:r w:rsidR="004E7D6F">
        <w:rPr>
          <w:rFonts w:ascii="Times New Roman" w:hAnsi="Times New Roman" w:cs="Times New Roman"/>
          <w:sz w:val="24"/>
          <w:szCs w:val="24"/>
        </w:rPr>
        <w:t> </w:t>
      </w:r>
      <w:r w:rsidR="00CE046A" w:rsidRPr="002C0E44">
        <w:rPr>
          <w:rFonts w:ascii="Times New Roman" w:hAnsi="Times New Roman" w:cs="Times New Roman"/>
          <w:sz w:val="24"/>
          <w:szCs w:val="24"/>
        </w:rPr>
        <w:t>3 i 4 dyrektywy 2013/34/UE; małe mają być zwolnione). Ponieważ w przepisach ustawy o</w:t>
      </w:r>
      <w:r w:rsidR="004E7D6F">
        <w:rPr>
          <w:rFonts w:ascii="Times New Roman" w:hAnsi="Times New Roman" w:cs="Times New Roman"/>
          <w:sz w:val="24"/>
          <w:szCs w:val="24"/>
        </w:rPr>
        <w:t> </w:t>
      </w:r>
      <w:r w:rsidR="00CE046A" w:rsidRPr="002C0E44">
        <w:rPr>
          <w:rFonts w:ascii="Times New Roman" w:hAnsi="Times New Roman" w:cs="Times New Roman"/>
          <w:sz w:val="24"/>
          <w:szCs w:val="24"/>
        </w:rPr>
        <w:t xml:space="preserve">rachunkowości nie rozgranicza się między jednostkami średnimi i dużymi (występuje podział jedynie na kategorię mikro, małych i pozostałych jednostek), to </w:t>
      </w:r>
      <w:r w:rsidR="00E41C4F">
        <w:rPr>
          <w:rFonts w:ascii="Times New Roman" w:hAnsi="Times New Roman" w:cs="Times New Roman"/>
          <w:sz w:val="24"/>
          <w:szCs w:val="24"/>
        </w:rPr>
        <w:t xml:space="preserve">w </w:t>
      </w:r>
      <w:r w:rsidR="000578BC" w:rsidRPr="002C0E44">
        <w:rPr>
          <w:rFonts w:ascii="Times New Roman" w:hAnsi="Times New Roman" w:cs="Times New Roman"/>
          <w:sz w:val="24"/>
          <w:szCs w:val="24"/>
        </w:rPr>
        <w:t>projekcie</w:t>
      </w:r>
      <w:r w:rsidR="00CE046A" w:rsidRPr="002C0E44">
        <w:rPr>
          <w:rFonts w:ascii="Times New Roman" w:hAnsi="Times New Roman" w:cs="Times New Roman"/>
          <w:sz w:val="24"/>
          <w:szCs w:val="24"/>
        </w:rPr>
        <w:t xml:space="preserve"> wskazano, że obowiązkowi będą podlegać </w:t>
      </w:r>
      <w:r w:rsidR="009950DE" w:rsidRPr="002C0E44">
        <w:rPr>
          <w:rFonts w:ascii="Times New Roman" w:hAnsi="Times New Roman" w:cs="Times New Roman"/>
          <w:sz w:val="24"/>
          <w:szCs w:val="24"/>
        </w:rPr>
        <w:t>jednostk</w:t>
      </w:r>
      <w:r w:rsidR="00CE046A" w:rsidRPr="002C0E44">
        <w:rPr>
          <w:rFonts w:ascii="Times New Roman" w:hAnsi="Times New Roman" w:cs="Times New Roman"/>
          <w:sz w:val="24"/>
          <w:szCs w:val="24"/>
        </w:rPr>
        <w:t>i zależne przekraczające wielkości definiujące małe jednostki (odniesienie do przekraczania dwóch z trzech wielkości, o których mowa w art.</w:t>
      </w:r>
      <w:r w:rsidR="004E7D6F">
        <w:rPr>
          <w:rFonts w:ascii="Times New Roman" w:hAnsi="Times New Roman" w:cs="Times New Roman"/>
          <w:sz w:val="24"/>
          <w:szCs w:val="24"/>
        </w:rPr>
        <w:t> </w:t>
      </w:r>
      <w:r w:rsidR="00CE046A" w:rsidRPr="002C0E44">
        <w:rPr>
          <w:rFonts w:ascii="Times New Roman" w:hAnsi="Times New Roman" w:cs="Times New Roman"/>
          <w:sz w:val="24"/>
          <w:szCs w:val="24"/>
        </w:rPr>
        <w:t>3 ust.</w:t>
      </w:r>
      <w:r w:rsidR="004E7D6F">
        <w:rPr>
          <w:rFonts w:ascii="Times New Roman" w:hAnsi="Times New Roman" w:cs="Times New Roman"/>
          <w:sz w:val="24"/>
          <w:szCs w:val="24"/>
        </w:rPr>
        <w:t> </w:t>
      </w:r>
      <w:r w:rsidR="00CE046A" w:rsidRPr="002C0E44">
        <w:rPr>
          <w:rFonts w:ascii="Times New Roman" w:hAnsi="Times New Roman" w:cs="Times New Roman"/>
          <w:sz w:val="24"/>
          <w:szCs w:val="24"/>
        </w:rPr>
        <w:t>1c pkt 1 ustawy).</w:t>
      </w:r>
      <w:r w:rsidR="00B80592" w:rsidRPr="002C0E44">
        <w:rPr>
          <w:rFonts w:ascii="Times New Roman" w:hAnsi="Times New Roman" w:cs="Times New Roman"/>
          <w:sz w:val="24"/>
          <w:szCs w:val="24"/>
        </w:rPr>
        <w:t xml:space="preserve"> Wspomniany obowiązek publikacji i udostępnienia będzie dotyczył sprawozdania o podatku dochodowym odnoszącego się do późniejszego z ww. dwóch lat </w:t>
      </w:r>
      <w:r w:rsidR="00B80592" w:rsidRPr="002C0E44">
        <w:rPr>
          <w:rFonts w:ascii="Times New Roman" w:hAnsi="Times New Roman" w:cs="Times New Roman"/>
          <w:sz w:val="24"/>
          <w:szCs w:val="24"/>
        </w:rPr>
        <w:lastRenderedPageBreak/>
        <w:t>obrotowych, w których skonsolidowane przychody jednostki dominującej najwyższego szczebla z państwa trz</w:t>
      </w:r>
      <w:r w:rsidR="000578BC" w:rsidRPr="002C0E44">
        <w:rPr>
          <w:rFonts w:ascii="Times New Roman" w:hAnsi="Times New Roman" w:cs="Times New Roman"/>
          <w:sz w:val="24"/>
          <w:szCs w:val="24"/>
        </w:rPr>
        <w:t>eciego przekroczyły 750</w:t>
      </w:r>
      <w:r w:rsidR="00E41C4F">
        <w:rPr>
          <w:rFonts w:ascii="Times New Roman" w:hAnsi="Times New Roman" w:cs="Times New Roman"/>
          <w:sz w:val="24"/>
          <w:szCs w:val="24"/>
        </w:rPr>
        <w:t> </w:t>
      </w:r>
      <w:r w:rsidR="000578BC" w:rsidRPr="002C0E44">
        <w:rPr>
          <w:rFonts w:ascii="Times New Roman" w:hAnsi="Times New Roman" w:cs="Times New Roman"/>
          <w:sz w:val="24"/>
          <w:szCs w:val="24"/>
        </w:rPr>
        <w:t>000</w:t>
      </w:r>
      <w:r w:rsidR="00E41C4F">
        <w:rPr>
          <w:rFonts w:ascii="Times New Roman" w:hAnsi="Times New Roman" w:cs="Times New Roman"/>
          <w:sz w:val="24"/>
          <w:szCs w:val="24"/>
        </w:rPr>
        <w:t> </w:t>
      </w:r>
      <w:r w:rsidR="000578BC" w:rsidRPr="002C0E44">
        <w:rPr>
          <w:rFonts w:ascii="Times New Roman" w:hAnsi="Times New Roman" w:cs="Times New Roman"/>
          <w:sz w:val="24"/>
          <w:szCs w:val="24"/>
        </w:rPr>
        <w:t>000</w:t>
      </w:r>
      <w:r w:rsidR="00E41C4F">
        <w:rPr>
          <w:rFonts w:ascii="Times New Roman" w:hAnsi="Times New Roman" w:cs="Times New Roman"/>
          <w:sz w:val="24"/>
          <w:szCs w:val="24"/>
        </w:rPr>
        <w:t> </w:t>
      </w:r>
      <w:r w:rsidR="00B80592" w:rsidRPr="002C0E44">
        <w:rPr>
          <w:rFonts w:ascii="Times New Roman" w:hAnsi="Times New Roman" w:cs="Times New Roman"/>
          <w:sz w:val="24"/>
          <w:szCs w:val="24"/>
        </w:rPr>
        <w:t>euro.</w:t>
      </w:r>
    </w:p>
    <w:p w14:paraId="57FDFB20" w14:textId="357CB405" w:rsidR="00CE046A" w:rsidRPr="002C0E44" w:rsidRDefault="00CE046A" w:rsidP="002C0E44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E44">
        <w:rPr>
          <w:rFonts w:ascii="Times New Roman" w:hAnsi="Times New Roman" w:cs="Times New Roman"/>
          <w:sz w:val="24"/>
          <w:szCs w:val="24"/>
        </w:rPr>
        <w:t>Podobnie</w:t>
      </w:r>
      <w:r w:rsidR="006B7F50" w:rsidRPr="002C0E44">
        <w:rPr>
          <w:rFonts w:ascii="Times New Roman" w:hAnsi="Times New Roman" w:cs="Times New Roman"/>
          <w:sz w:val="24"/>
          <w:szCs w:val="24"/>
        </w:rPr>
        <w:t xml:space="preserve">, w myśl </w:t>
      </w:r>
      <w:r w:rsidR="006B7F50" w:rsidRPr="002C0E44">
        <w:rPr>
          <w:rFonts w:ascii="Times New Roman" w:hAnsi="Times New Roman" w:cs="Times New Roman"/>
          <w:b/>
          <w:sz w:val="24"/>
          <w:szCs w:val="24"/>
        </w:rPr>
        <w:t>art. 63n ust. 1 pkt 2</w:t>
      </w:r>
      <w:r w:rsidR="00316B9C" w:rsidRPr="002C0E44">
        <w:rPr>
          <w:rFonts w:ascii="Times New Roman" w:hAnsi="Times New Roman" w:cs="Times New Roman"/>
          <w:sz w:val="24"/>
          <w:szCs w:val="24"/>
        </w:rPr>
        <w:t xml:space="preserve"> (w ślad za art. 48b ust. 5 akapit pierwszy, czwarty i</w:t>
      </w:r>
      <w:r w:rsidR="004E7D6F">
        <w:rPr>
          <w:rFonts w:ascii="Times New Roman" w:hAnsi="Times New Roman" w:cs="Times New Roman"/>
          <w:sz w:val="24"/>
          <w:szCs w:val="24"/>
        </w:rPr>
        <w:t> </w:t>
      </w:r>
      <w:r w:rsidR="00316B9C" w:rsidRPr="002C0E44">
        <w:rPr>
          <w:rFonts w:ascii="Times New Roman" w:hAnsi="Times New Roman" w:cs="Times New Roman"/>
          <w:sz w:val="24"/>
          <w:szCs w:val="24"/>
        </w:rPr>
        <w:t>szósty dyrektywy 2021/2101)</w:t>
      </w:r>
      <w:r w:rsidRPr="002C0E44">
        <w:rPr>
          <w:rFonts w:ascii="Times New Roman" w:hAnsi="Times New Roman" w:cs="Times New Roman"/>
          <w:sz w:val="24"/>
          <w:szCs w:val="24"/>
        </w:rPr>
        <w:t>, krajowe oddziały o wielkości porównywalnej do jednostek zależnych, o których mowa powyżej (tj. średnie i duże, czyli takie, których przychody przekraczają dla każdego z dwóch ostatnich lat obrotowych kwotę, o której mowa w art.</w:t>
      </w:r>
      <w:r w:rsidR="004E7D6F">
        <w:rPr>
          <w:rFonts w:ascii="Times New Roman" w:hAnsi="Times New Roman" w:cs="Times New Roman"/>
          <w:sz w:val="24"/>
          <w:szCs w:val="24"/>
        </w:rPr>
        <w:t> </w:t>
      </w:r>
      <w:r w:rsidRPr="002C0E44">
        <w:rPr>
          <w:rFonts w:ascii="Times New Roman" w:hAnsi="Times New Roman" w:cs="Times New Roman"/>
          <w:sz w:val="24"/>
          <w:szCs w:val="24"/>
        </w:rPr>
        <w:t>3 ust.</w:t>
      </w:r>
      <w:r w:rsidR="004E7D6F">
        <w:rPr>
          <w:rFonts w:ascii="Times New Roman" w:hAnsi="Times New Roman" w:cs="Times New Roman"/>
          <w:sz w:val="24"/>
          <w:szCs w:val="24"/>
        </w:rPr>
        <w:t> </w:t>
      </w:r>
      <w:r w:rsidRPr="002C0E44">
        <w:rPr>
          <w:rFonts w:ascii="Times New Roman" w:hAnsi="Times New Roman" w:cs="Times New Roman"/>
          <w:sz w:val="24"/>
          <w:szCs w:val="24"/>
        </w:rPr>
        <w:t>1c pkt 1 lit. b ustawy), utworzone:</w:t>
      </w:r>
    </w:p>
    <w:p w14:paraId="4597E8C5" w14:textId="2700CF70" w:rsidR="00CE046A" w:rsidRPr="002C0E44" w:rsidRDefault="00CE046A" w:rsidP="00042244">
      <w:pPr>
        <w:spacing w:before="120"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C0E44">
        <w:rPr>
          <w:rFonts w:ascii="Times New Roman" w:hAnsi="Times New Roman" w:cs="Times New Roman"/>
          <w:sz w:val="24"/>
          <w:szCs w:val="24"/>
        </w:rPr>
        <w:t>a)</w:t>
      </w:r>
      <w:r w:rsidR="000B5619">
        <w:rPr>
          <w:rFonts w:ascii="Times New Roman" w:hAnsi="Times New Roman" w:cs="Times New Roman"/>
          <w:sz w:val="24"/>
          <w:szCs w:val="24"/>
        </w:rPr>
        <w:tab/>
      </w:r>
      <w:r w:rsidRPr="002C0E44">
        <w:rPr>
          <w:rFonts w:ascii="Times New Roman" w:hAnsi="Times New Roman" w:cs="Times New Roman"/>
          <w:sz w:val="24"/>
          <w:szCs w:val="24"/>
        </w:rPr>
        <w:t xml:space="preserve">przez jednostkę samodzielną mającą siedzibę lub miejsce sprawowania zarządu poza terytorium </w:t>
      </w:r>
      <w:r w:rsidR="00424CA3" w:rsidRPr="002C0E44">
        <w:rPr>
          <w:rFonts w:ascii="Times New Roman" w:hAnsi="Times New Roman" w:cs="Times New Roman"/>
          <w:sz w:val="24"/>
          <w:szCs w:val="24"/>
        </w:rPr>
        <w:t>EOG</w:t>
      </w:r>
      <w:r w:rsidR="00F77283" w:rsidRPr="002C0E44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4"/>
      </w:r>
      <w:r w:rsidRPr="002C0E44">
        <w:rPr>
          <w:rFonts w:ascii="Times New Roman" w:hAnsi="Times New Roman" w:cs="Times New Roman"/>
          <w:sz w:val="24"/>
          <w:szCs w:val="24"/>
        </w:rPr>
        <w:t>, której przychody dla każdego z dwóch ostatnich lat obrotowych przekroczą 750</w:t>
      </w:r>
      <w:r w:rsidR="00042244">
        <w:rPr>
          <w:rFonts w:ascii="Times New Roman" w:hAnsi="Times New Roman" w:cs="Times New Roman"/>
          <w:sz w:val="24"/>
          <w:szCs w:val="24"/>
        </w:rPr>
        <w:t> </w:t>
      </w:r>
      <w:r w:rsidRPr="002C0E44">
        <w:rPr>
          <w:rFonts w:ascii="Times New Roman" w:hAnsi="Times New Roman" w:cs="Times New Roman"/>
          <w:sz w:val="24"/>
          <w:szCs w:val="24"/>
        </w:rPr>
        <w:t>000</w:t>
      </w:r>
      <w:r w:rsidR="00042244">
        <w:rPr>
          <w:rFonts w:ascii="Times New Roman" w:hAnsi="Times New Roman" w:cs="Times New Roman"/>
          <w:sz w:val="24"/>
          <w:szCs w:val="24"/>
        </w:rPr>
        <w:t> </w:t>
      </w:r>
      <w:r w:rsidRPr="002C0E44">
        <w:rPr>
          <w:rFonts w:ascii="Times New Roman" w:hAnsi="Times New Roman" w:cs="Times New Roman"/>
          <w:sz w:val="24"/>
          <w:szCs w:val="24"/>
        </w:rPr>
        <w:t>000</w:t>
      </w:r>
      <w:r w:rsidR="00042244">
        <w:rPr>
          <w:rFonts w:ascii="Times New Roman" w:hAnsi="Times New Roman" w:cs="Times New Roman"/>
          <w:sz w:val="24"/>
          <w:szCs w:val="24"/>
        </w:rPr>
        <w:t> </w:t>
      </w:r>
      <w:r w:rsidRPr="002C0E44">
        <w:rPr>
          <w:rFonts w:ascii="Times New Roman" w:hAnsi="Times New Roman" w:cs="Times New Roman"/>
          <w:sz w:val="24"/>
          <w:szCs w:val="24"/>
        </w:rPr>
        <w:t>euro, albo</w:t>
      </w:r>
    </w:p>
    <w:p w14:paraId="6FC9A7DA" w14:textId="16BD0083" w:rsidR="00CE046A" w:rsidRPr="002C0E44" w:rsidRDefault="00CE046A" w:rsidP="00042244">
      <w:pPr>
        <w:spacing w:before="120"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C0E44">
        <w:rPr>
          <w:rFonts w:ascii="Times New Roman" w:hAnsi="Times New Roman" w:cs="Times New Roman"/>
          <w:sz w:val="24"/>
          <w:szCs w:val="24"/>
        </w:rPr>
        <w:t>b)</w:t>
      </w:r>
      <w:r w:rsidR="000B5619">
        <w:rPr>
          <w:rFonts w:ascii="Times New Roman" w:hAnsi="Times New Roman" w:cs="Times New Roman"/>
          <w:sz w:val="24"/>
          <w:szCs w:val="24"/>
        </w:rPr>
        <w:tab/>
      </w:r>
      <w:r w:rsidRPr="002C0E44">
        <w:rPr>
          <w:rFonts w:ascii="Times New Roman" w:hAnsi="Times New Roman" w:cs="Times New Roman"/>
          <w:sz w:val="24"/>
          <w:szCs w:val="24"/>
        </w:rPr>
        <w:t xml:space="preserve">przez jednostkę powiązaną grupy mającą siedzibę lub miejsce sprawowania zarządu poza terytorium </w:t>
      </w:r>
      <w:r w:rsidR="00424CA3" w:rsidRPr="002C0E44">
        <w:rPr>
          <w:rFonts w:ascii="Times New Roman" w:hAnsi="Times New Roman" w:cs="Times New Roman"/>
          <w:sz w:val="24"/>
          <w:szCs w:val="24"/>
        </w:rPr>
        <w:t>EOG</w:t>
      </w:r>
      <w:r w:rsidRPr="002C0E44">
        <w:rPr>
          <w:rFonts w:ascii="Times New Roman" w:hAnsi="Times New Roman" w:cs="Times New Roman"/>
          <w:sz w:val="24"/>
          <w:szCs w:val="24"/>
        </w:rPr>
        <w:t>, w której</w:t>
      </w:r>
      <w:r w:rsidR="004252E5" w:rsidRPr="002C0E44">
        <w:rPr>
          <w:rFonts w:ascii="Times New Roman" w:hAnsi="Times New Roman" w:cs="Times New Roman"/>
          <w:sz w:val="24"/>
          <w:szCs w:val="24"/>
        </w:rPr>
        <w:t xml:space="preserve"> to grupie</w:t>
      </w:r>
      <w:r w:rsidRPr="002C0E44">
        <w:rPr>
          <w:rFonts w:ascii="Times New Roman" w:hAnsi="Times New Roman" w:cs="Times New Roman"/>
          <w:sz w:val="24"/>
          <w:szCs w:val="24"/>
        </w:rPr>
        <w:t xml:space="preserve"> jednostka dominująca najwyższego szczebla ma siedzibę poza terytorium </w:t>
      </w:r>
      <w:r w:rsidR="00424CA3" w:rsidRPr="002C0E44">
        <w:rPr>
          <w:rFonts w:ascii="Times New Roman" w:hAnsi="Times New Roman" w:cs="Times New Roman"/>
          <w:sz w:val="24"/>
          <w:szCs w:val="24"/>
        </w:rPr>
        <w:t>EOG</w:t>
      </w:r>
      <w:r w:rsidRPr="002C0E44">
        <w:rPr>
          <w:rFonts w:ascii="Times New Roman" w:hAnsi="Times New Roman" w:cs="Times New Roman"/>
          <w:sz w:val="24"/>
          <w:szCs w:val="24"/>
        </w:rPr>
        <w:t xml:space="preserve"> i której skonsolidowane przychody dla każdego z dwóch ostatnich lat obrotowych przekroczą 750</w:t>
      </w:r>
      <w:r w:rsidR="00042244">
        <w:rPr>
          <w:rFonts w:ascii="Times New Roman" w:hAnsi="Times New Roman" w:cs="Times New Roman"/>
          <w:sz w:val="24"/>
          <w:szCs w:val="24"/>
        </w:rPr>
        <w:t> </w:t>
      </w:r>
      <w:r w:rsidRPr="002C0E44">
        <w:rPr>
          <w:rFonts w:ascii="Times New Roman" w:hAnsi="Times New Roman" w:cs="Times New Roman"/>
          <w:sz w:val="24"/>
          <w:szCs w:val="24"/>
        </w:rPr>
        <w:t>000</w:t>
      </w:r>
      <w:r w:rsidR="00042244">
        <w:rPr>
          <w:rFonts w:ascii="Times New Roman" w:hAnsi="Times New Roman" w:cs="Times New Roman"/>
          <w:sz w:val="24"/>
          <w:szCs w:val="24"/>
        </w:rPr>
        <w:t> </w:t>
      </w:r>
      <w:r w:rsidRPr="002C0E44">
        <w:rPr>
          <w:rFonts w:ascii="Times New Roman" w:hAnsi="Times New Roman" w:cs="Times New Roman"/>
          <w:sz w:val="24"/>
          <w:szCs w:val="24"/>
        </w:rPr>
        <w:t>000</w:t>
      </w:r>
      <w:r w:rsidR="00042244">
        <w:rPr>
          <w:rFonts w:ascii="Times New Roman" w:hAnsi="Times New Roman" w:cs="Times New Roman"/>
          <w:sz w:val="24"/>
          <w:szCs w:val="24"/>
        </w:rPr>
        <w:t> </w:t>
      </w:r>
      <w:r w:rsidRPr="002C0E44">
        <w:rPr>
          <w:rFonts w:ascii="Times New Roman" w:hAnsi="Times New Roman" w:cs="Times New Roman"/>
          <w:sz w:val="24"/>
          <w:szCs w:val="24"/>
        </w:rPr>
        <w:t>euro</w:t>
      </w:r>
    </w:p>
    <w:p w14:paraId="263951AE" w14:textId="4E12F94A" w:rsidR="00CE046A" w:rsidRPr="002C0E44" w:rsidRDefault="00042244" w:rsidP="002C0E44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E44">
        <w:rPr>
          <w:rFonts w:ascii="Times New Roman" w:hAnsi="Times New Roman" w:cs="Times New Roman"/>
          <w:sz w:val="24"/>
          <w:szCs w:val="24"/>
        </w:rPr>
        <w:t xml:space="preserve">– </w:t>
      </w:r>
      <w:r w:rsidR="00CE046A" w:rsidRPr="002C0E44">
        <w:rPr>
          <w:rFonts w:ascii="Times New Roman" w:hAnsi="Times New Roman" w:cs="Times New Roman"/>
          <w:sz w:val="24"/>
          <w:szCs w:val="24"/>
        </w:rPr>
        <w:t xml:space="preserve">będą </w:t>
      </w:r>
      <w:r w:rsidR="004D0B33" w:rsidRPr="002C0E44">
        <w:rPr>
          <w:rFonts w:ascii="Times New Roman" w:hAnsi="Times New Roman" w:cs="Times New Roman"/>
          <w:sz w:val="24"/>
          <w:szCs w:val="24"/>
        </w:rPr>
        <w:t>miały obowiązek publikacji i udostępniania sprawozdania o podatku dochodowym dotyczącego ww. jednostki</w:t>
      </w:r>
      <w:r w:rsidR="006B7F50" w:rsidRPr="002C0E44">
        <w:rPr>
          <w:rFonts w:ascii="Times New Roman" w:hAnsi="Times New Roman" w:cs="Times New Roman"/>
          <w:sz w:val="24"/>
          <w:szCs w:val="24"/>
        </w:rPr>
        <w:t xml:space="preserve"> dominującej najwyższego szczebla lub jednostki samodzielnej</w:t>
      </w:r>
      <w:r w:rsidR="004D0B33" w:rsidRPr="002C0E44">
        <w:rPr>
          <w:rFonts w:ascii="Times New Roman" w:hAnsi="Times New Roman" w:cs="Times New Roman"/>
          <w:sz w:val="24"/>
          <w:szCs w:val="24"/>
        </w:rPr>
        <w:t xml:space="preserve"> z</w:t>
      </w:r>
      <w:r w:rsidR="004E7D6F">
        <w:rPr>
          <w:rFonts w:ascii="Times New Roman" w:hAnsi="Times New Roman" w:cs="Times New Roman"/>
          <w:sz w:val="24"/>
          <w:szCs w:val="24"/>
        </w:rPr>
        <w:t> </w:t>
      </w:r>
      <w:r w:rsidR="004D0B33" w:rsidRPr="002C0E44">
        <w:rPr>
          <w:rFonts w:ascii="Times New Roman" w:hAnsi="Times New Roman" w:cs="Times New Roman"/>
          <w:sz w:val="24"/>
          <w:szCs w:val="24"/>
        </w:rPr>
        <w:t>państwa trzeciego</w:t>
      </w:r>
      <w:r w:rsidR="00B80592" w:rsidRPr="002C0E44">
        <w:rPr>
          <w:rFonts w:ascii="Times New Roman" w:hAnsi="Times New Roman" w:cs="Times New Roman"/>
          <w:sz w:val="24"/>
          <w:szCs w:val="24"/>
        </w:rPr>
        <w:t>, odnoszącego się do późniejszego z ww. dwóch lat obrotowych</w:t>
      </w:r>
      <w:r w:rsidR="004D0B33" w:rsidRPr="002C0E44">
        <w:rPr>
          <w:rFonts w:ascii="Times New Roman" w:hAnsi="Times New Roman" w:cs="Times New Roman"/>
          <w:sz w:val="24"/>
          <w:szCs w:val="24"/>
        </w:rPr>
        <w:t>.</w:t>
      </w:r>
      <w:r w:rsidR="00CE046A" w:rsidRPr="002C0E44">
        <w:rPr>
          <w:rFonts w:ascii="Times New Roman" w:hAnsi="Times New Roman" w:cs="Times New Roman"/>
          <w:sz w:val="24"/>
          <w:szCs w:val="24"/>
        </w:rPr>
        <w:t xml:space="preserve"> </w:t>
      </w:r>
      <w:r w:rsidR="006B7F50" w:rsidRPr="002C0E44">
        <w:rPr>
          <w:rFonts w:ascii="Times New Roman" w:hAnsi="Times New Roman" w:cs="Times New Roman"/>
          <w:sz w:val="24"/>
          <w:szCs w:val="24"/>
        </w:rPr>
        <w:t>Przy czym</w:t>
      </w:r>
      <w:r>
        <w:rPr>
          <w:rFonts w:ascii="Times New Roman" w:hAnsi="Times New Roman" w:cs="Times New Roman"/>
          <w:sz w:val="24"/>
          <w:szCs w:val="24"/>
        </w:rPr>
        <w:t>,</w:t>
      </w:r>
      <w:r w:rsidR="006B7F50" w:rsidRPr="002C0E44">
        <w:rPr>
          <w:rFonts w:ascii="Times New Roman" w:hAnsi="Times New Roman" w:cs="Times New Roman"/>
          <w:sz w:val="24"/>
          <w:szCs w:val="24"/>
        </w:rPr>
        <w:t xml:space="preserve"> w przypadk</w:t>
      </w:r>
      <w:r w:rsidR="000578BC" w:rsidRPr="002C0E44">
        <w:rPr>
          <w:rFonts w:ascii="Times New Roman" w:hAnsi="Times New Roman" w:cs="Times New Roman"/>
          <w:sz w:val="24"/>
          <w:szCs w:val="24"/>
        </w:rPr>
        <w:t>u oddziałów wskazanych w lit. b</w:t>
      </w:r>
      <w:r w:rsidR="006B7F50" w:rsidRPr="002C0E44">
        <w:rPr>
          <w:rFonts w:ascii="Times New Roman" w:hAnsi="Times New Roman" w:cs="Times New Roman"/>
          <w:sz w:val="24"/>
          <w:szCs w:val="24"/>
        </w:rPr>
        <w:t xml:space="preserve"> powyżej</w:t>
      </w:r>
      <w:r w:rsidR="00404D18">
        <w:rPr>
          <w:rFonts w:ascii="Times New Roman" w:hAnsi="Times New Roman" w:cs="Times New Roman"/>
          <w:sz w:val="24"/>
          <w:szCs w:val="24"/>
        </w:rPr>
        <w:t>,</w:t>
      </w:r>
      <w:r w:rsidR="00CE046A" w:rsidRPr="002C0E44">
        <w:rPr>
          <w:rFonts w:ascii="Times New Roman" w:hAnsi="Times New Roman" w:cs="Times New Roman"/>
          <w:sz w:val="24"/>
          <w:szCs w:val="24"/>
        </w:rPr>
        <w:t xml:space="preserve"> obowiązek ten dotyczy</w:t>
      </w:r>
      <w:r w:rsidR="006B7F50" w:rsidRPr="002C0E44">
        <w:rPr>
          <w:rFonts w:ascii="Times New Roman" w:hAnsi="Times New Roman" w:cs="Times New Roman"/>
          <w:sz w:val="24"/>
          <w:szCs w:val="24"/>
        </w:rPr>
        <w:t>ć będzie</w:t>
      </w:r>
      <w:r w:rsidR="00CE046A" w:rsidRPr="002C0E44">
        <w:rPr>
          <w:rFonts w:ascii="Times New Roman" w:hAnsi="Times New Roman" w:cs="Times New Roman"/>
          <w:sz w:val="24"/>
          <w:szCs w:val="24"/>
        </w:rPr>
        <w:t xml:space="preserve"> tylko takich oddziałów, dla których jednostka dominująca najwyższego szczebla nie posiada żadnej średniej lub dużej jednostki zależnej na terytorium </w:t>
      </w:r>
      <w:r w:rsidR="00424CA3" w:rsidRPr="002C0E44">
        <w:rPr>
          <w:rFonts w:ascii="Times New Roman" w:hAnsi="Times New Roman" w:cs="Times New Roman"/>
          <w:sz w:val="24"/>
          <w:szCs w:val="24"/>
        </w:rPr>
        <w:t>państwa EOG</w:t>
      </w:r>
      <w:r w:rsidR="00CE046A" w:rsidRPr="002C0E44">
        <w:rPr>
          <w:rFonts w:ascii="Times New Roman" w:hAnsi="Times New Roman" w:cs="Times New Roman"/>
          <w:sz w:val="24"/>
          <w:szCs w:val="24"/>
        </w:rPr>
        <w:t>, która przedstawiałaby sprawozdani</w:t>
      </w:r>
      <w:r w:rsidR="006B7F50" w:rsidRPr="002C0E44">
        <w:rPr>
          <w:rFonts w:ascii="Times New Roman" w:hAnsi="Times New Roman" w:cs="Times New Roman"/>
          <w:sz w:val="24"/>
          <w:szCs w:val="24"/>
        </w:rPr>
        <w:t>e</w:t>
      </w:r>
      <w:r w:rsidR="00CE046A" w:rsidRPr="002C0E44">
        <w:rPr>
          <w:rFonts w:ascii="Times New Roman" w:hAnsi="Times New Roman" w:cs="Times New Roman"/>
          <w:sz w:val="24"/>
          <w:szCs w:val="24"/>
        </w:rPr>
        <w:t xml:space="preserve"> o podatku dochodowym</w:t>
      </w:r>
      <w:r w:rsidR="006B7F50" w:rsidRPr="002C0E44">
        <w:rPr>
          <w:rFonts w:ascii="Times New Roman" w:hAnsi="Times New Roman" w:cs="Times New Roman"/>
          <w:sz w:val="24"/>
          <w:szCs w:val="24"/>
        </w:rPr>
        <w:t xml:space="preserve"> dotyczące takiej jednostki dominującej najwyższego szczebla z państwa trzeciego</w:t>
      </w:r>
      <w:r w:rsidR="00CE046A" w:rsidRPr="002C0E44">
        <w:rPr>
          <w:rFonts w:ascii="Times New Roman" w:hAnsi="Times New Roman" w:cs="Times New Roman"/>
          <w:sz w:val="24"/>
          <w:szCs w:val="24"/>
        </w:rPr>
        <w:t>.</w:t>
      </w:r>
    </w:p>
    <w:p w14:paraId="6FDD2D01" w14:textId="59734F0D" w:rsidR="00E31CD8" w:rsidRPr="002C0E44" w:rsidRDefault="00E31CD8" w:rsidP="002C0E44">
      <w:pPr>
        <w:spacing w:before="120"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E44">
        <w:rPr>
          <w:rFonts w:ascii="Times New Roman" w:hAnsi="Times New Roman" w:cs="Times New Roman"/>
          <w:sz w:val="24"/>
          <w:szCs w:val="24"/>
        </w:rPr>
        <w:t xml:space="preserve">Zgodnie z </w:t>
      </w:r>
      <w:r w:rsidRPr="002C0E44">
        <w:rPr>
          <w:rFonts w:ascii="Times New Roman" w:hAnsi="Times New Roman" w:cs="Times New Roman"/>
          <w:b/>
          <w:sz w:val="24"/>
          <w:szCs w:val="24"/>
        </w:rPr>
        <w:t>art. 63n ust. 3</w:t>
      </w:r>
      <w:r w:rsidR="00042244">
        <w:rPr>
          <w:rFonts w:ascii="Times New Roman" w:hAnsi="Times New Roman" w:cs="Times New Roman"/>
          <w:sz w:val="24"/>
          <w:szCs w:val="24"/>
        </w:rPr>
        <w:t xml:space="preserve">, </w:t>
      </w:r>
      <w:r w:rsidRPr="002C0E44">
        <w:rPr>
          <w:rFonts w:ascii="Times New Roman" w:hAnsi="Times New Roman" w:cs="Times New Roman"/>
          <w:sz w:val="24"/>
          <w:szCs w:val="24"/>
        </w:rPr>
        <w:t>w</w:t>
      </w:r>
      <w:r w:rsidR="00B70FE4" w:rsidRPr="002C0E44">
        <w:rPr>
          <w:rFonts w:ascii="Times New Roman" w:hAnsi="Times New Roman" w:cs="Times New Roman"/>
          <w:sz w:val="24"/>
          <w:szCs w:val="24"/>
        </w:rPr>
        <w:t xml:space="preserve"> sytuacji</w:t>
      </w:r>
      <w:r w:rsidR="006B7F50" w:rsidRPr="002C0E44">
        <w:rPr>
          <w:rFonts w:ascii="Times New Roman" w:hAnsi="Times New Roman" w:cs="Times New Roman"/>
          <w:sz w:val="24"/>
          <w:szCs w:val="24"/>
        </w:rPr>
        <w:t xml:space="preserve"> gdy</w:t>
      </w:r>
      <w:r w:rsidR="00B70FE4" w:rsidRPr="002C0E44">
        <w:rPr>
          <w:rFonts w:ascii="Times New Roman" w:hAnsi="Times New Roman" w:cs="Times New Roman"/>
          <w:sz w:val="24"/>
          <w:szCs w:val="24"/>
        </w:rPr>
        <w:t xml:space="preserve"> sprawozdani</w:t>
      </w:r>
      <w:r w:rsidR="006B7F50" w:rsidRPr="002C0E44">
        <w:rPr>
          <w:rFonts w:ascii="Times New Roman" w:hAnsi="Times New Roman" w:cs="Times New Roman"/>
          <w:sz w:val="24"/>
          <w:szCs w:val="24"/>
        </w:rPr>
        <w:t>e</w:t>
      </w:r>
      <w:r w:rsidR="00B70FE4" w:rsidRPr="002C0E44">
        <w:rPr>
          <w:rFonts w:ascii="Times New Roman" w:hAnsi="Times New Roman" w:cs="Times New Roman"/>
          <w:sz w:val="24"/>
          <w:szCs w:val="24"/>
        </w:rPr>
        <w:t xml:space="preserve"> o podatku dochodowym</w:t>
      </w:r>
      <w:r w:rsidRPr="002C0E44">
        <w:rPr>
          <w:rFonts w:ascii="Times New Roman" w:hAnsi="Times New Roman" w:cs="Times New Roman"/>
          <w:sz w:val="24"/>
          <w:szCs w:val="24"/>
        </w:rPr>
        <w:t xml:space="preserve"> </w:t>
      </w:r>
      <w:r w:rsidR="00B70FE4" w:rsidRPr="002C0E44">
        <w:rPr>
          <w:rFonts w:ascii="Times New Roman" w:hAnsi="Times New Roman" w:cs="Times New Roman"/>
          <w:sz w:val="24"/>
          <w:szCs w:val="24"/>
        </w:rPr>
        <w:t>odpowiednio jednostk</w:t>
      </w:r>
      <w:r w:rsidR="006B7F50" w:rsidRPr="002C0E44">
        <w:rPr>
          <w:rFonts w:ascii="Times New Roman" w:hAnsi="Times New Roman" w:cs="Times New Roman"/>
          <w:sz w:val="24"/>
          <w:szCs w:val="24"/>
        </w:rPr>
        <w:t>i</w:t>
      </w:r>
      <w:r w:rsidR="00B70FE4" w:rsidRPr="002C0E44">
        <w:rPr>
          <w:rFonts w:ascii="Times New Roman" w:hAnsi="Times New Roman" w:cs="Times New Roman"/>
          <w:sz w:val="24"/>
          <w:szCs w:val="24"/>
        </w:rPr>
        <w:t xml:space="preserve"> dominując</w:t>
      </w:r>
      <w:r w:rsidRPr="002C0E44">
        <w:rPr>
          <w:rFonts w:ascii="Times New Roman" w:hAnsi="Times New Roman" w:cs="Times New Roman"/>
          <w:sz w:val="24"/>
          <w:szCs w:val="24"/>
        </w:rPr>
        <w:t>ej</w:t>
      </w:r>
      <w:r w:rsidR="00B70FE4" w:rsidRPr="002C0E44">
        <w:rPr>
          <w:rFonts w:ascii="Times New Roman" w:hAnsi="Times New Roman" w:cs="Times New Roman"/>
          <w:sz w:val="24"/>
          <w:szCs w:val="24"/>
        </w:rPr>
        <w:t xml:space="preserve"> najwyższego szczebla lub jednostk</w:t>
      </w:r>
      <w:r w:rsidRPr="002C0E44">
        <w:rPr>
          <w:rFonts w:ascii="Times New Roman" w:hAnsi="Times New Roman" w:cs="Times New Roman"/>
          <w:sz w:val="24"/>
          <w:szCs w:val="24"/>
        </w:rPr>
        <w:t>i</w:t>
      </w:r>
      <w:r w:rsidR="00B70FE4" w:rsidRPr="002C0E44">
        <w:rPr>
          <w:rFonts w:ascii="Times New Roman" w:hAnsi="Times New Roman" w:cs="Times New Roman"/>
          <w:sz w:val="24"/>
          <w:szCs w:val="24"/>
        </w:rPr>
        <w:t xml:space="preserve"> samodzieln</w:t>
      </w:r>
      <w:r w:rsidRPr="002C0E44">
        <w:rPr>
          <w:rFonts w:ascii="Times New Roman" w:hAnsi="Times New Roman" w:cs="Times New Roman"/>
          <w:sz w:val="24"/>
          <w:szCs w:val="24"/>
        </w:rPr>
        <w:t>ej</w:t>
      </w:r>
      <w:r w:rsidR="00B70FE4" w:rsidRPr="002C0E44">
        <w:rPr>
          <w:rFonts w:ascii="Times New Roman" w:hAnsi="Times New Roman" w:cs="Times New Roman"/>
          <w:sz w:val="24"/>
          <w:szCs w:val="24"/>
        </w:rPr>
        <w:t>,</w:t>
      </w:r>
      <w:r w:rsidR="004E5A35" w:rsidRPr="002C0E44">
        <w:rPr>
          <w:rFonts w:ascii="Times New Roman" w:hAnsi="Times New Roman" w:cs="Times New Roman"/>
          <w:sz w:val="24"/>
          <w:szCs w:val="24"/>
        </w:rPr>
        <w:t xml:space="preserve"> o</w:t>
      </w:r>
      <w:r w:rsidR="004E7D6F">
        <w:rPr>
          <w:rFonts w:ascii="Times New Roman" w:hAnsi="Times New Roman" w:cs="Times New Roman"/>
          <w:sz w:val="24"/>
          <w:szCs w:val="24"/>
        </w:rPr>
        <w:t> </w:t>
      </w:r>
      <w:r w:rsidR="004E5A35" w:rsidRPr="002C0E44">
        <w:rPr>
          <w:rFonts w:ascii="Times New Roman" w:hAnsi="Times New Roman" w:cs="Times New Roman"/>
          <w:sz w:val="24"/>
          <w:szCs w:val="24"/>
        </w:rPr>
        <w:t>których mowa w ust. 1,</w:t>
      </w:r>
      <w:r w:rsidR="00B70FE4" w:rsidRPr="002C0E44">
        <w:rPr>
          <w:rFonts w:ascii="Times New Roman" w:hAnsi="Times New Roman" w:cs="Times New Roman"/>
          <w:sz w:val="24"/>
          <w:szCs w:val="24"/>
        </w:rPr>
        <w:t xml:space="preserve"> </w:t>
      </w:r>
      <w:r w:rsidRPr="002C0E44">
        <w:rPr>
          <w:rFonts w:ascii="Times New Roman" w:hAnsi="Times New Roman" w:cs="Times New Roman"/>
          <w:sz w:val="24"/>
          <w:szCs w:val="24"/>
        </w:rPr>
        <w:t>nie będzie dostępne</w:t>
      </w:r>
      <w:r w:rsidR="00042244">
        <w:rPr>
          <w:rFonts w:ascii="Times New Roman" w:hAnsi="Times New Roman" w:cs="Times New Roman"/>
          <w:sz w:val="24"/>
          <w:szCs w:val="24"/>
        </w:rPr>
        <w:t>,</w:t>
      </w:r>
      <w:r w:rsidR="00B70FE4" w:rsidRPr="002C0E44">
        <w:rPr>
          <w:rFonts w:ascii="Times New Roman" w:hAnsi="Times New Roman" w:cs="Times New Roman"/>
          <w:sz w:val="24"/>
          <w:szCs w:val="24"/>
        </w:rPr>
        <w:t xml:space="preserve"> jednostki zależne i oddziały, o których mowa w</w:t>
      </w:r>
      <w:r w:rsidR="004E7D6F">
        <w:rPr>
          <w:rFonts w:ascii="Times New Roman" w:hAnsi="Times New Roman" w:cs="Times New Roman"/>
          <w:sz w:val="24"/>
          <w:szCs w:val="24"/>
        </w:rPr>
        <w:t> </w:t>
      </w:r>
      <w:r w:rsidR="00B70FE4" w:rsidRPr="002C0E44">
        <w:rPr>
          <w:rFonts w:ascii="Times New Roman" w:hAnsi="Times New Roman" w:cs="Times New Roman"/>
          <w:sz w:val="24"/>
          <w:szCs w:val="24"/>
        </w:rPr>
        <w:t>ust</w:t>
      </w:r>
      <w:r w:rsidR="004E5A35" w:rsidRPr="002C0E44">
        <w:rPr>
          <w:rFonts w:ascii="Times New Roman" w:hAnsi="Times New Roman" w:cs="Times New Roman"/>
          <w:sz w:val="24"/>
          <w:szCs w:val="24"/>
        </w:rPr>
        <w:t>.</w:t>
      </w:r>
      <w:r w:rsidR="00B70FE4" w:rsidRPr="002C0E44">
        <w:rPr>
          <w:rFonts w:ascii="Times New Roman" w:hAnsi="Times New Roman" w:cs="Times New Roman"/>
          <w:sz w:val="24"/>
          <w:szCs w:val="24"/>
        </w:rPr>
        <w:t xml:space="preserve"> 1, </w:t>
      </w:r>
      <w:r w:rsidR="004E5A35" w:rsidRPr="002C0E44">
        <w:rPr>
          <w:rFonts w:ascii="Times New Roman" w:hAnsi="Times New Roman" w:cs="Times New Roman"/>
          <w:sz w:val="24"/>
          <w:szCs w:val="24"/>
        </w:rPr>
        <w:t>będą miały obowiązek zwrócić</w:t>
      </w:r>
      <w:r w:rsidR="00B70FE4" w:rsidRPr="002C0E44">
        <w:rPr>
          <w:rFonts w:ascii="Times New Roman" w:hAnsi="Times New Roman" w:cs="Times New Roman"/>
          <w:sz w:val="24"/>
          <w:szCs w:val="24"/>
        </w:rPr>
        <w:t xml:space="preserve"> się odpowiednio do jednostki dominującej najwyższego szczebla lub jednostki samodzielnej o przekazanie</w:t>
      </w:r>
      <w:r w:rsidR="00D703EE" w:rsidRPr="002C0E44">
        <w:rPr>
          <w:rFonts w:ascii="Times New Roman" w:hAnsi="Times New Roman" w:cs="Times New Roman"/>
          <w:sz w:val="24"/>
          <w:szCs w:val="24"/>
        </w:rPr>
        <w:t xml:space="preserve"> takiego sprawozdania, </w:t>
      </w:r>
      <w:r w:rsidR="00042244">
        <w:rPr>
          <w:rFonts w:ascii="Times New Roman" w:hAnsi="Times New Roman" w:cs="Times New Roman"/>
          <w:sz w:val="24"/>
          <w:szCs w:val="24"/>
        </w:rPr>
        <w:t>a</w:t>
      </w:r>
      <w:r w:rsidR="00D703EE" w:rsidRPr="002C0E44">
        <w:rPr>
          <w:rFonts w:ascii="Times New Roman" w:hAnsi="Times New Roman" w:cs="Times New Roman"/>
          <w:sz w:val="24"/>
          <w:szCs w:val="24"/>
        </w:rPr>
        <w:t>by mogły one wypełnić obowiązek jego udostępnienia (i ew</w:t>
      </w:r>
      <w:r w:rsidR="002635C6" w:rsidRPr="002C0E44">
        <w:rPr>
          <w:rFonts w:ascii="Times New Roman" w:hAnsi="Times New Roman" w:cs="Times New Roman"/>
          <w:sz w:val="24"/>
          <w:szCs w:val="24"/>
        </w:rPr>
        <w:t>en</w:t>
      </w:r>
      <w:r w:rsidR="00060638" w:rsidRPr="002C0E44">
        <w:rPr>
          <w:rFonts w:ascii="Times New Roman" w:hAnsi="Times New Roman" w:cs="Times New Roman"/>
          <w:sz w:val="24"/>
          <w:szCs w:val="24"/>
        </w:rPr>
        <w:t>t</w:t>
      </w:r>
      <w:r w:rsidR="002635C6" w:rsidRPr="002C0E44">
        <w:rPr>
          <w:rFonts w:ascii="Times New Roman" w:hAnsi="Times New Roman" w:cs="Times New Roman"/>
          <w:sz w:val="24"/>
          <w:szCs w:val="24"/>
        </w:rPr>
        <w:t>ualnej</w:t>
      </w:r>
      <w:r w:rsidR="00D703EE" w:rsidRPr="002C0E44">
        <w:rPr>
          <w:rFonts w:ascii="Times New Roman" w:hAnsi="Times New Roman" w:cs="Times New Roman"/>
          <w:sz w:val="24"/>
          <w:szCs w:val="24"/>
        </w:rPr>
        <w:t xml:space="preserve"> publikacji w Krajowym Rejestrze Sądowym), albo o przekazanie</w:t>
      </w:r>
      <w:r w:rsidR="00B70FE4" w:rsidRPr="002C0E44">
        <w:rPr>
          <w:rFonts w:ascii="Times New Roman" w:hAnsi="Times New Roman" w:cs="Times New Roman"/>
          <w:sz w:val="24"/>
          <w:szCs w:val="24"/>
        </w:rPr>
        <w:t xml:space="preserve"> informacji niezbędnych do sporządzenia </w:t>
      </w:r>
      <w:r w:rsidR="00B70FE4" w:rsidRPr="002C0E44">
        <w:rPr>
          <w:rFonts w:ascii="Times New Roman" w:hAnsi="Times New Roman" w:cs="Times New Roman"/>
          <w:sz w:val="24"/>
          <w:szCs w:val="24"/>
        </w:rPr>
        <w:lastRenderedPageBreak/>
        <w:t>sprawozdania o podatku dochodowym</w:t>
      </w:r>
      <w:r w:rsidR="004E5A35" w:rsidRPr="002C0E44">
        <w:rPr>
          <w:rFonts w:ascii="Times New Roman" w:hAnsi="Times New Roman" w:cs="Times New Roman"/>
          <w:sz w:val="24"/>
          <w:szCs w:val="24"/>
        </w:rPr>
        <w:t xml:space="preserve"> (implementacja art. 48b ust. 4 akapit </w:t>
      </w:r>
      <w:r w:rsidR="001A4112" w:rsidRPr="002C0E44">
        <w:rPr>
          <w:rFonts w:ascii="Times New Roman" w:hAnsi="Times New Roman" w:cs="Times New Roman"/>
          <w:sz w:val="24"/>
          <w:szCs w:val="24"/>
        </w:rPr>
        <w:t>drugi oraz ust.</w:t>
      </w:r>
      <w:r w:rsidR="004E7D6F">
        <w:rPr>
          <w:rFonts w:ascii="Times New Roman" w:hAnsi="Times New Roman" w:cs="Times New Roman"/>
          <w:sz w:val="24"/>
          <w:szCs w:val="24"/>
        </w:rPr>
        <w:t> </w:t>
      </w:r>
      <w:r w:rsidR="001A4112" w:rsidRPr="002C0E44">
        <w:rPr>
          <w:rFonts w:ascii="Times New Roman" w:hAnsi="Times New Roman" w:cs="Times New Roman"/>
          <w:sz w:val="24"/>
          <w:szCs w:val="24"/>
        </w:rPr>
        <w:t>5 akapit drugi dyrektywy 2021/2101)</w:t>
      </w:r>
      <w:r w:rsidR="00B70FE4" w:rsidRPr="002C0E44">
        <w:rPr>
          <w:rFonts w:ascii="Times New Roman" w:hAnsi="Times New Roman" w:cs="Times New Roman"/>
          <w:sz w:val="24"/>
          <w:szCs w:val="24"/>
        </w:rPr>
        <w:t>.</w:t>
      </w:r>
    </w:p>
    <w:p w14:paraId="1A00BE71" w14:textId="532E653F" w:rsidR="00B70FE4" w:rsidRPr="002C0E44" w:rsidRDefault="008354DE" w:rsidP="002C0E44">
      <w:pPr>
        <w:spacing w:before="120"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E44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9621C1" w:rsidRPr="002C0E44">
        <w:rPr>
          <w:rFonts w:ascii="Times New Roman" w:hAnsi="Times New Roman" w:cs="Times New Roman"/>
          <w:b/>
          <w:sz w:val="24"/>
          <w:szCs w:val="24"/>
        </w:rPr>
        <w:t xml:space="preserve">63n </w:t>
      </w:r>
      <w:r w:rsidRPr="002C0E44">
        <w:rPr>
          <w:rFonts w:ascii="Times New Roman" w:hAnsi="Times New Roman" w:cs="Times New Roman"/>
          <w:b/>
          <w:sz w:val="24"/>
          <w:szCs w:val="24"/>
        </w:rPr>
        <w:t>ust.</w:t>
      </w:r>
      <w:r w:rsidR="00671CE9" w:rsidRPr="002C0E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1CD8" w:rsidRPr="002C0E44">
        <w:rPr>
          <w:rFonts w:ascii="Times New Roman" w:hAnsi="Times New Roman" w:cs="Times New Roman"/>
          <w:b/>
          <w:sz w:val="24"/>
          <w:szCs w:val="24"/>
        </w:rPr>
        <w:t>4</w:t>
      </w:r>
      <w:r w:rsidR="00671CE9" w:rsidRPr="002C0E44">
        <w:rPr>
          <w:rFonts w:ascii="Times New Roman" w:hAnsi="Times New Roman" w:cs="Times New Roman"/>
          <w:sz w:val="24"/>
          <w:szCs w:val="24"/>
        </w:rPr>
        <w:t xml:space="preserve"> określa sytuację</w:t>
      </w:r>
      <w:r w:rsidR="001A4112" w:rsidRPr="002C0E44">
        <w:rPr>
          <w:rFonts w:ascii="Times New Roman" w:hAnsi="Times New Roman" w:cs="Times New Roman"/>
          <w:sz w:val="24"/>
          <w:szCs w:val="24"/>
        </w:rPr>
        <w:t>,</w:t>
      </w:r>
      <w:r w:rsidR="00671CE9" w:rsidRPr="002C0E44">
        <w:rPr>
          <w:rFonts w:ascii="Times New Roman" w:hAnsi="Times New Roman" w:cs="Times New Roman"/>
          <w:sz w:val="24"/>
          <w:szCs w:val="24"/>
        </w:rPr>
        <w:t xml:space="preserve"> w której jednostka zależna lub oddział nie otrzymają od jednostki dominującej najwyższego szczebla lub jednostki samodzielnej</w:t>
      </w:r>
      <w:r w:rsidR="00D703EE" w:rsidRPr="002C0E44">
        <w:rPr>
          <w:rFonts w:ascii="Times New Roman" w:hAnsi="Times New Roman" w:cs="Times New Roman"/>
          <w:sz w:val="24"/>
          <w:szCs w:val="24"/>
        </w:rPr>
        <w:t xml:space="preserve"> sprawozdania o</w:t>
      </w:r>
      <w:r w:rsidR="004E7D6F">
        <w:rPr>
          <w:rFonts w:ascii="Times New Roman" w:hAnsi="Times New Roman" w:cs="Times New Roman"/>
          <w:sz w:val="24"/>
          <w:szCs w:val="24"/>
        </w:rPr>
        <w:t> </w:t>
      </w:r>
      <w:r w:rsidR="00D703EE" w:rsidRPr="002C0E44">
        <w:rPr>
          <w:rFonts w:ascii="Times New Roman" w:hAnsi="Times New Roman" w:cs="Times New Roman"/>
          <w:sz w:val="24"/>
          <w:szCs w:val="24"/>
        </w:rPr>
        <w:t>podatku dochodowym, o którego udostępnienie</w:t>
      </w:r>
      <w:r w:rsidR="00E31CD8" w:rsidRPr="002C0E44">
        <w:rPr>
          <w:rFonts w:ascii="Times New Roman" w:hAnsi="Times New Roman" w:cs="Times New Roman"/>
          <w:sz w:val="24"/>
          <w:szCs w:val="24"/>
        </w:rPr>
        <w:t xml:space="preserve"> wnioskowały </w:t>
      </w:r>
      <w:r w:rsidR="00D703EE" w:rsidRPr="002C0E44">
        <w:rPr>
          <w:rFonts w:ascii="Times New Roman" w:hAnsi="Times New Roman" w:cs="Times New Roman"/>
          <w:sz w:val="24"/>
          <w:szCs w:val="24"/>
        </w:rPr>
        <w:t>do jednostki dominującej najwyższego szczebla</w:t>
      </w:r>
      <w:r w:rsidR="002635C6" w:rsidRPr="002C0E44">
        <w:rPr>
          <w:rFonts w:ascii="Times New Roman" w:hAnsi="Times New Roman" w:cs="Times New Roman"/>
          <w:sz w:val="24"/>
          <w:szCs w:val="24"/>
        </w:rPr>
        <w:t>/</w:t>
      </w:r>
      <w:r w:rsidR="00D703EE" w:rsidRPr="002C0E44">
        <w:rPr>
          <w:rFonts w:ascii="Times New Roman" w:hAnsi="Times New Roman" w:cs="Times New Roman"/>
          <w:sz w:val="24"/>
          <w:szCs w:val="24"/>
        </w:rPr>
        <w:t xml:space="preserve">jednostki samodzielnej </w:t>
      </w:r>
      <w:r w:rsidR="00E31CD8" w:rsidRPr="002C0E44">
        <w:rPr>
          <w:rFonts w:ascii="Times New Roman" w:hAnsi="Times New Roman" w:cs="Times New Roman"/>
          <w:sz w:val="24"/>
          <w:szCs w:val="24"/>
        </w:rPr>
        <w:t>na podstawie ust. 3</w:t>
      </w:r>
      <w:r w:rsidR="00671CE9" w:rsidRPr="002C0E44">
        <w:rPr>
          <w:rFonts w:ascii="Times New Roman" w:hAnsi="Times New Roman" w:cs="Times New Roman"/>
          <w:sz w:val="24"/>
          <w:szCs w:val="24"/>
        </w:rPr>
        <w:t>. W takiej sytuacji jednostka zależna/oddział będzie zobowiązany do</w:t>
      </w:r>
      <w:r w:rsidR="00D703EE" w:rsidRPr="002C0E44">
        <w:rPr>
          <w:rFonts w:ascii="Times New Roman" w:hAnsi="Times New Roman" w:cs="Times New Roman"/>
          <w:sz w:val="24"/>
          <w:szCs w:val="24"/>
        </w:rPr>
        <w:t xml:space="preserve"> „zastępczego”</w:t>
      </w:r>
      <w:r w:rsidR="00671CE9" w:rsidRPr="002C0E44">
        <w:rPr>
          <w:rFonts w:ascii="Times New Roman" w:hAnsi="Times New Roman" w:cs="Times New Roman"/>
          <w:sz w:val="24"/>
          <w:szCs w:val="24"/>
        </w:rPr>
        <w:t xml:space="preserve"> sporządzenia</w:t>
      </w:r>
      <w:r w:rsidRPr="002C0E44">
        <w:rPr>
          <w:rFonts w:ascii="Times New Roman" w:hAnsi="Times New Roman" w:cs="Times New Roman"/>
          <w:sz w:val="24"/>
          <w:szCs w:val="24"/>
        </w:rPr>
        <w:t>, publikacji i udostępnienia</w:t>
      </w:r>
      <w:r w:rsidR="00671CE9" w:rsidRPr="002C0E44">
        <w:rPr>
          <w:rFonts w:ascii="Times New Roman" w:hAnsi="Times New Roman" w:cs="Times New Roman"/>
          <w:sz w:val="24"/>
          <w:szCs w:val="24"/>
        </w:rPr>
        <w:t xml:space="preserve"> sprawozdania </w:t>
      </w:r>
      <w:r w:rsidR="00D703EE" w:rsidRPr="002C0E44">
        <w:rPr>
          <w:rFonts w:ascii="Times New Roman" w:hAnsi="Times New Roman" w:cs="Times New Roman"/>
          <w:sz w:val="24"/>
          <w:szCs w:val="24"/>
        </w:rPr>
        <w:t xml:space="preserve">o podatku dochodowym dotyczącego jednostki dominującej najwyższego szczebla/jednostki samodzielnej </w:t>
      </w:r>
      <w:r w:rsidR="002635C6" w:rsidRPr="002C0E44">
        <w:rPr>
          <w:rFonts w:ascii="Times New Roman" w:hAnsi="Times New Roman" w:cs="Times New Roman"/>
          <w:sz w:val="24"/>
          <w:szCs w:val="24"/>
        </w:rPr>
        <w:t>zawierającego</w:t>
      </w:r>
      <w:r w:rsidR="00671CE9" w:rsidRPr="002C0E44">
        <w:rPr>
          <w:rFonts w:ascii="Times New Roman" w:hAnsi="Times New Roman" w:cs="Times New Roman"/>
          <w:sz w:val="24"/>
          <w:szCs w:val="24"/>
        </w:rPr>
        <w:t xml:space="preserve"> informacj</w:t>
      </w:r>
      <w:r w:rsidR="002635C6" w:rsidRPr="002C0E44">
        <w:rPr>
          <w:rFonts w:ascii="Times New Roman" w:hAnsi="Times New Roman" w:cs="Times New Roman"/>
          <w:sz w:val="24"/>
          <w:szCs w:val="24"/>
        </w:rPr>
        <w:t>e</w:t>
      </w:r>
      <w:r w:rsidR="00671CE9" w:rsidRPr="002C0E44">
        <w:rPr>
          <w:rFonts w:ascii="Times New Roman" w:hAnsi="Times New Roman" w:cs="Times New Roman"/>
          <w:sz w:val="24"/>
          <w:szCs w:val="24"/>
        </w:rPr>
        <w:t>,</w:t>
      </w:r>
      <w:r w:rsidR="002635C6" w:rsidRPr="002C0E44">
        <w:rPr>
          <w:rFonts w:ascii="Times New Roman" w:hAnsi="Times New Roman" w:cs="Times New Roman"/>
          <w:sz w:val="24"/>
          <w:szCs w:val="24"/>
        </w:rPr>
        <w:t xml:space="preserve"> które posiadają, uzyskały lub nabyły. Będzie to dotyczyć także sytuacji, gdy jednostka dominująca najwyższego szczebla/jednostka samodzielna, na ww. uprzednie żądanie, przekaże informacje niezbędne do sporządzenia takiego sprawozdania. Ponadto jednostka zależna/oddział będą zobowiązane</w:t>
      </w:r>
      <w:r w:rsidR="00671CE9" w:rsidRPr="002C0E44">
        <w:rPr>
          <w:rFonts w:ascii="Times New Roman" w:hAnsi="Times New Roman" w:cs="Times New Roman"/>
          <w:sz w:val="24"/>
          <w:szCs w:val="24"/>
        </w:rPr>
        <w:t xml:space="preserve"> także</w:t>
      </w:r>
      <w:r w:rsidR="002852D3" w:rsidRPr="002C0E44">
        <w:rPr>
          <w:rFonts w:ascii="Times New Roman" w:hAnsi="Times New Roman" w:cs="Times New Roman"/>
          <w:sz w:val="24"/>
          <w:szCs w:val="24"/>
        </w:rPr>
        <w:t xml:space="preserve"> do sporządzenia</w:t>
      </w:r>
      <w:r w:rsidR="00671CE9" w:rsidRPr="002C0E44">
        <w:rPr>
          <w:rFonts w:ascii="Times New Roman" w:hAnsi="Times New Roman" w:cs="Times New Roman"/>
          <w:sz w:val="24"/>
          <w:szCs w:val="24"/>
        </w:rPr>
        <w:t xml:space="preserve"> </w:t>
      </w:r>
      <w:r w:rsidR="00EC14F4" w:rsidRPr="002C0E44">
        <w:rPr>
          <w:rFonts w:ascii="Times New Roman" w:hAnsi="Times New Roman" w:cs="Times New Roman"/>
          <w:sz w:val="24"/>
          <w:szCs w:val="24"/>
        </w:rPr>
        <w:t>oświadczenia</w:t>
      </w:r>
      <w:r w:rsidR="00671CE9" w:rsidRPr="002C0E44">
        <w:rPr>
          <w:rFonts w:ascii="Times New Roman" w:hAnsi="Times New Roman" w:cs="Times New Roman"/>
          <w:sz w:val="24"/>
          <w:szCs w:val="24"/>
        </w:rPr>
        <w:t xml:space="preserve"> stwierdzające</w:t>
      </w:r>
      <w:r w:rsidR="00EC14F4" w:rsidRPr="002C0E44">
        <w:rPr>
          <w:rFonts w:ascii="Times New Roman" w:hAnsi="Times New Roman" w:cs="Times New Roman"/>
          <w:sz w:val="24"/>
          <w:szCs w:val="24"/>
        </w:rPr>
        <w:t>go</w:t>
      </w:r>
      <w:r w:rsidR="00671CE9" w:rsidRPr="002C0E44">
        <w:rPr>
          <w:rFonts w:ascii="Times New Roman" w:hAnsi="Times New Roman" w:cs="Times New Roman"/>
          <w:sz w:val="24"/>
          <w:szCs w:val="24"/>
        </w:rPr>
        <w:t xml:space="preserve">, że odpowiednio jednostka dominująca najwyższego szczebla lub jednostka samodzielna nie udostępniła </w:t>
      </w:r>
      <w:r w:rsidR="002852D3" w:rsidRPr="002C0E44">
        <w:rPr>
          <w:rFonts w:ascii="Times New Roman" w:hAnsi="Times New Roman" w:cs="Times New Roman"/>
          <w:sz w:val="24"/>
          <w:szCs w:val="24"/>
        </w:rPr>
        <w:t xml:space="preserve">sprawozdania o podatku dochodowym lub </w:t>
      </w:r>
      <w:r w:rsidR="00671CE9" w:rsidRPr="002C0E44">
        <w:rPr>
          <w:rFonts w:ascii="Times New Roman" w:hAnsi="Times New Roman" w:cs="Times New Roman"/>
          <w:sz w:val="24"/>
          <w:szCs w:val="24"/>
        </w:rPr>
        <w:t>informacji</w:t>
      </w:r>
      <w:r w:rsidR="002852D3" w:rsidRPr="002C0E44">
        <w:rPr>
          <w:rFonts w:ascii="Times New Roman" w:hAnsi="Times New Roman" w:cs="Times New Roman"/>
          <w:sz w:val="24"/>
          <w:szCs w:val="24"/>
        </w:rPr>
        <w:t xml:space="preserve"> niezbędnych do jego sporządzenia</w:t>
      </w:r>
      <w:r w:rsidR="001A4112" w:rsidRPr="002C0E44">
        <w:rPr>
          <w:rFonts w:ascii="Times New Roman" w:hAnsi="Times New Roman" w:cs="Times New Roman"/>
          <w:sz w:val="24"/>
          <w:szCs w:val="24"/>
        </w:rPr>
        <w:t xml:space="preserve"> (implementacja art. 48b ust.</w:t>
      </w:r>
      <w:r w:rsidR="004E7D6F">
        <w:rPr>
          <w:rFonts w:ascii="Times New Roman" w:hAnsi="Times New Roman" w:cs="Times New Roman"/>
          <w:sz w:val="24"/>
          <w:szCs w:val="24"/>
        </w:rPr>
        <w:t> </w:t>
      </w:r>
      <w:r w:rsidR="001A4112" w:rsidRPr="002C0E44">
        <w:rPr>
          <w:rFonts w:ascii="Times New Roman" w:hAnsi="Times New Roman" w:cs="Times New Roman"/>
          <w:sz w:val="24"/>
          <w:szCs w:val="24"/>
        </w:rPr>
        <w:t>4 akapit drugi oraz ust. 5 akapit trzeci dyrektywy 2021/2101)</w:t>
      </w:r>
      <w:r w:rsidR="00671CE9" w:rsidRPr="002C0E44">
        <w:rPr>
          <w:rFonts w:ascii="Times New Roman" w:hAnsi="Times New Roman" w:cs="Times New Roman"/>
          <w:sz w:val="24"/>
          <w:szCs w:val="24"/>
        </w:rPr>
        <w:t>.</w:t>
      </w:r>
    </w:p>
    <w:p w14:paraId="353F2C0C" w14:textId="7436D9F4" w:rsidR="00345040" w:rsidRPr="002C0E44" w:rsidRDefault="00345040" w:rsidP="002C0E44">
      <w:pPr>
        <w:spacing w:before="120"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E44">
        <w:rPr>
          <w:rFonts w:ascii="Times New Roman" w:hAnsi="Times New Roman" w:cs="Times New Roman"/>
          <w:b/>
          <w:sz w:val="24"/>
          <w:szCs w:val="24"/>
        </w:rPr>
        <w:t>Art. 63n ust. 5</w:t>
      </w:r>
      <w:r w:rsidR="007E1F24" w:rsidRPr="002C0E44">
        <w:rPr>
          <w:rFonts w:ascii="Times New Roman" w:hAnsi="Times New Roman" w:cs="Times New Roman"/>
          <w:b/>
          <w:sz w:val="24"/>
          <w:szCs w:val="24"/>
        </w:rPr>
        <w:t xml:space="preserve"> i 6</w:t>
      </w:r>
      <w:r w:rsidRPr="002C0E44">
        <w:rPr>
          <w:rFonts w:ascii="Times New Roman" w:hAnsi="Times New Roman" w:cs="Times New Roman"/>
          <w:sz w:val="24"/>
          <w:szCs w:val="24"/>
        </w:rPr>
        <w:t xml:space="preserve"> doprecyzowuj</w:t>
      </w:r>
      <w:r w:rsidR="007E1F24" w:rsidRPr="002C0E44">
        <w:rPr>
          <w:rFonts w:ascii="Times New Roman" w:hAnsi="Times New Roman" w:cs="Times New Roman"/>
          <w:sz w:val="24"/>
          <w:szCs w:val="24"/>
        </w:rPr>
        <w:t>ą</w:t>
      </w:r>
      <w:r w:rsidRPr="002C0E44">
        <w:rPr>
          <w:rFonts w:ascii="Times New Roman" w:hAnsi="Times New Roman" w:cs="Times New Roman"/>
          <w:sz w:val="24"/>
          <w:szCs w:val="24"/>
        </w:rPr>
        <w:t xml:space="preserve"> nałożone na spółki zależne i oddziały obowiązki związane z publikacją oraz udostępnieniem, o których wspomniano w ust. 1 </w:t>
      </w:r>
      <w:r w:rsidR="008C3122" w:rsidRPr="002C0E44">
        <w:rPr>
          <w:rFonts w:ascii="Times New Roman" w:hAnsi="Times New Roman" w:cs="Times New Roman"/>
          <w:sz w:val="24"/>
          <w:szCs w:val="24"/>
        </w:rPr>
        <w:t>tego</w:t>
      </w:r>
      <w:r w:rsidRPr="002C0E44">
        <w:rPr>
          <w:rFonts w:ascii="Times New Roman" w:hAnsi="Times New Roman" w:cs="Times New Roman"/>
          <w:sz w:val="24"/>
          <w:szCs w:val="24"/>
        </w:rPr>
        <w:t xml:space="preserve"> artykułu. I tak w terminie 12 miesięcy od dnia bilansowego jednostka zależna/oddział będzie musiał</w:t>
      </w:r>
      <w:r w:rsidR="00443370" w:rsidRPr="002C0E44">
        <w:rPr>
          <w:rFonts w:ascii="Times New Roman" w:hAnsi="Times New Roman" w:cs="Times New Roman"/>
          <w:sz w:val="24"/>
          <w:szCs w:val="24"/>
        </w:rPr>
        <w:t>a</w:t>
      </w:r>
      <w:r w:rsidRPr="002C0E44">
        <w:rPr>
          <w:rFonts w:ascii="Times New Roman" w:hAnsi="Times New Roman" w:cs="Times New Roman"/>
          <w:sz w:val="24"/>
          <w:szCs w:val="24"/>
        </w:rPr>
        <w:t>:</w:t>
      </w:r>
    </w:p>
    <w:p w14:paraId="6C84898C" w14:textId="5418AB52" w:rsidR="00D8696D" w:rsidRPr="002C0E44" w:rsidRDefault="00345040" w:rsidP="002C0E44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E44">
        <w:rPr>
          <w:rFonts w:ascii="Times New Roman" w:hAnsi="Times New Roman" w:cs="Times New Roman"/>
          <w:sz w:val="24"/>
          <w:szCs w:val="24"/>
        </w:rPr>
        <w:t>1)</w:t>
      </w:r>
      <w:r w:rsidR="000B5619">
        <w:rPr>
          <w:rFonts w:ascii="Times New Roman" w:hAnsi="Times New Roman" w:cs="Times New Roman"/>
          <w:sz w:val="24"/>
          <w:szCs w:val="24"/>
        </w:rPr>
        <w:tab/>
      </w:r>
      <w:r w:rsidRPr="002C0E44">
        <w:rPr>
          <w:rFonts w:ascii="Times New Roman" w:hAnsi="Times New Roman" w:cs="Times New Roman"/>
          <w:sz w:val="24"/>
          <w:szCs w:val="24"/>
        </w:rPr>
        <w:t>złożyć do Krajowego Rejestru Sądowego (publikacja)</w:t>
      </w:r>
      <w:r w:rsidR="00D8696D" w:rsidRPr="002C0E44">
        <w:rPr>
          <w:rFonts w:ascii="Times New Roman" w:hAnsi="Times New Roman" w:cs="Times New Roman"/>
          <w:sz w:val="24"/>
          <w:szCs w:val="24"/>
        </w:rPr>
        <w:t>:</w:t>
      </w:r>
    </w:p>
    <w:p w14:paraId="5389A6FE" w14:textId="06A21922" w:rsidR="00345040" w:rsidRPr="002C0E44" w:rsidRDefault="00D8696D" w:rsidP="000B5619">
      <w:pPr>
        <w:spacing w:before="120" w:after="0"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2C0E44">
        <w:rPr>
          <w:rFonts w:ascii="Times New Roman" w:hAnsi="Times New Roman" w:cs="Times New Roman"/>
          <w:sz w:val="24"/>
          <w:szCs w:val="24"/>
        </w:rPr>
        <w:t>a)</w:t>
      </w:r>
      <w:r w:rsidR="000B5619">
        <w:rPr>
          <w:rFonts w:ascii="Times New Roman" w:hAnsi="Times New Roman" w:cs="Times New Roman"/>
          <w:sz w:val="24"/>
          <w:szCs w:val="24"/>
        </w:rPr>
        <w:tab/>
      </w:r>
      <w:r w:rsidRPr="002C0E44">
        <w:rPr>
          <w:rFonts w:ascii="Times New Roman" w:hAnsi="Times New Roman" w:cs="Times New Roman"/>
          <w:sz w:val="24"/>
          <w:szCs w:val="24"/>
        </w:rPr>
        <w:t xml:space="preserve">sporządzone przez siebie (na mocy obowiązku wynikającego z ust. </w:t>
      </w:r>
      <w:r w:rsidR="002852D3" w:rsidRPr="002C0E44">
        <w:rPr>
          <w:rFonts w:ascii="Times New Roman" w:hAnsi="Times New Roman" w:cs="Times New Roman"/>
          <w:sz w:val="24"/>
          <w:szCs w:val="24"/>
        </w:rPr>
        <w:t>4</w:t>
      </w:r>
      <w:r w:rsidRPr="002C0E44">
        <w:rPr>
          <w:rFonts w:ascii="Times New Roman" w:hAnsi="Times New Roman" w:cs="Times New Roman"/>
          <w:sz w:val="24"/>
          <w:szCs w:val="24"/>
        </w:rPr>
        <w:t>) sprawozdanie o</w:t>
      </w:r>
      <w:r w:rsidR="004E7D6F">
        <w:rPr>
          <w:rFonts w:ascii="Times New Roman" w:hAnsi="Times New Roman" w:cs="Times New Roman"/>
          <w:sz w:val="24"/>
          <w:szCs w:val="24"/>
        </w:rPr>
        <w:t> </w:t>
      </w:r>
      <w:r w:rsidRPr="002C0E44">
        <w:rPr>
          <w:rFonts w:ascii="Times New Roman" w:hAnsi="Times New Roman" w:cs="Times New Roman"/>
          <w:sz w:val="24"/>
          <w:szCs w:val="24"/>
        </w:rPr>
        <w:t>podatku dochodowym</w:t>
      </w:r>
      <w:r w:rsidR="00B1647A" w:rsidRPr="002C0E44">
        <w:rPr>
          <w:rFonts w:ascii="Times New Roman" w:hAnsi="Times New Roman" w:cs="Times New Roman"/>
          <w:sz w:val="24"/>
          <w:szCs w:val="24"/>
        </w:rPr>
        <w:t xml:space="preserve"> oraz oświadczenie, o którym mowa w ust. 4 pkt 2</w:t>
      </w:r>
      <w:r w:rsidR="00345040" w:rsidRPr="002C0E44">
        <w:rPr>
          <w:rFonts w:ascii="Times New Roman" w:hAnsi="Times New Roman" w:cs="Times New Roman"/>
          <w:sz w:val="24"/>
          <w:szCs w:val="24"/>
        </w:rPr>
        <w:t xml:space="preserve">; wraz ze sprawozdaniem </w:t>
      </w:r>
      <w:r w:rsidR="00D22E1D" w:rsidRPr="002C0E44">
        <w:rPr>
          <w:rFonts w:ascii="Times New Roman" w:hAnsi="Times New Roman" w:cs="Times New Roman"/>
          <w:sz w:val="24"/>
          <w:szCs w:val="24"/>
        </w:rPr>
        <w:t xml:space="preserve">będą musiały być </w:t>
      </w:r>
      <w:r w:rsidR="00345040" w:rsidRPr="002C0E44">
        <w:rPr>
          <w:rFonts w:ascii="Times New Roman" w:hAnsi="Times New Roman" w:cs="Times New Roman"/>
          <w:sz w:val="24"/>
          <w:szCs w:val="24"/>
        </w:rPr>
        <w:t>złożone także: odmowa podpisu sprawozdania</w:t>
      </w:r>
      <w:r w:rsidR="00060638" w:rsidRPr="002C0E44">
        <w:rPr>
          <w:rFonts w:ascii="Times New Roman" w:hAnsi="Times New Roman" w:cs="Times New Roman"/>
          <w:sz w:val="24"/>
          <w:szCs w:val="24"/>
        </w:rPr>
        <w:t xml:space="preserve"> o</w:t>
      </w:r>
      <w:r w:rsidR="004E7D6F">
        <w:rPr>
          <w:rFonts w:ascii="Times New Roman" w:hAnsi="Times New Roman" w:cs="Times New Roman"/>
          <w:sz w:val="24"/>
          <w:szCs w:val="24"/>
        </w:rPr>
        <w:t> </w:t>
      </w:r>
      <w:r w:rsidR="00060638" w:rsidRPr="002C0E44">
        <w:rPr>
          <w:rFonts w:ascii="Times New Roman" w:hAnsi="Times New Roman" w:cs="Times New Roman"/>
          <w:sz w:val="24"/>
          <w:szCs w:val="24"/>
        </w:rPr>
        <w:t>podatku dochodowym</w:t>
      </w:r>
      <w:r w:rsidR="00345040" w:rsidRPr="002C0E44">
        <w:rPr>
          <w:rFonts w:ascii="Times New Roman" w:hAnsi="Times New Roman" w:cs="Times New Roman"/>
          <w:sz w:val="24"/>
          <w:szCs w:val="24"/>
        </w:rPr>
        <w:t xml:space="preserve"> oraz oświadczenie, że sprawozdanie </w:t>
      </w:r>
      <w:r w:rsidR="003C14D1" w:rsidRPr="002C0E44">
        <w:rPr>
          <w:rFonts w:ascii="Times New Roman" w:hAnsi="Times New Roman" w:cs="Times New Roman"/>
          <w:sz w:val="24"/>
          <w:szCs w:val="24"/>
        </w:rPr>
        <w:t xml:space="preserve">to </w:t>
      </w:r>
      <w:r w:rsidR="00345040" w:rsidRPr="002C0E44">
        <w:rPr>
          <w:rFonts w:ascii="Times New Roman" w:hAnsi="Times New Roman" w:cs="Times New Roman"/>
          <w:sz w:val="24"/>
          <w:szCs w:val="24"/>
        </w:rPr>
        <w:t>spełnia wymagania przewidziane w ustawie, lub odmowa złożenia takiego oświadcze</w:t>
      </w:r>
      <w:r w:rsidR="00443370" w:rsidRPr="002C0E44">
        <w:rPr>
          <w:rFonts w:ascii="Times New Roman" w:hAnsi="Times New Roman" w:cs="Times New Roman"/>
          <w:sz w:val="24"/>
          <w:szCs w:val="24"/>
        </w:rPr>
        <w:t>nia</w:t>
      </w:r>
      <w:r w:rsidR="00345040" w:rsidRPr="002C0E44">
        <w:rPr>
          <w:rFonts w:ascii="Times New Roman" w:hAnsi="Times New Roman" w:cs="Times New Roman"/>
          <w:sz w:val="24"/>
          <w:szCs w:val="24"/>
        </w:rPr>
        <w:t xml:space="preserve">, jeżeli </w:t>
      </w:r>
      <w:r w:rsidR="003C14D1" w:rsidRPr="002C0E44">
        <w:rPr>
          <w:rFonts w:ascii="Times New Roman" w:hAnsi="Times New Roman" w:cs="Times New Roman"/>
          <w:sz w:val="24"/>
          <w:szCs w:val="24"/>
        </w:rPr>
        <w:t>odmowy te lub</w:t>
      </w:r>
      <w:r w:rsidR="002B48E2" w:rsidRPr="002C0E44">
        <w:rPr>
          <w:rFonts w:ascii="Times New Roman" w:hAnsi="Times New Roman" w:cs="Times New Roman"/>
          <w:sz w:val="24"/>
          <w:szCs w:val="24"/>
        </w:rPr>
        <w:t xml:space="preserve"> </w:t>
      </w:r>
      <w:r w:rsidR="003C14D1" w:rsidRPr="002C0E44">
        <w:rPr>
          <w:rFonts w:ascii="Times New Roman" w:hAnsi="Times New Roman" w:cs="Times New Roman"/>
          <w:sz w:val="24"/>
          <w:szCs w:val="24"/>
        </w:rPr>
        <w:t xml:space="preserve">oświadczenie, że sprawozdanie spełnia wymogi przewidziane w ustawie </w:t>
      </w:r>
      <w:r w:rsidR="00345040" w:rsidRPr="002C0E44">
        <w:rPr>
          <w:rFonts w:ascii="Times New Roman" w:hAnsi="Times New Roman" w:cs="Times New Roman"/>
          <w:sz w:val="24"/>
          <w:szCs w:val="24"/>
        </w:rPr>
        <w:t>zostały sporządzone</w:t>
      </w:r>
      <w:r w:rsidRPr="002C0E44">
        <w:rPr>
          <w:rFonts w:ascii="Times New Roman" w:hAnsi="Times New Roman" w:cs="Times New Roman"/>
          <w:sz w:val="24"/>
          <w:szCs w:val="24"/>
        </w:rPr>
        <w:t>, albo</w:t>
      </w:r>
    </w:p>
    <w:p w14:paraId="3D810C82" w14:textId="18D5DC1B" w:rsidR="00D8696D" w:rsidRPr="002C0E44" w:rsidRDefault="00D8696D" w:rsidP="000B5619">
      <w:pPr>
        <w:spacing w:before="120" w:after="0"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2C0E44">
        <w:rPr>
          <w:rFonts w:ascii="Times New Roman" w:hAnsi="Times New Roman" w:cs="Times New Roman"/>
          <w:sz w:val="24"/>
          <w:szCs w:val="24"/>
        </w:rPr>
        <w:t>b)</w:t>
      </w:r>
      <w:r w:rsidR="000B5619">
        <w:rPr>
          <w:rFonts w:ascii="Times New Roman" w:hAnsi="Times New Roman" w:cs="Times New Roman"/>
          <w:sz w:val="24"/>
          <w:szCs w:val="24"/>
        </w:rPr>
        <w:tab/>
      </w:r>
      <w:r w:rsidRPr="002C0E44">
        <w:rPr>
          <w:rFonts w:ascii="Times New Roman" w:hAnsi="Times New Roman" w:cs="Times New Roman"/>
          <w:sz w:val="24"/>
          <w:szCs w:val="24"/>
        </w:rPr>
        <w:t>sprawozdanie o podatku dochodowym odpowiednio jednostki dominującej najwyższego szczebla lub jednostki samodzielnej, o ile jednostka zależna/oddział zostały wskazane do złożenia tego sprawozdania do rejestru zgodnie z ust. 6 pkt 3, oraz</w:t>
      </w:r>
    </w:p>
    <w:p w14:paraId="62D847EC" w14:textId="7463FB1C" w:rsidR="00345040" w:rsidRPr="002C0E44" w:rsidRDefault="00D8696D" w:rsidP="002C0E44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E44">
        <w:rPr>
          <w:rFonts w:ascii="Times New Roman" w:hAnsi="Times New Roman" w:cs="Times New Roman"/>
          <w:sz w:val="24"/>
          <w:szCs w:val="24"/>
        </w:rPr>
        <w:t>2)</w:t>
      </w:r>
      <w:r w:rsidR="000B5619">
        <w:rPr>
          <w:rFonts w:ascii="Times New Roman" w:hAnsi="Times New Roman" w:cs="Times New Roman"/>
          <w:sz w:val="24"/>
          <w:szCs w:val="24"/>
        </w:rPr>
        <w:tab/>
      </w:r>
      <w:r w:rsidR="00345040" w:rsidRPr="002C0E44">
        <w:rPr>
          <w:rFonts w:ascii="Times New Roman" w:hAnsi="Times New Roman" w:cs="Times New Roman"/>
          <w:sz w:val="24"/>
          <w:szCs w:val="24"/>
        </w:rPr>
        <w:t>zamie</w:t>
      </w:r>
      <w:r w:rsidRPr="002C0E44">
        <w:rPr>
          <w:rFonts w:ascii="Times New Roman" w:hAnsi="Times New Roman" w:cs="Times New Roman"/>
          <w:sz w:val="24"/>
          <w:szCs w:val="24"/>
        </w:rPr>
        <w:t>ścić</w:t>
      </w:r>
      <w:r w:rsidR="00345040" w:rsidRPr="002C0E44">
        <w:rPr>
          <w:rFonts w:ascii="Times New Roman" w:hAnsi="Times New Roman" w:cs="Times New Roman"/>
          <w:sz w:val="24"/>
          <w:szCs w:val="24"/>
        </w:rPr>
        <w:t xml:space="preserve"> </w:t>
      </w:r>
      <w:r w:rsidRPr="002C0E44">
        <w:rPr>
          <w:rFonts w:ascii="Times New Roman" w:hAnsi="Times New Roman" w:cs="Times New Roman"/>
          <w:sz w:val="24"/>
          <w:szCs w:val="24"/>
        </w:rPr>
        <w:t>sprawozdanie o podatku dochodowym</w:t>
      </w:r>
      <w:r w:rsidR="00846091" w:rsidRPr="002C0E44">
        <w:rPr>
          <w:rFonts w:ascii="Times New Roman" w:hAnsi="Times New Roman" w:cs="Times New Roman"/>
          <w:sz w:val="24"/>
          <w:szCs w:val="24"/>
        </w:rPr>
        <w:t xml:space="preserve"> (udostępnione przez jednostkę dominującą najwyższego szczebla/jednostkę samodzielną albo sporządzone przez siebie na </w:t>
      </w:r>
      <w:r w:rsidR="00846091" w:rsidRPr="002C0E44">
        <w:rPr>
          <w:rFonts w:ascii="Times New Roman" w:hAnsi="Times New Roman" w:cs="Times New Roman"/>
          <w:sz w:val="24"/>
          <w:szCs w:val="24"/>
        </w:rPr>
        <w:lastRenderedPageBreak/>
        <w:t xml:space="preserve">podstawie ust. 4 pkt 1) oraz ewentualnie oświadczenie, o którym mowa w ust. 4 pkt 2, o ile zostało ono sporządzone, </w:t>
      </w:r>
      <w:r w:rsidR="00345040" w:rsidRPr="002C0E44">
        <w:rPr>
          <w:rFonts w:ascii="Times New Roman" w:hAnsi="Times New Roman" w:cs="Times New Roman"/>
          <w:sz w:val="24"/>
          <w:szCs w:val="24"/>
        </w:rPr>
        <w:t xml:space="preserve">na </w:t>
      </w:r>
      <w:r w:rsidRPr="002C0E44">
        <w:rPr>
          <w:rFonts w:ascii="Times New Roman" w:hAnsi="Times New Roman" w:cs="Times New Roman"/>
          <w:sz w:val="24"/>
          <w:szCs w:val="24"/>
        </w:rPr>
        <w:t xml:space="preserve">swojej </w:t>
      </w:r>
      <w:r w:rsidR="00345040" w:rsidRPr="002C0E44">
        <w:rPr>
          <w:rFonts w:ascii="Times New Roman" w:hAnsi="Times New Roman" w:cs="Times New Roman"/>
          <w:sz w:val="24"/>
          <w:szCs w:val="24"/>
        </w:rPr>
        <w:t xml:space="preserve">stronie internetowej (udostępnienie) i </w:t>
      </w:r>
      <w:r w:rsidRPr="002C0E44">
        <w:rPr>
          <w:rFonts w:ascii="Times New Roman" w:hAnsi="Times New Roman" w:cs="Times New Roman"/>
          <w:sz w:val="24"/>
          <w:szCs w:val="24"/>
        </w:rPr>
        <w:t>zapewnić by był</w:t>
      </w:r>
      <w:r w:rsidR="00846091" w:rsidRPr="002C0E44">
        <w:rPr>
          <w:rFonts w:ascii="Times New Roman" w:hAnsi="Times New Roman" w:cs="Times New Roman"/>
          <w:sz w:val="24"/>
          <w:szCs w:val="24"/>
        </w:rPr>
        <w:t>y</w:t>
      </w:r>
      <w:r w:rsidRPr="002C0E44">
        <w:rPr>
          <w:rFonts w:ascii="Times New Roman" w:hAnsi="Times New Roman" w:cs="Times New Roman"/>
          <w:sz w:val="24"/>
          <w:szCs w:val="24"/>
        </w:rPr>
        <w:t xml:space="preserve"> on</w:t>
      </w:r>
      <w:r w:rsidR="00846091" w:rsidRPr="002C0E44">
        <w:rPr>
          <w:rFonts w:ascii="Times New Roman" w:hAnsi="Times New Roman" w:cs="Times New Roman"/>
          <w:sz w:val="24"/>
          <w:szCs w:val="24"/>
        </w:rPr>
        <w:t>e</w:t>
      </w:r>
      <w:r w:rsidR="00345040" w:rsidRPr="002C0E44">
        <w:rPr>
          <w:rFonts w:ascii="Times New Roman" w:hAnsi="Times New Roman" w:cs="Times New Roman"/>
          <w:sz w:val="24"/>
          <w:szCs w:val="24"/>
        </w:rPr>
        <w:t xml:space="preserve"> tam dostępne przez okres co najmniej 5 lat.</w:t>
      </w:r>
    </w:p>
    <w:p w14:paraId="1CBCF71E" w14:textId="1E4C06EC" w:rsidR="00345040" w:rsidRPr="002C0E44" w:rsidRDefault="00345040" w:rsidP="002C0E44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E44">
        <w:rPr>
          <w:rFonts w:ascii="Times New Roman" w:hAnsi="Times New Roman" w:cs="Times New Roman"/>
          <w:sz w:val="24"/>
          <w:szCs w:val="24"/>
        </w:rPr>
        <w:t>Powyższe przepisy stanowią implementację art. 48d ust. 1 i 2 dyrektywy.</w:t>
      </w:r>
    </w:p>
    <w:p w14:paraId="7A949278" w14:textId="1B2731B8" w:rsidR="00E31CD8" w:rsidRPr="002C0E44" w:rsidRDefault="00E31CD8" w:rsidP="002C0E44">
      <w:pPr>
        <w:spacing w:before="120"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E44">
        <w:rPr>
          <w:rFonts w:ascii="Times New Roman" w:hAnsi="Times New Roman" w:cs="Times New Roman"/>
          <w:b/>
          <w:sz w:val="24"/>
          <w:szCs w:val="24"/>
        </w:rPr>
        <w:t xml:space="preserve">W art. 63n ust. </w:t>
      </w:r>
      <w:r w:rsidR="00D131F1" w:rsidRPr="002C0E44">
        <w:rPr>
          <w:rFonts w:ascii="Times New Roman" w:hAnsi="Times New Roman" w:cs="Times New Roman"/>
          <w:b/>
          <w:sz w:val="24"/>
          <w:szCs w:val="24"/>
        </w:rPr>
        <w:t>7</w:t>
      </w:r>
      <w:r w:rsidRPr="002C0E44">
        <w:rPr>
          <w:rFonts w:ascii="Times New Roman" w:hAnsi="Times New Roman" w:cs="Times New Roman"/>
          <w:sz w:val="24"/>
          <w:szCs w:val="24"/>
        </w:rPr>
        <w:t xml:space="preserve"> doprecyzowano, w jakich sytuacjach i przy spełnieniu jakich warunków</w:t>
      </w:r>
      <w:r w:rsidR="00434717" w:rsidRPr="002C0E44">
        <w:rPr>
          <w:rFonts w:ascii="Times New Roman" w:hAnsi="Times New Roman" w:cs="Times New Roman"/>
          <w:sz w:val="24"/>
          <w:szCs w:val="24"/>
        </w:rPr>
        <w:t xml:space="preserve"> obowiązek publikacji i udostępniania (i ewentualnie sporządzania) sprawozdania o</w:t>
      </w:r>
      <w:r w:rsidR="004E7D6F">
        <w:rPr>
          <w:rFonts w:ascii="Times New Roman" w:hAnsi="Times New Roman" w:cs="Times New Roman"/>
          <w:sz w:val="24"/>
          <w:szCs w:val="24"/>
        </w:rPr>
        <w:t> </w:t>
      </w:r>
      <w:r w:rsidR="00434717" w:rsidRPr="002C0E44">
        <w:rPr>
          <w:rFonts w:ascii="Times New Roman" w:hAnsi="Times New Roman" w:cs="Times New Roman"/>
          <w:sz w:val="24"/>
          <w:szCs w:val="24"/>
        </w:rPr>
        <w:t>podatku dochodowym</w:t>
      </w:r>
      <w:r w:rsidR="007A3BA0" w:rsidRPr="002C0E44">
        <w:rPr>
          <w:rFonts w:ascii="Times New Roman" w:hAnsi="Times New Roman" w:cs="Times New Roman"/>
          <w:sz w:val="24"/>
          <w:szCs w:val="24"/>
        </w:rPr>
        <w:t xml:space="preserve"> nie będzie miał zastosowania</w:t>
      </w:r>
      <w:r w:rsidR="005E5D2B" w:rsidRPr="002C0E44">
        <w:rPr>
          <w:rFonts w:ascii="Times New Roman" w:hAnsi="Times New Roman" w:cs="Times New Roman"/>
          <w:sz w:val="24"/>
          <w:szCs w:val="24"/>
        </w:rPr>
        <w:t xml:space="preserve"> do ww. spółek zależnych i oddziałów</w:t>
      </w:r>
      <w:r w:rsidR="007A3BA0" w:rsidRPr="002C0E44">
        <w:rPr>
          <w:rFonts w:ascii="Times New Roman" w:hAnsi="Times New Roman" w:cs="Times New Roman"/>
          <w:sz w:val="24"/>
          <w:szCs w:val="24"/>
        </w:rPr>
        <w:t>.</w:t>
      </w:r>
      <w:r w:rsidRPr="002C0E44">
        <w:rPr>
          <w:rFonts w:ascii="Times New Roman" w:hAnsi="Times New Roman" w:cs="Times New Roman"/>
          <w:sz w:val="24"/>
          <w:szCs w:val="24"/>
        </w:rPr>
        <w:t xml:space="preserve"> Zapisy te stanowią implementację art. 48b ust. 6 </w:t>
      </w:r>
      <w:r w:rsidR="00D26CD1" w:rsidRPr="002C0E44">
        <w:rPr>
          <w:rFonts w:ascii="Times New Roman" w:hAnsi="Times New Roman" w:cs="Times New Roman"/>
          <w:sz w:val="24"/>
          <w:szCs w:val="24"/>
        </w:rPr>
        <w:t>oraz art. 48d ust. 4 (w zakresie dotyczącym ar</w:t>
      </w:r>
      <w:r w:rsidR="00926028" w:rsidRPr="002C0E44">
        <w:rPr>
          <w:rFonts w:ascii="Times New Roman" w:hAnsi="Times New Roman" w:cs="Times New Roman"/>
          <w:sz w:val="24"/>
          <w:szCs w:val="24"/>
        </w:rPr>
        <w:t>t. 48b ust. 6</w:t>
      </w:r>
      <w:r w:rsidR="00D26CD1" w:rsidRPr="002C0E44">
        <w:rPr>
          <w:rFonts w:ascii="Times New Roman" w:hAnsi="Times New Roman" w:cs="Times New Roman"/>
          <w:sz w:val="24"/>
          <w:szCs w:val="24"/>
        </w:rPr>
        <w:t xml:space="preserve"> </w:t>
      </w:r>
      <w:r w:rsidRPr="002C0E44">
        <w:rPr>
          <w:rFonts w:ascii="Times New Roman" w:hAnsi="Times New Roman" w:cs="Times New Roman"/>
          <w:sz w:val="24"/>
          <w:szCs w:val="24"/>
        </w:rPr>
        <w:t>dyrektywy 2021/2101</w:t>
      </w:r>
      <w:r w:rsidR="00157F3E" w:rsidRPr="002C0E44">
        <w:rPr>
          <w:rFonts w:ascii="Times New Roman" w:hAnsi="Times New Roman" w:cs="Times New Roman"/>
          <w:sz w:val="24"/>
          <w:szCs w:val="24"/>
        </w:rPr>
        <w:t>)</w:t>
      </w:r>
      <w:r w:rsidRPr="002C0E44">
        <w:rPr>
          <w:rFonts w:ascii="Times New Roman" w:hAnsi="Times New Roman" w:cs="Times New Roman"/>
          <w:sz w:val="24"/>
          <w:szCs w:val="24"/>
        </w:rPr>
        <w:t>.</w:t>
      </w:r>
    </w:p>
    <w:p w14:paraId="6E9D7808" w14:textId="3EF5C528" w:rsidR="00D51A7C" w:rsidRPr="002C0E44" w:rsidRDefault="001A4112" w:rsidP="002C0E44">
      <w:pPr>
        <w:spacing w:before="120"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E44">
        <w:rPr>
          <w:rFonts w:ascii="Times New Roman" w:hAnsi="Times New Roman" w:cs="Times New Roman"/>
          <w:b/>
          <w:sz w:val="24"/>
          <w:szCs w:val="24"/>
        </w:rPr>
        <w:t>A</w:t>
      </w:r>
      <w:r w:rsidR="00A6732B" w:rsidRPr="002C0E44">
        <w:rPr>
          <w:rFonts w:ascii="Times New Roman" w:hAnsi="Times New Roman" w:cs="Times New Roman"/>
          <w:b/>
          <w:sz w:val="24"/>
          <w:szCs w:val="24"/>
        </w:rPr>
        <w:t xml:space="preserve">rt. 63n ust. </w:t>
      </w:r>
      <w:r w:rsidR="00D131F1" w:rsidRPr="002C0E44">
        <w:rPr>
          <w:rFonts w:ascii="Times New Roman" w:hAnsi="Times New Roman" w:cs="Times New Roman"/>
          <w:b/>
          <w:sz w:val="24"/>
          <w:szCs w:val="24"/>
        </w:rPr>
        <w:t>8</w:t>
      </w:r>
      <w:r w:rsidRPr="002C0E44">
        <w:rPr>
          <w:rFonts w:ascii="Times New Roman" w:hAnsi="Times New Roman" w:cs="Times New Roman"/>
          <w:sz w:val="24"/>
          <w:szCs w:val="24"/>
        </w:rPr>
        <w:t xml:space="preserve"> określa okoliczności, w których jednostki zależne oraz oddziały</w:t>
      </w:r>
      <w:r w:rsidR="009410AA" w:rsidRPr="002C0E44">
        <w:rPr>
          <w:rFonts w:ascii="Times New Roman" w:hAnsi="Times New Roman" w:cs="Times New Roman"/>
          <w:sz w:val="24"/>
          <w:szCs w:val="24"/>
        </w:rPr>
        <w:t xml:space="preserve"> wskazan</w:t>
      </w:r>
      <w:r w:rsidRPr="002C0E44">
        <w:rPr>
          <w:rFonts w:ascii="Times New Roman" w:hAnsi="Times New Roman" w:cs="Times New Roman"/>
          <w:sz w:val="24"/>
          <w:szCs w:val="24"/>
        </w:rPr>
        <w:t>e</w:t>
      </w:r>
      <w:r w:rsidR="009410AA" w:rsidRPr="002C0E44">
        <w:rPr>
          <w:rFonts w:ascii="Times New Roman" w:hAnsi="Times New Roman" w:cs="Times New Roman"/>
          <w:sz w:val="24"/>
          <w:szCs w:val="24"/>
        </w:rPr>
        <w:t xml:space="preserve"> w ust. 1</w:t>
      </w:r>
      <w:r w:rsidR="00DF2563" w:rsidRPr="002C0E44">
        <w:rPr>
          <w:rFonts w:ascii="Times New Roman" w:hAnsi="Times New Roman" w:cs="Times New Roman"/>
          <w:sz w:val="24"/>
          <w:szCs w:val="24"/>
        </w:rPr>
        <w:t xml:space="preserve"> </w:t>
      </w:r>
      <w:r w:rsidRPr="002C0E44">
        <w:rPr>
          <w:rFonts w:ascii="Times New Roman" w:hAnsi="Times New Roman" w:cs="Times New Roman"/>
          <w:sz w:val="24"/>
          <w:szCs w:val="24"/>
        </w:rPr>
        <w:t xml:space="preserve">przestają podlegać </w:t>
      </w:r>
      <w:r w:rsidR="00DF2563" w:rsidRPr="002C0E44">
        <w:rPr>
          <w:rFonts w:ascii="Times New Roman" w:hAnsi="Times New Roman" w:cs="Times New Roman"/>
          <w:sz w:val="24"/>
          <w:szCs w:val="24"/>
        </w:rPr>
        <w:t>obowiązk</w:t>
      </w:r>
      <w:r w:rsidRPr="002C0E44">
        <w:rPr>
          <w:rFonts w:ascii="Times New Roman" w:hAnsi="Times New Roman" w:cs="Times New Roman"/>
          <w:sz w:val="24"/>
          <w:szCs w:val="24"/>
        </w:rPr>
        <w:t>owi</w:t>
      </w:r>
      <w:r w:rsidR="00DF2563" w:rsidRPr="002C0E44">
        <w:rPr>
          <w:rFonts w:ascii="Times New Roman" w:hAnsi="Times New Roman" w:cs="Times New Roman"/>
          <w:sz w:val="24"/>
          <w:szCs w:val="24"/>
        </w:rPr>
        <w:t xml:space="preserve"> </w:t>
      </w:r>
      <w:r w:rsidR="007A3BA0" w:rsidRPr="002C0E44">
        <w:rPr>
          <w:rFonts w:ascii="Times New Roman" w:hAnsi="Times New Roman" w:cs="Times New Roman"/>
          <w:sz w:val="24"/>
          <w:szCs w:val="24"/>
        </w:rPr>
        <w:t>publikacji i udostępniania wskazanemu w ust. 1 tego artykułu</w:t>
      </w:r>
      <w:r w:rsidR="00216E32" w:rsidRPr="002C0E44">
        <w:rPr>
          <w:rFonts w:ascii="Times New Roman" w:hAnsi="Times New Roman" w:cs="Times New Roman"/>
          <w:sz w:val="24"/>
          <w:szCs w:val="24"/>
        </w:rPr>
        <w:t xml:space="preserve"> (implementacja art. 48b ust. 4 akapit trzeci oraz ust. 5 akapit piąty i siódmy dyrektywy 2021/2101)</w:t>
      </w:r>
      <w:r w:rsidRPr="002C0E44">
        <w:rPr>
          <w:rFonts w:ascii="Times New Roman" w:hAnsi="Times New Roman" w:cs="Times New Roman"/>
          <w:sz w:val="24"/>
          <w:szCs w:val="24"/>
        </w:rPr>
        <w:t>. W odniesieniu do jednostek zależnych</w:t>
      </w:r>
      <w:r w:rsidR="00DF2563" w:rsidRPr="002C0E44">
        <w:rPr>
          <w:rFonts w:ascii="Times New Roman" w:hAnsi="Times New Roman" w:cs="Times New Roman"/>
          <w:sz w:val="24"/>
          <w:szCs w:val="24"/>
        </w:rPr>
        <w:t xml:space="preserve"> </w:t>
      </w:r>
      <w:r w:rsidR="00A540D8" w:rsidRPr="002C0E44">
        <w:rPr>
          <w:rFonts w:ascii="Times New Roman" w:hAnsi="Times New Roman" w:cs="Times New Roman"/>
          <w:sz w:val="24"/>
          <w:szCs w:val="24"/>
        </w:rPr>
        <w:t>ustaje</w:t>
      </w:r>
      <w:r w:rsidRPr="002C0E44">
        <w:rPr>
          <w:rFonts w:ascii="Times New Roman" w:hAnsi="Times New Roman" w:cs="Times New Roman"/>
          <w:sz w:val="24"/>
          <w:szCs w:val="24"/>
        </w:rPr>
        <w:t xml:space="preserve"> on</w:t>
      </w:r>
      <w:r w:rsidR="00D51A7C" w:rsidRPr="002C0E44">
        <w:rPr>
          <w:rFonts w:ascii="Times New Roman" w:hAnsi="Times New Roman" w:cs="Times New Roman"/>
          <w:sz w:val="24"/>
          <w:szCs w:val="24"/>
        </w:rPr>
        <w:t xml:space="preserve"> w dwóch przypadkach</w:t>
      </w:r>
      <w:r w:rsidR="006D2652" w:rsidRPr="002C0E44">
        <w:rPr>
          <w:rFonts w:ascii="Times New Roman" w:hAnsi="Times New Roman" w:cs="Times New Roman"/>
          <w:sz w:val="24"/>
          <w:szCs w:val="24"/>
        </w:rPr>
        <w:t>, tj. gdy</w:t>
      </w:r>
      <w:r w:rsidR="00D51A7C" w:rsidRPr="002C0E44">
        <w:rPr>
          <w:rFonts w:ascii="Times New Roman" w:hAnsi="Times New Roman" w:cs="Times New Roman"/>
          <w:sz w:val="24"/>
          <w:szCs w:val="24"/>
        </w:rPr>
        <w:t>:</w:t>
      </w:r>
    </w:p>
    <w:p w14:paraId="3DC3DC51" w14:textId="36293815" w:rsidR="006D2652" w:rsidRPr="002C0E44" w:rsidRDefault="00EF64A7" w:rsidP="002C0E44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E44">
        <w:rPr>
          <w:rFonts w:ascii="Times New Roman" w:hAnsi="Times New Roman" w:cs="Times New Roman"/>
          <w:sz w:val="24"/>
          <w:szCs w:val="24"/>
        </w:rPr>
        <w:t xml:space="preserve">– </w:t>
      </w:r>
      <w:r w:rsidR="00DF2563" w:rsidRPr="002C0E44">
        <w:rPr>
          <w:rFonts w:ascii="Times New Roman" w:hAnsi="Times New Roman" w:cs="Times New Roman"/>
          <w:sz w:val="24"/>
          <w:szCs w:val="24"/>
        </w:rPr>
        <w:t>jednostka dominująca najwyższego szczebla</w:t>
      </w:r>
      <w:r w:rsidR="009028DA" w:rsidRPr="002C0E44">
        <w:rPr>
          <w:rFonts w:ascii="Times New Roman" w:hAnsi="Times New Roman" w:cs="Times New Roman"/>
          <w:sz w:val="24"/>
          <w:szCs w:val="24"/>
        </w:rPr>
        <w:t xml:space="preserve"> z państwa trzeciego</w:t>
      </w:r>
      <w:r w:rsidR="00DF2563" w:rsidRPr="002C0E44">
        <w:rPr>
          <w:rFonts w:ascii="Times New Roman" w:hAnsi="Times New Roman" w:cs="Times New Roman"/>
          <w:sz w:val="24"/>
          <w:szCs w:val="24"/>
        </w:rPr>
        <w:t xml:space="preserve"> kontrolująca jednostkę zależną, dla każdego z dwóch </w:t>
      </w:r>
      <w:r w:rsidR="009028DA" w:rsidRPr="002C0E44">
        <w:rPr>
          <w:rFonts w:ascii="Times New Roman" w:hAnsi="Times New Roman" w:cs="Times New Roman"/>
          <w:sz w:val="24"/>
          <w:szCs w:val="24"/>
        </w:rPr>
        <w:t>ostatnich</w:t>
      </w:r>
      <w:r w:rsidR="00DF2563" w:rsidRPr="002C0E44">
        <w:rPr>
          <w:rFonts w:ascii="Times New Roman" w:hAnsi="Times New Roman" w:cs="Times New Roman"/>
          <w:sz w:val="24"/>
          <w:szCs w:val="24"/>
        </w:rPr>
        <w:t xml:space="preserve"> lat obrotowych, </w:t>
      </w:r>
      <w:r w:rsidR="00FA5584" w:rsidRPr="002C0E44">
        <w:rPr>
          <w:rFonts w:ascii="Times New Roman" w:hAnsi="Times New Roman" w:cs="Times New Roman"/>
          <w:sz w:val="24"/>
          <w:szCs w:val="24"/>
        </w:rPr>
        <w:t xml:space="preserve">osiąga </w:t>
      </w:r>
      <w:r w:rsidR="00DF2563" w:rsidRPr="002C0E44">
        <w:rPr>
          <w:rFonts w:ascii="Times New Roman" w:hAnsi="Times New Roman" w:cs="Times New Roman"/>
          <w:sz w:val="24"/>
          <w:szCs w:val="24"/>
        </w:rPr>
        <w:t>skonsolidowane przychody niższe niż 750</w:t>
      </w:r>
      <w:r>
        <w:rPr>
          <w:rFonts w:ascii="Times New Roman" w:hAnsi="Times New Roman" w:cs="Times New Roman"/>
          <w:sz w:val="24"/>
          <w:szCs w:val="24"/>
        </w:rPr>
        <w:t> </w:t>
      </w:r>
      <w:r w:rsidR="00DF2563" w:rsidRPr="002C0E44">
        <w:rPr>
          <w:rFonts w:ascii="Times New Roman" w:hAnsi="Times New Roman" w:cs="Times New Roman"/>
          <w:sz w:val="24"/>
          <w:szCs w:val="24"/>
        </w:rPr>
        <w:t>000</w:t>
      </w:r>
      <w:r>
        <w:rPr>
          <w:rFonts w:ascii="Times New Roman" w:hAnsi="Times New Roman" w:cs="Times New Roman"/>
          <w:sz w:val="24"/>
          <w:szCs w:val="24"/>
        </w:rPr>
        <w:t> </w:t>
      </w:r>
      <w:r w:rsidR="00DF2563" w:rsidRPr="002C0E44">
        <w:rPr>
          <w:rFonts w:ascii="Times New Roman" w:hAnsi="Times New Roman" w:cs="Times New Roman"/>
          <w:sz w:val="24"/>
          <w:szCs w:val="24"/>
        </w:rPr>
        <w:t>000</w:t>
      </w:r>
      <w:r>
        <w:rPr>
          <w:rFonts w:ascii="Times New Roman" w:hAnsi="Times New Roman" w:cs="Times New Roman"/>
          <w:sz w:val="24"/>
          <w:szCs w:val="24"/>
        </w:rPr>
        <w:t> </w:t>
      </w:r>
      <w:r w:rsidR="00DF2563" w:rsidRPr="002C0E44">
        <w:rPr>
          <w:rFonts w:ascii="Times New Roman" w:hAnsi="Times New Roman" w:cs="Times New Roman"/>
          <w:sz w:val="24"/>
          <w:szCs w:val="24"/>
        </w:rPr>
        <w:t>euro</w:t>
      </w:r>
      <w:r w:rsidR="006D2652" w:rsidRPr="002C0E44">
        <w:rPr>
          <w:rFonts w:ascii="Times New Roman" w:hAnsi="Times New Roman" w:cs="Times New Roman"/>
          <w:sz w:val="24"/>
          <w:szCs w:val="24"/>
        </w:rPr>
        <w:t xml:space="preserve"> lub</w:t>
      </w:r>
    </w:p>
    <w:p w14:paraId="555EC30E" w14:textId="6F5E7068" w:rsidR="006D2652" w:rsidRPr="002C0E44" w:rsidRDefault="00EF64A7" w:rsidP="002C0E44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E44">
        <w:rPr>
          <w:rFonts w:ascii="Times New Roman" w:hAnsi="Times New Roman" w:cs="Times New Roman"/>
          <w:sz w:val="24"/>
          <w:szCs w:val="24"/>
        </w:rPr>
        <w:t xml:space="preserve">– </w:t>
      </w:r>
      <w:r w:rsidR="006D2652" w:rsidRPr="002C0E44">
        <w:rPr>
          <w:rFonts w:ascii="Times New Roman" w:hAnsi="Times New Roman" w:cs="Times New Roman"/>
          <w:sz w:val="24"/>
          <w:szCs w:val="24"/>
        </w:rPr>
        <w:t>sama jednostka zależna przestaje spełniać kryteria jednostki średniej i staje się jednostką małą (tj. przestaje przekraczać dwie z trzech wielkości, o których mowa art. 3 ust. 1c pkt 1</w:t>
      </w:r>
      <w:r w:rsidR="00AE7E94" w:rsidRPr="002C0E44">
        <w:rPr>
          <w:rFonts w:ascii="Times New Roman" w:hAnsi="Times New Roman" w:cs="Times New Roman"/>
          <w:sz w:val="24"/>
          <w:szCs w:val="24"/>
        </w:rPr>
        <w:t>)</w:t>
      </w:r>
      <w:r w:rsidR="006D2652" w:rsidRPr="002C0E44">
        <w:rPr>
          <w:rFonts w:ascii="Times New Roman" w:hAnsi="Times New Roman" w:cs="Times New Roman"/>
          <w:sz w:val="24"/>
          <w:szCs w:val="24"/>
        </w:rPr>
        <w:t>.</w:t>
      </w:r>
    </w:p>
    <w:p w14:paraId="259B5D1E" w14:textId="66594290" w:rsidR="00DF2563" w:rsidRPr="002C0E44" w:rsidRDefault="00885A4E" w:rsidP="002C0E44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E44">
        <w:rPr>
          <w:rFonts w:ascii="Times New Roman" w:hAnsi="Times New Roman" w:cs="Times New Roman"/>
          <w:sz w:val="24"/>
          <w:szCs w:val="24"/>
        </w:rPr>
        <w:t>W odniesieniu do oddziałów</w:t>
      </w:r>
      <w:r w:rsidR="006D2652" w:rsidRPr="002C0E44">
        <w:rPr>
          <w:rFonts w:ascii="Times New Roman" w:hAnsi="Times New Roman" w:cs="Times New Roman"/>
          <w:sz w:val="24"/>
          <w:szCs w:val="24"/>
        </w:rPr>
        <w:t xml:space="preserve"> wskazanych w ust. 1 pkt </w:t>
      </w:r>
      <w:r w:rsidR="001E2BC8" w:rsidRPr="002C0E44">
        <w:rPr>
          <w:rFonts w:ascii="Times New Roman" w:hAnsi="Times New Roman" w:cs="Times New Roman"/>
          <w:sz w:val="24"/>
          <w:szCs w:val="24"/>
        </w:rPr>
        <w:t>2</w:t>
      </w:r>
      <w:r w:rsidRPr="002C0E44">
        <w:rPr>
          <w:rFonts w:ascii="Times New Roman" w:hAnsi="Times New Roman" w:cs="Times New Roman"/>
          <w:sz w:val="24"/>
          <w:szCs w:val="24"/>
        </w:rPr>
        <w:t xml:space="preserve"> obowiązek sprawozdawczy</w:t>
      </w:r>
      <w:r w:rsidR="006D2652" w:rsidRPr="002C0E44">
        <w:rPr>
          <w:rFonts w:ascii="Times New Roman" w:hAnsi="Times New Roman" w:cs="Times New Roman"/>
          <w:sz w:val="24"/>
          <w:szCs w:val="24"/>
        </w:rPr>
        <w:t xml:space="preserve"> również</w:t>
      </w:r>
      <w:r w:rsidRPr="002C0E44">
        <w:rPr>
          <w:rFonts w:ascii="Times New Roman" w:hAnsi="Times New Roman" w:cs="Times New Roman"/>
          <w:sz w:val="24"/>
          <w:szCs w:val="24"/>
        </w:rPr>
        <w:t xml:space="preserve"> ustaje w dwóch sytuacjach</w:t>
      </w:r>
      <w:r w:rsidR="00D51A7C" w:rsidRPr="002C0E44">
        <w:rPr>
          <w:rFonts w:ascii="Times New Roman" w:hAnsi="Times New Roman" w:cs="Times New Roman"/>
          <w:sz w:val="24"/>
          <w:szCs w:val="24"/>
        </w:rPr>
        <w:t>,</w:t>
      </w:r>
      <w:r w:rsidRPr="002C0E44">
        <w:rPr>
          <w:rFonts w:ascii="Times New Roman" w:hAnsi="Times New Roman" w:cs="Times New Roman"/>
          <w:sz w:val="24"/>
          <w:szCs w:val="24"/>
        </w:rPr>
        <w:t xml:space="preserve"> tj. gdy:</w:t>
      </w:r>
    </w:p>
    <w:p w14:paraId="799861F4" w14:textId="4597C55D" w:rsidR="00885A4E" w:rsidRPr="002C0E44" w:rsidRDefault="000458B2" w:rsidP="002C0E44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E44">
        <w:rPr>
          <w:rFonts w:ascii="Times New Roman" w:hAnsi="Times New Roman" w:cs="Times New Roman"/>
          <w:sz w:val="24"/>
          <w:szCs w:val="24"/>
        </w:rPr>
        <w:t xml:space="preserve">– </w:t>
      </w:r>
      <w:r w:rsidR="00885A4E" w:rsidRPr="002C0E44">
        <w:rPr>
          <w:rFonts w:ascii="Times New Roman" w:hAnsi="Times New Roman" w:cs="Times New Roman"/>
          <w:sz w:val="24"/>
          <w:szCs w:val="24"/>
        </w:rPr>
        <w:t>kwota skonsolidowanych przychodów dla jednostki dominującej najwyższego szczebla</w:t>
      </w:r>
      <w:r w:rsidR="00C21FAE" w:rsidRPr="002C0E44">
        <w:rPr>
          <w:rFonts w:ascii="Times New Roman" w:hAnsi="Times New Roman" w:cs="Times New Roman"/>
          <w:sz w:val="24"/>
          <w:szCs w:val="24"/>
        </w:rPr>
        <w:t xml:space="preserve"> z</w:t>
      </w:r>
      <w:r w:rsidR="004E7D6F">
        <w:rPr>
          <w:rFonts w:ascii="Times New Roman" w:hAnsi="Times New Roman" w:cs="Times New Roman"/>
          <w:sz w:val="24"/>
          <w:szCs w:val="24"/>
        </w:rPr>
        <w:t> </w:t>
      </w:r>
      <w:r w:rsidR="00C21FAE" w:rsidRPr="002C0E44">
        <w:rPr>
          <w:rFonts w:ascii="Times New Roman" w:hAnsi="Times New Roman" w:cs="Times New Roman"/>
          <w:sz w:val="24"/>
          <w:szCs w:val="24"/>
        </w:rPr>
        <w:t>państwa trzeciego</w:t>
      </w:r>
      <w:r w:rsidR="00885A4E" w:rsidRPr="002C0E44">
        <w:rPr>
          <w:rFonts w:ascii="Times New Roman" w:hAnsi="Times New Roman" w:cs="Times New Roman"/>
          <w:sz w:val="24"/>
          <w:szCs w:val="24"/>
        </w:rPr>
        <w:t xml:space="preserve"> lub jednostki </w:t>
      </w:r>
      <w:r w:rsidR="00A540D8" w:rsidRPr="002C0E44">
        <w:rPr>
          <w:rFonts w:ascii="Times New Roman" w:hAnsi="Times New Roman" w:cs="Times New Roman"/>
          <w:sz w:val="24"/>
          <w:szCs w:val="24"/>
        </w:rPr>
        <w:t>samodzielnej</w:t>
      </w:r>
      <w:r w:rsidR="00C21FAE" w:rsidRPr="002C0E44">
        <w:rPr>
          <w:rFonts w:ascii="Times New Roman" w:hAnsi="Times New Roman" w:cs="Times New Roman"/>
          <w:sz w:val="24"/>
          <w:szCs w:val="24"/>
        </w:rPr>
        <w:t xml:space="preserve"> z państwa trzeciego</w:t>
      </w:r>
      <w:r w:rsidR="00A540D8" w:rsidRPr="002C0E44">
        <w:rPr>
          <w:rFonts w:ascii="Times New Roman" w:hAnsi="Times New Roman" w:cs="Times New Roman"/>
          <w:sz w:val="24"/>
          <w:szCs w:val="24"/>
        </w:rPr>
        <w:t>, która</w:t>
      </w:r>
      <w:r w:rsidR="00885A4E" w:rsidRPr="002C0E44">
        <w:rPr>
          <w:rFonts w:ascii="Times New Roman" w:hAnsi="Times New Roman" w:cs="Times New Roman"/>
          <w:sz w:val="24"/>
          <w:szCs w:val="24"/>
        </w:rPr>
        <w:t xml:space="preserve"> utworzyła oddział, dla każdego z dwóch </w:t>
      </w:r>
      <w:r w:rsidR="00D51A7C" w:rsidRPr="002C0E44">
        <w:rPr>
          <w:rFonts w:ascii="Times New Roman" w:hAnsi="Times New Roman" w:cs="Times New Roman"/>
          <w:sz w:val="24"/>
          <w:szCs w:val="24"/>
        </w:rPr>
        <w:t>ostatnich</w:t>
      </w:r>
      <w:r w:rsidR="00885A4E" w:rsidRPr="002C0E44">
        <w:rPr>
          <w:rFonts w:ascii="Times New Roman" w:hAnsi="Times New Roman" w:cs="Times New Roman"/>
          <w:sz w:val="24"/>
          <w:szCs w:val="24"/>
        </w:rPr>
        <w:t xml:space="preserve"> lat obrotowych jest niższa niż 750</w:t>
      </w:r>
      <w:r w:rsidR="00FD6BD4">
        <w:rPr>
          <w:rFonts w:ascii="Times New Roman" w:hAnsi="Times New Roman" w:cs="Times New Roman"/>
          <w:sz w:val="24"/>
          <w:szCs w:val="24"/>
        </w:rPr>
        <w:t> </w:t>
      </w:r>
      <w:r w:rsidR="00885A4E" w:rsidRPr="002C0E44">
        <w:rPr>
          <w:rFonts w:ascii="Times New Roman" w:hAnsi="Times New Roman" w:cs="Times New Roman"/>
          <w:sz w:val="24"/>
          <w:szCs w:val="24"/>
        </w:rPr>
        <w:t>000</w:t>
      </w:r>
      <w:r w:rsidR="00FD6BD4">
        <w:rPr>
          <w:rFonts w:ascii="Times New Roman" w:hAnsi="Times New Roman" w:cs="Times New Roman"/>
          <w:sz w:val="24"/>
          <w:szCs w:val="24"/>
        </w:rPr>
        <w:t> </w:t>
      </w:r>
      <w:r w:rsidR="00885A4E" w:rsidRPr="002C0E44">
        <w:rPr>
          <w:rFonts w:ascii="Times New Roman" w:hAnsi="Times New Roman" w:cs="Times New Roman"/>
          <w:sz w:val="24"/>
          <w:szCs w:val="24"/>
        </w:rPr>
        <w:t>000</w:t>
      </w:r>
      <w:r w:rsidR="00FD6BD4">
        <w:rPr>
          <w:rFonts w:ascii="Times New Roman" w:hAnsi="Times New Roman" w:cs="Times New Roman"/>
          <w:sz w:val="24"/>
          <w:szCs w:val="24"/>
        </w:rPr>
        <w:t> </w:t>
      </w:r>
      <w:r w:rsidR="00A540D8" w:rsidRPr="002C0E44">
        <w:rPr>
          <w:rFonts w:ascii="Times New Roman" w:hAnsi="Times New Roman" w:cs="Times New Roman"/>
          <w:sz w:val="24"/>
          <w:szCs w:val="24"/>
        </w:rPr>
        <w:t>euro lub</w:t>
      </w:r>
    </w:p>
    <w:p w14:paraId="048F8ABF" w14:textId="25F34A0D" w:rsidR="00885A4E" w:rsidRPr="002C0E44" w:rsidRDefault="000458B2" w:rsidP="002C0E44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E44">
        <w:rPr>
          <w:rFonts w:ascii="Times New Roman" w:hAnsi="Times New Roman" w:cs="Times New Roman"/>
          <w:sz w:val="24"/>
          <w:szCs w:val="24"/>
        </w:rPr>
        <w:t xml:space="preserve">– </w:t>
      </w:r>
      <w:r w:rsidR="00C21FAE" w:rsidRPr="002C0E44">
        <w:rPr>
          <w:rFonts w:ascii="Times New Roman" w:hAnsi="Times New Roman" w:cs="Times New Roman"/>
          <w:sz w:val="24"/>
          <w:szCs w:val="24"/>
        </w:rPr>
        <w:t xml:space="preserve">sam oddział przestaje spełniać kryterium średniego i staje się małym oddziałem (tj. </w:t>
      </w:r>
      <w:r w:rsidR="00885A4E" w:rsidRPr="002C0E44">
        <w:rPr>
          <w:rFonts w:ascii="Times New Roman" w:hAnsi="Times New Roman" w:cs="Times New Roman"/>
          <w:sz w:val="24"/>
          <w:szCs w:val="24"/>
        </w:rPr>
        <w:t xml:space="preserve">kwota </w:t>
      </w:r>
      <w:r w:rsidR="00C21FAE" w:rsidRPr="002C0E44">
        <w:rPr>
          <w:rFonts w:ascii="Times New Roman" w:hAnsi="Times New Roman" w:cs="Times New Roman"/>
          <w:sz w:val="24"/>
          <w:szCs w:val="24"/>
        </w:rPr>
        <w:t xml:space="preserve">jego </w:t>
      </w:r>
      <w:r w:rsidR="00885A4E" w:rsidRPr="002C0E44">
        <w:rPr>
          <w:rFonts w:ascii="Times New Roman" w:hAnsi="Times New Roman" w:cs="Times New Roman"/>
          <w:sz w:val="24"/>
          <w:szCs w:val="24"/>
        </w:rPr>
        <w:t xml:space="preserve">przychodów dla każdego z dwóch </w:t>
      </w:r>
      <w:r w:rsidR="00D51A7C" w:rsidRPr="002C0E44">
        <w:rPr>
          <w:rFonts w:ascii="Times New Roman" w:hAnsi="Times New Roman" w:cs="Times New Roman"/>
          <w:sz w:val="24"/>
          <w:szCs w:val="24"/>
        </w:rPr>
        <w:t>ostatnich</w:t>
      </w:r>
      <w:r w:rsidR="00885A4E" w:rsidRPr="002C0E44">
        <w:rPr>
          <w:rFonts w:ascii="Times New Roman" w:hAnsi="Times New Roman" w:cs="Times New Roman"/>
          <w:sz w:val="24"/>
          <w:szCs w:val="24"/>
        </w:rPr>
        <w:t xml:space="preserve"> lat obrotowych jest niższa niż 51</w:t>
      </w:r>
      <w:r w:rsidR="002C0E44">
        <w:rPr>
          <w:rFonts w:ascii="Times New Roman" w:hAnsi="Times New Roman" w:cs="Times New Roman"/>
          <w:sz w:val="24"/>
          <w:szCs w:val="24"/>
        </w:rPr>
        <w:t> </w:t>
      </w:r>
      <w:r w:rsidR="00885A4E" w:rsidRPr="002C0E44">
        <w:rPr>
          <w:rFonts w:ascii="Times New Roman" w:hAnsi="Times New Roman" w:cs="Times New Roman"/>
          <w:sz w:val="24"/>
          <w:szCs w:val="24"/>
        </w:rPr>
        <w:t>000</w:t>
      </w:r>
      <w:r w:rsidR="002C0E44">
        <w:rPr>
          <w:rFonts w:ascii="Times New Roman" w:hAnsi="Times New Roman" w:cs="Times New Roman"/>
          <w:sz w:val="24"/>
          <w:szCs w:val="24"/>
        </w:rPr>
        <w:t> </w:t>
      </w:r>
      <w:r w:rsidR="00885A4E" w:rsidRPr="002C0E44">
        <w:rPr>
          <w:rFonts w:ascii="Times New Roman" w:hAnsi="Times New Roman" w:cs="Times New Roman"/>
          <w:sz w:val="24"/>
          <w:szCs w:val="24"/>
        </w:rPr>
        <w:t>000</w:t>
      </w:r>
      <w:r w:rsidR="002C0E44">
        <w:rPr>
          <w:rFonts w:ascii="Times New Roman" w:hAnsi="Times New Roman" w:cs="Times New Roman"/>
          <w:sz w:val="24"/>
          <w:szCs w:val="24"/>
        </w:rPr>
        <w:t> </w:t>
      </w:r>
      <w:r w:rsidR="00A540D8" w:rsidRPr="002C0E44">
        <w:rPr>
          <w:rFonts w:ascii="Times New Roman" w:hAnsi="Times New Roman" w:cs="Times New Roman"/>
          <w:sz w:val="24"/>
          <w:szCs w:val="24"/>
        </w:rPr>
        <w:t>zł</w:t>
      </w:r>
      <w:r w:rsidR="00C21FAE" w:rsidRPr="002C0E44">
        <w:rPr>
          <w:rFonts w:ascii="Times New Roman" w:hAnsi="Times New Roman" w:cs="Times New Roman"/>
          <w:sz w:val="24"/>
          <w:szCs w:val="24"/>
        </w:rPr>
        <w:t>)</w:t>
      </w:r>
      <w:r w:rsidR="00A540D8" w:rsidRPr="002C0E44">
        <w:rPr>
          <w:rFonts w:ascii="Times New Roman" w:hAnsi="Times New Roman" w:cs="Times New Roman"/>
          <w:sz w:val="24"/>
          <w:szCs w:val="24"/>
        </w:rPr>
        <w:t>.</w:t>
      </w:r>
    </w:p>
    <w:p w14:paraId="60F695FB" w14:textId="7DA1937F" w:rsidR="00F84A5B" w:rsidRPr="002C0E44" w:rsidRDefault="00A67799" w:rsidP="002C0E44">
      <w:pPr>
        <w:spacing w:before="120"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E44">
        <w:rPr>
          <w:rFonts w:ascii="Times New Roman" w:hAnsi="Times New Roman" w:cs="Times New Roman"/>
          <w:b/>
          <w:sz w:val="24"/>
          <w:szCs w:val="24"/>
        </w:rPr>
        <w:t>Art. 63</w:t>
      </w:r>
      <w:r w:rsidR="003D6E8E" w:rsidRPr="002C0E44">
        <w:rPr>
          <w:rFonts w:ascii="Times New Roman" w:hAnsi="Times New Roman" w:cs="Times New Roman"/>
          <w:b/>
          <w:sz w:val="24"/>
          <w:szCs w:val="24"/>
        </w:rPr>
        <w:t>n</w:t>
      </w:r>
      <w:r w:rsidRPr="002C0E44">
        <w:rPr>
          <w:rFonts w:ascii="Times New Roman" w:hAnsi="Times New Roman" w:cs="Times New Roman"/>
          <w:b/>
          <w:sz w:val="24"/>
          <w:szCs w:val="24"/>
        </w:rPr>
        <w:t xml:space="preserve"> w ust. </w:t>
      </w:r>
      <w:r w:rsidR="00D131F1" w:rsidRPr="002C0E44">
        <w:rPr>
          <w:rFonts w:ascii="Times New Roman" w:hAnsi="Times New Roman" w:cs="Times New Roman"/>
          <w:b/>
          <w:sz w:val="24"/>
          <w:szCs w:val="24"/>
        </w:rPr>
        <w:t>9</w:t>
      </w:r>
      <w:r w:rsidR="00EF033F" w:rsidRPr="002C0E44">
        <w:rPr>
          <w:rFonts w:ascii="Times New Roman" w:hAnsi="Times New Roman" w:cs="Times New Roman"/>
          <w:sz w:val="24"/>
          <w:szCs w:val="24"/>
        </w:rPr>
        <w:t xml:space="preserve"> </w:t>
      </w:r>
      <w:r w:rsidR="0082674B" w:rsidRPr="002C0E44">
        <w:rPr>
          <w:rFonts w:ascii="Times New Roman" w:hAnsi="Times New Roman" w:cs="Times New Roman"/>
          <w:sz w:val="24"/>
          <w:szCs w:val="24"/>
        </w:rPr>
        <w:t>implementuje art. 48c ust. 9 akapit drugi dyrektywy 2021/2101. O</w:t>
      </w:r>
      <w:r w:rsidRPr="002C0E44">
        <w:rPr>
          <w:rFonts w:ascii="Times New Roman" w:hAnsi="Times New Roman" w:cs="Times New Roman"/>
          <w:sz w:val="24"/>
          <w:szCs w:val="24"/>
        </w:rPr>
        <w:t>kreśla</w:t>
      </w:r>
      <w:r w:rsidR="0082674B" w:rsidRPr="002C0E44">
        <w:rPr>
          <w:rFonts w:ascii="Times New Roman" w:hAnsi="Times New Roman" w:cs="Times New Roman"/>
          <w:sz w:val="24"/>
          <w:szCs w:val="24"/>
        </w:rPr>
        <w:t xml:space="preserve"> on</w:t>
      </w:r>
      <w:r w:rsidRPr="002C0E44">
        <w:rPr>
          <w:rFonts w:ascii="Times New Roman" w:hAnsi="Times New Roman" w:cs="Times New Roman"/>
          <w:sz w:val="24"/>
          <w:szCs w:val="24"/>
        </w:rPr>
        <w:t xml:space="preserve"> kurs wymiany euro obowiązujący przy przeliczaniu przychodów</w:t>
      </w:r>
      <w:r w:rsidR="0082674B" w:rsidRPr="002C0E44">
        <w:rPr>
          <w:rFonts w:ascii="Times New Roman" w:hAnsi="Times New Roman" w:cs="Times New Roman"/>
          <w:sz w:val="24"/>
          <w:szCs w:val="24"/>
        </w:rPr>
        <w:t xml:space="preserve"> 750 mln dla jednostki dominującej z państwa trzeciego oraz jednostki samodzielnej z państwa trzeciego</w:t>
      </w:r>
      <w:r w:rsidR="00D63CF9" w:rsidRPr="002C0E44">
        <w:rPr>
          <w:rFonts w:ascii="Times New Roman" w:hAnsi="Times New Roman" w:cs="Times New Roman"/>
          <w:sz w:val="24"/>
          <w:szCs w:val="24"/>
        </w:rPr>
        <w:t xml:space="preserve"> </w:t>
      </w:r>
      <w:r w:rsidR="00B9743C" w:rsidRPr="002C0E44">
        <w:rPr>
          <w:rFonts w:ascii="Times New Roman" w:hAnsi="Times New Roman" w:cs="Times New Roman"/>
          <w:sz w:val="24"/>
          <w:szCs w:val="24"/>
        </w:rPr>
        <w:t>wskazanych w art. 63n</w:t>
      </w:r>
      <w:r w:rsidRPr="002C0E44">
        <w:rPr>
          <w:rFonts w:ascii="Times New Roman" w:hAnsi="Times New Roman" w:cs="Times New Roman"/>
          <w:sz w:val="24"/>
          <w:szCs w:val="24"/>
        </w:rPr>
        <w:t>.</w:t>
      </w:r>
    </w:p>
    <w:p w14:paraId="0BFF46B1" w14:textId="73B60CD4" w:rsidR="00A67799" w:rsidRPr="002C0E44" w:rsidRDefault="00D74C5B" w:rsidP="002C0E44">
      <w:pPr>
        <w:spacing w:before="120"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E44">
        <w:rPr>
          <w:rFonts w:ascii="Times New Roman" w:hAnsi="Times New Roman" w:cs="Times New Roman"/>
          <w:sz w:val="24"/>
          <w:szCs w:val="24"/>
        </w:rPr>
        <w:lastRenderedPageBreak/>
        <w:t xml:space="preserve">Celem wprowadzenia </w:t>
      </w:r>
      <w:r w:rsidRPr="002C0E44">
        <w:rPr>
          <w:rFonts w:ascii="Times New Roman" w:hAnsi="Times New Roman" w:cs="Times New Roman"/>
          <w:b/>
          <w:sz w:val="24"/>
          <w:szCs w:val="24"/>
        </w:rPr>
        <w:t>art. 63</w:t>
      </w:r>
      <w:r w:rsidR="00390956" w:rsidRPr="002C0E44">
        <w:rPr>
          <w:rFonts w:ascii="Times New Roman" w:hAnsi="Times New Roman" w:cs="Times New Roman"/>
          <w:b/>
          <w:sz w:val="24"/>
          <w:szCs w:val="24"/>
        </w:rPr>
        <w:t>n</w:t>
      </w:r>
      <w:r w:rsidRPr="002C0E44">
        <w:rPr>
          <w:rFonts w:ascii="Times New Roman" w:hAnsi="Times New Roman" w:cs="Times New Roman"/>
          <w:b/>
          <w:sz w:val="24"/>
          <w:szCs w:val="24"/>
        </w:rPr>
        <w:t xml:space="preserve"> ust. </w:t>
      </w:r>
      <w:r w:rsidR="00D131F1" w:rsidRPr="002C0E44">
        <w:rPr>
          <w:rFonts w:ascii="Times New Roman" w:hAnsi="Times New Roman" w:cs="Times New Roman"/>
          <w:b/>
          <w:sz w:val="24"/>
          <w:szCs w:val="24"/>
        </w:rPr>
        <w:t>10</w:t>
      </w:r>
      <w:r w:rsidR="0082674B" w:rsidRPr="002C0E44">
        <w:rPr>
          <w:rFonts w:ascii="Times New Roman" w:hAnsi="Times New Roman" w:cs="Times New Roman"/>
          <w:sz w:val="24"/>
          <w:szCs w:val="24"/>
        </w:rPr>
        <w:t xml:space="preserve"> (w ślad za art. 48b ust. 7 dyrektywy 2021/2101)</w:t>
      </w:r>
      <w:r w:rsidRPr="002C0E44">
        <w:rPr>
          <w:rFonts w:ascii="Times New Roman" w:hAnsi="Times New Roman" w:cs="Times New Roman"/>
          <w:sz w:val="24"/>
          <w:szCs w:val="24"/>
        </w:rPr>
        <w:t xml:space="preserve"> jest przeciwdziałanie potencjalnemu obchodzeniu wymogów sprawozdawczych w odniesieniu do jednostek zależnych i oddziałów kontrolowanych lub utworzonych przez jednostki mające siedzibę lub miejsce sprawowania zarządu poza terytorium </w:t>
      </w:r>
      <w:r w:rsidR="00424CA3" w:rsidRPr="002C0E44">
        <w:rPr>
          <w:rFonts w:ascii="Times New Roman" w:hAnsi="Times New Roman" w:cs="Times New Roman"/>
          <w:sz w:val="24"/>
          <w:szCs w:val="24"/>
        </w:rPr>
        <w:t>EOG</w:t>
      </w:r>
      <w:r w:rsidRPr="002C0E44">
        <w:rPr>
          <w:rFonts w:ascii="Times New Roman" w:hAnsi="Times New Roman" w:cs="Times New Roman"/>
          <w:sz w:val="24"/>
          <w:szCs w:val="24"/>
        </w:rPr>
        <w:t xml:space="preserve">. </w:t>
      </w:r>
      <w:r w:rsidR="00C10372" w:rsidRPr="002C0E44">
        <w:rPr>
          <w:rFonts w:ascii="Times New Roman" w:hAnsi="Times New Roman" w:cs="Times New Roman"/>
          <w:sz w:val="24"/>
          <w:szCs w:val="24"/>
        </w:rPr>
        <w:t xml:space="preserve">Należy </w:t>
      </w:r>
      <w:r w:rsidR="00585A51" w:rsidRPr="002C0E44">
        <w:rPr>
          <w:rFonts w:ascii="Times New Roman" w:hAnsi="Times New Roman" w:cs="Times New Roman"/>
          <w:sz w:val="24"/>
          <w:szCs w:val="24"/>
        </w:rPr>
        <w:t>zauważyć</w:t>
      </w:r>
      <w:r w:rsidR="00C10372" w:rsidRPr="002C0E44">
        <w:rPr>
          <w:rFonts w:ascii="Times New Roman" w:hAnsi="Times New Roman" w:cs="Times New Roman"/>
          <w:sz w:val="24"/>
          <w:szCs w:val="24"/>
        </w:rPr>
        <w:t>, że co do zasady obowiązkiem publikacji i udostępnienia (a w odpowiednim przypadku także sporządz</w:t>
      </w:r>
      <w:r w:rsidR="00585A51" w:rsidRPr="002C0E44">
        <w:rPr>
          <w:rFonts w:ascii="Times New Roman" w:hAnsi="Times New Roman" w:cs="Times New Roman"/>
          <w:sz w:val="24"/>
          <w:szCs w:val="24"/>
        </w:rPr>
        <w:t>e</w:t>
      </w:r>
      <w:r w:rsidR="00C10372" w:rsidRPr="002C0E44">
        <w:rPr>
          <w:rFonts w:ascii="Times New Roman" w:hAnsi="Times New Roman" w:cs="Times New Roman"/>
          <w:sz w:val="24"/>
          <w:szCs w:val="24"/>
        </w:rPr>
        <w:t xml:space="preserve">nia) sprawozdania </w:t>
      </w:r>
      <w:r w:rsidR="00585A51" w:rsidRPr="002C0E44">
        <w:rPr>
          <w:rFonts w:ascii="Times New Roman" w:hAnsi="Times New Roman" w:cs="Times New Roman"/>
          <w:sz w:val="24"/>
          <w:szCs w:val="24"/>
        </w:rPr>
        <w:t>o</w:t>
      </w:r>
      <w:r w:rsidR="00C10372" w:rsidRPr="002C0E44">
        <w:rPr>
          <w:rFonts w:ascii="Times New Roman" w:hAnsi="Times New Roman" w:cs="Times New Roman"/>
          <w:sz w:val="24"/>
          <w:szCs w:val="24"/>
        </w:rPr>
        <w:t xml:space="preserve"> podatku dochodowym dotyczącego jednostki z państwa trzeciego </w:t>
      </w:r>
      <w:r w:rsidR="00445169" w:rsidRPr="002C0E44">
        <w:rPr>
          <w:rFonts w:ascii="Times New Roman" w:hAnsi="Times New Roman" w:cs="Times New Roman"/>
          <w:sz w:val="24"/>
          <w:szCs w:val="24"/>
        </w:rPr>
        <w:t xml:space="preserve">są </w:t>
      </w:r>
      <w:r w:rsidR="00C10372" w:rsidRPr="002C0E44">
        <w:rPr>
          <w:rFonts w:ascii="Times New Roman" w:hAnsi="Times New Roman" w:cs="Times New Roman"/>
          <w:sz w:val="24"/>
          <w:szCs w:val="24"/>
        </w:rPr>
        <w:t xml:space="preserve">objęte średnie i duże jednostki zależne lub średnie i duże oddziały. </w:t>
      </w:r>
      <w:r w:rsidR="00585A51" w:rsidRPr="002C0E44">
        <w:rPr>
          <w:rFonts w:ascii="Times New Roman" w:hAnsi="Times New Roman" w:cs="Times New Roman"/>
          <w:sz w:val="24"/>
          <w:szCs w:val="24"/>
        </w:rPr>
        <w:t xml:space="preserve">Jednakże </w:t>
      </w:r>
      <w:r w:rsidR="00C10372" w:rsidRPr="002C0E44">
        <w:rPr>
          <w:rFonts w:ascii="Times New Roman" w:hAnsi="Times New Roman" w:cs="Times New Roman"/>
          <w:sz w:val="24"/>
          <w:szCs w:val="24"/>
        </w:rPr>
        <w:t>ust.</w:t>
      </w:r>
      <w:r w:rsidR="004E7D6F">
        <w:rPr>
          <w:rFonts w:ascii="Times New Roman" w:hAnsi="Times New Roman" w:cs="Times New Roman"/>
          <w:sz w:val="24"/>
          <w:szCs w:val="24"/>
        </w:rPr>
        <w:t> </w:t>
      </w:r>
      <w:r w:rsidR="00C10372" w:rsidRPr="002C0E44">
        <w:rPr>
          <w:rFonts w:ascii="Times New Roman" w:hAnsi="Times New Roman" w:cs="Times New Roman"/>
          <w:sz w:val="24"/>
          <w:szCs w:val="24"/>
        </w:rPr>
        <w:t xml:space="preserve">9 </w:t>
      </w:r>
      <w:r w:rsidR="00585A51" w:rsidRPr="002C0E44">
        <w:rPr>
          <w:rFonts w:ascii="Times New Roman" w:hAnsi="Times New Roman" w:cs="Times New Roman"/>
          <w:sz w:val="24"/>
          <w:szCs w:val="24"/>
        </w:rPr>
        <w:t>wskazuje</w:t>
      </w:r>
      <w:r w:rsidR="00C10372" w:rsidRPr="002C0E44">
        <w:rPr>
          <w:rFonts w:ascii="Times New Roman" w:hAnsi="Times New Roman" w:cs="Times New Roman"/>
          <w:sz w:val="24"/>
          <w:szCs w:val="24"/>
        </w:rPr>
        <w:t xml:space="preserve">, że obowiązkiem takim </w:t>
      </w:r>
      <w:r w:rsidR="00445169" w:rsidRPr="002C0E44">
        <w:rPr>
          <w:rFonts w:ascii="Times New Roman" w:hAnsi="Times New Roman" w:cs="Times New Roman"/>
          <w:sz w:val="24"/>
          <w:szCs w:val="24"/>
        </w:rPr>
        <w:t xml:space="preserve">są </w:t>
      </w:r>
      <w:r w:rsidR="00C10372" w:rsidRPr="002C0E44">
        <w:rPr>
          <w:rFonts w:ascii="Times New Roman" w:hAnsi="Times New Roman" w:cs="Times New Roman"/>
          <w:sz w:val="24"/>
          <w:szCs w:val="24"/>
        </w:rPr>
        <w:t xml:space="preserve">objęte także </w:t>
      </w:r>
      <w:r w:rsidR="00C10372" w:rsidRPr="002C0E44">
        <w:rPr>
          <w:rFonts w:ascii="Times New Roman" w:hAnsi="Times New Roman" w:cs="Times New Roman"/>
          <w:sz w:val="24"/>
          <w:szCs w:val="24"/>
          <w:u w:val="single"/>
        </w:rPr>
        <w:t>małe</w:t>
      </w:r>
      <w:r w:rsidR="00C10372" w:rsidRPr="002C0E44">
        <w:rPr>
          <w:rFonts w:ascii="Times New Roman" w:hAnsi="Times New Roman" w:cs="Times New Roman"/>
          <w:sz w:val="24"/>
          <w:szCs w:val="24"/>
        </w:rPr>
        <w:t xml:space="preserve"> jednostki zależne i </w:t>
      </w:r>
      <w:r w:rsidR="00C10372" w:rsidRPr="002C0E44">
        <w:rPr>
          <w:rFonts w:ascii="Times New Roman" w:hAnsi="Times New Roman" w:cs="Times New Roman"/>
          <w:sz w:val="24"/>
          <w:szCs w:val="24"/>
          <w:u w:val="single"/>
        </w:rPr>
        <w:t>małe</w:t>
      </w:r>
      <w:r w:rsidR="00C10372" w:rsidRPr="002C0E44">
        <w:rPr>
          <w:rFonts w:ascii="Times New Roman" w:hAnsi="Times New Roman" w:cs="Times New Roman"/>
          <w:sz w:val="24"/>
          <w:szCs w:val="24"/>
        </w:rPr>
        <w:t xml:space="preserve"> oddziały, w</w:t>
      </w:r>
      <w:r w:rsidR="004E7D6F">
        <w:rPr>
          <w:rFonts w:ascii="Times New Roman" w:hAnsi="Times New Roman" w:cs="Times New Roman"/>
          <w:sz w:val="24"/>
          <w:szCs w:val="24"/>
        </w:rPr>
        <w:t> </w:t>
      </w:r>
      <w:r w:rsidR="00C10372" w:rsidRPr="002C0E44">
        <w:rPr>
          <w:rFonts w:ascii="Times New Roman" w:hAnsi="Times New Roman" w:cs="Times New Roman"/>
          <w:sz w:val="24"/>
          <w:szCs w:val="24"/>
        </w:rPr>
        <w:t xml:space="preserve">sytuacji gdyby zostały one utworzone specjalnie w takiej wielkości, </w:t>
      </w:r>
      <w:r w:rsidR="00445169">
        <w:rPr>
          <w:rFonts w:ascii="Times New Roman" w:hAnsi="Times New Roman" w:cs="Times New Roman"/>
          <w:sz w:val="24"/>
          <w:szCs w:val="24"/>
        </w:rPr>
        <w:t>a</w:t>
      </w:r>
      <w:r w:rsidR="00C10372" w:rsidRPr="002C0E44">
        <w:rPr>
          <w:rFonts w:ascii="Times New Roman" w:hAnsi="Times New Roman" w:cs="Times New Roman"/>
          <w:sz w:val="24"/>
          <w:szCs w:val="24"/>
        </w:rPr>
        <w:t>by jednostka z państwa trzeciego mogła obejść obowiązek udostępnienia i publikacji swojego sprawozdania o podatku dochodowym</w:t>
      </w:r>
      <w:r w:rsidR="00585A51" w:rsidRPr="002C0E44">
        <w:rPr>
          <w:rFonts w:ascii="Times New Roman" w:hAnsi="Times New Roman" w:cs="Times New Roman"/>
          <w:sz w:val="24"/>
          <w:szCs w:val="24"/>
        </w:rPr>
        <w:t>. Zatem przepis ten ma na celu zapobieganie sytuacji, w której jednostka z</w:t>
      </w:r>
      <w:r w:rsidR="004E7D6F">
        <w:rPr>
          <w:rFonts w:ascii="Times New Roman" w:hAnsi="Times New Roman" w:cs="Times New Roman"/>
          <w:sz w:val="24"/>
          <w:szCs w:val="24"/>
        </w:rPr>
        <w:t> </w:t>
      </w:r>
      <w:r w:rsidR="00585A51" w:rsidRPr="002C0E44">
        <w:rPr>
          <w:rFonts w:ascii="Times New Roman" w:hAnsi="Times New Roman" w:cs="Times New Roman"/>
          <w:sz w:val="24"/>
          <w:szCs w:val="24"/>
        </w:rPr>
        <w:t xml:space="preserve">państwa trzeciego sztucznie kształtuje strukturę swojej grupy kapitałowej w </w:t>
      </w:r>
      <w:r w:rsidR="00424CA3" w:rsidRPr="002C0E44">
        <w:rPr>
          <w:rFonts w:ascii="Times New Roman" w:hAnsi="Times New Roman" w:cs="Times New Roman"/>
          <w:sz w:val="24"/>
          <w:szCs w:val="24"/>
        </w:rPr>
        <w:t>EOG</w:t>
      </w:r>
      <w:r w:rsidR="00585A51" w:rsidRPr="002C0E44">
        <w:rPr>
          <w:rFonts w:ascii="Times New Roman" w:hAnsi="Times New Roman" w:cs="Times New Roman"/>
          <w:sz w:val="24"/>
          <w:szCs w:val="24"/>
        </w:rPr>
        <w:t xml:space="preserve"> (lub </w:t>
      </w:r>
      <w:r w:rsidR="00831054" w:rsidRPr="002C0E44">
        <w:rPr>
          <w:rFonts w:ascii="Times New Roman" w:hAnsi="Times New Roman" w:cs="Times New Roman"/>
          <w:sz w:val="24"/>
          <w:szCs w:val="24"/>
        </w:rPr>
        <w:t xml:space="preserve">wielkość oddziałów w przypadku jednostki samodzielnej), </w:t>
      </w:r>
      <w:r w:rsidR="00445169">
        <w:rPr>
          <w:rFonts w:ascii="Times New Roman" w:hAnsi="Times New Roman" w:cs="Times New Roman"/>
          <w:sz w:val="24"/>
          <w:szCs w:val="24"/>
        </w:rPr>
        <w:t>a</w:t>
      </w:r>
      <w:r w:rsidR="00831054" w:rsidRPr="002C0E44">
        <w:rPr>
          <w:rFonts w:ascii="Times New Roman" w:hAnsi="Times New Roman" w:cs="Times New Roman"/>
          <w:sz w:val="24"/>
          <w:szCs w:val="24"/>
        </w:rPr>
        <w:t>by uniknąć raportowania.</w:t>
      </w:r>
    </w:p>
    <w:p w14:paraId="46ACE59B" w14:textId="44C2CECB" w:rsidR="00BB4B5D" w:rsidRPr="002C0E44" w:rsidRDefault="00BB4B5D" w:rsidP="002C0E44">
      <w:pPr>
        <w:spacing w:before="120"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E44">
        <w:rPr>
          <w:rFonts w:ascii="Times New Roman" w:hAnsi="Times New Roman" w:cs="Times New Roman"/>
          <w:sz w:val="24"/>
          <w:szCs w:val="24"/>
        </w:rPr>
        <w:t xml:space="preserve">W </w:t>
      </w:r>
      <w:r w:rsidRPr="002C0E44">
        <w:rPr>
          <w:rFonts w:ascii="Times New Roman" w:hAnsi="Times New Roman" w:cs="Times New Roman"/>
          <w:b/>
          <w:sz w:val="24"/>
          <w:szCs w:val="24"/>
        </w:rPr>
        <w:t>art. 63</w:t>
      </w:r>
      <w:r w:rsidR="001E2BC8" w:rsidRPr="002C0E44">
        <w:rPr>
          <w:rFonts w:ascii="Times New Roman" w:hAnsi="Times New Roman" w:cs="Times New Roman"/>
          <w:b/>
          <w:sz w:val="24"/>
          <w:szCs w:val="24"/>
        </w:rPr>
        <w:t>o</w:t>
      </w:r>
      <w:r w:rsidRPr="002C0E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515B" w:rsidRPr="002C0E44">
        <w:rPr>
          <w:rFonts w:ascii="Times New Roman" w:hAnsi="Times New Roman" w:cs="Times New Roman"/>
          <w:b/>
          <w:sz w:val="24"/>
          <w:szCs w:val="24"/>
        </w:rPr>
        <w:t xml:space="preserve">w </w:t>
      </w:r>
      <w:r w:rsidRPr="002C0E44">
        <w:rPr>
          <w:rFonts w:ascii="Times New Roman" w:hAnsi="Times New Roman" w:cs="Times New Roman"/>
          <w:b/>
          <w:sz w:val="24"/>
          <w:szCs w:val="24"/>
        </w:rPr>
        <w:t>ust. 1 i 2</w:t>
      </w:r>
      <w:r w:rsidRPr="002C0E44">
        <w:rPr>
          <w:rFonts w:ascii="Times New Roman" w:hAnsi="Times New Roman" w:cs="Times New Roman"/>
          <w:sz w:val="24"/>
          <w:szCs w:val="24"/>
        </w:rPr>
        <w:t xml:space="preserve"> </w:t>
      </w:r>
      <w:r w:rsidR="0003685F" w:rsidRPr="002C0E44">
        <w:rPr>
          <w:rFonts w:ascii="Times New Roman" w:hAnsi="Times New Roman" w:cs="Times New Roman"/>
          <w:sz w:val="24"/>
          <w:szCs w:val="24"/>
        </w:rPr>
        <w:t xml:space="preserve">(na podstawie art. 48c ust. 1 i 2 dyrektywy 2021/2101) </w:t>
      </w:r>
      <w:r w:rsidRPr="002C0E44">
        <w:rPr>
          <w:rFonts w:ascii="Times New Roman" w:hAnsi="Times New Roman" w:cs="Times New Roman"/>
          <w:sz w:val="24"/>
          <w:szCs w:val="24"/>
        </w:rPr>
        <w:t xml:space="preserve">określono </w:t>
      </w:r>
      <w:r w:rsidR="0003685F" w:rsidRPr="002C0E44">
        <w:rPr>
          <w:rFonts w:ascii="Times New Roman" w:hAnsi="Times New Roman" w:cs="Times New Roman"/>
          <w:sz w:val="24"/>
          <w:szCs w:val="24"/>
        </w:rPr>
        <w:t xml:space="preserve">szczegółowy </w:t>
      </w:r>
      <w:r w:rsidRPr="002C0E44">
        <w:rPr>
          <w:rFonts w:ascii="Times New Roman" w:hAnsi="Times New Roman" w:cs="Times New Roman"/>
          <w:sz w:val="24"/>
          <w:szCs w:val="24"/>
        </w:rPr>
        <w:t>zakres</w:t>
      </w:r>
      <w:r w:rsidR="0003685F" w:rsidRPr="002C0E44">
        <w:rPr>
          <w:rFonts w:ascii="Times New Roman" w:hAnsi="Times New Roman" w:cs="Times New Roman"/>
          <w:sz w:val="24"/>
          <w:szCs w:val="24"/>
        </w:rPr>
        <w:t xml:space="preserve"> informacji uj</w:t>
      </w:r>
      <w:r w:rsidR="0067419A" w:rsidRPr="002C0E44">
        <w:rPr>
          <w:rFonts w:ascii="Times New Roman" w:hAnsi="Times New Roman" w:cs="Times New Roman"/>
          <w:sz w:val="24"/>
          <w:szCs w:val="24"/>
        </w:rPr>
        <w:t>awnianych</w:t>
      </w:r>
      <w:r w:rsidR="0003685F" w:rsidRPr="002C0E44">
        <w:rPr>
          <w:rFonts w:ascii="Times New Roman" w:hAnsi="Times New Roman" w:cs="Times New Roman"/>
          <w:sz w:val="24"/>
          <w:szCs w:val="24"/>
        </w:rPr>
        <w:t xml:space="preserve"> w</w:t>
      </w:r>
      <w:r w:rsidRPr="002C0E44">
        <w:rPr>
          <w:rFonts w:ascii="Times New Roman" w:hAnsi="Times New Roman" w:cs="Times New Roman"/>
          <w:sz w:val="24"/>
          <w:szCs w:val="24"/>
        </w:rPr>
        <w:t xml:space="preserve"> sprawozdani</w:t>
      </w:r>
      <w:r w:rsidR="0003685F" w:rsidRPr="002C0E44">
        <w:rPr>
          <w:rFonts w:ascii="Times New Roman" w:hAnsi="Times New Roman" w:cs="Times New Roman"/>
          <w:sz w:val="24"/>
          <w:szCs w:val="24"/>
        </w:rPr>
        <w:t>u</w:t>
      </w:r>
      <w:r w:rsidRPr="002C0E44">
        <w:rPr>
          <w:rFonts w:ascii="Times New Roman" w:hAnsi="Times New Roman" w:cs="Times New Roman"/>
          <w:sz w:val="24"/>
          <w:szCs w:val="24"/>
        </w:rPr>
        <w:t xml:space="preserve"> o podatku dochodowym</w:t>
      </w:r>
      <w:r w:rsidR="005C4566" w:rsidRPr="002C0E44">
        <w:rPr>
          <w:rFonts w:ascii="Times New Roman" w:hAnsi="Times New Roman" w:cs="Times New Roman"/>
          <w:sz w:val="24"/>
          <w:szCs w:val="24"/>
        </w:rPr>
        <w:t>, sporządzanym</w:t>
      </w:r>
      <w:r w:rsidR="001E2BC8" w:rsidRPr="002C0E44">
        <w:rPr>
          <w:rFonts w:ascii="Times New Roman" w:hAnsi="Times New Roman" w:cs="Times New Roman"/>
          <w:sz w:val="24"/>
          <w:szCs w:val="24"/>
        </w:rPr>
        <w:t xml:space="preserve"> na dzień bilansowy,</w:t>
      </w:r>
      <w:r w:rsidR="00F44119" w:rsidRPr="002C0E44">
        <w:rPr>
          <w:rFonts w:ascii="Times New Roman" w:hAnsi="Times New Roman" w:cs="Times New Roman"/>
          <w:sz w:val="24"/>
          <w:szCs w:val="24"/>
        </w:rPr>
        <w:t xml:space="preserve"> </w:t>
      </w:r>
      <w:r w:rsidRPr="002C0E44">
        <w:rPr>
          <w:rFonts w:ascii="Times New Roman" w:hAnsi="Times New Roman" w:cs="Times New Roman"/>
          <w:sz w:val="24"/>
          <w:szCs w:val="24"/>
        </w:rPr>
        <w:t xml:space="preserve">w odniesieniu do danego roku obrotowego, </w:t>
      </w:r>
      <w:r w:rsidR="0067419A" w:rsidRPr="002C0E44">
        <w:rPr>
          <w:rFonts w:ascii="Times New Roman" w:hAnsi="Times New Roman" w:cs="Times New Roman"/>
          <w:sz w:val="24"/>
          <w:szCs w:val="24"/>
        </w:rPr>
        <w:t>tj.</w:t>
      </w:r>
      <w:r w:rsidRPr="002C0E44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15AF222" w14:textId="4261802D" w:rsidR="00BB4B5D" w:rsidRPr="002C0E44" w:rsidRDefault="00BB4B5D" w:rsidP="002C0E44">
      <w:pPr>
        <w:pStyle w:val="PKTpunkt"/>
        <w:spacing w:before="120"/>
        <w:rPr>
          <w:rFonts w:ascii="Times New Roman" w:hAnsi="Times New Roman" w:cs="Times New Roman"/>
          <w:szCs w:val="24"/>
        </w:rPr>
      </w:pPr>
      <w:r w:rsidRPr="002C0E44">
        <w:rPr>
          <w:rFonts w:ascii="Times New Roman" w:hAnsi="Times New Roman" w:cs="Times New Roman"/>
          <w:szCs w:val="24"/>
        </w:rPr>
        <w:t>1)</w:t>
      </w:r>
      <w:r w:rsidRPr="002C0E44">
        <w:rPr>
          <w:rFonts w:ascii="Times New Roman" w:hAnsi="Times New Roman" w:cs="Times New Roman"/>
          <w:szCs w:val="24"/>
        </w:rPr>
        <w:tab/>
        <w:t xml:space="preserve">nazwę jednostki dominującej najwyższego szczebla lub jednostki samodzielnej oraz, w stosownych przypadkach, wykaz wszystkich jednostek zależnych ujętych w skonsolidowanym sprawozdaniu finansowym jednostki dominującej najwyższego szczebla, w odniesieniu do danego roku obrotowego, mających siedzibę w </w:t>
      </w:r>
      <w:r w:rsidR="00E27DF8" w:rsidRPr="002C0E44">
        <w:rPr>
          <w:rFonts w:ascii="Times New Roman" w:hAnsi="Times New Roman" w:cs="Times New Roman"/>
          <w:szCs w:val="24"/>
        </w:rPr>
        <w:t>EOG</w:t>
      </w:r>
      <w:r w:rsidR="00091726" w:rsidRPr="002C0E44">
        <w:rPr>
          <w:rStyle w:val="Odwoanieprzypisudolnego"/>
          <w:rFonts w:ascii="Times New Roman" w:hAnsi="Times New Roman" w:cs="Times New Roman"/>
          <w:szCs w:val="24"/>
        </w:rPr>
        <w:footnoteReference w:id="5"/>
      </w:r>
      <w:r w:rsidRPr="002C0E44">
        <w:rPr>
          <w:rFonts w:ascii="Times New Roman" w:hAnsi="Times New Roman" w:cs="Times New Roman"/>
          <w:szCs w:val="24"/>
        </w:rPr>
        <w:t xml:space="preserve"> lub w jurysdykcjach podatkowych wymienionych w załącznikach I i II do konkluzji Rady; </w:t>
      </w:r>
    </w:p>
    <w:p w14:paraId="6AAC36B0" w14:textId="7F97BE0A" w:rsidR="00B9743C" w:rsidRPr="002C0E44" w:rsidRDefault="00B9743C" w:rsidP="002C0E44">
      <w:pPr>
        <w:pStyle w:val="PKTpunkt"/>
        <w:spacing w:before="120"/>
        <w:rPr>
          <w:rFonts w:ascii="Times New Roman" w:hAnsi="Times New Roman" w:cs="Times New Roman"/>
          <w:szCs w:val="24"/>
        </w:rPr>
      </w:pPr>
      <w:r w:rsidRPr="002C0E44">
        <w:rPr>
          <w:rFonts w:ascii="Times New Roman" w:hAnsi="Times New Roman" w:cs="Times New Roman"/>
          <w:szCs w:val="24"/>
        </w:rPr>
        <w:t>2)</w:t>
      </w:r>
      <w:r w:rsidRPr="002C0E44">
        <w:rPr>
          <w:rFonts w:ascii="Times New Roman" w:hAnsi="Times New Roman" w:cs="Times New Roman"/>
          <w:szCs w:val="24"/>
        </w:rPr>
        <w:tab/>
        <w:t>rok obrotowy, którego dotyczy sprawozdanie o podatku dochodowym,</w:t>
      </w:r>
    </w:p>
    <w:p w14:paraId="6BBAFD63" w14:textId="7B0A524F" w:rsidR="00B9743C" w:rsidRPr="002C0E44" w:rsidRDefault="00B9743C" w:rsidP="002C0E44">
      <w:pPr>
        <w:pStyle w:val="PKTpunkt"/>
        <w:spacing w:before="120"/>
        <w:rPr>
          <w:rFonts w:ascii="Times New Roman" w:hAnsi="Times New Roman" w:cs="Times New Roman"/>
          <w:szCs w:val="24"/>
        </w:rPr>
      </w:pPr>
      <w:r w:rsidRPr="002C0E44">
        <w:rPr>
          <w:rFonts w:ascii="Times New Roman" w:hAnsi="Times New Roman" w:cs="Times New Roman"/>
          <w:szCs w:val="24"/>
        </w:rPr>
        <w:t>3)</w:t>
      </w:r>
      <w:r w:rsidRPr="002C0E44">
        <w:rPr>
          <w:rFonts w:ascii="Times New Roman" w:hAnsi="Times New Roman" w:cs="Times New Roman"/>
          <w:szCs w:val="24"/>
        </w:rPr>
        <w:tab/>
        <w:t>walutę prezentacji sprawozdania o podatku dochodowym,</w:t>
      </w:r>
    </w:p>
    <w:p w14:paraId="0907D274" w14:textId="52619C55" w:rsidR="00BB4B5D" w:rsidRPr="002C0E44" w:rsidRDefault="00B9743C" w:rsidP="002C0E44">
      <w:pPr>
        <w:pStyle w:val="PKTpunkt"/>
        <w:spacing w:before="120"/>
        <w:rPr>
          <w:rFonts w:ascii="Times New Roman" w:hAnsi="Times New Roman" w:cs="Times New Roman"/>
          <w:szCs w:val="24"/>
        </w:rPr>
      </w:pPr>
      <w:r w:rsidRPr="002C0E44">
        <w:rPr>
          <w:rFonts w:ascii="Times New Roman" w:hAnsi="Times New Roman" w:cs="Times New Roman"/>
          <w:szCs w:val="24"/>
        </w:rPr>
        <w:t>4</w:t>
      </w:r>
      <w:r w:rsidR="00BB4B5D" w:rsidRPr="002C0E44">
        <w:rPr>
          <w:rFonts w:ascii="Times New Roman" w:hAnsi="Times New Roman" w:cs="Times New Roman"/>
          <w:szCs w:val="24"/>
        </w:rPr>
        <w:t>)</w:t>
      </w:r>
      <w:r w:rsidR="00BB4B5D" w:rsidRPr="002C0E44">
        <w:rPr>
          <w:rFonts w:ascii="Times New Roman" w:hAnsi="Times New Roman" w:cs="Times New Roman"/>
          <w:szCs w:val="24"/>
        </w:rPr>
        <w:tab/>
        <w:t>krótki opis charakteru ich działalności;</w:t>
      </w:r>
    </w:p>
    <w:p w14:paraId="0C21664A" w14:textId="05B750E2" w:rsidR="00BB4B5D" w:rsidRPr="002C0E44" w:rsidRDefault="00B9743C" w:rsidP="002C0E44">
      <w:pPr>
        <w:pStyle w:val="PKTpunkt"/>
        <w:spacing w:before="120"/>
        <w:rPr>
          <w:rFonts w:ascii="Times New Roman" w:hAnsi="Times New Roman" w:cs="Times New Roman"/>
          <w:szCs w:val="24"/>
        </w:rPr>
      </w:pPr>
      <w:r w:rsidRPr="002C0E44">
        <w:rPr>
          <w:rFonts w:ascii="Times New Roman" w:hAnsi="Times New Roman" w:cs="Times New Roman"/>
          <w:szCs w:val="24"/>
        </w:rPr>
        <w:t>5</w:t>
      </w:r>
      <w:r w:rsidR="00BB4B5D" w:rsidRPr="002C0E44">
        <w:rPr>
          <w:rFonts w:ascii="Times New Roman" w:hAnsi="Times New Roman" w:cs="Times New Roman"/>
          <w:szCs w:val="24"/>
        </w:rPr>
        <w:t>)</w:t>
      </w:r>
      <w:r w:rsidR="00BB4B5D" w:rsidRPr="002C0E44">
        <w:rPr>
          <w:rFonts w:ascii="Times New Roman" w:hAnsi="Times New Roman" w:cs="Times New Roman"/>
          <w:szCs w:val="24"/>
        </w:rPr>
        <w:tab/>
        <w:t>liczbę pracowników w przeliczeniu na pełne etaty;</w:t>
      </w:r>
    </w:p>
    <w:p w14:paraId="785DD68F" w14:textId="31E5B0EE" w:rsidR="00BB4B5D" w:rsidRPr="002C0E44" w:rsidRDefault="00B9743C" w:rsidP="002C0E44">
      <w:pPr>
        <w:pStyle w:val="PKTpunkt"/>
        <w:spacing w:before="120"/>
        <w:rPr>
          <w:rFonts w:ascii="Times New Roman" w:hAnsi="Times New Roman" w:cs="Times New Roman"/>
          <w:szCs w:val="24"/>
        </w:rPr>
      </w:pPr>
      <w:r w:rsidRPr="002C0E44">
        <w:rPr>
          <w:rFonts w:ascii="Times New Roman" w:hAnsi="Times New Roman" w:cs="Times New Roman"/>
          <w:szCs w:val="24"/>
        </w:rPr>
        <w:t>6</w:t>
      </w:r>
      <w:r w:rsidR="00BB4B5D" w:rsidRPr="002C0E44">
        <w:rPr>
          <w:rFonts w:ascii="Times New Roman" w:hAnsi="Times New Roman" w:cs="Times New Roman"/>
          <w:szCs w:val="24"/>
        </w:rPr>
        <w:t>)</w:t>
      </w:r>
      <w:r w:rsidR="00BB4B5D" w:rsidRPr="002C0E44">
        <w:rPr>
          <w:rFonts w:ascii="Times New Roman" w:hAnsi="Times New Roman" w:cs="Times New Roman"/>
          <w:szCs w:val="24"/>
        </w:rPr>
        <w:tab/>
        <w:t xml:space="preserve">przychody, w tym </w:t>
      </w:r>
      <w:r w:rsidR="00E6299E" w:rsidRPr="002C0E44">
        <w:rPr>
          <w:rFonts w:ascii="Times New Roman" w:hAnsi="Times New Roman" w:cs="Times New Roman"/>
          <w:szCs w:val="24"/>
        </w:rPr>
        <w:t xml:space="preserve">z </w:t>
      </w:r>
      <w:r w:rsidR="00BB4B5D" w:rsidRPr="002C0E44">
        <w:rPr>
          <w:rFonts w:ascii="Times New Roman" w:hAnsi="Times New Roman" w:cs="Times New Roman"/>
          <w:szCs w:val="24"/>
        </w:rPr>
        <w:t>transakcj</w:t>
      </w:r>
      <w:r w:rsidR="00E6299E" w:rsidRPr="002C0E44">
        <w:rPr>
          <w:rFonts w:ascii="Times New Roman" w:hAnsi="Times New Roman" w:cs="Times New Roman"/>
          <w:szCs w:val="24"/>
        </w:rPr>
        <w:t>i</w:t>
      </w:r>
      <w:r w:rsidR="00BB4B5D" w:rsidRPr="002C0E44">
        <w:rPr>
          <w:rFonts w:ascii="Times New Roman" w:hAnsi="Times New Roman" w:cs="Times New Roman"/>
          <w:szCs w:val="24"/>
        </w:rPr>
        <w:t xml:space="preserve"> z</w:t>
      </w:r>
      <w:r w:rsidR="006860EB" w:rsidRPr="002C0E44">
        <w:rPr>
          <w:rFonts w:ascii="Times New Roman" w:hAnsi="Times New Roman" w:cs="Times New Roman"/>
          <w:szCs w:val="24"/>
        </w:rPr>
        <w:t>e</w:t>
      </w:r>
      <w:r w:rsidR="00BB4B5D" w:rsidRPr="002C0E44">
        <w:rPr>
          <w:rFonts w:ascii="Times New Roman" w:hAnsi="Times New Roman" w:cs="Times New Roman"/>
          <w:szCs w:val="24"/>
        </w:rPr>
        <w:t xml:space="preserve"> </w:t>
      </w:r>
      <w:r w:rsidR="006860EB" w:rsidRPr="002C0E44">
        <w:rPr>
          <w:rFonts w:ascii="Times New Roman" w:hAnsi="Times New Roman" w:cs="Times New Roman"/>
          <w:szCs w:val="24"/>
        </w:rPr>
        <w:t>stronami</w:t>
      </w:r>
      <w:r w:rsidR="00BB4B5D" w:rsidRPr="002C0E44">
        <w:rPr>
          <w:rFonts w:ascii="Times New Roman" w:hAnsi="Times New Roman" w:cs="Times New Roman"/>
          <w:szCs w:val="24"/>
        </w:rPr>
        <w:t xml:space="preserve"> powiązanymi</w:t>
      </w:r>
      <w:r w:rsidR="00E6299E" w:rsidRPr="002C0E44">
        <w:rPr>
          <w:rFonts w:ascii="Times New Roman" w:hAnsi="Times New Roman" w:cs="Times New Roman"/>
          <w:szCs w:val="24"/>
        </w:rPr>
        <w:t xml:space="preserve">, przez które rozumie się podmioty powiązane zdefiniowane w międzynarodowych standardach rachunkowości przyjętych zgodnie z rozporządzeniem (WE) nr 1606/2002 Parlamentu Europejskiego i </w:t>
      </w:r>
      <w:r w:rsidR="00E6299E" w:rsidRPr="002C0E44">
        <w:rPr>
          <w:rFonts w:ascii="Times New Roman" w:hAnsi="Times New Roman" w:cs="Times New Roman"/>
          <w:szCs w:val="24"/>
        </w:rPr>
        <w:lastRenderedPageBreak/>
        <w:t>Rady z dnia 19 lipca 2002 r. w sprawie stosowania międzynarodowych standardów rachunkowości</w:t>
      </w:r>
      <w:r w:rsidR="00BB4B5D" w:rsidRPr="002C0E44">
        <w:rPr>
          <w:rFonts w:ascii="Times New Roman" w:hAnsi="Times New Roman" w:cs="Times New Roman"/>
          <w:szCs w:val="24"/>
        </w:rPr>
        <w:t>, które stanowią:</w:t>
      </w:r>
    </w:p>
    <w:p w14:paraId="42FD1633" w14:textId="317F1FC1" w:rsidR="00BB4B5D" w:rsidRPr="002C0E44" w:rsidRDefault="00BB4B5D" w:rsidP="002C0E44">
      <w:pPr>
        <w:pStyle w:val="LITlitera"/>
        <w:spacing w:before="120"/>
        <w:rPr>
          <w:rFonts w:ascii="Times New Roman" w:hAnsi="Times New Roman" w:cs="Times New Roman"/>
          <w:szCs w:val="24"/>
        </w:rPr>
      </w:pPr>
      <w:r w:rsidRPr="002C0E44">
        <w:rPr>
          <w:rFonts w:ascii="Times New Roman" w:hAnsi="Times New Roman" w:cs="Times New Roman"/>
          <w:szCs w:val="24"/>
        </w:rPr>
        <w:t>a)</w:t>
      </w:r>
      <w:r w:rsidRPr="002C0E44">
        <w:rPr>
          <w:rFonts w:ascii="Times New Roman" w:hAnsi="Times New Roman" w:cs="Times New Roman"/>
          <w:szCs w:val="24"/>
        </w:rPr>
        <w:tab/>
        <w:t>w odniesieniu do jednostek</w:t>
      </w:r>
      <w:r w:rsidR="006860EB" w:rsidRPr="002C0E44">
        <w:rPr>
          <w:rFonts w:ascii="Times New Roman" w:hAnsi="Times New Roman" w:cs="Times New Roman"/>
          <w:szCs w:val="24"/>
        </w:rPr>
        <w:t>,</w:t>
      </w:r>
      <w:r w:rsidRPr="002C0E44">
        <w:rPr>
          <w:rFonts w:ascii="Times New Roman" w:hAnsi="Times New Roman" w:cs="Times New Roman"/>
          <w:szCs w:val="24"/>
        </w:rPr>
        <w:t xml:space="preserve"> o których mowa w art. 63l ust. 2 pkt 1 </w:t>
      </w:r>
      <w:r w:rsidR="00445169" w:rsidRPr="002C0E44">
        <w:rPr>
          <w:rFonts w:ascii="Times New Roman" w:hAnsi="Times New Roman" w:cs="Times New Roman"/>
          <w:szCs w:val="24"/>
        </w:rPr>
        <w:t xml:space="preserve">– </w:t>
      </w:r>
      <w:r w:rsidRPr="002C0E44">
        <w:rPr>
          <w:rFonts w:ascii="Times New Roman" w:hAnsi="Times New Roman" w:cs="Times New Roman"/>
          <w:szCs w:val="24"/>
        </w:rPr>
        <w:t xml:space="preserve"> sumę wszystkich przychodów, z wyłączeniem korekt wartości i dywidend otrzymanych od jednostek powiązanych, lub</w:t>
      </w:r>
    </w:p>
    <w:p w14:paraId="02496BE3" w14:textId="74F20E0B" w:rsidR="00BB4B5D" w:rsidRPr="002C0E44" w:rsidRDefault="00BB4B5D" w:rsidP="002C0E44">
      <w:pPr>
        <w:pStyle w:val="LITlitera"/>
        <w:spacing w:before="120"/>
        <w:rPr>
          <w:rFonts w:ascii="Times New Roman" w:hAnsi="Times New Roman" w:cs="Times New Roman"/>
          <w:szCs w:val="24"/>
        </w:rPr>
      </w:pPr>
      <w:r w:rsidRPr="002C0E44">
        <w:rPr>
          <w:rFonts w:ascii="Times New Roman" w:hAnsi="Times New Roman" w:cs="Times New Roman"/>
          <w:szCs w:val="24"/>
        </w:rPr>
        <w:t>b)</w:t>
      </w:r>
      <w:r w:rsidRPr="002C0E44">
        <w:rPr>
          <w:rFonts w:ascii="Times New Roman" w:hAnsi="Times New Roman" w:cs="Times New Roman"/>
          <w:szCs w:val="24"/>
        </w:rPr>
        <w:tab/>
        <w:t>w odniesieniu do jednostek</w:t>
      </w:r>
      <w:r w:rsidR="006860EB" w:rsidRPr="002C0E44">
        <w:rPr>
          <w:rFonts w:ascii="Times New Roman" w:hAnsi="Times New Roman" w:cs="Times New Roman"/>
          <w:szCs w:val="24"/>
        </w:rPr>
        <w:t>,</w:t>
      </w:r>
      <w:r w:rsidRPr="002C0E44">
        <w:rPr>
          <w:rFonts w:ascii="Times New Roman" w:hAnsi="Times New Roman" w:cs="Times New Roman"/>
          <w:szCs w:val="24"/>
        </w:rPr>
        <w:t xml:space="preserve"> o których mowa w art. 63l ust. 2 pkt 2 </w:t>
      </w:r>
      <w:r w:rsidR="00445169" w:rsidRPr="002C0E44">
        <w:rPr>
          <w:rFonts w:ascii="Times New Roman" w:hAnsi="Times New Roman" w:cs="Times New Roman"/>
          <w:szCs w:val="24"/>
        </w:rPr>
        <w:t xml:space="preserve">– </w:t>
      </w:r>
      <w:r w:rsidRPr="002C0E44">
        <w:rPr>
          <w:rFonts w:ascii="Times New Roman" w:hAnsi="Times New Roman" w:cs="Times New Roman"/>
          <w:szCs w:val="24"/>
        </w:rPr>
        <w:t xml:space="preserve">przychody zgodnie z definicją zawartą w ramach sprawozdawczości finansowej, na podstawie których </w:t>
      </w:r>
      <w:r w:rsidR="002F21F9" w:rsidRPr="002C0E44">
        <w:rPr>
          <w:rFonts w:ascii="Times New Roman" w:hAnsi="Times New Roman" w:cs="Times New Roman"/>
          <w:szCs w:val="24"/>
        </w:rPr>
        <w:t xml:space="preserve">są </w:t>
      </w:r>
      <w:r w:rsidRPr="002C0E44">
        <w:rPr>
          <w:rFonts w:ascii="Times New Roman" w:hAnsi="Times New Roman" w:cs="Times New Roman"/>
          <w:szCs w:val="24"/>
        </w:rPr>
        <w:t>sporządzane sprawozdania finansowe, z wyłączeniem korekt wartości i dywidend otrzymanych od jednostek powiązanych;</w:t>
      </w:r>
    </w:p>
    <w:p w14:paraId="55BC9045" w14:textId="683DF4AD" w:rsidR="00BB4B5D" w:rsidRPr="002C0E44" w:rsidRDefault="00B9743C" w:rsidP="002C0E44">
      <w:pPr>
        <w:pStyle w:val="PKTpunkt"/>
        <w:spacing w:before="120"/>
        <w:rPr>
          <w:rFonts w:ascii="Times New Roman" w:hAnsi="Times New Roman" w:cs="Times New Roman"/>
          <w:szCs w:val="24"/>
        </w:rPr>
      </w:pPr>
      <w:r w:rsidRPr="002C0E44">
        <w:rPr>
          <w:rFonts w:ascii="Times New Roman" w:hAnsi="Times New Roman" w:cs="Times New Roman"/>
          <w:szCs w:val="24"/>
        </w:rPr>
        <w:t>7</w:t>
      </w:r>
      <w:r w:rsidR="00BB4B5D" w:rsidRPr="002C0E44">
        <w:rPr>
          <w:rFonts w:ascii="Times New Roman" w:hAnsi="Times New Roman" w:cs="Times New Roman"/>
          <w:szCs w:val="24"/>
        </w:rPr>
        <w:t>)</w:t>
      </w:r>
      <w:r w:rsidR="00BB4B5D" w:rsidRPr="002C0E44">
        <w:rPr>
          <w:rFonts w:ascii="Times New Roman" w:hAnsi="Times New Roman" w:cs="Times New Roman"/>
          <w:szCs w:val="24"/>
        </w:rPr>
        <w:tab/>
        <w:t>kwotę zysk</w:t>
      </w:r>
      <w:r w:rsidR="006860EB" w:rsidRPr="002C0E44">
        <w:rPr>
          <w:rFonts w:ascii="Times New Roman" w:hAnsi="Times New Roman" w:cs="Times New Roman"/>
          <w:szCs w:val="24"/>
        </w:rPr>
        <w:t>u</w:t>
      </w:r>
      <w:r w:rsidR="00BB4B5D" w:rsidRPr="002C0E44">
        <w:rPr>
          <w:rFonts w:ascii="Times New Roman" w:hAnsi="Times New Roman" w:cs="Times New Roman"/>
          <w:szCs w:val="24"/>
        </w:rPr>
        <w:t xml:space="preserve"> lub strat</w:t>
      </w:r>
      <w:r w:rsidR="006860EB" w:rsidRPr="002C0E44">
        <w:rPr>
          <w:rFonts w:ascii="Times New Roman" w:hAnsi="Times New Roman" w:cs="Times New Roman"/>
          <w:szCs w:val="24"/>
        </w:rPr>
        <w:t>y</w:t>
      </w:r>
      <w:r w:rsidR="00BB4B5D" w:rsidRPr="002C0E44">
        <w:rPr>
          <w:rFonts w:ascii="Times New Roman" w:hAnsi="Times New Roman" w:cs="Times New Roman"/>
          <w:szCs w:val="24"/>
        </w:rPr>
        <w:t xml:space="preserve"> przed opodatkowaniem;</w:t>
      </w:r>
    </w:p>
    <w:p w14:paraId="3DF798BC" w14:textId="2BE07F85" w:rsidR="00BB4B5D" w:rsidRPr="002C0E44" w:rsidRDefault="00B9743C" w:rsidP="002C0E44">
      <w:pPr>
        <w:pStyle w:val="PKTpunkt"/>
        <w:spacing w:before="120"/>
        <w:rPr>
          <w:rFonts w:ascii="Times New Roman" w:hAnsi="Times New Roman" w:cs="Times New Roman"/>
          <w:szCs w:val="24"/>
        </w:rPr>
      </w:pPr>
      <w:r w:rsidRPr="002C0E44">
        <w:rPr>
          <w:rFonts w:ascii="Times New Roman" w:hAnsi="Times New Roman" w:cs="Times New Roman"/>
          <w:szCs w:val="24"/>
        </w:rPr>
        <w:t>8</w:t>
      </w:r>
      <w:r w:rsidR="00BB4B5D" w:rsidRPr="002C0E44">
        <w:rPr>
          <w:rFonts w:ascii="Times New Roman" w:hAnsi="Times New Roman" w:cs="Times New Roman"/>
          <w:szCs w:val="24"/>
        </w:rPr>
        <w:t>)</w:t>
      </w:r>
      <w:r w:rsidR="00BB4B5D" w:rsidRPr="002C0E44">
        <w:rPr>
          <w:rFonts w:ascii="Times New Roman" w:hAnsi="Times New Roman" w:cs="Times New Roman"/>
          <w:szCs w:val="24"/>
        </w:rPr>
        <w:tab/>
        <w:t>kwotę podatku dochodowego należnego w danym roku obrotowym, która stanowi bieżące obciążenie podatkowe z tytułu podlegających opodatkowaniu zysków lub strat w roku obrotowym rozpoznanym przez jednostki i oddziały w danej jurysdykcji podatkowej, bez uwzględniania podatku odroczonego i rezerw na warunkowe zobowiązania podatkowe;</w:t>
      </w:r>
    </w:p>
    <w:p w14:paraId="5EAB43D4" w14:textId="00841A77" w:rsidR="00BB4B5D" w:rsidRPr="002C0E44" w:rsidRDefault="00D229F4" w:rsidP="002C0E44">
      <w:pPr>
        <w:pStyle w:val="PKTpunkt"/>
        <w:spacing w:before="120"/>
        <w:rPr>
          <w:rFonts w:ascii="Times New Roman" w:hAnsi="Times New Roman" w:cs="Times New Roman"/>
          <w:szCs w:val="24"/>
        </w:rPr>
      </w:pPr>
      <w:r w:rsidRPr="002C0E44">
        <w:rPr>
          <w:rFonts w:ascii="Times New Roman" w:hAnsi="Times New Roman" w:cs="Times New Roman"/>
          <w:szCs w:val="24"/>
        </w:rPr>
        <w:t>9</w:t>
      </w:r>
      <w:r w:rsidR="00BB4B5D" w:rsidRPr="002C0E44">
        <w:rPr>
          <w:rFonts w:ascii="Times New Roman" w:hAnsi="Times New Roman" w:cs="Times New Roman"/>
          <w:szCs w:val="24"/>
        </w:rPr>
        <w:t>)</w:t>
      </w:r>
      <w:r w:rsidR="00BB4B5D" w:rsidRPr="002C0E44">
        <w:rPr>
          <w:rFonts w:ascii="Times New Roman" w:hAnsi="Times New Roman" w:cs="Times New Roman"/>
          <w:szCs w:val="24"/>
        </w:rPr>
        <w:tab/>
        <w:t>kwotę podatku dochodowego zapłaconego w danym roku obrotowym przez jednostki i oddziały w danej jurysdykcji podatkowej, w tym podatek u źródła zapłacony przez inne jednostki w odniesieniu do płatności na rzecz jednostek i oddziałów w ramach grupy</w:t>
      </w:r>
      <w:r w:rsidRPr="002C0E44">
        <w:rPr>
          <w:rFonts w:ascii="Times New Roman" w:hAnsi="Times New Roman" w:cs="Times New Roman"/>
          <w:szCs w:val="24"/>
        </w:rPr>
        <w:t xml:space="preserve"> kapitałowej</w:t>
      </w:r>
      <w:r w:rsidR="00BB4B5D" w:rsidRPr="002C0E44">
        <w:rPr>
          <w:rFonts w:ascii="Times New Roman" w:hAnsi="Times New Roman" w:cs="Times New Roman"/>
          <w:szCs w:val="24"/>
        </w:rPr>
        <w:t>;</w:t>
      </w:r>
    </w:p>
    <w:p w14:paraId="6B560C8E" w14:textId="1D24A1EF" w:rsidR="00BB4B5D" w:rsidRPr="002C0E44" w:rsidRDefault="00D229F4" w:rsidP="002C0E44">
      <w:pPr>
        <w:pStyle w:val="PKTpunkt"/>
        <w:spacing w:before="120"/>
        <w:rPr>
          <w:rFonts w:ascii="Times New Roman" w:hAnsi="Times New Roman" w:cs="Times New Roman"/>
          <w:szCs w:val="24"/>
        </w:rPr>
      </w:pPr>
      <w:r w:rsidRPr="002C0E44">
        <w:rPr>
          <w:rFonts w:ascii="Times New Roman" w:hAnsi="Times New Roman" w:cs="Times New Roman"/>
          <w:szCs w:val="24"/>
        </w:rPr>
        <w:t>10</w:t>
      </w:r>
      <w:r w:rsidR="00BB4B5D" w:rsidRPr="002C0E44">
        <w:rPr>
          <w:rFonts w:ascii="Times New Roman" w:hAnsi="Times New Roman" w:cs="Times New Roman"/>
          <w:szCs w:val="24"/>
        </w:rPr>
        <w:t>)</w:t>
      </w:r>
      <w:r w:rsidR="00BB4B5D" w:rsidRPr="002C0E44">
        <w:rPr>
          <w:rFonts w:ascii="Times New Roman" w:hAnsi="Times New Roman" w:cs="Times New Roman"/>
          <w:szCs w:val="24"/>
        </w:rPr>
        <w:tab/>
        <w:t>kwot</w:t>
      </w:r>
      <w:r w:rsidR="00E27DF8" w:rsidRPr="002C0E44">
        <w:rPr>
          <w:rFonts w:ascii="Times New Roman" w:hAnsi="Times New Roman" w:cs="Times New Roman"/>
          <w:szCs w:val="24"/>
        </w:rPr>
        <w:t>ę</w:t>
      </w:r>
      <w:r w:rsidR="00BB4B5D" w:rsidRPr="002C0E44">
        <w:rPr>
          <w:rFonts w:ascii="Times New Roman" w:hAnsi="Times New Roman" w:cs="Times New Roman"/>
          <w:szCs w:val="24"/>
        </w:rPr>
        <w:t xml:space="preserve"> niepodzielonego zysku z lat ubiegłych na koniec danego roku obrotowego, obejmując</w:t>
      </w:r>
      <w:r w:rsidR="00E27DF8" w:rsidRPr="002C0E44">
        <w:rPr>
          <w:rFonts w:ascii="Times New Roman" w:hAnsi="Times New Roman" w:cs="Times New Roman"/>
          <w:szCs w:val="24"/>
        </w:rPr>
        <w:t>ą</w:t>
      </w:r>
      <w:r w:rsidR="00BB4B5D" w:rsidRPr="002C0E44">
        <w:rPr>
          <w:rFonts w:ascii="Times New Roman" w:hAnsi="Times New Roman" w:cs="Times New Roman"/>
          <w:szCs w:val="24"/>
        </w:rPr>
        <w:t xml:space="preserve"> kwotę zysku </w:t>
      </w:r>
      <w:r w:rsidR="006860EB" w:rsidRPr="002C0E44">
        <w:rPr>
          <w:rFonts w:ascii="Times New Roman" w:hAnsi="Times New Roman" w:cs="Times New Roman"/>
          <w:szCs w:val="24"/>
        </w:rPr>
        <w:t xml:space="preserve">z ubiegłych lat obrotowych i </w:t>
      </w:r>
      <w:r w:rsidR="00E430D0" w:rsidRPr="002C0E44">
        <w:rPr>
          <w:rFonts w:ascii="Times New Roman" w:hAnsi="Times New Roman" w:cs="Times New Roman"/>
          <w:szCs w:val="24"/>
        </w:rPr>
        <w:t xml:space="preserve">kwotę zysku </w:t>
      </w:r>
      <w:r w:rsidR="00BB4B5D" w:rsidRPr="002C0E44">
        <w:rPr>
          <w:rFonts w:ascii="Times New Roman" w:hAnsi="Times New Roman" w:cs="Times New Roman"/>
          <w:szCs w:val="24"/>
        </w:rPr>
        <w:t>danego roku</w:t>
      </w:r>
      <w:r w:rsidR="006860EB" w:rsidRPr="002C0E44">
        <w:rPr>
          <w:rFonts w:ascii="Times New Roman" w:hAnsi="Times New Roman" w:cs="Times New Roman"/>
          <w:szCs w:val="24"/>
        </w:rPr>
        <w:t xml:space="preserve"> obrotowego,</w:t>
      </w:r>
      <w:r w:rsidR="00BB4B5D" w:rsidRPr="002C0E44">
        <w:rPr>
          <w:rFonts w:ascii="Times New Roman" w:hAnsi="Times New Roman" w:cs="Times New Roman"/>
          <w:szCs w:val="24"/>
        </w:rPr>
        <w:t xml:space="preserve"> </w:t>
      </w:r>
      <w:r w:rsidR="00E430D0" w:rsidRPr="002C0E44">
        <w:rPr>
          <w:rFonts w:ascii="Times New Roman" w:hAnsi="Times New Roman" w:cs="Times New Roman"/>
          <w:szCs w:val="24"/>
        </w:rPr>
        <w:t>co do którego nie podjęto jeszcze decyzji o podziale</w:t>
      </w:r>
      <w:r w:rsidR="00A646C8" w:rsidRPr="002C0E44">
        <w:rPr>
          <w:rFonts w:ascii="Times New Roman" w:hAnsi="Times New Roman" w:cs="Times New Roman"/>
          <w:szCs w:val="24"/>
        </w:rPr>
        <w:t>;</w:t>
      </w:r>
      <w:r w:rsidR="00BB4B5D" w:rsidRPr="002C0E44">
        <w:rPr>
          <w:rFonts w:ascii="Times New Roman" w:hAnsi="Times New Roman" w:cs="Times New Roman"/>
          <w:szCs w:val="24"/>
        </w:rPr>
        <w:t xml:space="preserve"> </w:t>
      </w:r>
      <w:r w:rsidR="006860EB" w:rsidRPr="002C0E44">
        <w:rPr>
          <w:rFonts w:ascii="Times New Roman" w:hAnsi="Times New Roman" w:cs="Times New Roman"/>
          <w:szCs w:val="24"/>
        </w:rPr>
        <w:t>w przypadku</w:t>
      </w:r>
      <w:r w:rsidR="00BB4B5D" w:rsidRPr="002C0E44">
        <w:rPr>
          <w:rFonts w:ascii="Times New Roman" w:hAnsi="Times New Roman" w:cs="Times New Roman"/>
          <w:szCs w:val="24"/>
        </w:rPr>
        <w:t xml:space="preserve"> </w:t>
      </w:r>
      <w:r w:rsidR="00BA1D2C" w:rsidRPr="002C0E44">
        <w:rPr>
          <w:rFonts w:ascii="Times New Roman" w:hAnsi="Times New Roman" w:cs="Times New Roman"/>
          <w:szCs w:val="24"/>
        </w:rPr>
        <w:t>oddziałów</w:t>
      </w:r>
      <w:r w:rsidR="00A646C8" w:rsidRPr="002C0E44">
        <w:rPr>
          <w:rFonts w:ascii="Times New Roman" w:hAnsi="Times New Roman" w:cs="Times New Roman"/>
          <w:szCs w:val="24"/>
        </w:rPr>
        <w:t xml:space="preserve"> niepodzielony zysk z lat ubiegłych oznacza</w:t>
      </w:r>
      <w:r w:rsidR="00BB4B5D" w:rsidRPr="002C0E44">
        <w:rPr>
          <w:rFonts w:ascii="Times New Roman" w:hAnsi="Times New Roman" w:cs="Times New Roman"/>
          <w:szCs w:val="24"/>
        </w:rPr>
        <w:t xml:space="preserve"> niepodzielony zysk z lat ubiegłych jednostki</w:t>
      </w:r>
      <w:r w:rsidR="00A646C8" w:rsidRPr="002C0E44">
        <w:rPr>
          <w:rFonts w:ascii="Times New Roman" w:hAnsi="Times New Roman" w:cs="Times New Roman"/>
          <w:szCs w:val="24"/>
        </w:rPr>
        <w:t>,</w:t>
      </w:r>
      <w:r w:rsidR="00CE4BB4" w:rsidRPr="002C0E44">
        <w:rPr>
          <w:rFonts w:ascii="Times New Roman" w:hAnsi="Times New Roman" w:cs="Times New Roman"/>
          <w:szCs w:val="24"/>
        </w:rPr>
        <w:t xml:space="preserve"> która utworzyła dany oddział</w:t>
      </w:r>
      <w:r w:rsidR="00BB4B5D" w:rsidRPr="002C0E44">
        <w:rPr>
          <w:rFonts w:ascii="Times New Roman" w:hAnsi="Times New Roman" w:cs="Times New Roman"/>
          <w:szCs w:val="24"/>
        </w:rPr>
        <w:t>;</w:t>
      </w:r>
    </w:p>
    <w:p w14:paraId="4D9199C5" w14:textId="0511C186" w:rsidR="00BB4B5D" w:rsidRPr="002C0E44" w:rsidRDefault="00BB4B5D" w:rsidP="002C0E44">
      <w:pPr>
        <w:pStyle w:val="PKTpunkt"/>
        <w:spacing w:before="120"/>
        <w:rPr>
          <w:rFonts w:ascii="Times New Roman" w:hAnsi="Times New Roman" w:cs="Times New Roman"/>
          <w:szCs w:val="24"/>
        </w:rPr>
      </w:pPr>
      <w:r w:rsidRPr="002C0E44">
        <w:rPr>
          <w:rFonts w:ascii="Times New Roman" w:hAnsi="Times New Roman" w:cs="Times New Roman"/>
          <w:szCs w:val="24"/>
        </w:rPr>
        <w:t>9)</w:t>
      </w:r>
      <w:r w:rsidRPr="002C0E44">
        <w:rPr>
          <w:rFonts w:ascii="Times New Roman" w:hAnsi="Times New Roman" w:cs="Times New Roman"/>
          <w:szCs w:val="24"/>
        </w:rPr>
        <w:tab/>
        <w:t>informację</w:t>
      </w:r>
      <w:r w:rsidR="00A646C8" w:rsidRPr="002C0E44">
        <w:rPr>
          <w:rFonts w:ascii="Times New Roman" w:hAnsi="Times New Roman" w:cs="Times New Roman"/>
          <w:szCs w:val="24"/>
        </w:rPr>
        <w:t>,</w:t>
      </w:r>
      <w:r w:rsidRPr="002C0E44">
        <w:rPr>
          <w:rFonts w:ascii="Times New Roman" w:hAnsi="Times New Roman" w:cs="Times New Roman"/>
          <w:szCs w:val="24"/>
        </w:rPr>
        <w:t xml:space="preserve"> </w:t>
      </w:r>
      <w:r w:rsidR="009E26C6" w:rsidRPr="002C0E44">
        <w:rPr>
          <w:rFonts w:ascii="Times New Roman" w:hAnsi="Times New Roman" w:cs="Times New Roman"/>
          <w:szCs w:val="24"/>
        </w:rPr>
        <w:t>że</w:t>
      </w:r>
      <w:r w:rsidRPr="002C0E44">
        <w:rPr>
          <w:rFonts w:ascii="Times New Roman" w:hAnsi="Times New Roman" w:cs="Times New Roman"/>
          <w:szCs w:val="24"/>
        </w:rPr>
        <w:t xml:space="preserve"> sprawozdanie zostało sporządzone zgodnie z </w:t>
      </w:r>
      <w:r w:rsidR="009E26C6" w:rsidRPr="002C0E44">
        <w:rPr>
          <w:rFonts w:ascii="Times New Roman" w:hAnsi="Times New Roman" w:cs="Times New Roman"/>
          <w:szCs w:val="24"/>
        </w:rPr>
        <w:t>pkt 1</w:t>
      </w:r>
      <w:r w:rsidR="00445169" w:rsidRPr="002C0E44">
        <w:rPr>
          <w:rFonts w:ascii="Times New Roman" w:hAnsi="Times New Roman" w:cs="Times New Roman"/>
          <w:szCs w:val="24"/>
        </w:rPr>
        <w:t>–</w:t>
      </w:r>
      <w:r w:rsidR="009E26C6" w:rsidRPr="002C0E44">
        <w:rPr>
          <w:rFonts w:ascii="Times New Roman" w:hAnsi="Times New Roman" w:cs="Times New Roman"/>
          <w:szCs w:val="24"/>
        </w:rPr>
        <w:t>10 lub</w:t>
      </w:r>
      <w:r w:rsidRPr="002C0E44">
        <w:rPr>
          <w:rFonts w:ascii="Times New Roman" w:hAnsi="Times New Roman" w:cs="Times New Roman"/>
          <w:szCs w:val="24"/>
        </w:rPr>
        <w:t xml:space="preserve"> ust. </w:t>
      </w:r>
      <w:r w:rsidR="00A646C8" w:rsidRPr="002C0E44">
        <w:rPr>
          <w:rFonts w:ascii="Times New Roman" w:hAnsi="Times New Roman" w:cs="Times New Roman"/>
          <w:szCs w:val="24"/>
        </w:rPr>
        <w:t>4</w:t>
      </w:r>
      <w:r w:rsidRPr="002C0E44">
        <w:rPr>
          <w:rFonts w:ascii="Times New Roman" w:hAnsi="Times New Roman" w:cs="Times New Roman"/>
          <w:szCs w:val="24"/>
        </w:rPr>
        <w:t>.</w:t>
      </w:r>
    </w:p>
    <w:p w14:paraId="393E0E03" w14:textId="21651E60" w:rsidR="00357756" w:rsidRPr="002C0E44" w:rsidRDefault="00BB4B5D" w:rsidP="002C0E44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E44">
        <w:rPr>
          <w:rFonts w:ascii="Times New Roman" w:hAnsi="Times New Roman" w:cs="Times New Roman"/>
          <w:sz w:val="24"/>
          <w:szCs w:val="24"/>
        </w:rPr>
        <w:t xml:space="preserve">Powyższe informacje dotyczą całej działalności jednostki samodzielnej lub jednostki dominującej najwyższego szczebla, w tym działalności wszystkich jednostek </w:t>
      </w:r>
      <w:r w:rsidR="00E27DF8" w:rsidRPr="002C0E44">
        <w:rPr>
          <w:rFonts w:ascii="Times New Roman" w:hAnsi="Times New Roman" w:cs="Times New Roman"/>
          <w:sz w:val="24"/>
          <w:szCs w:val="24"/>
        </w:rPr>
        <w:t>zależnych</w:t>
      </w:r>
      <w:r w:rsidRPr="002C0E44">
        <w:rPr>
          <w:rFonts w:ascii="Times New Roman" w:hAnsi="Times New Roman" w:cs="Times New Roman"/>
          <w:sz w:val="24"/>
          <w:szCs w:val="24"/>
        </w:rPr>
        <w:t xml:space="preserve"> </w:t>
      </w:r>
      <w:r w:rsidR="00A646C8" w:rsidRPr="002C0E44">
        <w:rPr>
          <w:rFonts w:ascii="Times New Roman" w:hAnsi="Times New Roman" w:cs="Times New Roman"/>
          <w:sz w:val="24"/>
          <w:szCs w:val="24"/>
        </w:rPr>
        <w:t xml:space="preserve">ujętych w </w:t>
      </w:r>
      <w:r w:rsidRPr="002C0E44">
        <w:rPr>
          <w:rFonts w:ascii="Times New Roman" w:hAnsi="Times New Roman" w:cs="Times New Roman"/>
          <w:sz w:val="24"/>
          <w:szCs w:val="24"/>
        </w:rPr>
        <w:t>skonsolidowany</w:t>
      </w:r>
      <w:r w:rsidR="00A646C8" w:rsidRPr="002C0E44">
        <w:rPr>
          <w:rFonts w:ascii="Times New Roman" w:hAnsi="Times New Roman" w:cs="Times New Roman"/>
          <w:sz w:val="24"/>
          <w:szCs w:val="24"/>
        </w:rPr>
        <w:t>m</w:t>
      </w:r>
      <w:r w:rsidRPr="002C0E44">
        <w:rPr>
          <w:rFonts w:ascii="Times New Roman" w:hAnsi="Times New Roman" w:cs="Times New Roman"/>
          <w:sz w:val="24"/>
          <w:szCs w:val="24"/>
        </w:rPr>
        <w:t xml:space="preserve"> sprawozdaniu finansowym </w:t>
      </w:r>
      <w:r w:rsidR="00A646C8" w:rsidRPr="002C0E44">
        <w:rPr>
          <w:rFonts w:ascii="Times New Roman" w:hAnsi="Times New Roman" w:cs="Times New Roman"/>
          <w:sz w:val="24"/>
          <w:szCs w:val="24"/>
        </w:rPr>
        <w:t>jednostki dominującej najwyższego szczebla za</w:t>
      </w:r>
      <w:r w:rsidRPr="002C0E44">
        <w:rPr>
          <w:rFonts w:ascii="Times New Roman" w:hAnsi="Times New Roman" w:cs="Times New Roman"/>
          <w:sz w:val="24"/>
          <w:szCs w:val="24"/>
        </w:rPr>
        <w:t xml:space="preserve"> dan</w:t>
      </w:r>
      <w:r w:rsidR="00A646C8" w:rsidRPr="002C0E44">
        <w:rPr>
          <w:rFonts w:ascii="Times New Roman" w:hAnsi="Times New Roman" w:cs="Times New Roman"/>
          <w:sz w:val="24"/>
          <w:szCs w:val="24"/>
        </w:rPr>
        <w:t>y</w:t>
      </w:r>
      <w:r w:rsidRPr="002C0E44">
        <w:rPr>
          <w:rFonts w:ascii="Times New Roman" w:hAnsi="Times New Roman" w:cs="Times New Roman"/>
          <w:sz w:val="24"/>
          <w:szCs w:val="24"/>
        </w:rPr>
        <w:t xml:space="preserve"> rok obrotow</w:t>
      </w:r>
      <w:r w:rsidR="00A646C8" w:rsidRPr="002C0E44">
        <w:rPr>
          <w:rFonts w:ascii="Times New Roman" w:hAnsi="Times New Roman" w:cs="Times New Roman"/>
          <w:sz w:val="24"/>
          <w:szCs w:val="24"/>
        </w:rPr>
        <w:t>y</w:t>
      </w:r>
      <w:r w:rsidRPr="002C0E44">
        <w:rPr>
          <w:rFonts w:ascii="Times New Roman" w:hAnsi="Times New Roman" w:cs="Times New Roman"/>
          <w:sz w:val="24"/>
          <w:szCs w:val="24"/>
        </w:rPr>
        <w:t>.</w:t>
      </w:r>
    </w:p>
    <w:p w14:paraId="43699DE0" w14:textId="66F7FD1A" w:rsidR="004B7E5A" w:rsidRPr="002C0E44" w:rsidRDefault="004B7E5A" w:rsidP="002C0E44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0E44">
        <w:rPr>
          <w:rFonts w:ascii="Times New Roman" w:hAnsi="Times New Roman" w:cs="Times New Roman"/>
          <w:b/>
          <w:sz w:val="24"/>
          <w:szCs w:val="24"/>
        </w:rPr>
        <w:t>Art. 63</w:t>
      </w:r>
      <w:r w:rsidR="00F44119" w:rsidRPr="002C0E44">
        <w:rPr>
          <w:rFonts w:ascii="Times New Roman" w:hAnsi="Times New Roman" w:cs="Times New Roman"/>
          <w:b/>
          <w:sz w:val="24"/>
          <w:szCs w:val="24"/>
        </w:rPr>
        <w:t>o</w:t>
      </w:r>
      <w:r w:rsidRPr="002C0E44">
        <w:rPr>
          <w:rFonts w:ascii="Times New Roman" w:hAnsi="Times New Roman" w:cs="Times New Roman"/>
          <w:b/>
          <w:sz w:val="24"/>
          <w:szCs w:val="24"/>
        </w:rPr>
        <w:t xml:space="preserve"> ust. 3</w:t>
      </w:r>
      <w:r w:rsidRPr="002C0E44">
        <w:rPr>
          <w:rFonts w:ascii="Times New Roman" w:hAnsi="Times New Roman" w:cs="Times New Roman"/>
          <w:sz w:val="24"/>
          <w:szCs w:val="24"/>
        </w:rPr>
        <w:t xml:space="preserve"> (implementujący art. 48c ust. 7 dyrektywy 2021/2101) wskazuje, że jednostka raportująca może także ująć w sprawozdaniu o podatku dochodowym wyjaśnienie wszelkich istotnych rozbieżności między kwotami podatku należnego a zapłaconego, z </w:t>
      </w:r>
      <w:r w:rsidRPr="002C0E44">
        <w:rPr>
          <w:rFonts w:ascii="Times New Roman" w:hAnsi="Times New Roman" w:cs="Times New Roman"/>
          <w:sz w:val="24"/>
          <w:szCs w:val="24"/>
        </w:rPr>
        <w:lastRenderedPageBreak/>
        <w:t>uwzględnieniem, w stosownych przypadkach, odpowiednich kwot dotyczących poprzednich lat obrotowych.</w:t>
      </w:r>
    </w:p>
    <w:p w14:paraId="1DB2E429" w14:textId="74E2AD87" w:rsidR="002062CF" w:rsidRPr="002C0E44" w:rsidRDefault="00657E2F" w:rsidP="002C0E44">
      <w:pPr>
        <w:spacing w:before="120"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E44">
        <w:rPr>
          <w:rFonts w:ascii="Times New Roman" w:hAnsi="Times New Roman" w:cs="Times New Roman"/>
          <w:sz w:val="24"/>
          <w:szCs w:val="24"/>
        </w:rPr>
        <w:t>Należy wskazać, że d</w:t>
      </w:r>
      <w:r w:rsidR="00DF68CF" w:rsidRPr="002C0E44">
        <w:rPr>
          <w:rFonts w:ascii="Times New Roman" w:hAnsi="Times New Roman" w:cs="Times New Roman"/>
          <w:sz w:val="24"/>
          <w:szCs w:val="24"/>
        </w:rPr>
        <w:t>yrektywa 2011/16/WE</w:t>
      </w:r>
      <w:r w:rsidRPr="002C0E44">
        <w:rPr>
          <w:rFonts w:ascii="Times New Roman" w:hAnsi="Times New Roman" w:cs="Times New Roman"/>
          <w:sz w:val="24"/>
          <w:szCs w:val="24"/>
        </w:rPr>
        <w:t>, wdrożona do prawa polskiego ustawą o wymianie informacji</w:t>
      </w:r>
      <w:r w:rsidR="009F7F35">
        <w:rPr>
          <w:rFonts w:ascii="Times New Roman" w:hAnsi="Times New Roman" w:cs="Times New Roman"/>
          <w:sz w:val="24"/>
          <w:szCs w:val="24"/>
        </w:rPr>
        <w:t>,</w:t>
      </w:r>
      <w:r w:rsidRPr="002C0E44">
        <w:rPr>
          <w:rFonts w:ascii="Times New Roman" w:hAnsi="Times New Roman" w:cs="Times New Roman"/>
          <w:sz w:val="24"/>
          <w:szCs w:val="24"/>
        </w:rPr>
        <w:t xml:space="preserve"> zawiera wymóg przekazywania do organów skarbowych analogicznych informacji jak w sprawozdaniu o podatku dochodowym. Z tego względu dyrektywa 2021/2101 </w:t>
      </w:r>
      <w:r w:rsidR="005F4C12" w:rsidRPr="002C0E44">
        <w:rPr>
          <w:rFonts w:ascii="Times New Roman" w:hAnsi="Times New Roman" w:cs="Times New Roman"/>
          <w:sz w:val="24"/>
          <w:szCs w:val="24"/>
        </w:rPr>
        <w:t xml:space="preserve">(art. 48c ust. 3) </w:t>
      </w:r>
      <w:r w:rsidRPr="002C0E44">
        <w:rPr>
          <w:rFonts w:ascii="Times New Roman" w:hAnsi="Times New Roman" w:cs="Times New Roman"/>
          <w:sz w:val="24"/>
          <w:szCs w:val="24"/>
        </w:rPr>
        <w:t>zezwala</w:t>
      </w:r>
      <w:r w:rsidR="008B72ED" w:rsidRPr="002C0E44">
        <w:rPr>
          <w:rFonts w:ascii="Times New Roman" w:hAnsi="Times New Roman" w:cs="Times New Roman"/>
          <w:sz w:val="24"/>
          <w:szCs w:val="24"/>
        </w:rPr>
        <w:t>,</w:t>
      </w:r>
      <w:r w:rsidR="008354DE" w:rsidRPr="002C0E44">
        <w:rPr>
          <w:rFonts w:ascii="Times New Roman" w:hAnsi="Times New Roman" w:cs="Times New Roman"/>
          <w:sz w:val="24"/>
          <w:szCs w:val="24"/>
        </w:rPr>
        <w:t xml:space="preserve"> </w:t>
      </w:r>
      <w:r w:rsidR="009F7F35">
        <w:rPr>
          <w:rFonts w:ascii="Times New Roman" w:hAnsi="Times New Roman" w:cs="Times New Roman"/>
          <w:sz w:val="24"/>
          <w:szCs w:val="24"/>
        </w:rPr>
        <w:t>a</w:t>
      </w:r>
      <w:r w:rsidR="008B72ED" w:rsidRPr="002C0E44">
        <w:rPr>
          <w:rFonts w:ascii="Times New Roman" w:hAnsi="Times New Roman" w:cs="Times New Roman"/>
          <w:sz w:val="24"/>
          <w:szCs w:val="24"/>
        </w:rPr>
        <w:t xml:space="preserve">by </w:t>
      </w:r>
      <w:r w:rsidRPr="002C0E44">
        <w:rPr>
          <w:rFonts w:ascii="Times New Roman" w:hAnsi="Times New Roman" w:cs="Times New Roman"/>
          <w:sz w:val="24"/>
          <w:szCs w:val="24"/>
        </w:rPr>
        <w:t>dan</w:t>
      </w:r>
      <w:r w:rsidR="008B72ED" w:rsidRPr="002C0E44">
        <w:rPr>
          <w:rFonts w:ascii="Times New Roman" w:hAnsi="Times New Roman" w:cs="Times New Roman"/>
          <w:sz w:val="24"/>
          <w:szCs w:val="24"/>
        </w:rPr>
        <w:t>e były przedstawiane</w:t>
      </w:r>
      <w:r w:rsidRPr="002C0E44">
        <w:rPr>
          <w:rFonts w:ascii="Times New Roman" w:hAnsi="Times New Roman" w:cs="Times New Roman"/>
          <w:sz w:val="24"/>
          <w:szCs w:val="24"/>
        </w:rPr>
        <w:t xml:space="preserve"> w oparciu o</w:t>
      </w:r>
      <w:r w:rsidR="005F4C12" w:rsidRPr="002C0E44">
        <w:rPr>
          <w:rFonts w:ascii="Times New Roman" w:hAnsi="Times New Roman" w:cs="Times New Roman"/>
          <w:sz w:val="24"/>
          <w:szCs w:val="24"/>
        </w:rPr>
        <w:t xml:space="preserve"> przepisy dyrektywy 2011/16/WE. W konsekwencji w </w:t>
      </w:r>
      <w:r w:rsidR="005F4C12" w:rsidRPr="002C0E44">
        <w:rPr>
          <w:rFonts w:ascii="Times New Roman" w:hAnsi="Times New Roman" w:cs="Times New Roman"/>
          <w:b/>
          <w:sz w:val="24"/>
          <w:szCs w:val="24"/>
        </w:rPr>
        <w:t>a</w:t>
      </w:r>
      <w:r w:rsidR="00BB4B5D" w:rsidRPr="002C0E44">
        <w:rPr>
          <w:rFonts w:ascii="Times New Roman" w:hAnsi="Times New Roman" w:cs="Times New Roman"/>
          <w:b/>
          <w:sz w:val="24"/>
          <w:szCs w:val="24"/>
        </w:rPr>
        <w:t>rt.</w:t>
      </w:r>
      <w:r w:rsidR="00F525E7" w:rsidRPr="002C0E44">
        <w:rPr>
          <w:rFonts w:ascii="Times New Roman" w:hAnsi="Times New Roman" w:cs="Times New Roman"/>
          <w:b/>
          <w:sz w:val="24"/>
          <w:szCs w:val="24"/>
        </w:rPr>
        <w:t xml:space="preserve"> 63</w:t>
      </w:r>
      <w:r w:rsidR="00F44119" w:rsidRPr="002C0E44">
        <w:rPr>
          <w:rFonts w:ascii="Times New Roman" w:hAnsi="Times New Roman" w:cs="Times New Roman"/>
          <w:b/>
          <w:sz w:val="24"/>
          <w:szCs w:val="24"/>
        </w:rPr>
        <w:t>o</w:t>
      </w:r>
      <w:r w:rsidR="00BB4B5D" w:rsidRPr="002C0E44">
        <w:rPr>
          <w:rFonts w:ascii="Times New Roman" w:hAnsi="Times New Roman" w:cs="Times New Roman"/>
          <w:b/>
          <w:sz w:val="24"/>
          <w:szCs w:val="24"/>
        </w:rPr>
        <w:t xml:space="preserve"> ust. </w:t>
      </w:r>
      <w:r w:rsidR="004B7E5A" w:rsidRPr="002C0E44">
        <w:rPr>
          <w:rFonts w:ascii="Times New Roman" w:hAnsi="Times New Roman" w:cs="Times New Roman"/>
          <w:b/>
          <w:sz w:val="24"/>
          <w:szCs w:val="24"/>
        </w:rPr>
        <w:t>4</w:t>
      </w:r>
      <w:r w:rsidR="002062CF" w:rsidRPr="002C0E44">
        <w:rPr>
          <w:rFonts w:ascii="Times New Roman" w:hAnsi="Times New Roman" w:cs="Times New Roman"/>
          <w:sz w:val="24"/>
          <w:szCs w:val="24"/>
        </w:rPr>
        <w:t xml:space="preserve"> przewid</w:t>
      </w:r>
      <w:r w:rsidR="005F4C12" w:rsidRPr="002C0E44">
        <w:rPr>
          <w:rFonts w:ascii="Times New Roman" w:hAnsi="Times New Roman" w:cs="Times New Roman"/>
          <w:sz w:val="24"/>
          <w:szCs w:val="24"/>
        </w:rPr>
        <w:t>ziano</w:t>
      </w:r>
      <w:r w:rsidR="002062CF" w:rsidRPr="002C0E44">
        <w:rPr>
          <w:rFonts w:ascii="Times New Roman" w:hAnsi="Times New Roman" w:cs="Times New Roman"/>
          <w:sz w:val="24"/>
          <w:szCs w:val="24"/>
        </w:rPr>
        <w:t xml:space="preserve"> możliwość pr</w:t>
      </w:r>
      <w:r w:rsidR="008B72ED" w:rsidRPr="002C0E44">
        <w:rPr>
          <w:rFonts w:ascii="Times New Roman" w:hAnsi="Times New Roman" w:cs="Times New Roman"/>
          <w:sz w:val="24"/>
          <w:szCs w:val="24"/>
        </w:rPr>
        <w:t>zestawiania</w:t>
      </w:r>
      <w:r w:rsidR="002062CF" w:rsidRPr="002C0E44">
        <w:rPr>
          <w:rFonts w:ascii="Times New Roman" w:hAnsi="Times New Roman" w:cs="Times New Roman"/>
          <w:sz w:val="24"/>
          <w:szCs w:val="24"/>
        </w:rPr>
        <w:t xml:space="preserve"> danych</w:t>
      </w:r>
      <w:r w:rsidR="002C0E44">
        <w:rPr>
          <w:rFonts w:ascii="Times New Roman" w:hAnsi="Times New Roman" w:cs="Times New Roman"/>
          <w:sz w:val="24"/>
          <w:szCs w:val="24"/>
        </w:rPr>
        <w:t xml:space="preserve"> </w:t>
      </w:r>
      <w:r w:rsidR="002062CF" w:rsidRPr="002C0E44">
        <w:rPr>
          <w:rFonts w:ascii="Times New Roman" w:hAnsi="Times New Roman" w:cs="Times New Roman"/>
          <w:sz w:val="24"/>
          <w:szCs w:val="24"/>
        </w:rPr>
        <w:t>w sprawozdaniu o podatk</w:t>
      </w:r>
      <w:r w:rsidR="00F525E7" w:rsidRPr="002C0E44">
        <w:rPr>
          <w:rFonts w:ascii="Times New Roman" w:hAnsi="Times New Roman" w:cs="Times New Roman"/>
          <w:sz w:val="24"/>
          <w:szCs w:val="24"/>
        </w:rPr>
        <w:t xml:space="preserve">u dochodowym </w:t>
      </w:r>
      <w:r w:rsidR="008B72ED" w:rsidRPr="002C0E44">
        <w:rPr>
          <w:rFonts w:ascii="Times New Roman" w:hAnsi="Times New Roman" w:cs="Times New Roman"/>
          <w:sz w:val="24"/>
          <w:szCs w:val="24"/>
        </w:rPr>
        <w:t>w sposób określony w</w:t>
      </w:r>
      <w:r w:rsidR="002062CF" w:rsidRPr="002C0E44">
        <w:rPr>
          <w:rFonts w:ascii="Times New Roman" w:hAnsi="Times New Roman" w:cs="Times New Roman"/>
          <w:sz w:val="24"/>
          <w:szCs w:val="24"/>
        </w:rPr>
        <w:t xml:space="preserve"> </w:t>
      </w:r>
      <w:r w:rsidR="005F4C12" w:rsidRPr="002C0E44">
        <w:rPr>
          <w:rFonts w:ascii="Times New Roman" w:hAnsi="Times New Roman" w:cs="Times New Roman"/>
          <w:sz w:val="24"/>
          <w:szCs w:val="24"/>
        </w:rPr>
        <w:t>przepis</w:t>
      </w:r>
      <w:r w:rsidR="008B72ED" w:rsidRPr="002C0E44">
        <w:rPr>
          <w:rFonts w:ascii="Times New Roman" w:hAnsi="Times New Roman" w:cs="Times New Roman"/>
          <w:sz w:val="24"/>
          <w:szCs w:val="24"/>
        </w:rPr>
        <w:t>ach</w:t>
      </w:r>
      <w:r w:rsidR="00616E42" w:rsidRPr="002C0E44">
        <w:rPr>
          <w:rFonts w:ascii="Times New Roman" w:hAnsi="Times New Roman" w:cs="Times New Roman"/>
          <w:sz w:val="24"/>
          <w:szCs w:val="24"/>
        </w:rPr>
        <w:t xml:space="preserve"> wydanych na podstawie delegacji zawartej w art. 87 ust. 2 ustawy z dnia 9 marca 2017 r. o wymianie informacji podatkowych z innymi państwami (tj.</w:t>
      </w:r>
      <w:r w:rsidR="005F4C12" w:rsidRPr="002C0E44">
        <w:rPr>
          <w:rFonts w:ascii="Times New Roman" w:hAnsi="Times New Roman" w:cs="Times New Roman"/>
          <w:sz w:val="24"/>
          <w:szCs w:val="24"/>
        </w:rPr>
        <w:t xml:space="preserve"> </w:t>
      </w:r>
      <w:r w:rsidR="002062CF" w:rsidRPr="002C0E44">
        <w:rPr>
          <w:rFonts w:ascii="Times New Roman" w:hAnsi="Times New Roman" w:cs="Times New Roman"/>
          <w:sz w:val="24"/>
          <w:szCs w:val="24"/>
        </w:rPr>
        <w:t>rozporządzenia Ministra Rozwoju i Finansów z dnia 13 czerwca 2017 r. w sprawie szczegółowego zakresu danych przekazywanych w informacji o grupie podmiotów oraz sposobu jej wypełniania</w:t>
      </w:r>
      <w:r w:rsidR="00893174" w:rsidRPr="002C0E44">
        <w:rPr>
          <w:rFonts w:ascii="Times New Roman" w:hAnsi="Times New Roman" w:cs="Times New Roman"/>
          <w:sz w:val="24"/>
          <w:szCs w:val="24"/>
        </w:rPr>
        <w:t xml:space="preserve"> (Dz. U. z 2019 r. poz. 1339)</w:t>
      </w:r>
      <w:r w:rsidR="002062CF" w:rsidRPr="002C0E44">
        <w:rPr>
          <w:rFonts w:ascii="Times New Roman" w:hAnsi="Times New Roman" w:cs="Times New Roman"/>
          <w:sz w:val="24"/>
          <w:szCs w:val="24"/>
        </w:rPr>
        <w:t xml:space="preserve">). </w:t>
      </w:r>
      <w:r w:rsidR="005F4C12" w:rsidRPr="002C0E44">
        <w:rPr>
          <w:rFonts w:ascii="Times New Roman" w:hAnsi="Times New Roman" w:cs="Times New Roman"/>
          <w:sz w:val="24"/>
          <w:szCs w:val="24"/>
        </w:rPr>
        <w:t>Zatem j</w:t>
      </w:r>
      <w:r w:rsidR="00F525E7" w:rsidRPr="002C0E44">
        <w:rPr>
          <w:rFonts w:ascii="Times New Roman" w:hAnsi="Times New Roman" w:cs="Times New Roman"/>
          <w:sz w:val="24"/>
          <w:szCs w:val="24"/>
        </w:rPr>
        <w:t xml:space="preserve">ednostka </w:t>
      </w:r>
      <w:r w:rsidR="005F4C12" w:rsidRPr="002C0E44">
        <w:rPr>
          <w:rFonts w:ascii="Times New Roman" w:hAnsi="Times New Roman" w:cs="Times New Roman"/>
          <w:sz w:val="24"/>
          <w:szCs w:val="24"/>
        </w:rPr>
        <w:t xml:space="preserve">będzie </w:t>
      </w:r>
      <w:r w:rsidR="00F525E7" w:rsidRPr="002C0E44">
        <w:rPr>
          <w:rFonts w:ascii="Times New Roman" w:hAnsi="Times New Roman" w:cs="Times New Roman"/>
          <w:sz w:val="24"/>
          <w:szCs w:val="24"/>
        </w:rPr>
        <w:t>mo</w:t>
      </w:r>
      <w:r w:rsidR="005F4C12" w:rsidRPr="002C0E44">
        <w:rPr>
          <w:rFonts w:ascii="Times New Roman" w:hAnsi="Times New Roman" w:cs="Times New Roman"/>
          <w:sz w:val="24"/>
          <w:szCs w:val="24"/>
        </w:rPr>
        <w:t>gła</w:t>
      </w:r>
      <w:r w:rsidR="00F525E7" w:rsidRPr="002C0E44">
        <w:rPr>
          <w:rFonts w:ascii="Times New Roman" w:hAnsi="Times New Roman" w:cs="Times New Roman"/>
          <w:sz w:val="24"/>
          <w:szCs w:val="24"/>
        </w:rPr>
        <w:t xml:space="preserve"> zaprezentować dane w sprawozdaniu o podatku dochodowym </w:t>
      </w:r>
      <w:r w:rsidR="00A540D8" w:rsidRPr="002C0E44">
        <w:rPr>
          <w:rFonts w:ascii="Times New Roman" w:hAnsi="Times New Roman" w:cs="Times New Roman"/>
          <w:sz w:val="24"/>
          <w:szCs w:val="24"/>
        </w:rPr>
        <w:t>zgodnie</w:t>
      </w:r>
      <w:r w:rsidR="00F525E7" w:rsidRPr="002C0E44">
        <w:rPr>
          <w:rFonts w:ascii="Times New Roman" w:hAnsi="Times New Roman" w:cs="Times New Roman"/>
          <w:sz w:val="24"/>
          <w:szCs w:val="24"/>
        </w:rPr>
        <w:t xml:space="preserve"> z ust. 2 bądź </w:t>
      </w:r>
      <w:r w:rsidR="007B660B" w:rsidRPr="002C0E44">
        <w:rPr>
          <w:rFonts w:ascii="Times New Roman" w:hAnsi="Times New Roman" w:cs="Times New Roman"/>
          <w:sz w:val="24"/>
          <w:szCs w:val="24"/>
        </w:rPr>
        <w:t xml:space="preserve">zgodnie </w:t>
      </w:r>
      <w:r w:rsidR="00F525E7" w:rsidRPr="002C0E44">
        <w:rPr>
          <w:rFonts w:ascii="Times New Roman" w:hAnsi="Times New Roman" w:cs="Times New Roman"/>
          <w:sz w:val="24"/>
          <w:szCs w:val="24"/>
        </w:rPr>
        <w:t xml:space="preserve">z ust. </w:t>
      </w:r>
      <w:r w:rsidR="005F4C12" w:rsidRPr="002C0E44">
        <w:rPr>
          <w:rFonts w:ascii="Times New Roman" w:hAnsi="Times New Roman" w:cs="Times New Roman"/>
          <w:sz w:val="24"/>
          <w:szCs w:val="24"/>
        </w:rPr>
        <w:t>4</w:t>
      </w:r>
      <w:r w:rsidR="00F525E7" w:rsidRPr="002C0E44">
        <w:rPr>
          <w:rFonts w:ascii="Times New Roman" w:hAnsi="Times New Roman" w:cs="Times New Roman"/>
          <w:sz w:val="24"/>
          <w:szCs w:val="24"/>
        </w:rPr>
        <w:t xml:space="preserve"> </w:t>
      </w:r>
      <w:r w:rsidR="002F21F9" w:rsidRPr="002C0E44">
        <w:rPr>
          <w:rFonts w:ascii="Times New Roman" w:hAnsi="Times New Roman" w:cs="Times New Roman"/>
          <w:sz w:val="24"/>
          <w:szCs w:val="24"/>
        </w:rPr>
        <w:t>art.</w:t>
      </w:r>
      <w:r w:rsidR="00F525E7" w:rsidRPr="002C0E44">
        <w:rPr>
          <w:rFonts w:ascii="Times New Roman" w:hAnsi="Times New Roman" w:cs="Times New Roman"/>
          <w:sz w:val="24"/>
          <w:szCs w:val="24"/>
        </w:rPr>
        <w:t xml:space="preserve"> 63</w:t>
      </w:r>
      <w:r w:rsidR="003A6F10" w:rsidRPr="002C0E44">
        <w:rPr>
          <w:rFonts w:ascii="Times New Roman" w:hAnsi="Times New Roman" w:cs="Times New Roman"/>
          <w:sz w:val="24"/>
          <w:szCs w:val="24"/>
        </w:rPr>
        <w:t>o</w:t>
      </w:r>
      <w:r w:rsidR="007B660B" w:rsidRPr="002C0E44">
        <w:rPr>
          <w:rFonts w:ascii="Times New Roman" w:hAnsi="Times New Roman" w:cs="Times New Roman"/>
          <w:sz w:val="24"/>
          <w:szCs w:val="24"/>
        </w:rPr>
        <w:t xml:space="preserve"> ustawy</w:t>
      </w:r>
      <w:r w:rsidR="00F525E7" w:rsidRPr="002C0E44">
        <w:rPr>
          <w:rFonts w:ascii="Times New Roman" w:hAnsi="Times New Roman" w:cs="Times New Roman"/>
          <w:sz w:val="24"/>
          <w:szCs w:val="24"/>
        </w:rPr>
        <w:t xml:space="preserve">. O dokonanym wyborze </w:t>
      </w:r>
      <w:r w:rsidR="007B660B" w:rsidRPr="002C0E44">
        <w:rPr>
          <w:rFonts w:ascii="Times New Roman" w:hAnsi="Times New Roman" w:cs="Times New Roman"/>
          <w:sz w:val="24"/>
          <w:szCs w:val="24"/>
        </w:rPr>
        <w:t xml:space="preserve">jednostka </w:t>
      </w:r>
      <w:r w:rsidR="00F525E7" w:rsidRPr="002C0E44">
        <w:rPr>
          <w:rFonts w:ascii="Times New Roman" w:hAnsi="Times New Roman" w:cs="Times New Roman"/>
          <w:sz w:val="24"/>
          <w:szCs w:val="24"/>
        </w:rPr>
        <w:t>informuje w sprawozdaniu o podatku dochodowym.</w:t>
      </w:r>
    </w:p>
    <w:p w14:paraId="5DEA5C54" w14:textId="3E38C8EA" w:rsidR="00266639" w:rsidRPr="002C0E44" w:rsidRDefault="00266639" w:rsidP="002C0E44">
      <w:pPr>
        <w:spacing w:before="120"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E44">
        <w:rPr>
          <w:rFonts w:ascii="Times New Roman" w:hAnsi="Times New Roman" w:cs="Times New Roman"/>
          <w:b/>
          <w:sz w:val="24"/>
          <w:szCs w:val="24"/>
        </w:rPr>
        <w:t>Art. 63</w:t>
      </w:r>
      <w:r w:rsidR="00033DF8" w:rsidRPr="002C0E44">
        <w:rPr>
          <w:rFonts w:ascii="Times New Roman" w:hAnsi="Times New Roman" w:cs="Times New Roman"/>
          <w:b/>
          <w:sz w:val="24"/>
          <w:szCs w:val="24"/>
        </w:rPr>
        <w:t>o</w:t>
      </w:r>
      <w:r w:rsidRPr="002C0E44">
        <w:rPr>
          <w:rFonts w:ascii="Times New Roman" w:hAnsi="Times New Roman" w:cs="Times New Roman"/>
          <w:b/>
          <w:sz w:val="24"/>
          <w:szCs w:val="24"/>
        </w:rPr>
        <w:t xml:space="preserve"> w ust. </w:t>
      </w:r>
      <w:r w:rsidR="005F4C12" w:rsidRPr="002C0E44">
        <w:rPr>
          <w:rFonts w:ascii="Times New Roman" w:hAnsi="Times New Roman" w:cs="Times New Roman"/>
          <w:b/>
          <w:sz w:val="24"/>
          <w:szCs w:val="24"/>
        </w:rPr>
        <w:t>5</w:t>
      </w:r>
      <w:r w:rsidRPr="002C0E44">
        <w:rPr>
          <w:rFonts w:ascii="Times New Roman" w:hAnsi="Times New Roman" w:cs="Times New Roman"/>
          <w:sz w:val="24"/>
          <w:szCs w:val="24"/>
        </w:rPr>
        <w:t xml:space="preserve"> </w:t>
      </w:r>
      <w:r w:rsidR="00C5523B" w:rsidRPr="002C0E44">
        <w:rPr>
          <w:rFonts w:ascii="Times New Roman" w:hAnsi="Times New Roman" w:cs="Times New Roman"/>
          <w:sz w:val="24"/>
          <w:szCs w:val="24"/>
        </w:rPr>
        <w:t xml:space="preserve">(na podstawie art. 48c ust. 4 dyrektywy 2021/2101) </w:t>
      </w:r>
      <w:r w:rsidR="00357756" w:rsidRPr="002C0E44">
        <w:rPr>
          <w:rFonts w:ascii="Times New Roman" w:hAnsi="Times New Roman" w:cs="Times New Roman"/>
          <w:sz w:val="24"/>
          <w:szCs w:val="24"/>
        </w:rPr>
        <w:t>określa</w:t>
      </w:r>
      <w:r w:rsidR="00C5523B" w:rsidRPr="002C0E44">
        <w:rPr>
          <w:rFonts w:ascii="Times New Roman" w:hAnsi="Times New Roman" w:cs="Times New Roman"/>
          <w:sz w:val="24"/>
          <w:szCs w:val="24"/>
        </w:rPr>
        <w:t xml:space="preserve"> obowiązek sporządzenia sprawozdania o podatku dochodowym według</w:t>
      </w:r>
      <w:r w:rsidR="00357756" w:rsidRPr="002C0E44">
        <w:rPr>
          <w:rFonts w:ascii="Times New Roman" w:hAnsi="Times New Roman" w:cs="Times New Roman"/>
          <w:sz w:val="24"/>
          <w:szCs w:val="24"/>
        </w:rPr>
        <w:t xml:space="preserve"> </w:t>
      </w:r>
      <w:r w:rsidR="00C5523B" w:rsidRPr="002C0E44">
        <w:rPr>
          <w:rFonts w:ascii="Times New Roman" w:hAnsi="Times New Roman" w:cs="Times New Roman"/>
          <w:sz w:val="24"/>
          <w:szCs w:val="24"/>
        </w:rPr>
        <w:t xml:space="preserve">wspólnego </w:t>
      </w:r>
      <w:r w:rsidRPr="002C0E44">
        <w:rPr>
          <w:rFonts w:ascii="Times New Roman" w:hAnsi="Times New Roman" w:cs="Times New Roman"/>
          <w:sz w:val="24"/>
          <w:szCs w:val="24"/>
        </w:rPr>
        <w:t>wz</w:t>
      </w:r>
      <w:r w:rsidR="00C5523B" w:rsidRPr="002C0E44">
        <w:rPr>
          <w:rFonts w:ascii="Times New Roman" w:hAnsi="Times New Roman" w:cs="Times New Roman"/>
          <w:sz w:val="24"/>
          <w:szCs w:val="24"/>
        </w:rPr>
        <w:t>oru</w:t>
      </w:r>
      <w:r w:rsidRPr="002C0E44">
        <w:rPr>
          <w:rFonts w:ascii="Times New Roman" w:hAnsi="Times New Roman" w:cs="Times New Roman"/>
          <w:sz w:val="24"/>
          <w:szCs w:val="24"/>
        </w:rPr>
        <w:t xml:space="preserve"> </w:t>
      </w:r>
      <w:r w:rsidR="00357756" w:rsidRPr="002C0E44">
        <w:rPr>
          <w:rFonts w:ascii="Times New Roman" w:hAnsi="Times New Roman" w:cs="Times New Roman"/>
          <w:sz w:val="24"/>
          <w:szCs w:val="24"/>
        </w:rPr>
        <w:t>i</w:t>
      </w:r>
      <w:r w:rsidR="00C5523B" w:rsidRPr="002C0E44">
        <w:rPr>
          <w:rFonts w:ascii="Times New Roman" w:hAnsi="Times New Roman" w:cs="Times New Roman"/>
          <w:sz w:val="24"/>
          <w:szCs w:val="24"/>
        </w:rPr>
        <w:t xml:space="preserve"> elektronicznego</w:t>
      </w:r>
      <w:r w:rsidR="00357756" w:rsidRPr="002C0E44">
        <w:rPr>
          <w:rFonts w:ascii="Times New Roman" w:hAnsi="Times New Roman" w:cs="Times New Roman"/>
          <w:sz w:val="24"/>
          <w:szCs w:val="24"/>
        </w:rPr>
        <w:t xml:space="preserve"> format</w:t>
      </w:r>
      <w:r w:rsidR="00C5523B" w:rsidRPr="002C0E44">
        <w:rPr>
          <w:rFonts w:ascii="Times New Roman" w:hAnsi="Times New Roman" w:cs="Times New Roman"/>
          <w:sz w:val="24"/>
          <w:szCs w:val="24"/>
        </w:rPr>
        <w:t>u, które zostaną określone przez Komisję Europejską</w:t>
      </w:r>
      <w:r w:rsidR="008B72ED" w:rsidRPr="002C0E44">
        <w:rPr>
          <w:rFonts w:ascii="Times New Roman" w:hAnsi="Times New Roman" w:cs="Times New Roman"/>
          <w:sz w:val="24"/>
          <w:szCs w:val="24"/>
        </w:rPr>
        <w:t xml:space="preserve"> w drodze aktu wykonawczego</w:t>
      </w:r>
      <w:r w:rsidRPr="002C0E44">
        <w:rPr>
          <w:rFonts w:ascii="Times New Roman" w:hAnsi="Times New Roman" w:cs="Times New Roman"/>
          <w:sz w:val="24"/>
          <w:szCs w:val="24"/>
        </w:rPr>
        <w:t>.</w:t>
      </w:r>
    </w:p>
    <w:p w14:paraId="714E6E33" w14:textId="3CEC70CD" w:rsidR="005E6711" w:rsidRPr="002C0E44" w:rsidRDefault="00266639" w:rsidP="002C0E44">
      <w:pPr>
        <w:spacing w:before="120"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E44">
        <w:rPr>
          <w:rFonts w:ascii="Times New Roman" w:hAnsi="Times New Roman" w:cs="Times New Roman"/>
          <w:b/>
          <w:sz w:val="24"/>
          <w:szCs w:val="24"/>
        </w:rPr>
        <w:t>Art. 63</w:t>
      </w:r>
      <w:r w:rsidR="00033DF8" w:rsidRPr="002C0E44">
        <w:rPr>
          <w:rFonts w:ascii="Times New Roman" w:hAnsi="Times New Roman" w:cs="Times New Roman"/>
          <w:b/>
          <w:sz w:val="24"/>
          <w:szCs w:val="24"/>
        </w:rPr>
        <w:t>o</w:t>
      </w:r>
      <w:r w:rsidRPr="002C0E44">
        <w:rPr>
          <w:rFonts w:ascii="Times New Roman" w:hAnsi="Times New Roman" w:cs="Times New Roman"/>
          <w:b/>
          <w:sz w:val="24"/>
          <w:szCs w:val="24"/>
        </w:rPr>
        <w:t xml:space="preserve"> ust. </w:t>
      </w:r>
      <w:r w:rsidR="00A8484A" w:rsidRPr="002C0E44">
        <w:rPr>
          <w:rFonts w:ascii="Times New Roman" w:hAnsi="Times New Roman" w:cs="Times New Roman"/>
          <w:b/>
          <w:sz w:val="24"/>
          <w:szCs w:val="24"/>
        </w:rPr>
        <w:t>6</w:t>
      </w:r>
      <w:r w:rsidR="00033DF8" w:rsidRPr="002C0E44">
        <w:rPr>
          <w:rFonts w:ascii="Times New Roman" w:hAnsi="Times New Roman" w:cs="Times New Roman"/>
          <w:b/>
          <w:sz w:val="24"/>
          <w:szCs w:val="24"/>
        </w:rPr>
        <w:t>-1</w:t>
      </w:r>
      <w:r w:rsidR="008B72ED" w:rsidRPr="002C0E44">
        <w:rPr>
          <w:rFonts w:ascii="Times New Roman" w:hAnsi="Times New Roman" w:cs="Times New Roman"/>
          <w:b/>
          <w:sz w:val="24"/>
          <w:szCs w:val="24"/>
        </w:rPr>
        <w:t>1</w:t>
      </w:r>
      <w:r w:rsidRPr="002C0E44">
        <w:rPr>
          <w:rFonts w:ascii="Times New Roman" w:hAnsi="Times New Roman" w:cs="Times New Roman"/>
          <w:sz w:val="24"/>
          <w:szCs w:val="24"/>
        </w:rPr>
        <w:t xml:space="preserve"> </w:t>
      </w:r>
      <w:r w:rsidR="00280258" w:rsidRPr="002C0E44">
        <w:rPr>
          <w:rFonts w:ascii="Times New Roman" w:hAnsi="Times New Roman" w:cs="Times New Roman"/>
          <w:sz w:val="24"/>
          <w:szCs w:val="24"/>
        </w:rPr>
        <w:t xml:space="preserve">(w ślad za art. 48c ust. 5 dyrektywy 2021/2101) </w:t>
      </w:r>
      <w:r w:rsidR="001D0202" w:rsidRPr="002C0E44">
        <w:rPr>
          <w:rFonts w:ascii="Times New Roman" w:hAnsi="Times New Roman" w:cs="Times New Roman"/>
          <w:sz w:val="24"/>
          <w:szCs w:val="24"/>
        </w:rPr>
        <w:t>doprecyzowuj</w:t>
      </w:r>
      <w:r w:rsidR="002834F5">
        <w:rPr>
          <w:rFonts w:ascii="Times New Roman" w:hAnsi="Times New Roman" w:cs="Times New Roman"/>
          <w:sz w:val="24"/>
          <w:szCs w:val="24"/>
        </w:rPr>
        <w:t>ą</w:t>
      </w:r>
      <w:r w:rsidR="001D0202" w:rsidRPr="002C0E44">
        <w:rPr>
          <w:rFonts w:ascii="Times New Roman" w:hAnsi="Times New Roman" w:cs="Times New Roman"/>
          <w:sz w:val="24"/>
          <w:szCs w:val="24"/>
        </w:rPr>
        <w:t xml:space="preserve"> </w:t>
      </w:r>
      <w:r w:rsidR="00A540D8" w:rsidRPr="002C0E44">
        <w:rPr>
          <w:rFonts w:ascii="Times New Roman" w:hAnsi="Times New Roman" w:cs="Times New Roman"/>
          <w:sz w:val="24"/>
          <w:szCs w:val="24"/>
        </w:rPr>
        <w:t>sposób, w jaki</w:t>
      </w:r>
      <w:r w:rsidR="001D0202" w:rsidRPr="002C0E44">
        <w:rPr>
          <w:rFonts w:ascii="Times New Roman" w:hAnsi="Times New Roman" w:cs="Times New Roman"/>
          <w:sz w:val="24"/>
          <w:szCs w:val="24"/>
        </w:rPr>
        <w:t xml:space="preserve"> powinny być zaprezentowane dane w sprawozdaniu o podatku dochodowym</w:t>
      </w:r>
      <w:r w:rsidR="00280258" w:rsidRPr="002C0E44">
        <w:rPr>
          <w:rFonts w:ascii="Times New Roman" w:hAnsi="Times New Roman" w:cs="Times New Roman"/>
          <w:sz w:val="24"/>
          <w:szCs w:val="24"/>
        </w:rPr>
        <w:t>.</w:t>
      </w:r>
      <w:r w:rsidR="001D0202" w:rsidRPr="002C0E44">
        <w:rPr>
          <w:rFonts w:ascii="Times New Roman" w:hAnsi="Times New Roman" w:cs="Times New Roman"/>
          <w:sz w:val="24"/>
          <w:szCs w:val="24"/>
        </w:rPr>
        <w:t xml:space="preserve"> </w:t>
      </w:r>
      <w:r w:rsidR="00280258" w:rsidRPr="002C0E44">
        <w:rPr>
          <w:rFonts w:ascii="Times New Roman" w:hAnsi="Times New Roman" w:cs="Times New Roman"/>
          <w:sz w:val="24"/>
          <w:szCs w:val="24"/>
        </w:rPr>
        <w:t>I</w:t>
      </w:r>
      <w:r w:rsidR="00A540D8" w:rsidRPr="002C0E44">
        <w:rPr>
          <w:rFonts w:ascii="Times New Roman" w:hAnsi="Times New Roman" w:cs="Times New Roman"/>
          <w:sz w:val="24"/>
          <w:szCs w:val="24"/>
        </w:rPr>
        <w:t>nformacje</w:t>
      </w:r>
      <w:r w:rsidR="00280258" w:rsidRPr="002C0E44">
        <w:rPr>
          <w:rFonts w:ascii="Times New Roman" w:hAnsi="Times New Roman" w:cs="Times New Roman"/>
          <w:sz w:val="24"/>
          <w:szCs w:val="24"/>
        </w:rPr>
        <w:t xml:space="preserve"> te</w:t>
      </w:r>
      <w:r w:rsidR="001D0202" w:rsidRPr="002C0E44">
        <w:rPr>
          <w:rFonts w:ascii="Times New Roman" w:hAnsi="Times New Roman" w:cs="Times New Roman"/>
          <w:sz w:val="24"/>
          <w:szCs w:val="24"/>
        </w:rPr>
        <w:t xml:space="preserve"> </w:t>
      </w:r>
      <w:r w:rsidR="00280258" w:rsidRPr="002C0E44">
        <w:rPr>
          <w:rFonts w:ascii="Times New Roman" w:hAnsi="Times New Roman" w:cs="Times New Roman"/>
          <w:sz w:val="24"/>
          <w:szCs w:val="24"/>
        </w:rPr>
        <w:t>należy za</w:t>
      </w:r>
      <w:r w:rsidR="001D0202" w:rsidRPr="002C0E44">
        <w:rPr>
          <w:rFonts w:ascii="Times New Roman" w:hAnsi="Times New Roman" w:cs="Times New Roman"/>
          <w:sz w:val="24"/>
          <w:szCs w:val="24"/>
        </w:rPr>
        <w:t>prezent</w:t>
      </w:r>
      <w:r w:rsidR="00280258" w:rsidRPr="002C0E44">
        <w:rPr>
          <w:rFonts w:ascii="Times New Roman" w:hAnsi="Times New Roman" w:cs="Times New Roman"/>
          <w:sz w:val="24"/>
          <w:szCs w:val="24"/>
        </w:rPr>
        <w:t>ować</w:t>
      </w:r>
      <w:r w:rsidR="001D0202" w:rsidRPr="002C0E44">
        <w:rPr>
          <w:rFonts w:ascii="Times New Roman" w:hAnsi="Times New Roman" w:cs="Times New Roman"/>
          <w:sz w:val="24"/>
          <w:szCs w:val="24"/>
        </w:rPr>
        <w:t xml:space="preserve"> odrębnie</w:t>
      </w:r>
      <w:r w:rsidR="00280258" w:rsidRPr="002C0E44">
        <w:rPr>
          <w:rFonts w:ascii="Times New Roman" w:hAnsi="Times New Roman" w:cs="Times New Roman"/>
          <w:sz w:val="24"/>
          <w:szCs w:val="24"/>
        </w:rPr>
        <w:t>:</w:t>
      </w:r>
      <w:r w:rsidR="001D0202" w:rsidRPr="002C0E44">
        <w:rPr>
          <w:rFonts w:ascii="Times New Roman" w:hAnsi="Times New Roman" w:cs="Times New Roman"/>
          <w:sz w:val="24"/>
          <w:szCs w:val="24"/>
        </w:rPr>
        <w:t xml:space="preserve"> dla każdego państwa </w:t>
      </w:r>
      <w:r w:rsidR="008B72ED" w:rsidRPr="002C0E44">
        <w:rPr>
          <w:rFonts w:ascii="Times New Roman" w:hAnsi="Times New Roman" w:cs="Times New Roman"/>
          <w:sz w:val="24"/>
          <w:szCs w:val="24"/>
        </w:rPr>
        <w:t>EOG</w:t>
      </w:r>
      <w:r w:rsidR="00091726" w:rsidRPr="002C0E44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6"/>
      </w:r>
      <w:r w:rsidR="001D0202" w:rsidRPr="002C0E44">
        <w:rPr>
          <w:rFonts w:ascii="Times New Roman" w:hAnsi="Times New Roman" w:cs="Times New Roman"/>
          <w:sz w:val="24"/>
          <w:szCs w:val="24"/>
        </w:rPr>
        <w:t xml:space="preserve">, dla każdej jurysdykcji podatkowej, która </w:t>
      </w:r>
      <w:r w:rsidR="00D26CD1" w:rsidRPr="002C0E44">
        <w:rPr>
          <w:rFonts w:ascii="Times New Roman" w:hAnsi="Times New Roman" w:cs="Times New Roman"/>
          <w:sz w:val="24"/>
          <w:szCs w:val="24"/>
        </w:rPr>
        <w:t>na dzień</w:t>
      </w:r>
      <w:r w:rsidR="001D0202" w:rsidRPr="002C0E44">
        <w:rPr>
          <w:rFonts w:ascii="Times New Roman" w:hAnsi="Times New Roman" w:cs="Times New Roman"/>
          <w:sz w:val="24"/>
          <w:szCs w:val="24"/>
        </w:rPr>
        <w:t xml:space="preserve"> 1 marca roku obrotowego, za który ma być sporządzone sprawozdanie, jest wymieniona w załączniku I do konkluzji Rady, oraz dla każdej jurysdykcji podatkowej, która </w:t>
      </w:r>
      <w:r w:rsidR="00D26CD1" w:rsidRPr="002C0E44">
        <w:rPr>
          <w:rFonts w:ascii="Times New Roman" w:hAnsi="Times New Roman" w:cs="Times New Roman"/>
          <w:sz w:val="24"/>
          <w:szCs w:val="24"/>
        </w:rPr>
        <w:t>na dzień</w:t>
      </w:r>
      <w:r w:rsidR="001D0202" w:rsidRPr="002C0E44">
        <w:rPr>
          <w:rFonts w:ascii="Times New Roman" w:hAnsi="Times New Roman" w:cs="Times New Roman"/>
          <w:sz w:val="24"/>
          <w:szCs w:val="24"/>
        </w:rPr>
        <w:t xml:space="preserve"> 1 marca roku obrotowego, za który ma być sporządzone sprawozdanie</w:t>
      </w:r>
      <w:r w:rsidR="00424CA3" w:rsidRPr="002C0E44">
        <w:rPr>
          <w:rFonts w:ascii="Times New Roman" w:hAnsi="Times New Roman" w:cs="Times New Roman"/>
          <w:sz w:val="24"/>
          <w:szCs w:val="24"/>
        </w:rPr>
        <w:t>,</w:t>
      </w:r>
      <w:r w:rsidR="001D0202" w:rsidRPr="002C0E44">
        <w:rPr>
          <w:rFonts w:ascii="Times New Roman" w:hAnsi="Times New Roman" w:cs="Times New Roman"/>
          <w:sz w:val="24"/>
          <w:szCs w:val="24"/>
        </w:rPr>
        <w:t xml:space="preserve"> oraz </w:t>
      </w:r>
      <w:r w:rsidR="00D26CD1" w:rsidRPr="002C0E44">
        <w:rPr>
          <w:rFonts w:ascii="Times New Roman" w:hAnsi="Times New Roman" w:cs="Times New Roman"/>
          <w:sz w:val="24"/>
          <w:szCs w:val="24"/>
        </w:rPr>
        <w:t xml:space="preserve">na dzień </w:t>
      </w:r>
      <w:r w:rsidR="001D0202" w:rsidRPr="002C0E44">
        <w:rPr>
          <w:rFonts w:ascii="Times New Roman" w:hAnsi="Times New Roman" w:cs="Times New Roman"/>
          <w:sz w:val="24"/>
          <w:szCs w:val="24"/>
        </w:rPr>
        <w:t xml:space="preserve">1 marca poprzedniego roku obrotowego była wymieniona w załączniku II do konkluzji Rady. W odniesieniu do pozostałych jurysdykcji podatkowych informacje przedstawia się w formie zagregowanej. W </w:t>
      </w:r>
      <w:r w:rsidR="00A540D8" w:rsidRPr="002C0E44">
        <w:rPr>
          <w:rFonts w:ascii="Times New Roman" w:hAnsi="Times New Roman" w:cs="Times New Roman"/>
          <w:sz w:val="24"/>
          <w:szCs w:val="24"/>
        </w:rPr>
        <w:t>przypadku gdy</w:t>
      </w:r>
      <w:r w:rsidR="001D0202" w:rsidRPr="002C0E44">
        <w:rPr>
          <w:rFonts w:ascii="Times New Roman" w:hAnsi="Times New Roman" w:cs="Times New Roman"/>
          <w:sz w:val="24"/>
          <w:szCs w:val="24"/>
        </w:rPr>
        <w:t xml:space="preserve"> państwo </w:t>
      </w:r>
      <w:r w:rsidR="00424CA3" w:rsidRPr="002C0E44">
        <w:rPr>
          <w:rFonts w:ascii="Times New Roman" w:hAnsi="Times New Roman" w:cs="Times New Roman"/>
          <w:sz w:val="24"/>
          <w:szCs w:val="24"/>
        </w:rPr>
        <w:t>EOG</w:t>
      </w:r>
      <w:r w:rsidR="001D0202" w:rsidRPr="002C0E44">
        <w:rPr>
          <w:rFonts w:ascii="Times New Roman" w:hAnsi="Times New Roman" w:cs="Times New Roman"/>
          <w:sz w:val="24"/>
          <w:szCs w:val="24"/>
        </w:rPr>
        <w:t xml:space="preserve"> obejmuje </w:t>
      </w:r>
      <w:r w:rsidR="001D0202" w:rsidRPr="002C0E44">
        <w:rPr>
          <w:rFonts w:ascii="Times New Roman" w:hAnsi="Times New Roman" w:cs="Times New Roman"/>
          <w:sz w:val="24"/>
          <w:szCs w:val="24"/>
        </w:rPr>
        <w:lastRenderedPageBreak/>
        <w:t>większą liczbę jurysdykcji</w:t>
      </w:r>
      <w:r w:rsidR="00280258" w:rsidRPr="002C0E44">
        <w:rPr>
          <w:rFonts w:ascii="Times New Roman" w:hAnsi="Times New Roman" w:cs="Times New Roman"/>
          <w:sz w:val="24"/>
          <w:szCs w:val="24"/>
        </w:rPr>
        <w:t xml:space="preserve"> podatkowych</w:t>
      </w:r>
      <w:r w:rsidR="001D0202" w:rsidRPr="002C0E44">
        <w:rPr>
          <w:rFonts w:ascii="Times New Roman" w:hAnsi="Times New Roman" w:cs="Times New Roman"/>
          <w:sz w:val="24"/>
          <w:szCs w:val="24"/>
        </w:rPr>
        <w:t>, informacje przedstawia się łącznie na poziomie</w:t>
      </w:r>
      <w:r w:rsidR="00424CA3" w:rsidRPr="002C0E44">
        <w:rPr>
          <w:rFonts w:ascii="Times New Roman" w:hAnsi="Times New Roman" w:cs="Times New Roman"/>
          <w:sz w:val="24"/>
          <w:szCs w:val="24"/>
        </w:rPr>
        <w:t xml:space="preserve"> tego</w:t>
      </w:r>
      <w:r w:rsidR="001D0202" w:rsidRPr="002C0E44">
        <w:rPr>
          <w:rFonts w:ascii="Times New Roman" w:hAnsi="Times New Roman" w:cs="Times New Roman"/>
          <w:sz w:val="24"/>
          <w:szCs w:val="24"/>
        </w:rPr>
        <w:t xml:space="preserve"> państwa.</w:t>
      </w:r>
    </w:p>
    <w:p w14:paraId="37F770B3" w14:textId="55B02C82" w:rsidR="00280258" w:rsidRPr="002C0E44" w:rsidRDefault="00280258" w:rsidP="002C0E44">
      <w:pPr>
        <w:spacing w:before="120"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0E44">
        <w:rPr>
          <w:rFonts w:ascii="Times New Roman" w:hAnsi="Times New Roman" w:cs="Times New Roman"/>
          <w:sz w:val="24"/>
          <w:szCs w:val="24"/>
        </w:rPr>
        <w:t xml:space="preserve">Jednocześnie </w:t>
      </w:r>
      <w:r w:rsidR="008B72ED" w:rsidRPr="002C0E44">
        <w:rPr>
          <w:rFonts w:ascii="Times New Roman" w:hAnsi="Times New Roman" w:cs="Times New Roman"/>
          <w:sz w:val="24"/>
          <w:szCs w:val="24"/>
        </w:rPr>
        <w:t xml:space="preserve">wymagane </w:t>
      </w:r>
      <w:r w:rsidRPr="002C0E44">
        <w:rPr>
          <w:rFonts w:ascii="Times New Roman" w:hAnsi="Times New Roman" w:cs="Times New Roman"/>
          <w:sz w:val="24"/>
          <w:szCs w:val="24"/>
        </w:rPr>
        <w:t xml:space="preserve">informacje przedstawia się w odniesieniu do każdej odpowiedniej jurysdykcji podatkowej na podstawie siedziby, istnienia stałego miejsca prowadzenia działalności lub stałej działalności gospodarczej, </w:t>
      </w:r>
      <w:r w:rsidR="00B1647A" w:rsidRPr="002C0E44">
        <w:rPr>
          <w:rFonts w:ascii="Times New Roman" w:hAnsi="Times New Roman" w:cs="Times New Roman"/>
          <w:sz w:val="24"/>
          <w:szCs w:val="24"/>
        </w:rPr>
        <w:t>biorąc pod uwagę, że</w:t>
      </w:r>
      <w:r w:rsidRPr="002C0E44">
        <w:rPr>
          <w:rFonts w:ascii="Times New Roman" w:hAnsi="Times New Roman" w:cs="Times New Roman"/>
          <w:sz w:val="24"/>
          <w:szCs w:val="24"/>
        </w:rPr>
        <w:t xml:space="preserve"> działalność grupy lub jednostki samodzielnej może podlegać podatkowi dochodowemu w tej jurysdykcji podatkowej. W przypadku gdy działalność większej liczby jednostek powiązanych może podlegać podatkowi dochodowemu w jednej jurysdykcji podatkowej, informacje przedstawione w odniesieniu do tej jurysdykcji podatkowej stanowią sumę informacji dotyczących takiej działalności każdej jednostki powiązanej i jej oddziałów w tej jurysdykcji podatkowej. Informacji o </w:t>
      </w:r>
      <w:r w:rsidR="00A77E45" w:rsidRPr="002C0E44">
        <w:rPr>
          <w:rFonts w:ascii="Times New Roman" w:hAnsi="Times New Roman" w:cs="Times New Roman"/>
          <w:sz w:val="24"/>
          <w:szCs w:val="24"/>
        </w:rPr>
        <w:t>danej</w:t>
      </w:r>
      <w:r w:rsidRPr="002C0E44">
        <w:rPr>
          <w:rFonts w:ascii="Times New Roman" w:hAnsi="Times New Roman" w:cs="Times New Roman"/>
          <w:sz w:val="24"/>
          <w:szCs w:val="24"/>
        </w:rPr>
        <w:t xml:space="preserve"> działalności nie można przypisać równocześnie do więcej niż jednej jurysdykcji podatkowej.</w:t>
      </w:r>
    </w:p>
    <w:p w14:paraId="4DE62056" w14:textId="397FF1A0" w:rsidR="009D1BF9" w:rsidRPr="002C0E44" w:rsidRDefault="009D1BF9" w:rsidP="002C0E44">
      <w:pPr>
        <w:spacing w:before="120"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0E44">
        <w:rPr>
          <w:rFonts w:ascii="Times New Roman" w:hAnsi="Times New Roman" w:cs="Times New Roman"/>
          <w:b/>
          <w:sz w:val="24"/>
          <w:szCs w:val="24"/>
        </w:rPr>
        <w:t>Art. 63</w:t>
      </w:r>
      <w:r w:rsidR="00DC2F56" w:rsidRPr="002C0E44">
        <w:rPr>
          <w:rFonts w:ascii="Times New Roman" w:hAnsi="Times New Roman" w:cs="Times New Roman"/>
          <w:b/>
          <w:sz w:val="24"/>
          <w:szCs w:val="24"/>
        </w:rPr>
        <w:t>o</w:t>
      </w:r>
      <w:r w:rsidRPr="002C0E44">
        <w:rPr>
          <w:rFonts w:ascii="Times New Roman" w:hAnsi="Times New Roman" w:cs="Times New Roman"/>
          <w:b/>
          <w:sz w:val="24"/>
          <w:szCs w:val="24"/>
        </w:rPr>
        <w:t xml:space="preserve"> ust. </w:t>
      </w:r>
      <w:r w:rsidR="00DC2F56" w:rsidRPr="002C0E44">
        <w:rPr>
          <w:rFonts w:ascii="Times New Roman" w:hAnsi="Times New Roman" w:cs="Times New Roman"/>
          <w:b/>
          <w:sz w:val="24"/>
          <w:szCs w:val="24"/>
        </w:rPr>
        <w:t>1</w:t>
      </w:r>
      <w:r w:rsidR="008B72ED" w:rsidRPr="002C0E44">
        <w:rPr>
          <w:rFonts w:ascii="Times New Roman" w:hAnsi="Times New Roman" w:cs="Times New Roman"/>
          <w:b/>
          <w:sz w:val="24"/>
          <w:szCs w:val="24"/>
        </w:rPr>
        <w:t>2</w:t>
      </w:r>
      <w:r w:rsidR="00DC2F56" w:rsidRPr="002C0E44">
        <w:rPr>
          <w:rFonts w:ascii="Times New Roman" w:hAnsi="Times New Roman" w:cs="Times New Roman"/>
          <w:b/>
          <w:sz w:val="24"/>
          <w:szCs w:val="24"/>
        </w:rPr>
        <w:t xml:space="preserve"> i 1</w:t>
      </w:r>
      <w:r w:rsidR="008B72ED" w:rsidRPr="002C0E44">
        <w:rPr>
          <w:rFonts w:ascii="Times New Roman" w:hAnsi="Times New Roman" w:cs="Times New Roman"/>
          <w:b/>
          <w:sz w:val="24"/>
          <w:szCs w:val="24"/>
        </w:rPr>
        <w:t>3</w:t>
      </w:r>
      <w:r w:rsidR="00973C2C" w:rsidRPr="002C0E44">
        <w:rPr>
          <w:rFonts w:ascii="Times New Roman" w:hAnsi="Times New Roman" w:cs="Times New Roman"/>
          <w:sz w:val="24"/>
          <w:szCs w:val="24"/>
        </w:rPr>
        <w:t xml:space="preserve"> </w:t>
      </w:r>
      <w:r w:rsidR="005B2D0D" w:rsidRPr="002C0E44">
        <w:rPr>
          <w:rFonts w:ascii="Times New Roman" w:hAnsi="Times New Roman" w:cs="Times New Roman"/>
          <w:sz w:val="24"/>
          <w:szCs w:val="24"/>
        </w:rPr>
        <w:t xml:space="preserve">(implementujący art. 48c ust. 6 dyrektywy 2021/2101) </w:t>
      </w:r>
      <w:r w:rsidR="00973C2C" w:rsidRPr="002C0E44">
        <w:rPr>
          <w:rFonts w:ascii="Times New Roman" w:hAnsi="Times New Roman" w:cs="Times New Roman"/>
          <w:sz w:val="24"/>
          <w:szCs w:val="24"/>
        </w:rPr>
        <w:t>umożliwia</w:t>
      </w:r>
      <w:r w:rsidR="00561275">
        <w:rPr>
          <w:rFonts w:ascii="Times New Roman" w:hAnsi="Times New Roman" w:cs="Times New Roman"/>
          <w:sz w:val="24"/>
          <w:szCs w:val="24"/>
        </w:rPr>
        <w:t>ją</w:t>
      </w:r>
      <w:r w:rsidR="00973C2C" w:rsidRPr="002C0E44">
        <w:rPr>
          <w:rFonts w:ascii="Times New Roman" w:hAnsi="Times New Roman" w:cs="Times New Roman"/>
          <w:sz w:val="24"/>
          <w:szCs w:val="24"/>
        </w:rPr>
        <w:t xml:space="preserve"> jednost</w:t>
      </w:r>
      <w:r w:rsidR="00E03F8C" w:rsidRPr="002C0E44">
        <w:rPr>
          <w:rFonts w:ascii="Times New Roman" w:hAnsi="Times New Roman" w:cs="Times New Roman"/>
          <w:sz w:val="24"/>
          <w:szCs w:val="24"/>
        </w:rPr>
        <w:t>ce tymczasow</w:t>
      </w:r>
      <w:r w:rsidR="00561275">
        <w:rPr>
          <w:rFonts w:ascii="Times New Roman" w:hAnsi="Times New Roman" w:cs="Times New Roman"/>
          <w:sz w:val="24"/>
          <w:szCs w:val="24"/>
        </w:rPr>
        <w:t>e</w:t>
      </w:r>
      <w:r w:rsidR="00E03F8C" w:rsidRPr="002C0E44">
        <w:rPr>
          <w:rFonts w:ascii="Times New Roman" w:hAnsi="Times New Roman" w:cs="Times New Roman"/>
          <w:sz w:val="24"/>
          <w:szCs w:val="24"/>
        </w:rPr>
        <w:t xml:space="preserve"> pomin</w:t>
      </w:r>
      <w:r w:rsidR="00561275">
        <w:rPr>
          <w:rFonts w:ascii="Times New Roman" w:hAnsi="Times New Roman" w:cs="Times New Roman"/>
          <w:sz w:val="24"/>
          <w:szCs w:val="24"/>
        </w:rPr>
        <w:t>i</w:t>
      </w:r>
      <w:r w:rsidR="002834F5">
        <w:rPr>
          <w:rFonts w:ascii="Times New Roman" w:hAnsi="Times New Roman" w:cs="Times New Roman"/>
          <w:sz w:val="24"/>
          <w:szCs w:val="24"/>
        </w:rPr>
        <w:t>ę</w:t>
      </w:r>
      <w:r w:rsidR="00561275">
        <w:rPr>
          <w:rFonts w:ascii="Times New Roman" w:hAnsi="Times New Roman" w:cs="Times New Roman"/>
          <w:sz w:val="24"/>
          <w:szCs w:val="24"/>
        </w:rPr>
        <w:t>cie</w:t>
      </w:r>
      <w:r w:rsidR="00973C2C" w:rsidRPr="002C0E44">
        <w:rPr>
          <w:rFonts w:ascii="Times New Roman" w:hAnsi="Times New Roman" w:cs="Times New Roman"/>
          <w:sz w:val="24"/>
          <w:szCs w:val="24"/>
        </w:rPr>
        <w:t xml:space="preserve"> w sprawozdaniu o podatku dochodowym </w:t>
      </w:r>
      <w:r w:rsidR="00E03F8C" w:rsidRPr="002C0E44">
        <w:rPr>
          <w:rFonts w:ascii="Times New Roman" w:hAnsi="Times New Roman" w:cs="Times New Roman"/>
          <w:sz w:val="24"/>
          <w:szCs w:val="24"/>
        </w:rPr>
        <w:t>określon</w:t>
      </w:r>
      <w:r w:rsidR="00561275">
        <w:rPr>
          <w:rFonts w:ascii="Times New Roman" w:hAnsi="Times New Roman" w:cs="Times New Roman"/>
          <w:sz w:val="24"/>
          <w:szCs w:val="24"/>
        </w:rPr>
        <w:t>ych</w:t>
      </w:r>
      <w:r w:rsidR="00E03F8C" w:rsidRPr="002C0E44">
        <w:rPr>
          <w:rFonts w:ascii="Times New Roman" w:hAnsi="Times New Roman" w:cs="Times New Roman"/>
          <w:sz w:val="24"/>
          <w:szCs w:val="24"/>
        </w:rPr>
        <w:t xml:space="preserve"> </w:t>
      </w:r>
      <w:r w:rsidR="00973C2C" w:rsidRPr="002C0E44">
        <w:rPr>
          <w:rFonts w:ascii="Times New Roman" w:hAnsi="Times New Roman" w:cs="Times New Roman"/>
          <w:sz w:val="24"/>
          <w:szCs w:val="24"/>
        </w:rPr>
        <w:t>dan</w:t>
      </w:r>
      <w:r w:rsidR="00561275">
        <w:rPr>
          <w:rFonts w:ascii="Times New Roman" w:hAnsi="Times New Roman" w:cs="Times New Roman"/>
          <w:sz w:val="24"/>
          <w:szCs w:val="24"/>
        </w:rPr>
        <w:t>ych</w:t>
      </w:r>
      <w:r w:rsidR="00667DB3" w:rsidRPr="002C0E44">
        <w:rPr>
          <w:rFonts w:ascii="Times New Roman" w:hAnsi="Times New Roman" w:cs="Times New Roman"/>
          <w:sz w:val="24"/>
          <w:szCs w:val="24"/>
        </w:rPr>
        <w:t>,</w:t>
      </w:r>
      <w:r w:rsidR="00973C2C" w:rsidRPr="002C0E44">
        <w:rPr>
          <w:rFonts w:ascii="Times New Roman" w:hAnsi="Times New Roman" w:cs="Times New Roman"/>
          <w:sz w:val="24"/>
          <w:szCs w:val="24"/>
        </w:rPr>
        <w:t xml:space="preserve"> </w:t>
      </w:r>
      <w:r w:rsidR="00E03F8C" w:rsidRPr="002C0E44">
        <w:rPr>
          <w:rFonts w:ascii="Times New Roman" w:hAnsi="Times New Roman" w:cs="Times New Roman"/>
          <w:sz w:val="24"/>
          <w:szCs w:val="24"/>
        </w:rPr>
        <w:t>jeśli ich ujawnienie miałoby istotnie szkodliwy wpływ na sytuację rynkową</w:t>
      </w:r>
      <w:r w:rsidR="00973C2C" w:rsidRPr="002C0E44">
        <w:rPr>
          <w:rFonts w:ascii="Times New Roman" w:hAnsi="Times New Roman" w:cs="Times New Roman"/>
          <w:sz w:val="24"/>
          <w:szCs w:val="24"/>
        </w:rPr>
        <w:t xml:space="preserve"> jednostki. </w:t>
      </w:r>
      <w:r w:rsidR="00E03F8C" w:rsidRPr="002C0E44">
        <w:rPr>
          <w:rFonts w:ascii="Times New Roman" w:hAnsi="Times New Roman" w:cs="Times New Roman"/>
          <w:sz w:val="24"/>
          <w:szCs w:val="24"/>
        </w:rPr>
        <w:t>Jednakże jednostka musi o takim pominięciu poinformować w sprawozdaniu o podatku dochodowym wraz z podaniem uzasadnienia. Ponadto p</w:t>
      </w:r>
      <w:r w:rsidR="00973C2C" w:rsidRPr="002C0E44">
        <w:rPr>
          <w:rFonts w:ascii="Times New Roman" w:hAnsi="Times New Roman" w:cs="Times New Roman"/>
          <w:sz w:val="24"/>
          <w:szCs w:val="24"/>
        </w:rPr>
        <w:t xml:space="preserve">ominięte przez jednostkę informacje należy ujawnić w późniejszym sprawozdaniu w terminie nie dłuższym niż 5 lat od dnia pominięcia. Zwolnienia takiego nie </w:t>
      </w:r>
      <w:r w:rsidR="00E03F8C" w:rsidRPr="002C0E44">
        <w:rPr>
          <w:rFonts w:ascii="Times New Roman" w:hAnsi="Times New Roman" w:cs="Times New Roman"/>
          <w:sz w:val="24"/>
          <w:szCs w:val="24"/>
        </w:rPr>
        <w:t>wolno zastosować</w:t>
      </w:r>
      <w:r w:rsidR="00973C2C" w:rsidRPr="002C0E44">
        <w:rPr>
          <w:rFonts w:ascii="Times New Roman" w:hAnsi="Times New Roman" w:cs="Times New Roman"/>
          <w:sz w:val="24"/>
          <w:szCs w:val="24"/>
        </w:rPr>
        <w:t xml:space="preserve"> do jurysdykcji podatkowych wymienionych w załącznikach I i II do zmienionych konkluzji Rady w sprawie unijnego wykazu jurysdykcji niechętnych współpracy do celów podatkowych</w:t>
      </w:r>
      <w:r w:rsidR="005B2D0D" w:rsidRPr="002C0E44">
        <w:rPr>
          <w:rFonts w:ascii="Times New Roman" w:hAnsi="Times New Roman" w:cs="Times New Roman"/>
          <w:sz w:val="24"/>
          <w:szCs w:val="24"/>
        </w:rPr>
        <w:t>.</w:t>
      </w:r>
    </w:p>
    <w:p w14:paraId="522D5AF0" w14:textId="40A43476" w:rsidR="00643D60" w:rsidRPr="002C0E44" w:rsidRDefault="00561275" w:rsidP="002C0E44">
      <w:pPr>
        <w:spacing w:before="120"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a</w:t>
      </w:r>
      <w:r w:rsidR="00643D60" w:rsidRPr="002C0E44">
        <w:rPr>
          <w:rFonts w:ascii="Times New Roman" w:hAnsi="Times New Roman" w:cs="Times New Roman"/>
          <w:b/>
          <w:sz w:val="24"/>
          <w:szCs w:val="24"/>
        </w:rPr>
        <w:t>rt.</w:t>
      </w:r>
      <w:r w:rsidR="00A24170" w:rsidRPr="002C0E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43D60" w:rsidRPr="002C0E44">
        <w:rPr>
          <w:rFonts w:ascii="Times New Roman" w:hAnsi="Times New Roman" w:cs="Times New Roman"/>
          <w:b/>
          <w:sz w:val="24"/>
          <w:szCs w:val="24"/>
        </w:rPr>
        <w:t>63</w:t>
      </w:r>
      <w:r w:rsidR="00DC2F56" w:rsidRPr="002C0E44">
        <w:rPr>
          <w:rFonts w:ascii="Times New Roman" w:hAnsi="Times New Roman" w:cs="Times New Roman"/>
          <w:b/>
          <w:sz w:val="24"/>
          <w:szCs w:val="24"/>
        </w:rPr>
        <w:t>o</w:t>
      </w:r>
      <w:r w:rsidR="00643D60" w:rsidRPr="002C0E44">
        <w:rPr>
          <w:rFonts w:ascii="Times New Roman" w:hAnsi="Times New Roman" w:cs="Times New Roman"/>
          <w:b/>
          <w:sz w:val="24"/>
          <w:szCs w:val="24"/>
        </w:rPr>
        <w:t xml:space="preserve"> ust. </w:t>
      </w:r>
      <w:r w:rsidR="00DC2F56" w:rsidRPr="002C0E44">
        <w:rPr>
          <w:rFonts w:ascii="Times New Roman" w:hAnsi="Times New Roman" w:cs="Times New Roman"/>
          <w:b/>
          <w:sz w:val="24"/>
          <w:szCs w:val="24"/>
        </w:rPr>
        <w:t>1</w:t>
      </w:r>
      <w:r w:rsidR="008B72ED" w:rsidRPr="002C0E44">
        <w:rPr>
          <w:rFonts w:ascii="Times New Roman" w:hAnsi="Times New Roman" w:cs="Times New Roman"/>
          <w:b/>
          <w:sz w:val="24"/>
          <w:szCs w:val="24"/>
        </w:rPr>
        <w:t>4</w:t>
      </w:r>
      <w:r w:rsidR="001E09D9" w:rsidRPr="002C0E44">
        <w:rPr>
          <w:rFonts w:ascii="Times New Roman" w:hAnsi="Times New Roman" w:cs="Times New Roman"/>
          <w:sz w:val="24"/>
          <w:szCs w:val="24"/>
        </w:rPr>
        <w:t xml:space="preserve"> (implementujący art. 48c ust. 8 dyrektywy 2021/2101)</w:t>
      </w:r>
      <w:r w:rsidR="00643D60" w:rsidRPr="002C0E44">
        <w:rPr>
          <w:rFonts w:ascii="Times New Roman" w:hAnsi="Times New Roman" w:cs="Times New Roman"/>
          <w:sz w:val="24"/>
          <w:szCs w:val="24"/>
        </w:rPr>
        <w:t xml:space="preserve"> </w:t>
      </w:r>
      <w:r w:rsidR="005B2D0D" w:rsidRPr="002C0E44">
        <w:rPr>
          <w:rFonts w:ascii="Times New Roman" w:hAnsi="Times New Roman" w:cs="Times New Roman"/>
          <w:sz w:val="24"/>
          <w:szCs w:val="24"/>
        </w:rPr>
        <w:t xml:space="preserve">uregulowano </w:t>
      </w:r>
      <w:r w:rsidR="00667DB3" w:rsidRPr="002C0E44">
        <w:rPr>
          <w:rFonts w:ascii="Times New Roman" w:hAnsi="Times New Roman" w:cs="Times New Roman"/>
          <w:sz w:val="24"/>
          <w:szCs w:val="24"/>
        </w:rPr>
        <w:t xml:space="preserve">język i </w:t>
      </w:r>
      <w:r w:rsidR="00A24170" w:rsidRPr="002C0E44">
        <w:rPr>
          <w:rFonts w:ascii="Times New Roman" w:hAnsi="Times New Roman" w:cs="Times New Roman"/>
          <w:sz w:val="24"/>
          <w:szCs w:val="24"/>
        </w:rPr>
        <w:t>walutę</w:t>
      </w:r>
      <w:r>
        <w:rPr>
          <w:rFonts w:ascii="Times New Roman" w:hAnsi="Times New Roman" w:cs="Times New Roman"/>
          <w:sz w:val="24"/>
          <w:szCs w:val="24"/>
        </w:rPr>
        <w:t>,</w:t>
      </w:r>
      <w:r w:rsidR="00231102">
        <w:rPr>
          <w:rFonts w:ascii="Times New Roman" w:hAnsi="Times New Roman" w:cs="Times New Roman"/>
          <w:sz w:val="24"/>
          <w:szCs w:val="24"/>
        </w:rPr>
        <w:t xml:space="preserve"> </w:t>
      </w:r>
      <w:r w:rsidR="00A24170" w:rsidRPr="002C0E44">
        <w:rPr>
          <w:rFonts w:ascii="Times New Roman" w:hAnsi="Times New Roman" w:cs="Times New Roman"/>
          <w:sz w:val="24"/>
          <w:szCs w:val="24"/>
        </w:rPr>
        <w:t>w jakiej jednostki sporządzają sprawozdanie o p</w:t>
      </w:r>
      <w:r w:rsidR="00FF0DD2" w:rsidRPr="002C0E44">
        <w:rPr>
          <w:rFonts w:ascii="Times New Roman" w:hAnsi="Times New Roman" w:cs="Times New Roman"/>
          <w:sz w:val="24"/>
          <w:szCs w:val="24"/>
        </w:rPr>
        <w:t>o</w:t>
      </w:r>
      <w:r w:rsidR="00A24170" w:rsidRPr="002C0E44">
        <w:rPr>
          <w:rFonts w:ascii="Times New Roman" w:hAnsi="Times New Roman" w:cs="Times New Roman"/>
          <w:sz w:val="24"/>
          <w:szCs w:val="24"/>
        </w:rPr>
        <w:t>datku dochodowym</w:t>
      </w:r>
      <w:r w:rsidR="006F5D21" w:rsidRPr="002C0E44">
        <w:rPr>
          <w:rFonts w:ascii="Times New Roman" w:hAnsi="Times New Roman" w:cs="Times New Roman"/>
          <w:sz w:val="24"/>
          <w:szCs w:val="24"/>
        </w:rPr>
        <w:t xml:space="preserve"> (język i waluta polska)</w:t>
      </w:r>
      <w:r w:rsidR="00A24170" w:rsidRPr="002C0E44">
        <w:rPr>
          <w:rFonts w:ascii="Times New Roman" w:hAnsi="Times New Roman" w:cs="Times New Roman"/>
          <w:sz w:val="24"/>
          <w:szCs w:val="24"/>
        </w:rPr>
        <w:t>.</w:t>
      </w:r>
    </w:p>
    <w:p w14:paraId="231AEC18" w14:textId="27A205EC" w:rsidR="007E1612" w:rsidRPr="002C0E44" w:rsidRDefault="005B2D0D" w:rsidP="002C0E44">
      <w:pPr>
        <w:spacing w:before="120"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E44">
        <w:rPr>
          <w:rFonts w:ascii="Times New Roman" w:hAnsi="Times New Roman" w:cs="Times New Roman"/>
          <w:sz w:val="24"/>
          <w:szCs w:val="24"/>
        </w:rPr>
        <w:t xml:space="preserve">W </w:t>
      </w:r>
      <w:r w:rsidRPr="002C0E44">
        <w:rPr>
          <w:rFonts w:ascii="Times New Roman" w:hAnsi="Times New Roman" w:cs="Times New Roman"/>
          <w:b/>
          <w:sz w:val="24"/>
          <w:szCs w:val="24"/>
        </w:rPr>
        <w:t>art. 63</w:t>
      </w:r>
      <w:r w:rsidR="00DC2F56" w:rsidRPr="002C0E44">
        <w:rPr>
          <w:rFonts w:ascii="Times New Roman" w:hAnsi="Times New Roman" w:cs="Times New Roman"/>
          <w:b/>
          <w:sz w:val="24"/>
          <w:szCs w:val="24"/>
        </w:rPr>
        <w:t>o</w:t>
      </w:r>
      <w:r w:rsidRPr="002C0E44">
        <w:rPr>
          <w:rFonts w:ascii="Times New Roman" w:hAnsi="Times New Roman" w:cs="Times New Roman"/>
          <w:b/>
          <w:sz w:val="24"/>
          <w:szCs w:val="24"/>
        </w:rPr>
        <w:t xml:space="preserve"> ust. 1</w:t>
      </w:r>
      <w:r w:rsidR="008B72ED" w:rsidRPr="002C0E44">
        <w:rPr>
          <w:rFonts w:ascii="Times New Roman" w:hAnsi="Times New Roman" w:cs="Times New Roman"/>
          <w:b/>
          <w:sz w:val="24"/>
          <w:szCs w:val="24"/>
        </w:rPr>
        <w:t>5</w:t>
      </w:r>
      <w:r w:rsidR="00DC2F56" w:rsidRPr="002C0E44">
        <w:rPr>
          <w:rFonts w:ascii="Times New Roman" w:hAnsi="Times New Roman" w:cs="Times New Roman"/>
          <w:b/>
          <w:sz w:val="24"/>
          <w:szCs w:val="24"/>
        </w:rPr>
        <w:t xml:space="preserve"> i 1</w:t>
      </w:r>
      <w:r w:rsidR="008B72ED" w:rsidRPr="002C0E44">
        <w:rPr>
          <w:rFonts w:ascii="Times New Roman" w:hAnsi="Times New Roman" w:cs="Times New Roman"/>
          <w:b/>
          <w:sz w:val="24"/>
          <w:szCs w:val="24"/>
        </w:rPr>
        <w:t>6</w:t>
      </w:r>
      <w:r w:rsidRPr="002C0E44">
        <w:rPr>
          <w:rFonts w:ascii="Times New Roman" w:hAnsi="Times New Roman" w:cs="Times New Roman"/>
          <w:sz w:val="24"/>
          <w:szCs w:val="24"/>
        </w:rPr>
        <w:t xml:space="preserve"> wskazano, że sprawozdani</w:t>
      </w:r>
      <w:r w:rsidR="004F6E6A" w:rsidRPr="002C0E44">
        <w:rPr>
          <w:rFonts w:ascii="Times New Roman" w:hAnsi="Times New Roman" w:cs="Times New Roman"/>
          <w:sz w:val="24"/>
          <w:szCs w:val="24"/>
        </w:rPr>
        <w:t>e</w:t>
      </w:r>
      <w:r w:rsidRPr="002C0E44">
        <w:rPr>
          <w:rFonts w:ascii="Times New Roman" w:hAnsi="Times New Roman" w:cs="Times New Roman"/>
          <w:sz w:val="24"/>
          <w:szCs w:val="24"/>
        </w:rPr>
        <w:t xml:space="preserve"> o podatku dochodowym </w:t>
      </w:r>
      <w:r w:rsidR="004F6E6A" w:rsidRPr="002C0E44">
        <w:rPr>
          <w:rFonts w:ascii="Times New Roman" w:hAnsi="Times New Roman" w:cs="Times New Roman"/>
          <w:sz w:val="24"/>
          <w:szCs w:val="24"/>
        </w:rPr>
        <w:t xml:space="preserve">sporządza się w postaci elektronicznej oraz że </w:t>
      </w:r>
      <w:r w:rsidRPr="002C0E44">
        <w:rPr>
          <w:rFonts w:ascii="Times New Roman" w:hAnsi="Times New Roman" w:cs="Times New Roman"/>
          <w:sz w:val="24"/>
          <w:szCs w:val="24"/>
        </w:rPr>
        <w:t xml:space="preserve">będą miały </w:t>
      </w:r>
      <w:r w:rsidR="004F6E6A" w:rsidRPr="002C0E44">
        <w:rPr>
          <w:rFonts w:ascii="Times New Roman" w:hAnsi="Times New Roman" w:cs="Times New Roman"/>
          <w:sz w:val="24"/>
          <w:szCs w:val="24"/>
        </w:rPr>
        <w:t xml:space="preserve">do niego </w:t>
      </w:r>
      <w:r w:rsidRPr="002C0E44">
        <w:rPr>
          <w:rFonts w:ascii="Times New Roman" w:hAnsi="Times New Roman" w:cs="Times New Roman"/>
          <w:sz w:val="24"/>
          <w:szCs w:val="24"/>
        </w:rPr>
        <w:t>zastosowanie odpowiednio przepisy o przedstawianiu i podpisywaniu sprawozdania finansowego.</w:t>
      </w:r>
      <w:r w:rsidR="007E1612" w:rsidRPr="002C0E44">
        <w:rPr>
          <w:rFonts w:ascii="Times New Roman" w:hAnsi="Times New Roman" w:cs="Times New Roman"/>
          <w:sz w:val="24"/>
          <w:szCs w:val="24"/>
        </w:rPr>
        <w:t xml:space="preserve"> W przypadku sprawozdania o podatku dochodowy</w:t>
      </w:r>
      <w:r w:rsidR="002F21F9" w:rsidRPr="002C0E44">
        <w:rPr>
          <w:rFonts w:ascii="Times New Roman" w:hAnsi="Times New Roman" w:cs="Times New Roman"/>
          <w:sz w:val="24"/>
          <w:szCs w:val="24"/>
        </w:rPr>
        <w:t>m</w:t>
      </w:r>
      <w:r w:rsidR="007E1612" w:rsidRPr="002C0E44">
        <w:rPr>
          <w:rFonts w:ascii="Times New Roman" w:hAnsi="Times New Roman" w:cs="Times New Roman"/>
          <w:sz w:val="24"/>
          <w:szCs w:val="24"/>
        </w:rPr>
        <w:t xml:space="preserve"> sporządzanego przez jednostkę, o której mowa w art. 63n ust. 1</w:t>
      </w:r>
      <w:r w:rsidR="00424CA3" w:rsidRPr="002C0E44">
        <w:rPr>
          <w:rFonts w:ascii="Times New Roman" w:hAnsi="Times New Roman" w:cs="Times New Roman"/>
          <w:sz w:val="24"/>
          <w:szCs w:val="24"/>
        </w:rPr>
        <w:t>,</w:t>
      </w:r>
      <w:r w:rsidR="007E1612" w:rsidRPr="002C0E44">
        <w:rPr>
          <w:rFonts w:ascii="Times New Roman" w:hAnsi="Times New Roman" w:cs="Times New Roman"/>
          <w:sz w:val="24"/>
          <w:szCs w:val="24"/>
        </w:rPr>
        <w:t xml:space="preserve"> przepisy te będą miały również zastosowanie do oświadczenia stwierdzającego, że odpowiednio jednostka dominująca najwyższego szczebla </w:t>
      </w:r>
      <w:r w:rsidR="002F21F9" w:rsidRPr="002C0E44">
        <w:rPr>
          <w:rFonts w:ascii="Times New Roman" w:hAnsi="Times New Roman" w:cs="Times New Roman"/>
          <w:sz w:val="24"/>
          <w:szCs w:val="24"/>
        </w:rPr>
        <w:t>albo</w:t>
      </w:r>
      <w:r w:rsidR="007E1612" w:rsidRPr="002C0E44">
        <w:rPr>
          <w:rFonts w:ascii="Times New Roman" w:hAnsi="Times New Roman" w:cs="Times New Roman"/>
          <w:sz w:val="24"/>
          <w:szCs w:val="24"/>
        </w:rPr>
        <w:t xml:space="preserve"> jednostka samodzielna nie udostępniła sprawozdania o podatku dochodowym lub informacji niezbędnych do jego sporządzenia, składanego w właściwym rejestrze sądowym wraz ze sprawozdaniem.</w:t>
      </w:r>
    </w:p>
    <w:p w14:paraId="50419F6A" w14:textId="6C82D4D0" w:rsidR="00FF695A" w:rsidRPr="002C0E44" w:rsidRDefault="00FF695A" w:rsidP="00ED42E0">
      <w:pPr>
        <w:spacing w:before="120"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E44">
        <w:rPr>
          <w:rFonts w:ascii="Times New Roman" w:hAnsi="Times New Roman" w:cs="Times New Roman"/>
          <w:sz w:val="24"/>
          <w:szCs w:val="24"/>
        </w:rPr>
        <w:lastRenderedPageBreak/>
        <w:t xml:space="preserve">Projekt przewiduje również zamianę w </w:t>
      </w:r>
      <w:r w:rsidRPr="002C0E44">
        <w:rPr>
          <w:rFonts w:ascii="Times New Roman" w:hAnsi="Times New Roman" w:cs="Times New Roman"/>
          <w:b/>
          <w:sz w:val="24"/>
          <w:szCs w:val="24"/>
        </w:rPr>
        <w:t xml:space="preserve">art. 77 i </w:t>
      </w:r>
      <w:r w:rsidR="00ED42E0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Pr="002C0E44">
        <w:rPr>
          <w:rFonts w:ascii="Times New Roman" w:hAnsi="Times New Roman" w:cs="Times New Roman"/>
          <w:b/>
          <w:sz w:val="24"/>
          <w:szCs w:val="24"/>
        </w:rPr>
        <w:t>78 ust. 1</w:t>
      </w:r>
      <w:r w:rsidRPr="002C0E44">
        <w:rPr>
          <w:rFonts w:ascii="Times New Roman" w:hAnsi="Times New Roman" w:cs="Times New Roman"/>
          <w:sz w:val="24"/>
          <w:szCs w:val="24"/>
        </w:rPr>
        <w:t>, w części formułującej zakres sankcji, wyrazu „lub</w:t>
      </w:r>
      <w:r w:rsidR="00E6299E" w:rsidRPr="002C0E44">
        <w:rPr>
          <w:rFonts w:ascii="Times New Roman" w:hAnsi="Times New Roman" w:cs="Times New Roman"/>
          <w:sz w:val="24"/>
          <w:szCs w:val="24"/>
        </w:rPr>
        <w:t>”</w:t>
      </w:r>
      <w:r w:rsidRPr="002C0E44">
        <w:rPr>
          <w:rFonts w:ascii="Times New Roman" w:hAnsi="Times New Roman" w:cs="Times New Roman"/>
          <w:sz w:val="24"/>
          <w:szCs w:val="24"/>
        </w:rPr>
        <w:t xml:space="preserve"> na wyraz „albo</w:t>
      </w:r>
      <w:r w:rsidR="007E1612" w:rsidRPr="002C0E44">
        <w:rPr>
          <w:rFonts w:ascii="Times New Roman" w:hAnsi="Times New Roman" w:cs="Times New Roman"/>
          <w:sz w:val="24"/>
          <w:szCs w:val="24"/>
        </w:rPr>
        <w:t>”</w:t>
      </w:r>
      <w:r w:rsidRPr="002C0E44">
        <w:rPr>
          <w:rFonts w:ascii="Times New Roman" w:hAnsi="Times New Roman" w:cs="Times New Roman"/>
          <w:sz w:val="24"/>
          <w:szCs w:val="24"/>
        </w:rPr>
        <w:t xml:space="preserve">. Zaproponowane zmiany mają charakter porządkujący. Dotychczasowy sposób sformułowania sankcji w art. 77 i art. 78 ust. 1 ustawy o rachunkowości </w:t>
      </w:r>
      <w:r w:rsidR="00ED42E0">
        <w:rPr>
          <w:rFonts w:ascii="Times New Roman" w:hAnsi="Times New Roman" w:cs="Times New Roman"/>
          <w:sz w:val="24"/>
          <w:szCs w:val="24"/>
        </w:rPr>
        <w:t>–</w:t>
      </w:r>
      <w:r w:rsidRPr="002C0E44">
        <w:rPr>
          <w:rFonts w:ascii="Times New Roman" w:hAnsi="Times New Roman" w:cs="Times New Roman"/>
          <w:sz w:val="24"/>
          <w:szCs w:val="24"/>
        </w:rPr>
        <w:t xml:space="preserve"> przez określenie, że sprawca „podlega grzywnie lub karze pozbawienia wolności do lat 2 albo obu tym karom łącznie</w:t>
      </w:r>
      <w:r w:rsidR="00E6299E" w:rsidRPr="002C0E44">
        <w:rPr>
          <w:rFonts w:ascii="Times New Roman" w:hAnsi="Times New Roman" w:cs="Times New Roman"/>
          <w:sz w:val="24"/>
          <w:szCs w:val="24"/>
        </w:rPr>
        <w:t>”</w:t>
      </w:r>
      <w:r w:rsidRPr="002C0E44">
        <w:rPr>
          <w:rFonts w:ascii="Times New Roman" w:hAnsi="Times New Roman" w:cs="Times New Roman"/>
          <w:sz w:val="24"/>
          <w:szCs w:val="24"/>
        </w:rPr>
        <w:t xml:space="preserve"> </w:t>
      </w:r>
      <w:r w:rsidR="00ED42E0">
        <w:rPr>
          <w:rFonts w:ascii="Times New Roman" w:hAnsi="Times New Roman" w:cs="Times New Roman"/>
          <w:sz w:val="24"/>
          <w:szCs w:val="24"/>
        </w:rPr>
        <w:t>–</w:t>
      </w:r>
      <w:r w:rsidRPr="002C0E44">
        <w:rPr>
          <w:rFonts w:ascii="Times New Roman" w:hAnsi="Times New Roman" w:cs="Times New Roman"/>
          <w:sz w:val="24"/>
          <w:szCs w:val="24"/>
        </w:rPr>
        <w:t xml:space="preserve"> nie odpowiadał regułom określonym w §</w:t>
      </w:r>
      <w:r w:rsidR="009E2100">
        <w:rPr>
          <w:rFonts w:ascii="Times New Roman" w:hAnsi="Times New Roman" w:cs="Times New Roman"/>
          <w:sz w:val="24"/>
          <w:szCs w:val="24"/>
        </w:rPr>
        <w:t> </w:t>
      </w:r>
      <w:r w:rsidRPr="002C0E44">
        <w:rPr>
          <w:rFonts w:ascii="Times New Roman" w:hAnsi="Times New Roman" w:cs="Times New Roman"/>
          <w:sz w:val="24"/>
          <w:szCs w:val="24"/>
        </w:rPr>
        <w:t>79 rozporządzenia Prezesa Rady Ministrów z dnia 20 czerwca 2002 r. w sprawie „Zasad techniki prawodawczej</w:t>
      </w:r>
      <w:r w:rsidR="00E6299E" w:rsidRPr="002C0E44">
        <w:rPr>
          <w:rFonts w:ascii="Times New Roman" w:hAnsi="Times New Roman" w:cs="Times New Roman"/>
          <w:sz w:val="24"/>
          <w:szCs w:val="24"/>
        </w:rPr>
        <w:t>”</w:t>
      </w:r>
      <w:r w:rsidR="00FE74C2" w:rsidRPr="002C0E44">
        <w:rPr>
          <w:rFonts w:ascii="Times New Roman" w:hAnsi="Times New Roman" w:cs="Times New Roman"/>
          <w:sz w:val="24"/>
          <w:szCs w:val="24"/>
        </w:rPr>
        <w:t xml:space="preserve"> (Dz. U. z 2016 r. poz. 283)</w:t>
      </w:r>
      <w:r w:rsidRPr="002C0E44">
        <w:rPr>
          <w:rFonts w:ascii="Times New Roman" w:hAnsi="Times New Roman" w:cs="Times New Roman"/>
          <w:sz w:val="24"/>
          <w:szCs w:val="24"/>
        </w:rPr>
        <w:t>. Na potrzebę dokonania zmiany zwróciła uwagę sejmowa Komisja ds. Petycji w opinii nr 1 z dnia 11 stycznia 2022 r.</w:t>
      </w:r>
    </w:p>
    <w:p w14:paraId="16154763" w14:textId="081EC04D" w:rsidR="002B444F" w:rsidRPr="002C0E44" w:rsidRDefault="002B444F" w:rsidP="002C0E44">
      <w:pPr>
        <w:spacing w:before="120"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E44">
        <w:rPr>
          <w:rFonts w:ascii="Times New Roman" w:hAnsi="Times New Roman" w:cs="Times New Roman"/>
          <w:sz w:val="24"/>
          <w:szCs w:val="24"/>
        </w:rPr>
        <w:t xml:space="preserve">Zmiana w zakresie </w:t>
      </w:r>
      <w:r w:rsidRPr="002C0E44">
        <w:rPr>
          <w:rFonts w:ascii="Times New Roman" w:hAnsi="Times New Roman" w:cs="Times New Roman"/>
          <w:b/>
          <w:sz w:val="24"/>
          <w:szCs w:val="24"/>
        </w:rPr>
        <w:t>art.</w:t>
      </w:r>
      <w:r w:rsidR="00725CBD" w:rsidRPr="002C0E44">
        <w:rPr>
          <w:rFonts w:ascii="Times New Roman" w:hAnsi="Times New Roman" w:cs="Times New Roman"/>
          <w:b/>
          <w:sz w:val="24"/>
          <w:szCs w:val="24"/>
        </w:rPr>
        <w:t xml:space="preserve"> 77 </w:t>
      </w:r>
      <w:r w:rsidRPr="002C0E44">
        <w:rPr>
          <w:rFonts w:ascii="Times New Roman" w:hAnsi="Times New Roman" w:cs="Times New Roman"/>
          <w:b/>
          <w:sz w:val="24"/>
          <w:szCs w:val="24"/>
        </w:rPr>
        <w:t>pkt 2</w:t>
      </w:r>
      <w:r w:rsidRPr="002C0E44">
        <w:rPr>
          <w:rFonts w:ascii="Times New Roman" w:hAnsi="Times New Roman" w:cs="Times New Roman"/>
          <w:sz w:val="24"/>
          <w:szCs w:val="24"/>
        </w:rPr>
        <w:t xml:space="preserve"> </w:t>
      </w:r>
      <w:r w:rsidR="001F5555" w:rsidRPr="002C0E44">
        <w:rPr>
          <w:rFonts w:ascii="Times New Roman" w:hAnsi="Times New Roman" w:cs="Times New Roman"/>
          <w:sz w:val="24"/>
          <w:szCs w:val="24"/>
        </w:rPr>
        <w:t>wprowadza odpowiedzialność karną za</w:t>
      </w:r>
      <w:r w:rsidRPr="002C0E44">
        <w:rPr>
          <w:rFonts w:ascii="Times New Roman" w:hAnsi="Times New Roman" w:cs="Times New Roman"/>
          <w:sz w:val="24"/>
          <w:szCs w:val="24"/>
        </w:rPr>
        <w:t xml:space="preserve"> </w:t>
      </w:r>
      <w:r w:rsidR="005A42BD" w:rsidRPr="002C0E44">
        <w:rPr>
          <w:rFonts w:ascii="Times New Roman" w:hAnsi="Times New Roman" w:cs="Times New Roman"/>
          <w:sz w:val="24"/>
          <w:szCs w:val="24"/>
        </w:rPr>
        <w:t xml:space="preserve">niesporządzenie, </w:t>
      </w:r>
      <w:r w:rsidRPr="002C0E44">
        <w:rPr>
          <w:rFonts w:ascii="Times New Roman" w:hAnsi="Times New Roman" w:cs="Times New Roman"/>
          <w:sz w:val="24"/>
          <w:szCs w:val="24"/>
        </w:rPr>
        <w:t>sporządzenie niezgodnie z przepisami us</w:t>
      </w:r>
      <w:r w:rsidR="005A42BD" w:rsidRPr="002C0E44">
        <w:rPr>
          <w:rFonts w:ascii="Times New Roman" w:hAnsi="Times New Roman" w:cs="Times New Roman"/>
          <w:sz w:val="24"/>
          <w:szCs w:val="24"/>
        </w:rPr>
        <w:t>tawy lub</w:t>
      </w:r>
      <w:r w:rsidRPr="002C0E44">
        <w:rPr>
          <w:rFonts w:ascii="Times New Roman" w:hAnsi="Times New Roman" w:cs="Times New Roman"/>
          <w:sz w:val="24"/>
          <w:szCs w:val="24"/>
        </w:rPr>
        <w:t xml:space="preserve"> zawarcie nierzetelnych </w:t>
      </w:r>
      <w:r w:rsidR="00A540D8" w:rsidRPr="002C0E44">
        <w:rPr>
          <w:rFonts w:ascii="Times New Roman" w:hAnsi="Times New Roman" w:cs="Times New Roman"/>
          <w:sz w:val="24"/>
          <w:szCs w:val="24"/>
        </w:rPr>
        <w:t>danych w</w:t>
      </w:r>
      <w:r w:rsidRPr="002C0E44">
        <w:rPr>
          <w:rFonts w:ascii="Times New Roman" w:hAnsi="Times New Roman" w:cs="Times New Roman"/>
          <w:sz w:val="24"/>
          <w:szCs w:val="24"/>
        </w:rPr>
        <w:t xml:space="preserve"> sprawozdaniu o podatku dochodowym.</w:t>
      </w:r>
    </w:p>
    <w:p w14:paraId="2D8F145D" w14:textId="3FAE61C0" w:rsidR="00725CBD" w:rsidRPr="002C0E44" w:rsidRDefault="0002013D" w:rsidP="002C0E44">
      <w:pPr>
        <w:pStyle w:val="ZLITUSTzmustliter"/>
        <w:spacing w:before="120"/>
        <w:ind w:left="0"/>
        <w:rPr>
          <w:rFonts w:ascii="Times New Roman" w:hAnsi="Times New Roman" w:cs="Times New Roman"/>
          <w:szCs w:val="24"/>
        </w:rPr>
      </w:pPr>
      <w:r w:rsidRPr="002C0E44">
        <w:rPr>
          <w:rFonts w:ascii="Times New Roman" w:hAnsi="Times New Roman" w:cs="Times New Roman"/>
          <w:szCs w:val="24"/>
        </w:rPr>
        <w:t xml:space="preserve">Zmiana w zakresie </w:t>
      </w:r>
      <w:r w:rsidRPr="002C0E44">
        <w:rPr>
          <w:rFonts w:ascii="Times New Roman" w:hAnsi="Times New Roman" w:cs="Times New Roman"/>
          <w:b/>
          <w:szCs w:val="24"/>
        </w:rPr>
        <w:t>art. 79 pkt 4</w:t>
      </w:r>
      <w:r w:rsidRPr="002C0E44">
        <w:rPr>
          <w:rFonts w:ascii="Times New Roman" w:hAnsi="Times New Roman" w:cs="Times New Roman"/>
          <w:szCs w:val="24"/>
        </w:rPr>
        <w:t xml:space="preserve"> </w:t>
      </w:r>
      <w:r w:rsidR="001F5555" w:rsidRPr="002C0E44">
        <w:rPr>
          <w:rFonts w:ascii="Times New Roman" w:hAnsi="Times New Roman" w:cs="Times New Roman"/>
          <w:szCs w:val="24"/>
        </w:rPr>
        <w:t xml:space="preserve">polega na wprowadzeniu odpowiedzialności karnej </w:t>
      </w:r>
      <w:r w:rsidR="00725CBD" w:rsidRPr="002C0E44">
        <w:rPr>
          <w:rFonts w:ascii="Times New Roman" w:hAnsi="Times New Roman" w:cs="Times New Roman"/>
          <w:szCs w:val="24"/>
        </w:rPr>
        <w:t>za niezłożenie we właściwym rejestrze sądowym sprawozdania o podatku dochodowym.</w:t>
      </w:r>
      <w:r w:rsidR="001F5555" w:rsidRPr="002C0E44">
        <w:rPr>
          <w:rFonts w:ascii="Times New Roman" w:hAnsi="Times New Roman" w:cs="Times New Roman"/>
          <w:szCs w:val="24"/>
        </w:rPr>
        <w:t xml:space="preserve"> Ponadto w pkt 4a uzupełnia się zapisy wprowadzając odpowiedzialność karną także za nieumieszczenie sprawozdania o podatku dochodowym na stronie internetowej jednostki.</w:t>
      </w:r>
    </w:p>
    <w:p w14:paraId="1CEC7B42" w14:textId="277FEF39" w:rsidR="00BE2A3A" w:rsidRPr="002C0E44" w:rsidRDefault="00BE2A3A" w:rsidP="002C0E44">
      <w:pPr>
        <w:pStyle w:val="ZLITUSTzmustliter"/>
        <w:spacing w:before="120"/>
        <w:ind w:left="0"/>
        <w:rPr>
          <w:rFonts w:ascii="Times New Roman" w:hAnsi="Times New Roman" w:cs="Times New Roman"/>
          <w:szCs w:val="24"/>
        </w:rPr>
      </w:pPr>
      <w:r w:rsidRPr="002C0E44">
        <w:rPr>
          <w:rFonts w:ascii="Times New Roman" w:hAnsi="Times New Roman" w:cs="Times New Roman"/>
          <w:szCs w:val="24"/>
        </w:rPr>
        <w:t>Projekt przewiduje ponadto zmianę w załączniku nr 6 do ustawy. Zgodnie z obecnie obowiązującym brzmieniem pkt 7 informacji dodatkowej w ww. załączniku, który określa zakres informacji wykazywanych w sprawozdaniu finansowym przez organizacje pozarządowe, jednostka posiadająca status organizacji pożytku publicznego zamieszcza w informacji dodatkowej dane na temat uzyskanych przychodów i poniesionych kosztów z tytułu 1% podatku dochodowego od osób fizycznych oraz sposobu wydatkowania środków pochodzących z 1% podatku dochodowego od osób fizycznych. Jednocześnie w lipcu 2022</w:t>
      </w:r>
      <w:r w:rsidR="009E2100">
        <w:rPr>
          <w:rFonts w:ascii="Times New Roman" w:hAnsi="Times New Roman" w:cs="Times New Roman"/>
          <w:szCs w:val="24"/>
        </w:rPr>
        <w:t> </w:t>
      </w:r>
      <w:r w:rsidRPr="002C0E44">
        <w:rPr>
          <w:rFonts w:ascii="Times New Roman" w:hAnsi="Times New Roman" w:cs="Times New Roman"/>
          <w:szCs w:val="24"/>
        </w:rPr>
        <w:t>r. weszły w życie przepisy ustawy</w:t>
      </w:r>
      <w:r w:rsidR="00475A11" w:rsidRPr="002C0E44">
        <w:rPr>
          <w:rFonts w:ascii="Times New Roman" w:hAnsi="Times New Roman" w:cs="Times New Roman"/>
          <w:szCs w:val="24"/>
        </w:rPr>
        <w:t xml:space="preserve"> z dnia 9 czerwca 2022</w:t>
      </w:r>
      <w:r w:rsidR="00307A73" w:rsidRPr="002C0E44">
        <w:rPr>
          <w:rFonts w:ascii="Times New Roman" w:hAnsi="Times New Roman" w:cs="Times New Roman"/>
          <w:szCs w:val="24"/>
        </w:rPr>
        <w:t xml:space="preserve"> r.</w:t>
      </w:r>
      <w:r w:rsidRPr="002C0E44">
        <w:rPr>
          <w:rFonts w:ascii="Times New Roman" w:hAnsi="Times New Roman" w:cs="Times New Roman"/>
          <w:szCs w:val="24"/>
        </w:rPr>
        <w:t xml:space="preserve"> zmieniającej ustawę o podatku dochodowym od osób fizycznych oraz niektórych innych ustaw (Dz. U. poz. 1265</w:t>
      </w:r>
      <w:r w:rsidR="00542A70" w:rsidRPr="002C0E44">
        <w:rPr>
          <w:rFonts w:ascii="Times New Roman" w:hAnsi="Times New Roman" w:cs="Times New Roman"/>
          <w:szCs w:val="24"/>
        </w:rPr>
        <w:t>, z późn.</w:t>
      </w:r>
      <w:r w:rsidR="009E2100">
        <w:rPr>
          <w:rFonts w:ascii="Times New Roman" w:hAnsi="Times New Roman" w:cs="Times New Roman"/>
          <w:szCs w:val="24"/>
        </w:rPr>
        <w:t> </w:t>
      </w:r>
      <w:r w:rsidR="00542A70" w:rsidRPr="002C0E44">
        <w:rPr>
          <w:rFonts w:ascii="Times New Roman" w:hAnsi="Times New Roman" w:cs="Times New Roman"/>
          <w:szCs w:val="24"/>
        </w:rPr>
        <w:t>zm.</w:t>
      </w:r>
      <w:r w:rsidRPr="002C0E44">
        <w:rPr>
          <w:rFonts w:ascii="Times New Roman" w:hAnsi="Times New Roman" w:cs="Times New Roman"/>
          <w:szCs w:val="24"/>
        </w:rPr>
        <w:t>), na podstawie których m.in. podniesiona została wysokość procentowa podatku przekazywanego na rzecz organizacji pożytku publicznego z 1% do 1,5%. Proponowana zmiana ustawy o rachunkowości ma na celu dost</w:t>
      </w:r>
      <w:r w:rsidR="00E245FD" w:rsidRPr="002C0E44">
        <w:rPr>
          <w:rFonts w:ascii="Times New Roman" w:hAnsi="Times New Roman" w:cs="Times New Roman"/>
          <w:szCs w:val="24"/>
        </w:rPr>
        <w:t xml:space="preserve">osowanie brzmienia ww. pkt 7 do </w:t>
      </w:r>
      <w:r w:rsidRPr="002C0E44">
        <w:rPr>
          <w:rFonts w:ascii="Times New Roman" w:hAnsi="Times New Roman" w:cs="Times New Roman"/>
          <w:szCs w:val="24"/>
        </w:rPr>
        <w:t xml:space="preserve">obecnie obowiązujących przepisów w zakresie wysokości podatku dochodowego od osób fizycznych, który podatnicy mogą przekazywać </w:t>
      </w:r>
      <w:hyperlink r:id="rId8" w:history="1">
        <w:r w:rsidRPr="002C0E44">
          <w:rPr>
            <w:rFonts w:ascii="Times New Roman" w:hAnsi="Times New Roman" w:cs="Times New Roman"/>
            <w:szCs w:val="24"/>
          </w:rPr>
          <w:t>organizacjom pożytku publicznego.</w:t>
        </w:r>
      </w:hyperlink>
      <w:r w:rsidR="00E245FD" w:rsidRPr="002C0E44">
        <w:rPr>
          <w:rFonts w:ascii="Times New Roman" w:hAnsi="Times New Roman" w:cs="Times New Roman"/>
          <w:szCs w:val="24"/>
        </w:rPr>
        <w:t xml:space="preserve"> Zatem ma ona wyłącznie charakter techniczny.</w:t>
      </w:r>
    </w:p>
    <w:p w14:paraId="0CD688F2" w14:textId="77777777" w:rsidR="00EF033F" w:rsidRPr="002C0E44" w:rsidRDefault="00EF033F" w:rsidP="002C0E44">
      <w:pPr>
        <w:spacing w:before="120"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D2BD8B4" w14:textId="653D77B2" w:rsidR="00D222F8" w:rsidRPr="002C0E44" w:rsidRDefault="00D222F8" w:rsidP="002C0E44">
      <w:pPr>
        <w:pStyle w:val="Akapitzlist"/>
        <w:numPr>
          <w:ilvl w:val="0"/>
          <w:numId w:val="12"/>
        </w:numPr>
        <w:spacing w:before="120"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0E44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Proponowane zmiany w ustawie o Krajowym Rejestrze Sądowym </w:t>
      </w:r>
      <w:r w:rsidR="00DD0AAF" w:rsidRPr="002C0E44">
        <w:rPr>
          <w:rFonts w:ascii="Times New Roman" w:hAnsi="Times New Roman" w:cs="Times New Roman"/>
          <w:b/>
          <w:bCs/>
          <w:sz w:val="24"/>
          <w:szCs w:val="24"/>
        </w:rPr>
        <w:t>(art.</w:t>
      </w:r>
      <w:r w:rsidR="009E2100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DD0AAF" w:rsidRPr="002C0E44">
        <w:rPr>
          <w:rFonts w:ascii="Times New Roman" w:hAnsi="Times New Roman" w:cs="Times New Roman"/>
          <w:b/>
          <w:bCs/>
          <w:sz w:val="24"/>
          <w:szCs w:val="24"/>
        </w:rPr>
        <w:t>2 ustawy nowelizującej)</w:t>
      </w:r>
    </w:p>
    <w:p w14:paraId="29A0FBCF" w14:textId="0B673501" w:rsidR="00D222F8" w:rsidRPr="002C0E44" w:rsidRDefault="00491EA5" w:rsidP="002C0E44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0E44">
        <w:rPr>
          <w:rFonts w:ascii="Times New Roman" w:hAnsi="Times New Roman" w:cs="Times New Roman"/>
          <w:bCs/>
          <w:sz w:val="24"/>
          <w:szCs w:val="24"/>
        </w:rPr>
        <w:t xml:space="preserve">W związku z wprowadzanym obowiązkiem </w:t>
      </w:r>
      <w:r w:rsidR="00CF1B71" w:rsidRPr="002C0E44">
        <w:rPr>
          <w:rFonts w:ascii="Times New Roman" w:hAnsi="Times New Roman" w:cs="Times New Roman"/>
          <w:bCs/>
          <w:sz w:val="24"/>
          <w:szCs w:val="24"/>
        </w:rPr>
        <w:t>publikacji</w:t>
      </w:r>
      <w:r w:rsidRPr="002C0E44">
        <w:rPr>
          <w:rFonts w:ascii="Times New Roman" w:hAnsi="Times New Roman" w:cs="Times New Roman"/>
          <w:bCs/>
          <w:sz w:val="24"/>
          <w:szCs w:val="24"/>
        </w:rPr>
        <w:t xml:space="preserve"> sprawozdania o podatku dochodowym</w:t>
      </w:r>
      <w:r w:rsidR="005A4AD3" w:rsidRPr="002C0E44">
        <w:rPr>
          <w:rFonts w:ascii="Times New Roman" w:hAnsi="Times New Roman" w:cs="Times New Roman"/>
          <w:bCs/>
          <w:sz w:val="24"/>
          <w:szCs w:val="24"/>
        </w:rPr>
        <w:t>, w celu zapewnienia, że</w:t>
      </w:r>
      <w:r w:rsidRPr="002C0E44">
        <w:rPr>
          <w:rFonts w:ascii="Times New Roman" w:hAnsi="Times New Roman" w:cs="Times New Roman"/>
          <w:bCs/>
          <w:sz w:val="24"/>
          <w:szCs w:val="24"/>
        </w:rPr>
        <w:t xml:space="preserve"> Krajow</w:t>
      </w:r>
      <w:r w:rsidR="005A4AD3" w:rsidRPr="002C0E44">
        <w:rPr>
          <w:rFonts w:ascii="Times New Roman" w:hAnsi="Times New Roman" w:cs="Times New Roman"/>
          <w:bCs/>
          <w:sz w:val="24"/>
          <w:szCs w:val="24"/>
        </w:rPr>
        <w:t>y</w:t>
      </w:r>
      <w:r w:rsidRPr="002C0E44">
        <w:rPr>
          <w:rFonts w:ascii="Times New Roman" w:hAnsi="Times New Roman" w:cs="Times New Roman"/>
          <w:bCs/>
          <w:sz w:val="24"/>
          <w:szCs w:val="24"/>
        </w:rPr>
        <w:t xml:space="preserve"> Rejestr Sądow</w:t>
      </w:r>
      <w:r w:rsidR="005A4AD3" w:rsidRPr="002C0E44">
        <w:rPr>
          <w:rFonts w:ascii="Times New Roman" w:hAnsi="Times New Roman" w:cs="Times New Roman"/>
          <w:bCs/>
          <w:sz w:val="24"/>
          <w:szCs w:val="24"/>
        </w:rPr>
        <w:t xml:space="preserve">y będzie mógł przyjmować ww. sprawozdania oraz będą one </w:t>
      </w:r>
      <w:r w:rsidR="00DA576E" w:rsidRPr="002C0E44">
        <w:rPr>
          <w:rFonts w:ascii="Times New Roman" w:hAnsi="Times New Roman" w:cs="Times New Roman"/>
          <w:bCs/>
          <w:sz w:val="24"/>
          <w:szCs w:val="24"/>
        </w:rPr>
        <w:t xml:space="preserve">powszechnie dostępne w </w:t>
      </w:r>
      <w:r w:rsidR="00ED42E0">
        <w:rPr>
          <w:rFonts w:ascii="Times New Roman" w:hAnsi="Times New Roman" w:cs="Times New Roman"/>
          <w:bCs/>
          <w:sz w:val="24"/>
          <w:szCs w:val="24"/>
        </w:rPr>
        <w:t>r</w:t>
      </w:r>
      <w:r w:rsidR="00DA576E" w:rsidRPr="002C0E44">
        <w:rPr>
          <w:rFonts w:ascii="Times New Roman" w:hAnsi="Times New Roman" w:cs="Times New Roman"/>
          <w:bCs/>
          <w:sz w:val="24"/>
          <w:szCs w:val="24"/>
        </w:rPr>
        <w:t xml:space="preserve">epozytorium </w:t>
      </w:r>
      <w:r w:rsidR="00ED42E0">
        <w:rPr>
          <w:rFonts w:ascii="Times New Roman" w:hAnsi="Times New Roman" w:cs="Times New Roman"/>
          <w:bCs/>
          <w:sz w:val="24"/>
          <w:szCs w:val="24"/>
        </w:rPr>
        <w:t>d</w:t>
      </w:r>
      <w:r w:rsidR="00DA576E" w:rsidRPr="002C0E44">
        <w:rPr>
          <w:rFonts w:ascii="Times New Roman" w:hAnsi="Times New Roman" w:cs="Times New Roman"/>
          <w:bCs/>
          <w:sz w:val="24"/>
          <w:szCs w:val="24"/>
        </w:rPr>
        <w:t xml:space="preserve">okumentów </w:t>
      </w:r>
      <w:r w:rsidR="00ED42E0">
        <w:rPr>
          <w:rFonts w:ascii="Times New Roman" w:hAnsi="Times New Roman" w:cs="Times New Roman"/>
          <w:bCs/>
          <w:sz w:val="24"/>
          <w:szCs w:val="24"/>
        </w:rPr>
        <w:t>f</w:t>
      </w:r>
      <w:r w:rsidR="00DA576E" w:rsidRPr="002C0E44">
        <w:rPr>
          <w:rFonts w:ascii="Times New Roman" w:hAnsi="Times New Roman" w:cs="Times New Roman"/>
          <w:bCs/>
          <w:sz w:val="24"/>
          <w:szCs w:val="24"/>
        </w:rPr>
        <w:t>inansowych</w:t>
      </w:r>
      <w:r w:rsidR="005A4AD3" w:rsidRPr="002C0E44">
        <w:rPr>
          <w:rFonts w:ascii="Times New Roman" w:hAnsi="Times New Roman" w:cs="Times New Roman"/>
          <w:bCs/>
          <w:sz w:val="24"/>
          <w:szCs w:val="24"/>
        </w:rPr>
        <w:t>, należy wprowadzić odpowiednie zmiany do ustawy o Krajowym Rejestrze Sądowym</w:t>
      </w:r>
      <w:r w:rsidR="00A04022" w:rsidRPr="002C0E44">
        <w:rPr>
          <w:rFonts w:ascii="Times New Roman" w:hAnsi="Times New Roman" w:cs="Times New Roman"/>
          <w:bCs/>
          <w:sz w:val="24"/>
          <w:szCs w:val="24"/>
        </w:rPr>
        <w:t>:</w:t>
      </w:r>
    </w:p>
    <w:p w14:paraId="07982472" w14:textId="2BBEDEA4" w:rsidR="00E43366" w:rsidRPr="002C0E44" w:rsidRDefault="00E43366" w:rsidP="002C0E44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0E44">
        <w:rPr>
          <w:rFonts w:ascii="Times New Roman" w:hAnsi="Times New Roman" w:cs="Times New Roman"/>
          <w:bCs/>
          <w:sz w:val="24"/>
          <w:szCs w:val="24"/>
        </w:rPr>
        <w:t xml:space="preserve">W </w:t>
      </w:r>
      <w:r w:rsidR="00DA576E" w:rsidRPr="002C0E44">
        <w:rPr>
          <w:rFonts w:ascii="Times New Roman" w:hAnsi="Times New Roman" w:cs="Times New Roman"/>
          <w:b/>
          <w:bCs/>
          <w:sz w:val="24"/>
          <w:szCs w:val="24"/>
        </w:rPr>
        <w:t>art. 8a ust. 1 pkt 5</w:t>
      </w:r>
      <w:r w:rsidR="00DA576E" w:rsidRPr="002C0E44">
        <w:rPr>
          <w:rFonts w:ascii="Times New Roman" w:hAnsi="Times New Roman" w:cs="Times New Roman"/>
          <w:bCs/>
          <w:sz w:val="24"/>
          <w:szCs w:val="24"/>
        </w:rPr>
        <w:t xml:space="preserve"> poszerza się </w:t>
      </w:r>
      <w:r w:rsidR="002870D9" w:rsidRPr="002C0E44">
        <w:rPr>
          <w:rFonts w:ascii="Times New Roman" w:hAnsi="Times New Roman" w:cs="Times New Roman"/>
          <w:bCs/>
          <w:sz w:val="24"/>
          <w:szCs w:val="24"/>
        </w:rPr>
        <w:t xml:space="preserve">elektroniczny </w:t>
      </w:r>
      <w:r w:rsidR="00DA576E" w:rsidRPr="002C0E44">
        <w:rPr>
          <w:rFonts w:ascii="Times New Roman" w:hAnsi="Times New Roman" w:cs="Times New Roman"/>
          <w:bCs/>
          <w:sz w:val="24"/>
          <w:szCs w:val="24"/>
        </w:rPr>
        <w:t>katalog dokumentów</w:t>
      </w:r>
      <w:r w:rsidR="002870D9" w:rsidRPr="002C0E44">
        <w:rPr>
          <w:rFonts w:ascii="Times New Roman" w:hAnsi="Times New Roman" w:cs="Times New Roman"/>
          <w:bCs/>
          <w:sz w:val="24"/>
          <w:szCs w:val="24"/>
        </w:rPr>
        <w:t xml:space="preserve"> spółek</w:t>
      </w:r>
      <w:r w:rsidR="00DA576E" w:rsidRPr="002C0E44">
        <w:rPr>
          <w:rFonts w:ascii="Times New Roman" w:hAnsi="Times New Roman" w:cs="Times New Roman"/>
          <w:bCs/>
          <w:sz w:val="24"/>
          <w:szCs w:val="24"/>
        </w:rPr>
        <w:t xml:space="preserve"> o sprawozdanie o podatku dochodowym.</w:t>
      </w:r>
    </w:p>
    <w:p w14:paraId="54701537" w14:textId="77777777" w:rsidR="00501E7A" w:rsidRPr="002C0E44" w:rsidRDefault="00DA576E" w:rsidP="002C0E44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0E44">
        <w:rPr>
          <w:rFonts w:ascii="Times New Roman" w:hAnsi="Times New Roman" w:cs="Times New Roman"/>
          <w:bCs/>
          <w:sz w:val="24"/>
          <w:szCs w:val="24"/>
        </w:rPr>
        <w:t xml:space="preserve">W </w:t>
      </w:r>
      <w:r w:rsidRPr="002C0E44">
        <w:rPr>
          <w:rFonts w:ascii="Times New Roman" w:hAnsi="Times New Roman" w:cs="Times New Roman"/>
          <w:b/>
          <w:bCs/>
          <w:sz w:val="24"/>
          <w:szCs w:val="24"/>
        </w:rPr>
        <w:t>art. 9a ust. 2</w:t>
      </w:r>
      <w:r w:rsidRPr="002C0E44">
        <w:rPr>
          <w:rFonts w:ascii="Times New Roman" w:hAnsi="Times New Roman" w:cs="Times New Roman"/>
          <w:bCs/>
          <w:sz w:val="24"/>
          <w:szCs w:val="24"/>
        </w:rPr>
        <w:t xml:space="preserve"> wskazuje się, że do repozytorium dokumentów finansowych</w:t>
      </w:r>
      <w:r w:rsidR="002870D9" w:rsidRPr="002C0E44">
        <w:rPr>
          <w:rFonts w:ascii="Times New Roman" w:hAnsi="Times New Roman" w:cs="Times New Roman"/>
          <w:bCs/>
          <w:sz w:val="24"/>
          <w:szCs w:val="24"/>
        </w:rPr>
        <w:t xml:space="preserve">, oprócz dokumentów </w:t>
      </w:r>
      <w:r w:rsidR="00A04022" w:rsidRPr="002C0E44">
        <w:rPr>
          <w:rFonts w:ascii="Times New Roman" w:hAnsi="Times New Roman" w:cs="Times New Roman"/>
          <w:bCs/>
          <w:sz w:val="24"/>
          <w:szCs w:val="24"/>
        </w:rPr>
        <w:t>wymienionych</w:t>
      </w:r>
      <w:r w:rsidR="002870D9" w:rsidRPr="002C0E44">
        <w:rPr>
          <w:rFonts w:ascii="Times New Roman" w:hAnsi="Times New Roman" w:cs="Times New Roman"/>
          <w:bCs/>
          <w:sz w:val="24"/>
          <w:szCs w:val="24"/>
        </w:rPr>
        <w:t xml:space="preserve"> w art. 69 ustawy o rachunkowości,</w:t>
      </w:r>
      <w:r w:rsidRPr="002C0E44">
        <w:rPr>
          <w:rFonts w:ascii="Times New Roman" w:hAnsi="Times New Roman" w:cs="Times New Roman"/>
          <w:bCs/>
          <w:sz w:val="24"/>
          <w:szCs w:val="24"/>
        </w:rPr>
        <w:t xml:space="preserve"> składane </w:t>
      </w:r>
      <w:r w:rsidR="00D84AEC" w:rsidRPr="002C0E44">
        <w:rPr>
          <w:rFonts w:ascii="Times New Roman" w:hAnsi="Times New Roman" w:cs="Times New Roman"/>
          <w:bCs/>
          <w:sz w:val="24"/>
          <w:szCs w:val="24"/>
        </w:rPr>
        <w:t>ma być</w:t>
      </w:r>
      <w:r w:rsidRPr="002C0E44">
        <w:rPr>
          <w:rFonts w:ascii="Times New Roman" w:hAnsi="Times New Roman" w:cs="Times New Roman"/>
          <w:bCs/>
          <w:sz w:val="24"/>
          <w:szCs w:val="24"/>
        </w:rPr>
        <w:t xml:space="preserve"> również</w:t>
      </w:r>
      <w:r w:rsidR="002870D9" w:rsidRPr="002C0E44">
        <w:rPr>
          <w:rFonts w:ascii="Times New Roman" w:hAnsi="Times New Roman" w:cs="Times New Roman"/>
          <w:bCs/>
          <w:sz w:val="24"/>
          <w:szCs w:val="24"/>
        </w:rPr>
        <w:t xml:space="preserve"> sprawozdanie o podatku dochodowym </w:t>
      </w:r>
      <w:r w:rsidR="00B16211" w:rsidRPr="002C0E44">
        <w:rPr>
          <w:rFonts w:ascii="Times New Roman" w:hAnsi="Times New Roman" w:cs="Times New Roman"/>
          <w:bCs/>
          <w:sz w:val="24"/>
          <w:szCs w:val="24"/>
        </w:rPr>
        <w:t>wraz z</w:t>
      </w:r>
      <w:r w:rsidR="00C06E94" w:rsidRPr="002C0E44"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14:paraId="4A98B843" w14:textId="6ED3B126" w:rsidR="00501E7A" w:rsidRPr="002C0E44" w:rsidRDefault="00C06E94" w:rsidP="000B5619">
      <w:pPr>
        <w:spacing w:before="120" w:after="0" w:line="36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0E44">
        <w:rPr>
          <w:rFonts w:ascii="Times New Roman" w:hAnsi="Times New Roman" w:cs="Times New Roman"/>
          <w:bCs/>
          <w:sz w:val="24"/>
          <w:szCs w:val="24"/>
        </w:rPr>
        <w:t>1. oświadczeniem, że jednostka z państwa trzeciego nie przekazała swojego sprawozdania/informacji niezbędnych do jego sporządzenia,</w:t>
      </w:r>
    </w:p>
    <w:p w14:paraId="719B46C7" w14:textId="4B2133AE" w:rsidR="00501E7A" w:rsidRPr="002C0E44" w:rsidRDefault="00C06E94" w:rsidP="000B5619">
      <w:pPr>
        <w:spacing w:before="120"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C0E44"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="00B506BD" w:rsidRPr="002C0E44">
        <w:rPr>
          <w:rFonts w:ascii="Times New Roman" w:hAnsi="Times New Roman" w:cs="Times New Roman"/>
          <w:bCs/>
          <w:sz w:val="24"/>
          <w:szCs w:val="24"/>
        </w:rPr>
        <w:t>odmow</w:t>
      </w:r>
      <w:r w:rsidR="00B16211" w:rsidRPr="002C0E44">
        <w:rPr>
          <w:rFonts w:ascii="Times New Roman" w:hAnsi="Times New Roman" w:cs="Times New Roman"/>
          <w:bCs/>
          <w:sz w:val="24"/>
          <w:szCs w:val="24"/>
        </w:rPr>
        <w:t>ą</w:t>
      </w:r>
      <w:r w:rsidR="00B506BD" w:rsidRPr="002C0E44">
        <w:rPr>
          <w:rFonts w:ascii="Times New Roman" w:hAnsi="Times New Roman" w:cs="Times New Roman"/>
          <w:sz w:val="24"/>
          <w:szCs w:val="24"/>
        </w:rPr>
        <w:t xml:space="preserve"> podpisu sprawozdania o podatku dochodowym,</w:t>
      </w:r>
    </w:p>
    <w:p w14:paraId="626131AD" w14:textId="77777777" w:rsidR="00501E7A" w:rsidRPr="002C0E44" w:rsidRDefault="00C06E94" w:rsidP="000B5619">
      <w:pPr>
        <w:spacing w:before="120"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C0E44">
        <w:rPr>
          <w:rFonts w:ascii="Times New Roman" w:hAnsi="Times New Roman" w:cs="Times New Roman"/>
          <w:sz w:val="24"/>
          <w:szCs w:val="24"/>
        </w:rPr>
        <w:t xml:space="preserve">3. </w:t>
      </w:r>
      <w:r w:rsidR="00B506BD" w:rsidRPr="002C0E44">
        <w:rPr>
          <w:rFonts w:ascii="Times New Roman" w:hAnsi="Times New Roman" w:cs="Times New Roman"/>
          <w:sz w:val="24"/>
          <w:szCs w:val="24"/>
        </w:rPr>
        <w:t>oświadczenie</w:t>
      </w:r>
      <w:r w:rsidR="00B16211" w:rsidRPr="002C0E44">
        <w:rPr>
          <w:rFonts w:ascii="Times New Roman" w:hAnsi="Times New Roman" w:cs="Times New Roman"/>
          <w:sz w:val="24"/>
          <w:szCs w:val="24"/>
        </w:rPr>
        <w:t>m</w:t>
      </w:r>
      <w:r w:rsidR="00B506BD" w:rsidRPr="002C0E44">
        <w:rPr>
          <w:rFonts w:ascii="Times New Roman" w:hAnsi="Times New Roman" w:cs="Times New Roman"/>
          <w:sz w:val="24"/>
          <w:szCs w:val="24"/>
        </w:rPr>
        <w:t xml:space="preserve">, że </w:t>
      </w:r>
      <w:r w:rsidRPr="002C0E44">
        <w:rPr>
          <w:rFonts w:ascii="Times New Roman" w:hAnsi="Times New Roman" w:cs="Times New Roman"/>
          <w:sz w:val="24"/>
          <w:szCs w:val="24"/>
        </w:rPr>
        <w:t xml:space="preserve">sprawozdanie </w:t>
      </w:r>
      <w:r w:rsidR="00B506BD" w:rsidRPr="002C0E44">
        <w:rPr>
          <w:rFonts w:ascii="Times New Roman" w:hAnsi="Times New Roman" w:cs="Times New Roman"/>
          <w:sz w:val="24"/>
          <w:szCs w:val="24"/>
        </w:rPr>
        <w:t xml:space="preserve">spełnia wymagania przewidziane w ustawie lub </w:t>
      </w:r>
    </w:p>
    <w:p w14:paraId="4D815A88" w14:textId="7FE467DB" w:rsidR="00501E7A" w:rsidRPr="002C0E44" w:rsidRDefault="00C06E94" w:rsidP="000B5619">
      <w:pPr>
        <w:spacing w:before="120" w:after="0" w:line="36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0E44">
        <w:rPr>
          <w:rFonts w:ascii="Times New Roman" w:hAnsi="Times New Roman" w:cs="Times New Roman"/>
          <w:sz w:val="24"/>
          <w:szCs w:val="24"/>
        </w:rPr>
        <w:t xml:space="preserve">4. </w:t>
      </w:r>
      <w:r w:rsidR="00B506BD" w:rsidRPr="002C0E44">
        <w:rPr>
          <w:rFonts w:ascii="Times New Roman" w:hAnsi="Times New Roman" w:cs="Times New Roman"/>
          <w:sz w:val="24"/>
          <w:szCs w:val="24"/>
        </w:rPr>
        <w:t>odmow</w:t>
      </w:r>
      <w:r w:rsidR="00B16211" w:rsidRPr="002C0E44">
        <w:rPr>
          <w:rFonts w:ascii="Times New Roman" w:hAnsi="Times New Roman" w:cs="Times New Roman"/>
          <w:sz w:val="24"/>
          <w:szCs w:val="24"/>
        </w:rPr>
        <w:t>ą</w:t>
      </w:r>
      <w:r w:rsidR="00B506BD" w:rsidRPr="002C0E44">
        <w:rPr>
          <w:rFonts w:ascii="Times New Roman" w:hAnsi="Times New Roman" w:cs="Times New Roman"/>
          <w:sz w:val="24"/>
          <w:szCs w:val="24"/>
        </w:rPr>
        <w:t xml:space="preserve"> złożenia takiego oświadczenia, w przypadku gdy </w:t>
      </w:r>
      <w:r w:rsidRPr="002C0E44">
        <w:rPr>
          <w:rFonts w:ascii="Times New Roman" w:hAnsi="Times New Roman" w:cs="Times New Roman"/>
          <w:sz w:val="24"/>
          <w:szCs w:val="24"/>
        </w:rPr>
        <w:t xml:space="preserve">ww. </w:t>
      </w:r>
      <w:r w:rsidR="00A101D3" w:rsidRPr="002C0E44">
        <w:rPr>
          <w:rFonts w:ascii="Times New Roman" w:hAnsi="Times New Roman" w:cs="Times New Roman"/>
          <w:sz w:val="24"/>
          <w:szCs w:val="24"/>
        </w:rPr>
        <w:t xml:space="preserve">odmowy lub </w:t>
      </w:r>
      <w:r w:rsidRPr="002C0E44">
        <w:rPr>
          <w:rFonts w:ascii="Times New Roman" w:hAnsi="Times New Roman" w:cs="Times New Roman"/>
          <w:sz w:val="24"/>
          <w:szCs w:val="24"/>
        </w:rPr>
        <w:t>oświadczenia</w:t>
      </w:r>
      <w:r w:rsidR="00A101D3" w:rsidRPr="002C0E44">
        <w:rPr>
          <w:rFonts w:ascii="Times New Roman" w:hAnsi="Times New Roman" w:cs="Times New Roman"/>
          <w:sz w:val="24"/>
          <w:szCs w:val="24"/>
        </w:rPr>
        <w:t xml:space="preserve"> </w:t>
      </w:r>
      <w:r w:rsidR="00B506BD" w:rsidRPr="002C0E44">
        <w:rPr>
          <w:rFonts w:ascii="Times New Roman" w:hAnsi="Times New Roman" w:cs="Times New Roman"/>
          <w:sz w:val="24"/>
          <w:szCs w:val="24"/>
        </w:rPr>
        <w:t>zostały sporządzone (dodanie powołania na art.</w:t>
      </w:r>
      <w:r w:rsidR="00A101D3" w:rsidRPr="002C0E44">
        <w:rPr>
          <w:rFonts w:ascii="Times New Roman" w:hAnsi="Times New Roman" w:cs="Times New Roman"/>
          <w:sz w:val="24"/>
          <w:szCs w:val="24"/>
        </w:rPr>
        <w:t> </w:t>
      </w:r>
      <w:r w:rsidR="00B506BD" w:rsidRPr="002C0E44">
        <w:rPr>
          <w:rFonts w:ascii="Times New Roman" w:hAnsi="Times New Roman" w:cs="Times New Roman"/>
          <w:sz w:val="24"/>
          <w:szCs w:val="24"/>
        </w:rPr>
        <w:t>63</w:t>
      </w:r>
      <w:r w:rsidR="00B16211" w:rsidRPr="002C0E44">
        <w:rPr>
          <w:rFonts w:ascii="Times New Roman" w:hAnsi="Times New Roman" w:cs="Times New Roman"/>
          <w:sz w:val="24"/>
          <w:szCs w:val="24"/>
        </w:rPr>
        <w:t>m ust.</w:t>
      </w:r>
      <w:r w:rsidR="007B53B7" w:rsidRPr="002C0E44">
        <w:rPr>
          <w:rFonts w:ascii="Times New Roman" w:hAnsi="Times New Roman" w:cs="Times New Roman"/>
          <w:sz w:val="24"/>
          <w:szCs w:val="24"/>
        </w:rPr>
        <w:t xml:space="preserve"> </w:t>
      </w:r>
      <w:r w:rsidR="00A101D3" w:rsidRPr="002C0E44">
        <w:rPr>
          <w:rFonts w:ascii="Times New Roman" w:hAnsi="Times New Roman" w:cs="Times New Roman"/>
          <w:sz w:val="24"/>
          <w:szCs w:val="24"/>
        </w:rPr>
        <w:t>4</w:t>
      </w:r>
      <w:r w:rsidR="00424CA3" w:rsidRPr="002C0E44">
        <w:rPr>
          <w:rFonts w:ascii="Times New Roman" w:hAnsi="Times New Roman" w:cs="Times New Roman"/>
          <w:sz w:val="24"/>
          <w:szCs w:val="24"/>
        </w:rPr>
        <w:t xml:space="preserve"> pkt 1 i ust. 5</w:t>
      </w:r>
      <w:r w:rsidR="00FB44C5" w:rsidRPr="002C0E44">
        <w:rPr>
          <w:rFonts w:ascii="Times New Roman" w:hAnsi="Times New Roman" w:cs="Times New Roman"/>
          <w:sz w:val="24"/>
          <w:szCs w:val="24"/>
        </w:rPr>
        <w:t xml:space="preserve"> </w:t>
      </w:r>
      <w:r w:rsidR="007B53B7" w:rsidRPr="002C0E44">
        <w:rPr>
          <w:rFonts w:ascii="Times New Roman" w:hAnsi="Times New Roman" w:cs="Times New Roman"/>
          <w:sz w:val="24"/>
          <w:szCs w:val="24"/>
        </w:rPr>
        <w:t>oraz art. 63n ust.</w:t>
      </w:r>
      <w:r w:rsidR="009E2100">
        <w:rPr>
          <w:rFonts w:ascii="Times New Roman" w:hAnsi="Times New Roman" w:cs="Times New Roman"/>
          <w:sz w:val="24"/>
          <w:szCs w:val="24"/>
        </w:rPr>
        <w:t> </w:t>
      </w:r>
      <w:r w:rsidR="00A101D3" w:rsidRPr="002C0E44">
        <w:rPr>
          <w:rFonts w:ascii="Times New Roman" w:hAnsi="Times New Roman" w:cs="Times New Roman"/>
          <w:sz w:val="24"/>
          <w:szCs w:val="24"/>
        </w:rPr>
        <w:t xml:space="preserve">5 </w:t>
      </w:r>
      <w:r w:rsidR="00424CA3" w:rsidRPr="002C0E44">
        <w:rPr>
          <w:rFonts w:ascii="Times New Roman" w:hAnsi="Times New Roman" w:cs="Times New Roman"/>
          <w:sz w:val="24"/>
          <w:szCs w:val="24"/>
        </w:rPr>
        <w:t xml:space="preserve">pkt 1 i ust. 6 </w:t>
      </w:r>
      <w:r w:rsidR="00B506BD" w:rsidRPr="002C0E44">
        <w:rPr>
          <w:rFonts w:ascii="Times New Roman" w:hAnsi="Times New Roman" w:cs="Times New Roman"/>
          <w:sz w:val="24"/>
          <w:szCs w:val="24"/>
        </w:rPr>
        <w:t>ustawy o rachunkowości)</w:t>
      </w:r>
      <w:r w:rsidR="002870D9" w:rsidRPr="002C0E44">
        <w:rPr>
          <w:rFonts w:ascii="Times New Roman" w:hAnsi="Times New Roman" w:cs="Times New Roman"/>
          <w:bCs/>
          <w:sz w:val="24"/>
          <w:szCs w:val="24"/>
        </w:rPr>
        <w:t>.</w:t>
      </w:r>
    </w:p>
    <w:p w14:paraId="4808F54C" w14:textId="2B34ED84" w:rsidR="00DA576E" w:rsidRPr="002C0E44" w:rsidRDefault="00F55265" w:rsidP="002C0E44">
      <w:pPr>
        <w:spacing w:before="120"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0E44">
        <w:rPr>
          <w:rFonts w:ascii="Times New Roman" w:hAnsi="Times New Roman" w:cs="Times New Roman"/>
          <w:bCs/>
          <w:sz w:val="24"/>
          <w:szCs w:val="24"/>
        </w:rPr>
        <w:t>W konsekwencji</w:t>
      </w:r>
      <w:r w:rsidR="00A04022" w:rsidRPr="002C0E44">
        <w:rPr>
          <w:rFonts w:ascii="Times New Roman" w:hAnsi="Times New Roman" w:cs="Times New Roman"/>
          <w:bCs/>
          <w:sz w:val="24"/>
          <w:szCs w:val="24"/>
        </w:rPr>
        <w:t xml:space="preserve"> uzupełnia się</w:t>
      </w:r>
      <w:r w:rsidRPr="002C0E44">
        <w:rPr>
          <w:rFonts w:ascii="Times New Roman" w:hAnsi="Times New Roman" w:cs="Times New Roman"/>
          <w:bCs/>
          <w:sz w:val="24"/>
          <w:szCs w:val="24"/>
        </w:rPr>
        <w:t xml:space="preserve"> także</w:t>
      </w:r>
      <w:r w:rsidR="00A04022" w:rsidRPr="002C0E4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04022" w:rsidRPr="002C0E44">
        <w:rPr>
          <w:rFonts w:ascii="Times New Roman" w:hAnsi="Times New Roman" w:cs="Times New Roman"/>
          <w:b/>
          <w:bCs/>
          <w:sz w:val="24"/>
          <w:szCs w:val="24"/>
        </w:rPr>
        <w:t>art. 19e ust. 1</w:t>
      </w:r>
      <w:r w:rsidR="00A04022" w:rsidRPr="002C0E44">
        <w:rPr>
          <w:rFonts w:ascii="Times New Roman" w:hAnsi="Times New Roman" w:cs="Times New Roman"/>
          <w:bCs/>
          <w:sz w:val="24"/>
          <w:szCs w:val="24"/>
        </w:rPr>
        <w:t xml:space="preserve"> (dodanie powołania na art. 63m</w:t>
      </w:r>
      <w:r w:rsidR="00A101D3" w:rsidRPr="002C0E44">
        <w:rPr>
          <w:rFonts w:ascii="Times New Roman" w:hAnsi="Times New Roman" w:cs="Times New Roman"/>
          <w:bCs/>
          <w:sz w:val="24"/>
          <w:szCs w:val="24"/>
        </w:rPr>
        <w:t xml:space="preserve"> ust. 4</w:t>
      </w:r>
      <w:r w:rsidR="00424CA3" w:rsidRPr="002C0E44">
        <w:rPr>
          <w:rFonts w:ascii="Times New Roman" w:hAnsi="Times New Roman" w:cs="Times New Roman"/>
          <w:bCs/>
          <w:sz w:val="24"/>
          <w:szCs w:val="24"/>
        </w:rPr>
        <w:t xml:space="preserve"> pkt</w:t>
      </w:r>
      <w:r w:rsidR="009E2100">
        <w:rPr>
          <w:rFonts w:ascii="Times New Roman" w:hAnsi="Times New Roman" w:cs="Times New Roman"/>
          <w:bCs/>
          <w:sz w:val="24"/>
          <w:szCs w:val="24"/>
        </w:rPr>
        <w:t> </w:t>
      </w:r>
      <w:r w:rsidR="00424CA3" w:rsidRPr="002C0E44">
        <w:rPr>
          <w:rFonts w:ascii="Times New Roman" w:hAnsi="Times New Roman" w:cs="Times New Roman"/>
          <w:bCs/>
          <w:sz w:val="24"/>
          <w:szCs w:val="24"/>
        </w:rPr>
        <w:t>1 i ust. 5</w:t>
      </w:r>
      <w:r w:rsidR="00A101D3" w:rsidRPr="002C0E4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24CA3" w:rsidRPr="002C0E44">
        <w:rPr>
          <w:rFonts w:ascii="Times New Roman" w:hAnsi="Times New Roman" w:cs="Times New Roman"/>
          <w:bCs/>
          <w:sz w:val="24"/>
          <w:szCs w:val="24"/>
        </w:rPr>
        <w:t>oraz</w:t>
      </w:r>
      <w:r w:rsidR="00617662" w:rsidRPr="002C0E4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04022" w:rsidRPr="002C0E44">
        <w:rPr>
          <w:rFonts w:ascii="Times New Roman" w:hAnsi="Times New Roman" w:cs="Times New Roman"/>
          <w:bCs/>
          <w:sz w:val="24"/>
          <w:szCs w:val="24"/>
        </w:rPr>
        <w:t>art. 63n</w:t>
      </w:r>
      <w:r w:rsidR="00617662" w:rsidRPr="002C0E44">
        <w:rPr>
          <w:rFonts w:ascii="Times New Roman" w:hAnsi="Times New Roman" w:cs="Times New Roman"/>
          <w:bCs/>
          <w:sz w:val="24"/>
          <w:szCs w:val="24"/>
        </w:rPr>
        <w:t xml:space="preserve"> ust. </w:t>
      </w:r>
      <w:r w:rsidR="00A101D3" w:rsidRPr="002C0E44">
        <w:rPr>
          <w:rFonts w:ascii="Times New Roman" w:hAnsi="Times New Roman" w:cs="Times New Roman"/>
          <w:bCs/>
          <w:sz w:val="24"/>
          <w:szCs w:val="24"/>
        </w:rPr>
        <w:t>5</w:t>
      </w:r>
      <w:r w:rsidR="00424CA3" w:rsidRPr="002C0E44">
        <w:rPr>
          <w:rFonts w:ascii="Times New Roman" w:hAnsi="Times New Roman" w:cs="Times New Roman"/>
          <w:bCs/>
          <w:sz w:val="24"/>
          <w:szCs w:val="24"/>
        </w:rPr>
        <w:t xml:space="preserve"> pkt 1 i ust. 6</w:t>
      </w:r>
      <w:r w:rsidR="00A101D3" w:rsidRPr="002C0E4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04022" w:rsidRPr="002C0E44">
        <w:rPr>
          <w:rFonts w:ascii="Times New Roman" w:hAnsi="Times New Roman" w:cs="Times New Roman"/>
          <w:bCs/>
          <w:sz w:val="24"/>
          <w:szCs w:val="24"/>
        </w:rPr>
        <w:t>ustawy o rachunkowości)</w:t>
      </w:r>
      <w:r w:rsidR="00ED42E0">
        <w:rPr>
          <w:rFonts w:ascii="Times New Roman" w:hAnsi="Times New Roman" w:cs="Times New Roman"/>
          <w:bCs/>
          <w:sz w:val="24"/>
          <w:szCs w:val="24"/>
        </w:rPr>
        <w:t>,</w:t>
      </w:r>
      <w:r w:rsidR="00A04022" w:rsidRPr="002C0E44">
        <w:rPr>
          <w:rFonts w:ascii="Times New Roman" w:hAnsi="Times New Roman" w:cs="Times New Roman"/>
          <w:bCs/>
          <w:sz w:val="24"/>
          <w:szCs w:val="24"/>
        </w:rPr>
        <w:t xml:space="preserve"> wskazując, że ww. złożenie sprawozdania o podatku dochodowym</w:t>
      </w:r>
      <w:r w:rsidR="00B506BD" w:rsidRPr="002C0E44">
        <w:rPr>
          <w:rFonts w:ascii="Times New Roman" w:hAnsi="Times New Roman" w:cs="Times New Roman"/>
          <w:bCs/>
          <w:sz w:val="24"/>
          <w:szCs w:val="24"/>
        </w:rPr>
        <w:t xml:space="preserve"> wraz z towarzyszącymi dokumentami</w:t>
      </w:r>
      <w:r w:rsidR="00A04022" w:rsidRPr="002C0E44">
        <w:rPr>
          <w:rFonts w:ascii="Times New Roman" w:hAnsi="Times New Roman" w:cs="Times New Roman"/>
          <w:bCs/>
          <w:sz w:val="24"/>
          <w:szCs w:val="24"/>
        </w:rPr>
        <w:t xml:space="preserve"> następuje przez zgłoszenie za pośrednictwem systemu teleinformatycznego udostępnionego przez Ministra Sprawiedliwości.</w:t>
      </w:r>
    </w:p>
    <w:p w14:paraId="263C4AD4" w14:textId="62F95F5D" w:rsidR="00A04022" w:rsidRPr="002C0E44" w:rsidRDefault="002870D9" w:rsidP="002C0E44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0E44">
        <w:rPr>
          <w:rFonts w:ascii="Times New Roman" w:hAnsi="Times New Roman" w:cs="Times New Roman"/>
          <w:bCs/>
          <w:sz w:val="24"/>
          <w:szCs w:val="24"/>
        </w:rPr>
        <w:t xml:space="preserve">W </w:t>
      </w:r>
      <w:r w:rsidRPr="002C0E44">
        <w:rPr>
          <w:rFonts w:ascii="Times New Roman" w:hAnsi="Times New Roman" w:cs="Times New Roman"/>
          <w:b/>
          <w:bCs/>
          <w:sz w:val="24"/>
          <w:szCs w:val="24"/>
        </w:rPr>
        <w:t>art. 12 ust. 4</w:t>
      </w:r>
      <w:r w:rsidRPr="002C0E44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2C0E44">
        <w:rPr>
          <w:rFonts w:ascii="Times New Roman" w:hAnsi="Times New Roman" w:cs="Times New Roman"/>
          <w:b/>
          <w:bCs/>
          <w:sz w:val="24"/>
          <w:szCs w:val="24"/>
        </w:rPr>
        <w:t>art. 19e ust. 7</w:t>
      </w:r>
      <w:r w:rsidRPr="002C0E44">
        <w:rPr>
          <w:rFonts w:ascii="Times New Roman" w:hAnsi="Times New Roman" w:cs="Times New Roman"/>
          <w:bCs/>
          <w:sz w:val="24"/>
          <w:szCs w:val="24"/>
        </w:rPr>
        <w:t xml:space="preserve"> oraz </w:t>
      </w:r>
      <w:r w:rsidRPr="002C0E44">
        <w:rPr>
          <w:rFonts w:ascii="Times New Roman" w:hAnsi="Times New Roman" w:cs="Times New Roman"/>
          <w:b/>
          <w:bCs/>
          <w:sz w:val="24"/>
          <w:szCs w:val="24"/>
        </w:rPr>
        <w:t>art. 20 ust. 1f</w:t>
      </w:r>
      <w:r w:rsidRPr="002C0E44">
        <w:rPr>
          <w:rFonts w:ascii="Times New Roman" w:hAnsi="Times New Roman" w:cs="Times New Roman"/>
          <w:bCs/>
          <w:sz w:val="24"/>
          <w:szCs w:val="24"/>
        </w:rPr>
        <w:t xml:space="preserve"> dokonuje się aktualizacji zawartego w nich odesłania do art. 40</w:t>
      </w:r>
      <w:r w:rsidR="00A04022" w:rsidRPr="002C0E4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84AEC" w:rsidRPr="002C0E44">
        <w:rPr>
          <w:rFonts w:ascii="Times New Roman" w:hAnsi="Times New Roman" w:cs="Times New Roman"/>
          <w:bCs/>
          <w:sz w:val="24"/>
          <w:szCs w:val="24"/>
        </w:rPr>
        <w:t xml:space="preserve">w związku z jego </w:t>
      </w:r>
      <w:r w:rsidR="00A04022" w:rsidRPr="002C0E44">
        <w:rPr>
          <w:rFonts w:ascii="Times New Roman" w:hAnsi="Times New Roman" w:cs="Times New Roman"/>
          <w:bCs/>
          <w:sz w:val="24"/>
          <w:szCs w:val="24"/>
        </w:rPr>
        <w:t>uzupełni</w:t>
      </w:r>
      <w:r w:rsidR="00D84AEC" w:rsidRPr="002C0E44">
        <w:rPr>
          <w:rFonts w:ascii="Times New Roman" w:hAnsi="Times New Roman" w:cs="Times New Roman"/>
          <w:bCs/>
          <w:sz w:val="24"/>
          <w:szCs w:val="24"/>
        </w:rPr>
        <w:t>eniem</w:t>
      </w:r>
      <w:r w:rsidR="00A04022" w:rsidRPr="002C0E44">
        <w:rPr>
          <w:rFonts w:ascii="Times New Roman" w:hAnsi="Times New Roman" w:cs="Times New Roman"/>
          <w:bCs/>
          <w:sz w:val="24"/>
          <w:szCs w:val="24"/>
        </w:rPr>
        <w:t xml:space="preserve"> o nowy punkt 5b dotyczący sprawozdania o podatku dochodowym.</w:t>
      </w:r>
    </w:p>
    <w:p w14:paraId="0587156D" w14:textId="158BBE3A" w:rsidR="002870D9" w:rsidRPr="002C0E44" w:rsidRDefault="00F55265" w:rsidP="002C0E44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0E44">
        <w:rPr>
          <w:rFonts w:ascii="Times New Roman" w:hAnsi="Times New Roman" w:cs="Times New Roman"/>
          <w:bCs/>
          <w:sz w:val="24"/>
          <w:szCs w:val="24"/>
        </w:rPr>
        <w:t xml:space="preserve">Informacja o złożeniu sprawozdania o podatku dochodowym </w:t>
      </w:r>
      <w:r w:rsidR="00D62669" w:rsidRPr="002C0E44">
        <w:rPr>
          <w:rFonts w:ascii="Times New Roman" w:hAnsi="Times New Roman" w:cs="Times New Roman"/>
          <w:bCs/>
          <w:sz w:val="24"/>
          <w:szCs w:val="24"/>
        </w:rPr>
        <w:t>powinna</w:t>
      </w:r>
      <w:r w:rsidRPr="002C0E44">
        <w:rPr>
          <w:rFonts w:ascii="Times New Roman" w:hAnsi="Times New Roman" w:cs="Times New Roman"/>
          <w:bCs/>
          <w:sz w:val="24"/>
          <w:szCs w:val="24"/>
        </w:rPr>
        <w:t xml:space="preserve"> podlegać również u</w:t>
      </w:r>
      <w:r w:rsidR="00D62669" w:rsidRPr="002C0E44">
        <w:rPr>
          <w:rFonts w:ascii="Times New Roman" w:hAnsi="Times New Roman" w:cs="Times New Roman"/>
          <w:bCs/>
          <w:sz w:val="24"/>
          <w:szCs w:val="24"/>
        </w:rPr>
        <w:t xml:space="preserve">jawnieniu w rejestrze przedsiębiorców. </w:t>
      </w:r>
      <w:r w:rsidR="00A04022" w:rsidRPr="002C0E44">
        <w:rPr>
          <w:rFonts w:ascii="Times New Roman" w:hAnsi="Times New Roman" w:cs="Times New Roman"/>
          <w:bCs/>
          <w:sz w:val="24"/>
          <w:szCs w:val="24"/>
        </w:rPr>
        <w:t>W</w:t>
      </w:r>
      <w:r w:rsidR="00D62669" w:rsidRPr="002C0E44">
        <w:rPr>
          <w:rFonts w:ascii="Times New Roman" w:hAnsi="Times New Roman" w:cs="Times New Roman"/>
          <w:bCs/>
          <w:sz w:val="24"/>
          <w:szCs w:val="24"/>
        </w:rPr>
        <w:t xml:space="preserve"> związku z tym w</w:t>
      </w:r>
      <w:r w:rsidR="00A04022" w:rsidRPr="002C0E4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04022" w:rsidRPr="002C0E44">
        <w:rPr>
          <w:rFonts w:ascii="Times New Roman" w:hAnsi="Times New Roman" w:cs="Times New Roman"/>
          <w:b/>
          <w:bCs/>
          <w:sz w:val="24"/>
          <w:szCs w:val="24"/>
        </w:rPr>
        <w:t xml:space="preserve">art. </w:t>
      </w:r>
      <w:r w:rsidRPr="002C0E44">
        <w:rPr>
          <w:rFonts w:ascii="Times New Roman" w:hAnsi="Times New Roman" w:cs="Times New Roman"/>
          <w:b/>
          <w:bCs/>
          <w:sz w:val="24"/>
          <w:szCs w:val="24"/>
        </w:rPr>
        <w:t>40</w:t>
      </w:r>
      <w:r w:rsidRPr="002C0E44">
        <w:rPr>
          <w:rFonts w:ascii="Times New Roman" w:hAnsi="Times New Roman" w:cs="Times New Roman"/>
          <w:bCs/>
          <w:sz w:val="24"/>
          <w:szCs w:val="24"/>
        </w:rPr>
        <w:t xml:space="preserve"> dodaje się </w:t>
      </w:r>
      <w:r w:rsidRPr="002C0E44">
        <w:rPr>
          <w:rFonts w:ascii="Times New Roman" w:hAnsi="Times New Roman" w:cs="Times New Roman"/>
          <w:b/>
          <w:bCs/>
          <w:sz w:val="24"/>
          <w:szCs w:val="24"/>
        </w:rPr>
        <w:t>nowy pkt 5b</w:t>
      </w:r>
      <w:r w:rsidR="00D62669" w:rsidRPr="002C0E44">
        <w:rPr>
          <w:rFonts w:ascii="Times New Roman" w:hAnsi="Times New Roman" w:cs="Times New Roman"/>
          <w:bCs/>
          <w:sz w:val="24"/>
          <w:szCs w:val="24"/>
        </w:rPr>
        <w:t xml:space="preserve"> wskazujący, że wzmianka o złożeniu sprawozdania o podatku dochodowym</w:t>
      </w:r>
      <w:r w:rsidR="00D84AEC" w:rsidRPr="002C0E44">
        <w:rPr>
          <w:rFonts w:ascii="Times New Roman" w:hAnsi="Times New Roman" w:cs="Times New Roman"/>
          <w:bCs/>
          <w:sz w:val="24"/>
          <w:szCs w:val="24"/>
        </w:rPr>
        <w:t xml:space="preserve"> będzie zamieszczana w dziale 3 rejestru przedsiębiorców.</w:t>
      </w:r>
    </w:p>
    <w:p w14:paraId="5BC378C2" w14:textId="26E9B482" w:rsidR="00A10F2C" w:rsidRPr="002C0E44" w:rsidRDefault="00EA1330" w:rsidP="002C0E44">
      <w:pPr>
        <w:pStyle w:val="Akapitzlist"/>
        <w:numPr>
          <w:ilvl w:val="0"/>
          <w:numId w:val="12"/>
        </w:numPr>
        <w:spacing w:before="120"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0E44">
        <w:rPr>
          <w:rFonts w:ascii="Times New Roman" w:hAnsi="Times New Roman" w:cs="Times New Roman"/>
          <w:b/>
          <w:bCs/>
          <w:sz w:val="24"/>
          <w:szCs w:val="24"/>
        </w:rPr>
        <w:lastRenderedPageBreak/>
        <w:t>Proponowane zmiany w ustawie o biegłych rewidentach</w:t>
      </w:r>
      <w:r w:rsidR="00364C54" w:rsidRPr="002C0E44">
        <w:rPr>
          <w:rFonts w:ascii="Times New Roman" w:hAnsi="Times New Roman" w:cs="Times New Roman"/>
          <w:b/>
          <w:bCs/>
          <w:sz w:val="24"/>
          <w:szCs w:val="24"/>
        </w:rPr>
        <w:t xml:space="preserve"> wprowadzane projektem ustawy </w:t>
      </w:r>
      <w:r w:rsidR="00DD0AAF" w:rsidRPr="002C0E44">
        <w:rPr>
          <w:rFonts w:ascii="Times New Roman" w:hAnsi="Times New Roman" w:cs="Times New Roman"/>
          <w:b/>
          <w:bCs/>
          <w:sz w:val="24"/>
          <w:szCs w:val="24"/>
        </w:rPr>
        <w:t>(art. 3 ustawy nowelizującej)</w:t>
      </w:r>
    </w:p>
    <w:p w14:paraId="189B23B2" w14:textId="08838BB3" w:rsidR="00A10F2C" w:rsidRPr="002C0E44" w:rsidRDefault="00A10F2C" w:rsidP="002C0E44">
      <w:pPr>
        <w:spacing w:before="120"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E44">
        <w:rPr>
          <w:rFonts w:ascii="Times New Roman" w:hAnsi="Times New Roman" w:cs="Times New Roman"/>
          <w:sz w:val="24"/>
          <w:szCs w:val="24"/>
        </w:rPr>
        <w:t>W związku z wprowadzeniem przez dyrektywę 2021/2101 nowego obowiązku sprawozdawczego w postaci sprawozdania o podatku dochodowym, biegli rewidenci i firmy audytorskie zostali zobligowani do potwierdzenia w sprawozdaniu z badania</w:t>
      </w:r>
      <w:r w:rsidR="008E34BD" w:rsidRPr="002C0E44">
        <w:rPr>
          <w:rFonts w:ascii="Times New Roman" w:hAnsi="Times New Roman" w:cs="Times New Roman"/>
          <w:sz w:val="24"/>
          <w:szCs w:val="24"/>
        </w:rPr>
        <w:t>,</w:t>
      </w:r>
      <w:r w:rsidRPr="002C0E44">
        <w:rPr>
          <w:rFonts w:ascii="Times New Roman" w:hAnsi="Times New Roman" w:cs="Times New Roman"/>
          <w:sz w:val="24"/>
          <w:szCs w:val="24"/>
        </w:rPr>
        <w:t xml:space="preserve"> </w:t>
      </w:r>
      <w:r w:rsidR="00805D55" w:rsidRPr="002C0E44">
        <w:rPr>
          <w:rFonts w:ascii="Times New Roman" w:hAnsi="Times New Roman" w:cs="Times New Roman"/>
          <w:sz w:val="24"/>
          <w:szCs w:val="24"/>
        </w:rPr>
        <w:t xml:space="preserve">w odniesieniu do roku obrotowego poprzedzającego rok obrotowy, za który </w:t>
      </w:r>
      <w:r w:rsidR="001F5555" w:rsidRPr="002C0E44">
        <w:rPr>
          <w:rFonts w:ascii="Times New Roman" w:hAnsi="Times New Roman" w:cs="Times New Roman"/>
          <w:sz w:val="24"/>
          <w:szCs w:val="24"/>
        </w:rPr>
        <w:t>sporządzono</w:t>
      </w:r>
      <w:r w:rsidR="00805D55" w:rsidRPr="002C0E44">
        <w:rPr>
          <w:rFonts w:ascii="Times New Roman" w:hAnsi="Times New Roman" w:cs="Times New Roman"/>
          <w:sz w:val="24"/>
          <w:szCs w:val="24"/>
        </w:rPr>
        <w:t xml:space="preserve"> sprawozdani</w:t>
      </w:r>
      <w:r w:rsidR="00424CA3" w:rsidRPr="002C0E44">
        <w:rPr>
          <w:rFonts w:ascii="Times New Roman" w:hAnsi="Times New Roman" w:cs="Times New Roman"/>
          <w:sz w:val="24"/>
          <w:szCs w:val="24"/>
        </w:rPr>
        <w:t>e</w:t>
      </w:r>
      <w:r w:rsidR="00805D55" w:rsidRPr="002C0E44">
        <w:rPr>
          <w:rFonts w:ascii="Times New Roman" w:hAnsi="Times New Roman" w:cs="Times New Roman"/>
          <w:sz w:val="24"/>
          <w:szCs w:val="24"/>
        </w:rPr>
        <w:t xml:space="preserve"> finansowe objęte badaniem, </w:t>
      </w:r>
      <w:r w:rsidRPr="002C0E44">
        <w:rPr>
          <w:rFonts w:ascii="Times New Roman" w:hAnsi="Times New Roman" w:cs="Times New Roman"/>
          <w:sz w:val="24"/>
          <w:szCs w:val="24"/>
        </w:rPr>
        <w:t xml:space="preserve">czy dana jednostka była zobowiązana do </w:t>
      </w:r>
      <w:r w:rsidR="00424CA3" w:rsidRPr="002C0E44">
        <w:rPr>
          <w:rFonts w:ascii="Times New Roman" w:hAnsi="Times New Roman" w:cs="Times New Roman"/>
          <w:sz w:val="24"/>
          <w:szCs w:val="24"/>
        </w:rPr>
        <w:t>złożenia do Krajowego Rejestru Sądowego</w:t>
      </w:r>
      <w:r w:rsidR="00A77E45" w:rsidRPr="002C0E44">
        <w:rPr>
          <w:rFonts w:ascii="Times New Roman" w:hAnsi="Times New Roman" w:cs="Times New Roman"/>
          <w:sz w:val="24"/>
          <w:szCs w:val="24"/>
        </w:rPr>
        <w:t xml:space="preserve"> (KRS)</w:t>
      </w:r>
      <w:r w:rsidRPr="002C0E44">
        <w:rPr>
          <w:rFonts w:ascii="Times New Roman" w:hAnsi="Times New Roman" w:cs="Times New Roman"/>
          <w:sz w:val="24"/>
          <w:szCs w:val="24"/>
        </w:rPr>
        <w:t xml:space="preserve"> sprawozdania o po</w:t>
      </w:r>
      <w:r w:rsidR="008E34BD" w:rsidRPr="002C0E44">
        <w:rPr>
          <w:rFonts w:ascii="Times New Roman" w:hAnsi="Times New Roman" w:cs="Times New Roman"/>
          <w:sz w:val="24"/>
          <w:szCs w:val="24"/>
        </w:rPr>
        <w:t xml:space="preserve">datku dochodowym, a jeśli była, to </w:t>
      </w:r>
      <w:r w:rsidRPr="002C0E44">
        <w:rPr>
          <w:rFonts w:ascii="Times New Roman" w:hAnsi="Times New Roman" w:cs="Times New Roman"/>
          <w:sz w:val="24"/>
          <w:szCs w:val="24"/>
        </w:rPr>
        <w:t xml:space="preserve">czy takie sprawozdanie zostało </w:t>
      </w:r>
      <w:r w:rsidR="00A77E45" w:rsidRPr="002C0E44">
        <w:rPr>
          <w:rFonts w:ascii="Times New Roman" w:hAnsi="Times New Roman" w:cs="Times New Roman"/>
          <w:sz w:val="24"/>
          <w:szCs w:val="24"/>
        </w:rPr>
        <w:t xml:space="preserve">złożone </w:t>
      </w:r>
      <w:r w:rsidR="00424CA3" w:rsidRPr="002C0E44">
        <w:rPr>
          <w:rFonts w:ascii="Times New Roman" w:hAnsi="Times New Roman" w:cs="Times New Roman"/>
          <w:sz w:val="24"/>
          <w:szCs w:val="24"/>
        </w:rPr>
        <w:t>do KRS</w:t>
      </w:r>
      <w:r w:rsidR="00895B0E" w:rsidRPr="002C0E44">
        <w:rPr>
          <w:rFonts w:ascii="Times New Roman" w:hAnsi="Times New Roman" w:cs="Times New Roman"/>
          <w:sz w:val="24"/>
          <w:szCs w:val="24"/>
        </w:rPr>
        <w:t xml:space="preserve"> (por. art. 48</w:t>
      </w:r>
      <w:r w:rsidR="001F5555" w:rsidRPr="002C0E44">
        <w:rPr>
          <w:rFonts w:ascii="Times New Roman" w:hAnsi="Times New Roman" w:cs="Times New Roman"/>
          <w:sz w:val="24"/>
          <w:szCs w:val="24"/>
        </w:rPr>
        <w:t>f dyrektywy 2021/2101)</w:t>
      </w:r>
      <w:r w:rsidRPr="002C0E44">
        <w:rPr>
          <w:rFonts w:ascii="Times New Roman" w:hAnsi="Times New Roman" w:cs="Times New Roman"/>
          <w:sz w:val="24"/>
          <w:szCs w:val="24"/>
        </w:rPr>
        <w:t>.</w:t>
      </w:r>
    </w:p>
    <w:p w14:paraId="33583856" w14:textId="1F089FB7" w:rsidR="00EA1330" w:rsidRPr="002C0E44" w:rsidRDefault="00A10F2C" w:rsidP="002C0E44">
      <w:pPr>
        <w:spacing w:before="120"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E44">
        <w:rPr>
          <w:rFonts w:ascii="Times New Roman" w:hAnsi="Times New Roman" w:cs="Times New Roman"/>
          <w:sz w:val="24"/>
          <w:szCs w:val="24"/>
        </w:rPr>
        <w:t xml:space="preserve">W związku z powyższym zmianie uległ </w:t>
      </w:r>
      <w:r w:rsidRPr="002C0E44">
        <w:rPr>
          <w:rFonts w:ascii="Times New Roman" w:hAnsi="Times New Roman" w:cs="Times New Roman"/>
          <w:b/>
          <w:sz w:val="24"/>
          <w:szCs w:val="24"/>
        </w:rPr>
        <w:t>art. 83 ust. 3</w:t>
      </w:r>
      <w:r w:rsidRPr="002C0E44">
        <w:rPr>
          <w:rFonts w:ascii="Times New Roman" w:hAnsi="Times New Roman" w:cs="Times New Roman"/>
          <w:sz w:val="24"/>
          <w:szCs w:val="24"/>
        </w:rPr>
        <w:t xml:space="preserve"> przez dodanie punktu</w:t>
      </w:r>
      <w:r w:rsidR="009E2100">
        <w:rPr>
          <w:rFonts w:ascii="Times New Roman" w:hAnsi="Times New Roman" w:cs="Times New Roman"/>
          <w:sz w:val="24"/>
          <w:szCs w:val="24"/>
        </w:rPr>
        <w:t> </w:t>
      </w:r>
      <w:r w:rsidRPr="002C0E44">
        <w:rPr>
          <w:rFonts w:ascii="Times New Roman" w:hAnsi="Times New Roman" w:cs="Times New Roman"/>
          <w:sz w:val="24"/>
          <w:szCs w:val="24"/>
        </w:rPr>
        <w:t>1</w:t>
      </w:r>
      <w:r w:rsidR="00E6299E" w:rsidRPr="002C0E44">
        <w:rPr>
          <w:rFonts w:ascii="Times New Roman" w:hAnsi="Times New Roman" w:cs="Times New Roman"/>
          <w:sz w:val="24"/>
          <w:szCs w:val="24"/>
        </w:rPr>
        <w:t>6a</w:t>
      </w:r>
      <w:r w:rsidRPr="002C0E44">
        <w:rPr>
          <w:rFonts w:ascii="Times New Roman" w:hAnsi="Times New Roman" w:cs="Times New Roman"/>
          <w:sz w:val="24"/>
          <w:szCs w:val="24"/>
        </w:rPr>
        <w:t xml:space="preserve"> zawierając</w:t>
      </w:r>
      <w:r w:rsidR="00D354B2" w:rsidRPr="002C0E44">
        <w:rPr>
          <w:rFonts w:ascii="Times New Roman" w:hAnsi="Times New Roman" w:cs="Times New Roman"/>
          <w:sz w:val="24"/>
          <w:szCs w:val="24"/>
        </w:rPr>
        <w:t>ego</w:t>
      </w:r>
      <w:r w:rsidRPr="002C0E44">
        <w:rPr>
          <w:rFonts w:ascii="Times New Roman" w:hAnsi="Times New Roman" w:cs="Times New Roman"/>
          <w:sz w:val="24"/>
          <w:szCs w:val="24"/>
        </w:rPr>
        <w:t xml:space="preserve"> powyższą informację.</w:t>
      </w:r>
    </w:p>
    <w:p w14:paraId="14880F21" w14:textId="5576FBCD" w:rsidR="00A10F2C" w:rsidRPr="002C0E44" w:rsidRDefault="000B3E7B" w:rsidP="002C0E44">
      <w:pPr>
        <w:pStyle w:val="Akapitzlist"/>
        <w:numPr>
          <w:ilvl w:val="0"/>
          <w:numId w:val="12"/>
        </w:numPr>
        <w:spacing w:before="120"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0E44">
        <w:rPr>
          <w:rFonts w:ascii="Times New Roman" w:hAnsi="Times New Roman" w:cs="Times New Roman"/>
          <w:b/>
          <w:bCs/>
          <w:sz w:val="24"/>
          <w:szCs w:val="24"/>
        </w:rPr>
        <w:t>Pozostałe kwestie</w:t>
      </w:r>
    </w:p>
    <w:p w14:paraId="20AB30D0" w14:textId="4C890004" w:rsidR="000B3E7B" w:rsidRPr="002C0E44" w:rsidRDefault="000B3E7B" w:rsidP="002C0E44">
      <w:pPr>
        <w:spacing w:before="120"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E44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DD0AAF" w:rsidRPr="002C0E44">
        <w:rPr>
          <w:rFonts w:ascii="Times New Roman" w:hAnsi="Times New Roman" w:cs="Times New Roman"/>
          <w:b/>
          <w:sz w:val="24"/>
          <w:szCs w:val="24"/>
        </w:rPr>
        <w:t>4</w:t>
      </w:r>
      <w:r w:rsidRPr="002C0E44">
        <w:rPr>
          <w:rFonts w:ascii="Times New Roman" w:hAnsi="Times New Roman" w:cs="Times New Roman"/>
          <w:b/>
          <w:sz w:val="24"/>
          <w:szCs w:val="24"/>
        </w:rPr>
        <w:t xml:space="preserve"> ustawy nowelizującej</w:t>
      </w:r>
      <w:r w:rsidRPr="002C0E44">
        <w:rPr>
          <w:rFonts w:ascii="Times New Roman" w:hAnsi="Times New Roman" w:cs="Times New Roman"/>
          <w:sz w:val="24"/>
          <w:szCs w:val="24"/>
        </w:rPr>
        <w:t xml:space="preserve"> określa</w:t>
      </w:r>
      <w:r w:rsidR="004928E3" w:rsidRPr="002C0E44">
        <w:rPr>
          <w:rFonts w:ascii="Times New Roman" w:hAnsi="Times New Roman" w:cs="Times New Roman"/>
          <w:sz w:val="24"/>
          <w:szCs w:val="24"/>
        </w:rPr>
        <w:t xml:space="preserve"> termin wejścia w życie nowego obowiązku sprawozdawczego. Jednostki będą miały obowiązek sporządzić sprawozdanie o podatku dochodowym po raz pierwszy</w:t>
      </w:r>
      <w:r w:rsidRPr="002C0E44">
        <w:rPr>
          <w:rFonts w:ascii="Times New Roman" w:hAnsi="Times New Roman" w:cs="Times New Roman"/>
          <w:sz w:val="24"/>
          <w:szCs w:val="24"/>
        </w:rPr>
        <w:t xml:space="preserve"> za rok obrotowy rozpoczynający się </w:t>
      </w:r>
      <w:r w:rsidR="00DC2F56" w:rsidRPr="002C0E44">
        <w:rPr>
          <w:rFonts w:ascii="Times New Roman" w:hAnsi="Times New Roman" w:cs="Times New Roman"/>
          <w:sz w:val="24"/>
          <w:szCs w:val="24"/>
        </w:rPr>
        <w:t xml:space="preserve">po </w:t>
      </w:r>
      <w:r w:rsidRPr="002C0E44">
        <w:rPr>
          <w:rFonts w:ascii="Times New Roman" w:hAnsi="Times New Roman" w:cs="Times New Roman"/>
          <w:sz w:val="24"/>
          <w:szCs w:val="24"/>
        </w:rPr>
        <w:t>dniu 2</w:t>
      </w:r>
      <w:r w:rsidR="00DC2F56" w:rsidRPr="002C0E44">
        <w:rPr>
          <w:rFonts w:ascii="Times New Roman" w:hAnsi="Times New Roman" w:cs="Times New Roman"/>
          <w:sz w:val="24"/>
          <w:szCs w:val="24"/>
        </w:rPr>
        <w:t>1</w:t>
      </w:r>
      <w:r w:rsidRPr="002C0E44">
        <w:rPr>
          <w:rFonts w:ascii="Times New Roman" w:hAnsi="Times New Roman" w:cs="Times New Roman"/>
          <w:sz w:val="24"/>
          <w:szCs w:val="24"/>
        </w:rPr>
        <w:t xml:space="preserve"> czerwca 2024</w:t>
      </w:r>
      <w:r w:rsidR="009E2100">
        <w:rPr>
          <w:rFonts w:ascii="Times New Roman" w:hAnsi="Times New Roman" w:cs="Times New Roman"/>
          <w:sz w:val="24"/>
          <w:szCs w:val="24"/>
        </w:rPr>
        <w:t> </w:t>
      </w:r>
      <w:r w:rsidRPr="002C0E44">
        <w:rPr>
          <w:rFonts w:ascii="Times New Roman" w:hAnsi="Times New Roman" w:cs="Times New Roman"/>
          <w:sz w:val="24"/>
          <w:szCs w:val="24"/>
        </w:rPr>
        <w:t xml:space="preserve">r. </w:t>
      </w:r>
      <w:r w:rsidR="00950CFB" w:rsidRPr="002C0E44">
        <w:rPr>
          <w:rFonts w:ascii="Times New Roman" w:hAnsi="Times New Roman" w:cs="Times New Roman"/>
          <w:sz w:val="24"/>
          <w:szCs w:val="24"/>
        </w:rPr>
        <w:t xml:space="preserve">Natomiast nie ma potrzeby określenia, kiedy po raz pierwszy będą miały zastosowanie przepisy ustawy zmienianej </w:t>
      </w:r>
      <w:r w:rsidR="00F57C58" w:rsidRPr="002C0E44">
        <w:rPr>
          <w:rFonts w:ascii="Times New Roman" w:hAnsi="Times New Roman" w:cs="Times New Roman"/>
          <w:sz w:val="24"/>
          <w:szCs w:val="24"/>
        </w:rPr>
        <w:t xml:space="preserve">w </w:t>
      </w:r>
      <w:r w:rsidR="00950CFB" w:rsidRPr="002C0E44">
        <w:rPr>
          <w:rFonts w:ascii="Times New Roman" w:hAnsi="Times New Roman" w:cs="Times New Roman"/>
          <w:sz w:val="24"/>
          <w:szCs w:val="24"/>
        </w:rPr>
        <w:t xml:space="preserve">art. </w:t>
      </w:r>
      <w:r w:rsidR="005D3E70" w:rsidRPr="002C0E44">
        <w:rPr>
          <w:rFonts w:ascii="Times New Roman" w:hAnsi="Times New Roman" w:cs="Times New Roman"/>
          <w:sz w:val="24"/>
          <w:szCs w:val="24"/>
        </w:rPr>
        <w:t>3</w:t>
      </w:r>
      <w:r w:rsidR="00950CFB" w:rsidRPr="002C0E44">
        <w:rPr>
          <w:rFonts w:ascii="Times New Roman" w:hAnsi="Times New Roman" w:cs="Times New Roman"/>
          <w:sz w:val="24"/>
          <w:szCs w:val="24"/>
        </w:rPr>
        <w:t xml:space="preserve"> niniejszego projektu, ponieważ będzie to wynikało z logiki samego pkt 1</w:t>
      </w:r>
      <w:r w:rsidR="00E6299E" w:rsidRPr="002C0E44">
        <w:rPr>
          <w:rFonts w:ascii="Times New Roman" w:hAnsi="Times New Roman" w:cs="Times New Roman"/>
          <w:sz w:val="24"/>
          <w:szCs w:val="24"/>
        </w:rPr>
        <w:t>6a</w:t>
      </w:r>
      <w:r w:rsidR="00950CFB" w:rsidRPr="002C0E44">
        <w:rPr>
          <w:rFonts w:ascii="Times New Roman" w:hAnsi="Times New Roman" w:cs="Times New Roman"/>
          <w:sz w:val="24"/>
          <w:szCs w:val="24"/>
        </w:rPr>
        <w:t xml:space="preserve"> dodawanego do art. 83 ustawy o biegłych rewidentach. Przepis ten wskazuje, że weryfikacja przez biegłego rewidenta dochowania przez jednostkę obowiązku złożenia do KRS sprawozdania o podatku dochodowym ma dotyczyć roku obrotowego </w:t>
      </w:r>
      <w:r w:rsidR="00950CFB" w:rsidRPr="002C0E44">
        <w:rPr>
          <w:rFonts w:ascii="Times New Roman" w:hAnsi="Times New Roman" w:cs="Times New Roman"/>
          <w:sz w:val="24"/>
          <w:szCs w:val="24"/>
          <w:u w:val="single"/>
        </w:rPr>
        <w:t>poprzedzającego</w:t>
      </w:r>
      <w:r w:rsidR="00950CFB" w:rsidRPr="002C0E44">
        <w:rPr>
          <w:rFonts w:ascii="Times New Roman" w:hAnsi="Times New Roman" w:cs="Times New Roman"/>
          <w:sz w:val="24"/>
          <w:szCs w:val="24"/>
        </w:rPr>
        <w:t xml:space="preserve"> rok obrotowy, za który sporządzono sprawo</w:t>
      </w:r>
      <w:r w:rsidR="00210C85" w:rsidRPr="002C0E44">
        <w:rPr>
          <w:rFonts w:ascii="Times New Roman" w:hAnsi="Times New Roman" w:cs="Times New Roman"/>
          <w:sz w:val="24"/>
          <w:szCs w:val="24"/>
        </w:rPr>
        <w:t>zdanie finansowe podlegające badaniu</w:t>
      </w:r>
      <w:r w:rsidR="00F57C58" w:rsidRPr="002C0E44">
        <w:rPr>
          <w:rFonts w:ascii="Times New Roman" w:hAnsi="Times New Roman" w:cs="Times New Roman"/>
          <w:sz w:val="24"/>
          <w:szCs w:val="24"/>
        </w:rPr>
        <w:t xml:space="preserve"> (biegły rewident ma wypowiadać się co do wywiązania się przez jednostkę z tego obowiązku z rocznym opóźnieniem)</w:t>
      </w:r>
      <w:r w:rsidR="00950CFB" w:rsidRPr="002C0E44">
        <w:rPr>
          <w:rFonts w:ascii="Times New Roman" w:hAnsi="Times New Roman" w:cs="Times New Roman"/>
          <w:sz w:val="24"/>
          <w:szCs w:val="24"/>
        </w:rPr>
        <w:t>.</w:t>
      </w:r>
      <w:r w:rsidR="00210C85" w:rsidRPr="002C0E44">
        <w:rPr>
          <w:rFonts w:ascii="Times New Roman" w:hAnsi="Times New Roman" w:cs="Times New Roman"/>
          <w:sz w:val="24"/>
          <w:szCs w:val="24"/>
        </w:rPr>
        <w:t xml:space="preserve"> </w:t>
      </w:r>
      <w:r w:rsidR="00617662" w:rsidRPr="002C0E44">
        <w:rPr>
          <w:rFonts w:ascii="Times New Roman" w:hAnsi="Times New Roman" w:cs="Times New Roman"/>
          <w:sz w:val="24"/>
          <w:szCs w:val="24"/>
        </w:rPr>
        <w:t xml:space="preserve">Jednostki będą miały obowiązek sporządzenia sprawozdania o podatku dochodowym po raz pierwszy za rok obrotowy rozpoczynający się po 21 czerwca 2024 r. </w:t>
      </w:r>
      <w:r w:rsidR="00210C85" w:rsidRPr="002C0E44">
        <w:rPr>
          <w:rFonts w:ascii="Times New Roman" w:hAnsi="Times New Roman" w:cs="Times New Roman"/>
          <w:sz w:val="24"/>
          <w:szCs w:val="24"/>
        </w:rPr>
        <w:t>Zatem b</w:t>
      </w:r>
      <w:r w:rsidR="00950CFB" w:rsidRPr="002C0E44">
        <w:rPr>
          <w:rFonts w:ascii="Times New Roman" w:hAnsi="Times New Roman" w:cs="Times New Roman"/>
          <w:sz w:val="24"/>
          <w:szCs w:val="24"/>
        </w:rPr>
        <w:t>iegły rewident będzie musiał po raz pierwszy wypowiedzieć się</w:t>
      </w:r>
      <w:r w:rsidR="003135B8">
        <w:rPr>
          <w:rFonts w:ascii="Times New Roman" w:hAnsi="Times New Roman" w:cs="Times New Roman"/>
          <w:sz w:val="24"/>
          <w:szCs w:val="24"/>
        </w:rPr>
        <w:t>,</w:t>
      </w:r>
      <w:r w:rsidR="00950CFB" w:rsidRPr="002C0E44">
        <w:rPr>
          <w:rFonts w:ascii="Times New Roman" w:hAnsi="Times New Roman" w:cs="Times New Roman"/>
          <w:sz w:val="24"/>
          <w:szCs w:val="24"/>
        </w:rPr>
        <w:t xml:space="preserve"> czy jednostka miała obowiązek złożyć do KRS sprawozdanie o podatku dochodowym i czy faktycznie dochowała tego obowiązku przy okazji badania sprawozdania finansowego za </w:t>
      </w:r>
      <w:r w:rsidR="00617662" w:rsidRPr="002C0E44">
        <w:rPr>
          <w:rFonts w:ascii="Times New Roman" w:hAnsi="Times New Roman" w:cs="Times New Roman"/>
          <w:sz w:val="24"/>
          <w:szCs w:val="24"/>
        </w:rPr>
        <w:t xml:space="preserve">rok obrotowy rozpoczynający się po 21 czerwca </w:t>
      </w:r>
      <w:r w:rsidR="00950CFB" w:rsidRPr="002C0E44">
        <w:rPr>
          <w:rFonts w:ascii="Times New Roman" w:hAnsi="Times New Roman" w:cs="Times New Roman"/>
          <w:sz w:val="24"/>
          <w:szCs w:val="24"/>
        </w:rPr>
        <w:t>202</w:t>
      </w:r>
      <w:r w:rsidR="00F57C58" w:rsidRPr="002C0E44">
        <w:rPr>
          <w:rFonts w:ascii="Times New Roman" w:hAnsi="Times New Roman" w:cs="Times New Roman"/>
          <w:sz w:val="24"/>
          <w:szCs w:val="24"/>
        </w:rPr>
        <w:t>5</w:t>
      </w:r>
      <w:r w:rsidR="00950CFB" w:rsidRPr="002C0E44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410D60DF" w14:textId="2BC308BA" w:rsidR="00A10F2C" w:rsidRPr="002C0E44" w:rsidRDefault="000B3E7B" w:rsidP="002C0E44">
      <w:pPr>
        <w:spacing w:before="120"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E44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DD0AAF" w:rsidRPr="002C0E44">
        <w:rPr>
          <w:rFonts w:ascii="Times New Roman" w:hAnsi="Times New Roman" w:cs="Times New Roman"/>
          <w:b/>
          <w:sz w:val="24"/>
          <w:szCs w:val="24"/>
        </w:rPr>
        <w:t>5</w:t>
      </w:r>
      <w:r w:rsidRPr="002C0E44">
        <w:rPr>
          <w:rFonts w:ascii="Times New Roman" w:hAnsi="Times New Roman" w:cs="Times New Roman"/>
          <w:b/>
          <w:sz w:val="24"/>
          <w:szCs w:val="24"/>
        </w:rPr>
        <w:t xml:space="preserve"> ustawy nowelizującej</w:t>
      </w:r>
      <w:r w:rsidRPr="002C0E44">
        <w:rPr>
          <w:rFonts w:ascii="Times New Roman" w:hAnsi="Times New Roman" w:cs="Times New Roman"/>
          <w:sz w:val="24"/>
          <w:szCs w:val="24"/>
        </w:rPr>
        <w:t xml:space="preserve"> określa datę wejścia w życie ustawy</w:t>
      </w:r>
      <w:r w:rsidR="00B92E61" w:rsidRPr="002C0E44">
        <w:rPr>
          <w:rFonts w:ascii="Times New Roman" w:hAnsi="Times New Roman" w:cs="Times New Roman"/>
          <w:sz w:val="24"/>
          <w:szCs w:val="24"/>
        </w:rPr>
        <w:t>. Co do zasady przepisy dotyczące zmiany ustawy o rachunkowości oraz ustawy o biegłych rewidentach wejdą w życie</w:t>
      </w:r>
      <w:r w:rsidRPr="002C0E44">
        <w:rPr>
          <w:rFonts w:ascii="Times New Roman" w:hAnsi="Times New Roman" w:cs="Times New Roman"/>
          <w:sz w:val="24"/>
          <w:szCs w:val="24"/>
        </w:rPr>
        <w:t xml:space="preserve"> po upływie 14 dni od dnia ogłoszenia. </w:t>
      </w:r>
      <w:r w:rsidR="00B92E61" w:rsidRPr="002C0E44">
        <w:rPr>
          <w:rFonts w:ascii="Times New Roman" w:hAnsi="Times New Roman" w:cs="Times New Roman"/>
          <w:sz w:val="24"/>
          <w:szCs w:val="24"/>
        </w:rPr>
        <w:t xml:space="preserve">Jednakże należy wskazać, że sprawozdanie o podatku dochodowym będzie sporządzane w formacie elektronicznym nadającym się do </w:t>
      </w:r>
      <w:r w:rsidR="00B92E61" w:rsidRPr="002C0E44">
        <w:rPr>
          <w:rFonts w:ascii="Times New Roman" w:hAnsi="Times New Roman" w:cs="Times New Roman"/>
          <w:sz w:val="24"/>
          <w:szCs w:val="24"/>
        </w:rPr>
        <w:lastRenderedPageBreak/>
        <w:t>odczytu maszynowego, który zostanie opracowany i przyjęty przez Komisję Europe</w:t>
      </w:r>
      <w:r w:rsidR="00AA5898" w:rsidRPr="002C0E44">
        <w:rPr>
          <w:rFonts w:ascii="Times New Roman" w:hAnsi="Times New Roman" w:cs="Times New Roman"/>
          <w:sz w:val="24"/>
          <w:szCs w:val="24"/>
        </w:rPr>
        <w:t xml:space="preserve">jską w formie aktu delegowanego. W </w:t>
      </w:r>
      <w:r w:rsidR="00B92E61" w:rsidRPr="002C0E44">
        <w:rPr>
          <w:rFonts w:ascii="Times New Roman" w:hAnsi="Times New Roman" w:cs="Times New Roman"/>
          <w:sz w:val="24"/>
          <w:szCs w:val="24"/>
        </w:rPr>
        <w:t xml:space="preserve">związku z tym </w:t>
      </w:r>
      <w:r w:rsidR="003135B8" w:rsidRPr="002C0E44">
        <w:rPr>
          <w:rFonts w:ascii="Times New Roman" w:hAnsi="Times New Roman" w:cs="Times New Roman"/>
          <w:sz w:val="24"/>
          <w:szCs w:val="24"/>
        </w:rPr>
        <w:t xml:space="preserve">będzie </w:t>
      </w:r>
      <w:r w:rsidR="00B92E61" w:rsidRPr="002C0E44">
        <w:rPr>
          <w:rFonts w:ascii="Times New Roman" w:hAnsi="Times New Roman" w:cs="Times New Roman"/>
          <w:sz w:val="24"/>
          <w:szCs w:val="24"/>
        </w:rPr>
        <w:t xml:space="preserve">konieczne dokonanie modyfikacji technicznych w KRS, aby </w:t>
      </w:r>
      <w:r w:rsidR="00BA6484" w:rsidRPr="002C0E44">
        <w:rPr>
          <w:rFonts w:ascii="Times New Roman" w:hAnsi="Times New Roman" w:cs="Times New Roman"/>
          <w:sz w:val="24"/>
          <w:szCs w:val="24"/>
        </w:rPr>
        <w:t>mógł</w:t>
      </w:r>
      <w:r w:rsidR="00985F63" w:rsidRPr="002C0E44">
        <w:rPr>
          <w:rFonts w:ascii="Times New Roman" w:hAnsi="Times New Roman" w:cs="Times New Roman"/>
          <w:sz w:val="24"/>
          <w:szCs w:val="24"/>
        </w:rPr>
        <w:t xml:space="preserve"> on</w:t>
      </w:r>
      <w:r w:rsidR="00BA6484" w:rsidRPr="002C0E44">
        <w:rPr>
          <w:rFonts w:ascii="Times New Roman" w:hAnsi="Times New Roman" w:cs="Times New Roman"/>
          <w:sz w:val="24"/>
          <w:szCs w:val="24"/>
        </w:rPr>
        <w:t xml:space="preserve"> przyjmować ww. sprawozdania. Z uwagi na fakt, że według zapowiedzi Komisji Europejskiej prognozowana data wydania ww. aktu delegowane</w:t>
      </w:r>
      <w:r w:rsidR="00AA5898" w:rsidRPr="002C0E44">
        <w:rPr>
          <w:rFonts w:ascii="Times New Roman" w:hAnsi="Times New Roman" w:cs="Times New Roman"/>
          <w:sz w:val="24"/>
          <w:szCs w:val="24"/>
        </w:rPr>
        <w:t xml:space="preserve">go to trzeci kwartał 2024 r. należy przewidzieć odpowiednio długie </w:t>
      </w:r>
      <w:r w:rsidR="00AA5898" w:rsidRPr="00AA2598">
        <w:rPr>
          <w:rFonts w:ascii="Times New Roman" w:hAnsi="Times New Roman" w:cs="Times New Roman"/>
          <w:i/>
          <w:iCs/>
          <w:sz w:val="24"/>
          <w:szCs w:val="24"/>
        </w:rPr>
        <w:t>vacatio</w:t>
      </w:r>
      <w:r w:rsidR="00AA5898" w:rsidRPr="002C0E44">
        <w:rPr>
          <w:rFonts w:ascii="Times New Roman" w:hAnsi="Times New Roman" w:cs="Times New Roman"/>
          <w:sz w:val="24"/>
          <w:szCs w:val="24"/>
        </w:rPr>
        <w:t xml:space="preserve"> </w:t>
      </w:r>
      <w:r w:rsidR="00AA5898" w:rsidRPr="00AA2598">
        <w:rPr>
          <w:rFonts w:ascii="Times New Roman" w:hAnsi="Times New Roman" w:cs="Times New Roman"/>
          <w:i/>
          <w:iCs/>
          <w:sz w:val="24"/>
          <w:szCs w:val="24"/>
        </w:rPr>
        <w:t>legis</w:t>
      </w:r>
      <w:r w:rsidR="00AA5898" w:rsidRPr="002C0E44">
        <w:rPr>
          <w:rFonts w:ascii="Times New Roman" w:hAnsi="Times New Roman" w:cs="Times New Roman"/>
          <w:sz w:val="24"/>
          <w:szCs w:val="24"/>
        </w:rPr>
        <w:t xml:space="preserve"> dla przepisów dotyczących zmiany ustawy o K</w:t>
      </w:r>
      <w:r w:rsidR="00895B0E" w:rsidRPr="002C0E44">
        <w:rPr>
          <w:rFonts w:ascii="Times New Roman" w:hAnsi="Times New Roman" w:cs="Times New Roman"/>
          <w:sz w:val="24"/>
          <w:szCs w:val="24"/>
        </w:rPr>
        <w:t xml:space="preserve">rajowym </w:t>
      </w:r>
      <w:r w:rsidR="00AA5898" w:rsidRPr="002C0E44">
        <w:rPr>
          <w:rFonts w:ascii="Times New Roman" w:hAnsi="Times New Roman" w:cs="Times New Roman"/>
          <w:sz w:val="24"/>
          <w:szCs w:val="24"/>
        </w:rPr>
        <w:t>R</w:t>
      </w:r>
      <w:r w:rsidR="00895B0E" w:rsidRPr="002C0E44">
        <w:rPr>
          <w:rFonts w:ascii="Times New Roman" w:hAnsi="Times New Roman" w:cs="Times New Roman"/>
          <w:sz w:val="24"/>
          <w:szCs w:val="24"/>
        </w:rPr>
        <w:t xml:space="preserve">ejestrze </w:t>
      </w:r>
      <w:r w:rsidR="00AA5898" w:rsidRPr="002C0E44">
        <w:rPr>
          <w:rFonts w:ascii="Times New Roman" w:hAnsi="Times New Roman" w:cs="Times New Roman"/>
          <w:sz w:val="24"/>
          <w:szCs w:val="24"/>
        </w:rPr>
        <w:t>S</w:t>
      </w:r>
      <w:r w:rsidR="00895B0E" w:rsidRPr="002C0E44">
        <w:rPr>
          <w:rFonts w:ascii="Times New Roman" w:hAnsi="Times New Roman" w:cs="Times New Roman"/>
          <w:sz w:val="24"/>
          <w:szCs w:val="24"/>
        </w:rPr>
        <w:t>ądowym</w:t>
      </w:r>
      <w:r w:rsidR="00AA5898" w:rsidRPr="002C0E44">
        <w:rPr>
          <w:rFonts w:ascii="Times New Roman" w:hAnsi="Times New Roman" w:cs="Times New Roman"/>
          <w:sz w:val="24"/>
          <w:szCs w:val="24"/>
        </w:rPr>
        <w:t xml:space="preserve">, aby zapewnić wystarczający czas na niezbędne dostosowania KRS. </w:t>
      </w:r>
      <w:r w:rsidR="00BA6484" w:rsidRPr="002C0E44">
        <w:rPr>
          <w:rFonts w:ascii="Times New Roman" w:hAnsi="Times New Roman" w:cs="Times New Roman"/>
          <w:sz w:val="24"/>
          <w:szCs w:val="24"/>
        </w:rPr>
        <w:t>Z tego względu w projekcie przewidziano, że przepisy zmienia</w:t>
      </w:r>
      <w:r w:rsidR="00AA5898" w:rsidRPr="002C0E44">
        <w:rPr>
          <w:rFonts w:ascii="Times New Roman" w:hAnsi="Times New Roman" w:cs="Times New Roman"/>
          <w:sz w:val="24"/>
          <w:szCs w:val="24"/>
        </w:rPr>
        <w:t xml:space="preserve">ne w art. </w:t>
      </w:r>
      <w:r w:rsidR="005D3E70" w:rsidRPr="002C0E44">
        <w:rPr>
          <w:rFonts w:ascii="Times New Roman" w:hAnsi="Times New Roman" w:cs="Times New Roman"/>
          <w:sz w:val="24"/>
          <w:szCs w:val="24"/>
        </w:rPr>
        <w:t>2</w:t>
      </w:r>
      <w:r w:rsidR="00AA5898" w:rsidRPr="002C0E44">
        <w:rPr>
          <w:rFonts w:ascii="Times New Roman" w:hAnsi="Times New Roman" w:cs="Times New Roman"/>
          <w:sz w:val="24"/>
          <w:szCs w:val="24"/>
        </w:rPr>
        <w:t xml:space="preserve"> </w:t>
      </w:r>
      <w:r w:rsidR="006803E8" w:rsidRPr="002C0E44">
        <w:rPr>
          <w:rFonts w:ascii="Times New Roman" w:hAnsi="Times New Roman" w:cs="Times New Roman"/>
          <w:sz w:val="24"/>
          <w:szCs w:val="24"/>
        </w:rPr>
        <w:t xml:space="preserve">projektu </w:t>
      </w:r>
      <w:r w:rsidR="00AA5898" w:rsidRPr="002C0E44">
        <w:rPr>
          <w:rFonts w:ascii="Times New Roman" w:hAnsi="Times New Roman" w:cs="Times New Roman"/>
          <w:sz w:val="24"/>
          <w:szCs w:val="24"/>
        </w:rPr>
        <w:t xml:space="preserve">oraz przepisy zobowiązujące kierownika jednostki do złożenia sprawozdania o podatku dochodowym do KRS (projektowany art. 63m ust. 4 pkt 1 </w:t>
      </w:r>
      <w:r w:rsidR="00E6299E" w:rsidRPr="002C0E44">
        <w:rPr>
          <w:rFonts w:ascii="Times New Roman" w:hAnsi="Times New Roman" w:cs="Times New Roman"/>
          <w:sz w:val="24"/>
          <w:szCs w:val="24"/>
        </w:rPr>
        <w:t xml:space="preserve">i ust. 5 </w:t>
      </w:r>
      <w:r w:rsidR="00AA5898" w:rsidRPr="002C0E44">
        <w:rPr>
          <w:rFonts w:ascii="Times New Roman" w:hAnsi="Times New Roman" w:cs="Times New Roman"/>
          <w:sz w:val="24"/>
          <w:szCs w:val="24"/>
        </w:rPr>
        <w:t>oraz art. 63n ust. 5</w:t>
      </w:r>
      <w:r w:rsidR="00985F63" w:rsidRPr="002C0E44">
        <w:rPr>
          <w:rFonts w:ascii="Times New Roman" w:hAnsi="Times New Roman" w:cs="Times New Roman"/>
          <w:sz w:val="24"/>
          <w:szCs w:val="24"/>
        </w:rPr>
        <w:t xml:space="preserve"> pkt 1</w:t>
      </w:r>
      <w:r w:rsidR="00E6299E" w:rsidRPr="002C0E44">
        <w:rPr>
          <w:rFonts w:ascii="Times New Roman" w:hAnsi="Times New Roman" w:cs="Times New Roman"/>
          <w:sz w:val="24"/>
          <w:szCs w:val="24"/>
        </w:rPr>
        <w:t xml:space="preserve"> i ust. 6 </w:t>
      </w:r>
      <w:r w:rsidR="00985F63" w:rsidRPr="002C0E44">
        <w:rPr>
          <w:rFonts w:ascii="Times New Roman" w:hAnsi="Times New Roman" w:cs="Times New Roman"/>
          <w:sz w:val="24"/>
          <w:szCs w:val="24"/>
        </w:rPr>
        <w:t>ustawy o rachunkowości) wejdą w życie z dniem 22</w:t>
      </w:r>
      <w:r w:rsidR="00A77E45" w:rsidRPr="002C0E44">
        <w:rPr>
          <w:rFonts w:ascii="Times New Roman" w:hAnsi="Times New Roman" w:cs="Times New Roman"/>
          <w:sz w:val="24"/>
          <w:szCs w:val="24"/>
        </w:rPr>
        <w:t> </w:t>
      </w:r>
      <w:r w:rsidR="00985F63" w:rsidRPr="002C0E44">
        <w:rPr>
          <w:rFonts w:ascii="Times New Roman" w:hAnsi="Times New Roman" w:cs="Times New Roman"/>
          <w:sz w:val="24"/>
          <w:szCs w:val="24"/>
        </w:rPr>
        <w:t>czerwca 2025</w:t>
      </w:r>
      <w:r w:rsidR="009E2100">
        <w:rPr>
          <w:rFonts w:ascii="Times New Roman" w:hAnsi="Times New Roman" w:cs="Times New Roman"/>
          <w:sz w:val="24"/>
          <w:szCs w:val="24"/>
        </w:rPr>
        <w:t> </w:t>
      </w:r>
      <w:r w:rsidR="00985F63" w:rsidRPr="002C0E44">
        <w:rPr>
          <w:rFonts w:ascii="Times New Roman" w:hAnsi="Times New Roman" w:cs="Times New Roman"/>
          <w:sz w:val="24"/>
          <w:szCs w:val="24"/>
        </w:rPr>
        <w:t>r. Zapewni to, że KRS</w:t>
      </w:r>
      <w:r w:rsidR="00BA6484" w:rsidRPr="002C0E44">
        <w:rPr>
          <w:rFonts w:ascii="Times New Roman" w:hAnsi="Times New Roman" w:cs="Times New Roman"/>
          <w:sz w:val="24"/>
          <w:szCs w:val="24"/>
        </w:rPr>
        <w:t xml:space="preserve"> będzie przygotowany na przyjęcie ww. sprawozdań już pierwszego dnia po zakończeniu roku obrotowego, za który jednostki będą miały po raz pierwszy obowiązek </w:t>
      </w:r>
      <w:r w:rsidR="00985F63" w:rsidRPr="002C0E44">
        <w:rPr>
          <w:rFonts w:ascii="Times New Roman" w:hAnsi="Times New Roman" w:cs="Times New Roman"/>
          <w:sz w:val="24"/>
          <w:szCs w:val="24"/>
        </w:rPr>
        <w:t xml:space="preserve">jego </w:t>
      </w:r>
      <w:r w:rsidR="00BA6484" w:rsidRPr="002C0E44">
        <w:rPr>
          <w:rFonts w:ascii="Times New Roman" w:hAnsi="Times New Roman" w:cs="Times New Roman"/>
          <w:sz w:val="24"/>
          <w:szCs w:val="24"/>
        </w:rPr>
        <w:t>sporządzenia.</w:t>
      </w:r>
    </w:p>
    <w:p w14:paraId="22A39B90" w14:textId="42D8432F" w:rsidR="009E27EC" w:rsidRPr="002C0E44" w:rsidRDefault="009E27EC" w:rsidP="002C0E44">
      <w:pPr>
        <w:spacing w:before="120"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E44">
        <w:rPr>
          <w:rFonts w:ascii="Times New Roman" w:hAnsi="Times New Roman" w:cs="Times New Roman"/>
          <w:sz w:val="24"/>
          <w:szCs w:val="24"/>
        </w:rPr>
        <w:t>Projekt ustawy nie wymaga przedstawienia organom i instytucjom Unii Europejskiej w celu uzyskania opinii, dokonania powiadomienia, konsultacji albo uzgodnienia. W szczególności, zgodnie z art. 2 ust. 1 decyzji Rady 98/415/WE z dnia 29 czerwca 1998 r. w sprawie konsultacji Europejskiego Banku Centralnego udzielanych władzom krajowym w sprawie projektów przepisów prawnych (Dz. Urz. WE L 189 z 03.07.1998, str. 42), projekt ustawy nie podlega konsultacji z Europejskim Bankiem Centralnym.</w:t>
      </w:r>
    </w:p>
    <w:p w14:paraId="79939E94" w14:textId="6F6377C8" w:rsidR="009E27EC" w:rsidRPr="002C0E44" w:rsidRDefault="009E27EC" w:rsidP="002C0E44">
      <w:pPr>
        <w:spacing w:before="120"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E44">
        <w:rPr>
          <w:rFonts w:ascii="Times New Roman" w:hAnsi="Times New Roman" w:cs="Times New Roman"/>
          <w:sz w:val="24"/>
          <w:szCs w:val="24"/>
        </w:rPr>
        <w:t>Zawarte w projekcie ustawy regulacje nie stanowią przepisów technicznych w rozumieniu rozporządzenia Rady Ministrów z dnia 23 grudnia 2002 r. w sprawie sposobu funkcjonowania krajowego systemu notyfikacji norm i aktów prawnych (Dz. U. poz. 2039, z późn. zm.), dlatego też projekt ustawy nie podlega procedurze notyfikacji.</w:t>
      </w:r>
    </w:p>
    <w:p w14:paraId="6F0730DC" w14:textId="78A00E42" w:rsidR="00301AD1" w:rsidRPr="002C0E44" w:rsidRDefault="00596AAB" w:rsidP="002C0E44">
      <w:pPr>
        <w:spacing w:before="120"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E44">
        <w:rPr>
          <w:rFonts w:ascii="Times New Roman" w:hAnsi="Times New Roman" w:cs="Times New Roman"/>
          <w:sz w:val="24"/>
          <w:szCs w:val="24"/>
        </w:rPr>
        <w:t>Projekt ustawy jest zgodny z prawem Unii Europejskiej.</w:t>
      </w:r>
    </w:p>
    <w:sectPr w:rsidR="00301AD1" w:rsidRPr="002C0E44" w:rsidSect="002C0E44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F0362" w14:textId="77777777" w:rsidR="001A1A8F" w:rsidRDefault="001A1A8F" w:rsidP="00324412">
      <w:pPr>
        <w:spacing w:after="0" w:line="240" w:lineRule="auto"/>
      </w:pPr>
      <w:r>
        <w:separator/>
      </w:r>
    </w:p>
  </w:endnote>
  <w:endnote w:type="continuationSeparator" w:id="0">
    <w:p w14:paraId="039B1898" w14:textId="77777777" w:rsidR="001A1A8F" w:rsidRDefault="001A1A8F" w:rsidP="003244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1753779241"/>
      <w:docPartObj>
        <w:docPartGallery w:val="Page Numbers (Bottom of Page)"/>
        <w:docPartUnique/>
      </w:docPartObj>
    </w:sdtPr>
    <w:sdtEndPr/>
    <w:sdtContent>
      <w:p w14:paraId="442D13B7" w14:textId="6DA37ECE" w:rsidR="007B1D54" w:rsidRPr="002C0E44" w:rsidRDefault="007B1D54">
        <w:pPr>
          <w:pStyle w:val="Stopk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C0E4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C0E4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C0E4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F7A1F" w:rsidRPr="002C0E44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2C0E4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11C62778" w14:textId="77777777" w:rsidR="003261E0" w:rsidRDefault="003261E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44D5E" w14:textId="77777777" w:rsidR="001A1A8F" w:rsidRDefault="001A1A8F" w:rsidP="00324412">
      <w:pPr>
        <w:spacing w:after="0" w:line="240" w:lineRule="auto"/>
      </w:pPr>
      <w:r>
        <w:separator/>
      </w:r>
    </w:p>
  </w:footnote>
  <w:footnote w:type="continuationSeparator" w:id="0">
    <w:p w14:paraId="2E5DCA83" w14:textId="77777777" w:rsidR="001A1A8F" w:rsidRDefault="001A1A8F" w:rsidP="00324412">
      <w:pPr>
        <w:spacing w:after="0" w:line="240" w:lineRule="auto"/>
      </w:pPr>
      <w:r>
        <w:continuationSeparator/>
      </w:r>
    </w:p>
  </w:footnote>
  <w:footnote w:id="1">
    <w:p w14:paraId="4E87CABC" w14:textId="26405D97" w:rsidR="000B14DD" w:rsidRPr="000B1BCC" w:rsidRDefault="000B14DD" w:rsidP="002C0E44">
      <w:pPr>
        <w:pStyle w:val="Default"/>
        <w:ind w:left="284" w:hanging="284"/>
        <w:jc w:val="both"/>
        <w:rPr>
          <w:sz w:val="16"/>
          <w:szCs w:val="16"/>
        </w:rPr>
      </w:pPr>
      <w:bookmarkStart w:id="2" w:name="_Ref96595016"/>
      <w:r>
        <w:rPr>
          <w:rStyle w:val="Odwoanieprzypisudolnego"/>
        </w:rPr>
        <w:footnoteRef/>
      </w:r>
      <w:r w:rsidR="002C0E44">
        <w:tab/>
      </w:r>
      <w:r w:rsidRPr="00F66FCD">
        <w:rPr>
          <w:sz w:val="18"/>
          <w:szCs w:val="18"/>
        </w:rPr>
        <w:t xml:space="preserve">KOMUNIKAT KOMISJI DO PARLAMENTU EUROPEJSKIEGO I RADY Pakiet środków przeciwdziałających unikaniu opodatkowania: kolejne kroki na drodze do zapewnienia skutecznego opodatkowania i zwiększenia </w:t>
      </w:r>
      <w:r w:rsidR="00B04CEB" w:rsidRPr="00F66FCD">
        <w:rPr>
          <w:sz w:val="18"/>
          <w:szCs w:val="18"/>
        </w:rPr>
        <w:t xml:space="preserve">przejrzystości podatkowej w UE, </w:t>
      </w:r>
      <w:r w:rsidRPr="00F66FCD">
        <w:rPr>
          <w:sz w:val="18"/>
          <w:szCs w:val="18"/>
        </w:rPr>
        <w:t>Bruksela, dnia 28.</w:t>
      </w:r>
      <w:r w:rsidR="00F66FCD">
        <w:rPr>
          <w:sz w:val="18"/>
          <w:szCs w:val="18"/>
        </w:rPr>
        <w:t>0</w:t>
      </w:r>
      <w:r w:rsidRPr="00F66FCD">
        <w:rPr>
          <w:sz w:val="18"/>
          <w:szCs w:val="18"/>
        </w:rPr>
        <w:t>1.2016 r. COM(2016) 23 final</w:t>
      </w:r>
      <w:bookmarkEnd w:id="2"/>
      <w:r w:rsidR="00F66FCD">
        <w:rPr>
          <w:sz w:val="18"/>
          <w:szCs w:val="18"/>
        </w:rPr>
        <w:t>.</w:t>
      </w:r>
    </w:p>
  </w:footnote>
  <w:footnote w:id="2">
    <w:p w14:paraId="5C86A244" w14:textId="11B5E02C" w:rsidR="00FA2738" w:rsidRPr="00755A41" w:rsidRDefault="00FA2738" w:rsidP="00755A41">
      <w:pPr>
        <w:pStyle w:val="Tekstprzypisudolnego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755A41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="002C0E44" w:rsidRPr="00755A41">
        <w:rPr>
          <w:rFonts w:ascii="Times New Roman" w:hAnsi="Times New Roman" w:cs="Times New Roman"/>
          <w:sz w:val="18"/>
          <w:szCs w:val="18"/>
        </w:rPr>
        <w:tab/>
      </w:r>
      <w:r w:rsidRPr="00755A41">
        <w:rPr>
          <w:rFonts w:ascii="Times New Roman" w:hAnsi="Times New Roman" w:cs="Times New Roman"/>
          <w:sz w:val="18"/>
          <w:szCs w:val="18"/>
        </w:rPr>
        <w:t xml:space="preserve">Najbardziej aktualny wykaz został przyjęty w formie </w:t>
      </w:r>
      <w:r w:rsidR="00755A41">
        <w:rPr>
          <w:rFonts w:ascii="Times New Roman" w:hAnsi="Times New Roman" w:cs="Times New Roman"/>
          <w:sz w:val="18"/>
          <w:szCs w:val="18"/>
        </w:rPr>
        <w:t>k</w:t>
      </w:r>
      <w:r w:rsidRPr="00755A41">
        <w:rPr>
          <w:rFonts w:ascii="Times New Roman" w:hAnsi="Times New Roman" w:cs="Times New Roman"/>
          <w:sz w:val="18"/>
          <w:szCs w:val="18"/>
        </w:rPr>
        <w:t>onkluzji Rady w sprawie zmienionego unijnego wykazu jurysdykcji niechętnych współpracy do celów podatkowych opublikowanych 2</w:t>
      </w:r>
      <w:r w:rsidR="00135DE2" w:rsidRPr="00755A41">
        <w:rPr>
          <w:rFonts w:ascii="Times New Roman" w:hAnsi="Times New Roman" w:cs="Times New Roman"/>
          <w:sz w:val="18"/>
          <w:szCs w:val="18"/>
        </w:rPr>
        <w:t>3 października</w:t>
      </w:r>
      <w:r w:rsidRPr="00755A41">
        <w:rPr>
          <w:rFonts w:ascii="Times New Roman" w:hAnsi="Times New Roman" w:cs="Times New Roman"/>
          <w:sz w:val="18"/>
          <w:szCs w:val="18"/>
        </w:rPr>
        <w:t xml:space="preserve"> 2023 r. (Dz. U</w:t>
      </w:r>
      <w:r w:rsidR="00135DE2" w:rsidRPr="00755A41">
        <w:rPr>
          <w:rFonts w:ascii="Times New Roman" w:hAnsi="Times New Roman" w:cs="Times New Roman"/>
          <w:sz w:val="18"/>
          <w:szCs w:val="18"/>
        </w:rPr>
        <w:t>rz. UE</w:t>
      </w:r>
      <w:r w:rsidRPr="00755A41">
        <w:rPr>
          <w:rFonts w:ascii="Times New Roman" w:hAnsi="Times New Roman" w:cs="Times New Roman"/>
          <w:sz w:val="18"/>
          <w:szCs w:val="18"/>
        </w:rPr>
        <w:t xml:space="preserve"> C </w:t>
      </w:r>
      <w:r w:rsidR="00135DE2" w:rsidRPr="00755A41">
        <w:rPr>
          <w:rFonts w:ascii="Times New Roman" w:hAnsi="Times New Roman" w:cs="Times New Roman"/>
          <w:sz w:val="18"/>
          <w:szCs w:val="18"/>
        </w:rPr>
        <w:t>C/2023/437</w:t>
      </w:r>
      <w:r w:rsidRPr="00755A41">
        <w:rPr>
          <w:rFonts w:ascii="Times New Roman" w:hAnsi="Times New Roman" w:cs="Times New Roman"/>
          <w:sz w:val="18"/>
          <w:szCs w:val="18"/>
        </w:rPr>
        <w:t xml:space="preserve"> z</w:t>
      </w:r>
      <w:r w:rsidR="004E7D6F">
        <w:rPr>
          <w:rFonts w:ascii="Times New Roman" w:hAnsi="Times New Roman" w:cs="Times New Roman"/>
          <w:sz w:val="18"/>
          <w:szCs w:val="18"/>
        </w:rPr>
        <w:t> </w:t>
      </w:r>
      <w:r w:rsidRPr="00755A41">
        <w:rPr>
          <w:rFonts w:ascii="Times New Roman" w:hAnsi="Times New Roman" w:cs="Times New Roman"/>
          <w:sz w:val="18"/>
          <w:szCs w:val="18"/>
        </w:rPr>
        <w:t>2</w:t>
      </w:r>
      <w:r w:rsidR="00135DE2" w:rsidRPr="00755A41">
        <w:rPr>
          <w:rFonts w:ascii="Times New Roman" w:hAnsi="Times New Roman" w:cs="Times New Roman"/>
          <w:sz w:val="18"/>
          <w:szCs w:val="18"/>
        </w:rPr>
        <w:t>3</w:t>
      </w:r>
      <w:r w:rsidRPr="00755A41">
        <w:rPr>
          <w:rFonts w:ascii="Times New Roman" w:hAnsi="Times New Roman" w:cs="Times New Roman"/>
          <w:sz w:val="18"/>
          <w:szCs w:val="18"/>
        </w:rPr>
        <w:t>.</w:t>
      </w:r>
      <w:r w:rsidR="00135DE2" w:rsidRPr="00755A41">
        <w:rPr>
          <w:rFonts w:ascii="Times New Roman" w:hAnsi="Times New Roman" w:cs="Times New Roman"/>
          <w:sz w:val="18"/>
          <w:szCs w:val="18"/>
        </w:rPr>
        <w:t>1</w:t>
      </w:r>
      <w:r w:rsidRPr="00755A41">
        <w:rPr>
          <w:rFonts w:ascii="Times New Roman" w:hAnsi="Times New Roman" w:cs="Times New Roman"/>
          <w:sz w:val="18"/>
          <w:szCs w:val="18"/>
        </w:rPr>
        <w:t>0.2023).</w:t>
      </w:r>
    </w:p>
  </w:footnote>
  <w:footnote w:id="3">
    <w:p w14:paraId="2C2AE584" w14:textId="5B9886EA" w:rsidR="00F77283" w:rsidRDefault="00F77283" w:rsidP="002C0E4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 w:rsidR="002C0E44">
        <w:tab/>
      </w:r>
      <w:r w:rsidRPr="00E41C4F">
        <w:rPr>
          <w:rFonts w:ascii="Times New Roman" w:hAnsi="Times New Roman" w:cs="Times New Roman"/>
          <w:sz w:val="18"/>
          <w:szCs w:val="18"/>
        </w:rPr>
        <w:t>Odniesienie do terytorium Europejskiego Obszaru Gospodarczego (a nie terytorium UE, jak wskazano w art. 48b ust.</w:t>
      </w:r>
      <w:r w:rsidR="004E7D6F">
        <w:rPr>
          <w:rFonts w:ascii="Times New Roman" w:hAnsi="Times New Roman" w:cs="Times New Roman"/>
          <w:sz w:val="18"/>
          <w:szCs w:val="18"/>
        </w:rPr>
        <w:t> </w:t>
      </w:r>
      <w:r w:rsidRPr="00E41C4F">
        <w:rPr>
          <w:rFonts w:ascii="Times New Roman" w:hAnsi="Times New Roman" w:cs="Times New Roman"/>
          <w:sz w:val="18"/>
          <w:szCs w:val="18"/>
        </w:rPr>
        <w:t>4 dyrektywy) jest wynikiem ustaleń z warsztatów transpozycyjnych zorganizowanych przez KE. Zdaniem KE, ponieważ tekst dyrektywy ma znaczenie dla EOG, to Islandia, Liechtenstein i Norwegia mają być traktowane jak państwa członkowskie UE, a terytorium UE ma być rozumiane jako terytorium EOG. Zatem za jednostki z państw trzecich należy uznać jednostki mające siedzibę lub miejsce sprawowania zarządu poza terytorium EOG.</w:t>
      </w:r>
    </w:p>
  </w:footnote>
  <w:footnote w:id="4">
    <w:p w14:paraId="25C1A909" w14:textId="0F71F6A6" w:rsidR="00F77283" w:rsidRPr="00042244" w:rsidRDefault="00F77283" w:rsidP="002C0E44">
      <w:pPr>
        <w:pStyle w:val="Tekstprzypisudolnego"/>
        <w:ind w:left="284" w:hanging="284"/>
        <w:jc w:val="both"/>
        <w:rPr>
          <w:sz w:val="18"/>
          <w:szCs w:val="18"/>
        </w:rPr>
      </w:pPr>
      <w:r w:rsidRPr="00042244">
        <w:rPr>
          <w:rStyle w:val="Odwoanieprzypisudolnego"/>
          <w:sz w:val="18"/>
          <w:szCs w:val="18"/>
        </w:rPr>
        <w:footnoteRef/>
      </w:r>
      <w:r w:rsidR="002C0E44" w:rsidRPr="00042244">
        <w:rPr>
          <w:sz w:val="18"/>
          <w:szCs w:val="18"/>
        </w:rPr>
        <w:tab/>
      </w:r>
      <w:r w:rsidRPr="00042244">
        <w:rPr>
          <w:rFonts w:ascii="Times New Roman" w:hAnsi="Times New Roman" w:cs="Times New Roman"/>
          <w:sz w:val="18"/>
          <w:szCs w:val="18"/>
        </w:rPr>
        <w:t>Odniesienie do terytorium Europejskiego Obszaru Gospodarczego (a nie terytorium UE, jak wskazano w art. 48b ust.</w:t>
      </w:r>
      <w:r w:rsidR="004E7D6F">
        <w:rPr>
          <w:rFonts w:ascii="Times New Roman" w:hAnsi="Times New Roman" w:cs="Times New Roman"/>
          <w:sz w:val="18"/>
          <w:szCs w:val="18"/>
        </w:rPr>
        <w:t> </w:t>
      </w:r>
      <w:r w:rsidRPr="00042244">
        <w:rPr>
          <w:rFonts w:ascii="Times New Roman" w:hAnsi="Times New Roman" w:cs="Times New Roman"/>
          <w:sz w:val="18"/>
          <w:szCs w:val="18"/>
        </w:rPr>
        <w:t>5 dyrektywy) jest wynikiem ustaleń z warsztatów transpozycyjnych zorganizowanych przez KE. Zdaniem KE, ponieważ tekst dyrektywy ma znaczenie dla EOG, to Islandia, Liechtenstein i Norwegia mają być traktowane jak państwa członkowskie UE, a terytorium UE ma być rozumiane jako terytorium EOG. Zatem za jednostki z państw trzecich należy uznać jednostki mające siedzibę lub miejsce sprawowania zarządu poza terytorium EOG.</w:t>
      </w:r>
    </w:p>
  </w:footnote>
  <w:footnote w:id="5">
    <w:p w14:paraId="4525405B" w14:textId="73C9106C" w:rsidR="00091726" w:rsidRPr="00445169" w:rsidRDefault="00091726" w:rsidP="002C0E44">
      <w:pPr>
        <w:pStyle w:val="Tekstprzypisudolnego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445169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="002C0E44" w:rsidRPr="00445169">
        <w:rPr>
          <w:rFonts w:ascii="Times New Roman" w:hAnsi="Times New Roman" w:cs="Times New Roman"/>
          <w:sz w:val="18"/>
          <w:szCs w:val="18"/>
        </w:rPr>
        <w:tab/>
      </w:r>
      <w:r w:rsidRPr="00445169">
        <w:rPr>
          <w:rFonts w:ascii="Times New Roman" w:hAnsi="Times New Roman" w:cs="Times New Roman"/>
          <w:sz w:val="18"/>
          <w:szCs w:val="18"/>
        </w:rPr>
        <w:t>Odniesienie do państw Europejskiego Obszaru Gospodarczego (a nie państw członkowskich UE, jak wskazano w art.</w:t>
      </w:r>
      <w:r w:rsidR="009E2100">
        <w:rPr>
          <w:rFonts w:ascii="Times New Roman" w:hAnsi="Times New Roman" w:cs="Times New Roman"/>
          <w:sz w:val="18"/>
          <w:szCs w:val="18"/>
        </w:rPr>
        <w:t> </w:t>
      </w:r>
      <w:r w:rsidRPr="00445169">
        <w:rPr>
          <w:rFonts w:ascii="Times New Roman" w:hAnsi="Times New Roman" w:cs="Times New Roman"/>
          <w:sz w:val="18"/>
          <w:szCs w:val="18"/>
        </w:rPr>
        <w:t>48c ust. 2 lit. a) dyrektywy) jest wynikiem ustaleń z warsztatów transpozycyjnych zorganizowanych przez KE. Zdaniem KE, ponieważ tekst dyrektywy ma znaczenie dla EOG, to Islandia, Liechtenstein i Norwegia mają być traktowane jak państwa członkowskie UE. Zatem informacje dotyczące tych trzech krajów mają być również prezentowane odrębnie, a nie w formie zagregowanej. W konsekwencji w informacji w pkt 1 należy przedstawić wykaz wszystkich jednostek zależnych mających siedzibę w EOG.</w:t>
      </w:r>
    </w:p>
  </w:footnote>
  <w:footnote w:id="6">
    <w:p w14:paraId="7DB65FF0" w14:textId="0F0F6F19" w:rsidR="00091726" w:rsidRPr="00AA2598" w:rsidRDefault="00091726" w:rsidP="002C0E44">
      <w:pPr>
        <w:pStyle w:val="Tekstprzypisudolnego"/>
        <w:ind w:left="284" w:hanging="284"/>
        <w:jc w:val="both"/>
        <w:rPr>
          <w:sz w:val="18"/>
          <w:szCs w:val="18"/>
        </w:rPr>
      </w:pPr>
      <w:r w:rsidRPr="009F7F35">
        <w:rPr>
          <w:rStyle w:val="Odwoanieprzypisudolnego"/>
          <w:sz w:val="18"/>
          <w:szCs w:val="18"/>
        </w:rPr>
        <w:footnoteRef/>
      </w:r>
      <w:r w:rsidR="002C0E44" w:rsidRPr="00AA2598">
        <w:rPr>
          <w:sz w:val="18"/>
          <w:szCs w:val="18"/>
        </w:rPr>
        <w:tab/>
      </w:r>
      <w:r w:rsidRPr="00AA2598">
        <w:rPr>
          <w:rFonts w:ascii="Times New Roman" w:hAnsi="Times New Roman" w:cs="Times New Roman"/>
          <w:sz w:val="18"/>
          <w:szCs w:val="18"/>
        </w:rPr>
        <w:t>Odniesienie do państw Europejskiego Obszaru Gospodarczego (a nie państw członkowskich UE, jak wskazano w art.</w:t>
      </w:r>
      <w:r w:rsidR="009E2100">
        <w:rPr>
          <w:rFonts w:ascii="Times New Roman" w:hAnsi="Times New Roman" w:cs="Times New Roman"/>
          <w:sz w:val="18"/>
          <w:szCs w:val="18"/>
        </w:rPr>
        <w:t> </w:t>
      </w:r>
      <w:r w:rsidRPr="00AA2598">
        <w:rPr>
          <w:rFonts w:ascii="Times New Roman" w:hAnsi="Times New Roman" w:cs="Times New Roman"/>
          <w:sz w:val="18"/>
          <w:szCs w:val="18"/>
        </w:rPr>
        <w:t>48c ust. 5 akapit pierwszy dyrektywy) jest wynikiem ustaleń z warsztatów transpozycyjnych zorganizowanych przez KE. Zdaniem KE, ponieważ tekst dyrektywy ma znaczenie dla EOG, to Islandia, Liechtenstein i Norwegia mają być traktowane jak państwa członkowskie UE. Zatem informacje dotyczące tych trzech krajów mają być również prezentowane odrębnie, a nie w formie zagregowanej.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B1C9E"/>
    <w:multiLevelType w:val="multilevel"/>
    <w:tmpl w:val="01404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FF0766"/>
    <w:multiLevelType w:val="hybridMultilevel"/>
    <w:tmpl w:val="E104FBCE"/>
    <w:lvl w:ilvl="0" w:tplc="D19AA9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C13D9C"/>
    <w:multiLevelType w:val="multilevel"/>
    <w:tmpl w:val="A2A87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0F3090"/>
    <w:multiLevelType w:val="multilevel"/>
    <w:tmpl w:val="5F326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D26334"/>
    <w:multiLevelType w:val="hybridMultilevel"/>
    <w:tmpl w:val="8AA08DBC"/>
    <w:lvl w:ilvl="0" w:tplc="3C109D00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39DB4741"/>
    <w:multiLevelType w:val="hybridMultilevel"/>
    <w:tmpl w:val="8D743A38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3A8A0032"/>
    <w:multiLevelType w:val="hybridMultilevel"/>
    <w:tmpl w:val="16DC6A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967FBB"/>
    <w:multiLevelType w:val="hybridMultilevel"/>
    <w:tmpl w:val="DA08121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B0537C"/>
    <w:multiLevelType w:val="multilevel"/>
    <w:tmpl w:val="10E0C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CF9289E"/>
    <w:multiLevelType w:val="hybridMultilevel"/>
    <w:tmpl w:val="59ACB780"/>
    <w:lvl w:ilvl="0" w:tplc="F864C0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931018D"/>
    <w:multiLevelType w:val="hybridMultilevel"/>
    <w:tmpl w:val="A0821DFA"/>
    <w:lvl w:ilvl="0" w:tplc="5E1AA8A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F17CC2"/>
    <w:multiLevelType w:val="hybridMultilevel"/>
    <w:tmpl w:val="DFA8AC38"/>
    <w:lvl w:ilvl="0" w:tplc="6526EC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21A5654"/>
    <w:multiLevelType w:val="hybridMultilevel"/>
    <w:tmpl w:val="A31A86FC"/>
    <w:lvl w:ilvl="0" w:tplc="1F6CD276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625B0FCC"/>
    <w:multiLevelType w:val="hybridMultilevel"/>
    <w:tmpl w:val="08CCBC14"/>
    <w:lvl w:ilvl="0" w:tplc="A09871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04041B"/>
    <w:multiLevelType w:val="hybridMultilevel"/>
    <w:tmpl w:val="714CE56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6D826E7E"/>
    <w:multiLevelType w:val="hybridMultilevel"/>
    <w:tmpl w:val="B13028F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AF3C8E"/>
    <w:multiLevelType w:val="hybridMultilevel"/>
    <w:tmpl w:val="2B1AC7F4"/>
    <w:lvl w:ilvl="0" w:tplc="D1DA354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78DA2109"/>
    <w:multiLevelType w:val="hybridMultilevel"/>
    <w:tmpl w:val="DFB4AAC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5664693">
    <w:abstractNumId w:val="11"/>
  </w:num>
  <w:num w:numId="2" w16cid:durableId="1765222860">
    <w:abstractNumId w:val="16"/>
  </w:num>
  <w:num w:numId="3" w16cid:durableId="1447385907">
    <w:abstractNumId w:val="1"/>
  </w:num>
  <w:num w:numId="4" w16cid:durableId="1479759581">
    <w:abstractNumId w:val="15"/>
  </w:num>
  <w:num w:numId="5" w16cid:durableId="1858735638">
    <w:abstractNumId w:val="13"/>
  </w:num>
  <w:num w:numId="6" w16cid:durableId="334454343">
    <w:abstractNumId w:val="10"/>
  </w:num>
  <w:num w:numId="7" w16cid:durableId="159555310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72971596">
    <w:abstractNumId w:val="9"/>
  </w:num>
  <w:num w:numId="9" w16cid:durableId="1050886795">
    <w:abstractNumId w:val="7"/>
  </w:num>
  <w:num w:numId="10" w16cid:durableId="2086223978">
    <w:abstractNumId w:val="12"/>
  </w:num>
  <w:num w:numId="11" w16cid:durableId="560362355">
    <w:abstractNumId w:val="17"/>
  </w:num>
  <w:num w:numId="12" w16cid:durableId="791822003">
    <w:abstractNumId w:val="4"/>
  </w:num>
  <w:num w:numId="13" w16cid:durableId="95442810">
    <w:abstractNumId w:val="3"/>
  </w:num>
  <w:num w:numId="14" w16cid:durableId="623192611">
    <w:abstractNumId w:val="2"/>
  </w:num>
  <w:num w:numId="15" w16cid:durableId="1452167309">
    <w:abstractNumId w:val="0"/>
  </w:num>
  <w:num w:numId="16" w16cid:durableId="5057074">
    <w:abstractNumId w:val="8"/>
  </w:num>
  <w:num w:numId="17" w16cid:durableId="1024014271">
    <w:abstractNumId w:val="6"/>
  </w:num>
  <w:num w:numId="18" w16cid:durableId="1561330567">
    <w:abstractNumId w:val="14"/>
  </w:num>
  <w:num w:numId="19" w16cid:durableId="6989148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7C91"/>
    <w:rsid w:val="000048CE"/>
    <w:rsid w:val="0000625D"/>
    <w:rsid w:val="000064C9"/>
    <w:rsid w:val="00007B74"/>
    <w:rsid w:val="00007EC3"/>
    <w:rsid w:val="00012337"/>
    <w:rsid w:val="0001272C"/>
    <w:rsid w:val="000165E8"/>
    <w:rsid w:val="0002013D"/>
    <w:rsid w:val="000212B1"/>
    <w:rsid w:val="00023F43"/>
    <w:rsid w:val="00026976"/>
    <w:rsid w:val="00030644"/>
    <w:rsid w:val="00033DF8"/>
    <w:rsid w:val="0003530F"/>
    <w:rsid w:val="0003600F"/>
    <w:rsid w:val="0003636F"/>
    <w:rsid w:val="0003685F"/>
    <w:rsid w:val="00042244"/>
    <w:rsid w:val="000423BC"/>
    <w:rsid w:val="00042863"/>
    <w:rsid w:val="00043862"/>
    <w:rsid w:val="00044CB7"/>
    <w:rsid w:val="000458B2"/>
    <w:rsid w:val="00046140"/>
    <w:rsid w:val="00047C86"/>
    <w:rsid w:val="000503CE"/>
    <w:rsid w:val="00050E92"/>
    <w:rsid w:val="00051811"/>
    <w:rsid w:val="000549E5"/>
    <w:rsid w:val="000558A2"/>
    <w:rsid w:val="000571C3"/>
    <w:rsid w:val="000578BC"/>
    <w:rsid w:val="00060638"/>
    <w:rsid w:val="00063BF3"/>
    <w:rsid w:val="0006564B"/>
    <w:rsid w:val="00070773"/>
    <w:rsid w:val="00071868"/>
    <w:rsid w:val="00077499"/>
    <w:rsid w:val="000859F0"/>
    <w:rsid w:val="00086635"/>
    <w:rsid w:val="00091726"/>
    <w:rsid w:val="0009284D"/>
    <w:rsid w:val="00095107"/>
    <w:rsid w:val="0009596F"/>
    <w:rsid w:val="0009671D"/>
    <w:rsid w:val="0009773C"/>
    <w:rsid w:val="000979C7"/>
    <w:rsid w:val="000A1FC7"/>
    <w:rsid w:val="000A2178"/>
    <w:rsid w:val="000A4468"/>
    <w:rsid w:val="000A5BF7"/>
    <w:rsid w:val="000A6CE1"/>
    <w:rsid w:val="000A6D9C"/>
    <w:rsid w:val="000B0086"/>
    <w:rsid w:val="000B14DD"/>
    <w:rsid w:val="000B34F2"/>
    <w:rsid w:val="000B3E7B"/>
    <w:rsid w:val="000B5619"/>
    <w:rsid w:val="000B67AF"/>
    <w:rsid w:val="000B6C1D"/>
    <w:rsid w:val="000C2BE8"/>
    <w:rsid w:val="000C416F"/>
    <w:rsid w:val="000C4A2C"/>
    <w:rsid w:val="000C7C43"/>
    <w:rsid w:val="000D0F86"/>
    <w:rsid w:val="000D1BFD"/>
    <w:rsid w:val="000D2E11"/>
    <w:rsid w:val="000D3940"/>
    <w:rsid w:val="000D3EAB"/>
    <w:rsid w:val="000D461D"/>
    <w:rsid w:val="000D7AF6"/>
    <w:rsid w:val="000D7D95"/>
    <w:rsid w:val="000E71A5"/>
    <w:rsid w:val="000F057D"/>
    <w:rsid w:val="000F58C5"/>
    <w:rsid w:val="000F6ECC"/>
    <w:rsid w:val="001044D8"/>
    <w:rsid w:val="00106859"/>
    <w:rsid w:val="00112FB9"/>
    <w:rsid w:val="0011440C"/>
    <w:rsid w:val="0012051D"/>
    <w:rsid w:val="00122F9A"/>
    <w:rsid w:val="00126542"/>
    <w:rsid w:val="00126C26"/>
    <w:rsid w:val="00127D52"/>
    <w:rsid w:val="001325D5"/>
    <w:rsid w:val="00135DE2"/>
    <w:rsid w:val="00140F8A"/>
    <w:rsid w:val="001423E4"/>
    <w:rsid w:val="00145676"/>
    <w:rsid w:val="0014739B"/>
    <w:rsid w:val="00151993"/>
    <w:rsid w:val="001550F6"/>
    <w:rsid w:val="00157F3E"/>
    <w:rsid w:val="00160728"/>
    <w:rsid w:val="001627B2"/>
    <w:rsid w:val="00162C87"/>
    <w:rsid w:val="0016472B"/>
    <w:rsid w:val="00166807"/>
    <w:rsid w:val="00171FFB"/>
    <w:rsid w:val="001720BA"/>
    <w:rsid w:val="00172755"/>
    <w:rsid w:val="001814A6"/>
    <w:rsid w:val="001846F7"/>
    <w:rsid w:val="00186591"/>
    <w:rsid w:val="00186B75"/>
    <w:rsid w:val="001965CA"/>
    <w:rsid w:val="001A0F26"/>
    <w:rsid w:val="001A1A8F"/>
    <w:rsid w:val="001A376F"/>
    <w:rsid w:val="001A4112"/>
    <w:rsid w:val="001A6099"/>
    <w:rsid w:val="001A6188"/>
    <w:rsid w:val="001B0157"/>
    <w:rsid w:val="001B681F"/>
    <w:rsid w:val="001C1D89"/>
    <w:rsid w:val="001C2C3A"/>
    <w:rsid w:val="001C5B2A"/>
    <w:rsid w:val="001D0202"/>
    <w:rsid w:val="001E09D9"/>
    <w:rsid w:val="001E2BC8"/>
    <w:rsid w:val="001E560C"/>
    <w:rsid w:val="001E6DEC"/>
    <w:rsid w:val="001F394A"/>
    <w:rsid w:val="001F4B44"/>
    <w:rsid w:val="001F5555"/>
    <w:rsid w:val="001F6735"/>
    <w:rsid w:val="00200CCA"/>
    <w:rsid w:val="0020139A"/>
    <w:rsid w:val="00205BE7"/>
    <w:rsid w:val="002062CF"/>
    <w:rsid w:val="00206790"/>
    <w:rsid w:val="002106E5"/>
    <w:rsid w:val="00210C85"/>
    <w:rsid w:val="00214394"/>
    <w:rsid w:val="00216E32"/>
    <w:rsid w:val="002211F3"/>
    <w:rsid w:val="0022170C"/>
    <w:rsid w:val="0022284C"/>
    <w:rsid w:val="00224692"/>
    <w:rsid w:val="00224A62"/>
    <w:rsid w:val="00226A0C"/>
    <w:rsid w:val="002277B7"/>
    <w:rsid w:val="00231102"/>
    <w:rsid w:val="0024216C"/>
    <w:rsid w:val="00244DE9"/>
    <w:rsid w:val="00244E7C"/>
    <w:rsid w:val="00247003"/>
    <w:rsid w:val="00247D24"/>
    <w:rsid w:val="002524B5"/>
    <w:rsid w:val="0025452A"/>
    <w:rsid w:val="00255E25"/>
    <w:rsid w:val="00261CBF"/>
    <w:rsid w:val="00262162"/>
    <w:rsid w:val="002628E9"/>
    <w:rsid w:val="002635C6"/>
    <w:rsid w:val="00263D82"/>
    <w:rsid w:val="00263F93"/>
    <w:rsid w:val="002657E1"/>
    <w:rsid w:val="00266639"/>
    <w:rsid w:val="00267FBE"/>
    <w:rsid w:val="002763E8"/>
    <w:rsid w:val="00280258"/>
    <w:rsid w:val="002805A5"/>
    <w:rsid w:val="00280868"/>
    <w:rsid w:val="0028120E"/>
    <w:rsid w:val="002834F5"/>
    <w:rsid w:val="002852D3"/>
    <w:rsid w:val="002870D9"/>
    <w:rsid w:val="00287177"/>
    <w:rsid w:val="0028740F"/>
    <w:rsid w:val="0029209A"/>
    <w:rsid w:val="00292321"/>
    <w:rsid w:val="0029235F"/>
    <w:rsid w:val="0029278E"/>
    <w:rsid w:val="002A066D"/>
    <w:rsid w:val="002A1121"/>
    <w:rsid w:val="002A2D39"/>
    <w:rsid w:val="002A4014"/>
    <w:rsid w:val="002A5489"/>
    <w:rsid w:val="002A5A5A"/>
    <w:rsid w:val="002A691F"/>
    <w:rsid w:val="002B444F"/>
    <w:rsid w:val="002B48E2"/>
    <w:rsid w:val="002B5FC0"/>
    <w:rsid w:val="002B615A"/>
    <w:rsid w:val="002C0E44"/>
    <w:rsid w:val="002C198D"/>
    <w:rsid w:val="002C2A42"/>
    <w:rsid w:val="002C7681"/>
    <w:rsid w:val="002D1A05"/>
    <w:rsid w:val="002D32DE"/>
    <w:rsid w:val="002D5AE1"/>
    <w:rsid w:val="002D5E80"/>
    <w:rsid w:val="002E23AE"/>
    <w:rsid w:val="002E3921"/>
    <w:rsid w:val="002E4C1D"/>
    <w:rsid w:val="002E7ABA"/>
    <w:rsid w:val="002F21F9"/>
    <w:rsid w:val="002F532F"/>
    <w:rsid w:val="002F6B2C"/>
    <w:rsid w:val="00301AD1"/>
    <w:rsid w:val="00307A73"/>
    <w:rsid w:val="00312457"/>
    <w:rsid w:val="003127E1"/>
    <w:rsid w:val="003135B8"/>
    <w:rsid w:val="003167A1"/>
    <w:rsid w:val="00316B9C"/>
    <w:rsid w:val="003177CE"/>
    <w:rsid w:val="00317E9C"/>
    <w:rsid w:val="00324365"/>
    <w:rsid w:val="00324412"/>
    <w:rsid w:val="003261E0"/>
    <w:rsid w:val="0032794A"/>
    <w:rsid w:val="00327ACE"/>
    <w:rsid w:val="00330E29"/>
    <w:rsid w:val="00331346"/>
    <w:rsid w:val="00341BE6"/>
    <w:rsid w:val="00342BC1"/>
    <w:rsid w:val="00345040"/>
    <w:rsid w:val="00352F2B"/>
    <w:rsid w:val="003570E2"/>
    <w:rsid w:val="00357756"/>
    <w:rsid w:val="003579A8"/>
    <w:rsid w:val="00364C54"/>
    <w:rsid w:val="0036502A"/>
    <w:rsid w:val="00367330"/>
    <w:rsid w:val="003761BE"/>
    <w:rsid w:val="003825A4"/>
    <w:rsid w:val="00382C22"/>
    <w:rsid w:val="00383AE7"/>
    <w:rsid w:val="0038497E"/>
    <w:rsid w:val="00390956"/>
    <w:rsid w:val="00392B6C"/>
    <w:rsid w:val="00394A17"/>
    <w:rsid w:val="003961C2"/>
    <w:rsid w:val="003A20DA"/>
    <w:rsid w:val="003A6F10"/>
    <w:rsid w:val="003B00DB"/>
    <w:rsid w:val="003B134A"/>
    <w:rsid w:val="003C14D1"/>
    <w:rsid w:val="003C1C00"/>
    <w:rsid w:val="003C2801"/>
    <w:rsid w:val="003C48E6"/>
    <w:rsid w:val="003C51BA"/>
    <w:rsid w:val="003C57F9"/>
    <w:rsid w:val="003C5BE9"/>
    <w:rsid w:val="003C702A"/>
    <w:rsid w:val="003D1E51"/>
    <w:rsid w:val="003D6E8E"/>
    <w:rsid w:val="003D7620"/>
    <w:rsid w:val="003E3856"/>
    <w:rsid w:val="003E3885"/>
    <w:rsid w:val="003E47DC"/>
    <w:rsid w:val="003F057F"/>
    <w:rsid w:val="003F105C"/>
    <w:rsid w:val="003F4C9F"/>
    <w:rsid w:val="00400901"/>
    <w:rsid w:val="004017D5"/>
    <w:rsid w:val="00404D18"/>
    <w:rsid w:val="00406DEB"/>
    <w:rsid w:val="00413777"/>
    <w:rsid w:val="00416148"/>
    <w:rsid w:val="004231E6"/>
    <w:rsid w:val="00424CA3"/>
    <w:rsid w:val="004252E5"/>
    <w:rsid w:val="00426EDA"/>
    <w:rsid w:val="00431980"/>
    <w:rsid w:val="004331BC"/>
    <w:rsid w:val="00434717"/>
    <w:rsid w:val="004352AD"/>
    <w:rsid w:val="0043690B"/>
    <w:rsid w:val="00440EF7"/>
    <w:rsid w:val="00443370"/>
    <w:rsid w:val="00445169"/>
    <w:rsid w:val="00451BF8"/>
    <w:rsid w:val="004549C9"/>
    <w:rsid w:val="00456165"/>
    <w:rsid w:val="00456EA1"/>
    <w:rsid w:val="004623F5"/>
    <w:rsid w:val="004653CD"/>
    <w:rsid w:val="0046544D"/>
    <w:rsid w:val="00465E2C"/>
    <w:rsid w:val="00467D49"/>
    <w:rsid w:val="00473574"/>
    <w:rsid w:val="00475A11"/>
    <w:rsid w:val="00482DA4"/>
    <w:rsid w:val="00485157"/>
    <w:rsid w:val="0048752E"/>
    <w:rsid w:val="00491163"/>
    <w:rsid w:val="004914B2"/>
    <w:rsid w:val="00491EA5"/>
    <w:rsid w:val="004928E3"/>
    <w:rsid w:val="00493DBF"/>
    <w:rsid w:val="00495538"/>
    <w:rsid w:val="004A0F3E"/>
    <w:rsid w:val="004A31D0"/>
    <w:rsid w:val="004A416E"/>
    <w:rsid w:val="004A4F99"/>
    <w:rsid w:val="004A5639"/>
    <w:rsid w:val="004B2A49"/>
    <w:rsid w:val="004B4D43"/>
    <w:rsid w:val="004B7E5A"/>
    <w:rsid w:val="004C112D"/>
    <w:rsid w:val="004C3533"/>
    <w:rsid w:val="004D0B33"/>
    <w:rsid w:val="004D175B"/>
    <w:rsid w:val="004D213A"/>
    <w:rsid w:val="004D4BD2"/>
    <w:rsid w:val="004D58EE"/>
    <w:rsid w:val="004E08B7"/>
    <w:rsid w:val="004E1A9E"/>
    <w:rsid w:val="004E5A35"/>
    <w:rsid w:val="004E6273"/>
    <w:rsid w:val="004E71D7"/>
    <w:rsid w:val="004E732F"/>
    <w:rsid w:val="004E7D6F"/>
    <w:rsid w:val="004F306A"/>
    <w:rsid w:val="004F42D7"/>
    <w:rsid w:val="004F6E6A"/>
    <w:rsid w:val="005016B4"/>
    <w:rsid w:val="00501E7A"/>
    <w:rsid w:val="005040CA"/>
    <w:rsid w:val="00504F1B"/>
    <w:rsid w:val="0051099B"/>
    <w:rsid w:val="0051123E"/>
    <w:rsid w:val="00513301"/>
    <w:rsid w:val="005139FB"/>
    <w:rsid w:val="00514440"/>
    <w:rsid w:val="005157A1"/>
    <w:rsid w:val="00523790"/>
    <w:rsid w:val="005269C7"/>
    <w:rsid w:val="005273A4"/>
    <w:rsid w:val="00532916"/>
    <w:rsid w:val="005337E5"/>
    <w:rsid w:val="00536378"/>
    <w:rsid w:val="00537873"/>
    <w:rsid w:val="00541ECA"/>
    <w:rsid w:val="00542A70"/>
    <w:rsid w:val="00556E75"/>
    <w:rsid w:val="00557A89"/>
    <w:rsid w:val="00560BFD"/>
    <w:rsid w:val="00561275"/>
    <w:rsid w:val="00567B87"/>
    <w:rsid w:val="00574CAC"/>
    <w:rsid w:val="005760DF"/>
    <w:rsid w:val="005777D8"/>
    <w:rsid w:val="005844CC"/>
    <w:rsid w:val="00585A51"/>
    <w:rsid w:val="00585B25"/>
    <w:rsid w:val="00596AAB"/>
    <w:rsid w:val="005A1602"/>
    <w:rsid w:val="005A333C"/>
    <w:rsid w:val="005A3DF8"/>
    <w:rsid w:val="005A42BD"/>
    <w:rsid w:val="005A4AD3"/>
    <w:rsid w:val="005A538A"/>
    <w:rsid w:val="005A56C3"/>
    <w:rsid w:val="005A6FFD"/>
    <w:rsid w:val="005B2D0D"/>
    <w:rsid w:val="005B48A4"/>
    <w:rsid w:val="005B4AA9"/>
    <w:rsid w:val="005C206E"/>
    <w:rsid w:val="005C4566"/>
    <w:rsid w:val="005C7084"/>
    <w:rsid w:val="005C7326"/>
    <w:rsid w:val="005D2660"/>
    <w:rsid w:val="005D3E70"/>
    <w:rsid w:val="005D441B"/>
    <w:rsid w:val="005D4C46"/>
    <w:rsid w:val="005E5D2B"/>
    <w:rsid w:val="005E6711"/>
    <w:rsid w:val="005E6B5D"/>
    <w:rsid w:val="005E7BA6"/>
    <w:rsid w:val="005F1D07"/>
    <w:rsid w:val="005F4C12"/>
    <w:rsid w:val="005F4C37"/>
    <w:rsid w:val="005F4CCF"/>
    <w:rsid w:val="005F5682"/>
    <w:rsid w:val="005F63C7"/>
    <w:rsid w:val="00600E1E"/>
    <w:rsid w:val="00602303"/>
    <w:rsid w:val="00604B5D"/>
    <w:rsid w:val="006112D3"/>
    <w:rsid w:val="006159B2"/>
    <w:rsid w:val="00616E42"/>
    <w:rsid w:val="00617662"/>
    <w:rsid w:val="00624392"/>
    <w:rsid w:val="006251C0"/>
    <w:rsid w:val="00627706"/>
    <w:rsid w:val="006309B8"/>
    <w:rsid w:val="0063110F"/>
    <w:rsid w:val="00631623"/>
    <w:rsid w:val="00633B12"/>
    <w:rsid w:val="0063563E"/>
    <w:rsid w:val="00635AF8"/>
    <w:rsid w:val="00640D17"/>
    <w:rsid w:val="00643D60"/>
    <w:rsid w:val="0065045C"/>
    <w:rsid w:val="00651100"/>
    <w:rsid w:val="00656C0E"/>
    <w:rsid w:val="00657E2F"/>
    <w:rsid w:val="00657F48"/>
    <w:rsid w:val="006628F7"/>
    <w:rsid w:val="00663475"/>
    <w:rsid w:val="00664758"/>
    <w:rsid w:val="00664DFE"/>
    <w:rsid w:val="006665AD"/>
    <w:rsid w:val="00667DB3"/>
    <w:rsid w:val="00671553"/>
    <w:rsid w:val="00671CE5"/>
    <w:rsid w:val="00671CE9"/>
    <w:rsid w:val="006727F0"/>
    <w:rsid w:val="00672D98"/>
    <w:rsid w:val="0067419A"/>
    <w:rsid w:val="006803E8"/>
    <w:rsid w:val="0068199D"/>
    <w:rsid w:val="006823FF"/>
    <w:rsid w:val="006833C5"/>
    <w:rsid w:val="00685D7D"/>
    <w:rsid w:val="00685E0A"/>
    <w:rsid w:val="006860EB"/>
    <w:rsid w:val="00686601"/>
    <w:rsid w:val="00691E8B"/>
    <w:rsid w:val="0069427C"/>
    <w:rsid w:val="006944B7"/>
    <w:rsid w:val="00694AA8"/>
    <w:rsid w:val="006A04D4"/>
    <w:rsid w:val="006A1323"/>
    <w:rsid w:val="006A3BCF"/>
    <w:rsid w:val="006A584E"/>
    <w:rsid w:val="006A7C92"/>
    <w:rsid w:val="006B01DC"/>
    <w:rsid w:val="006B2D86"/>
    <w:rsid w:val="006B5DAC"/>
    <w:rsid w:val="006B7F50"/>
    <w:rsid w:val="006C0572"/>
    <w:rsid w:val="006C4624"/>
    <w:rsid w:val="006C468C"/>
    <w:rsid w:val="006C79A3"/>
    <w:rsid w:val="006D0293"/>
    <w:rsid w:val="006D2652"/>
    <w:rsid w:val="006D5DD6"/>
    <w:rsid w:val="006D67B8"/>
    <w:rsid w:val="006E1BCE"/>
    <w:rsid w:val="006F22E6"/>
    <w:rsid w:val="006F2D89"/>
    <w:rsid w:val="006F3BE5"/>
    <w:rsid w:val="006F4CCD"/>
    <w:rsid w:val="006F5D21"/>
    <w:rsid w:val="006F6EB4"/>
    <w:rsid w:val="006F79E4"/>
    <w:rsid w:val="00703931"/>
    <w:rsid w:val="00703F9B"/>
    <w:rsid w:val="007047EC"/>
    <w:rsid w:val="00712482"/>
    <w:rsid w:val="00725CBD"/>
    <w:rsid w:val="00727AB7"/>
    <w:rsid w:val="00735304"/>
    <w:rsid w:val="00736B3F"/>
    <w:rsid w:val="00743DB4"/>
    <w:rsid w:val="00745335"/>
    <w:rsid w:val="007477ED"/>
    <w:rsid w:val="0075417A"/>
    <w:rsid w:val="00755A41"/>
    <w:rsid w:val="00755F32"/>
    <w:rsid w:val="00757BE6"/>
    <w:rsid w:val="00763BEE"/>
    <w:rsid w:val="00767AF6"/>
    <w:rsid w:val="0077431F"/>
    <w:rsid w:val="0077466B"/>
    <w:rsid w:val="00777D8C"/>
    <w:rsid w:val="00780103"/>
    <w:rsid w:val="00784296"/>
    <w:rsid w:val="00784C06"/>
    <w:rsid w:val="00784F15"/>
    <w:rsid w:val="00786A8F"/>
    <w:rsid w:val="007929BF"/>
    <w:rsid w:val="00793E76"/>
    <w:rsid w:val="00794BA0"/>
    <w:rsid w:val="007950DA"/>
    <w:rsid w:val="007A3BA0"/>
    <w:rsid w:val="007B1D54"/>
    <w:rsid w:val="007B4E6C"/>
    <w:rsid w:val="007B53B7"/>
    <w:rsid w:val="007B660B"/>
    <w:rsid w:val="007C5352"/>
    <w:rsid w:val="007E1612"/>
    <w:rsid w:val="007E1F24"/>
    <w:rsid w:val="007E2D6A"/>
    <w:rsid w:val="007E2E84"/>
    <w:rsid w:val="007E6A91"/>
    <w:rsid w:val="007F2D79"/>
    <w:rsid w:val="007F7749"/>
    <w:rsid w:val="007F7B49"/>
    <w:rsid w:val="007F7F27"/>
    <w:rsid w:val="00805D55"/>
    <w:rsid w:val="00806BBF"/>
    <w:rsid w:val="00811686"/>
    <w:rsid w:val="008148D8"/>
    <w:rsid w:val="00822072"/>
    <w:rsid w:val="00822F03"/>
    <w:rsid w:val="0082463E"/>
    <w:rsid w:val="00824B7C"/>
    <w:rsid w:val="00824E69"/>
    <w:rsid w:val="00825214"/>
    <w:rsid w:val="0082674B"/>
    <w:rsid w:val="00826A97"/>
    <w:rsid w:val="008309DF"/>
    <w:rsid w:val="00831054"/>
    <w:rsid w:val="0083445B"/>
    <w:rsid w:val="008354DE"/>
    <w:rsid w:val="0083604B"/>
    <w:rsid w:val="00837A18"/>
    <w:rsid w:val="008415AA"/>
    <w:rsid w:val="00841DCE"/>
    <w:rsid w:val="00843587"/>
    <w:rsid w:val="00843880"/>
    <w:rsid w:val="00846091"/>
    <w:rsid w:val="008467BE"/>
    <w:rsid w:val="00851CD5"/>
    <w:rsid w:val="0085262B"/>
    <w:rsid w:val="008526DA"/>
    <w:rsid w:val="00865545"/>
    <w:rsid w:val="00874188"/>
    <w:rsid w:val="00875D71"/>
    <w:rsid w:val="00881548"/>
    <w:rsid w:val="00882A9B"/>
    <w:rsid w:val="00885A4E"/>
    <w:rsid w:val="00893174"/>
    <w:rsid w:val="00895B0E"/>
    <w:rsid w:val="00896570"/>
    <w:rsid w:val="008968EE"/>
    <w:rsid w:val="008A10F3"/>
    <w:rsid w:val="008A4686"/>
    <w:rsid w:val="008A603B"/>
    <w:rsid w:val="008B0E43"/>
    <w:rsid w:val="008B0EC9"/>
    <w:rsid w:val="008B2F6D"/>
    <w:rsid w:val="008B5742"/>
    <w:rsid w:val="008B7270"/>
    <w:rsid w:val="008B72ED"/>
    <w:rsid w:val="008C25A7"/>
    <w:rsid w:val="008C284C"/>
    <w:rsid w:val="008C3122"/>
    <w:rsid w:val="008C7182"/>
    <w:rsid w:val="008C7F7A"/>
    <w:rsid w:val="008D2C76"/>
    <w:rsid w:val="008E2EE6"/>
    <w:rsid w:val="008E34BD"/>
    <w:rsid w:val="008E4FA0"/>
    <w:rsid w:val="008E503B"/>
    <w:rsid w:val="008E771D"/>
    <w:rsid w:val="008F3C76"/>
    <w:rsid w:val="008F45FE"/>
    <w:rsid w:val="008F46B3"/>
    <w:rsid w:val="008F5A9C"/>
    <w:rsid w:val="008F6A31"/>
    <w:rsid w:val="008F7708"/>
    <w:rsid w:val="00900719"/>
    <w:rsid w:val="00900C9A"/>
    <w:rsid w:val="009028DA"/>
    <w:rsid w:val="00902C85"/>
    <w:rsid w:val="009130F0"/>
    <w:rsid w:val="00914ED2"/>
    <w:rsid w:val="00917671"/>
    <w:rsid w:val="009218C7"/>
    <w:rsid w:val="00921AC4"/>
    <w:rsid w:val="00923032"/>
    <w:rsid w:val="00923B4D"/>
    <w:rsid w:val="0092515B"/>
    <w:rsid w:val="00926028"/>
    <w:rsid w:val="00936CEE"/>
    <w:rsid w:val="009410AA"/>
    <w:rsid w:val="009439DC"/>
    <w:rsid w:val="009500C8"/>
    <w:rsid w:val="009500CD"/>
    <w:rsid w:val="00950CFB"/>
    <w:rsid w:val="00951E58"/>
    <w:rsid w:val="00954B07"/>
    <w:rsid w:val="00955A93"/>
    <w:rsid w:val="009621C1"/>
    <w:rsid w:val="009629C6"/>
    <w:rsid w:val="00973C2C"/>
    <w:rsid w:val="00974836"/>
    <w:rsid w:val="00976C75"/>
    <w:rsid w:val="00983A1B"/>
    <w:rsid w:val="00984131"/>
    <w:rsid w:val="00984D7D"/>
    <w:rsid w:val="00985F63"/>
    <w:rsid w:val="0099226C"/>
    <w:rsid w:val="00993DA4"/>
    <w:rsid w:val="009950DE"/>
    <w:rsid w:val="009A0FF0"/>
    <w:rsid w:val="009A4515"/>
    <w:rsid w:val="009B26E4"/>
    <w:rsid w:val="009B29C2"/>
    <w:rsid w:val="009B3E16"/>
    <w:rsid w:val="009B7BCC"/>
    <w:rsid w:val="009C08B1"/>
    <w:rsid w:val="009C4CF5"/>
    <w:rsid w:val="009C7679"/>
    <w:rsid w:val="009D1BF9"/>
    <w:rsid w:val="009E2100"/>
    <w:rsid w:val="009E26C6"/>
    <w:rsid w:val="009E27EC"/>
    <w:rsid w:val="009E28B9"/>
    <w:rsid w:val="009E2BE5"/>
    <w:rsid w:val="009E59A0"/>
    <w:rsid w:val="009F372C"/>
    <w:rsid w:val="009F37D6"/>
    <w:rsid w:val="009F4671"/>
    <w:rsid w:val="009F5BBB"/>
    <w:rsid w:val="009F7627"/>
    <w:rsid w:val="009F7CC4"/>
    <w:rsid w:val="009F7F35"/>
    <w:rsid w:val="00A04022"/>
    <w:rsid w:val="00A05363"/>
    <w:rsid w:val="00A06213"/>
    <w:rsid w:val="00A0633A"/>
    <w:rsid w:val="00A069C2"/>
    <w:rsid w:val="00A101D3"/>
    <w:rsid w:val="00A10F2C"/>
    <w:rsid w:val="00A11EF3"/>
    <w:rsid w:val="00A12B13"/>
    <w:rsid w:val="00A14D79"/>
    <w:rsid w:val="00A15648"/>
    <w:rsid w:val="00A200CE"/>
    <w:rsid w:val="00A2023A"/>
    <w:rsid w:val="00A24170"/>
    <w:rsid w:val="00A325FB"/>
    <w:rsid w:val="00A3599B"/>
    <w:rsid w:val="00A46677"/>
    <w:rsid w:val="00A4762B"/>
    <w:rsid w:val="00A47687"/>
    <w:rsid w:val="00A5270B"/>
    <w:rsid w:val="00A52791"/>
    <w:rsid w:val="00A52F8C"/>
    <w:rsid w:val="00A534E1"/>
    <w:rsid w:val="00A540D8"/>
    <w:rsid w:val="00A545CC"/>
    <w:rsid w:val="00A548F2"/>
    <w:rsid w:val="00A5496E"/>
    <w:rsid w:val="00A60A46"/>
    <w:rsid w:val="00A614C7"/>
    <w:rsid w:val="00A61E3F"/>
    <w:rsid w:val="00A646C8"/>
    <w:rsid w:val="00A672EC"/>
    <w:rsid w:val="00A6732B"/>
    <w:rsid w:val="00A67799"/>
    <w:rsid w:val="00A72777"/>
    <w:rsid w:val="00A727F2"/>
    <w:rsid w:val="00A728FE"/>
    <w:rsid w:val="00A776A1"/>
    <w:rsid w:val="00A779BD"/>
    <w:rsid w:val="00A77E45"/>
    <w:rsid w:val="00A8484A"/>
    <w:rsid w:val="00A858AB"/>
    <w:rsid w:val="00A91069"/>
    <w:rsid w:val="00A91896"/>
    <w:rsid w:val="00A93F08"/>
    <w:rsid w:val="00A958FF"/>
    <w:rsid w:val="00AA2598"/>
    <w:rsid w:val="00AA5898"/>
    <w:rsid w:val="00AA761E"/>
    <w:rsid w:val="00AB2BEB"/>
    <w:rsid w:val="00AB2F56"/>
    <w:rsid w:val="00AB4076"/>
    <w:rsid w:val="00AB4929"/>
    <w:rsid w:val="00AB4A3F"/>
    <w:rsid w:val="00AB554E"/>
    <w:rsid w:val="00AB5EFB"/>
    <w:rsid w:val="00AB5F94"/>
    <w:rsid w:val="00AB6118"/>
    <w:rsid w:val="00AB6600"/>
    <w:rsid w:val="00AD3F64"/>
    <w:rsid w:val="00AD54B7"/>
    <w:rsid w:val="00AD58B7"/>
    <w:rsid w:val="00AD5ED8"/>
    <w:rsid w:val="00AE4CFA"/>
    <w:rsid w:val="00AE502B"/>
    <w:rsid w:val="00AE63BF"/>
    <w:rsid w:val="00AE6995"/>
    <w:rsid w:val="00AE77E0"/>
    <w:rsid w:val="00AE7E94"/>
    <w:rsid w:val="00AF3519"/>
    <w:rsid w:val="00AF36EA"/>
    <w:rsid w:val="00AF5128"/>
    <w:rsid w:val="00AF7A1F"/>
    <w:rsid w:val="00B0118E"/>
    <w:rsid w:val="00B03333"/>
    <w:rsid w:val="00B03470"/>
    <w:rsid w:val="00B04BA6"/>
    <w:rsid w:val="00B04CEB"/>
    <w:rsid w:val="00B1489C"/>
    <w:rsid w:val="00B16211"/>
    <w:rsid w:val="00B1647A"/>
    <w:rsid w:val="00B17600"/>
    <w:rsid w:val="00B2404F"/>
    <w:rsid w:val="00B27E12"/>
    <w:rsid w:val="00B3086D"/>
    <w:rsid w:val="00B32809"/>
    <w:rsid w:val="00B37795"/>
    <w:rsid w:val="00B465CB"/>
    <w:rsid w:val="00B501D7"/>
    <w:rsid w:val="00B506BD"/>
    <w:rsid w:val="00B5454E"/>
    <w:rsid w:val="00B57E33"/>
    <w:rsid w:val="00B65E2A"/>
    <w:rsid w:val="00B70C70"/>
    <w:rsid w:val="00B70FE4"/>
    <w:rsid w:val="00B72294"/>
    <w:rsid w:val="00B73A6E"/>
    <w:rsid w:val="00B74952"/>
    <w:rsid w:val="00B74EB5"/>
    <w:rsid w:val="00B75F2D"/>
    <w:rsid w:val="00B77891"/>
    <w:rsid w:val="00B80592"/>
    <w:rsid w:val="00B835AC"/>
    <w:rsid w:val="00B84337"/>
    <w:rsid w:val="00B86A75"/>
    <w:rsid w:val="00B86E04"/>
    <w:rsid w:val="00B87A9D"/>
    <w:rsid w:val="00B92E61"/>
    <w:rsid w:val="00B93A5C"/>
    <w:rsid w:val="00B9573E"/>
    <w:rsid w:val="00B96C7D"/>
    <w:rsid w:val="00B9743C"/>
    <w:rsid w:val="00BA04F3"/>
    <w:rsid w:val="00BA0C33"/>
    <w:rsid w:val="00BA1D2C"/>
    <w:rsid w:val="00BA4833"/>
    <w:rsid w:val="00BA5892"/>
    <w:rsid w:val="00BA6484"/>
    <w:rsid w:val="00BA6A43"/>
    <w:rsid w:val="00BB00D9"/>
    <w:rsid w:val="00BB09DE"/>
    <w:rsid w:val="00BB2026"/>
    <w:rsid w:val="00BB4B5D"/>
    <w:rsid w:val="00BB5AC5"/>
    <w:rsid w:val="00BC027D"/>
    <w:rsid w:val="00BC3B0D"/>
    <w:rsid w:val="00BC50B3"/>
    <w:rsid w:val="00BC53B5"/>
    <w:rsid w:val="00BD13F5"/>
    <w:rsid w:val="00BD555C"/>
    <w:rsid w:val="00BE19E7"/>
    <w:rsid w:val="00BE1F79"/>
    <w:rsid w:val="00BE2A3A"/>
    <w:rsid w:val="00BE2CC9"/>
    <w:rsid w:val="00BF00D2"/>
    <w:rsid w:val="00BF276E"/>
    <w:rsid w:val="00BF6FCC"/>
    <w:rsid w:val="00BF7753"/>
    <w:rsid w:val="00C06E94"/>
    <w:rsid w:val="00C06EC1"/>
    <w:rsid w:val="00C07F85"/>
    <w:rsid w:val="00C10372"/>
    <w:rsid w:val="00C136A1"/>
    <w:rsid w:val="00C14723"/>
    <w:rsid w:val="00C15BB7"/>
    <w:rsid w:val="00C2017F"/>
    <w:rsid w:val="00C20C4A"/>
    <w:rsid w:val="00C20F78"/>
    <w:rsid w:val="00C21FAE"/>
    <w:rsid w:val="00C25263"/>
    <w:rsid w:val="00C27D1B"/>
    <w:rsid w:val="00C27F74"/>
    <w:rsid w:val="00C359DD"/>
    <w:rsid w:val="00C362EC"/>
    <w:rsid w:val="00C37A30"/>
    <w:rsid w:val="00C4150F"/>
    <w:rsid w:val="00C41DCC"/>
    <w:rsid w:val="00C4250E"/>
    <w:rsid w:val="00C426E5"/>
    <w:rsid w:val="00C42F04"/>
    <w:rsid w:val="00C44E1D"/>
    <w:rsid w:val="00C45517"/>
    <w:rsid w:val="00C5112F"/>
    <w:rsid w:val="00C52804"/>
    <w:rsid w:val="00C5523B"/>
    <w:rsid w:val="00C65811"/>
    <w:rsid w:val="00C670E5"/>
    <w:rsid w:val="00C75601"/>
    <w:rsid w:val="00C7658A"/>
    <w:rsid w:val="00C77420"/>
    <w:rsid w:val="00C800B0"/>
    <w:rsid w:val="00C831EC"/>
    <w:rsid w:val="00C86D5A"/>
    <w:rsid w:val="00C9396E"/>
    <w:rsid w:val="00C95D8E"/>
    <w:rsid w:val="00CB1EBB"/>
    <w:rsid w:val="00CC46AC"/>
    <w:rsid w:val="00CC4E08"/>
    <w:rsid w:val="00CC53A2"/>
    <w:rsid w:val="00CC5829"/>
    <w:rsid w:val="00CC6465"/>
    <w:rsid w:val="00CD4F2D"/>
    <w:rsid w:val="00CD5E6D"/>
    <w:rsid w:val="00CE046A"/>
    <w:rsid w:val="00CE40ED"/>
    <w:rsid w:val="00CE4BB4"/>
    <w:rsid w:val="00CE6FA8"/>
    <w:rsid w:val="00CE747B"/>
    <w:rsid w:val="00CF192E"/>
    <w:rsid w:val="00CF1B71"/>
    <w:rsid w:val="00CF5F43"/>
    <w:rsid w:val="00CF738F"/>
    <w:rsid w:val="00D03CCA"/>
    <w:rsid w:val="00D03D9C"/>
    <w:rsid w:val="00D05721"/>
    <w:rsid w:val="00D131F1"/>
    <w:rsid w:val="00D222F8"/>
    <w:rsid w:val="00D229F4"/>
    <w:rsid w:val="00D22E1D"/>
    <w:rsid w:val="00D23A23"/>
    <w:rsid w:val="00D268EB"/>
    <w:rsid w:val="00D26CD1"/>
    <w:rsid w:val="00D301A6"/>
    <w:rsid w:val="00D30306"/>
    <w:rsid w:val="00D32FA5"/>
    <w:rsid w:val="00D3332F"/>
    <w:rsid w:val="00D354B2"/>
    <w:rsid w:val="00D356FC"/>
    <w:rsid w:val="00D365DB"/>
    <w:rsid w:val="00D4729C"/>
    <w:rsid w:val="00D51A7C"/>
    <w:rsid w:val="00D51D9A"/>
    <w:rsid w:val="00D52824"/>
    <w:rsid w:val="00D52CD4"/>
    <w:rsid w:val="00D534C2"/>
    <w:rsid w:val="00D53D2F"/>
    <w:rsid w:val="00D56A94"/>
    <w:rsid w:val="00D57C95"/>
    <w:rsid w:val="00D62669"/>
    <w:rsid w:val="00D62B13"/>
    <w:rsid w:val="00D63CF9"/>
    <w:rsid w:val="00D669B0"/>
    <w:rsid w:val="00D67C91"/>
    <w:rsid w:val="00D703EE"/>
    <w:rsid w:val="00D70E65"/>
    <w:rsid w:val="00D710CA"/>
    <w:rsid w:val="00D71DA2"/>
    <w:rsid w:val="00D74C5B"/>
    <w:rsid w:val="00D81926"/>
    <w:rsid w:val="00D84AEC"/>
    <w:rsid w:val="00D85B89"/>
    <w:rsid w:val="00D85BF2"/>
    <w:rsid w:val="00D85CA3"/>
    <w:rsid w:val="00D8696D"/>
    <w:rsid w:val="00D93172"/>
    <w:rsid w:val="00D97FFD"/>
    <w:rsid w:val="00DA18C8"/>
    <w:rsid w:val="00DA293B"/>
    <w:rsid w:val="00DA576E"/>
    <w:rsid w:val="00DA6C2C"/>
    <w:rsid w:val="00DB1008"/>
    <w:rsid w:val="00DB3B99"/>
    <w:rsid w:val="00DB5852"/>
    <w:rsid w:val="00DB7071"/>
    <w:rsid w:val="00DC2F56"/>
    <w:rsid w:val="00DC41BA"/>
    <w:rsid w:val="00DC7187"/>
    <w:rsid w:val="00DD0AAF"/>
    <w:rsid w:val="00DD1FD8"/>
    <w:rsid w:val="00DD3846"/>
    <w:rsid w:val="00DD4F52"/>
    <w:rsid w:val="00DD6859"/>
    <w:rsid w:val="00DE1221"/>
    <w:rsid w:val="00DE3C8A"/>
    <w:rsid w:val="00DE4602"/>
    <w:rsid w:val="00DF2563"/>
    <w:rsid w:val="00DF3124"/>
    <w:rsid w:val="00DF4BDB"/>
    <w:rsid w:val="00DF68CF"/>
    <w:rsid w:val="00E00A56"/>
    <w:rsid w:val="00E0113B"/>
    <w:rsid w:val="00E03093"/>
    <w:rsid w:val="00E03F8C"/>
    <w:rsid w:val="00E047CB"/>
    <w:rsid w:val="00E22AE2"/>
    <w:rsid w:val="00E22B0D"/>
    <w:rsid w:val="00E245FD"/>
    <w:rsid w:val="00E255A3"/>
    <w:rsid w:val="00E26994"/>
    <w:rsid w:val="00E27DF8"/>
    <w:rsid w:val="00E3103A"/>
    <w:rsid w:val="00E31CD8"/>
    <w:rsid w:val="00E32F50"/>
    <w:rsid w:val="00E35881"/>
    <w:rsid w:val="00E4010D"/>
    <w:rsid w:val="00E41AD9"/>
    <w:rsid w:val="00E41C4F"/>
    <w:rsid w:val="00E41D16"/>
    <w:rsid w:val="00E430D0"/>
    <w:rsid w:val="00E43366"/>
    <w:rsid w:val="00E445F2"/>
    <w:rsid w:val="00E46A4A"/>
    <w:rsid w:val="00E46CD5"/>
    <w:rsid w:val="00E50AEB"/>
    <w:rsid w:val="00E511CD"/>
    <w:rsid w:val="00E5355C"/>
    <w:rsid w:val="00E553C7"/>
    <w:rsid w:val="00E568F5"/>
    <w:rsid w:val="00E56976"/>
    <w:rsid w:val="00E6299E"/>
    <w:rsid w:val="00E64836"/>
    <w:rsid w:val="00E66892"/>
    <w:rsid w:val="00E70584"/>
    <w:rsid w:val="00E8466C"/>
    <w:rsid w:val="00E85B65"/>
    <w:rsid w:val="00E9130F"/>
    <w:rsid w:val="00E95D47"/>
    <w:rsid w:val="00E96DCF"/>
    <w:rsid w:val="00E97413"/>
    <w:rsid w:val="00EA1330"/>
    <w:rsid w:val="00EA4835"/>
    <w:rsid w:val="00EA7347"/>
    <w:rsid w:val="00EB3E11"/>
    <w:rsid w:val="00EB5E32"/>
    <w:rsid w:val="00EC14F4"/>
    <w:rsid w:val="00EC158A"/>
    <w:rsid w:val="00EC1F3F"/>
    <w:rsid w:val="00EC4DA3"/>
    <w:rsid w:val="00EC6B7D"/>
    <w:rsid w:val="00ED1656"/>
    <w:rsid w:val="00ED3843"/>
    <w:rsid w:val="00ED42E0"/>
    <w:rsid w:val="00ED515B"/>
    <w:rsid w:val="00ED5438"/>
    <w:rsid w:val="00ED69F0"/>
    <w:rsid w:val="00ED7F45"/>
    <w:rsid w:val="00EE1647"/>
    <w:rsid w:val="00EF033F"/>
    <w:rsid w:val="00EF64A7"/>
    <w:rsid w:val="00F01158"/>
    <w:rsid w:val="00F02EF9"/>
    <w:rsid w:val="00F03C5C"/>
    <w:rsid w:val="00F059AA"/>
    <w:rsid w:val="00F10E99"/>
    <w:rsid w:val="00F116DC"/>
    <w:rsid w:val="00F140C5"/>
    <w:rsid w:val="00F1481E"/>
    <w:rsid w:val="00F14B98"/>
    <w:rsid w:val="00F1500F"/>
    <w:rsid w:val="00F17770"/>
    <w:rsid w:val="00F262A6"/>
    <w:rsid w:val="00F27D0C"/>
    <w:rsid w:val="00F27FCA"/>
    <w:rsid w:val="00F3268B"/>
    <w:rsid w:val="00F3405A"/>
    <w:rsid w:val="00F34126"/>
    <w:rsid w:val="00F34B6F"/>
    <w:rsid w:val="00F34CE8"/>
    <w:rsid w:val="00F4133C"/>
    <w:rsid w:val="00F44119"/>
    <w:rsid w:val="00F44A9B"/>
    <w:rsid w:val="00F453E1"/>
    <w:rsid w:val="00F45ED6"/>
    <w:rsid w:val="00F502D6"/>
    <w:rsid w:val="00F525E7"/>
    <w:rsid w:val="00F530D5"/>
    <w:rsid w:val="00F54060"/>
    <w:rsid w:val="00F55265"/>
    <w:rsid w:val="00F5684C"/>
    <w:rsid w:val="00F56895"/>
    <w:rsid w:val="00F57C58"/>
    <w:rsid w:val="00F612E3"/>
    <w:rsid w:val="00F619E0"/>
    <w:rsid w:val="00F62724"/>
    <w:rsid w:val="00F63694"/>
    <w:rsid w:val="00F63CF7"/>
    <w:rsid w:val="00F65DB8"/>
    <w:rsid w:val="00F66FCD"/>
    <w:rsid w:val="00F67CC1"/>
    <w:rsid w:val="00F71FDF"/>
    <w:rsid w:val="00F77283"/>
    <w:rsid w:val="00F80E14"/>
    <w:rsid w:val="00F832AC"/>
    <w:rsid w:val="00F83428"/>
    <w:rsid w:val="00F84732"/>
    <w:rsid w:val="00F84A5B"/>
    <w:rsid w:val="00F90920"/>
    <w:rsid w:val="00F9289D"/>
    <w:rsid w:val="00F949FC"/>
    <w:rsid w:val="00F95361"/>
    <w:rsid w:val="00F95AE3"/>
    <w:rsid w:val="00FA0FB5"/>
    <w:rsid w:val="00FA2738"/>
    <w:rsid w:val="00FA3989"/>
    <w:rsid w:val="00FA3B98"/>
    <w:rsid w:val="00FA5584"/>
    <w:rsid w:val="00FA5E36"/>
    <w:rsid w:val="00FB1226"/>
    <w:rsid w:val="00FB264D"/>
    <w:rsid w:val="00FB405A"/>
    <w:rsid w:val="00FB44C5"/>
    <w:rsid w:val="00FB70D8"/>
    <w:rsid w:val="00FB70FE"/>
    <w:rsid w:val="00FC7A88"/>
    <w:rsid w:val="00FD0EBF"/>
    <w:rsid w:val="00FD6BD4"/>
    <w:rsid w:val="00FE045D"/>
    <w:rsid w:val="00FE0582"/>
    <w:rsid w:val="00FE0CF6"/>
    <w:rsid w:val="00FE3496"/>
    <w:rsid w:val="00FE74C2"/>
    <w:rsid w:val="00FF0DD2"/>
    <w:rsid w:val="00FF1A6E"/>
    <w:rsid w:val="00FF419B"/>
    <w:rsid w:val="00FF695A"/>
    <w:rsid w:val="00FF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539603F"/>
  <w15:docId w15:val="{EAE9F651-8DDD-4D32-AA60-76C8E5E5E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next w:val="Normalny"/>
    <w:link w:val="Nagwek1Znak"/>
    <w:qFormat/>
    <w:rsid w:val="008A10F3"/>
    <w:pPr>
      <w:keepNext/>
      <w:keepLines/>
      <w:spacing w:before="240" w:after="0" w:line="240" w:lineRule="auto"/>
      <w:outlineLvl w:val="0"/>
    </w:pPr>
    <w:rPr>
      <w:rFonts w:ascii="Cambria" w:eastAsia="Cambria" w:hAnsi="Cambria" w:cs="Cambria"/>
      <w:color w:val="365F91"/>
      <w:sz w:val="32"/>
      <w:szCs w:val="32"/>
      <w:u w:color="365F91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423B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628F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pogrubienie">
    <w:name w:val="_P_ – pogrubienie"/>
    <w:basedOn w:val="Domylnaczcionkaakapitu"/>
    <w:uiPriority w:val="1"/>
    <w:qFormat/>
    <w:rsid w:val="00E047CB"/>
    <w:rPr>
      <w:b/>
    </w:rPr>
  </w:style>
  <w:style w:type="paragraph" w:styleId="Nagwek">
    <w:name w:val="header"/>
    <w:basedOn w:val="Normalny"/>
    <w:link w:val="NagwekZnak"/>
    <w:uiPriority w:val="99"/>
    <w:unhideWhenUsed/>
    <w:rsid w:val="003244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4412"/>
  </w:style>
  <w:style w:type="paragraph" w:styleId="Stopka">
    <w:name w:val="footer"/>
    <w:basedOn w:val="Normalny"/>
    <w:link w:val="StopkaZnak"/>
    <w:uiPriority w:val="99"/>
    <w:unhideWhenUsed/>
    <w:rsid w:val="003244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4412"/>
  </w:style>
  <w:style w:type="paragraph" w:styleId="Akapitzlist">
    <w:name w:val="List Paragraph"/>
    <w:basedOn w:val="Normalny"/>
    <w:uiPriority w:val="34"/>
    <w:qFormat/>
    <w:rsid w:val="003579A8"/>
    <w:pPr>
      <w:ind w:left="720"/>
      <w:contextualSpacing/>
    </w:pPr>
  </w:style>
  <w:style w:type="paragraph" w:customStyle="1" w:styleId="parinner">
    <w:name w:val="parinner"/>
    <w:basedOn w:val="Normalny"/>
    <w:rsid w:val="00526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rticletitle">
    <w:name w:val="articletitle"/>
    <w:basedOn w:val="Domylnaczcionkaakapitu"/>
    <w:rsid w:val="000C416F"/>
  </w:style>
  <w:style w:type="character" w:customStyle="1" w:styleId="highlight">
    <w:name w:val="highlight"/>
    <w:basedOn w:val="Domylnaczcionkaakapitu"/>
    <w:rsid w:val="00BC027D"/>
  </w:style>
  <w:style w:type="character" w:customStyle="1" w:styleId="Nagwek1Znak">
    <w:name w:val="Nagłówek 1 Znak"/>
    <w:basedOn w:val="Domylnaczcionkaakapitu"/>
    <w:link w:val="Nagwek1"/>
    <w:rsid w:val="008A10F3"/>
    <w:rPr>
      <w:rFonts w:ascii="Cambria" w:eastAsia="Cambria" w:hAnsi="Cambria" w:cs="Cambria"/>
      <w:color w:val="365F91"/>
      <w:sz w:val="32"/>
      <w:szCs w:val="32"/>
      <w:u w:color="365F91"/>
      <w:lang w:eastAsia="pl-PL"/>
    </w:rPr>
  </w:style>
  <w:style w:type="paragraph" w:customStyle="1" w:styleId="ARTartustawynprozporzdzenia">
    <w:name w:val="ART(§) – art. ustawy (§ np. rozporządzenia)"/>
    <w:link w:val="ARTartustawynprozporzdzeniaZnak"/>
    <w:uiPriority w:val="11"/>
    <w:qFormat/>
    <w:rsid w:val="00BB5AC5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0E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0E99"/>
    <w:rPr>
      <w:rFonts w:ascii="Segoe UI" w:hAnsi="Segoe UI" w:cs="Segoe UI"/>
      <w:sz w:val="18"/>
      <w:szCs w:val="18"/>
    </w:rPr>
  </w:style>
  <w:style w:type="character" w:customStyle="1" w:styleId="footnote">
    <w:name w:val="footnote"/>
    <w:basedOn w:val="Domylnaczcionkaakapitu"/>
    <w:rsid w:val="002E23AE"/>
  </w:style>
  <w:style w:type="character" w:styleId="Hipercze">
    <w:name w:val="Hyperlink"/>
    <w:basedOn w:val="Domylnaczcionkaakapitu"/>
    <w:uiPriority w:val="99"/>
    <w:semiHidden/>
    <w:unhideWhenUsed/>
    <w:rsid w:val="002E23AE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423B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FB264D"/>
    <w:pPr>
      <w:spacing w:before="0"/>
      <w:ind w:left="510"/>
    </w:pPr>
    <w:rPr>
      <w:lang w:eastAsia="pl-PL"/>
    </w:rPr>
  </w:style>
  <w:style w:type="character" w:customStyle="1" w:styleId="IGindeksgrny">
    <w:name w:val="_IG_ – indeks górny"/>
    <w:basedOn w:val="Domylnaczcionkaakapitu"/>
    <w:uiPriority w:val="2"/>
    <w:qFormat/>
    <w:rsid w:val="001A0F26"/>
    <w:rPr>
      <w:b w:val="0"/>
      <w:i w:val="0"/>
      <w:vanish w:val="0"/>
      <w:spacing w:val="0"/>
      <w:vertAlign w:val="superscript"/>
    </w:rPr>
  </w:style>
  <w:style w:type="paragraph" w:customStyle="1" w:styleId="Default">
    <w:name w:val="Default"/>
    <w:rsid w:val="003961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mainpub">
    <w:name w:val="mainpub"/>
    <w:basedOn w:val="Normalny"/>
    <w:rsid w:val="008F3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D2C7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D2C7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D2C76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E46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E460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E460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46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4602"/>
    <w:rPr>
      <w:b/>
      <w:bCs/>
      <w:sz w:val="20"/>
      <w:szCs w:val="20"/>
    </w:rPr>
  </w:style>
  <w:style w:type="paragraph" w:customStyle="1" w:styleId="ti-art">
    <w:name w:val="ti-art"/>
    <w:basedOn w:val="Normalny"/>
    <w:rsid w:val="00EA4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i-art">
    <w:name w:val="sti-art"/>
    <w:basedOn w:val="Normalny"/>
    <w:rsid w:val="00EA4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ny1">
    <w:name w:val="Normalny1"/>
    <w:basedOn w:val="Normalny"/>
    <w:rsid w:val="00EA4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ny2">
    <w:name w:val="Normalny2"/>
    <w:basedOn w:val="Normalny"/>
    <w:rsid w:val="00F27F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ITlitera">
    <w:name w:val="LIT – litera"/>
    <w:basedOn w:val="Normalny"/>
    <w:uiPriority w:val="14"/>
    <w:qFormat/>
    <w:rsid w:val="002D1A05"/>
    <w:pPr>
      <w:spacing w:after="0" w:line="360" w:lineRule="auto"/>
      <w:ind w:left="986" w:hanging="476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628F7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Uwydatnienie">
    <w:name w:val="Emphasis"/>
    <w:basedOn w:val="Domylnaczcionkaakapitu"/>
    <w:uiPriority w:val="20"/>
    <w:qFormat/>
    <w:rsid w:val="005E6B5D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1E5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aliases w:val="16 Point,Superscript 6 Point,Footnote Reference Number,Footnote Reference Superscript,BVI fnr,Footnote symbol,SUPERS,(Footnote Reference),Footnote,Voetnootverwijzing,Times 10 Point,Exposant 3 Point,note TESI,FR,ftref,FZ"/>
    <w:uiPriority w:val="99"/>
    <w:unhideWhenUsed/>
    <w:qFormat/>
    <w:rsid w:val="000B14DD"/>
    <w:rPr>
      <w:vertAlign w:val="superscript"/>
    </w:rPr>
  </w:style>
  <w:style w:type="paragraph" w:customStyle="1" w:styleId="PKTpunkt">
    <w:name w:val="PKT – punkt"/>
    <w:uiPriority w:val="13"/>
    <w:qFormat/>
    <w:rsid w:val="000B6C1D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0B6C1D"/>
  </w:style>
  <w:style w:type="character" w:customStyle="1" w:styleId="ARTartustawynprozporzdzeniaZnak">
    <w:name w:val="ART(§) – art. ustawy (§ np. rozporządzenia) Znak"/>
    <w:link w:val="ARTartustawynprozporzdzenia"/>
    <w:uiPriority w:val="11"/>
    <w:locked/>
    <w:rsid w:val="009E27EC"/>
    <w:rPr>
      <w:rFonts w:ascii="Times" w:eastAsiaTheme="minorEastAsia" w:hAnsi="Times" w:cs="Arial"/>
      <w:sz w:val="24"/>
      <w:szCs w:val="20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BB4B5D"/>
    <w:pPr>
      <w:spacing w:before="0"/>
    </w:pPr>
    <w:rPr>
      <w:bCs/>
      <w:lang w:eastAsia="pl-PL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C86D5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C86D5A"/>
    <w:pPr>
      <w:ind w:left="1497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D441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D441B"/>
    <w:rPr>
      <w:sz w:val="20"/>
      <w:szCs w:val="20"/>
    </w:rPr>
  </w:style>
  <w:style w:type="paragraph" w:styleId="Poprawka">
    <w:name w:val="Revision"/>
    <w:hidden/>
    <w:uiPriority w:val="99"/>
    <w:semiHidden/>
    <w:rsid w:val="002C0E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5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97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94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239692">
                      <w:marLeft w:val="0"/>
                      <w:marRight w:val="0"/>
                      <w:marTop w:val="4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966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39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011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975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8116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4317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5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0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22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300465">
                      <w:marLeft w:val="0"/>
                      <w:marRight w:val="0"/>
                      <w:marTop w:val="4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739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06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269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272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8776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1739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174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3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11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20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11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743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6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36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3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80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950211">
                      <w:marLeft w:val="0"/>
                      <w:marRight w:val="0"/>
                      <w:marTop w:val="4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520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191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813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405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1362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5440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8581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531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23649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0965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62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38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9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2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8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73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97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14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18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1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908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430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884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3839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2232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3760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584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03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4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0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2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16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95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00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944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831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849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200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324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7450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2714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4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83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9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45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386232">
                      <w:marLeft w:val="0"/>
                      <w:marRight w:val="0"/>
                      <w:marTop w:val="4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035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584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305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506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1643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165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65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1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24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52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99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0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62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6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94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98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51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25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4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49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5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42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45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57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01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83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91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13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0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05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15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98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22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95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4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14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2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21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27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9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85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04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38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9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7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49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33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05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09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33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86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36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75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38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17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09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63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73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5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33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7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14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8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84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2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17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813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45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35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09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826649">
                      <w:marLeft w:val="0"/>
                      <w:marRight w:val="0"/>
                      <w:marTop w:val="4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603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860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873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344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798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9875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808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0014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41776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64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1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9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86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038776">
                      <w:marLeft w:val="0"/>
                      <w:marRight w:val="0"/>
                      <w:marTop w:val="4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417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443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250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701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3951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3829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53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21912">
          <w:marLeft w:val="0"/>
          <w:marRight w:val="0"/>
          <w:marTop w:val="0"/>
          <w:marBottom w:val="0"/>
          <w:divBdr>
            <w:top w:val="single" w:sz="6" w:space="2" w:color="AAAAAA"/>
            <w:left w:val="single" w:sz="6" w:space="2" w:color="AAAAAA"/>
            <w:bottom w:val="single" w:sz="6" w:space="2" w:color="AAAAAA"/>
            <w:right w:val="single" w:sz="6" w:space="2" w:color="AAAAAA"/>
          </w:divBdr>
          <w:divsChild>
            <w:div w:id="1437603258">
              <w:marLeft w:val="0"/>
              <w:marRight w:val="0"/>
              <w:marTop w:val="0"/>
              <w:marBottom w:val="0"/>
              <w:divBdr>
                <w:top w:val="single" w:sz="2" w:space="12" w:color="AAAAAA"/>
                <w:left w:val="single" w:sz="2" w:space="17" w:color="AAAAAA"/>
                <w:bottom w:val="single" w:sz="2" w:space="12" w:color="AAAAAA"/>
                <w:right w:val="single" w:sz="2" w:space="17" w:color="AAAAAA"/>
              </w:divBdr>
              <w:divsChild>
                <w:div w:id="97468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1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42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41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22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14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61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0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17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75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754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63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3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17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03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74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radnik.ngo.pl/na-jakich-warunkach-status-OP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E929C6-125C-480E-968D-1BF312793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18</Pages>
  <Words>6049</Words>
  <Characters>36300</Characters>
  <Application>Microsoft Office Word</Application>
  <DocSecurity>0</DocSecurity>
  <Lines>302</Lines>
  <Paragraphs>84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42265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Tabor-Skowron Marzena  (DLPC)</dc:creator>
  <cp:lastModifiedBy>Jankowska-Słomianko Dorota</cp:lastModifiedBy>
  <cp:revision>29</cp:revision>
  <cp:lastPrinted>2022-02-25T09:42:00Z</cp:lastPrinted>
  <dcterms:created xsi:type="dcterms:W3CDTF">2024-02-29T09:00:00Z</dcterms:created>
  <dcterms:modified xsi:type="dcterms:W3CDTF">2024-03-01T09:52:00Z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UxC4dwLulzfINJ8nQH+xvX5LNGipWa4BRSZhPgxsCvna4Qp1Qsw+br6MTZsa+ZvUBo5/CYJqv69yqupkpOWknwwcZWoYBB8wIuUvpZoPZ40=</vt:lpwstr>
  </property>
  <property fmtid="{D5CDD505-2E9C-101B-9397-08002B2CF9AE}" pid="4" name="MFClassificationDate">
    <vt:lpwstr>2022-02-21T13:12:47.4683270+01:00</vt:lpwstr>
  </property>
  <property fmtid="{D5CDD505-2E9C-101B-9397-08002B2CF9AE}" pid="5" name="MFClassifiedBySID">
    <vt:lpwstr>UxC4dwLulzfINJ8nQH+xvX5LNGipWa4BRSZhPgxsCvm42mrIC/DSDv0ggS+FjUN/2v1BBotkLlY5aAiEhoi6ufLqgJvGNdNmPanjGgvkhrqeR9G//2hee8iFZt0E9wZ/</vt:lpwstr>
  </property>
  <property fmtid="{D5CDD505-2E9C-101B-9397-08002B2CF9AE}" pid="6" name="MFGRNItemId">
    <vt:lpwstr>GRN-9778a98a-1705-470f-b082-cedcc7d78a14</vt:lpwstr>
  </property>
  <property fmtid="{D5CDD505-2E9C-101B-9397-08002B2CF9AE}" pid="7" name="MFHash">
    <vt:lpwstr>C7XnudoAZ1qDQUP0MokWnq0JiWSq9VWop1jLEP5y5RQ=</vt:lpwstr>
  </property>
  <property fmtid="{D5CDD505-2E9C-101B-9397-08002B2CF9AE}" pid="8" name="DLPManualFileClassification">
    <vt:lpwstr>{5fdfc941-3fcf-4a5b-87be-4848800d39d0}</vt:lpwstr>
  </property>
  <property fmtid="{D5CDD505-2E9C-101B-9397-08002B2CF9AE}" pid="9" name="MFRefresh">
    <vt:lpwstr>False</vt:lpwstr>
  </property>
</Properties>
</file>