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69FD" w:rsidRDefault="00000000">
      <w:pPr>
        <w:widowControl/>
        <w:pBdr>
          <w:top w:val="nil"/>
          <w:left w:val="nil"/>
          <w:bottom w:val="nil"/>
          <w:right w:val="nil"/>
          <w:between w:val="nil"/>
        </w:pBdr>
        <w:ind w:left="0" w:hanging="2"/>
        <w:jc w:val="right"/>
        <w:rPr>
          <w:color w:val="000000"/>
          <w:szCs w:val="24"/>
          <w:u w:val="single"/>
        </w:rPr>
      </w:pPr>
      <w:r>
        <w:rPr>
          <w:color w:val="000000"/>
          <w:szCs w:val="24"/>
          <w:u w:val="single"/>
        </w:rPr>
        <w:t xml:space="preserve">Projekt </w:t>
      </w:r>
    </w:p>
    <w:p w14:paraId="00000002" w14:textId="77777777" w:rsidR="00A169FD" w:rsidRDefault="00000000">
      <w:pPr>
        <w:keepNext/>
        <w:widowControl/>
        <w:pBdr>
          <w:top w:val="nil"/>
          <w:left w:val="nil"/>
          <w:bottom w:val="nil"/>
          <w:right w:val="nil"/>
          <w:between w:val="nil"/>
        </w:pBdr>
        <w:spacing w:after="120"/>
        <w:ind w:left="0" w:hanging="2"/>
        <w:jc w:val="center"/>
        <w:rPr>
          <w:rFonts w:ascii="Times" w:eastAsia="Times" w:hAnsi="Times" w:cs="Times"/>
          <w:color w:val="000000"/>
          <w:szCs w:val="24"/>
        </w:rPr>
      </w:pPr>
      <w:r>
        <w:rPr>
          <w:rFonts w:ascii="Times" w:eastAsia="Times" w:hAnsi="Times" w:cs="Times"/>
          <w:b/>
          <w:smallCaps/>
          <w:color w:val="000000"/>
          <w:szCs w:val="24"/>
        </w:rPr>
        <w:t>USTAWA</w:t>
      </w:r>
    </w:p>
    <w:p w14:paraId="00000003" w14:textId="77777777" w:rsidR="00A169FD" w:rsidRDefault="00000000">
      <w:pPr>
        <w:keepNext/>
        <w:widowControl/>
        <w:pBdr>
          <w:top w:val="nil"/>
          <w:left w:val="nil"/>
          <w:bottom w:val="nil"/>
          <w:right w:val="nil"/>
          <w:between w:val="nil"/>
        </w:pBdr>
        <w:spacing w:before="120" w:after="120"/>
        <w:ind w:left="0" w:hanging="2"/>
        <w:jc w:val="center"/>
        <w:rPr>
          <w:rFonts w:ascii="Times" w:eastAsia="Times" w:hAnsi="Times" w:cs="Times"/>
          <w:color w:val="000000"/>
          <w:szCs w:val="24"/>
        </w:rPr>
      </w:pPr>
      <w:r>
        <w:rPr>
          <w:rFonts w:ascii="Times" w:eastAsia="Times" w:hAnsi="Times" w:cs="Times"/>
          <w:color w:val="000000"/>
          <w:szCs w:val="24"/>
        </w:rPr>
        <w:t>z dnia ………………. 2024 r.</w:t>
      </w:r>
    </w:p>
    <w:p w14:paraId="00000004" w14:textId="77777777" w:rsidR="00A169FD" w:rsidRDefault="00000000">
      <w:pPr>
        <w:keepNext/>
        <w:widowControl/>
        <w:pBdr>
          <w:top w:val="nil"/>
          <w:left w:val="nil"/>
          <w:bottom w:val="nil"/>
          <w:right w:val="nil"/>
          <w:between w:val="nil"/>
        </w:pBdr>
        <w:spacing w:before="120" w:after="360"/>
        <w:ind w:left="0" w:hanging="2"/>
        <w:jc w:val="center"/>
        <w:rPr>
          <w:rFonts w:ascii="Times" w:eastAsia="Times" w:hAnsi="Times" w:cs="Times"/>
          <w:color w:val="000000"/>
          <w:szCs w:val="24"/>
        </w:rPr>
      </w:pPr>
      <w:r>
        <w:rPr>
          <w:rFonts w:ascii="Times" w:eastAsia="Times" w:hAnsi="Times" w:cs="Times"/>
          <w:b/>
          <w:color w:val="000000"/>
          <w:szCs w:val="24"/>
        </w:rPr>
        <w:t>o zmianie ustawy o świadczeniach opieki zdrowotnej finansowanych ze środków publicznych oraz ustawy o refundacji leków, środków spożywczych specjalnego przeznaczenia żywieniowego oraz wyrobów medycznych</w:t>
      </w:r>
    </w:p>
    <w:p w14:paraId="00000005" w14:textId="77777777" w:rsidR="00A169FD" w:rsidRDefault="00000000">
      <w:pPr>
        <w:widowControl/>
        <w:pBdr>
          <w:top w:val="nil"/>
          <w:left w:val="nil"/>
          <w:bottom w:val="nil"/>
          <w:right w:val="nil"/>
          <w:between w:val="nil"/>
        </w:pBdr>
        <w:spacing w:before="120"/>
        <w:ind w:left="0" w:hanging="2"/>
        <w:jc w:val="both"/>
        <w:rPr>
          <w:rFonts w:ascii="Times" w:eastAsia="Times" w:hAnsi="Times" w:cs="Times"/>
          <w:color w:val="000000"/>
          <w:szCs w:val="24"/>
        </w:rPr>
      </w:pPr>
      <w:r>
        <w:rPr>
          <w:rFonts w:ascii="Times" w:eastAsia="Times" w:hAnsi="Times" w:cs="Times"/>
          <w:b/>
          <w:color w:val="000000"/>
          <w:szCs w:val="24"/>
        </w:rPr>
        <w:t>Art. 1.</w:t>
      </w:r>
      <w:r>
        <w:rPr>
          <w:rFonts w:ascii="Times" w:eastAsia="Times" w:hAnsi="Times" w:cs="Times"/>
          <w:color w:val="000000"/>
          <w:szCs w:val="24"/>
        </w:rPr>
        <w:t xml:space="preserve"> W ustawie z dnia 27 sierpnia 2004 r. o świadczeniach opieki zdrowotnej finansowanych ze środków publicznych (Dz. U. z 2022 r. poz. 2561, z późn. zm.</w:t>
      </w:r>
      <w:r>
        <w:rPr>
          <w:rFonts w:ascii="Times" w:eastAsia="Times" w:hAnsi="Times" w:cs="Times"/>
          <w:color w:val="000000"/>
          <w:szCs w:val="24"/>
          <w:vertAlign w:val="superscript"/>
        </w:rPr>
        <w:footnoteReference w:id="1"/>
      </w:r>
      <w:r>
        <w:rPr>
          <w:rFonts w:ascii="Times" w:eastAsia="Times" w:hAnsi="Times" w:cs="Times"/>
          <w:color w:val="000000"/>
          <w:szCs w:val="24"/>
          <w:vertAlign w:val="superscript"/>
        </w:rPr>
        <w:t>)</w:t>
      </w:r>
      <w:r>
        <w:rPr>
          <w:rFonts w:ascii="Times" w:eastAsia="Times" w:hAnsi="Times" w:cs="Times"/>
          <w:color w:val="000000"/>
          <w:szCs w:val="24"/>
        </w:rPr>
        <w:t>) wprowadza się następujące zmiany:</w:t>
      </w:r>
    </w:p>
    <w:p w14:paraId="00000006"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po art. 43b dodaje się art. 43c w brzmieniu:</w:t>
      </w:r>
    </w:p>
    <w:p w14:paraId="00000007"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„Art. 43c. 1. Kobietom do ukończenia 25. roku. życia przysługuje bezpłatne zaopatrzenie w leki lub inne niż leki środki wystawiane na receptę wystawione na receptę stosowane w antykoncepcji określone w wykazie, o którym mowa w art. 37 ust. 1 ustawy o refundacji, ustalonym w sposób określony w ust. 2.</w:t>
      </w:r>
    </w:p>
    <w:p w14:paraId="00000008"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Minister właściwy do spraw zdrowia wskazuje w wykazie, o którym mowa w art. 37 ust. 1 ustawy o refundacji, leki oraz inne niż leki środki, w szczególności wkładki, plastry, iniekcje, które są wydawane z apteki lub punktu aptecznego bezpłatnie świadczeniobiorcom, o których mowa w ust. 1, mając na względzie powszechną dostępność i różnorodność leków stosowanych w antykoncepcji.”;</w:t>
      </w:r>
    </w:p>
    <w:p w14:paraId="00000009"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 xml:space="preserve">w art. 97 </w:t>
      </w:r>
      <w:r>
        <w:rPr>
          <w:rFonts w:ascii="Times" w:eastAsia="Times" w:hAnsi="Times" w:cs="Times"/>
          <w:color w:val="000000"/>
          <w:szCs w:val="24"/>
        </w:rPr>
        <w:tab/>
        <w:t>w ust. 3 po pkt 2e dodaje się pkt 2ea w brzmieniu:</w:t>
      </w:r>
    </w:p>
    <w:p w14:paraId="0000000A"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"2ea) finansowanie leków i inne niż leki środki przysługujących świadczeniobiorcom, o których mowa w art. 43c ust. 1;";</w:t>
      </w:r>
    </w:p>
    <w:p w14:paraId="0000000B" w14:textId="77777777" w:rsidR="00A169FD" w:rsidRDefault="00000000">
      <w:pPr>
        <w:pBdr>
          <w:top w:val="nil"/>
          <w:left w:val="nil"/>
          <w:bottom w:val="nil"/>
          <w:right w:val="nil"/>
          <w:between w:val="nil"/>
        </w:pBdr>
        <w:ind w:left="0" w:hanging="2"/>
        <w:rPr>
          <w:color w:val="000000"/>
          <w:szCs w:val="24"/>
        </w:rPr>
      </w:pPr>
      <w:r>
        <w:rPr>
          <w:color w:val="000000"/>
          <w:szCs w:val="24"/>
        </w:rPr>
        <w:t>3)</w:t>
      </w:r>
      <w:r>
        <w:rPr>
          <w:color w:val="000000"/>
          <w:szCs w:val="24"/>
        </w:rPr>
        <w:tab/>
        <w:t>w art. 102 w ust. 5 po pkt 26b dodaje się pkt 26c w brzmieniu:</w:t>
      </w:r>
    </w:p>
    <w:p w14:paraId="0000000C"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„26c)</w:t>
      </w:r>
      <w:r>
        <w:rPr>
          <w:rFonts w:ascii="Times" w:eastAsia="Times" w:hAnsi="Times" w:cs="Times"/>
          <w:color w:val="000000"/>
          <w:szCs w:val="24"/>
        </w:rPr>
        <w:tab/>
        <w:t>przekazywanie ministrowi właściwemu do spraw zdrowia comiesięcznych zestawień ilości zrefundowanych opakowań jednostkowych leków wraz z podaniem numeru GTIN zgodnego z systemem GS1, wydawanych na podstawie art. 43c ust. 1, w terminie do 20. dnia miesiąca następującego po miesiącu, którego dotyczy zestawienie;”;</w:t>
      </w:r>
    </w:p>
    <w:p w14:paraId="0000000D"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szCs w:val="24"/>
        </w:rPr>
        <w:t>4</w:t>
      </w:r>
      <w:r>
        <w:rPr>
          <w:rFonts w:ascii="Times" w:eastAsia="Times" w:hAnsi="Times" w:cs="Times"/>
          <w:color w:val="000000"/>
          <w:szCs w:val="24"/>
        </w:rPr>
        <w:t>)</w:t>
      </w:r>
      <w:r>
        <w:rPr>
          <w:rFonts w:ascii="Times" w:eastAsia="Times" w:hAnsi="Times" w:cs="Times"/>
          <w:color w:val="000000"/>
          <w:szCs w:val="24"/>
        </w:rPr>
        <w:tab/>
        <w:t>w art. 188 w ust. 4 po pkt 15b dodaje się pkt 15c w brzmieniu:</w:t>
      </w:r>
    </w:p>
    <w:p w14:paraId="0000000E"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„15c) informacja o uprawnieniu, o którym mowa w art. 43c ust. 1;”.</w:t>
      </w:r>
    </w:p>
    <w:p w14:paraId="0000000F" w14:textId="77777777" w:rsidR="00A169FD" w:rsidRDefault="00000000">
      <w:pPr>
        <w:widowControl/>
        <w:pBdr>
          <w:top w:val="nil"/>
          <w:left w:val="nil"/>
          <w:bottom w:val="nil"/>
          <w:right w:val="nil"/>
          <w:between w:val="nil"/>
        </w:pBdr>
        <w:spacing w:before="120"/>
        <w:ind w:left="0" w:hanging="2"/>
        <w:jc w:val="both"/>
        <w:rPr>
          <w:rFonts w:ascii="Times" w:eastAsia="Times" w:hAnsi="Times" w:cs="Times"/>
          <w:color w:val="000000"/>
          <w:szCs w:val="24"/>
        </w:rPr>
      </w:pPr>
      <w:r>
        <w:rPr>
          <w:rFonts w:ascii="Times" w:eastAsia="Times" w:hAnsi="Times" w:cs="Times"/>
          <w:b/>
          <w:color w:val="000000"/>
          <w:szCs w:val="24"/>
        </w:rPr>
        <w:lastRenderedPageBreak/>
        <w:t>Art. 2.</w:t>
      </w:r>
      <w:r>
        <w:rPr>
          <w:rFonts w:ascii="Times" w:eastAsia="Times" w:hAnsi="Times" w:cs="Times"/>
          <w:color w:val="000000"/>
          <w:szCs w:val="24"/>
        </w:rPr>
        <w:t xml:space="preserve"> W ustawie z dnia 12 maja 2011 r. o refundacji leków, środków spożywczych specjalnego przeznaczenia żywieniowego oraz wyrobów medycznych (Dz. U. z 2023 r. poz. 826, 1733, 1938 i 2105) wprowadza się następujące zmiany:</w:t>
      </w:r>
    </w:p>
    <w:p w14:paraId="00000010"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w art. 37 po ust. 2b dodaje się ust. 2ba w brzmieniu:</w:t>
      </w:r>
    </w:p>
    <w:p w14:paraId="00000011"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„2ba. Leki oraz inne niż leki środki stosowane w antykoncepcji przysługujące świadczeniobiorcom, o których mowa w art. 43c ust. 1 ustawy o świadczeniach, minister właściwy do spraw zdrowia ogłasza w obwieszczeniu, o którym mowa w ust. 1.”;</w:t>
      </w:r>
    </w:p>
    <w:p w14:paraId="00000012"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 art. 45a:</w:t>
      </w:r>
    </w:p>
    <w:p w14:paraId="00000013"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w pkt 4 w lit. h średnik zastępuje się przecinkiem oraz dodaje się lit. i w brzmieniu:</w:t>
      </w:r>
    </w:p>
    <w:p w14:paraId="00000014"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„i) kod uprawnienia dodatkowego pacjenta określony symbolem „AN”, a w przypadku braku uprawnienia dodatkowego symbol „X”;”,</w:t>
      </w:r>
    </w:p>
    <w:p w14:paraId="00000015" w14:textId="77777777" w:rsidR="00A169FD" w:rsidRDefault="00000000">
      <w:pPr>
        <w:widowControl/>
        <w:pBdr>
          <w:top w:val="nil"/>
          <w:left w:val="nil"/>
          <w:bottom w:val="nil"/>
          <w:right w:val="nil"/>
          <w:between w:val="nil"/>
        </w:pBdr>
        <w:ind w:left="0" w:hanging="2"/>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w pkt 8 w lit. i:w tiret pierwszym, trzecim, piątym, siódmym i dziewiątym wyrazy "art. 43a ust. 1 i 1a albo art. 43b ust. 1" zastępuje się wyrazami "art. 43a ust. 1 i 1a albo art. 43b ust. 1, albo art. 43c ust. 1".</w:t>
      </w:r>
    </w:p>
    <w:p w14:paraId="00000016" w14:textId="77777777" w:rsidR="00A169FD" w:rsidRDefault="00000000">
      <w:pPr>
        <w:widowControl/>
        <w:pBdr>
          <w:top w:val="nil"/>
          <w:left w:val="nil"/>
          <w:bottom w:val="nil"/>
          <w:right w:val="nil"/>
          <w:between w:val="nil"/>
        </w:pBdr>
        <w:spacing w:before="120"/>
        <w:ind w:left="0" w:hanging="2"/>
        <w:jc w:val="both"/>
        <w:rPr>
          <w:rFonts w:ascii="Times" w:eastAsia="Times" w:hAnsi="Times" w:cs="Times"/>
          <w:color w:val="000000"/>
          <w:szCs w:val="24"/>
        </w:rPr>
      </w:pPr>
      <w:r>
        <w:rPr>
          <w:rFonts w:ascii="Times" w:eastAsia="Times" w:hAnsi="Times" w:cs="Times"/>
          <w:b/>
          <w:color w:val="000000"/>
          <w:szCs w:val="24"/>
        </w:rPr>
        <w:t>Art. 3.</w:t>
      </w:r>
      <w:r>
        <w:rPr>
          <w:rFonts w:ascii="Times" w:eastAsia="Times" w:hAnsi="Times" w:cs="Times"/>
          <w:color w:val="000000"/>
          <w:szCs w:val="24"/>
        </w:rPr>
        <w:t xml:space="preserve"> Ustawa wchodzi w życie po upływie 14 dni od dnia ogłoszenia.</w:t>
      </w:r>
    </w:p>
    <w:p w14:paraId="00000017" w14:textId="77777777" w:rsidR="00A169FD" w:rsidRDefault="00A169FD">
      <w:pPr>
        <w:pBdr>
          <w:top w:val="nil"/>
          <w:left w:val="nil"/>
          <w:bottom w:val="nil"/>
          <w:right w:val="nil"/>
          <w:between w:val="nil"/>
        </w:pBdr>
        <w:ind w:left="0" w:hanging="2"/>
        <w:rPr>
          <w:color w:val="000000"/>
          <w:szCs w:val="24"/>
        </w:rPr>
      </w:pPr>
    </w:p>
    <w:p w14:paraId="00000018" w14:textId="77777777" w:rsidR="00A169FD" w:rsidRDefault="00000000">
      <w:pPr>
        <w:widowControl/>
        <w:pBdr>
          <w:top w:val="nil"/>
          <w:left w:val="nil"/>
          <w:bottom w:val="nil"/>
          <w:right w:val="nil"/>
          <w:between w:val="nil"/>
        </w:pBdr>
        <w:ind w:left="0" w:hanging="2"/>
        <w:rPr>
          <w:color w:val="000000"/>
          <w:szCs w:val="24"/>
        </w:rPr>
      </w:pPr>
      <w:r>
        <w:br w:type="page"/>
      </w:r>
    </w:p>
    <w:p w14:paraId="00000019" w14:textId="77777777" w:rsidR="00A169FD" w:rsidRDefault="00000000">
      <w:pPr>
        <w:pBdr>
          <w:top w:val="nil"/>
          <w:left w:val="nil"/>
          <w:bottom w:val="nil"/>
          <w:right w:val="nil"/>
          <w:between w:val="nil"/>
        </w:pBdr>
        <w:ind w:left="0" w:hanging="2"/>
        <w:rPr>
          <w:color w:val="000000"/>
          <w:szCs w:val="24"/>
        </w:rPr>
      </w:pPr>
      <w:r>
        <w:rPr>
          <w:b/>
          <w:color w:val="000000"/>
          <w:szCs w:val="24"/>
        </w:rPr>
        <w:lastRenderedPageBreak/>
        <w:t>Uzasadnienie</w:t>
      </w:r>
    </w:p>
    <w:p w14:paraId="0000001A" w14:textId="77777777" w:rsidR="00A169FD" w:rsidRDefault="00A169FD">
      <w:pPr>
        <w:pBdr>
          <w:top w:val="nil"/>
          <w:left w:val="nil"/>
          <w:bottom w:val="nil"/>
          <w:right w:val="nil"/>
          <w:between w:val="nil"/>
        </w:pBdr>
        <w:ind w:left="0" w:hanging="2"/>
        <w:rPr>
          <w:color w:val="000000"/>
          <w:szCs w:val="24"/>
        </w:rPr>
      </w:pPr>
    </w:p>
    <w:p w14:paraId="0000001B" w14:textId="77777777" w:rsidR="00A169FD" w:rsidRDefault="00000000">
      <w:pPr>
        <w:numPr>
          <w:ilvl w:val="0"/>
          <w:numId w:val="1"/>
        </w:numPr>
        <w:pBdr>
          <w:top w:val="nil"/>
          <w:left w:val="nil"/>
          <w:bottom w:val="nil"/>
          <w:right w:val="nil"/>
          <w:between w:val="nil"/>
        </w:pBdr>
        <w:ind w:left="0" w:hanging="2"/>
        <w:rPr>
          <w:color w:val="000000"/>
          <w:szCs w:val="24"/>
        </w:rPr>
      </w:pPr>
      <w:r>
        <w:rPr>
          <w:b/>
          <w:color w:val="000000"/>
          <w:szCs w:val="24"/>
        </w:rPr>
        <w:t>Potrzeba i cel wprowadzenia zmian prawnych:</w:t>
      </w:r>
    </w:p>
    <w:p w14:paraId="0000001C"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Od wielu lat potrzeby zdrowotne kobiet dorosłych i małoletnich pozostają niezaspokojone. Od momentu radykalizacji prawa aborcyjnego sytuacja kobiet jeszcze się pogorszyła, zmalało ich poczucie bezpieczeństwa. Nie podjęto adekwatnych działań dla zapewnienia dobrego zdrowia kobiet, zaniechano dyskusji o potrzebie zmian w dotyczącym zdrowia kobiet obszarze publicznego sektora ochrony zdrowia. </w:t>
      </w:r>
    </w:p>
    <w:p w14:paraId="0000001D"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Wnioskodawcy stoją na stanowisku, że zapewnienie bezpieczeństwa zdrowia kobiet nie jest możliwe bez dostępności środków antykoncepcyjnych i świadomości kobiet dotyczącej ich stosowania. </w:t>
      </w:r>
    </w:p>
    <w:p w14:paraId="0000001E"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Rzetelna wiedza o możliwych sposobach antykoncepcji powinna być przekazywana już w szkole. W tym zakresie dokonano stosownych zmian w ustawie o planowaniu rodziny, ochronie płodu ludzkiego i warunkach dopuszczalności przerywania ciąży. </w:t>
      </w:r>
    </w:p>
    <w:p w14:paraId="0000001F" w14:textId="77777777" w:rsidR="00A169FD" w:rsidRDefault="00000000">
      <w:pPr>
        <w:pBdr>
          <w:top w:val="nil"/>
          <w:left w:val="nil"/>
          <w:bottom w:val="nil"/>
          <w:right w:val="nil"/>
          <w:between w:val="nil"/>
        </w:pBdr>
        <w:ind w:left="0" w:hanging="2"/>
        <w:jc w:val="both"/>
        <w:rPr>
          <w:color w:val="000000"/>
          <w:szCs w:val="24"/>
        </w:rPr>
      </w:pPr>
      <w:r>
        <w:rPr>
          <w:color w:val="000000"/>
          <w:szCs w:val="24"/>
        </w:rPr>
        <w:t>Kolejnym krokiem jest zagwarantowanie grupie kobiet, dla których z przyczyn ekonomicznych środki antykoncepcyjne są niedostępne, możliwości zabezpieczenia przed nieplanowaną ciążą i podjęcia decyzji o macierzyństwie w wybranym przez nie czasie.</w:t>
      </w:r>
    </w:p>
    <w:p w14:paraId="00000020"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Tymczasem dane o dostępności do środków antykoncepcyjnych są alarmujące. </w:t>
      </w:r>
    </w:p>
    <w:p w14:paraId="00000021" w14:textId="77777777" w:rsidR="00A169FD" w:rsidRDefault="00000000">
      <w:pPr>
        <w:pBdr>
          <w:top w:val="nil"/>
          <w:left w:val="nil"/>
          <w:bottom w:val="nil"/>
          <w:right w:val="nil"/>
          <w:between w:val="nil"/>
        </w:pBdr>
        <w:ind w:left="0" w:hanging="2"/>
        <w:jc w:val="both"/>
        <w:rPr>
          <w:color w:val="000000"/>
          <w:szCs w:val="24"/>
        </w:rPr>
      </w:pPr>
      <w:r>
        <w:rPr>
          <w:color w:val="000000"/>
          <w:szCs w:val="24"/>
        </w:rPr>
        <w:t>W tegorocznej edycji Atlasu Polityki Antykoncepcyjnej, wydawanego przez Europejskie Forum Parlamentarne na rzecz Praw Seksualnych i Reprodukcyjnych, Polska zajęła ostatnie miejsce pod względem dostępności do środków antykoncepcji, co oznacza trudność w dostępie do środków antykoncepcji, dostępie do porad specjalisty w dziedzinie zapobiegania ciąży oraz dostępie do informacji na temat antykoncepcji online.</w:t>
      </w:r>
      <w:r>
        <w:rPr>
          <w:color w:val="000000"/>
          <w:szCs w:val="24"/>
          <w:vertAlign w:val="superscript"/>
        </w:rPr>
        <w:footnoteReference w:id="2"/>
      </w:r>
      <w:r>
        <w:rPr>
          <w:color w:val="000000"/>
          <w:szCs w:val="24"/>
        </w:rPr>
        <w:t xml:space="preserve"> </w:t>
      </w:r>
    </w:p>
    <w:p w14:paraId="00000022" w14:textId="77777777" w:rsidR="00A169FD" w:rsidRDefault="00000000">
      <w:pPr>
        <w:pBdr>
          <w:top w:val="nil"/>
          <w:left w:val="nil"/>
          <w:bottom w:val="nil"/>
          <w:right w:val="nil"/>
          <w:between w:val="nil"/>
        </w:pBdr>
        <w:ind w:left="0" w:hanging="2"/>
        <w:jc w:val="both"/>
        <w:rPr>
          <w:color w:val="000000"/>
          <w:szCs w:val="24"/>
        </w:rPr>
      </w:pPr>
      <w:r>
        <w:rPr>
          <w:color w:val="000000"/>
          <w:szCs w:val="24"/>
        </w:rPr>
        <w:t>Zdaniem wnioskodawców kluczowe znaczenie mają takie wartości jak: zdrowie kobiet, poczucie bezpieczeństwa i umożliwienie podjęcia decyzji o macierzyństwie. Stąd szereg zmian w tym obszarze praw reprodukcyjnych: od refundacji in vitro, przez dostępność do antykoncepcji awaryjnej, inicjatywę zmian w zakresie zasad przerywania ciąży, po upowszechnienie edukacji seksualnej i zmiany zasad refundacji antykoncepcji.</w:t>
      </w:r>
    </w:p>
    <w:p w14:paraId="00000023"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Wnioskodawcy proponują, by kobiety do 25 roku życia objęto bezpłatnym dostępem do </w:t>
      </w:r>
      <w:r>
        <w:rPr>
          <w:color w:val="000000"/>
          <w:szCs w:val="24"/>
        </w:rPr>
        <w:lastRenderedPageBreak/>
        <w:t xml:space="preserve">środków antykoncepcyjnych dostępnych na rynku, zaś kobietom powyżej 25 roku dano możliwość korzystania z refundowanej antykoncepcji w zakresie szerszym niż dotychczas. W odpowiedzi z dnia 12.02.2020 r. Ministra Zdrowia na interpelację nr 2266 wskazano, że zgodnie z obwieszczeniem Ministra Zdrowia w sprawie wykazu refundowanych leków, środków spożywczych specjalnego przeznaczenia żywieniowego oraz wyrobów medycznych, spośród leków mających działanie antykoncepcyjne refundowane są produkty zawierające substancje czynne: Cyproteronum + Ethinylestradiolum oraz Ethinylestradiolum + Levonorgestrelum. Leki te są refundowane we wszystkich zarejestrowanych wskazaniach na dzień wydania decyzji i dostępne są za odpłatnością w wysokości 30% limitu finansowania i za dopłatą w wysokości różnicy między ceną detaliczną a limitem finansowania. </w:t>
      </w:r>
    </w:p>
    <w:p w14:paraId="00000024" w14:textId="77777777" w:rsidR="00A169FD" w:rsidRDefault="00000000">
      <w:pPr>
        <w:pBdr>
          <w:top w:val="nil"/>
          <w:left w:val="nil"/>
          <w:bottom w:val="nil"/>
          <w:right w:val="nil"/>
          <w:between w:val="nil"/>
        </w:pBdr>
        <w:ind w:left="0" w:hanging="2"/>
        <w:jc w:val="both"/>
        <w:rPr>
          <w:color w:val="000000"/>
          <w:szCs w:val="24"/>
        </w:rPr>
      </w:pPr>
      <w:r>
        <w:rPr>
          <w:color w:val="000000"/>
          <w:szCs w:val="24"/>
        </w:rPr>
        <w:t>Podnosi się, że konieczne jest objęcie refundacją leków antykoncepcyjnych kolejnej generacji oraz innych środków antykoncepcyjnych: plastrów antykoncepcyjnych, wkładek czy minipigułek. Środki antykoncepcyjne zgodnie z rekomendacjami Polskiego Towarzystwa Ginekologicznego</w:t>
      </w:r>
      <w:r>
        <w:rPr>
          <w:color w:val="000000"/>
          <w:szCs w:val="24"/>
          <w:vertAlign w:val="superscript"/>
        </w:rPr>
        <w:footnoteReference w:id="3"/>
      </w:r>
      <w:r>
        <w:rPr>
          <w:color w:val="000000"/>
          <w:szCs w:val="24"/>
        </w:rPr>
        <w:t xml:space="preserve"> powinny być przypisywane po dokonaniu profilu bezpieczeństwa danej metody i oczekiwań ze strony pacjentki. Przy tak ubogim wyborze dostępnych refundowanych środków antykoncepcyjnych osiągnięcie tego celu jest niemożliwe.</w:t>
      </w:r>
    </w:p>
    <w:p w14:paraId="00000025"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Objęcie refundacją środków antykoncepcyjnych zarówno hormonalnych jak i mechanicznych pozwoli na lepsze zabezpieczenie potrzeb kobiety z uwzględnieniem jej indywidualnej sytuacji zdrowotnej i zagwarantuje jej większe bezpieczeństwo. Łatwiejsza dostępność do antykoncepcji przyczyni się do zwiększenia profilaktyki zdrowotnej u kobiet, gdyż wystawienie recepty na dany środek antykoncepcyjny poprzedzone winno być (według wiedzy medycznej) badaniem ginekologicznym, cytologicznym oraz badaniem piersi. Częstsze wizyty u lekarza pozwolą na lepszą profilaktykę chorób. </w:t>
      </w:r>
    </w:p>
    <w:p w14:paraId="00000026" w14:textId="77777777" w:rsidR="00A169FD" w:rsidRDefault="00A169FD">
      <w:pPr>
        <w:pBdr>
          <w:top w:val="nil"/>
          <w:left w:val="nil"/>
          <w:bottom w:val="nil"/>
          <w:right w:val="nil"/>
          <w:between w:val="nil"/>
        </w:pBdr>
        <w:ind w:left="0" w:hanging="2"/>
        <w:jc w:val="both"/>
        <w:rPr>
          <w:color w:val="000000"/>
          <w:szCs w:val="24"/>
        </w:rPr>
      </w:pPr>
    </w:p>
    <w:p w14:paraId="00000027" w14:textId="77777777" w:rsidR="00A169FD" w:rsidRDefault="00000000">
      <w:pPr>
        <w:pBdr>
          <w:top w:val="nil"/>
          <w:left w:val="nil"/>
          <w:bottom w:val="nil"/>
          <w:right w:val="nil"/>
          <w:between w:val="nil"/>
        </w:pBdr>
        <w:ind w:left="0" w:hanging="2"/>
        <w:jc w:val="both"/>
        <w:rPr>
          <w:color w:val="000000"/>
          <w:szCs w:val="24"/>
        </w:rPr>
      </w:pPr>
      <w:r>
        <w:rPr>
          <w:b/>
          <w:color w:val="000000"/>
          <w:szCs w:val="24"/>
        </w:rPr>
        <w:t>2. Proponowane zmiany</w:t>
      </w:r>
    </w:p>
    <w:p w14:paraId="00000028"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W art. 1 nowelizującym ustawy z dnia 27 sierpnia 2004 r. o świadczeniach opieki zdrowotnej finansowanych ze środków publicznych, poprzez dodanie nowego art. 43c, proponuje się wprowadzenie nowej kategorii świadczeniobiorców uprawnionych do bezpłatnych leków oraz innych niż leki środków wystawianych na receptę stosowanych w antykoncepcji – kobiet do ukończenia 25. roku życia. Katalog tych leków i środków ustalany będzie w wykazie </w:t>
      </w:r>
      <w:r>
        <w:rPr>
          <w:color w:val="000000"/>
          <w:szCs w:val="24"/>
        </w:rPr>
        <w:lastRenderedPageBreak/>
        <w:t>wydawanym przez ministra właściwego do spraw zdrowie na podstawie art. 37 ust. 1 ustawy z dnia 12 maja 2011 r. o refundacji leków, środków spożywczych specjalnego przeznaczenia żywieniowego oraz wyrobów medycznych. Ustęp 2 dodawanego artykułu zobowiązuje ministra do tego, aby w wykazie wskazywał szeroki katalog leków i środków stosowanych w antykoncepcji również wkładki, plastry, iniekcje, co zapewni powszechną dostępność i środków antykoncepcyjnych. Finansowanie tego zadania należeć będzie do Narodowego Funduszy Zdrowia i odbywać się będzie na takich samych zasadach jak finansowanie świadczeń dla pozostałych grup uprawnionych do bezpłatnych świadczeń dzieci, emerytów i kobiet w ciąży (art. 43a i art. 43b nowelizowanej ustawy).</w:t>
      </w:r>
    </w:p>
    <w:p w14:paraId="00000029"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W art. 2 nowelizującym ustawę z dnia 12 maja 2011 r. o refundacji leków, środków spożywczych specjalnego przeznaczenia żywieniowego oraz wyrobów medycznych wprowadza się zmiany będące konsekwencją zmian w ustawie o świadczeniach opieki zdrowotnej finansowanych ze środków publicznych. W ust. 2ba dodawanym w art. 37 zobowiązuje się ministra zdrowia do wyodrębniania w wykazie, który wydaje na podstawie ust. 1 leków oraz inne niż leki środków stosowane w antykoncepcji przysługujących bezpłatnie kobietom do ukończenia 25. roku życia. Pozostałe zmiany w ustawie o refundacji związane są z koniecznością właściwego oznaczania recept wydawanych uprawnionym świadczeniobiorcom i rozliczania w systemie finansowania świadczeń opieki zdrowotnych finansowanych ze środków publicznych. </w:t>
      </w:r>
    </w:p>
    <w:p w14:paraId="0000002A" w14:textId="77777777" w:rsidR="00A169FD" w:rsidRDefault="00A169FD">
      <w:pPr>
        <w:pBdr>
          <w:top w:val="nil"/>
          <w:left w:val="nil"/>
          <w:bottom w:val="nil"/>
          <w:right w:val="nil"/>
          <w:between w:val="nil"/>
        </w:pBdr>
        <w:ind w:left="0" w:hanging="2"/>
        <w:jc w:val="both"/>
        <w:rPr>
          <w:color w:val="000000"/>
          <w:szCs w:val="24"/>
        </w:rPr>
      </w:pPr>
    </w:p>
    <w:p w14:paraId="0000002B" w14:textId="77777777" w:rsidR="00A169FD" w:rsidRDefault="00000000">
      <w:pPr>
        <w:pBdr>
          <w:top w:val="nil"/>
          <w:left w:val="nil"/>
          <w:bottom w:val="nil"/>
          <w:right w:val="nil"/>
          <w:between w:val="nil"/>
        </w:pBdr>
        <w:ind w:left="0" w:hanging="2"/>
        <w:jc w:val="both"/>
        <w:rPr>
          <w:color w:val="000000"/>
          <w:szCs w:val="24"/>
        </w:rPr>
      </w:pPr>
      <w:r>
        <w:rPr>
          <w:b/>
          <w:color w:val="000000"/>
          <w:szCs w:val="24"/>
        </w:rPr>
        <w:t>3.</w:t>
      </w:r>
      <w:r>
        <w:rPr>
          <w:color w:val="000000"/>
          <w:szCs w:val="24"/>
        </w:rPr>
        <w:t xml:space="preserve"> </w:t>
      </w:r>
      <w:r>
        <w:rPr>
          <w:b/>
          <w:color w:val="000000"/>
          <w:szCs w:val="24"/>
        </w:rPr>
        <w:t>Skutki finansowe i źródła finansowania:</w:t>
      </w:r>
    </w:p>
    <w:p w14:paraId="0000002C" w14:textId="77777777" w:rsidR="00A169FD" w:rsidRDefault="00000000">
      <w:pPr>
        <w:pBdr>
          <w:top w:val="nil"/>
          <w:left w:val="nil"/>
          <w:bottom w:val="nil"/>
          <w:right w:val="nil"/>
          <w:between w:val="nil"/>
        </w:pBdr>
        <w:ind w:left="0" w:hanging="2"/>
        <w:jc w:val="both"/>
        <w:rPr>
          <w:color w:val="000000"/>
          <w:szCs w:val="24"/>
        </w:rPr>
      </w:pPr>
      <w:r>
        <w:rPr>
          <w:color w:val="000000"/>
          <w:szCs w:val="24"/>
        </w:rPr>
        <w:t xml:space="preserve">Projekt może powodować skutki finansowe dla Narodowego Funduszu Zdrowia. Nie powinny przekroczyć one rocznie 500 mln zł. </w:t>
      </w:r>
    </w:p>
    <w:p w14:paraId="0000002D" w14:textId="77777777" w:rsidR="00A169FD" w:rsidRDefault="00A169FD">
      <w:pPr>
        <w:pBdr>
          <w:top w:val="nil"/>
          <w:left w:val="nil"/>
          <w:bottom w:val="nil"/>
          <w:right w:val="nil"/>
          <w:between w:val="nil"/>
        </w:pBdr>
        <w:ind w:left="0" w:hanging="2"/>
        <w:jc w:val="both"/>
        <w:rPr>
          <w:color w:val="000000"/>
          <w:szCs w:val="24"/>
        </w:rPr>
      </w:pPr>
    </w:p>
    <w:p w14:paraId="0000002E" w14:textId="77777777" w:rsidR="00A169FD" w:rsidRDefault="00000000">
      <w:pPr>
        <w:pBdr>
          <w:top w:val="nil"/>
          <w:left w:val="nil"/>
          <w:bottom w:val="nil"/>
          <w:right w:val="nil"/>
          <w:between w:val="nil"/>
        </w:pBdr>
        <w:ind w:left="0" w:hanging="2"/>
        <w:jc w:val="both"/>
        <w:rPr>
          <w:color w:val="000000"/>
          <w:szCs w:val="24"/>
        </w:rPr>
      </w:pPr>
      <w:r>
        <w:rPr>
          <w:b/>
          <w:color w:val="000000"/>
          <w:szCs w:val="24"/>
        </w:rPr>
        <w:t>4. Zgodność projektu ustawy z prawem Unii Europejskiej:</w:t>
      </w:r>
    </w:p>
    <w:p w14:paraId="0000002F" w14:textId="77777777" w:rsidR="00A169FD" w:rsidRDefault="00000000">
      <w:pPr>
        <w:pBdr>
          <w:top w:val="nil"/>
          <w:left w:val="nil"/>
          <w:bottom w:val="nil"/>
          <w:right w:val="nil"/>
          <w:between w:val="nil"/>
        </w:pBdr>
        <w:ind w:left="0" w:hanging="2"/>
        <w:jc w:val="both"/>
        <w:rPr>
          <w:color w:val="000000"/>
          <w:szCs w:val="24"/>
        </w:rPr>
      </w:pPr>
      <w:r>
        <w:rPr>
          <w:color w:val="000000"/>
          <w:szCs w:val="24"/>
        </w:rPr>
        <w:t>Projekt nie jest objęty zakresem prawa Unii Europejskiej. Nie podlega procedurze notyfikacji w rozumieniu przepisów dotyczących notyfikacji norm i aktów prawnych.</w:t>
      </w:r>
    </w:p>
    <w:p w14:paraId="00000030" w14:textId="77777777" w:rsidR="00A169FD" w:rsidRDefault="00A169FD">
      <w:pPr>
        <w:pBdr>
          <w:top w:val="nil"/>
          <w:left w:val="nil"/>
          <w:bottom w:val="nil"/>
          <w:right w:val="nil"/>
          <w:between w:val="nil"/>
        </w:pBdr>
        <w:ind w:left="0" w:hanging="2"/>
        <w:jc w:val="both"/>
        <w:rPr>
          <w:color w:val="000000"/>
          <w:szCs w:val="24"/>
        </w:rPr>
      </w:pPr>
    </w:p>
    <w:p w14:paraId="00000031" w14:textId="77777777" w:rsidR="00A169FD" w:rsidRDefault="00000000">
      <w:pPr>
        <w:pBdr>
          <w:top w:val="nil"/>
          <w:left w:val="nil"/>
          <w:bottom w:val="nil"/>
          <w:right w:val="nil"/>
          <w:between w:val="nil"/>
        </w:pBdr>
        <w:ind w:left="0" w:hanging="2"/>
        <w:jc w:val="both"/>
        <w:rPr>
          <w:color w:val="000000"/>
          <w:szCs w:val="24"/>
        </w:rPr>
      </w:pPr>
      <w:r>
        <w:rPr>
          <w:b/>
          <w:color w:val="000000"/>
          <w:szCs w:val="24"/>
        </w:rPr>
        <w:t>5. Wpływ na działalność mikroprzedsiębiorców oraz małych i średnich przedsiębiorstw.</w:t>
      </w:r>
    </w:p>
    <w:p w14:paraId="00000032" w14:textId="77777777" w:rsidR="00A169FD" w:rsidRDefault="00000000">
      <w:pPr>
        <w:pBdr>
          <w:top w:val="nil"/>
          <w:left w:val="nil"/>
          <w:bottom w:val="nil"/>
          <w:right w:val="nil"/>
          <w:between w:val="nil"/>
        </w:pBdr>
        <w:ind w:left="0" w:hanging="2"/>
        <w:jc w:val="both"/>
        <w:rPr>
          <w:color w:val="000000"/>
          <w:szCs w:val="24"/>
        </w:rPr>
      </w:pPr>
      <w:r>
        <w:rPr>
          <w:color w:val="000000"/>
          <w:szCs w:val="24"/>
        </w:rPr>
        <w:t>Proponowane zmiany są obojętne z punktu widzenia działalności mikroprzedsiębiorców oraz małych i średnich przedsiębiorców.</w:t>
      </w:r>
    </w:p>
    <w:p w14:paraId="00000033" w14:textId="77777777" w:rsidR="00A169FD" w:rsidRDefault="00A169FD">
      <w:pPr>
        <w:pBdr>
          <w:top w:val="nil"/>
          <w:left w:val="nil"/>
          <w:bottom w:val="nil"/>
          <w:right w:val="nil"/>
          <w:between w:val="nil"/>
        </w:pBdr>
        <w:ind w:left="0" w:hanging="2"/>
        <w:jc w:val="both"/>
        <w:rPr>
          <w:color w:val="000000"/>
          <w:szCs w:val="24"/>
        </w:rPr>
      </w:pPr>
    </w:p>
    <w:p w14:paraId="00000034" w14:textId="77777777" w:rsidR="00A169FD" w:rsidRDefault="00000000">
      <w:pPr>
        <w:pBdr>
          <w:top w:val="nil"/>
          <w:left w:val="nil"/>
          <w:bottom w:val="nil"/>
          <w:right w:val="nil"/>
          <w:between w:val="nil"/>
        </w:pBdr>
        <w:ind w:left="0" w:hanging="2"/>
        <w:jc w:val="both"/>
        <w:rPr>
          <w:color w:val="000000"/>
          <w:szCs w:val="24"/>
        </w:rPr>
      </w:pPr>
      <w:r>
        <w:rPr>
          <w:b/>
          <w:color w:val="000000"/>
          <w:szCs w:val="24"/>
        </w:rPr>
        <w:t>6. Konsultacje społeczne.</w:t>
      </w:r>
    </w:p>
    <w:p w14:paraId="00000035" w14:textId="77777777" w:rsidR="00A169FD" w:rsidRDefault="00000000">
      <w:pPr>
        <w:pBdr>
          <w:top w:val="nil"/>
          <w:left w:val="nil"/>
          <w:bottom w:val="nil"/>
          <w:right w:val="nil"/>
          <w:between w:val="nil"/>
        </w:pBdr>
        <w:ind w:left="0" w:hanging="2"/>
        <w:jc w:val="both"/>
        <w:rPr>
          <w:color w:val="000000"/>
          <w:szCs w:val="24"/>
        </w:rPr>
      </w:pPr>
      <w:r>
        <w:rPr>
          <w:color w:val="000000"/>
          <w:szCs w:val="24"/>
        </w:rPr>
        <w:lastRenderedPageBreak/>
        <w:t>Projekt nie był poddawany konsultacjom społecznym.</w:t>
      </w:r>
    </w:p>
    <w:p w14:paraId="00000036" w14:textId="77777777" w:rsidR="00A169FD" w:rsidRDefault="00A169FD">
      <w:pPr>
        <w:pBdr>
          <w:top w:val="nil"/>
          <w:left w:val="nil"/>
          <w:bottom w:val="nil"/>
          <w:right w:val="nil"/>
          <w:between w:val="nil"/>
        </w:pBdr>
        <w:ind w:left="0" w:hanging="2"/>
        <w:jc w:val="both"/>
        <w:rPr>
          <w:color w:val="000000"/>
          <w:szCs w:val="24"/>
        </w:rPr>
      </w:pPr>
    </w:p>
    <w:p w14:paraId="00000037" w14:textId="77777777" w:rsidR="00A169FD" w:rsidRDefault="00A169FD">
      <w:pPr>
        <w:pBdr>
          <w:top w:val="nil"/>
          <w:left w:val="nil"/>
          <w:bottom w:val="nil"/>
          <w:right w:val="nil"/>
          <w:between w:val="nil"/>
        </w:pBdr>
        <w:ind w:left="0" w:hanging="2"/>
        <w:rPr>
          <w:color w:val="000000"/>
          <w:szCs w:val="24"/>
        </w:rPr>
      </w:pPr>
    </w:p>
    <w:sectPr w:rsidR="00A169FD">
      <w:headerReference w:type="even" r:id="rId8"/>
      <w:headerReference w:type="default" r:id="rId9"/>
      <w:footerReference w:type="even" r:id="rId10"/>
      <w:footerReference w:type="default" r:id="rId11"/>
      <w:headerReference w:type="first" r:id="rId12"/>
      <w:footerReference w:type="first" r:id="rId13"/>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B40C" w14:textId="77777777" w:rsidR="005B6449" w:rsidRDefault="005B6449">
      <w:pPr>
        <w:spacing w:line="240" w:lineRule="auto"/>
        <w:ind w:left="0" w:hanging="2"/>
      </w:pPr>
      <w:r>
        <w:separator/>
      </w:r>
    </w:p>
  </w:endnote>
  <w:endnote w:type="continuationSeparator" w:id="0">
    <w:p w14:paraId="1587C959" w14:textId="77777777" w:rsidR="005B6449" w:rsidRDefault="005B64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782D" w14:textId="77777777" w:rsidR="00500120" w:rsidRDefault="00500120">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F3AE" w14:textId="77777777" w:rsidR="00500120" w:rsidRDefault="00500120">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53B5" w14:textId="77777777" w:rsidR="00500120" w:rsidRDefault="00500120">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9B9C" w14:textId="77777777" w:rsidR="005B6449" w:rsidRDefault="005B6449">
      <w:pPr>
        <w:spacing w:line="240" w:lineRule="auto"/>
        <w:ind w:left="0" w:hanging="2"/>
      </w:pPr>
      <w:r>
        <w:separator/>
      </w:r>
    </w:p>
  </w:footnote>
  <w:footnote w:type="continuationSeparator" w:id="0">
    <w:p w14:paraId="71B6407B" w14:textId="77777777" w:rsidR="005B6449" w:rsidRDefault="005B6449">
      <w:pPr>
        <w:spacing w:line="240" w:lineRule="auto"/>
        <w:ind w:left="0" w:hanging="2"/>
      </w:pPr>
      <w:r>
        <w:continuationSeparator/>
      </w:r>
    </w:p>
  </w:footnote>
  <w:footnote w:id="1">
    <w:p w14:paraId="00000038" w14:textId="77777777" w:rsidR="00A169FD" w:rsidRDefault="00000000">
      <w:pPr>
        <w:widowControl/>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vertAlign w:val="superscript"/>
        </w:rPr>
        <w:t>)</w:t>
      </w:r>
      <w:r>
        <w:rPr>
          <w:color w:val="000000"/>
          <w:sz w:val="20"/>
        </w:rPr>
        <w:tab/>
        <w:t>Zmiany tekstu jednolitego wymienionej ustawy zostały ogłoszone w Dz. U. z 2022 r. poz. 2674 i 2770, z 2023 r. poz. 605, 650, 658, 1234, 1429, 1675, 1692, 1733, 1831, 1872, 1938 i 2730.</w:t>
      </w:r>
    </w:p>
  </w:footnote>
  <w:footnote w:id="2">
    <w:p w14:paraId="00000039" w14:textId="77777777" w:rsidR="00A169FD" w:rsidRDefault="00000000">
      <w:pPr>
        <w:pBdr>
          <w:top w:val="nil"/>
          <w:left w:val="nil"/>
          <w:bottom w:val="nil"/>
          <w:right w:val="nil"/>
          <w:between w:val="nil"/>
        </w:pBdr>
        <w:ind w:left="0" w:hanging="2"/>
        <w:rPr>
          <w:color w:val="000000"/>
          <w:szCs w:val="24"/>
        </w:rPr>
      </w:pPr>
      <w:r>
        <w:rPr>
          <w:vertAlign w:val="superscript"/>
        </w:rPr>
        <w:footnoteRef/>
      </w:r>
      <w:r>
        <w:rPr>
          <w:color w:val="000000"/>
          <w:szCs w:val="24"/>
        </w:rPr>
        <w:t xml:space="preserve"> </w:t>
      </w:r>
      <w:hyperlink r:id="rId1">
        <w:r>
          <w:rPr>
            <w:color w:val="0563C1"/>
            <w:szCs w:val="24"/>
            <w:u w:val="single"/>
          </w:rPr>
          <w:t>https://www.epfweb.org/sites/default/files/2024-02/CCInfoEU_A3_EN_2024_FEB12.pdf</w:t>
        </w:r>
      </w:hyperlink>
      <w:r>
        <w:rPr>
          <w:szCs w:val="24"/>
        </w:rPr>
        <w:t xml:space="preserve"> [dostęp z dnia 23.02.2024 r.]</w:t>
      </w:r>
    </w:p>
    <w:p w14:paraId="0000003A" w14:textId="77777777" w:rsidR="00A169FD" w:rsidRDefault="00A169FD">
      <w:pPr>
        <w:pBdr>
          <w:top w:val="nil"/>
          <w:left w:val="nil"/>
          <w:bottom w:val="nil"/>
          <w:right w:val="nil"/>
          <w:between w:val="nil"/>
        </w:pBdr>
        <w:ind w:left="0" w:hanging="2"/>
        <w:rPr>
          <w:color w:val="000000"/>
          <w:szCs w:val="24"/>
        </w:rPr>
      </w:pPr>
    </w:p>
  </w:footnote>
  <w:footnote w:id="3">
    <w:p w14:paraId="0000003B" w14:textId="77777777" w:rsidR="00A169FD" w:rsidRDefault="00000000">
      <w:pPr>
        <w:pBdr>
          <w:top w:val="nil"/>
          <w:left w:val="nil"/>
          <w:bottom w:val="nil"/>
          <w:right w:val="nil"/>
          <w:between w:val="nil"/>
        </w:pBdr>
        <w:ind w:left="0" w:hanging="2"/>
        <w:rPr>
          <w:rFonts w:ascii="Times" w:eastAsia="Times" w:hAnsi="Times" w:cs="Times"/>
          <w:color w:val="000000"/>
          <w:szCs w:val="24"/>
        </w:rPr>
      </w:pPr>
      <w:r>
        <w:rPr>
          <w:vertAlign w:val="superscript"/>
        </w:rPr>
        <w:footnoteRef/>
      </w:r>
      <w:r>
        <w:rPr>
          <w:rFonts w:ascii="Times" w:eastAsia="Times" w:hAnsi="Times" w:cs="Times"/>
          <w:color w:val="000000"/>
          <w:szCs w:val="24"/>
        </w:rPr>
        <w:t xml:space="preserve"> </w:t>
      </w:r>
      <w:hyperlink r:id="rId2">
        <w:r>
          <w:rPr>
            <w:rFonts w:ascii="Times" w:eastAsia="Times" w:hAnsi="Times" w:cs="Times"/>
            <w:color w:val="1155CC"/>
            <w:szCs w:val="24"/>
            <w:u w:val="single"/>
          </w:rPr>
          <w:t>https://publicum.umed.lodz.pl/info.seam?id=AMLe55f585fd91f4829897a083f187f798f</w:t>
        </w:r>
      </w:hyperlink>
      <w:r>
        <w:rPr>
          <w:szCs w:val="24"/>
        </w:rPr>
        <w:t xml:space="preserve"> [dostęp z dnia 23.02.2024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3F58" w14:textId="77777777" w:rsidR="00500120" w:rsidRDefault="00500120">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A4C93A7" w:rsidR="00A169FD" w:rsidRDefault="00000000">
    <w:pPr>
      <w:pBdr>
        <w:top w:val="nil"/>
        <w:left w:val="nil"/>
        <w:bottom w:val="nil"/>
        <w:right w:val="nil"/>
        <w:between w:val="nil"/>
      </w:pBdr>
      <w:tabs>
        <w:tab w:val="center" w:pos="4536"/>
        <w:tab w:val="right" w:pos="9072"/>
      </w:tabs>
      <w:ind w:left="0" w:hanging="2"/>
      <w:jc w:val="center"/>
      <w:rPr>
        <w:rFonts w:ascii="Times" w:eastAsia="Times" w:hAnsi="Times" w:cs="Times"/>
        <w:color w:val="000000"/>
        <w:szCs w:val="24"/>
      </w:rPr>
    </w:pPr>
    <w:r>
      <w:rPr>
        <w:rFonts w:ascii="Times" w:eastAsia="Times" w:hAnsi="Times" w:cs="Times"/>
        <w:color w:val="000000"/>
        <w:szCs w:val="24"/>
      </w:rPr>
      <w:t xml:space="preserve">– </w:t>
    </w:r>
    <w:r>
      <w:rPr>
        <w:rFonts w:ascii="Times" w:eastAsia="Times" w:hAnsi="Times" w:cs="Times"/>
        <w:color w:val="000000"/>
        <w:szCs w:val="24"/>
      </w:rPr>
      <w:fldChar w:fldCharType="begin"/>
    </w:r>
    <w:r>
      <w:rPr>
        <w:rFonts w:ascii="Times" w:eastAsia="Times" w:hAnsi="Times" w:cs="Times"/>
        <w:color w:val="000000"/>
        <w:szCs w:val="24"/>
      </w:rPr>
      <w:instrText>PAGE</w:instrText>
    </w:r>
    <w:r>
      <w:rPr>
        <w:rFonts w:ascii="Times" w:eastAsia="Times" w:hAnsi="Times" w:cs="Times"/>
        <w:color w:val="000000"/>
        <w:szCs w:val="24"/>
      </w:rPr>
      <w:fldChar w:fldCharType="separate"/>
    </w:r>
    <w:r w:rsidR="002D7FA0">
      <w:rPr>
        <w:rFonts w:ascii="Times" w:eastAsia="Times" w:hAnsi="Times" w:cs="Times"/>
        <w:noProof/>
        <w:color w:val="000000"/>
        <w:szCs w:val="24"/>
      </w:rPr>
      <w:t>2</w:t>
    </w:r>
    <w:r>
      <w:rPr>
        <w:rFonts w:ascii="Times" w:eastAsia="Times" w:hAnsi="Times" w:cs="Times"/>
        <w:color w:val="000000"/>
        <w:szCs w:val="24"/>
      </w:rPr>
      <w:fldChar w:fldCharType="end"/>
    </w:r>
    <w:r>
      <w:rPr>
        <w:rFonts w:ascii="Times" w:eastAsia="Times" w:hAnsi="Times" w:cs="Times"/>
        <w:color w:val="000000"/>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CDD0" w14:textId="77777777" w:rsidR="00500120" w:rsidRDefault="00500120">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2842"/>
    <w:multiLevelType w:val="multilevel"/>
    <w:tmpl w:val="30DCE4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3219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FD"/>
    <w:rsid w:val="00254B42"/>
    <w:rsid w:val="002D7FA0"/>
    <w:rsid w:val="00500120"/>
    <w:rsid w:val="005B6449"/>
    <w:rsid w:val="00A16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autoSpaceDN w:val="0"/>
      <w:adjustRightInd w:val="0"/>
      <w:spacing w:line="360" w:lineRule="auto"/>
      <w:ind w:leftChars="-1" w:left="-1" w:hangingChars="1" w:hanging="1"/>
      <w:textDirection w:val="btLr"/>
      <w:textAlignment w:val="top"/>
      <w:outlineLvl w:val="0"/>
    </w:pPr>
    <w:rPr>
      <w:position w:val="-1"/>
      <w:sz w:val="24"/>
    </w:rPr>
  </w:style>
  <w:style w:type="paragraph" w:styleId="Nagwek1">
    <w:name w:val="heading 1"/>
    <w:basedOn w:val="Normalny"/>
    <w:next w:val="Normalny"/>
    <w:uiPriority w:val="9"/>
    <w:qFormat/>
    <w:pPr>
      <w:keepNext/>
      <w:keepLines/>
      <w:suppressAutoHyphens w:val="0"/>
      <w:autoSpaceDE/>
      <w:autoSpaceDN/>
      <w:adjustRightInd/>
      <w:spacing w:before="480"/>
    </w:pPr>
    <w:rPr>
      <w:rFonts w:ascii="Cambria" w:hAnsi="Cambria"/>
      <w:b/>
      <w:bCs/>
      <w:color w:val="365F91"/>
      <w:kern w:val="1"/>
      <w:sz w:val="28"/>
      <w:szCs w:val="28"/>
      <w:lang w:eastAsia="ar-SA"/>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next w:val="TableNormal"/>
    <w:pPr>
      <w:widowControl w:val="0"/>
      <w:suppressAutoHyphens/>
      <w:spacing w:line="360" w:lineRule="auto"/>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customStyle="1" w:styleId="ZLITwPKTzmlitwpktartykuempunktem">
    <w:name w:val="Z/LIT_w_PKT – zm. lit. w pkt artykułem (punktem)"/>
    <w:basedOn w:val="LITlitera"/>
    <w:pPr>
      <w:ind w:left="1497"/>
    </w:pPr>
  </w:style>
  <w:style w:type="paragraph" w:customStyle="1" w:styleId="ZTIRwPKTzmtirwpktartykuempunktem">
    <w:name w:val="Z/TIR_w_PKT – zm. tir. w pkt artykułem (punktem)"/>
    <w:basedOn w:val="TIRtiret"/>
    <w:pPr>
      <w:ind w:left="1894"/>
    </w:pPr>
  </w:style>
  <w:style w:type="paragraph" w:customStyle="1" w:styleId="ZCZWSPLITwPKTzmczciwsplitwpktartykuempunktem">
    <w:name w:val="Z/CZ_WSP_LIT_w_PKT – zm. części wsp. lit. w pkt artykułem (punktem)"/>
    <w:basedOn w:val="CZWSPLITczwsplnaliter"/>
    <w:next w:val="ZARTzmartartykuempunktem"/>
    <w:pPr>
      <w:ind w:left="1021"/>
    </w:pPr>
  </w:style>
  <w:style w:type="paragraph" w:customStyle="1" w:styleId="2TIRpodwjnytiret">
    <w:name w:val="2TIR – podwójny tiret"/>
    <w:basedOn w:val="TIRtiret"/>
    <w:pPr>
      <w:ind w:left="1780"/>
    </w:p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suppressAutoHyphens w:val="0"/>
      <w:autoSpaceDE/>
      <w:autoSpaceDN/>
      <w:adjustRightInd/>
    </w:pPr>
    <w:rPr>
      <w:rFonts w:ascii="Times" w:hAnsi="Times"/>
      <w:kern w:val="1"/>
      <w:szCs w:val="24"/>
      <w:lang w:eastAsia="ar-SA"/>
    </w:rPr>
  </w:style>
  <w:style w:type="character" w:customStyle="1" w:styleId="NagwekZnak">
    <w:name w:val="Nagłówek Znak"/>
    <w:rPr>
      <w:w w:val="100"/>
      <w:kern w:val="1"/>
      <w:position w:val="-1"/>
      <w:sz w:val="20"/>
      <w:szCs w:val="20"/>
      <w:effect w:val="none"/>
      <w:vertAlign w:val="baseline"/>
      <w:cs w:val="0"/>
      <w:em w:val="none"/>
      <w:lang w:eastAsia="ar-SA"/>
    </w:rPr>
  </w:style>
  <w:style w:type="paragraph" w:styleId="Stopka">
    <w:name w:val="footer"/>
    <w:basedOn w:val="Normalny"/>
    <w:pPr>
      <w:suppressAutoHyphens w:val="0"/>
      <w:autoSpaceDE/>
      <w:autoSpaceDN/>
      <w:adjustRightInd/>
    </w:pPr>
    <w:rPr>
      <w:rFonts w:ascii="Times" w:hAnsi="Times"/>
      <w:kern w:val="1"/>
      <w:szCs w:val="24"/>
      <w:lang w:eastAsia="ar-SA"/>
    </w:rPr>
  </w:style>
  <w:style w:type="character" w:customStyle="1" w:styleId="StopkaZnak">
    <w:name w:val="Stopka Znak"/>
    <w:rPr>
      <w:w w:val="100"/>
      <w:kern w:val="1"/>
      <w:position w:val="-1"/>
      <w:sz w:val="20"/>
      <w:szCs w:val="20"/>
      <w:effect w:val="none"/>
      <w:vertAlign w:val="baseline"/>
      <w:cs w:val="0"/>
      <w:em w:val="none"/>
      <w:lang w:eastAsia="ar-SA"/>
    </w:rPr>
  </w:style>
  <w:style w:type="paragraph" w:styleId="Tekstdymka">
    <w:name w:val="Balloon Text"/>
    <w:basedOn w:val="Normalny"/>
    <w:pPr>
      <w:suppressAutoHyphens w:val="0"/>
      <w:autoSpaceDE/>
      <w:autoSpaceDN/>
      <w:adjustRightInd/>
    </w:pPr>
    <w:rPr>
      <w:rFonts w:ascii="Tahoma" w:hAnsi="Tahoma" w:cs="Tahoma"/>
      <w:kern w:val="1"/>
      <w:szCs w:val="16"/>
      <w:lang w:eastAsia="ar-SA"/>
    </w:rPr>
  </w:style>
  <w:style w:type="character" w:customStyle="1" w:styleId="TekstdymkaZnak">
    <w:name w:val="Tekst dymka Znak"/>
    <w:rPr>
      <w:rFonts w:ascii="Tahoma" w:eastAsia="Times New Roman" w:hAnsi="Tahoma" w:cs="Tahoma"/>
      <w:w w:val="100"/>
      <w:kern w:val="1"/>
      <w:position w:val="-1"/>
      <w:sz w:val="16"/>
      <w:szCs w:val="16"/>
      <w:effect w:val="none"/>
      <w:vertAlign w:val="baseline"/>
      <w:cs w:val="0"/>
      <w:em w:val="none"/>
      <w:lang w:eastAsia="ar-SA"/>
    </w:rPr>
  </w:style>
  <w:style w:type="paragraph" w:customStyle="1" w:styleId="ARTartustawynprozporzdzenia">
    <w:name w:val="ART(§) – art. ustawy (§ np. rozporządzenia)"/>
    <w:pPr>
      <w:widowControl w:val="0"/>
      <w:autoSpaceDE w:val="0"/>
      <w:autoSpaceDN w:val="0"/>
      <w:adjustRightInd w:val="0"/>
      <w:spacing w:before="120" w:line="360" w:lineRule="auto"/>
      <w:ind w:leftChars="-1" w:left="-1" w:hangingChars="1" w:hanging="1"/>
      <w:jc w:val="both"/>
      <w:textDirection w:val="btLr"/>
      <w:textAlignment w:val="top"/>
      <w:outlineLvl w:val="0"/>
    </w:pPr>
    <w:rPr>
      <w:position w:val="-1"/>
      <w:sz w:val="24"/>
    </w:rPr>
  </w:style>
  <w:style w:type="paragraph" w:customStyle="1" w:styleId="ZCZWSPTIRwPKTzmczciwsptirwpktartykuempunktem">
    <w:name w:val="Z/CZ_WSP_TIR_w_PKT – zm. części wsp. tir. w pkt artykułem (punktem)"/>
    <w:basedOn w:val="CZWSPTIRczwsplnatiret"/>
    <w:next w:val="ZPKTzmpktartykuempunktem"/>
    <w:pPr>
      <w:ind w:left="1497"/>
    </w:pPr>
  </w:style>
  <w:style w:type="paragraph" w:customStyle="1" w:styleId="ZTIRwLITzmtirwlitartykuempunktem">
    <w:name w:val="Z/TIR_w_LIT – zm. tir. w lit. artykułem (punktem)"/>
    <w:basedOn w:val="TIRtiret"/>
  </w:style>
  <w:style w:type="paragraph" w:customStyle="1" w:styleId="ZCZWSPTIRwLITzmczciwsptirwlitartykuempunktem">
    <w:name w:val="Z/CZ_WSP_TIR_w_LIT – zm. części wsp. tir. w lit. artykułem (punktem)"/>
    <w:basedOn w:val="CZWSPTIRczwsplnatiret"/>
    <w:next w:val="ZLITzmlitartykuempunktem"/>
  </w:style>
  <w:style w:type="character" w:customStyle="1" w:styleId="Nagwek1Znak">
    <w:name w:val="Nagłówek 1 Znak"/>
    <w:rPr>
      <w:rFonts w:ascii="Cambria" w:eastAsia="Times New Roman" w:hAnsi="Cambria" w:cs="Times New Roman"/>
      <w:b/>
      <w:bCs/>
      <w:color w:val="365F91"/>
      <w:w w:val="100"/>
      <w:kern w:val="1"/>
      <w:position w:val="-1"/>
      <w:sz w:val="28"/>
      <w:szCs w:val="28"/>
      <w:effect w:val="none"/>
      <w:vertAlign w:val="baseline"/>
      <w:cs w:val="0"/>
      <w:em w:val="none"/>
      <w:lang w:eastAsia="ar-SA"/>
    </w:rPr>
  </w:style>
  <w:style w:type="paragraph" w:styleId="Bezodstpw">
    <w:name w:val="No Spacing"/>
    <w:pPr>
      <w:widowControl w:val="0"/>
      <w:spacing w:line="360" w:lineRule="auto"/>
      <w:ind w:leftChars="-1" w:left="-1" w:hangingChars="1" w:hanging="1"/>
      <w:textDirection w:val="btLr"/>
      <w:textAlignment w:val="top"/>
      <w:outlineLvl w:val="0"/>
    </w:pPr>
    <w:rPr>
      <w:kern w:val="1"/>
      <w:position w:val="-1"/>
      <w:sz w:val="24"/>
      <w:szCs w:val="24"/>
      <w:lang w:eastAsia="ar-SA"/>
    </w:rPr>
  </w:style>
  <w:style w:type="paragraph" w:customStyle="1" w:styleId="ZPKTzmpktartykuempunktem">
    <w:name w:val="Z/PKT – zm. pkt artykułem (punktem)"/>
    <w:basedOn w:val="PKTpunkt"/>
    <w:pPr>
      <w:ind w:left="1020"/>
    </w:pPr>
  </w:style>
  <w:style w:type="paragraph" w:customStyle="1" w:styleId="ZARTzmartartykuempunktem">
    <w:name w:val="Z/ART(§) – zm. art. (§) artykułem (punktem)"/>
    <w:basedOn w:val="ARTartustawynprozporzdzenia"/>
    <w:pPr>
      <w:spacing w:before="0"/>
      <w:ind w:left="510"/>
    </w:pPr>
  </w:style>
  <w:style w:type="paragraph" w:customStyle="1" w:styleId="DATAAKTUdatauchwalenialubwydaniaaktu">
    <w:name w:val="DATA_AKTU – data uchwalenia lub wydania aktu"/>
    <w:next w:val="TYTUAKTUprzedmiotregulacjiustawylubrozporzdzenia"/>
    <w:pPr>
      <w:keepNext/>
      <w:widowControl w:val="0"/>
      <w:spacing w:before="120" w:after="120" w:line="360" w:lineRule="auto"/>
      <w:ind w:leftChars="-1" w:left="-1" w:hangingChars="1" w:hanging="1"/>
      <w:jc w:val="center"/>
      <w:textDirection w:val="btLr"/>
      <w:textAlignment w:val="top"/>
      <w:outlineLvl w:val="0"/>
    </w:pPr>
    <w:rPr>
      <w:bCs/>
      <w:position w:val="-1"/>
      <w:sz w:val="24"/>
      <w:szCs w:val="24"/>
    </w:rPr>
  </w:style>
  <w:style w:type="paragraph" w:customStyle="1" w:styleId="TYTUAKTUprzedmiotregulacjiustawylubrozporzdzenia">
    <w:name w:val="TYTUŁ_AKTU – przedmiot regulacji ustawy lub rozporządzenia"/>
    <w:next w:val="ARTartustawynprozporzdzenia"/>
    <w:pPr>
      <w:keepNext/>
      <w:widowControl w:val="0"/>
      <w:spacing w:before="120" w:after="360" w:line="360" w:lineRule="auto"/>
      <w:ind w:leftChars="-1" w:left="-1" w:hangingChars="1" w:hanging="1"/>
      <w:jc w:val="center"/>
      <w:textDirection w:val="btLr"/>
      <w:textAlignment w:val="top"/>
      <w:outlineLvl w:val="0"/>
    </w:pPr>
    <w:rPr>
      <w:b/>
      <w:bCs/>
      <w:position w:val="-1"/>
      <w:sz w:val="24"/>
      <w:szCs w:val="24"/>
    </w:rPr>
  </w:style>
  <w:style w:type="paragraph" w:customStyle="1" w:styleId="CZKSIGAoznaczenieiprzedmiotczcilubksigi">
    <w:name w:val="CZĘŚĆ(KSIĘGA) – oznaczenie i przedmiot części lub księgi"/>
    <w:next w:val="ARTartustawynprozporzdzenia"/>
    <w:pPr>
      <w:keepNext/>
      <w:widowControl w:val="0"/>
      <w:spacing w:before="120" w:line="360" w:lineRule="auto"/>
      <w:ind w:leftChars="-1" w:left="-1" w:hangingChars="1" w:hanging="1"/>
      <w:jc w:val="center"/>
      <w:textDirection w:val="btLr"/>
      <w:textAlignment w:val="top"/>
      <w:outlineLvl w:val="0"/>
    </w:pPr>
    <w:rPr>
      <w:b/>
      <w:bCs/>
      <w:caps/>
      <w:kern w:val="24"/>
      <w:position w:val="-1"/>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Pr>
      <w:bCs/>
    </w:rPr>
  </w:style>
  <w:style w:type="paragraph" w:customStyle="1" w:styleId="OZNRODZAKTUtznustawalubrozporzdzenieiorganwydajcy">
    <w:name w:val="OZN_RODZ_AKTU – tzn. ustawa lub rozporządzenie i organ wydający"/>
    <w:next w:val="DATAAKTUdatauchwalenialubwydaniaaktu"/>
    <w:pPr>
      <w:keepNext/>
      <w:widowControl w:val="0"/>
      <w:spacing w:after="120" w:line="360" w:lineRule="auto"/>
      <w:ind w:leftChars="-1" w:left="-1" w:hangingChars="1" w:hanging="1"/>
      <w:jc w:val="center"/>
      <w:textDirection w:val="btLr"/>
      <w:textAlignment w:val="top"/>
      <w:outlineLvl w:val="0"/>
    </w:pPr>
    <w:rPr>
      <w:b/>
      <w:bCs/>
      <w:caps/>
      <w:spacing w:val="54"/>
      <w:kern w:val="24"/>
      <w:position w:val="-1"/>
      <w:sz w:val="24"/>
      <w:szCs w:val="24"/>
    </w:rPr>
  </w:style>
  <w:style w:type="paragraph" w:customStyle="1" w:styleId="USTustnpkodeksu">
    <w:name w:val="UST(§) – ust. (§ np. kodeksu)"/>
    <w:basedOn w:val="ARTartustawynprozporzdzenia"/>
    <w:pPr>
      <w:spacing w:before="0"/>
    </w:pPr>
    <w:rPr>
      <w:bCs/>
    </w:rPr>
  </w:style>
  <w:style w:type="paragraph" w:customStyle="1" w:styleId="PKTpunkt">
    <w:name w:val="PKT – punkt"/>
    <w:pPr>
      <w:widowControl w:val="0"/>
      <w:suppressAutoHyphens/>
      <w:spacing w:line="360" w:lineRule="auto"/>
      <w:ind w:leftChars="-1" w:left="510" w:hangingChars="1" w:hanging="510"/>
      <w:jc w:val="both"/>
      <w:textDirection w:val="btLr"/>
      <w:textAlignment w:val="top"/>
      <w:outlineLvl w:val="0"/>
    </w:pPr>
    <w:rPr>
      <w:bCs/>
      <w:position w:val="-1"/>
      <w:sz w:val="24"/>
    </w:rPr>
  </w:style>
  <w:style w:type="paragraph" w:customStyle="1" w:styleId="CZWSPPKTczwsplnapunktw">
    <w:name w:val="CZ_WSP_PKT – część wspólna punktów"/>
    <w:basedOn w:val="PKTpunkt"/>
    <w:next w:val="USTustnpkodeksu"/>
    <w:pPr>
      <w:ind w:left="0" w:firstLine="0"/>
    </w:pPr>
  </w:style>
  <w:style w:type="paragraph" w:customStyle="1" w:styleId="LITlitera">
    <w:name w:val="LIT – litera"/>
    <w:basedOn w:val="PKTpunkt"/>
    <w:pPr>
      <w:ind w:left="986" w:hanging="476"/>
    </w:pPr>
  </w:style>
  <w:style w:type="paragraph" w:customStyle="1" w:styleId="CZWSPLITczwsplnaliter">
    <w:name w:val="CZ_WSP_LIT – część wspólna liter"/>
    <w:basedOn w:val="LITlitera"/>
    <w:next w:val="USTustnpkodeksu"/>
    <w:pPr>
      <w:ind w:left="510" w:firstLine="0"/>
    </w:pPr>
    <w:rPr>
      <w:szCs w:val="24"/>
    </w:rPr>
  </w:style>
  <w:style w:type="paragraph" w:customStyle="1" w:styleId="TIRtiret">
    <w:name w:val="TIR – tiret"/>
    <w:basedOn w:val="LITlitera"/>
    <w:pPr>
      <w:ind w:left="1384" w:hanging="397"/>
    </w:pPr>
  </w:style>
  <w:style w:type="paragraph" w:customStyle="1" w:styleId="CZWSPTIRczwsplnatiret">
    <w:name w:val="CZ_WSP_TIR – część wspólna tiret"/>
    <w:basedOn w:val="TIRtiret"/>
    <w:next w:val="USTustnpkodeksu"/>
    <w:pPr>
      <w:ind w:left="987" w:firstLine="0"/>
    </w:pPr>
  </w:style>
  <w:style w:type="paragraph" w:customStyle="1" w:styleId="CYTcytatnpprzysigi">
    <w:name w:val="CYT – cytat np. przysięgi"/>
    <w:basedOn w:val="USTustnpkodeksu"/>
    <w:next w:val="USTustnpkodeksu"/>
    <w:pPr>
      <w:ind w:left="510" w:right="510" w:firstLine="0"/>
      <w:mirrorIndents/>
    </w:pPr>
  </w:style>
  <w:style w:type="paragraph" w:customStyle="1" w:styleId="ROZDZODDZPRZEDMprzedmiotregulacjirozdziauluboddziau">
    <w:name w:val="ROZDZ(ODDZ)_PRZEDM – przedmiot regulacji rozdziału lub oddziału"/>
    <w:next w:val="ARTartustawynprozporzdzenia"/>
    <w:pPr>
      <w:keepNext/>
      <w:widowControl w:val="0"/>
      <w:spacing w:before="120" w:line="360" w:lineRule="auto"/>
      <w:ind w:leftChars="-1" w:left="-1" w:hangingChars="1" w:hanging="1"/>
      <w:jc w:val="center"/>
      <w:textDirection w:val="btLr"/>
      <w:textAlignment w:val="top"/>
      <w:outlineLvl w:val="0"/>
    </w:pPr>
    <w:rPr>
      <w:b/>
      <w:bCs/>
      <w:position w:val="-1"/>
      <w:sz w:val="24"/>
      <w:szCs w:val="24"/>
    </w:rPr>
  </w:style>
  <w:style w:type="paragraph" w:customStyle="1" w:styleId="ZLITzmlitartykuempunktem">
    <w:name w:val="Z/LIT – zm. lit. artykułem (punktem)"/>
    <w:basedOn w:val="LITlitera"/>
  </w:style>
  <w:style w:type="paragraph" w:customStyle="1" w:styleId="ZLITCZWSPTIRwLITzmczciwsptirwlitliter">
    <w:name w:val="Z_LIT/CZ_WSP_TIR_w_LIT – zm. części wsp. tir. w lit. literą"/>
    <w:basedOn w:val="CZWSPTIRczwsplnatiret"/>
    <w:next w:val="LITlitera"/>
    <w:pPr>
      <w:ind w:left="1463"/>
    </w:pPr>
  </w:style>
  <w:style w:type="paragraph" w:customStyle="1" w:styleId="ZLITTIRwLITzmtirwlitliter">
    <w:name w:val="Z_LIT/TIR_w_LIT – zm. tir. w lit. literą"/>
    <w:basedOn w:val="TIRtiret"/>
    <w:pPr>
      <w:ind w:left="1860"/>
    </w:pPr>
  </w:style>
  <w:style w:type="paragraph" w:customStyle="1" w:styleId="TYTDZOZNoznaczenietytuulubdziau">
    <w:name w:val="TYT(DZ)_OZN – oznaczenie tytułu lub działu"/>
    <w:next w:val="Normalny"/>
    <w:pPr>
      <w:keepNext/>
      <w:widowControl w:val="0"/>
      <w:suppressAutoHyphens/>
      <w:spacing w:before="120" w:line="360" w:lineRule="auto"/>
      <w:ind w:leftChars="-1" w:left="-1" w:hangingChars="1" w:hanging="1"/>
      <w:jc w:val="center"/>
      <w:textDirection w:val="btLr"/>
      <w:textAlignment w:val="top"/>
      <w:outlineLvl w:val="0"/>
    </w:pPr>
    <w:rPr>
      <w:bCs/>
      <w:caps/>
      <w:kern w:val="24"/>
      <w:position w:val="-1"/>
      <w:sz w:val="24"/>
      <w:szCs w:val="24"/>
    </w:rPr>
  </w:style>
  <w:style w:type="paragraph" w:customStyle="1" w:styleId="ZWMATFIZCHEMzmwzorumatfizlubchemartykuempunktem">
    <w:name w:val="Z/W_MAT(FIZ|CHEM) – zm. wzoru mat. (fiz. lub chem.) artykułem (punktem)"/>
    <w:basedOn w:val="WMATFIZCHEMwzrmatfizlubchem"/>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pPr>
      <w:spacing w:before="0"/>
      <w:ind w:left="510"/>
    </w:pPr>
  </w:style>
  <w:style w:type="paragraph" w:customStyle="1" w:styleId="ZTYTDZPRZEDMzmprzedmtytuulubdziauartykuempunktem">
    <w:name w:val="Z/TYT(DZ)_PRZEDM – zm. przedm. tytułu lub działu artykułem (punktem)"/>
    <w:next w:val="ZARTzmartartykuempunktem"/>
    <w:pPr>
      <w:keepNext/>
      <w:widowControl w:val="0"/>
      <w:spacing w:line="360" w:lineRule="auto"/>
      <w:ind w:leftChars="-1" w:left="510" w:hangingChars="1" w:hanging="1"/>
      <w:jc w:val="center"/>
      <w:textDirection w:val="btLr"/>
      <w:textAlignment w:val="top"/>
      <w:outlineLvl w:val="0"/>
    </w:pPr>
    <w:rPr>
      <w:position w:val="-1"/>
      <w:sz w:val="24"/>
      <w:szCs w:val="26"/>
    </w:rPr>
  </w:style>
  <w:style w:type="paragraph" w:customStyle="1" w:styleId="ZTIRzmtirartykuempunktem">
    <w:name w:val="Z/TIR – zm. tir. artykułem (punktem)"/>
    <w:basedOn w:val="TIRtiret"/>
    <w:next w:val="PKTpunkt"/>
    <w:pPr>
      <w:ind w:left="907"/>
    </w:pPr>
  </w:style>
  <w:style w:type="paragraph" w:customStyle="1" w:styleId="ZCZWSPPKTzmczciwsppktartykuempunktem">
    <w:name w:val="Z/CZ_WSP_PKT – zm. części wsp. pkt artykułem (punktem)"/>
    <w:basedOn w:val="CZWSPPKTczwsplnapunktw"/>
    <w:next w:val="ZARTzmartartykuempunktem"/>
    <w:pPr>
      <w:ind w:left="510"/>
    </w:pPr>
  </w:style>
  <w:style w:type="paragraph" w:customStyle="1" w:styleId="ZZLITzmianazmlit">
    <w:name w:val="ZZ/LIT – zmiana zm. lit."/>
    <w:basedOn w:val="ZZPKTzmianazmpkt"/>
    <w:pPr>
      <w:ind w:left="2370" w:hanging="476"/>
    </w:pPr>
  </w:style>
  <w:style w:type="paragraph" w:customStyle="1" w:styleId="ZZTIRzmianazmtir">
    <w:name w:val="ZZ/TIR – zmiana zm. tir."/>
    <w:basedOn w:val="ZZLITzmianazmlit"/>
    <w:pPr>
      <w:ind w:left="2291" w:hanging="397"/>
    </w:pPr>
  </w:style>
  <w:style w:type="paragraph" w:customStyle="1" w:styleId="ZROZDZODDZOZNzmoznrozdzoddzartykuempunktem">
    <w:name w:val="Z/ROZDZ(ODDZ)_OZN – zm. ozn. rozdz. (oddz.) artykułem (punktem)"/>
    <w:next w:val="ZROZDZODDZPRZEDMzmprzedmrozdzoddzartykuempunktem"/>
    <w:pPr>
      <w:keepNext/>
      <w:widowControl w:val="0"/>
      <w:spacing w:line="360" w:lineRule="auto"/>
      <w:ind w:leftChars="-1" w:left="510" w:hangingChars="1" w:hanging="1"/>
      <w:jc w:val="center"/>
      <w:textDirection w:val="btLr"/>
      <w:textAlignment w:val="top"/>
      <w:outlineLvl w:val="0"/>
    </w:pPr>
    <w:rPr>
      <w:bCs/>
      <w:kern w:val="24"/>
      <w:position w:val="-1"/>
      <w:sz w:val="24"/>
      <w:szCs w:val="24"/>
    </w:rPr>
  </w:style>
  <w:style w:type="paragraph" w:customStyle="1" w:styleId="ZLITUSTzmustliter">
    <w:name w:val="Z_LIT/UST(§) – zm. ust. (§) literą"/>
    <w:basedOn w:val="USTustnpkodeksu"/>
    <w:pPr>
      <w:ind w:left="987"/>
    </w:pPr>
  </w:style>
  <w:style w:type="paragraph" w:customStyle="1" w:styleId="ZLITPKTzmpktliter">
    <w:name w:val="Z_LIT/PKT – zm. pkt literą"/>
    <w:basedOn w:val="PKTpunkt"/>
    <w:pPr>
      <w:ind w:left="1497"/>
    </w:pPr>
  </w:style>
  <w:style w:type="paragraph" w:customStyle="1" w:styleId="ZZCZWSPPKTzmianazmczciwsppkt">
    <w:name w:val="ZZ/CZ_WSP_PKT – zmiana. zm. części wsp. pkt"/>
    <w:basedOn w:val="ZZARTzmianazmart"/>
    <w:next w:val="ZPKTzmpktartykuempunktem"/>
    <w:pPr>
      <w:ind w:firstLine="0"/>
    </w:pPr>
  </w:style>
  <w:style w:type="paragraph" w:customStyle="1" w:styleId="ZLITLITzmlitliter">
    <w:name w:val="Z_LIT/LIT – zm. lit. literą"/>
    <w:basedOn w:val="LITlitera"/>
    <w:pPr>
      <w:ind w:left="1463"/>
    </w:pPr>
  </w:style>
  <w:style w:type="paragraph" w:customStyle="1" w:styleId="ZLITCZWSPPKTzmczciwsppktliter">
    <w:name w:val="Z_LIT/CZ_WSP_PKT – zm. części wsp. pkt literą"/>
    <w:basedOn w:val="CZWSPLITczwsplnaliter"/>
    <w:next w:val="LITlitera"/>
    <w:pPr>
      <w:ind w:left="987"/>
    </w:pPr>
  </w:style>
  <w:style w:type="paragraph" w:customStyle="1" w:styleId="ZLITTIRzmtirliter">
    <w:name w:val="Z_LIT/TIR – zm. tir. literą"/>
    <w:basedOn w:val="TIRtiret"/>
  </w:style>
  <w:style w:type="paragraph" w:customStyle="1" w:styleId="ZZCZWSPLITwPKTzmianazmczciwsplitwpkt">
    <w:name w:val="ZZ/CZ_WSP_LIT_w_PKT – zmiana zm. części wsp. lit. w pkt"/>
    <w:basedOn w:val="ZZLITwPKTzmianazmlitwpkt"/>
    <w:pPr>
      <w:ind w:left="2404" w:firstLine="0"/>
    </w:pPr>
  </w:style>
  <w:style w:type="paragraph" w:customStyle="1" w:styleId="ZLITLITwPKTzmlitwpktliter">
    <w:name w:val="Z_LIT/LIT_w_PKT – zm. lit. w pkt literą"/>
    <w:basedOn w:val="LITlitera"/>
    <w:pPr>
      <w:ind w:left="1973"/>
    </w:pPr>
  </w:style>
  <w:style w:type="paragraph" w:customStyle="1" w:styleId="ZLITCZWSPLITwPKTzmczciwsplitwpktliter">
    <w:name w:val="Z_LIT/CZ_WSP_LIT_w_PKT – zm. części wsp. lit. w pkt literą"/>
    <w:basedOn w:val="CZWSPLITczwsplnaliter"/>
    <w:next w:val="LITlitera"/>
    <w:pPr>
      <w:ind w:left="1497"/>
    </w:pPr>
  </w:style>
  <w:style w:type="paragraph" w:customStyle="1" w:styleId="ZLITTIRwPKTzmtirwpktliter">
    <w:name w:val="Z_LIT/TIR_w_PKT – zm. tir. w pkt literą"/>
    <w:basedOn w:val="TIRtiret"/>
    <w:pPr>
      <w:ind w:left="2370"/>
    </w:pPr>
  </w:style>
  <w:style w:type="paragraph" w:customStyle="1" w:styleId="ZLITCZWSPTIRwPKTzmczciwsptirwpktliter">
    <w:name w:val="Z_LIT/CZ_WSP_TIR_w_PKT – zm. części wsp. tir. w pkt literą"/>
    <w:basedOn w:val="CZWSPTIRczwsplnatiret"/>
    <w:next w:val="LITlitera"/>
    <w:pPr>
      <w:ind w:left="1973"/>
    </w:pPr>
  </w:style>
  <w:style w:type="paragraph" w:styleId="Tekstprzypisudolnego">
    <w:name w:val="footnote text"/>
    <w:basedOn w:val="Normalny"/>
    <w:rPr>
      <w:rFonts w:ascii="Times" w:hAnsi="Times"/>
      <w:szCs w:val="24"/>
    </w:rPr>
  </w:style>
  <w:style w:type="character" w:customStyle="1" w:styleId="TekstprzypisudolnegoZnak">
    <w:name w:val="Tekst przypisu dolnego Znak"/>
    <w:rPr>
      <w:w w:val="100"/>
      <w:position w:val="-1"/>
      <w:sz w:val="20"/>
      <w:effect w:val="none"/>
      <w:vertAlign w:val="baseline"/>
      <w:cs w:val="0"/>
      <w:em w:val="none"/>
    </w:rPr>
  </w:style>
  <w:style w:type="paragraph" w:customStyle="1" w:styleId="ZTIRLITzmlittiret">
    <w:name w:val="Z_TIR/LIT – zm. lit. tiret"/>
    <w:basedOn w:val="LITlitera"/>
    <w:pPr>
      <w:ind w:left="1859"/>
    </w:pPr>
  </w:style>
  <w:style w:type="paragraph" w:customStyle="1" w:styleId="ZTIRCZWSPPKTzmczciwsppkttiret">
    <w:name w:val="Z_TIR/CZ_WSP_PKT – zm. części wsp. pkt tiret"/>
    <w:basedOn w:val="CZWSPLITczwsplnaliter"/>
    <w:next w:val="TIRtiret"/>
    <w:pPr>
      <w:ind w:left="1383"/>
    </w:pPr>
  </w:style>
  <w:style w:type="paragraph" w:customStyle="1" w:styleId="ZTIRTIRzmtirtiret">
    <w:name w:val="Z_TIR/TIR – zm. tir. tiret"/>
    <w:basedOn w:val="TIRtiret"/>
    <w:pPr>
      <w:ind w:left="1780"/>
    </w:pPr>
  </w:style>
  <w:style w:type="paragraph" w:customStyle="1" w:styleId="ZZCZWSPTIRwPKTzmianazmczciwsptirwpkt">
    <w:name w:val="ZZ/CZ_WSP_TIR_w_PKT – zmiana zm. części wsp. tir. w pkt"/>
    <w:basedOn w:val="ZZTIRwPKTzmianazmtirwpkt"/>
    <w:pPr>
      <w:ind w:left="2880" w:firstLine="0"/>
    </w:pPr>
  </w:style>
  <w:style w:type="paragraph" w:customStyle="1" w:styleId="ZZTIRwLITzmianazmtirwlit">
    <w:name w:val="ZZ/TIR_w_LIT – zmiana zm. tir. w lit."/>
    <w:basedOn w:val="ZZTIRzmianazmtir"/>
    <w:pPr>
      <w:ind w:left="2767"/>
    </w:pPr>
  </w:style>
  <w:style w:type="paragraph" w:customStyle="1" w:styleId="ZTIRTIRwLITzmtirwlittiret">
    <w:name w:val="Z_TIR/TIR_w_LIT – zm. tir. w lit. tiret"/>
    <w:basedOn w:val="TIRtiret"/>
    <w:pPr>
      <w:ind w:left="2257"/>
    </w:pPr>
  </w:style>
  <w:style w:type="paragraph" w:customStyle="1" w:styleId="ZTIRCZWSPTIRwLITzmczciwsptirwlittiret">
    <w:name w:val="Z_TIR/CZ_WSP_TIR_w_LIT – zm. części wsp. tir. w lit. tiret"/>
    <w:basedOn w:val="CZWSPTIRczwsplnatiret"/>
    <w:next w:val="TIRtiret"/>
    <w:pPr>
      <w:ind w:left="1860"/>
    </w:pPr>
  </w:style>
  <w:style w:type="paragraph" w:customStyle="1" w:styleId="CZWSP2TIRczwsplnapodwjnychtiret">
    <w:name w:val="CZ_WSP_2TIR – część wspólna podwójnych tiret"/>
    <w:basedOn w:val="CZWSPTIRczwsplnatiret"/>
    <w:next w:val="TIRtiret"/>
    <w:pPr>
      <w:ind w:left="1780"/>
    </w:pPr>
  </w:style>
  <w:style w:type="paragraph" w:customStyle="1" w:styleId="Z2TIRzmpodwtirartykuempunktem">
    <w:name w:val="Z/2TIR – zm. podw. tir. artykułem (punktem)"/>
    <w:basedOn w:val="TIRtiret"/>
    <w:pPr>
      <w:ind w:left="907"/>
    </w:pPr>
  </w:style>
  <w:style w:type="paragraph" w:customStyle="1" w:styleId="ZZCZWSPTIRwLITzmianazmczciwsptirwlit">
    <w:name w:val="ZZ/CZ_WSP_TIR_w_LIT – zmiana zm. części wsp. tir. w lit."/>
    <w:basedOn w:val="ZZTIRwLITzmianazmtirwlit"/>
    <w:pPr>
      <w:ind w:left="2370" w:firstLine="0"/>
    </w:pPr>
  </w:style>
  <w:style w:type="paragraph" w:customStyle="1" w:styleId="ZLIT2TIRzmpodwtirliter">
    <w:name w:val="Z_LIT/2TIR – zm. podw. tir. literą"/>
    <w:basedOn w:val="TIRtiret"/>
  </w:style>
  <w:style w:type="paragraph" w:customStyle="1" w:styleId="ZTIR2TIRzmpodwtirtiret">
    <w:name w:val="Z_TIR/2TIR – zm. podw. tir. tiret"/>
    <w:basedOn w:val="TIRtiret"/>
    <w:pPr>
      <w:ind w:left="1780"/>
    </w:pPr>
  </w:style>
  <w:style w:type="paragraph" w:customStyle="1" w:styleId="Z2TIRCZWSPLITzmczciwsplitpodwjnymtiret">
    <w:name w:val="Z_2TIR/CZ_WSP_LIT – zm. części wsp. lit. podwójnym tiret"/>
    <w:basedOn w:val="CZWSPTIRczwsplnatiret"/>
    <w:next w:val="2TIRpodwjnytiret"/>
    <w:pPr>
      <w:ind w:left="1780"/>
    </w:pPr>
  </w:style>
  <w:style w:type="paragraph" w:customStyle="1" w:styleId="Z2TIRwPKTzmpodwtirwpktartykuempunktem">
    <w:name w:val="Z/2TIR_w_PKT – zm. podw. tir. w pkt artykułem (punktem)"/>
    <w:basedOn w:val="TIRtiret"/>
    <w:next w:val="ZPKTzmpktartykuempunktem"/>
    <w:pPr>
      <w:ind w:left="2291"/>
    </w:pPr>
  </w:style>
  <w:style w:type="paragraph" w:customStyle="1" w:styleId="ZTIRPKTzmpkttiret">
    <w:name w:val="Z_TIR/PKT – zm. pkt tiret"/>
    <w:basedOn w:val="PKTpunkt"/>
    <w:pPr>
      <w:ind w:left="1893"/>
    </w:pPr>
  </w:style>
  <w:style w:type="paragraph" w:customStyle="1" w:styleId="ZTIRLITwPKTzmlitwpkttiret">
    <w:name w:val="Z_TIR/LIT_w_PKT – zm. lit. w pkt tiret"/>
    <w:basedOn w:val="LITlitera"/>
    <w:pPr>
      <w:ind w:left="2336"/>
    </w:pPr>
  </w:style>
  <w:style w:type="paragraph" w:customStyle="1" w:styleId="ZTIRCZWSPLITwPKTzmczciwsplitwpkttiret">
    <w:name w:val="Z_TIR/CZ_WSP_LIT_w_PKT – zm. części wsp. lit. w pkt tiret"/>
    <w:basedOn w:val="CZWSPLITczwsplnaliter"/>
    <w:pPr>
      <w:ind w:left="1860"/>
    </w:pPr>
  </w:style>
  <w:style w:type="paragraph" w:customStyle="1" w:styleId="ZTIR2TIRwLITzmpodwtirwlittiret">
    <w:name w:val="Z_TIR/2TIR_w_LIT – zm. podw. tir. w lit. tiret"/>
    <w:basedOn w:val="TIRtiret"/>
    <w:pPr>
      <w:ind w:left="2654"/>
    </w:pPr>
  </w:style>
  <w:style w:type="paragraph" w:customStyle="1" w:styleId="ZTIRCZWSP2TIRwLITzmczciwsppodwtirwlittiret">
    <w:name w:val="Z_TIR/CZ_WSP_2TIR_w_LIT – zm. części wsp. podw. tir. w lit. tiret"/>
    <w:basedOn w:val="CZWSPTIRczwsplnatiret"/>
    <w:next w:val="TIRtiret"/>
    <w:pPr>
      <w:ind w:left="2257"/>
    </w:pPr>
  </w:style>
  <w:style w:type="paragraph" w:customStyle="1" w:styleId="ZTIR2TIRwTIRzmpodwtirwtirtiret">
    <w:name w:val="Z_TIR/2TIR_w_TIR – zm. podw. tir. w tir. tiret"/>
    <w:basedOn w:val="TIRtiret"/>
    <w:pPr>
      <w:ind w:left="2177"/>
    </w:pPr>
  </w:style>
  <w:style w:type="paragraph" w:customStyle="1" w:styleId="ZTIRCZWSP2TIRwTIRzmczciwsppodwtirwtirtiret">
    <w:name w:val="Z_TIR/CZ_WSP_2TIR_w_TIR – zm. części wsp. podw. tir. w tir. tiret"/>
    <w:basedOn w:val="CZWSPTIRczwsplnatiret"/>
    <w:pPr>
      <w:ind w:left="1780"/>
    </w:pPr>
  </w:style>
  <w:style w:type="paragraph" w:customStyle="1" w:styleId="Z2TIRLITzmlitpodwjnymtiret">
    <w:name w:val="Z_2TIR/LIT – zm. lit. podwójnym tiret"/>
    <w:basedOn w:val="LITlitera"/>
    <w:pPr>
      <w:ind w:left="2256"/>
    </w:pPr>
  </w:style>
  <w:style w:type="paragraph" w:customStyle="1" w:styleId="ZZ2TIRwTIRzmianazmpodwtirwtir">
    <w:name w:val="ZZ/2TIR_w_TIR – zmiana zm. podw. tir. w tir."/>
    <w:basedOn w:val="ZZCZWSP2TIRzmianazmczciwsppodwtir"/>
    <w:pPr>
      <w:ind w:left="2688" w:hanging="397"/>
    </w:pPr>
  </w:style>
  <w:style w:type="paragraph" w:customStyle="1" w:styleId="ZZ2TIRwLITzmianazmpodwtirwlit">
    <w:name w:val="ZZ/2TIR_w_LIT – zmiana zm. podw. tir. w lit."/>
    <w:basedOn w:val="ZZ2TIRwTIRzmianazmpodwtirwtir"/>
    <w:pPr>
      <w:ind w:left="3164"/>
    </w:pPr>
  </w:style>
  <w:style w:type="paragraph" w:customStyle="1" w:styleId="Z2TIRTIRwLITzmtirwlitpodwjnymtiret">
    <w:name w:val="Z_2TIR/TIR_w_LIT – zm. tir. w lit. podwójnym tiret"/>
    <w:basedOn w:val="TIRtiret"/>
    <w:pPr>
      <w:ind w:left="2654"/>
    </w:pPr>
  </w:style>
  <w:style w:type="paragraph" w:customStyle="1" w:styleId="Z2TIRCZWSPTIRwLITzmczciwsptirwlitpodwjnymtiret">
    <w:name w:val="Z_2TIR/CZ_WSP_TIR_w_LIT – zm. części wsp. tir. w lit. podwójnym tiret"/>
    <w:basedOn w:val="CZWSPTIRczwsplnatiret"/>
    <w:next w:val="2TIRpodwjnytiret"/>
    <w:pPr>
      <w:ind w:left="2257"/>
    </w:pPr>
  </w:style>
  <w:style w:type="paragraph" w:customStyle="1" w:styleId="ZZ2TIRwPKTzmianazmpodwtirwpkt">
    <w:name w:val="ZZ/2TIR_w_PKT – zmiana zm. podw. tir. w pkt"/>
    <w:basedOn w:val="ZZ2TIRwLITzmianazmpodwtirwlit"/>
    <w:pPr>
      <w:ind w:left="3674"/>
    </w:pPr>
  </w:style>
  <w:style w:type="paragraph" w:customStyle="1" w:styleId="ZZCZWSP2TIRwTIRzmianazmczciwsppodwtirwtir">
    <w:name w:val="ZZ/CZ_WSP_2TIR_w_TIR – zmiana zm. części wsp. podw. tir. w tir."/>
    <w:basedOn w:val="ZZ2TIRwLITzmianazmpodwtirwlit"/>
    <w:pPr>
      <w:ind w:left="2291" w:firstLine="0"/>
    </w:pPr>
  </w:style>
  <w:style w:type="paragraph" w:customStyle="1" w:styleId="Z2TIR2TIRwTIRzmpodwtirwtirpodwjnymtiret">
    <w:name w:val="Z_2TIR/2TIR_w_TIR – zm. podw. tir. w tir. podwójnym tiret"/>
    <w:basedOn w:val="TIRtiret"/>
    <w:pPr>
      <w:ind w:left="2574"/>
    </w:pPr>
  </w:style>
  <w:style w:type="paragraph" w:customStyle="1" w:styleId="Z2TIRCZWSP2TIRwTIRzmczciwsppodwtirwtiretpodwjnymtiret">
    <w:name w:val="Z_2TIR/CZ_WSP_2TIR_w_TIR – zm. części wsp. podw. tir. w tiret podwójnym tiret"/>
    <w:basedOn w:val="CZWSPTIRczwsplnatiret"/>
    <w:next w:val="2TIRpodwjnytiret"/>
    <w:pPr>
      <w:ind w:left="2177"/>
    </w:pPr>
  </w:style>
  <w:style w:type="paragraph" w:customStyle="1" w:styleId="Z2TIR2TIRwLITzmpodwtirwlitpodwjnymtiret">
    <w:name w:val="Z_2TIR/2TIR_w_LIT – zm. podw. tir. w lit. podwójnym tiret"/>
    <w:basedOn w:val="TIRtiret"/>
    <w:pPr>
      <w:ind w:left="3051"/>
    </w:pPr>
  </w:style>
  <w:style w:type="paragraph" w:customStyle="1" w:styleId="Z2TIRCZWSP2TIRwLITzmczciwsppodwtirwlitpodwjnymtiret">
    <w:name w:val="Z_2TIR/CZ_WSP_2TIR_w_LIT – zm. części wsp. podw. tir. w lit. podwójnym tiret"/>
    <w:basedOn w:val="CZWSPTIRczwsplnatiret"/>
    <w:next w:val="2TIRpodwjnytiret"/>
    <w:pPr>
      <w:ind w:left="2654"/>
    </w:pPr>
  </w:style>
  <w:style w:type="paragraph" w:customStyle="1" w:styleId="ZCZCIKSIGIzmozniprzedmczciksigiartykuempunktem">
    <w:name w:val="Z/CZĘŚCI(KSIĘGI) – zm. ozn. i przedm. części (księgi) artykułem (punktem)"/>
    <w:basedOn w:val="CZKSIGAoznaczenieiprzedmiotczcilubksigi"/>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pPr>
      <w:spacing w:after="120"/>
      <w:ind w:left="510"/>
    </w:pPr>
    <w:rPr>
      <w:b w:val="0"/>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rFonts w:ascii="Times" w:hAnsi="Times"/>
      <w:szCs w:val="24"/>
    </w:rPr>
  </w:style>
  <w:style w:type="character" w:customStyle="1" w:styleId="TekstkomentarzaZnak">
    <w:name w:val="Tekst komentarza Znak"/>
    <w:rPr>
      <w:w w:val="100"/>
      <w:position w:val="-1"/>
      <w:sz w:val="20"/>
      <w:effect w:val="none"/>
      <w:vertAlign w:val="baseline"/>
      <w:cs w:val="0"/>
      <w:em w:val="none"/>
    </w:rPr>
  </w:style>
  <w:style w:type="paragraph" w:styleId="Tematkomentarza">
    <w:name w:val="annotation subject"/>
    <w:basedOn w:val="Tekstkomentarza"/>
    <w:next w:val="Tekstkomentarza"/>
    <w:rPr>
      <w:b/>
      <w:bCs/>
    </w:rPr>
  </w:style>
  <w:style w:type="character" w:customStyle="1" w:styleId="TematkomentarzaZnak">
    <w:name w:val="Temat komentarza Znak"/>
    <w:rPr>
      <w:b/>
      <w:bCs/>
      <w:w w:val="100"/>
      <w:position w:val="-1"/>
      <w:sz w:val="20"/>
      <w:effect w:val="none"/>
      <w:vertAlign w:val="baseline"/>
      <w:cs w:val="0"/>
      <w:em w:val="none"/>
    </w:rPr>
  </w:style>
  <w:style w:type="paragraph" w:customStyle="1" w:styleId="ZZARTzmianazmart">
    <w:name w:val="ZZ/ART(§) – zmiana zm. art. (§)"/>
    <w:basedOn w:val="ZARTzmartartykuempunktem"/>
    <w:pPr>
      <w:ind w:left="1894"/>
    </w:pPr>
  </w:style>
  <w:style w:type="paragraph" w:customStyle="1" w:styleId="ZZPKTzmianazmpkt">
    <w:name w:val="ZZ/PKT – zmiana zm. pkt"/>
    <w:basedOn w:val="ZPKTzmpktartykuempunktem"/>
    <w:pPr>
      <w:ind w:left="2404"/>
    </w:pPr>
  </w:style>
  <w:style w:type="paragraph" w:customStyle="1" w:styleId="ZZLITwPKTzmianazmlitwpkt">
    <w:name w:val="ZZ/LIT_w_PKT – zmiana zm. lit. w pkt"/>
    <w:basedOn w:val="ZLITwPKTzmlitwpktartykuempunktem"/>
    <w:pPr>
      <w:ind w:left="2880"/>
    </w:pPr>
  </w:style>
  <w:style w:type="paragraph" w:customStyle="1" w:styleId="ZZTIRwPKTzmianazmtirwpkt">
    <w:name w:val="ZZ/TIR_w_PKT – zmiana zm. tir. w pkt"/>
    <w:basedOn w:val="ZTIRwPKTzmtirwpktartykuempunktem"/>
    <w:pPr>
      <w:ind w:left="3277"/>
    </w:pPr>
  </w:style>
  <w:style w:type="paragraph" w:customStyle="1" w:styleId="ZZWMATFIZCHEMzmwzorumatfizlubchem">
    <w:name w:val="ZZ/W_MAT(FIZ|CHEM) – zm. wzoru mat. (fiz. lub chem.)"/>
    <w:basedOn w:val="ZWMATFIZCHEMzmwzorumatfizlubchemartykuempunktem"/>
    <w:pPr>
      <w:ind w:left="2404"/>
    </w:pPr>
  </w:style>
  <w:style w:type="paragraph" w:customStyle="1" w:styleId="ODNONIKtreodnonika">
    <w:name w:val="ODNOŚNIK – treść odnośnika"/>
    <w:pPr>
      <w:widowControl w:val="0"/>
      <w:suppressAutoHyphens/>
      <w:spacing w:line="1" w:lineRule="atLeast"/>
      <w:ind w:leftChars="-1" w:left="284" w:hangingChars="1" w:hanging="284"/>
      <w:jc w:val="both"/>
      <w:textDirection w:val="btLr"/>
      <w:textAlignment w:val="top"/>
      <w:outlineLvl w:val="0"/>
    </w:pPr>
    <w:rPr>
      <w:position w:val="-1"/>
    </w:rPr>
  </w:style>
  <w:style w:type="paragraph" w:customStyle="1" w:styleId="ZFRAGzmfragmentunpzdaniaartykuempunktem">
    <w:name w:val="Z/FRAG – zm. fragmentu (np. zdania) artykułem (punktem)"/>
    <w:basedOn w:val="ZARTzmartartykuempunktem"/>
    <w:next w:val="PKTpunkt"/>
    <w:pPr>
      <w:ind w:firstLine="0"/>
    </w:pPr>
    <w:rPr>
      <w:rFonts w:cs="Arial"/>
    </w:rPr>
  </w:style>
  <w:style w:type="paragraph" w:customStyle="1" w:styleId="ZLITFRAGzmlitfragmentunpzdanialiter">
    <w:name w:val="Z_LIT/FRAG – zm. lit. fragmentu (np. zdania) literą"/>
    <w:basedOn w:val="ZLITUSTzmustliter"/>
    <w:next w:val="LITlitera"/>
    <w:pPr>
      <w:ind w:firstLine="0"/>
    </w:pPr>
    <w:rPr>
      <w:rFonts w:cs="Arial"/>
    </w:rPr>
  </w:style>
  <w:style w:type="paragraph" w:customStyle="1" w:styleId="ZTIRFRAGMzmnpwprdowyliczeniatiret">
    <w:name w:val="Z_TIR/FRAGM – zm. np. wpr. do wyliczenia tiret"/>
    <w:basedOn w:val="ZTIRCZWSPPKTzmczciwsppkttiret"/>
    <w:next w:val="TIRtiret"/>
    <w:rPr>
      <w:rFonts w:cs="Arial"/>
    </w:rPr>
  </w:style>
  <w:style w:type="paragraph" w:customStyle="1" w:styleId="ZTIRTIRwPKTzmtirwpkttiret">
    <w:name w:val="Z_TIR/TIR_w_PKT – zm. tir. w pkt tiret"/>
    <w:basedOn w:val="ZTIRTIRwLITzmtirwlittiret"/>
    <w:pPr>
      <w:ind w:left="2733"/>
    </w:pPr>
  </w:style>
  <w:style w:type="paragraph" w:customStyle="1" w:styleId="ZTIRCZWSPTIRwPKTzmczciwsptirtiret">
    <w:name w:val="Z_TIR/CZ_WSP_TIR_w_PKT – zm. części wsp. tir. tiret"/>
    <w:basedOn w:val="ZTIRTIRwPKTzmtirwpkttiret"/>
    <w:next w:val="TIRtiret"/>
    <w:pPr>
      <w:ind w:left="2336" w:firstLine="0"/>
    </w:pPr>
  </w:style>
  <w:style w:type="paragraph" w:customStyle="1" w:styleId="SKARNsankcjakarnawszczeglnociwKodeksiekarnym">
    <w:name w:val="S_KARN – sankcja karna w szczególności w Kodeksie karnym"/>
    <w:basedOn w:val="USTustnpkodeksu"/>
    <w:next w:val="ARTartustawynprozporzdzenia"/>
    <w:pPr>
      <w:ind w:left="510" w:firstLine="0"/>
    </w:pPr>
  </w:style>
  <w:style w:type="paragraph" w:customStyle="1" w:styleId="ROZDZODDZOZNoznaczenierozdziauluboddziau">
    <w:name w:val="ROZDZ(ODDZ)_OZN – oznaczenie rozdziału lub oddziału"/>
    <w:next w:val="ARTartustawynprozporzdzenia"/>
    <w:pPr>
      <w:keepNext/>
      <w:widowControl w:val="0"/>
      <w:spacing w:before="120" w:line="360" w:lineRule="auto"/>
      <w:ind w:leftChars="-1" w:left="-1" w:hangingChars="1" w:hanging="1"/>
      <w:jc w:val="center"/>
      <w:textDirection w:val="btLr"/>
      <w:textAlignment w:val="top"/>
      <w:outlineLvl w:val="0"/>
    </w:pPr>
    <w:rPr>
      <w:bCs/>
      <w:kern w:val="24"/>
      <w:position w:val="-1"/>
      <w:sz w:val="24"/>
      <w:szCs w:val="24"/>
    </w:rPr>
  </w:style>
  <w:style w:type="paragraph" w:customStyle="1" w:styleId="Z2TIR2TIRzmpodwtirpodwjnymtiret">
    <w:name w:val="Z_2TIR/2TIR – zm. podw. tir. podwójnym tiret"/>
    <w:basedOn w:val="TIRtiret"/>
    <w:pPr>
      <w:ind w:left="2177"/>
    </w:pPr>
  </w:style>
  <w:style w:type="paragraph" w:customStyle="1" w:styleId="Z2TIRTIRzmtirpodwjnymtiret">
    <w:name w:val="Z_2TIR/TIR – zm. tir. podwójnym tiret"/>
    <w:basedOn w:val="TIRtiret"/>
    <w:pPr>
      <w:ind w:left="2177"/>
    </w:pPr>
  </w:style>
  <w:style w:type="paragraph" w:customStyle="1" w:styleId="ZSKARNzmsankcjikarnejwszczeglnociwKodeksiekarnym">
    <w:name w:val="Z/S_KARN – zm. sankcji karnej w szczególności w Kodeksie karnym"/>
    <w:basedOn w:val="SKARNsankcjakarnawszczeglnociwKodeksiekarnym"/>
    <w:next w:val="PKTpunkt"/>
    <w:pPr>
      <w:ind w:left="1021"/>
    </w:pPr>
  </w:style>
  <w:style w:type="paragraph" w:customStyle="1" w:styleId="ZLITSKARNzmsankcjikarnejliter">
    <w:name w:val="Z_LIT/S_KARN – zm. sankcji karnej literą"/>
    <w:basedOn w:val="ZSKARNzmsankcjikarnejwszczeglnociwKodeksiekarnym"/>
    <w:pPr>
      <w:ind w:left="1497"/>
    </w:pPr>
  </w:style>
  <w:style w:type="paragraph" w:customStyle="1" w:styleId="ZCYTzmcytatunpprzysigiartykuempunktem">
    <w:name w:val="Z/CYT – zm. cytatu np. przysięgi artykułem (punktem)"/>
    <w:basedOn w:val="CYTcytatnpprzysigi"/>
    <w:next w:val="ZUSTzmustartykuempunktem"/>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pPr>
      <w:ind w:left="1894" w:firstLine="0"/>
    </w:pPr>
  </w:style>
  <w:style w:type="paragraph" w:customStyle="1" w:styleId="Z2TIRwLITzmpodwtirwlitartykuempunktem">
    <w:name w:val="Z/2TIR_w_LIT – zm. podw. tir. w lit. artykułem (punktem)"/>
    <w:basedOn w:val="Z2TIRwPKTzmpodwtirwpktartykuempunktem"/>
    <w:pPr>
      <w:ind w:left="1780"/>
    </w:pPr>
  </w:style>
  <w:style w:type="paragraph" w:customStyle="1" w:styleId="Z2TIRwTIRzmpodwtirwtirartykuempunktem">
    <w:name w:val="Z/2TIR_w_TIR – zm. podw. tir. w tir. artykułem (punktem)"/>
    <w:basedOn w:val="Z2TIRwLITzmpodwtirwlitartykuempunktem"/>
    <w:pPr>
      <w:ind w:left="1304"/>
    </w:pPr>
  </w:style>
  <w:style w:type="paragraph" w:customStyle="1" w:styleId="ZCZWSP2TIRwTIRzmczciwsppodwtirwtirartykuempunktem">
    <w:name w:val="Z/CZ_WSP_2TIR_w_TIR – zm. części wsp. podw. tir. w tir. artykułem (punktem)"/>
    <w:basedOn w:val="Z2TIRwTIRzmpodwtirwtirartykuempunktem"/>
    <w:next w:val="PKTpunkt"/>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pPr>
      <w:ind w:left="1383" w:firstLine="0"/>
    </w:pPr>
  </w:style>
  <w:style w:type="paragraph" w:customStyle="1" w:styleId="ZZCZWSP2TIRzmianazmczciwsppodwtir">
    <w:name w:val="ZZ/CZ_WSP_2TIR – zmiana zm. części wsp. podw. tir."/>
    <w:basedOn w:val="ZZTIRzmianazmtir"/>
    <w:next w:val="ZZUSTzmianazmust"/>
    <w:pPr>
      <w:ind w:left="1894" w:firstLine="0"/>
    </w:pPr>
  </w:style>
  <w:style w:type="paragraph" w:customStyle="1" w:styleId="PKTODNONIKApunktodnonika">
    <w:name w:val="PKT_ODNOŚNIKA – punkt odnośnika"/>
    <w:basedOn w:val="ODNONIKtreodnonika"/>
    <w:pPr>
      <w:ind w:left="568"/>
    </w:pPr>
  </w:style>
  <w:style w:type="paragraph" w:customStyle="1" w:styleId="ZODNONIKAzmtekstuodnonikaartykuempunktem">
    <w:name w:val="Z/ODNOŚNIKA – zm. tekstu odnośnika artykułem (punktem)"/>
    <w:basedOn w:val="ODNONIKtreodnonik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pPr>
      <w:ind w:left="1304"/>
    </w:pPr>
  </w:style>
  <w:style w:type="paragraph" w:customStyle="1" w:styleId="ZPKTODNONIKAzmpktodnonikaartykuempunktem">
    <w:name w:val="Z/PKT_ODNOŚNIKA – zm. pkt odnośnika artykułem (punktem)"/>
    <w:basedOn w:val="ZODNONIKAzmtekstuodnonikaartykuempunktem"/>
  </w:style>
  <w:style w:type="paragraph" w:customStyle="1" w:styleId="ZLIT2TIRwTIRzmpodwtirwtirliter">
    <w:name w:val="Z_LIT/2TIR_w_TIR – zm. podw. tir. w tir. literą"/>
    <w:basedOn w:val="ZLIT2TIRzmpodwtirliter"/>
    <w:pPr>
      <w:ind w:left="1780"/>
    </w:pPr>
  </w:style>
  <w:style w:type="paragraph" w:customStyle="1" w:styleId="ZLIT2TIRwLITzmpodwtirwlitliter">
    <w:name w:val="Z_LIT/2TIR_w_LIT – zm. podw. tir. w lit. literą"/>
    <w:basedOn w:val="ZLIT2TIRwTIRzmpodwtirwtirliter"/>
    <w:pPr>
      <w:ind w:left="2257"/>
    </w:pPr>
  </w:style>
  <w:style w:type="paragraph" w:customStyle="1" w:styleId="ZLIT2TIRwPKTzmpodwtirwpktliter">
    <w:name w:val="Z_LIT/2TIR_w_PKT – zm. podw. tir. w pkt literą"/>
    <w:basedOn w:val="ZLIT2TIRwLITzmpodwtirwlitliter"/>
    <w:pPr>
      <w:ind w:left="2767"/>
    </w:pPr>
  </w:style>
  <w:style w:type="paragraph" w:customStyle="1" w:styleId="ZLITCZWSP2TIRwTIRzmczciwsppodwtirwtirliter">
    <w:name w:val="Z_LIT/CZ_WSP_2TIR_w_TIR – zm. części wsp. podw. tir. w tir. literą"/>
    <w:basedOn w:val="ZLIT2TIRwTIRzmpodwtirwtirliter"/>
    <w:next w:val="LITlitera"/>
    <w:pPr>
      <w:ind w:left="1383" w:firstLine="0"/>
    </w:pPr>
  </w:style>
  <w:style w:type="paragraph" w:customStyle="1" w:styleId="ZLITCZWSP2TIRwLITzmczciwsppodwtirwlitliter">
    <w:name w:val="Z_LIT/CZ_WSP_2TIR_w_LIT – zm. części wsp. podw. tir. w lit. literą"/>
    <w:basedOn w:val="ZLIT2TIRwLITzmpodwtirwlitliter"/>
    <w:next w:val="LITlitera"/>
    <w:pPr>
      <w:ind w:left="1860" w:firstLine="0"/>
    </w:pPr>
  </w:style>
  <w:style w:type="paragraph" w:customStyle="1" w:styleId="ZLITCZWSP2TIRwPKTzmczciwsppodwtirwpktliter">
    <w:name w:val="Z_LIT/CZ_WSP_2TIR_w_PKT – zm. części wsp. podw. tir. w pkt literą"/>
    <w:basedOn w:val="ZLIT2TIRwPKTzmpodwtirwpktliter"/>
    <w:next w:val="LITlitera"/>
    <w:pPr>
      <w:ind w:left="2370" w:firstLine="0"/>
    </w:pPr>
  </w:style>
  <w:style w:type="paragraph" w:customStyle="1" w:styleId="ZTIR2TIRwPKTzmpodwtirwpkttiret">
    <w:name w:val="Z_TIR/2TIR_w_PKT – zm. podw. tir. w pkt tiret"/>
    <w:basedOn w:val="ZTIR2TIRwLITzmpodwtirwlittiret"/>
    <w:pPr>
      <w:ind w:left="3164"/>
    </w:pPr>
  </w:style>
  <w:style w:type="paragraph" w:customStyle="1" w:styleId="ZTIRCZWSP2TIRwPKTzmczciwsppodwtirwpkttiret">
    <w:name w:val="Z_TIR/CZ_WSP_2TIR_w_PKT – zm. części wsp. podw. tir. w pkt tiret"/>
    <w:basedOn w:val="ZTIR2TIRwPKTzmpodwtirwpkttiret"/>
    <w:next w:val="TIRtiret"/>
    <w:pPr>
      <w:ind w:left="2767" w:firstLine="0"/>
    </w:pPr>
  </w:style>
  <w:style w:type="paragraph" w:customStyle="1" w:styleId="ZZCZWSP2TIRwLITzmianazmczciwsppodwtirwlit">
    <w:name w:val="ZZ/CZ_WSP_2TIR_w_LIT – zmiana zm. części wsp. podw. tir. w lit."/>
    <w:basedOn w:val="ZZ2TIRwLITzmianazmpodwtirwlit"/>
    <w:pPr>
      <w:ind w:left="2767"/>
    </w:pPr>
  </w:style>
  <w:style w:type="paragraph" w:customStyle="1" w:styleId="ZZCZWSP2TIRwPKTzmianazmczciwsppodwtirwpkt">
    <w:name w:val="ZZ/CZ_WSP_2TIR_w_PKT – zmiana zm. części wsp. podw. tir. w pkt"/>
    <w:basedOn w:val="ZZ2TIRwLITzmianazmpodwtirwlit"/>
    <w:pPr>
      <w:ind w:left="3277" w:firstLine="0"/>
    </w:pPr>
  </w:style>
  <w:style w:type="paragraph" w:customStyle="1" w:styleId="ZCZWSP2TIRzmczciwsplnejpodwtirartykuempunktem">
    <w:name w:val="Z/CZ_WSP_2TIR – zm. części wspólnej podw. tir. artykułem (punktem)"/>
    <w:basedOn w:val="ZCZWSPPKTzmczciwsppktartykuempunktem"/>
    <w:next w:val="PKTpunkt"/>
  </w:style>
  <w:style w:type="paragraph" w:customStyle="1" w:styleId="ZLITCZWSP2TIRzmczciwsppodwtirliter">
    <w:name w:val="Z_LIT/CZ_WSP_2TIR – zm. części wsp. podw. tir. literą"/>
    <w:basedOn w:val="ZLITCZWSPPKTzmczciwsppktliter"/>
    <w:next w:val="LITlitera"/>
  </w:style>
  <w:style w:type="paragraph" w:customStyle="1" w:styleId="ZTIRCZWSP2TIRzmczciwsppodwtirtiret">
    <w:name w:val="Z_TIR/CZ_WSP_2TIR – zm. części wsp. podw. tir. tiret"/>
    <w:basedOn w:val="ZLITCZWSP2TIRzmczciwsppodwtirliter"/>
    <w:next w:val="TIRtiret"/>
  </w:style>
  <w:style w:type="paragraph" w:customStyle="1" w:styleId="ZZ2TIRzmianazmpodwtir">
    <w:name w:val="ZZ/2TIR – zmiana zm. podw. tir."/>
    <w:basedOn w:val="ZZCZWSP2TIRzmianazmczciwsppodwtir"/>
    <w:pPr>
      <w:ind w:left="2291" w:hanging="397"/>
    </w:pPr>
  </w:style>
  <w:style w:type="paragraph" w:customStyle="1" w:styleId="ZCZWSPLITzmczciwsplitartykuempunktem">
    <w:name w:val="Z/CZ_WSP_LIT – zm. części wsp. lit. artykułem (punktem)"/>
    <w:basedOn w:val="ZCZWSPPKTzmczciwsppktartykuempunktem"/>
    <w:next w:val="PKTpunkt"/>
  </w:style>
  <w:style w:type="paragraph" w:customStyle="1" w:styleId="ZCZWSPTIRzmczciwsptirartykuempunktem">
    <w:name w:val="Z/CZ_WSP_TIR – zm. części wsp. tir. artykułem (punktem)"/>
    <w:basedOn w:val="ZCZWSPPKTzmczciwsppktartykuempunktem"/>
    <w:next w:val="PKTpunkt"/>
  </w:style>
  <w:style w:type="paragraph" w:customStyle="1" w:styleId="ZLITCZWSPLITzmczciwsplitliter">
    <w:name w:val="Z_LIT/CZ_WSP_LIT – zm. części wsp. lit. literą"/>
    <w:basedOn w:val="ZLITCZWSPPKTzmczciwsppktliter"/>
    <w:next w:val="LITlitera"/>
  </w:style>
  <w:style w:type="paragraph" w:customStyle="1" w:styleId="ZLITCZWSPTIRzmczciwsptirliter">
    <w:name w:val="Z_LIT/CZ_WSP_TIR – zm. części wsp. tir. literą"/>
    <w:basedOn w:val="ZLITCZWSPPKTzmczciwsppktliter"/>
    <w:next w:val="LITlitera"/>
  </w:style>
  <w:style w:type="paragraph" w:customStyle="1" w:styleId="ZTIRCZWSPLITzmczciwsplittiret">
    <w:name w:val="Z_TIR/CZ_WSP_LIT – zm. części wsp. lit. tiret"/>
    <w:basedOn w:val="ZTIRCZWSPPKTzmczciwsppkttiret"/>
    <w:next w:val="TIRtiret"/>
  </w:style>
  <w:style w:type="paragraph" w:customStyle="1" w:styleId="ZTIRCZWSPTIRzmczciwsptirtiret">
    <w:name w:val="Z_TIR/CZ_WSP_TIR – zm. części wsp. tir. tiret"/>
    <w:basedOn w:val="ZTIRCZWSPPKTzmczciwsppkttiret"/>
    <w:next w:val="TIRtiret"/>
  </w:style>
  <w:style w:type="paragraph" w:customStyle="1" w:styleId="ZZCZWSPLITzmianazmczciwsplit">
    <w:name w:val="ZZ/CZ_WSP_LIT – zmiana. zm. części wsp. lit."/>
    <w:basedOn w:val="ZZCZWSPPKTzmianazmczciwsppkt"/>
  </w:style>
  <w:style w:type="paragraph" w:customStyle="1" w:styleId="ZZCZWSPTIRzmianazmczciwsptir">
    <w:name w:val="ZZ/CZ_WSP_TIR – zmiana. zm. części wsp. tir."/>
    <w:basedOn w:val="ZZCZWSPPKTzmianazmczciwsppkt"/>
  </w:style>
  <w:style w:type="paragraph" w:customStyle="1" w:styleId="Z2TIRCZWSPTIRzmczciwsptirpodwjnymtiret">
    <w:name w:val="Z_2TIR/CZ_WSP_TIR – zm. części wsp. tir. podwójnym tiret"/>
    <w:basedOn w:val="Z2TIRCZWSPLITzmczciwsplitpodwjnymtiret"/>
    <w:next w:val="2TIRpodwjnytiret"/>
  </w:style>
  <w:style w:type="paragraph" w:customStyle="1" w:styleId="Z2TIRCZWSP2TIRzmczciwsppodwtirpodwjnymtiret">
    <w:name w:val="Z_2TIR/CZ_WSP_2TIR – zm. części wsp. podw. tir. podwójnym tiret"/>
    <w:basedOn w:val="Z2TIRCZWSPLITzmczciwsplitpodwjnymtiret"/>
    <w:next w:val="2TIRpodwjnytiret"/>
  </w:style>
  <w:style w:type="paragraph" w:customStyle="1" w:styleId="ZUSTzmustartykuempunktem">
    <w:name w:val="Z/UST(§) – zm. ust. (§) artykułem (punktem)"/>
    <w:basedOn w:val="ZARTzmartartykuempunktem"/>
  </w:style>
  <w:style w:type="paragraph" w:customStyle="1" w:styleId="ZZUSTzmianazmust">
    <w:name w:val="ZZ/UST(§) – zmiana zm. ust. (§)"/>
    <w:basedOn w:val="ZZARTzmianazmart"/>
  </w:style>
  <w:style w:type="paragraph" w:customStyle="1" w:styleId="TYTDZPRZEDMprzedmiotregulacjitytuulubdziau">
    <w:name w:val="TYT(DZ)_PRZEDM – przedmiot regulacji tytułu lub działu"/>
    <w:next w:val="ARTartustawynprozporzdzenia"/>
    <w:pPr>
      <w:keepNext/>
      <w:widowControl w:val="0"/>
      <w:spacing w:before="120" w:line="360" w:lineRule="auto"/>
      <w:ind w:leftChars="-1" w:left="-1" w:hangingChars="1" w:hanging="1"/>
      <w:jc w:val="center"/>
      <w:textDirection w:val="btLr"/>
      <w:textAlignment w:val="top"/>
      <w:outlineLvl w:val="0"/>
    </w:pPr>
    <w:rPr>
      <w:b/>
      <w:position w:val="-1"/>
      <w:sz w:val="24"/>
      <w:szCs w:val="26"/>
    </w:rPr>
  </w:style>
  <w:style w:type="paragraph" w:customStyle="1" w:styleId="ZNIEARTTEKSTzmtekstunieartykuowanego">
    <w:name w:val="Z/NIEART_TEKST – zm. tekstu nieartykułowanego"/>
    <w:basedOn w:val="NIEARTTEKSTtekstnieartykuowanynppodstprawnarozplubpreambu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pPr>
      <w:ind w:left="1894"/>
    </w:pPr>
  </w:style>
  <w:style w:type="paragraph" w:customStyle="1" w:styleId="P1wTABELIpoziom1numeracjiwtabeli">
    <w:name w:val="P1_w_TABELI – poziom 1 numeracji w tabeli"/>
    <w:basedOn w:val="PKTpunkt"/>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pPr>
      <w:ind w:left="0" w:firstLine="0"/>
    </w:pPr>
  </w:style>
  <w:style w:type="paragraph" w:customStyle="1" w:styleId="P2wTABELIpoziom2numeracjiwtabeli">
    <w:name w:val="P2_w_TABELI – poziom 2 numeracji w tabeli"/>
    <w:basedOn w:val="P1wTABELIpoziom1numeracjiwtabeli"/>
    <w:pPr>
      <w:ind w:left="794"/>
    </w:pPr>
  </w:style>
  <w:style w:type="paragraph" w:customStyle="1" w:styleId="P3wTABELIpoziom3numeracjiwtabeli">
    <w:name w:val="P3_w_TABELI – poziom 3 numeracji w tabeli"/>
    <w:basedOn w:val="P2wTABELIpoziom2numeracjiwtabeli"/>
    <w:pPr>
      <w:ind w:left="1191"/>
    </w:pPr>
  </w:style>
  <w:style w:type="paragraph" w:customStyle="1" w:styleId="CZWSPP2wTABELIczwsppoziomu2numeracjiwtabeli">
    <w:name w:val="CZ_WSP_P2_w_TABELI – część wsp. poziomu 2 numeracji w tabeli"/>
    <w:basedOn w:val="CZWSPP1wTABELIczwsppoziomu1numeracjiwtabeli"/>
    <w:next w:val="Normalny"/>
    <w:pPr>
      <w:ind w:left="397"/>
    </w:pPr>
  </w:style>
  <w:style w:type="paragraph" w:customStyle="1" w:styleId="CZWSPP3wTABELIczwsppoziomu3numeracjiwtabeli">
    <w:name w:val="CZ_WSP_P3_w_TABELI – część wsp. poziomu 3 numeracji w tabeli"/>
    <w:basedOn w:val="CZWSPP2wTABELIczwsppoziomu2numeracjiwtabeli"/>
    <w:pPr>
      <w:ind w:left="794"/>
    </w:pPr>
  </w:style>
  <w:style w:type="paragraph" w:customStyle="1" w:styleId="CZWSPP4wTABELIczwsppoziomu4numeracjiwtabeli">
    <w:name w:val="CZ_WSP_P4_w_TABELI – część wsp. poziomu 4 numeracji w tabeli"/>
    <w:basedOn w:val="CZWSPP3wTABELIczwsppoziomu3numeracjiwtabeli"/>
    <w:pPr>
      <w:ind w:left="1191"/>
    </w:pPr>
  </w:style>
  <w:style w:type="paragraph" w:customStyle="1" w:styleId="P4wTABELIpoziom4numeracjiwtabeli">
    <w:name w:val="P4_w_TABELI – poziom 4 numeracji w tabeli"/>
    <w:basedOn w:val="P3wTABELIpoziom3numeracjiwtabeli"/>
    <w:pPr>
      <w:ind w:left="1588"/>
    </w:pPr>
  </w:style>
  <w:style w:type="paragraph" w:customStyle="1" w:styleId="TYTTABELItytutabeli">
    <w:name w:val="TYT_TABELI – tytuł tabeli"/>
    <w:basedOn w:val="TYTDZOZNoznaczenietytuulubdziau"/>
    <w:rPr>
      <w:b/>
    </w:rPr>
  </w:style>
  <w:style w:type="paragraph" w:customStyle="1" w:styleId="OZNPROJEKTUwskazaniedatylubwersjiprojektu">
    <w:name w:val="OZN_PROJEKTU – wskazanie daty lub wersji projektu"/>
    <w:next w:val="OZNRODZAKTUtznustawalubrozporzdzenieiorganwydajcy"/>
    <w:pPr>
      <w:widowControl w:val="0"/>
      <w:suppressAutoHyphens/>
      <w:spacing w:line="360" w:lineRule="auto"/>
      <w:ind w:leftChars="-1" w:left="-1" w:hangingChars="1" w:hanging="1"/>
      <w:jc w:val="right"/>
      <w:textDirection w:val="btLr"/>
      <w:textAlignment w:val="top"/>
      <w:outlineLvl w:val="0"/>
    </w:pPr>
    <w:rPr>
      <w:position w:val="-1"/>
      <w:sz w:val="24"/>
      <w:u w:val="single"/>
    </w:rPr>
  </w:style>
  <w:style w:type="paragraph" w:customStyle="1" w:styleId="NAZORGWYDnazwaorganuwydajcegoprojektowanyakt">
    <w:name w:val="NAZ_ORG_WYD – nazwa organu wydającego projektowany akt"/>
    <w:basedOn w:val="OZNRODZAKTUtznustawalubrozporzdzenieiorganwydajcy"/>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pPr>
      <w:ind w:left="0" w:right="4820"/>
      <w:jc w:val="left"/>
    </w:pPr>
  </w:style>
  <w:style w:type="paragraph" w:customStyle="1" w:styleId="TEKSTwporozumieniu">
    <w:name w:val="TEKST&quot;w porozumieniu:&quot;"/>
    <w:next w:val="NAZORGWPOROZUMIENIUnazwaorganuwporozumieniuzktrymaktjestwydawany"/>
    <w:pPr>
      <w:widowControl w:val="0"/>
      <w:suppressAutoHyphens/>
      <w:spacing w:line="360" w:lineRule="auto"/>
      <w:ind w:leftChars="-1" w:left="-1" w:hangingChars="1" w:hanging="1"/>
      <w:textDirection w:val="btLr"/>
      <w:textAlignment w:val="top"/>
      <w:outlineLvl w:val="0"/>
    </w:pPr>
    <w:rPr>
      <w:b/>
      <w:position w:val="-1"/>
      <w:sz w:val="24"/>
    </w:rPr>
  </w:style>
  <w:style w:type="paragraph" w:customStyle="1" w:styleId="CZWSPPKTODNONIKAczwsppunkwodnonika">
    <w:name w:val="CZ_WSP_PKT_ODNOŚNIKA – część wsp. punków odnośnika"/>
    <w:basedOn w:val="PKTODNONIKApunktodnonik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pPr>
      <w:ind w:left="510" w:firstLine="0"/>
    </w:pPr>
  </w:style>
  <w:style w:type="paragraph" w:customStyle="1" w:styleId="NOTATKILEGISLATORA">
    <w:name w:val="NOTATKI_LEGISLATORA"/>
    <w:basedOn w:val="Normalny"/>
    <w:rPr>
      <w:b/>
      <w:i/>
    </w:rPr>
  </w:style>
  <w:style w:type="paragraph" w:customStyle="1" w:styleId="OZNZACZNIKAwskazanienrzacznika">
    <w:name w:val="OZN_ZAŁĄCZNIKA – wskazanie nr załącznika"/>
    <w:basedOn w:val="OZNPROJEKTUwskazaniedatylubwersjiprojektu"/>
    <w:pPr>
      <w:keepNext/>
    </w:pPr>
    <w:rPr>
      <w:b/>
      <w:u w:val="none"/>
    </w:rPr>
  </w:style>
  <w:style w:type="paragraph" w:customStyle="1" w:styleId="OZNPARAFYADNOTACJE">
    <w:name w:val="OZN_PARAFY(ADNOTACJE)"/>
    <w:basedOn w:val="ODNONIKtreodnonika"/>
  </w:style>
  <w:style w:type="paragraph" w:customStyle="1" w:styleId="TEKSTZacznikido">
    <w:name w:val="TEKST&quot;Załącznik(i) do ...&quot;"/>
    <w:pPr>
      <w:keepNext/>
      <w:widowControl w:val="0"/>
      <w:suppressAutoHyphens/>
      <w:spacing w:after="240" w:line="1" w:lineRule="atLeast"/>
      <w:ind w:leftChars="-1" w:left="5670" w:hangingChars="1" w:hanging="1"/>
      <w:contextualSpacing/>
      <w:textDirection w:val="btLr"/>
      <w:textAlignment w:val="top"/>
      <w:outlineLvl w:val="0"/>
    </w:pPr>
    <w:rPr>
      <w:position w:val="-1"/>
      <w:sz w:val="24"/>
    </w:rPr>
  </w:style>
  <w:style w:type="paragraph" w:customStyle="1" w:styleId="LITODNONIKAliteraodnonika">
    <w:name w:val="LIT_ODNOŚNIKA – litera odnośnika"/>
    <w:basedOn w:val="PKTODNONIKApunktodnonika"/>
    <w:pPr>
      <w:ind w:left="851"/>
    </w:pPr>
  </w:style>
  <w:style w:type="paragraph" w:customStyle="1" w:styleId="CZWSPLITODNONIKAczwspliterodnonika">
    <w:name w:val="CZ_WSP_LIT_ODNOŚNIKA – część wsp. liter odnośnika"/>
    <w:basedOn w:val="LITODNONIKAliteraodnonika"/>
    <w:pPr>
      <w:ind w:left="567" w:firstLine="0"/>
    </w:pPr>
  </w:style>
  <w:style w:type="paragraph" w:customStyle="1" w:styleId="PKTOTJpunktobwieszczeniatekstujednolitegonp1">
    <w:name w:val="PKT_OTJ – punkt obwieszczenia tekstu jednolitego np. &quot;1.&quot;"/>
    <w:basedOn w:val="ARTartustawynprozporzdzenia"/>
    <w:pPr>
      <w:ind w:left="-510"/>
    </w:pPr>
  </w:style>
  <w:style w:type="paragraph" w:customStyle="1" w:styleId="PPKTOTJpodpunktwobwieszczeniutekstujednolitegonp1">
    <w:name w:val="PPKT_OTJ – podpunkt w obwieszczeniu tekstu jednolitego np. &quot;1)&quot;"/>
    <w:basedOn w:val="PKTOTJpunktobwieszczeniatekstujednolitegonp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pPr>
      <w:ind w:left="-510" w:firstLine="0"/>
    </w:pPr>
  </w:style>
  <w:style w:type="paragraph" w:customStyle="1" w:styleId="TEKSTOBWIESZCZENIENAZWAORGANUWYDAJCEGOOTJ">
    <w:name w:val="TEKST&quot;OBWIESZCZENIE&quot;(NAZWA_ORGANU_WYDAJĄCEGO_OTJ)"/>
    <w:basedOn w:val="OZNRODZAKTUtznustawalubrozporzdzenieiorganwydajcy"/>
    <w:pPr>
      <w:ind w:left="-510"/>
    </w:pPr>
  </w:style>
  <w:style w:type="paragraph" w:customStyle="1" w:styleId="DATAOTJdatawydaniaobwieszczeniatekstujednolitego">
    <w:name w:val="DATA_OTJ – data wydania obwieszczenia tekstu jednolitego"/>
    <w:basedOn w:val="DATAAKTUdatauchwalenialubwydaniaaktu"/>
    <w:pPr>
      <w:ind w:left="-510"/>
    </w:pPr>
  </w:style>
  <w:style w:type="paragraph" w:customStyle="1" w:styleId="TYTUOTJprzedmiotobwieszczeniatekstujednolitego">
    <w:name w:val="TYTUŁ_OTJ – przedmiot obwieszczenia tekstu jednolitego"/>
    <w:basedOn w:val="TYTUAKTUprzedmiotregulacjiustawylubrozporzdzenia"/>
    <w:pPr>
      <w:ind w:left="-510"/>
    </w:pPr>
  </w:style>
  <w:style w:type="paragraph" w:customStyle="1" w:styleId="ZLITODNONIKAzmlitodnonikaartykuempunktem">
    <w:name w:val="Z/LIT_ODNOŚNIKA – zm. lit. odnośnika artykułem (punktem)"/>
    <w:basedOn w:val="ZPKTODNONIKAzmpktodnonikaartykuempunktem"/>
    <w:next w:val="PKTpunkt"/>
  </w:style>
  <w:style w:type="paragraph" w:customStyle="1" w:styleId="ZLITwPKTODNONIKAzmlitwpktodnonikaartykuempunktem">
    <w:name w:val="Z/LIT_w_PKT_ODNOŚNIKA – zm. lit. w pkt odnośnika artykułem (punktem)"/>
    <w:basedOn w:val="ZLITODNONIKAzmlitodnonikaartykuempunktem"/>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style>
  <w:style w:type="paragraph" w:customStyle="1" w:styleId="ZCZWSPLITwPKTODNONIKAzmczciwsplitwpktodnonikaartykuempunktem">
    <w:name w:val="Z/CZ_WSP_LIT_w_PKT_ODNOŚNIKA – zm. części wsp. lit. w pkt odnośnika artykułem (punktem)"/>
    <w:basedOn w:val="ZCZWSPLITODNONIKAzmczciwsplitodnonikaartykuempunktem"/>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pPr>
      <w:ind w:left="1304"/>
    </w:pPr>
  </w:style>
  <w:style w:type="paragraph" w:customStyle="1" w:styleId="ZDANIENASTNOWYWIERSZnpzddrugienowywierszwust">
    <w:name w:val="ZDANIE_NAST_NOWY_WIERSZ – np. zd. drugie (nowy wiersz) w ust."/>
    <w:basedOn w:val="CZWSPPKTczwsplnapunktw"/>
    <w:next w:val="USTustnpkodeksu"/>
  </w:style>
  <w:style w:type="paragraph" w:customStyle="1" w:styleId="ZZFRAGzmianazmfragmentunpzdania">
    <w:name w:val="ZZ/FRAG – zmiana zm. fragmentu (np. zdania)"/>
    <w:basedOn w:val="ZZCZWSPPKTzmianazmczciwsppkt"/>
  </w:style>
  <w:style w:type="paragraph" w:customStyle="1" w:styleId="Z2TIRPKTzmpktpodwjnymtiret">
    <w:name w:val="Z_2TIR/PKT – zm. pkt podwójnym tiret"/>
    <w:basedOn w:val="Z2TIRLITzmlitpodwjnymtiret"/>
    <w:pPr>
      <w:ind w:left="2290" w:hanging="510"/>
    </w:pPr>
    <w:rPr>
      <w:rFonts w:cs="Arial"/>
    </w:rPr>
  </w:style>
  <w:style w:type="paragraph" w:customStyle="1" w:styleId="Z2TIRLITwPKTzmlitwpktpodwjnymtiret">
    <w:name w:val="Z_2TIR/LIT_w_PKT – zm. lit. w pkt podwójnym tiret"/>
    <w:basedOn w:val="Z2TIRLITzmlitpodwjnymtiret"/>
    <w:pPr>
      <w:ind w:left="2767"/>
    </w:pPr>
    <w:rPr>
      <w:rFonts w:cs="Arial"/>
    </w:rPr>
  </w:style>
  <w:style w:type="paragraph" w:customStyle="1" w:styleId="Z2TIRTIRwPKTzmtirwpktpodwjnymtiret">
    <w:name w:val="Z_2TIR/TIR_w_PKT – zm. tir. w pkt podwójnym tiret"/>
    <w:basedOn w:val="Z2TIRTIRwLITzmtirwlitpodwjnymtiret"/>
    <w:pPr>
      <w:ind w:left="3164"/>
    </w:pPr>
    <w:rPr>
      <w:rFonts w:cs="Arial"/>
      <w:lang w:val="en-US"/>
    </w:rPr>
  </w:style>
  <w:style w:type="paragraph" w:customStyle="1" w:styleId="Z2TIR2TIRwPKTzmpodwtirwpktpodwjnymtiret">
    <w:name w:val="Z_2TIR/2TIR_w_PKT – zm. podw. tir. w pkt podwójnym tiret"/>
    <w:basedOn w:val="Z2TIR2TIRwLITzmpodwtirwlitpodwjnymtiret"/>
    <w:pPr>
      <w:ind w:left="3561"/>
    </w:pPr>
    <w:rPr>
      <w:rFonts w:cs="Arial"/>
      <w:lang w:val="en-US"/>
    </w:rPr>
  </w:style>
  <w:style w:type="paragraph" w:customStyle="1" w:styleId="Z2TIRARTzmartpodwjnymtiret">
    <w:name w:val="Z_2TIR/ART(§) – zm. art. (§) podwójnym tiret"/>
    <w:basedOn w:val="Z2TIRPKTzmpktpodwjnymtiret"/>
    <w:pPr>
      <w:ind w:left="1780" w:firstLine="510"/>
    </w:pPr>
  </w:style>
  <w:style w:type="paragraph" w:customStyle="1" w:styleId="Z2TIRUSTzmustpodwjnymtiret">
    <w:name w:val="Z_2TIR/UST(§) – zm. ust. (§) podwójnym tiret"/>
    <w:basedOn w:val="Z2TIRPKTzmpktpodwjnymtiret"/>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pPr>
      <w:ind w:left="3164" w:firstLine="0"/>
    </w:pPr>
  </w:style>
  <w:style w:type="paragraph" w:customStyle="1" w:styleId="Z2TIRCZWSPPKTzmczciwsppktpodwjnymtiret">
    <w:name w:val="Z_2TIR/CZ_WSP_PKT – zm. części wsp. pkt podwójnym tiret"/>
    <w:basedOn w:val="Z2TIRPKTzmpktpodwjnymtiret"/>
    <w:pPr>
      <w:ind w:left="1780" w:firstLine="0"/>
    </w:pPr>
  </w:style>
  <w:style w:type="paragraph" w:customStyle="1" w:styleId="Z2TIRCZWSPLITwPKTzmczciwsplitwpktpodwjnymtiret">
    <w:name w:val="Z_2TIR/CZ_WSP_LIT_w_PKT – zm. części wsp. lit. w pkt podwójnym tiret"/>
    <w:basedOn w:val="Z2TIRLITwPKTzmlitwpktpodwjnymtiret"/>
    <w:pPr>
      <w:ind w:left="2291" w:firstLine="0"/>
    </w:pPr>
  </w:style>
  <w:style w:type="paragraph" w:customStyle="1" w:styleId="Z2TIRCZWSPTIRwPKTzmczciwsptirwpktpodwjnymtiret">
    <w:name w:val="Z_2TIR/CZ_WSP_TIR_w_PKT – zm. części wsp. tir. w pkt podwójnym tiret"/>
    <w:basedOn w:val="Z2TIRTIRwPKTzmtirwpktpodwjnymtiret"/>
    <w:pPr>
      <w:ind w:left="2767" w:firstLine="0"/>
    </w:pPr>
  </w:style>
  <w:style w:type="paragraph" w:customStyle="1" w:styleId="ZLITARTzmartliter">
    <w:name w:val="Z_LIT/ART(§) – zm. art. (§) literą"/>
    <w:basedOn w:val="ZLITUSTzmustliter"/>
    <w:rPr>
      <w:rFonts w:cs="Arial"/>
    </w:rPr>
  </w:style>
  <w:style w:type="paragraph" w:customStyle="1" w:styleId="ZTIRARTzmarttiret">
    <w:name w:val="Z_TIR/ART(§) – zm. art. (§) tiret"/>
    <w:basedOn w:val="ZTIRPKTzmpkttiret"/>
    <w:pPr>
      <w:ind w:left="1383" w:firstLine="510"/>
    </w:pPr>
    <w:rPr>
      <w:rFonts w:cs="Arial"/>
    </w:rPr>
  </w:style>
  <w:style w:type="paragraph" w:customStyle="1" w:styleId="ZTIRUSTzmusttiret">
    <w:name w:val="Z_TIR/UST(§) – zm. ust. (§) tiret"/>
    <w:basedOn w:val="ZTIRARTzmarttiret"/>
  </w:style>
  <w:style w:type="paragraph" w:customStyle="1" w:styleId="ZLITKSIGIzmozniprzedmksigiliter">
    <w:name w:val="Z_LIT/KSIĘGI – zm. ozn. i przedm. księgi literą"/>
    <w:basedOn w:val="ZCZCIKSIGIzmozniprzedmczciksigiartykuempunktem"/>
    <w:pPr>
      <w:ind w:left="987"/>
    </w:pPr>
  </w:style>
  <w:style w:type="paragraph" w:customStyle="1" w:styleId="ZLITTYTDZOZNzmozntytuudziauliter">
    <w:name w:val="Z_LIT/TYT(DZ)_OZN – zm. ozn. tytułu (działu) literą"/>
    <w:basedOn w:val="ZTYTDZOZNzmozntytuudziauartykuempunktem"/>
    <w:next w:val="ZLITTYTDZPRZEDMzmprzedmtytuudziauliter"/>
    <w:pPr>
      <w:ind w:left="987"/>
    </w:pPr>
  </w:style>
  <w:style w:type="paragraph" w:customStyle="1" w:styleId="ZLITTYTDZPRZEDMzmprzedmtytuudziauliter">
    <w:name w:val="Z_LIT/TYT(DZ)_PRZEDM – zm. przedm. tytułu (działu) literą"/>
    <w:basedOn w:val="ZTYTDZPRZEDMzmprzedmtytuulubdziauartykuempunktem"/>
    <w:pPr>
      <w:ind w:left="987"/>
    </w:pPr>
  </w:style>
  <w:style w:type="paragraph" w:customStyle="1" w:styleId="ZLITROZDZODDZOZNzmoznrozdzoddzliter">
    <w:name w:val="Z_LIT/ROZDZ(ODDZ)_OZN – zm. ozn. rozdz. (oddz.) literą"/>
    <w:basedOn w:val="ZROZDZODDZOZNzmoznrozdzoddzartykuempunktem"/>
    <w:next w:val="ZLITROZDZODDZPRZEDMzmprzedmrozdzoddzliter"/>
    <w:pPr>
      <w:ind w:left="987"/>
    </w:pPr>
  </w:style>
  <w:style w:type="paragraph" w:customStyle="1" w:styleId="ZLITROZDZODDZPRZEDMzmprzedmrozdzoddzliter">
    <w:name w:val="Z_LIT/ROZDZ(ODDZ)_PRZEDM – zm. przedm. rozdz. (oddz.) literą"/>
    <w:basedOn w:val="ZROZDZODDZPRZEDMzmprzedmrozdzoddzartykuempunktem"/>
    <w:next w:val="ZLITARTzmartliter"/>
    <w:pPr>
      <w:ind w:left="987"/>
    </w:pPr>
  </w:style>
  <w:style w:type="paragraph" w:customStyle="1" w:styleId="ZTIRDZOZNzmozndziautiret">
    <w:name w:val="Z_TIR/DZ_OZN – zm. ozn. działu tiret"/>
    <w:basedOn w:val="ZLITTYTDZOZNzmozntytuudziauliter"/>
    <w:next w:val="ZTIRDZPRZEDMzmprzedmdziautiret"/>
    <w:pPr>
      <w:ind w:left="1383"/>
    </w:pPr>
  </w:style>
  <w:style w:type="paragraph" w:customStyle="1" w:styleId="ZTIRDZPRZEDMzmprzedmdziautiret">
    <w:name w:val="Z_TIR/DZ_PRZEDM – zm. przedm. działu tiret"/>
    <w:basedOn w:val="ZLITTYTDZPRZEDMzmprzedmtytuudziauliter"/>
    <w:pPr>
      <w:ind w:left="1383"/>
    </w:pPr>
  </w:style>
  <w:style w:type="paragraph" w:customStyle="1" w:styleId="ZTIRROZDZODDZOZNzmoznrozdzoddztiret">
    <w:name w:val="Z_TIR/ROZDZ(ODDZ)_OZN – zm. ozn. rozdz. (oddz.) tiret"/>
    <w:basedOn w:val="ZLITROZDZODDZOZNzmoznrozdzoddzliter"/>
    <w:next w:val="ZTIRROZDZODDZPRZEDMzmprzedmrozdzoddztiret"/>
    <w:pPr>
      <w:ind w:left="1383"/>
    </w:pPr>
  </w:style>
  <w:style w:type="paragraph" w:customStyle="1" w:styleId="ZTIRROZDZODDZPRZEDMzmprzedmrozdzoddztiret">
    <w:name w:val="Z_TIR/ROZDZ(ODDZ)_PRZEDM – zm. przedm. rozdz. (oddz.) tiret"/>
    <w:basedOn w:val="ZLITROZDZODDZPRZEDMzmprzedmrozdzoddzliter"/>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pPr>
      <w:ind w:left="1780"/>
    </w:pPr>
  </w:style>
  <w:style w:type="character" w:customStyle="1" w:styleId="IGindeksgrny">
    <w:name w:val="_IG_ – indeks górny"/>
    <w:rPr>
      <w:spacing w:val="0"/>
      <w:w w:val="100"/>
      <w:position w:val="-1"/>
      <w:effect w:val="none"/>
      <w:vertAlign w:val="superscript"/>
      <w:cs w:val="0"/>
      <w:em w:val="none"/>
    </w:rPr>
  </w:style>
  <w:style w:type="character" w:customStyle="1" w:styleId="IDindeksdolny">
    <w:name w:val="_ID_ – indeks dolny"/>
    <w:rPr>
      <w:spacing w:val="0"/>
      <w:w w:val="100"/>
      <w:position w:val="-1"/>
      <w:effect w:val="none"/>
      <w:vertAlign w:val="subscript"/>
      <w:cs w:val="0"/>
      <w:em w:val="none"/>
    </w:rPr>
  </w:style>
  <w:style w:type="character" w:customStyle="1" w:styleId="IDPindeksdolnyipogrubienie">
    <w:name w:val="_ID_P_ – indeks dolny i pogrubienie"/>
    <w:rPr>
      <w:b/>
      <w:spacing w:val="0"/>
      <w:w w:val="100"/>
      <w:position w:val="-1"/>
      <w:effect w:val="none"/>
      <w:vertAlign w:val="subscript"/>
      <w:cs w:val="0"/>
      <w:em w:val="none"/>
    </w:rPr>
  </w:style>
  <w:style w:type="character" w:customStyle="1" w:styleId="IDKindeksdolnyikursywa">
    <w:name w:val="_ID_K_ – indeks dolny i kursywa"/>
    <w:rPr>
      <w:i/>
      <w:spacing w:val="0"/>
      <w:w w:val="100"/>
      <w:position w:val="-1"/>
      <w:effect w:val="none"/>
      <w:vertAlign w:val="subscript"/>
      <w:cs w:val="0"/>
      <w:em w:val="none"/>
    </w:rPr>
  </w:style>
  <w:style w:type="character" w:customStyle="1" w:styleId="IGPindeksgrnyipogrubienie">
    <w:name w:val="_IG_P_ – indeks górny i pogrubienie"/>
    <w:rPr>
      <w:b/>
      <w:spacing w:val="0"/>
      <w:w w:val="100"/>
      <w:position w:val="-1"/>
      <w:effect w:val="none"/>
      <w:vertAlign w:val="superscript"/>
      <w:cs w:val="0"/>
      <w:em w:val="none"/>
    </w:rPr>
  </w:style>
  <w:style w:type="character" w:customStyle="1" w:styleId="IGKindeksgrnyikursywa">
    <w:name w:val="_IG_K_ – indeks górny i kursywa"/>
    <w:rPr>
      <w:i/>
      <w:spacing w:val="0"/>
      <w:w w:val="100"/>
      <w:position w:val="-1"/>
      <w:effect w:val="none"/>
      <w:vertAlign w:val="superscript"/>
      <w:cs w:val="0"/>
      <w:em w:val="none"/>
    </w:rPr>
  </w:style>
  <w:style w:type="character" w:customStyle="1" w:styleId="IGPKindeksgrnyipogrubieniekursywa">
    <w:name w:val="_IG_P_K_ – indeks górny i pogrubienie kursywa"/>
    <w:rPr>
      <w:b/>
      <w:i/>
      <w:spacing w:val="0"/>
      <w:w w:val="100"/>
      <w:position w:val="-1"/>
      <w:effect w:val="none"/>
      <w:vertAlign w:val="superscript"/>
      <w:cs w:val="0"/>
      <w:em w:val="none"/>
    </w:rPr>
  </w:style>
  <w:style w:type="character" w:customStyle="1" w:styleId="IDPKindeksdolnyipogrugieniekursywa">
    <w:name w:val="_ID_P_K_ – indeks dolny i pogrugienie kursywa"/>
    <w:rPr>
      <w:b/>
      <w:i/>
      <w:spacing w:val="0"/>
      <w:w w:val="100"/>
      <w:position w:val="-1"/>
      <w:effect w:val="none"/>
      <w:vertAlign w:val="subscript"/>
      <w:cs w:val="0"/>
      <w:em w:val="none"/>
    </w:rPr>
  </w:style>
  <w:style w:type="character" w:customStyle="1" w:styleId="Ppogrubienie">
    <w:name w:val="_P_ – pogrubienie"/>
    <w:rPr>
      <w:b/>
      <w:w w:val="100"/>
      <w:position w:val="-1"/>
      <w:effect w:val="none"/>
      <w:vertAlign w:val="baseline"/>
      <w:cs w:val="0"/>
      <w:em w:val="none"/>
    </w:rPr>
  </w:style>
  <w:style w:type="character" w:customStyle="1" w:styleId="Kkursywa">
    <w:name w:val="_K_ – kursywa"/>
    <w:rPr>
      <w:i/>
      <w:w w:val="100"/>
      <w:position w:val="-1"/>
      <w:effect w:val="none"/>
      <w:vertAlign w:val="baseline"/>
      <w:cs w:val="0"/>
      <w:em w:val="none"/>
    </w:rPr>
  </w:style>
  <w:style w:type="character" w:customStyle="1" w:styleId="PKpogrubieniekursywa">
    <w:name w:val="_P_K_ – pogrubienie kursywa"/>
    <w:rPr>
      <w:b/>
      <w:i/>
      <w:w w:val="100"/>
      <w:position w:val="-1"/>
      <w:effect w:val="none"/>
      <w:vertAlign w:val="baseline"/>
      <w:cs w:val="0"/>
      <w:em w:val="none"/>
    </w:rPr>
  </w:style>
  <w:style w:type="character" w:customStyle="1" w:styleId="TEKSTOZNACZONYWDOKUMENCIERDOWYMJAKOUKRYTY">
    <w:name w:val="_TEKST_OZNACZONY_W_DOKUMENCIE_ŹRÓDŁOWYM_JAKO_UKRYTY_"/>
    <w:qFormat/>
    <w:rPr>
      <w:color w:val="FF0000"/>
      <w:w w:val="100"/>
      <w:position w:val="-1"/>
      <w:u w:val="single" w:color="FF0000"/>
      <w:effect w:val="none"/>
      <w:vertAlign w:val="baseline"/>
      <w:cs w:val="0"/>
      <w:em w:val="none"/>
    </w:rPr>
  </w:style>
  <w:style w:type="character" w:customStyle="1" w:styleId="BEZWERSALIKW">
    <w:name w:val="_BEZ_WERSALIKÓW_"/>
    <w:rPr>
      <w:caps/>
      <w:w w:val="100"/>
      <w:position w:val="-1"/>
      <w:effect w:val="none"/>
      <w:vertAlign w:val="baseline"/>
      <w:cs w:val="0"/>
      <w:em w:val="none"/>
    </w:rPr>
  </w:style>
  <w:style w:type="character" w:customStyle="1" w:styleId="IIGPindeksgrnyindeksugrnegoipogrubienie">
    <w:name w:val="_IIG_P_ – indeks górny indeksu górnego i pogrubienie"/>
    <w:rPr>
      <w:b/>
      <w:spacing w:val="0"/>
      <w:w w:val="100"/>
      <w:position w:val="6"/>
      <w:effect w:val="none"/>
      <w:vertAlign w:val="superscript"/>
      <w:cs w:val="0"/>
      <w:em w:val="none"/>
    </w:rPr>
  </w:style>
  <w:style w:type="character" w:customStyle="1" w:styleId="IIGindeksgrnyindeksugrnego">
    <w:name w:val="_IIG_ – indeks górny indeksu górnego"/>
    <w:rPr>
      <w:spacing w:val="0"/>
      <w:w w:val="100"/>
      <w:position w:val="6"/>
      <w:effect w:val="none"/>
      <w:vertAlign w:val="superscript"/>
      <w:cs w:val="0"/>
      <w:em w:val="none"/>
    </w:rPr>
  </w:style>
  <w:style w:type="paragraph" w:customStyle="1" w:styleId="ODNONIKSPECtreodnonikadoodnonika">
    <w:name w:val="ODNOŚNIK_SPEC – treść odnośnika do odnośnika"/>
    <w:basedOn w:val="Normalny"/>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pPr>
      <w:widowControl/>
      <w:suppressAutoHyphens w:val="0"/>
      <w:ind w:firstLine="510"/>
    </w:pPr>
    <w:rPr>
      <w:rFonts w:ascii="Times" w:hAnsi="Times" w:cs="Arial"/>
      <w:bCs/>
      <w:kern w:val="24"/>
    </w:rPr>
  </w:style>
  <w:style w:type="paragraph" w:customStyle="1" w:styleId="TEKSTwTABELIWYRODKOWANYtekstwyrodkowanywpoziomie">
    <w:name w:val="TEKST_w_TABELI_WYŚRODKOWANY – tekst wyśrodkowany w poziomie"/>
    <w:basedOn w:val="Normalny"/>
    <w:pPr>
      <w:widowControl/>
      <w:suppressAutoHyphens w:val="0"/>
      <w:jc w:val="center"/>
    </w:pPr>
    <w:rPr>
      <w:rFonts w:ascii="Times" w:hAnsi="Times" w:cs="Arial"/>
      <w:bCs/>
      <w:kern w:val="24"/>
    </w:rPr>
  </w:style>
  <w:style w:type="paragraph" w:customStyle="1" w:styleId="ZTIRSKARNzmsankcjikarnejtiret">
    <w:name w:val="Z_TIR/S_KARN – zm. sankcji karnej tiret"/>
    <w:basedOn w:val="ZLITSKARNzmsankcjikarnejliter"/>
    <w:next w:val="ZTIRARTzmarttiret"/>
    <w:pPr>
      <w:ind w:left="1894"/>
    </w:pPr>
  </w:style>
  <w:style w:type="paragraph" w:customStyle="1" w:styleId="ZZSKARNzmianazmsankcjikarnej">
    <w:name w:val="ZZ/S_KARN – zmiana zm. sankcji karnej"/>
    <w:basedOn w:val="ZZFRAGzmianazmfragmentunpzdania"/>
    <w:pPr>
      <w:ind w:left="2404"/>
    </w:pPr>
  </w:style>
  <w:style w:type="paragraph" w:customStyle="1" w:styleId="Z2TIRSKARNzmianasankcjikarnejpodwjnymtiret">
    <w:name w:val="Z_2TIR/S_KARN – zmiana sankcji karnej podwójnym tiret"/>
    <w:basedOn w:val="Z2TIRARTzmartpodwjnymtiret"/>
    <w:next w:val="Z2TIRARTzmartpodwjnymtiret"/>
    <w:pPr>
      <w:ind w:left="2291" w:firstLine="0"/>
    </w:pPr>
  </w:style>
  <w:style w:type="paragraph" w:customStyle="1" w:styleId="WMATFIZCHEMwzrmatfizlubchem">
    <w:name w:val="W_MAT(FIZ|CHEM) – wzór mat. (fiz. lub chem.)"/>
    <w:pPr>
      <w:widowControl w:val="0"/>
      <w:suppressAutoHyphens/>
      <w:spacing w:line="360" w:lineRule="auto"/>
      <w:ind w:leftChars="-1" w:left="-1" w:hangingChars="1" w:hanging="1"/>
      <w:jc w:val="center"/>
      <w:textDirection w:val="btLr"/>
      <w:textAlignment w:val="top"/>
      <w:outlineLvl w:val="0"/>
    </w:pPr>
    <w:rPr>
      <w:position w:val="-1"/>
      <w:sz w:val="24"/>
    </w:rPr>
  </w:style>
  <w:style w:type="paragraph" w:customStyle="1" w:styleId="LEGWMATFIZCHEMlegendawzorumatfizlubchem">
    <w:name w:val="LEG_W_MAT(FIZ|CHEM) – legenda wzoru mat. (fiz. lub chem.)"/>
    <w:basedOn w:val="WMATFIZCHEMwzrmatfizlubchem"/>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pPr>
      <w:ind w:left="1815"/>
    </w:pPr>
  </w:style>
  <w:style w:type="paragraph" w:customStyle="1" w:styleId="ZZLEGWMATFIZCHEMzmlegendywzorumatfizlubchem">
    <w:name w:val="ZZ/LEG_W_MAT(FIZ|CHEM) – zm. legendy wzoru mat. (fiz. lub chem.)"/>
    <w:basedOn w:val="ZLEGWMATFIZCHEMzmlegendywzorumatfizlubchemartykuempunktem"/>
    <w:pPr>
      <w:ind w:left="3198"/>
    </w:pPr>
  </w:style>
  <w:style w:type="paragraph" w:customStyle="1" w:styleId="ZLITLEGWMATFIZCHEMzmlegendywzorumatfizlubchemliter">
    <w:name w:val="Z_LIT/LEG_W_MAT(FIZ|CHEM) – zm. legendy wzoru mat. (fiz. lub chem.) literą"/>
    <w:basedOn w:val="ZLEGWMATFIZCHEMzmlegendywzorumatfizlubchemartykuempunktem"/>
    <w:pPr>
      <w:ind w:left="2291"/>
    </w:pPr>
  </w:style>
  <w:style w:type="paragraph" w:customStyle="1" w:styleId="ZLITWMATFIZCHEMzmwzorumatfizlubchemliter">
    <w:name w:val="Z_LIT/W_MAT(FIZ|CHEM) – zm. wzoru mat. (fiz. lub chem.) literą"/>
    <w:basedOn w:val="ZWMATFIZCHEMzmwzorumatfizlubchemartykuempunktem"/>
    <w:next w:val="ZLITUSTzmustliter"/>
    <w:pPr>
      <w:ind w:left="987"/>
    </w:pPr>
  </w:style>
  <w:style w:type="paragraph" w:customStyle="1" w:styleId="ZTIRWMATFIZCHEMzmwzorumatfizlubchemtiret">
    <w:name w:val="Z_TIR/W_MAT(FIZ|CHEM) – zm. wzoru mat. (fiz. lub chem.) tiret"/>
    <w:basedOn w:val="ZLITWMATFIZCHEMzmwzorumatfizlubchemliter"/>
    <w:next w:val="ZTIRUSTzmusttiret"/>
    <w:pPr>
      <w:ind w:left="1383"/>
    </w:pPr>
  </w:style>
  <w:style w:type="paragraph" w:customStyle="1" w:styleId="ZTIRLEGWMATFIZCHEMzmlegendywzorumatfizlubchemtiret">
    <w:name w:val="Z_TIR/LEG_W_MAT(FIZ|CHEM) – zm. legendy wzoru mat. (fiz. lub chem.) tiret"/>
    <w:basedOn w:val="ZLITLEGWMATFIZCHEMzmlegendywzorumatfizlubchemliter"/>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pPr>
      <w:ind w:left="3085"/>
    </w:pPr>
  </w:style>
  <w:style w:type="paragraph" w:customStyle="1" w:styleId="ZLITCYTzmcytatunpprzysigiliter">
    <w:name w:val="Z_LIT/CYT – zm. cytatu np. przysięgi literą"/>
    <w:basedOn w:val="ZCYTzmcytatunpprzysigiartykuempunktem"/>
    <w:pPr>
      <w:ind w:left="1497"/>
    </w:pPr>
  </w:style>
  <w:style w:type="paragraph" w:customStyle="1" w:styleId="ZTIRCYTzmcytatunpprzysigitiret">
    <w:name w:val="Z_TIR/CYT – zm. cytatu np. przysięgi tiret"/>
    <w:basedOn w:val="ZLITCYTzmcytatunpprzysigiliter"/>
    <w:next w:val="ZTIRUSTzmusttiret"/>
    <w:pPr>
      <w:ind w:left="1894"/>
    </w:pPr>
  </w:style>
  <w:style w:type="paragraph" w:customStyle="1" w:styleId="Z2TIRCYTzmcytatunpprzysigipodwjnymtiret">
    <w:name w:val="Z_2TIR/CYT – zm. cytatu np. przysięgi podwójnym tiret"/>
    <w:basedOn w:val="ZTIRCYTzmcytatunpprzysigitiret"/>
    <w:next w:val="Z2TIRUSTzmustpodwjnymtiret"/>
    <w:pPr>
      <w:ind w:left="2291"/>
    </w:pPr>
  </w:style>
  <w:style w:type="paragraph" w:customStyle="1" w:styleId="ZZCYTzmianazmcytatunpprzysigi">
    <w:name w:val="ZZ/CYT – zmiana zm. cytatu np. przysięgi"/>
    <w:basedOn w:val="ZZFRAGzmianazmfragmentunpzdania"/>
    <w:next w:val="ZZUSTzmianazmust"/>
    <w:pPr>
      <w:ind w:left="2404"/>
    </w:pPr>
  </w:style>
  <w:style w:type="paragraph" w:customStyle="1" w:styleId="Z2TIRFRAGMzmnpwprdowyliczeniapodwjnymtiret">
    <w:name w:val="Z_2TIR/FRAGM – zm. np. wpr. do wyliczenia podwójnym tiret"/>
    <w:basedOn w:val="ZTIRFRAGMzmnpwprdowyliczeniatiret"/>
    <w:next w:val="2TIRpodwjnytiret"/>
    <w:pPr>
      <w:ind w:left="1780"/>
    </w:pPr>
  </w:style>
  <w:style w:type="table" w:styleId="Tabela-Siatka">
    <w:name w:val="Table Grid"/>
    <w:basedOn w:val="Standardowy"/>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pPr>
      <w:widowControl w:val="0"/>
      <w:suppressAutoHyphens/>
      <w:autoSpaceDE w:val="0"/>
      <w:autoSpaceDN w:val="0"/>
      <w:adjustRightInd w:val="0"/>
      <w:spacing w:line="1" w:lineRule="atLeast"/>
      <w:ind w:leftChars="-1" w:left="-1" w:hangingChars="1" w:hanging="1"/>
      <w:jc w:val="both"/>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TABELA2zszablonu">
    <w:name w:val="TABELA 2 z szablonu"/>
    <w:basedOn w:val="Tabela-Elegancki"/>
    <w:pPr>
      <w:spacing w:line="240" w:lineRule="auto"/>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style>
  <w:style w:type="table" w:customStyle="1" w:styleId="TABELA1zszablonu">
    <w:name w:val="TABELA 1 z szablonu"/>
    <w:basedOn w:val="Tabela-Siatka"/>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tblPr/>
  </w:style>
  <w:style w:type="character" w:styleId="Tekstzastpczy">
    <w:name w:val="Placeholder Text"/>
    <w:rPr>
      <w:color w:val="808080"/>
      <w:w w:val="100"/>
      <w:position w:val="-1"/>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rPr>
      <w:color w:val="0563C1"/>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blicum.umed.lodz.pl/info.seam?id=AMLe55f585fd91f4829897a083f187f798f" TargetMode="External"/><Relationship Id="rId1" Type="http://schemas.openxmlformats.org/officeDocument/2006/relationships/hyperlink" Target="https://www.epfweb.org/sites/default/files/2024-02/CCInfoEU_A3_EN_2024_FEB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iyYfdbo3YOBuuFdl/StHBOqXA==">CgMxLjA4AHIhMUNYX0JPSTdZYXFNYmJzcXRkNVlhTlpTVHR0ZFl6V1hh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8199</Characters>
  <Application>Microsoft Office Word</Application>
  <DocSecurity>0</DocSecurity>
  <Lines>68</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2024-03-18T10:04:00Z</dcterms:created>
  <dcterms:modified xsi:type="dcterms:W3CDTF">2024-03-18T10:04:00Z</dcterms:modified>
</cp:coreProperties>
</file>