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55B8" w14:textId="77777777" w:rsidR="00673E6D" w:rsidRPr="005378F2" w:rsidRDefault="00673E6D" w:rsidP="005378F2">
      <w:pPr>
        <w:widowControl/>
        <w:autoSpaceDE/>
        <w:autoSpaceDN/>
        <w:adjustRightInd/>
        <w:spacing w:after="240"/>
        <w:ind w:firstLine="567"/>
        <w:jc w:val="center"/>
        <w:rPr>
          <w:rFonts w:eastAsia="Arial" w:cs="Times New Roman"/>
          <w:szCs w:val="24"/>
          <w:lang w:eastAsia="en-US"/>
        </w:rPr>
      </w:pPr>
      <w:r w:rsidRPr="005378F2">
        <w:rPr>
          <w:rFonts w:eastAsia="Arial" w:cs="Times New Roman"/>
          <w:szCs w:val="24"/>
          <w:lang w:eastAsia="en-US"/>
        </w:rPr>
        <w:t>UZASADNIENIE</w:t>
      </w:r>
    </w:p>
    <w:p w14:paraId="33C32B84" w14:textId="7685C413" w:rsidR="00673E6D" w:rsidRPr="00415B4B" w:rsidRDefault="00673E6D" w:rsidP="005378F2">
      <w:pPr>
        <w:widowControl/>
        <w:autoSpaceDE/>
        <w:autoSpaceDN/>
        <w:adjustRightInd/>
        <w:spacing w:before="120"/>
        <w:jc w:val="both"/>
        <w:rPr>
          <w:rFonts w:eastAsia="Arial" w:cs="Times New Roman"/>
          <w:b/>
          <w:bCs/>
          <w:szCs w:val="24"/>
          <w:lang w:eastAsia="en-US"/>
        </w:rPr>
      </w:pPr>
      <w:r w:rsidRPr="00415B4B">
        <w:rPr>
          <w:rFonts w:eastAsia="Arial" w:cs="Times New Roman"/>
          <w:b/>
          <w:bCs/>
          <w:szCs w:val="24"/>
          <w:lang w:eastAsia="en-US"/>
        </w:rPr>
        <w:t>1. Cel i potrzeba ustawy</w:t>
      </w:r>
    </w:p>
    <w:p w14:paraId="61693F38" w14:textId="77777777" w:rsidR="00673E6D" w:rsidRPr="00415B4B" w:rsidRDefault="00673E6D" w:rsidP="005378F2">
      <w:pPr>
        <w:widowControl/>
        <w:suppressAutoHyphens/>
        <w:spacing w:before="120"/>
        <w:jc w:val="both"/>
        <w:rPr>
          <w:rFonts w:eastAsia="Arial" w:cs="Times New Roman"/>
          <w:bCs/>
          <w:lang w:eastAsia="en-US"/>
        </w:rPr>
      </w:pPr>
      <w:r w:rsidRPr="00415B4B">
        <w:rPr>
          <w:rFonts w:eastAsia="Times New Roman" w:cs="Times New Roman"/>
          <w:bCs/>
          <w:lang w:eastAsia="en-US"/>
        </w:rPr>
        <w:t xml:space="preserve">Celem projektowanej ustawy jest powołanie w Polsce systemu sprawowania nadzoru nad systemami sztucznej inteligencji zgodnego z ramami prawnymi ustanowionymi rozporządzeniem </w:t>
      </w:r>
      <w:r w:rsidRPr="00415B4B">
        <w:rPr>
          <w:rFonts w:eastAsia="Times New Roman" w:cs="Times New Roman"/>
          <w:bCs/>
          <w:shd w:val="clear" w:color="auto" w:fill="FFFFFF"/>
          <w:lang w:eastAsia="en-US"/>
        </w:rPr>
        <w:t>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 (akt w sprawie sztucznej inteligencji), zwanego dalej „rozporządzeniem 2024/1689” albo „</w:t>
      </w:r>
      <w:r w:rsidRPr="00415B4B">
        <w:rPr>
          <w:rFonts w:eastAsia="Times New Roman" w:cs="Times New Roman"/>
          <w:bCs/>
          <w:lang w:eastAsia="en-US"/>
        </w:rPr>
        <w:t>aktem o AI”.</w:t>
      </w:r>
    </w:p>
    <w:p w14:paraId="1DAB2BA3"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Rozporządzenie („Akt o AI”) jest pierwszym kompleksowym aktem prawnym regulującym sektor sztucznej inteligencji w ramach regulacji jednolitego rynku UE, co wymaga od państw członkowskich oraz instytucji Unii Europejskiej skoordynowanych działań ustawodawczych, administracyjnych i</w:t>
      </w:r>
      <w:r>
        <w:rPr>
          <w:rFonts w:eastAsia="Times New Roman" w:cs="Times New Roman"/>
          <w:bCs/>
        </w:rPr>
        <w:t xml:space="preserve"> </w:t>
      </w:r>
      <w:r w:rsidRPr="00415B4B">
        <w:rPr>
          <w:rFonts w:eastAsia="Times New Roman" w:cs="Times New Roman"/>
          <w:bCs/>
        </w:rPr>
        <w:t>organizacyjnych. Nadrzędnym celem rozporządzenia 2024/1689 jest poprawa funkcjonowania rynku wewnętrznego przez ustanowienie jednolitych ram prawnych, w szczególności w zakresie rozwoju, wprowadzania do obrotu, oddawania do użytku i wykorzystywania systemów sztucznej inteligencji, zwanych dalej „systemami AI”, w Unii Europejskiej, zgodnie z wartościami UE, w celu promowania upowszechniania zorientowanej na człowieka i godnej zaufania sztucznej inteligencji przy jednoczesnym zapewnieniu wysokiego poziomu ochrony zdrowia, bezpieczeństwa, praw podstawowych zapisanych w Karcie praw podstawowych Unii Europejskiej, w tym demokracji, praworządności i ochrony środowiska, ochrony przed szkodliwymi skutkami systemów AI, a także wspierania innowacji w tym zakresie.</w:t>
      </w:r>
    </w:p>
    <w:p w14:paraId="4AB5D7BE" w14:textId="57B4F269"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 xml:space="preserve">Dla osiągnięcia założonego celu konieczne jest przyjęcie przez państwa członkowskie aktów prawa krajowego służących stosowaniu i przestrzeganiu rozporządzenia 2024/1689 w sposób spójny i skoordynowany z nadzorem realizowanym na poziomie Komisji Europejskiej i Rady Europejskiej. Projektowane przepisy powinny nadać niezbędne kompetencje krajowym organom nadzoru rynku lub takie organy utworzyć, by umożliwić im skuteczne eliminowanie z rynku systemów sztucznej inteligencji, które nie spełniają wymogów ustanowionych w nowej regulacji. Z uwagi na charakter wymaganych zmian (m.in. przyznanie nowych uprawnień nadzorczych, stworzenie mechanizmu skargowego, trybu wydawania decyzji w zakresie określenie kar i innych środków administracyjnych), w przypadku Polski nie jest możliwe </w:t>
      </w:r>
      <w:r w:rsidRPr="00415B4B">
        <w:rPr>
          <w:rFonts w:eastAsia="Times New Roman" w:cs="Times New Roman"/>
          <w:bCs/>
        </w:rPr>
        <w:lastRenderedPageBreak/>
        <w:t xml:space="preserve">zastosowanie wyłącznie rozwiązań </w:t>
      </w:r>
      <w:proofErr w:type="spellStart"/>
      <w:r w:rsidRPr="00415B4B">
        <w:rPr>
          <w:rFonts w:eastAsia="Times New Roman" w:cs="Times New Roman"/>
          <w:bCs/>
        </w:rPr>
        <w:t>pozalegislacyjnych</w:t>
      </w:r>
      <w:proofErr w:type="spellEnd"/>
      <w:r w:rsidRPr="00415B4B">
        <w:rPr>
          <w:rFonts w:eastAsia="Times New Roman" w:cs="Times New Roman"/>
          <w:bCs/>
        </w:rPr>
        <w:t xml:space="preserve">. Dla zapewnienia zgodnych z polskim prawem, skutecznych narzędzi interwencji w zakresie regulowanym przez rozporządzenie konieczne jest przyjęcie przez Rzeczpospolitą Polską aktu prawnego w randze ustawy. </w:t>
      </w:r>
    </w:p>
    <w:p w14:paraId="3D227176" w14:textId="53C48FF1" w:rsidR="00673E6D" w:rsidRPr="00415B4B" w:rsidRDefault="00673E6D" w:rsidP="00B1470B">
      <w:pPr>
        <w:widowControl/>
        <w:suppressAutoHyphens/>
        <w:ind w:firstLine="567"/>
        <w:jc w:val="both"/>
        <w:rPr>
          <w:rFonts w:eastAsia="Times New Roman" w:cs="Times New Roman"/>
          <w:bCs/>
        </w:rPr>
      </w:pPr>
      <w:r w:rsidRPr="00415B4B">
        <w:rPr>
          <w:rFonts w:eastAsia="Times New Roman" w:cs="Times New Roman"/>
          <w:bCs/>
        </w:rPr>
        <w:t>Zgodnie z prawem europejskim rozporządzenie obowiązuje w Unii od dnia 1</w:t>
      </w:r>
      <w:r w:rsidRPr="00415B4B">
        <w:rPr>
          <w:rFonts w:ascii="Times" w:eastAsia="MS Mincho" w:hAnsi="Times"/>
          <w:bCs/>
        </w:rPr>
        <w:t> </w:t>
      </w:r>
      <w:r w:rsidRPr="00415B4B">
        <w:rPr>
          <w:rFonts w:eastAsia="Times New Roman" w:cs="Times New Roman"/>
          <w:bCs/>
        </w:rPr>
        <w:t xml:space="preserve">sierpnia 2024 r. W dniu 2 lutego 2025 r. w życie weszły przepisy dotyczące systemów zakazanych. W dniu 2 sierpnia 2025 r. zaczęły obowiązywać przepisy dotyczące organów notyfikujących i jednostek notyfikowanych oraz kar za naruszenia przepisów o zakazanych praktykach w zakresie AI. Zgodnie z terminami określonymi w rozporządzeniu </w:t>
      </w:r>
      <w:r w:rsidRPr="00415B4B">
        <w:rPr>
          <w:rFonts w:eastAsia="Times New Roman" w:cs="Times New Roman"/>
          <w:bCs/>
          <w:shd w:val="clear" w:color="auto" w:fill="FFFFFF"/>
          <w:lang w:eastAsia="en-US"/>
        </w:rPr>
        <w:t xml:space="preserve">2024/1689 </w:t>
      </w:r>
      <w:r w:rsidRPr="00415B4B">
        <w:rPr>
          <w:rFonts w:eastAsia="Times New Roman" w:cs="Times New Roman"/>
          <w:bCs/>
        </w:rPr>
        <w:t xml:space="preserve">proces ten zakończy się 2 sierpnia 2027 r. </w:t>
      </w:r>
    </w:p>
    <w:p w14:paraId="6D6782BF" w14:textId="36D2FCAC"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W związku z powyższymi na obecnym etapie prac nad ustanowieniem europejskiego systemu nadzoru nad sztuczną inteligencją konieczne jest podjęcie działań legislacyjnych, które pozwolą Polsce wywiązać się ze wszystkich zobowiązań określonych w rozporządzeniu 2024/1689, które weszły w życie do dnia 2 sierpnia 2025 r. Przyjęcie przepisów, które stanowią treść projektu ustawy do polskiego porządku prawnego pozwoli również stworzyć prawne i organizacyjne podstawy umożliwiające w przyszłości realizację pozostałych, określonych w przepisach rozporządzenia 2024/1689 obowiązków, których wejście w życie nastąpi stopniowo do dnia 2 sierpnia 2027 r.</w:t>
      </w:r>
    </w:p>
    <w:p w14:paraId="370FD325" w14:textId="57343072" w:rsidR="00673E6D" w:rsidRPr="00415B4B" w:rsidRDefault="00673E6D" w:rsidP="005378F2">
      <w:pPr>
        <w:widowControl/>
        <w:suppressAutoHyphens/>
        <w:spacing w:before="120"/>
        <w:jc w:val="both"/>
        <w:rPr>
          <w:rFonts w:eastAsia="Arial" w:cs="Times New Roman"/>
          <w:bCs/>
        </w:rPr>
      </w:pPr>
      <w:r w:rsidRPr="00415B4B">
        <w:rPr>
          <w:rFonts w:eastAsia="Times New Roman" w:cs="Times New Roman"/>
          <w:bCs/>
        </w:rPr>
        <w:t xml:space="preserve">Zgodnie z zasadami prawa Unii Europejskiej, podejmowane działania legislacyjne opierają się na założeniu, że ustawa ma zawierać przepisy wprost przekazane przez europejskiego prawodawcę do uregulowania w prawie krajowym oraz takich, co do których rozporządzenie 2024/1689 pozostawiło państwom członkowskim pewną swobodę regulacyjną. </w:t>
      </w:r>
      <w:r w:rsidRPr="00415B4B">
        <w:rPr>
          <w:rFonts w:eastAsia="Arial" w:cs="Times New Roman"/>
          <w:bCs/>
        </w:rPr>
        <w:t>W związku z powyższym w polskim prawie należy zrealizować działania prawodawcze służące realizacji przepisów rozporządzenia 2024/1689 w wymiarze ustrojowym, jak i proceduralnym. Dotyczą one m.in.:</w:t>
      </w:r>
    </w:p>
    <w:p w14:paraId="752412B9" w14:textId="083356B7" w:rsidR="00673E6D" w:rsidRPr="00415B4B" w:rsidRDefault="00673E6D" w:rsidP="005378F2">
      <w:pPr>
        <w:widowControl/>
        <w:suppressAutoHyphens/>
        <w:ind w:left="284" w:hanging="284"/>
        <w:jc w:val="both"/>
        <w:rPr>
          <w:rFonts w:eastAsia="Times New Roman" w:cs="Times New Roman"/>
          <w:bCs/>
          <w:szCs w:val="24"/>
        </w:rPr>
      </w:pPr>
      <w:r w:rsidRPr="00415B4B">
        <w:rPr>
          <w:rFonts w:eastAsia="Times New Roman" w:cs="Times New Roman"/>
          <w:bCs/>
          <w:szCs w:val="24"/>
        </w:rPr>
        <w:t>1)</w:t>
      </w:r>
      <w:r>
        <w:rPr>
          <w:rFonts w:eastAsia="Times New Roman" w:cs="Times New Roman"/>
          <w:bCs/>
          <w:szCs w:val="24"/>
        </w:rPr>
        <w:tab/>
      </w:r>
      <w:r w:rsidRPr="00415B4B">
        <w:rPr>
          <w:rFonts w:eastAsia="Times New Roman" w:cs="Times New Roman"/>
          <w:bCs/>
          <w:szCs w:val="24"/>
        </w:rPr>
        <w:t>wskazania właściwych organów krajowych, tj.: </w:t>
      </w:r>
    </w:p>
    <w:p w14:paraId="03EF2CB6" w14:textId="34926107" w:rsidR="00673E6D" w:rsidRPr="00415B4B" w:rsidRDefault="00673E6D" w:rsidP="005378F2">
      <w:pPr>
        <w:widowControl/>
        <w:suppressAutoHyphens/>
        <w:ind w:left="567" w:hanging="283"/>
        <w:jc w:val="both"/>
        <w:rPr>
          <w:rFonts w:eastAsia="Times New Roman" w:cs="Times New Roman"/>
          <w:bCs/>
          <w:szCs w:val="24"/>
        </w:rPr>
      </w:pPr>
      <w:r w:rsidRPr="00415B4B">
        <w:rPr>
          <w:rFonts w:eastAsia="Times New Roman" w:cs="Times New Roman"/>
          <w:bCs/>
          <w:szCs w:val="24"/>
        </w:rPr>
        <w:t>–</w:t>
      </w:r>
      <w:r>
        <w:rPr>
          <w:rFonts w:eastAsia="Times New Roman" w:cs="Times New Roman"/>
          <w:bCs/>
          <w:szCs w:val="24"/>
        </w:rPr>
        <w:tab/>
      </w:r>
      <w:r w:rsidRPr="00415B4B">
        <w:rPr>
          <w:rFonts w:eastAsia="Times New Roman" w:cs="Times New Roman"/>
          <w:bCs/>
          <w:szCs w:val="24"/>
        </w:rPr>
        <w:t>organu nadzoru rynku,</w:t>
      </w:r>
      <w:r>
        <w:rPr>
          <w:rFonts w:eastAsia="Times New Roman" w:cs="Times New Roman"/>
          <w:bCs/>
          <w:szCs w:val="24"/>
        </w:rPr>
        <w:t xml:space="preserve"> </w:t>
      </w:r>
    </w:p>
    <w:p w14:paraId="0992EC01" w14:textId="6EA12C5F" w:rsidR="00673E6D" w:rsidRPr="00415B4B" w:rsidRDefault="00673E6D" w:rsidP="005378F2">
      <w:pPr>
        <w:widowControl/>
        <w:suppressAutoHyphens/>
        <w:ind w:left="567" w:hanging="283"/>
        <w:jc w:val="both"/>
        <w:rPr>
          <w:rFonts w:eastAsia="Times New Roman" w:cs="Times New Roman"/>
          <w:bCs/>
          <w:szCs w:val="24"/>
        </w:rPr>
      </w:pPr>
      <w:r w:rsidRPr="00415B4B">
        <w:rPr>
          <w:rFonts w:eastAsia="Times New Roman" w:cs="Times New Roman"/>
          <w:bCs/>
          <w:szCs w:val="24"/>
        </w:rPr>
        <w:t>–</w:t>
      </w:r>
      <w:r>
        <w:rPr>
          <w:rFonts w:eastAsia="Times New Roman" w:cs="Times New Roman"/>
          <w:bCs/>
          <w:szCs w:val="24"/>
        </w:rPr>
        <w:tab/>
      </w:r>
      <w:r w:rsidRPr="00415B4B">
        <w:rPr>
          <w:rFonts w:eastAsia="Times New Roman" w:cs="Times New Roman"/>
          <w:bCs/>
          <w:szCs w:val="24"/>
        </w:rPr>
        <w:t>organu notyfikującego odpowiedzialnego za opracowanie i stosowanie procedur koniecznych do oceny, wyznaczania i notyfikowania jednostek oceniających zgodność systemów AI, jak również za ich monitorowanie; </w:t>
      </w:r>
    </w:p>
    <w:p w14:paraId="6474AA71" w14:textId="383028C1" w:rsidR="00673E6D" w:rsidRPr="00415B4B" w:rsidRDefault="00673E6D" w:rsidP="005378F2">
      <w:pPr>
        <w:widowControl/>
        <w:suppressAutoHyphens/>
        <w:ind w:left="284" w:hanging="284"/>
        <w:jc w:val="both"/>
        <w:rPr>
          <w:rFonts w:eastAsia="Times New Roman" w:cs="Times New Roman"/>
          <w:bCs/>
        </w:rPr>
      </w:pPr>
      <w:r w:rsidRPr="00415B4B">
        <w:rPr>
          <w:rFonts w:eastAsia="Times New Roman" w:cs="Times New Roman"/>
          <w:bCs/>
        </w:rPr>
        <w:t>2)</w:t>
      </w:r>
      <w:r w:rsidR="00FE318A">
        <w:rPr>
          <w:rFonts w:eastAsia="Times New Roman" w:cs="Times New Roman"/>
          <w:bCs/>
        </w:rPr>
        <w:tab/>
      </w:r>
      <w:r w:rsidRPr="00415B4B">
        <w:rPr>
          <w:rFonts w:eastAsia="Times New Roman" w:cs="Times New Roman"/>
          <w:bCs/>
        </w:rPr>
        <w:t>określenia procedur postępowania przed organem nadzoru, w tym umożliwiającej egzekwowanie zakazu stosowania systemów spełniających kryteria zakazanych praktyk AI, czy umożliwienie złożenia skargi do właściwych organów krajowych na naruszenie rozporządzenia 2024/1689;</w:t>
      </w:r>
    </w:p>
    <w:p w14:paraId="6ABBA736" w14:textId="77777777" w:rsidR="00673E6D" w:rsidRPr="00415B4B" w:rsidRDefault="00673E6D" w:rsidP="005378F2">
      <w:pPr>
        <w:widowControl/>
        <w:suppressAutoHyphens/>
        <w:ind w:left="284" w:hanging="284"/>
        <w:jc w:val="both"/>
        <w:rPr>
          <w:rFonts w:eastAsia="Times New Roman" w:cs="Times New Roman"/>
          <w:bCs/>
        </w:rPr>
      </w:pPr>
      <w:r w:rsidRPr="00415B4B">
        <w:rPr>
          <w:rFonts w:eastAsia="Times New Roman" w:cs="Times New Roman"/>
          <w:bCs/>
          <w:szCs w:val="24"/>
        </w:rPr>
        <w:lastRenderedPageBreak/>
        <w:t>3)</w:t>
      </w:r>
      <w:r w:rsidRPr="00415B4B">
        <w:rPr>
          <w:rFonts w:eastAsia="Times New Roman" w:cs="Times New Roman"/>
          <w:bCs/>
          <w:szCs w:val="24"/>
        </w:rPr>
        <w:tab/>
        <w:t>przyjęcia przepisów umożliwiających nakładanie administracyjnych kar finansowych za naruszenia przepisów rozporządzenia 2024/1689</w:t>
      </w:r>
      <w:r w:rsidRPr="00415B4B">
        <w:rPr>
          <w:rFonts w:eastAsia="Times New Roman" w:cs="Times New Roman"/>
          <w:bCs/>
        </w:rPr>
        <w:t>.  </w:t>
      </w:r>
    </w:p>
    <w:p w14:paraId="3C0AAD9E" w14:textId="0C5067C5"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Ponadto projekt ustawy umożliwi rozpoczęcie realizacji celów określonych w art. 1 ust. 2 lit. g rozporządzenia 2024/1689, które mówią o wspieraniu rozwoju zastosowań AI w krajach członkowskich. Na poziomie krajowym niezbędne jest w związku z tym podjęcie stosownych środków zmierzających do wspierania innowacyjności w zakresie sztucznej inteligencji, ze szczególnym uwzględnieniem sektora małych i średnich przedsiębiorstw, w tym przedsiębiorstw typu start</w:t>
      </w:r>
      <w:r w:rsidR="00AA7260">
        <w:rPr>
          <w:rFonts w:eastAsia="Times New Roman" w:cs="Times New Roman"/>
          <w:bCs/>
        </w:rPr>
        <w:t>-</w:t>
      </w:r>
      <w:proofErr w:type="spellStart"/>
      <w:r w:rsidRPr="00415B4B">
        <w:rPr>
          <w:rFonts w:eastAsia="Times New Roman" w:cs="Times New Roman"/>
          <w:bCs/>
        </w:rPr>
        <w:t>up</w:t>
      </w:r>
      <w:proofErr w:type="spellEnd"/>
      <w:r w:rsidRPr="00415B4B">
        <w:rPr>
          <w:rFonts w:eastAsia="Times New Roman" w:cs="Times New Roman"/>
          <w:bCs/>
        </w:rPr>
        <w:t xml:space="preserve"> oraz promowania europejskiego, zorientowanego na człowieka podejścia do AI, jak również te dążące do znalezienia się przez UE w światowej czołówce państw, rozwijających bezpieczną, godną zaufania i etyczną AI.  </w:t>
      </w:r>
    </w:p>
    <w:p w14:paraId="00B34890" w14:textId="03A9ABEA" w:rsidR="00673E6D" w:rsidRPr="00415B4B" w:rsidRDefault="00673E6D" w:rsidP="005378F2">
      <w:pPr>
        <w:widowControl/>
        <w:suppressAutoHyphens/>
        <w:autoSpaceDE/>
        <w:autoSpaceDN/>
        <w:adjustRightInd/>
        <w:spacing w:before="120"/>
        <w:jc w:val="both"/>
        <w:rPr>
          <w:rFonts w:eastAsia="Times New Roman" w:cs="Times New Roman"/>
          <w:bCs/>
          <w:szCs w:val="24"/>
          <w:lang w:eastAsia="en-US"/>
        </w:rPr>
      </w:pPr>
      <w:r w:rsidRPr="00415B4B">
        <w:rPr>
          <w:rFonts w:eastAsia="Times New Roman" w:cs="Times New Roman"/>
          <w:bCs/>
          <w:szCs w:val="24"/>
        </w:rPr>
        <w:t>Analiza omawianego zagadnienia wykazała, że optymalnym rozwiązaniem jest opracowanie i uchwalenie aktu prawnego o randze ustawy, podczas gdy alternatywne sposoby rozwiązania problemu należy ocenić jako niewystarczające do o</w:t>
      </w:r>
      <w:r w:rsidR="00AA7260">
        <w:rPr>
          <w:rFonts w:eastAsia="Times New Roman" w:cs="Times New Roman"/>
          <w:bCs/>
          <w:szCs w:val="24"/>
        </w:rPr>
        <w:t>s</w:t>
      </w:r>
      <w:r w:rsidRPr="00415B4B">
        <w:rPr>
          <w:rFonts w:eastAsia="Times New Roman" w:cs="Times New Roman"/>
          <w:bCs/>
          <w:szCs w:val="24"/>
        </w:rPr>
        <w:t>iągnięcia oczekiwanego celu. Szeroki zakres koniecznych do wdrożenia rozwiązań, brak uregulowania do tej pory kwestii wykorzystania systemów sztucznej inteligencji w krajowych przepisach oraz względy przejrzystości regulacji dotyczącej nowego zagadnienia prawnego, jakim jest szerokie stosowanie technologii sztucznej inteligencji, dodatkowo przemawiają za wdrożeniem przepisów rozporządzenia 2024/1689 w odrębnej ustawie. </w:t>
      </w:r>
    </w:p>
    <w:p w14:paraId="78F37EB2" w14:textId="77777777" w:rsidR="00673E6D" w:rsidRPr="00415B4B" w:rsidRDefault="00673E6D" w:rsidP="005378F2">
      <w:pPr>
        <w:widowControl/>
        <w:suppressAutoHyphens/>
        <w:spacing w:before="120"/>
        <w:jc w:val="both"/>
        <w:rPr>
          <w:rFonts w:eastAsia="Times New Roman" w:cs="Times New Roman"/>
          <w:bCs/>
          <w:szCs w:val="24"/>
        </w:rPr>
      </w:pPr>
      <w:r w:rsidRPr="00415B4B">
        <w:rPr>
          <w:rFonts w:eastAsia="Times New Roman" w:cs="Times New Roman"/>
          <w:bCs/>
          <w:szCs w:val="24"/>
        </w:rPr>
        <w:t>Projekt ustawy pozwoli wprowadzić do polskiego prawa mechanizmy umożliwiające realizację obowiązków określonych w rozdziałach I, II, III sekcja 4, V, VII, IX, XI rozporządzenia 2024/1689. W szczególności, przedmiotem projektowanej ustawy są kwestie dotyczące określenia krajowego organu nadzoru, postępowania przed tym organem, postępowania kontrolnego, organu notyfikującego, certyfikacji, sądowej ochrony praw przysługujących obywatelom, jak również wszczynanie postępowań i nakładanie administracyjnych kar finansowych za naruszenie przepisów rozporządzenia 2024/1689.</w:t>
      </w:r>
    </w:p>
    <w:p w14:paraId="30507052" w14:textId="1F34DE17" w:rsidR="00673E6D" w:rsidRPr="00415B4B" w:rsidRDefault="00673E6D" w:rsidP="005378F2">
      <w:pPr>
        <w:widowControl/>
        <w:autoSpaceDE/>
        <w:autoSpaceDN/>
        <w:adjustRightInd/>
        <w:spacing w:before="120"/>
        <w:jc w:val="both"/>
        <w:rPr>
          <w:rFonts w:eastAsia="Aptos" w:cs="Times New Roman"/>
          <w:szCs w:val="24"/>
          <w:lang w:eastAsia="en-US"/>
        </w:rPr>
      </w:pPr>
      <w:r w:rsidRPr="00415B4B">
        <w:rPr>
          <w:rFonts w:eastAsia="Aptos" w:cs="Times New Roman"/>
          <w:szCs w:val="24"/>
        </w:rPr>
        <w:t xml:space="preserve">Należy również zaznaczyć, że omawiany projekt ustawy o systemach sztucznej inteligencji nie realizuje wszystkich obowiązków wynikających z rozporządzenia 2024/1689. Treść projektu, który wychodzi naprzeciw wymaganiom wynikającym z przepisów polskiego oraz europejskiego prawa, jest wynikiem prowadzonych przez Ministerstwo Cyfryzacji prac i analiz merytorycznych, komunikacji z przedstawicielami Europejskiego Urzędu ds. Sztucznej Inteligencji oraz konsultacji z innymi instytucjami publicznymi w Polsce i interesariuszami społecznymi. Należy zaznaczyć, że rozporządzenie pozostawia państwom członkowskim pewną elastyczność m.in. w wyznaczaniu lub stworzeniu odpowiednich organów, procedur </w:t>
      </w:r>
      <w:r w:rsidRPr="00415B4B">
        <w:rPr>
          <w:rFonts w:eastAsia="Aptos" w:cs="Times New Roman"/>
          <w:szCs w:val="24"/>
        </w:rPr>
        <w:lastRenderedPageBreak/>
        <w:t xml:space="preserve">administracyjnych i sądowych. W przypadku Polski powoduje to konieczność </w:t>
      </w:r>
      <w:proofErr w:type="spellStart"/>
      <w:r w:rsidRPr="00415B4B">
        <w:rPr>
          <w:rFonts w:eastAsia="Aptos" w:cs="Times New Roman"/>
          <w:szCs w:val="24"/>
        </w:rPr>
        <w:t>priorytetyzacji</w:t>
      </w:r>
      <w:proofErr w:type="spellEnd"/>
      <w:r w:rsidRPr="00415B4B">
        <w:rPr>
          <w:rFonts w:eastAsia="Aptos" w:cs="Times New Roman"/>
          <w:szCs w:val="24"/>
        </w:rPr>
        <w:t xml:space="preserve"> działań w zakresie utworzenia systemu nadzoru rynku nad systemami AI w celu umożliwienia stosowania tych przepisów, które weszły w życie do dnia 2 sierpnia 2025 r., przy jednoczesnym prowadzeniu działań komunikacyjnych i administracyjnych. W pozostałym, określonym w rozporządzeniu </w:t>
      </w:r>
      <w:r w:rsidRPr="00415B4B">
        <w:rPr>
          <w:rFonts w:eastAsia="Times New Roman" w:cs="Times New Roman"/>
          <w:szCs w:val="24"/>
          <w:shd w:val="clear" w:color="auto" w:fill="FFFFFF"/>
          <w:lang w:eastAsia="en-US"/>
        </w:rPr>
        <w:t>2024/1689</w:t>
      </w:r>
      <w:r w:rsidRPr="00415B4B">
        <w:rPr>
          <w:rFonts w:eastAsia="Aptos" w:cs="Times New Roman"/>
          <w:szCs w:val="24"/>
        </w:rPr>
        <w:t xml:space="preserve">, zakresie przedmiotowym Ministerstwo Cyfryzacji planuje prowadzenie dalszych działań legislacyjnych, realizowanych we współpracy z innymi organami właściwymi ze względu na przepisy rozporządzenia 2024/1689, które będą wchodzić w życie w terminie od 2026 do 2027 r. (m.in. odnoszące się do systemów AI wysokiego ryzyka oraz ustanowienia piaskownic regulacyjnych). </w:t>
      </w:r>
    </w:p>
    <w:p w14:paraId="18F1D055" w14:textId="77777777" w:rsidR="00673E6D" w:rsidRPr="00415B4B" w:rsidRDefault="00673E6D" w:rsidP="005378F2">
      <w:pPr>
        <w:widowControl/>
        <w:suppressAutoHyphens/>
        <w:spacing w:before="120"/>
        <w:jc w:val="both"/>
        <w:rPr>
          <w:rFonts w:eastAsia="MS Mincho" w:cs="Times New Roman"/>
          <w:b/>
          <w:bCs/>
          <w:szCs w:val="24"/>
        </w:rPr>
      </w:pPr>
      <w:r w:rsidRPr="00415B4B">
        <w:rPr>
          <w:rFonts w:eastAsia="MS Mincho" w:cs="Times New Roman"/>
          <w:b/>
          <w:bCs/>
          <w:szCs w:val="24"/>
        </w:rPr>
        <w:t>2. Omówienie projektowanych przepisów</w:t>
      </w:r>
    </w:p>
    <w:p w14:paraId="0FD21EDB" w14:textId="4A38E708"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Projektowana ustawa określa organizację i sposób sprawowania krajowego nadzoru nad rynkiem systemów sztucznej inteligencji oraz modeli sztucznej inteligencji ogólnego przeznaczenia, a także zapewnienia rozwoju w tym obszarze. Zakres przedmiotowy projektu</w:t>
      </w:r>
      <w:r w:rsidRPr="00415B4B" w:rsidDel="00903CF7">
        <w:rPr>
          <w:rFonts w:eastAsia="Times New Roman" w:cs="Times New Roman"/>
          <w:bCs/>
          <w:szCs w:val="24"/>
          <w:lang w:eastAsia="en-US"/>
        </w:rPr>
        <w:t xml:space="preserve"> </w:t>
      </w:r>
      <w:r w:rsidRPr="00415B4B">
        <w:rPr>
          <w:rFonts w:eastAsia="Times New Roman" w:cs="Times New Roman"/>
          <w:bCs/>
          <w:szCs w:val="24"/>
          <w:lang w:eastAsia="en-US"/>
        </w:rPr>
        <w:t>wynika wprost z przepisów rozporządzenia 2024/1689, w którym znajduje się znaczna część przepisów merytorycznych stosowanych bezpośrednio. Projektowana ustawa koncentruje się na ustanowieniu roli organów państwa w tym obszarze oraz ustanowieniu środków rozwoju i nadzoru.</w:t>
      </w:r>
      <w:r w:rsidRPr="00415B4B">
        <w:rPr>
          <w:rFonts w:eastAsia="MS Mincho" w:cs="Times New Roman"/>
          <w:bCs/>
        </w:rPr>
        <w:t xml:space="preserve"> </w:t>
      </w:r>
    </w:p>
    <w:p w14:paraId="0AF6601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Przygotowując się do wyżej opisanych prac legislacyjnych na rzecz zapewnienia skutecznego stosowania rozporządzenia 2024/1689, Ministerstwo Cyfryzacji przeprowadziło szereg działań obejmujących: analizy prawne, instytucjonalne i techniczne oraz dwukrotne konsultacje z interesariuszami zarówno sektora publicznego, jak i prywatnego i pozarządowego.</w:t>
      </w:r>
    </w:p>
    <w:p w14:paraId="28D15CD3" w14:textId="0403ED1C" w:rsidR="00673E6D" w:rsidRPr="00415B4B" w:rsidRDefault="00673E6D" w:rsidP="005378F2">
      <w:pPr>
        <w:widowControl/>
        <w:suppressAutoHyphens/>
        <w:autoSpaceDE/>
        <w:autoSpaceDN/>
        <w:adjustRightInd/>
        <w:spacing w:before="120"/>
        <w:jc w:val="both"/>
        <w:rPr>
          <w:rFonts w:eastAsia="Times New Roman" w:cs="Times New Roman"/>
          <w:bCs/>
          <w:szCs w:val="24"/>
          <w:lang w:eastAsia="en-US"/>
        </w:rPr>
      </w:pPr>
      <w:r w:rsidRPr="00415B4B">
        <w:rPr>
          <w:rFonts w:eastAsia="Times New Roman" w:cs="Times New Roman"/>
          <w:bCs/>
          <w:szCs w:val="24"/>
          <w:lang w:eastAsia="en-US"/>
        </w:rPr>
        <w:t xml:space="preserve">Analizy polskiego prawa oraz otoczenia instytucjonalnego prowadzone przez Ministerstwo Cyfryzacji wykazały brak istnienia w naszym kraju organu lub instytucji publicznej spełniających wymogi określone w rozporządzeniu 2024/1689 zarówno w zakresie statusu prawnego i roli ustrojowej, jak i wymaganych kwalifikacji pracowników. Rosnąca rola systemów sztucznej inteligencji oraz skala zagrożeń, jakie może powodować ich niewłaściwe stosowanie, </w:t>
      </w:r>
      <w:r w:rsidRPr="00415B4B" w:rsidDel="0011069E">
        <w:rPr>
          <w:rFonts w:eastAsia="Times New Roman" w:cs="Times New Roman"/>
          <w:bCs/>
          <w:szCs w:val="24"/>
          <w:lang w:eastAsia="en-US"/>
        </w:rPr>
        <w:t>powodują</w:t>
      </w:r>
      <w:r w:rsidRPr="00415B4B">
        <w:rPr>
          <w:rFonts w:eastAsia="Times New Roman" w:cs="Times New Roman"/>
          <w:bCs/>
          <w:szCs w:val="24"/>
          <w:lang w:eastAsia="en-US"/>
        </w:rPr>
        <w:t xml:space="preserve">, że konieczne jest wyznaczenie organu, który tym wyzwaniom sprosta. W związku z potrzebami zapewnienia właściwego poziomu ochrony podstawowych praw człowieka, praw obywateli i konsumentów, rosnąć powinny również kompetencje organów nadzoru. W Polsce od kilku lat obserwujemy zwiększanie wynikających z prawa unijnego obowiązków prawnych regulatorów i rozdzielanie ich po takich organach jak Prezes Urzędu Ochrony Konkurencji i Konsumentów, Prezes Urzędu Komunikacji Elektronicznej, Prezes Urzędu Ochrony Danych Osobowych. Biorąc pod uwagę to, że w ostatnim czasie każdy z tych </w:t>
      </w:r>
      <w:r w:rsidRPr="00415B4B">
        <w:rPr>
          <w:rFonts w:eastAsia="Times New Roman" w:cs="Times New Roman"/>
          <w:bCs/>
          <w:szCs w:val="24"/>
          <w:lang w:eastAsia="en-US"/>
        </w:rPr>
        <w:lastRenderedPageBreak/>
        <w:t>organów przyjął na siebie realizacje nowych, poważnych obowiązków, zasadne jest, aby właściwy organ mógł realizować je w sposób efektywny i gwarantujący, że w toku ich wykonywania będą przestrzegane obowiązujące przepisy prawa oraz respektowane prawa obywateli.</w:t>
      </w:r>
    </w:p>
    <w:p w14:paraId="02E2D7E8"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W wyniku powyżej opisanych działań analitycznych, jak również ciągłego procesu zapoznawania się z aktualnym stanem wiedzy eksperckiej</w:t>
      </w:r>
      <w:r w:rsidRPr="00415B4B">
        <w:rPr>
          <w:rFonts w:eastAsia="Times New Roman" w:cs="Times New Roman"/>
          <w:szCs w:val="24"/>
          <w:vertAlign w:val="superscript"/>
          <w:lang w:eastAsia="en-US"/>
        </w:rPr>
        <w:footnoteReference w:id="1"/>
      </w:r>
      <w:r w:rsidRPr="00415B4B">
        <w:rPr>
          <w:rFonts w:eastAsia="Times New Roman" w:cs="Times New Roman"/>
          <w:szCs w:val="24"/>
          <w:lang w:eastAsia="en-US"/>
        </w:rPr>
        <w:t>, prowadzeniem dyskusji roboczych z przedstawicielami innych instytucji publicznych oraz uwzględnianiem wniosków wypracowanych na wcześniejszych etapach w ramach prac Grupy Roboczej ds. AI</w:t>
      </w:r>
      <w:r w:rsidRPr="00415B4B">
        <w:rPr>
          <w:rFonts w:eastAsia="Times New Roman" w:cs="Times New Roman"/>
          <w:szCs w:val="24"/>
          <w:vertAlign w:val="superscript"/>
          <w:lang w:eastAsia="en-US"/>
        </w:rPr>
        <w:footnoteReference w:id="2"/>
      </w:r>
      <w:r w:rsidRPr="00415B4B">
        <w:rPr>
          <w:rFonts w:eastAsia="Times New Roman" w:cs="Times New Roman"/>
          <w:szCs w:val="24"/>
          <w:lang w:eastAsia="en-US"/>
        </w:rPr>
        <w:t xml:space="preserve">, Ministerstwo Cyfryzacji ustaliło, że najbardziej efektywnym sposobem osiągnięcia celu nałożonego na Polskę przez rozporządzenie 2024/1689 jest ustanowienie nowej instytucji wyspecjalizowanej w sprawowaniu nadzoru nad sektorem sztucznej inteligencji oraz wspieraniu jego funkcjonowania. Instytucji tej, mającej pełnić funkcję nie tylko organu nadzoru nad rynkiem, ale również przyczyniającej się do wzmacniania branży sztucznej inteligencji w Polsce oraz pełnienia funkcji podmiotu eksperckiego współpracującego z innymi instytucjami publicznymi w zakresie AI, w projekcie nadano nazwę Komisji Rozwoju i Bezpieczeństwa Sztucznej Inteligencji, zwanej dalej „Komisją”. </w:t>
      </w:r>
    </w:p>
    <w:p w14:paraId="53819D2C" w14:textId="77777777" w:rsidR="00673E6D" w:rsidRPr="00415B4B" w:rsidRDefault="00673E6D" w:rsidP="005378F2">
      <w:pPr>
        <w:widowControl/>
        <w:suppressAutoHyphens/>
        <w:spacing w:before="120"/>
        <w:jc w:val="both"/>
        <w:rPr>
          <w:rFonts w:eastAsia="Times New Roman" w:cs="Times New Roman"/>
          <w:bCs/>
          <w:szCs w:val="24"/>
        </w:rPr>
      </w:pPr>
      <w:r w:rsidRPr="00415B4B">
        <w:rPr>
          <w:rFonts w:eastAsia="Times New Roman" w:cs="Times New Roman"/>
          <w:bCs/>
          <w:szCs w:val="24"/>
        </w:rPr>
        <w:t xml:space="preserve">W celu uzyskania dodatkowych informacji i opinii ekspertów oraz przedstawicieli opinii publicznej, Ministerstwo Cyfryzacji przeprowadziło </w:t>
      </w:r>
      <w:r w:rsidRPr="00415B4B">
        <w:rPr>
          <w:rFonts w:eastAsia="Times New Roman" w:cs="Times New Roman"/>
          <w:bCs/>
          <w:szCs w:val="24"/>
          <w:lang w:eastAsia="en-US"/>
        </w:rPr>
        <w:t xml:space="preserve">otwarte dla wszystkich zainteresowanych </w:t>
      </w:r>
      <w:proofErr w:type="spellStart"/>
      <w:r w:rsidRPr="00415B4B">
        <w:rPr>
          <w:rFonts w:eastAsia="Times New Roman" w:cs="Times New Roman"/>
          <w:bCs/>
          <w:szCs w:val="24"/>
          <w:lang w:eastAsia="en-US"/>
        </w:rPr>
        <w:t>prekonsultacje</w:t>
      </w:r>
      <w:proofErr w:type="spellEnd"/>
      <w:r w:rsidRPr="00415B4B">
        <w:rPr>
          <w:rFonts w:eastAsia="Times New Roman" w:cs="Times New Roman"/>
          <w:bCs/>
          <w:szCs w:val="24"/>
          <w:lang w:eastAsia="en-US"/>
        </w:rPr>
        <w:t xml:space="preserve"> założeń </w:t>
      </w:r>
      <w:r w:rsidRPr="00415B4B">
        <w:rPr>
          <w:rFonts w:eastAsia="Times New Roman" w:cs="Times New Roman"/>
          <w:bCs/>
          <w:szCs w:val="24"/>
        </w:rPr>
        <w:t xml:space="preserve">prac nad </w:t>
      </w:r>
      <w:r w:rsidRPr="00415B4B">
        <w:rPr>
          <w:rFonts w:eastAsia="Times New Roman" w:cs="Times New Roman"/>
          <w:bCs/>
          <w:szCs w:val="24"/>
          <w:lang w:eastAsia="en-US"/>
        </w:rPr>
        <w:t>projekt</w:t>
      </w:r>
      <w:r w:rsidRPr="00415B4B">
        <w:rPr>
          <w:rFonts w:eastAsia="Times New Roman" w:cs="Times New Roman"/>
          <w:bCs/>
          <w:szCs w:val="24"/>
        </w:rPr>
        <w:t>em ustawy</w:t>
      </w:r>
      <w:r w:rsidRPr="00415B4B">
        <w:rPr>
          <w:rFonts w:eastAsia="Times New Roman" w:cs="Times New Roman"/>
          <w:bCs/>
          <w:szCs w:val="24"/>
          <w:lang w:eastAsia="en-US"/>
        </w:rPr>
        <w:t xml:space="preserve"> (</w:t>
      </w:r>
      <w:r w:rsidRPr="00415B4B">
        <w:rPr>
          <w:rFonts w:eastAsia="Times New Roman" w:cs="Times New Roman"/>
          <w:bCs/>
          <w:szCs w:val="24"/>
        </w:rPr>
        <w:t xml:space="preserve">realizacja w terminie </w:t>
      </w:r>
      <w:r w:rsidRPr="00415B4B">
        <w:rPr>
          <w:rFonts w:eastAsia="Times New Roman" w:cs="Times New Roman"/>
          <w:bCs/>
          <w:szCs w:val="24"/>
          <w:lang w:eastAsia="en-US"/>
        </w:rPr>
        <w:t>od 2 kwietnia 2024 r. do 23 kwietnia 2024 r</w:t>
      </w:r>
      <w:r w:rsidRPr="00415B4B">
        <w:rPr>
          <w:rFonts w:eastAsia="Times New Roman" w:cs="Times New Roman"/>
          <w:bCs/>
          <w:szCs w:val="24"/>
        </w:rPr>
        <w:t>). Respondenci tego procesu</w:t>
      </w:r>
      <w:r w:rsidRPr="00415B4B">
        <w:rPr>
          <w:rFonts w:eastAsia="Times New Roman" w:cs="Times New Roman"/>
          <w:bCs/>
          <w:szCs w:val="24"/>
          <w:lang w:eastAsia="en-US"/>
        </w:rPr>
        <w:t xml:space="preserve"> w zdecydowanej większości opowiedzieli się za koniecznością powołania nowego organu nadzoru jako najlepszym rozwiązaniem systemowym</w:t>
      </w:r>
      <w:r w:rsidRPr="00415B4B">
        <w:rPr>
          <w:rFonts w:eastAsia="Times New Roman" w:cs="Times New Roman"/>
          <w:bCs/>
          <w:szCs w:val="24"/>
        </w:rPr>
        <w:t xml:space="preserve"> odpowiadającym potrzebom rozwoju polskiego ekosystemu sztucznej inteligencji</w:t>
      </w:r>
      <w:r w:rsidRPr="00415B4B">
        <w:rPr>
          <w:rFonts w:eastAsia="Times New Roman" w:cs="Times New Roman"/>
          <w:bCs/>
          <w:szCs w:val="24"/>
          <w:vertAlign w:val="superscript"/>
          <w:lang w:eastAsia="en-US"/>
        </w:rPr>
        <w:footnoteReference w:id="3"/>
      </w:r>
      <w:r w:rsidRPr="00415B4B">
        <w:rPr>
          <w:rFonts w:eastAsia="Times New Roman" w:cs="Times New Roman"/>
          <w:bCs/>
          <w:szCs w:val="24"/>
          <w:lang w:eastAsia="en-US"/>
        </w:rPr>
        <w:t>.</w:t>
      </w:r>
    </w:p>
    <w:p w14:paraId="2E777C2D"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Times New Roman" w:cs="Times New Roman"/>
          <w:szCs w:val="24"/>
          <w:lang w:eastAsia="en-US"/>
        </w:rPr>
        <w:t>Należy podkreślić także, że rozwiązanie oparte na utworzeniu nowej, wyspecjalizowanej w obszarze AI instytucji zostało już przyjęte i uchwalone w formie ustawy w Hiszpanii</w:t>
      </w:r>
      <w:r w:rsidRPr="00415B4B">
        <w:rPr>
          <w:rFonts w:eastAsia="Times New Roman" w:cs="Times New Roman"/>
          <w:szCs w:val="24"/>
          <w:vertAlign w:val="superscript"/>
          <w:lang w:eastAsia="en-US"/>
        </w:rPr>
        <w:footnoteReference w:id="4"/>
      </w:r>
      <w:r w:rsidRPr="00415B4B">
        <w:rPr>
          <w:rFonts w:eastAsia="Times New Roman" w:cs="Times New Roman"/>
          <w:szCs w:val="24"/>
          <w:lang w:eastAsia="en-US"/>
        </w:rPr>
        <w:t xml:space="preserve">. Dodatkową okolicznością przemawiającą za (systemową i ekonomiczną) optymalnością wskazanego modelu jest mała liczba specjalistów z ww. obszarów, co w przypadku Polski powodowałoby ryzyko niespełnienia tych wymagań oraz prowadziłoby do szkodliwej </w:t>
      </w:r>
      <w:r w:rsidRPr="00415B4B">
        <w:rPr>
          <w:rFonts w:eastAsia="Times New Roman" w:cs="Times New Roman"/>
          <w:szCs w:val="24"/>
          <w:lang w:eastAsia="en-US"/>
        </w:rPr>
        <w:lastRenderedPageBreak/>
        <w:t>konkurencji między organami i rywalizacji o wąskie grono wysoko wyspecjalizowanych ekspertów.</w:t>
      </w:r>
    </w:p>
    <w:p w14:paraId="38E39700" w14:textId="3B20C8AF"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Powołanie nowego organu jawi się również jako racjonalne z punktu widzenia interesu sektora finansów publicznych. Jak wspominano, w aktualnym stanie prawnym brakuje podmiotu spełniającego wymagania, o których mowa w art. 70 ust. 3 rozporządzenia 2024/1689, a więc łącznego i równoczesnego zagwarantowania odpowiedniej liczby specjalistów w zakresie dogłębnej znajomości kwestii z zakresu technologii AI, danych i metod przetwarzania danych, ochrony danych osobowych, cyberbezpieczeństwa, praw podstawowych, ryzyka dla zdrowia i bezpieczeństwa oraz wiedzy na temat obowiązujących norm i wymogów prawnych. Rozwiązanie alternatywne do powołania nowego organu, tj. zakładające dystrybucję kompetencji pomiędzy już istniejące podmioty publiczne, wymagałoby bowiem sfinansowania kosztów wynikających z zapewnieniem spełnienia wszystkich powyższych kompetencji u pracowników każdej z tych instytucji równocześnie, co mogłoby być uznane jako naddatkowe i niekorzystne </w:t>
      </w:r>
      <w:r w:rsidR="00051824">
        <w:rPr>
          <w:rFonts w:eastAsia="Times New Roman" w:cs="Times New Roman"/>
          <w:bCs/>
          <w:lang w:eastAsia="en-US"/>
        </w:rPr>
        <w:t xml:space="preserve">z </w:t>
      </w:r>
      <w:r w:rsidRPr="00415B4B">
        <w:rPr>
          <w:rFonts w:eastAsia="Times New Roman" w:cs="Times New Roman"/>
          <w:bCs/>
          <w:lang w:eastAsia="en-US"/>
        </w:rPr>
        <w:t>punktu widzenia polskiego podatnika.</w:t>
      </w:r>
    </w:p>
    <w:p w14:paraId="0E24ADE0" w14:textId="77777777" w:rsidR="00673E6D" w:rsidRPr="00415B4B" w:rsidRDefault="00673E6D" w:rsidP="005378F2">
      <w:pPr>
        <w:widowControl/>
        <w:suppressAutoHyphens/>
        <w:spacing w:before="120"/>
        <w:jc w:val="both"/>
        <w:rPr>
          <w:rFonts w:eastAsia="MS Mincho" w:cs="Times New Roman"/>
          <w:b/>
          <w:bCs/>
        </w:rPr>
      </w:pPr>
      <w:r w:rsidRPr="00415B4B">
        <w:rPr>
          <w:rFonts w:eastAsia="MS Mincho" w:cs="Times New Roman"/>
          <w:b/>
          <w:bCs/>
        </w:rPr>
        <w:t>Rozdział 1 – Przepisy ogólne (art. 1 – art. 4)</w:t>
      </w:r>
    </w:p>
    <w:p w14:paraId="302F19CE" w14:textId="6A71B559"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Rozdział 1 określa </w:t>
      </w:r>
      <w:r w:rsidRPr="00415B4B">
        <w:rPr>
          <w:rFonts w:eastAsia="MS Mincho" w:cs="Times New Roman"/>
          <w:bCs/>
        </w:rPr>
        <w:t>zakres podmiotowy ustawy</w:t>
      </w:r>
      <w:r w:rsidR="00051824">
        <w:rPr>
          <w:rFonts w:eastAsia="MS Mincho" w:cs="Times New Roman"/>
          <w:bCs/>
        </w:rPr>
        <w:t>,</w:t>
      </w:r>
      <w:r w:rsidRPr="00415B4B">
        <w:rPr>
          <w:rFonts w:eastAsia="MS Mincho" w:cs="Times New Roman"/>
          <w:bCs/>
        </w:rPr>
        <w:t xml:space="preserve"> stanowiąc, że przepisy ustawy będą miały zastosowanie do osób fizycznych, osób prawnych oraz jednostek organizacyjnych nieposiadających osobowości prawnej, jak również </w:t>
      </w:r>
      <w:r w:rsidRPr="00415B4B">
        <w:rPr>
          <w:rFonts w:eastAsia="Times New Roman" w:cs="Times New Roman"/>
          <w:bCs/>
          <w:lang w:eastAsia="en-US"/>
        </w:rPr>
        <w:t>zakres przedmiotowy ustawy, w ramach którego planuje się określenie sposobu sprawowania nadzoru nad rynkiem, postępowanie w sprawie naruszenia przepisów rozporządzenia 2024/1689 i ustawy, warunki i tryb akredytacji oraz notyfikacji jednostek oceniających zgodność, działania wspierające rozwój systemów sztucznej inteligencji oraz zasady nakładania administracyjnych kar pieniężnych za naruszenie przepisów rozporządzenia 2024/1689.</w:t>
      </w:r>
    </w:p>
    <w:p w14:paraId="19FDCCDA" w14:textId="73BFC6CD"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Projektodawca określił zarówno zakres podmiotowy</w:t>
      </w:r>
      <w:r w:rsidR="00051824">
        <w:rPr>
          <w:rFonts w:eastAsia="Times New Roman" w:cs="Times New Roman"/>
          <w:bCs/>
          <w:lang w:eastAsia="en-US"/>
        </w:rPr>
        <w:t>,</w:t>
      </w:r>
      <w:r w:rsidRPr="00415B4B">
        <w:rPr>
          <w:rFonts w:eastAsia="Times New Roman" w:cs="Times New Roman"/>
          <w:bCs/>
          <w:lang w:eastAsia="en-US"/>
        </w:rPr>
        <w:t xml:space="preserve"> jak i przedmiotowy w ten sposób, by był kompatybilny z przepisami oraz celami określonymi w rozporządzeniu 2024/1689.</w:t>
      </w:r>
      <w:r w:rsidRPr="00415B4B">
        <w:rPr>
          <w:rFonts w:ascii="Times" w:eastAsia="MS Mincho" w:hAnsi="Times"/>
          <w:bCs/>
        </w:rPr>
        <w:t xml:space="preserve"> </w:t>
      </w:r>
    </w:p>
    <w:p w14:paraId="38A898F1" w14:textId="1F3A8F86" w:rsidR="00673E6D" w:rsidRPr="00415B4B" w:rsidRDefault="00673E6D" w:rsidP="005378F2">
      <w:pPr>
        <w:widowControl/>
        <w:suppressAutoHyphens/>
        <w:spacing w:before="120"/>
        <w:jc w:val="both"/>
        <w:rPr>
          <w:rFonts w:eastAsia="Calibri" w:cs="Times New Roman"/>
          <w:bCs/>
        </w:rPr>
      </w:pPr>
      <w:r w:rsidRPr="00415B4B">
        <w:rPr>
          <w:rFonts w:eastAsia="Times New Roman" w:cs="Times New Roman"/>
          <w:bCs/>
          <w:lang w:eastAsia="en-US"/>
        </w:rPr>
        <w:t xml:space="preserve">Z zakresu stosowania rozporządzenia 2024/1689 (art. 2 ust. 3) i ustawy w art. 2 zostały wyłączone sprawy związane z obroną narodową, określone w projekcie poprzez odwołanie do art. 19 ust. 1 ustawy z dnia 4 września 1997 r. o działach administracji rządowej (Dz. U. z 2026 r. poz. 1158). Dodatkowo, zgodnie z treścią rozporządzenia 2024/1689, z zakresu przedmiotowych przepisów wyłączone mają być również sprawy będące w zakresie bezpieczeństwa narodowego, obejmujące działania służb specjalnych w rozumieniu art. 11 ustawy z dnia 24 maja 2002 r. o Agencji Bezpieczeństwa Wewnętrznego oraz Agencji </w:t>
      </w:r>
      <w:r w:rsidRPr="00415B4B">
        <w:rPr>
          <w:rFonts w:eastAsia="Times New Roman" w:cs="Times New Roman"/>
          <w:bCs/>
          <w:lang w:eastAsia="en-US"/>
        </w:rPr>
        <w:lastRenderedPageBreak/>
        <w:t>Wywiadu (</w:t>
      </w:r>
      <w:r w:rsidRPr="00415B4B">
        <w:rPr>
          <w:rFonts w:ascii="Times" w:eastAsia="Times New Roman" w:hAnsi="Times"/>
          <w:bCs/>
        </w:rPr>
        <w:t>Dz. U. z 2025 r. poz. 902, z późn. zm.</w:t>
      </w:r>
      <w:r w:rsidRPr="00415B4B">
        <w:rPr>
          <w:rFonts w:eastAsia="Times New Roman" w:cs="Times New Roman"/>
          <w:bCs/>
          <w:lang w:eastAsia="en-US"/>
        </w:rPr>
        <w:t xml:space="preserve">), a także </w:t>
      </w:r>
      <w:r w:rsidRPr="00415B4B">
        <w:rPr>
          <w:rFonts w:eastAsia="MS Mincho"/>
          <w:bCs/>
        </w:rPr>
        <w:t xml:space="preserve">w art. </w:t>
      </w:r>
      <w:r w:rsidRPr="00415B4B">
        <w:rPr>
          <w:rFonts w:eastAsia="Calibri" w:cs="Times New Roman"/>
          <w:bCs/>
        </w:rPr>
        <w:t>5 i art. 6</w:t>
      </w:r>
      <w:r w:rsidRPr="00415B4B">
        <w:rPr>
          <w:rFonts w:eastAsia="MS Mincho"/>
          <w:bCs/>
        </w:rPr>
        <w:t xml:space="preserve"> ustawy z dnia </w:t>
      </w:r>
      <w:r w:rsidRPr="00415B4B">
        <w:rPr>
          <w:rFonts w:eastAsia="Calibri" w:cs="Times New Roman"/>
          <w:bCs/>
        </w:rPr>
        <w:t>9 czerwca 2006 r. o Służbie Kontrwywiadu Wojskowego oraz Służbie Wywiadu Wojskowego (Dz. U. z 2024 r. poz. 1405, z późn. zm.). Intencją projektu jest całkowite wyłączenie działalności służb specjalnych spod właściwości Komisji Rozwoju i Bezpieczeństwa Sztucznej Inteligencji.</w:t>
      </w:r>
    </w:p>
    <w:p w14:paraId="370035E9" w14:textId="24A0D4A2" w:rsidR="00673E6D" w:rsidRPr="00415B4B" w:rsidRDefault="00673E6D" w:rsidP="005378F2">
      <w:pPr>
        <w:widowControl/>
        <w:suppressAutoHyphens/>
        <w:spacing w:before="120"/>
        <w:jc w:val="both"/>
        <w:rPr>
          <w:rFonts w:eastAsia="Times New Roman" w:cs="Times New Roman"/>
          <w:bCs/>
          <w:lang w:eastAsia="en-US"/>
        </w:rPr>
      </w:pPr>
      <w:r w:rsidRPr="00415B4B">
        <w:rPr>
          <w:rFonts w:eastAsia="Calibri" w:cs="Times New Roman"/>
          <w:bCs/>
        </w:rPr>
        <w:t xml:space="preserve">Wyłączenie spraw związanych z obroną narodową oraz bezpieczeństwem </w:t>
      </w:r>
      <w:r>
        <w:rPr>
          <w:rFonts w:eastAsia="Calibri" w:cs="Times New Roman"/>
          <w:bCs/>
        </w:rPr>
        <w:t>narodowym</w:t>
      </w:r>
      <w:r w:rsidRPr="00415B4B">
        <w:rPr>
          <w:rFonts w:eastAsia="Calibri" w:cs="Times New Roman"/>
          <w:bCs/>
        </w:rPr>
        <w:t xml:space="preserve"> jest uzasadnione kilkoma istotnymi powodami. Przede wszystkim kwestie te są kluczowe dla stabilności i ochrony państwa, dlatego wymagają specjalnych procedur i środków, które są niezbędne do skutecznego zarządzania zagrożeniami. Przepisy dotyczące obrony narodowej i bezpieczeństwa narodowego często wymagają specyficznych regulacji, które mogą nie być kompatybilne z ogólnymi przepisami dotyczącymi sztucznej inteligencji. Wyłączenie tych obszarów pozwala na dostosowanie regulacji do unikalnych potrzeb i wymagań tych sektorów. </w:t>
      </w:r>
    </w:p>
    <w:p w14:paraId="1E20F5C0" w14:textId="490A133B"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rPr>
        <w:t>Jednocześnie w celu zapewnienia stosowania i przestrzegania przepisów rozporządzenia 2024/1689 w odniesieniu do specyfiki działania służb specjalnych, w projekcie proponuj</w:t>
      </w:r>
      <w:r>
        <w:rPr>
          <w:rFonts w:eastAsia="Calibri" w:cs="Times New Roman"/>
          <w:bCs/>
        </w:rPr>
        <w:t>e się</w:t>
      </w:r>
      <w:r w:rsidRPr="00415B4B">
        <w:rPr>
          <w:rFonts w:eastAsia="Calibri" w:cs="Times New Roman"/>
          <w:bCs/>
        </w:rPr>
        <w:t xml:space="preserve"> wskazanie Prezesa Rady Ministrów albo Ministra </w:t>
      </w:r>
      <w:r w:rsidR="008E7280">
        <w:rPr>
          <w:rFonts w:eastAsia="Calibri" w:cs="Times New Roman"/>
          <w:bCs/>
        </w:rPr>
        <w:t>–</w:t>
      </w:r>
      <w:r w:rsidRPr="00415B4B">
        <w:rPr>
          <w:rFonts w:eastAsia="Calibri" w:cs="Times New Roman"/>
          <w:bCs/>
        </w:rPr>
        <w:t xml:space="preserve"> Koordynatora Służb Specjalnych, w przypadku jego powołania, jako organu właściwego do prowadzenia kontroli działalności służb specjalnych, o których mowa w art. 11 ustawy z dnia 24 maja 2002 r. o Agencji Bezpieczeństwa Wewnętrznego oraz Agencji Wywiadu, w zakresie przestrzegania przepisów rozporządzenia 2024/1689 i projektowanej ustawy. Zaproponowane powyżej rozwiązania prawne umożliwią stosowanie przepisów rozporządzenia 2024/1689 wobec służb specjalnych, przy jednoczesnym zachowaniu przez każdą z nich należytego poziomu ochrony środków, form i metod realizacji zadań, zgromadzonych informacji oraz własnych obiektów i danych identyfikujących funkcjonariuszy służby, do której to ochrony służby specjalne są zobowiązane przepisami ustawowymi.</w:t>
      </w:r>
      <w:r w:rsidRPr="00415B4B">
        <w:t xml:space="preserve"> W zakresie kontroli </w:t>
      </w:r>
      <w:r w:rsidRPr="00415B4B">
        <w:rPr>
          <w:rFonts w:eastAsia="Calibri" w:cs="Times New Roman"/>
          <w:bCs/>
        </w:rPr>
        <w:t>odpowiednie zastosowanie będą mieć przepisy ustawy o kontroli w administracji rządowej, tak więc nie ma potrzeby dodatkowego normowania tej kwestii w przedmiotowym projekcie.</w:t>
      </w:r>
    </w:p>
    <w:p w14:paraId="718092E0" w14:textId="7F493671"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rPr>
        <w:t xml:space="preserve">Przepisów nie stosuje się także do </w:t>
      </w:r>
      <w:r w:rsidRPr="00415B4B">
        <w:rPr>
          <w:rFonts w:ascii="Times" w:eastAsia="MS Mincho" w:hAnsi="Times"/>
          <w:bCs/>
        </w:rPr>
        <w:t>badań podstawowych, aplikacyjnych oraz prac rozwojowych, o których mowa w art. 4 ust. 2 i 3 ustawy z dnia 20 lipca 2018 r. – Prawo o szkolnictwie wyższym i nauce (Dz. U. z 2024 r. poz. 1571, z późn. zm.)</w:t>
      </w:r>
      <w:r w:rsidR="008E7280">
        <w:rPr>
          <w:rFonts w:ascii="Times" w:eastAsia="MS Mincho" w:hAnsi="Times"/>
          <w:bCs/>
        </w:rPr>
        <w:t>,</w:t>
      </w:r>
      <w:r w:rsidRPr="00415B4B">
        <w:rPr>
          <w:rFonts w:ascii="Times" w:eastAsia="MS Mincho" w:hAnsi="Times"/>
          <w:bCs/>
        </w:rPr>
        <w:t xml:space="preserve"> w zakresie, który nie obejmuje testów w warunkach rzeczywistych, o których mowa w art. 3 pkt 57 rozporządzenia 2024/1689. Wyłączenia dotyczące badań podstawowych, aplikacyjnych oraz prac rozwojowych wynikają z ich specyficznego charakteru i celu. Badania te mają na celu zdobywanie nowej wiedzy oraz rozwijanie innowacyjnych technologii, które mogą przyczynić </w:t>
      </w:r>
      <w:r w:rsidRPr="00415B4B">
        <w:rPr>
          <w:rFonts w:ascii="Times" w:eastAsia="MS Mincho" w:hAnsi="Times"/>
          <w:bCs/>
        </w:rPr>
        <w:lastRenderedPageBreak/>
        <w:t>się do postępu naukowego i technologicznego. Wyłączenie tych badań z przepisów pozwala na swobodniejszy rozwój nauki i innowacji, bez konieczności spełniania dodatkowych wymagań, które mogłyby ograniczać ich potencjał rozwojowy, a także jest spójne z przepisami rozporządzenia 2024/1689.</w:t>
      </w:r>
    </w:p>
    <w:p w14:paraId="6C8F8A31" w14:textId="77777777"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 xml:space="preserve">Zgodnie z treścią rozporządzenia, z zakresu stosowania przepisów ustawy wyłączone zostały także systemy AI udostępniane na podstawie bezpłatnych licencji otwartego oprogramowania, chyba że systemy te są wprowadzane do obrotu lub oddawane do użytku jako systemy AI wysokiego ryzyka lub jako system AI objęty art. 5 lub art. 50 rozporządzenia 2024/1689. Jest to wyłączenie spójne z art. 2 ust. 12 rozporządzenia 2024/1689. </w:t>
      </w:r>
    </w:p>
    <w:p w14:paraId="59B56C84" w14:textId="77777777"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 xml:space="preserve">Przepisów nie stosuje się także do </w:t>
      </w:r>
      <w:r w:rsidRPr="00415B4B">
        <w:rPr>
          <w:rFonts w:ascii="Times" w:eastAsia="Times New Roman" w:hAnsi="Times"/>
          <w:bCs/>
        </w:rPr>
        <w:t>systemów wprowadzonych do użytku wyłącznie dla celów w obszarze badań podstawowych, aplikacyjnych oraz prac rozwojowych przed wejściem w życie rozporządzenia 2024/1689.</w:t>
      </w:r>
    </w:p>
    <w:p w14:paraId="2010E164" w14:textId="2290AA1C"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Zgodnie z zakresem określonym przez unijnego prawodawcę (art. 2 ust. 10 rozporządzenia 2024/1689), projekt w art. 3 wyłącza z zakresu ustawy osoby fizyczne, które stosują systemy sztucznej inteligencji wyłącznie dla celów osobistych i niezwiązanych</w:t>
      </w:r>
      <w:r>
        <w:rPr>
          <w:rFonts w:eastAsia="Times New Roman" w:cs="Times New Roman"/>
          <w:bCs/>
          <w:lang w:eastAsia="en-US"/>
        </w:rPr>
        <w:t xml:space="preserve"> </w:t>
      </w:r>
      <w:r w:rsidRPr="00415B4B">
        <w:rPr>
          <w:rFonts w:eastAsia="Times New Roman" w:cs="Times New Roman"/>
          <w:bCs/>
          <w:lang w:eastAsia="en-US"/>
        </w:rPr>
        <w:t>z działalnością gospodarczą, rolniczą lub inną działalnością regulowaną przez prawo. Ponadto projekt wyłącza z zakresu ustawy organy publiczne, które są objęte innymi przepisami prawnymi. Projekt ten odnosi się do różnych rodzajów działalności gospodarczej, takich jak działalność zarobkowa prowadzona we własnym imieniu, działalność gospodarcza jako formalnie zarejestrowana działalność zarobkowa wykonywana we własnym imieniu, działalność nierejestrowa, a także działalność zawodowa wymagająca uprawnień państwowych.</w:t>
      </w:r>
    </w:p>
    <w:p w14:paraId="42A38036"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Aptos" w:cs="Times New Roman"/>
          <w:szCs w:val="24"/>
          <w:lang w:eastAsia="en-US"/>
        </w:rPr>
        <w:t xml:space="preserve">W art. 4 projektu określa się również stosowane w tekście definicje prawne, które wprowadzają wyjaśnienia terminów w oparciu o przepisy rozporządzenia 2024/1689. Zdaniem projektodawcy zachowanie spójności terminologicznej jest kluczowe dla właściwego stosowania rozporządzenia 2024/1689. </w:t>
      </w:r>
      <w:r w:rsidRPr="00415B4B">
        <w:rPr>
          <w:rFonts w:eastAsia="Calibri" w:cs="Times New Roman"/>
          <w:szCs w:val="24"/>
          <w:lang w:eastAsia="en-US"/>
        </w:rPr>
        <w:t>Projektowana ustawa nie będzie zawierała rozdziału określającego obowiązki operatorów uczestniczących w łańcuchu wartości AI, ponieważ obowiązki te są uregulowane w przepisach rozporządzenia 2024/1689 stosowanych bezpośrednio</w:t>
      </w:r>
      <w:r w:rsidRPr="00415B4B">
        <w:rPr>
          <w:rFonts w:eastAsia="Times New Roman" w:cs="Times New Roman"/>
          <w:szCs w:val="24"/>
          <w:lang w:eastAsia="en-US"/>
        </w:rPr>
        <w:t>.</w:t>
      </w:r>
    </w:p>
    <w:p w14:paraId="157A6B04" w14:textId="77777777" w:rsidR="00673E6D" w:rsidRPr="00415B4B" w:rsidRDefault="00673E6D" w:rsidP="005378F2">
      <w:pPr>
        <w:widowControl/>
        <w:suppressAutoHyphens/>
        <w:spacing w:before="120"/>
        <w:jc w:val="both"/>
        <w:rPr>
          <w:rFonts w:eastAsia="MS Mincho" w:cs="Times New Roman"/>
          <w:b/>
          <w:bCs/>
        </w:rPr>
      </w:pPr>
      <w:r w:rsidRPr="00415B4B">
        <w:rPr>
          <w:rFonts w:eastAsia="MS Mincho" w:cs="Times New Roman"/>
          <w:b/>
          <w:bCs/>
        </w:rPr>
        <w:t>Rozdział 2 – Organizacja nadzoru nad sztuczną inteligencją (art. 5 – art. 47)</w:t>
      </w:r>
    </w:p>
    <w:p w14:paraId="1468324D" w14:textId="7777777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Zgodnie z art. 70 ust. 1 oraz motywem 153 rozporządzenia 2024/1689, państwa członkowskie ustanawiają lub wyznaczają co najmniej jeden organ nadzoru rynku jako właściwy organ krajowy zobowiązany do wykonywania swoich uprawnień w sposób niezależny, bezstronny i </w:t>
      </w:r>
      <w:r w:rsidRPr="00415B4B">
        <w:rPr>
          <w:rFonts w:eastAsia="Times New Roman" w:cs="Times New Roman"/>
          <w:bCs/>
          <w:szCs w:val="24"/>
          <w:lang w:eastAsia="en-US"/>
        </w:rPr>
        <w:lastRenderedPageBreak/>
        <w:t>wolny od uprzedzeń. Sprawowanie nadzoru nad systemami AI przez ministra właściwego do spraw informatyzacji nie jest możliwe ze względu na wymaganą przez rozporządzenie niezależność organu nadzoru od administracji rządowej.</w:t>
      </w:r>
    </w:p>
    <w:p w14:paraId="7C5E7023"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W celu zapewniania wymogów rozporządzenia 2024/1689, jako organ nadzoru rynku systemów AI została ustanowiona Komisja Rozwoju i Bezpieczeństwa Sztucznej Inteligencji. Jej podstawowym zadaniem jest sprawowanie nadzoru nad wdrażaniem i stosowaniem sztucznej inteligencji w Polsce. Komisja została również wskazana jako pojedynczy punkt kontaktowy, o którym mowa w art. 70 ust. 2 rozporządzenia 2024/1689. </w:t>
      </w:r>
      <w:r w:rsidRPr="00415B4B">
        <w:rPr>
          <w:rFonts w:eastAsia="Times New Roman" w:cs="Times New Roman"/>
          <w:bCs/>
          <w:color w:val="000000" w:themeColor="text1"/>
          <w:lang w:eastAsia="en-US"/>
        </w:rPr>
        <w:t>Przyznanie prawa do używania pieczęci z godłem państwowym podkreśla rangę i oficjalny charakter działań Komisji.</w:t>
      </w:r>
    </w:p>
    <w:p w14:paraId="4E00E972" w14:textId="07C8CEB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Komisja odpowiada za komunikację z instytucjami unijnymi, w tym z Komisją Europejską i Europejską Radą ds. Sztucznej Inteligencji, co zapewnia spójność działań na poziomie europejskim. Zobowiązanie do współpracy z licznymi organami krajowymi, takimi jak Komisja Nadzoru Finansowego, Urząd Ochrony Konkurencji i Konsumentów, Urząd Ochrony Danych Osobowych, Urząd Patentowy RP, Urząd Rejestracji Produktów Leczniczych czy Krajowa Radą Radiofonii i Telewizji uwzględnia specyfikę różnych obszarów zastosowań sztucznej inteligencji, jak również odzwierciedla interdyscyplinarny charakter wyzwań związanych z AI i pozwala na kompleksowe podejście do regulacji. Istotna jest także współpraca z podmiotami odpowiedzialnymi za cyberbezpieczeństwo, co wynika z wrażliwości systemów AI na </w:t>
      </w:r>
      <w:proofErr w:type="spellStart"/>
      <w:r w:rsidRPr="00415B4B">
        <w:rPr>
          <w:rFonts w:eastAsia="Times New Roman" w:cs="Times New Roman"/>
          <w:bCs/>
          <w:lang w:eastAsia="en-US"/>
        </w:rPr>
        <w:t>cyberzagrożenia</w:t>
      </w:r>
      <w:proofErr w:type="spellEnd"/>
      <w:r w:rsidRPr="00415B4B">
        <w:rPr>
          <w:rFonts w:eastAsia="Times New Roman" w:cs="Times New Roman"/>
          <w:bCs/>
          <w:lang w:eastAsia="en-US"/>
        </w:rPr>
        <w:t xml:space="preserve"> oraz dużą (i rosnącą) rolą AI zarówno w technikach ataków, jak i ochrony przed incydentami. </w:t>
      </w:r>
    </w:p>
    <w:p w14:paraId="1408A8A3" w14:textId="1C4385BF"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Należy również podkreślić, że rozwiązania proponowane w ustawie nie wyczerpują docelowego, kompletnego zakresu nadzoru nad systemami sztucznej inteligencji w Polsce. Wynika to z faktu, że projekt nie obejmuje obszaru określonego jako wysokiego ryzyka. Docelowo w nadzorze uczestniczyć będą również organy przewidziane w treści przepisów rozporządzenia 2024/1689 jako właściwe do nadzoru nad pozostającymi w ich zakresie kompetencji systemami wysokiego ryzyka. Opracowanie i przyjęcie przepisów w tym zakresie wstępnie uwarunkowane było opublikowaniem wytycznych Komisji Europejskiej dotyczących systemów wysokiego ryzyka. Obecnie procedowany jest natomiast projekt uproszczeń do rozporządzenia 2024/1689 (Omnibus AI) wprowadzający znaczne zmiany </w:t>
      </w:r>
      <w:r w:rsidR="008E7280">
        <w:rPr>
          <w:rFonts w:eastAsia="Times New Roman" w:cs="Times New Roman"/>
          <w:bCs/>
          <w:lang w:eastAsia="en-US"/>
        </w:rPr>
        <w:t xml:space="preserve">w </w:t>
      </w:r>
      <w:r w:rsidRPr="00415B4B">
        <w:rPr>
          <w:rFonts w:eastAsia="Times New Roman" w:cs="Times New Roman"/>
          <w:bCs/>
          <w:lang w:eastAsia="en-US"/>
        </w:rPr>
        <w:t xml:space="preserve">zakresie przepisów dotyczących tych systemów w tym terminu ich wejścia w życie. Omawiane działania na szczeblu unijnym mają bezpośredni wpływ na przyjęcie przepisów włączających w system nadzoru organy odpowiedzialne sektorowo za nadzór nad stosowaniem systemów AI w </w:t>
      </w:r>
      <w:r w:rsidRPr="00415B4B">
        <w:rPr>
          <w:rFonts w:eastAsia="Times New Roman" w:cs="Times New Roman"/>
          <w:bCs/>
          <w:lang w:eastAsia="en-US"/>
        </w:rPr>
        <w:lastRenderedPageBreak/>
        <w:t>obszarach takich jak m.in. medycyna i produkty lecznicze, transport i motoryzacja czy bezpieczeństwo publiczne, ochrona granic i polityka migracyjna (art. 6, Załączniki II–III).</w:t>
      </w:r>
    </w:p>
    <w:p w14:paraId="2B3A301C" w14:textId="7777777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W projekcie określono zadania Komisji, łącząc funkcje kontrolne z aktywnością wspierającą rozwój rynku AI. Kluczowe znaczenie ma nadzór nad przestrzeganiem przepisów unijnych i krajowych, co stanowi podstawową funkcję tego organu. Jednocześnie Komisja pełni ważną rolę w promowaniu innowacji poprzez działania edukacyjne i informacyjne. Zadania związane z opiniowaniem aktów prawnych i współpracą międzynarodową podkreślają strategiczne znaczenie Komisji w kształtowaniu polityki AI. Prowadzenie rejestru skarg tworzy system wczesnego ostrzegania przed zagrożeniami (rejestr ten nie stanowi rejestru publicznego). Szczególnie istotne jest zadanie tworzenia piaskownic regulacyjnych, które pozwalają na testowanie innowacyjnych rozwiązań w kontrolowanych warunkach. Kompetencje w zakresie wydawania decyzji i postanowień zapewniają Komisji niezbędne narzędzia do skutecznego wykonywania funkcji nadzorczych. </w:t>
      </w:r>
    </w:p>
    <w:p w14:paraId="7254732B"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Projekt umacnia także rolę Komisji jako ciała opiniotwórczego i doradczego w procesie legislacyjnym dotyczącym obszaru sztucznej inteligencji. Możliwość przedstawiania propozycji działań legislacyjnych ministrowi właściwemu do spraw informatyzacji pozwala na aktywne kształtowanie polityki regulacyjnej. Obowiązek publikowania przykładów dobrych praktyk służy upowszechnianiu standardów i promocji najlepszych rozwiązań wśród przedsiębiorców i jednostek publicznych. Przepisy te tworzą mechanizm oddziaływania Komisji nie tylko poprzez kontrolę, ale także poprzez inspirowanie i edukowanie uczestników rynku AI. </w:t>
      </w:r>
    </w:p>
    <w:p w14:paraId="2CD32006"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Komisja może ponadto wydawać opinie indywidualne i wyjaśnienia. Przepisy art. 8–art. 17 stanowią kompleksową regulację w tym zakresie w odniesieniu do stosowania przepisów rozporządzenia 2024/1689 i ustawy krajowej wdrażającej ten akt. Projektodawca, dostrzegając wysokie skomplikowanie regulacji w obszarze sztucznej inteligencji, a także potencjalne trudności interpretacyjne, zdecydował się wprowadzić mechanizmy wspierające podmioty zobowiązane do stosowania tych przepisów. Celem tych przepisów jest zapewnienie transparentności, przewidywalności oraz spójności stosowania prawa zarówno na poziomie jednostkowym, jak i systemowym.</w:t>
      </w:r>
    </w:p>
    <w:p w14:paraId="3A805322" w14:textId="18AE19A9"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Art. 8 wprowadza ogólną kompetencję Komisji do wydawania opinii indywidualnych oraz wyjaśnień. Komisja</w:t>
      </w:r>
      <w:r w:rsidR="008E7280">
        <w:rPr>
          <w:rFonts w:eastAsia="Times New Roman" w:cs="Times New Roman"/>
          <w:bCs/>
          <w:lang w:eastAsia="en-US"/>
        </w:rPr>
        <w:t>,</w:t>
      </w:r>
      <w:r w:rsidRPr="00415B4B">
        <w:rPr>
          <w:rFonts w:eastAsia="Times New Roman" w:cs="Times New Roman"/>
          <w:bCs/>
          <w:lang w:eastAsia="en-US"/>
        </w:rPr>
        <w:t xml:space="preserve"> jako organ nadzoru rynku nad systemami sztucznej inteligencji, posiada szczególne kompetencje merytoryczne, pozwalające na dokonywanie wiążących ocen prawnych w konkretnych przypadkach, a także formułowanie ogólnych wskazówek </w:t>
      </w:r>
      <w:r w:rsidRPr="00415B4B">
        <w:rPr>
          <w:rFonts w:eastAsia="Times New Roman" w:cs="Times New Roman"/>
          <w:bCs/>
          <w:lang w:eastAsia="en-US"/>
        </w:rPr>
        <w:lastRenderedPageBreak/>
        <w:t>interpretacyjnych. W art. 8 ust. 2 wprost wskazane zostało, że przy formułowaniu takich stanowisk Komisja powinna brać pod uwagę opinie i zalecenia Europejskiej Rady ds. Sztucznej Inteligencji, co służy zapewnieniu zgodności krajowej wykładni z kierunkiem wykładni prawa Unii Europejskiej w tym obszarze.</w:t>
      </w:r>
    </w:p>
    <w:p w14:paraId="680207BB" w14:textId="4DDD8BEA"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Art. 9 szczegółowo reguluje procedurę uzyskiwania opinii indywidualnej, czyli wiążącego stanowiska Komisji w indywidualnej sprawie. Konstrukcja ta ma na celu stworzenie bezpiecznej przestrzeni dla przedsiębiorców i innych podmiotów do uzyskania pewności co do legalności planowanych działań. Możliwość wystąpienia z wnioskiem zarówno w odniesieniu do stanów faktycznych już zaistniałych, jak i zdarzeń przyszłych, czyni z opinii indywidualnej skuteczne narzędzie zapobiegania naruszeniom prawa, a także umożliwia zgodne z przepisami planowanie działalności gospodarczej. Obowiązek uiszczenia opłaty</w:t>
      </w:r>
      <w:r w:rsidR="008E7280">
        <w:rPr>
          <w:rFonts w:eastAsia="Times New Roman" w:cs="Times New Roman"/>
          <w:bCs/>
          <w:lang w:eastAsia="en-US"/>
        </w:rPr>
        <w:t>,</w:t>
      </w:r>
      <w:r w:rsidRPr="00415B4B">
        <w:rPr>
          <w:rFonts w:eastAsia="Times New Roman" w:cs="Times New Roman"/>
          <w:bCs/>
          <w:lang w:eastAsia="en-US"/>
        </w:rPr>
        <w:t xml:space="preserve"> o której mowa w art. 11</w:t>
      </w:r>
      <w:r w:rsidR="005B10C1">
        <w:rPr>
          <w:rFonts w:eastAsia="Times New Roman" w:cs="Times New Roman"/>
          <w:bCs/>
          <w:lang w:eastAsia="en-US"/>
        </w:rPr>
        <w:t>,</w:t>
      </w:r>
      <w:r w:rsidRPr="00415B4B">
        <w:rPr>
          <w:rFonts w:eastAsia="Times New Roman" w:cs="Times New Roman"/>
          <w:bCs/>
          <w:lang w:eastAsia="en-US"/>
        </w:rPr>
        <w:t xml:space="preserve"> ma charakter dyscyplinujący oraz ogranicza możliwość nadużywania instytucji opinii do prób uzyskiwania bezpłatnych porad prawnych.</w:t>
      </w:r>
    </w:p>
    <w:p w14:paraId="30EF7C9B" w14:textId="22DAA853"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Zachowano przy tym gwarancje proceduralne – m.in. możliwość wezwania do uzupełnienia braków formalnych, określenie maksymalnych terminów na wydanie opinii oraz przyjęcie fikcji prawnej pozytywnego rozpatrzenia w przypadku ich przekroczenia. Wprowadzenie fikcji pozytywnego rozpatrzenia (tzw. milcząca zgoda) wzmacnia pozycję prawną wnioskodawców i mobilizuje Komisję do sprawnego działania. Wydając opinię indywidualną</w:t>
      </w:r>
      <w:r w:rsidR="008E7280">
        <w:rPr>
          <w:rFonts w:eastAsia="Times New Roman" w:cs="Times New Roman"/>
          <w:bCs/>
          <w:lang w:eastAsia="en-US"/>
        </w:rPr>
        <w:t>,</w:t>
      </w:r>
      <w:r w:rsidRPr="00415B4B">
        <w:rPr>
          <w:rFonts w:eastAsia="Times New Roman" w:cs="Times New Roman"/>
          <w:bCs/>
          <w:lang w:eastAsia="en-US"/>
        </w:rPr>
        <w:t xml:space="preserve"> Komisja może zasięgnąć opinii innych organów państwowych i jednostek organizacyjnych. Wiążący charakter opinii </w:t>
      </w:r>
      <w:r w:rsidRPr="00A554FB">
        <w:rPr>
          <w:rFonts w:eastAsia="Times New Roman" w:cs="Times New Roman"/>
          <w:bCs/>
          <w:lang w:eastAsia="en-US"/>
        </w:rPr>
        <w:t>dla Komisji i innych organów państwowych oraz jednostek organizacyjnych</w:t>
      </w:r>
      <w:r>
        <w:rPr>
          <w:rFonts w:eastAsia="Times New Roman" w:cs="Times New Roman"/>
          <w:bCs/>
          <w:lang w:eastAsia="en-US"/>
        </w:rPr>
        <w:t xml:space="preserve"> określonych w ustawie</w:t>
      </w:r>
      <w:r w:rsidRPr="00A554FB">
        <w:rPr>
          <w:rFonts w:eastAsia="Times New Roman" w:cs="Times New Roman"/>
          <w:bCs/>
          <w:lang w:eastAsia="en-US"/>
        </w:rPr>
        <w:t xml:space="preserve">, w zakresie danej sprawy dla wskazanego we wniosku stanu faktycznego lub zdarzenia przyszłego </w:t>
      </w:r>
      <w:r w:rsidRPr="00415B4B">
        <w:rPr>
          <w:rFonts w:eastAsia="Times New Roman" w:cs="Times New Roman"/>
          <w:bCs/>
          <w:lang w:eastAsia="en-US"/>
        </w:rPr>
        <w:t>wzmacnia bezpieczeństwo prawne wnioskodawców i ogranicza ryzyko rozbieżnych interpretacji tego samego stanu faktycznego przez różne instytucje. Ochrona tej decyzji przed zmianą, gdy wywołała ona nieodwracalne skutki prawne, chroni stabilność stosunków prawnych i respektuje zasadę zaufania obywateli do państwa.</w:t>
      </w:r>
    </w:p>
    <w:p w14:paraId="6E8C20D2"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Wprowadzono także mechanizmy weryfikacji i korekty opinii. W drodze zmiany, uchylenia lub stwierdzenia jej wygaśnięcia – w przypadku zmiany stanu prawnego, ujawnienia fałszywego oświadczenia lub wystąpienia innej przesłanki. Daje to Komisji elastyczne narzędzia dostosowywania się do zmieniających się uwarunkowań prawnych i faktycznych.</w:t>
      </w:r>
    </w:p>
    <w:p w14:paraId="10D40251" w14:textId="2A53B7EF"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Art. 16 uzupełnia regulację przez umożliwienie Komisji wydawania wyjaśnień</w:t>
      </w:r>
      <w:r>
        <w:rPr>
          <w:rFonts w:eastAsia="Times New Roman" w:cs="Times New Roman"/>
          <w:bCs/>
          <w:lang w:eastAsia="en-US"/>
        </w:rPr>
        <w:t xml:space="preserve"> o charakterze ogólnym</w:t>
      </w:r>
      <w:r w:rsidRPr="00415B4B">
        <w:rPr>
          <w:rFonts w:eastAsia="Times New Roman" w:cs="Times New Roman"/>
          <w:bCs/>
          <w:lang w:eastAsia="en-US"/>
        </w:rPr>
        <w:t xml:space="preserve"> dotyczących stosowania przepisów. Wyjaśnienia odmiennie od opinii indywidualnych nie mają charakteru wiążącego. Pełnią natomiast rolę instrukcyjną i edukacyjną, która jest istotna z punk</w:t>
      </w:r>
      <w:r w:rsidR="00B71123">
        <w:rPr>
          <w:rFonts w:eastAsia="Times New Roman" w:cs="Times New Roman"/>
          <w:bCs/>
          <w:lang w:eastAsia="en-US"/>
        </w:rPr>
        <w:t>t</w:t>
      </w:r>
      <w:r w:rsidRPr="00415B4B">
        <w:rPr>
          <w:rFonts w:eastAsia="Times New Roman" w:cs="Times New Roman"/>
          <w:bCs/>
          <w:lang w:eastAsia="en-US"/>
        </w:rPr>
        <w:t xml:space="preserve">u widzenia podmiotów objętych przepisami rozparzenia </w:t>
      </w:r>
      <w:r w:rsidRPr="00415B4B">
        <w:rPr>
          <w:rFonts w:eastAsia="Times New Roman" w:cs="Times New Roman"/>
          <w:bCs/>
          <w:lang w:eastAsia="en-US"/>
        </w:rPr>
        <w:lastRenderedPageBreak/>
        <w:t>2024/1689. Ułatwią one jednolite rozumienie i stosowanie prawa przez szeroki krąg podmiotów, zarówno urzędników, przedsiębiorców, jak i obywateli. Uwzględnienie dorobku orzeczniczego oraz dokumentów interpretacyjnych Komisji Europejskiej i Europejskiej Rady ds. Sztucznej Inteligencji stanowi wyraz dążenia do harmonizacji wykładni krajowej z unijną.</w:t>
      </w:r>
    </w:p>
    <w:p w14:paraId="306991CD"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 xml:space="preserve">Art. 17 ustanawia zasadę przejrzystości poprzez nakaz publikowania wydanych opinii i wyjaśnień (po ich </w:t>
      </w:r>
      <w:proofErr w:type="spellStart"/>
      <w:r w:rsidRPr="00415B4B">
        <w:rPr>
          <w:rFonts w:eastAsia="Times New Roman" w:cs="Times New Roman"/>
          <w:bCs/>
          <w:lang w:eastAsia="en-US"/>
        </w:rPr>
        <w:t>anonimizacji</w:t>
      </w:r>
      <w:proofErr w:type="spellEnd"/>
      <w:r w:rsidRPr="00415B4B">
        <w:rPr>
          <w:rFonts w:eastAsia="Times New Roman" w:cs="Times New Roman"/>
          <w:bCs/>
          <w:lang w:eastAsia="en-US"/>
        </w:rPr>
        <w:t>) w Biuletynie Informacji Publicznej. Służy to upowszechnianiu wiedzy prawnej, ułatwia dostęp do informacji, a także może zapobiegać składaniu wielokrotnie podobnych wniosków w analogicznych sprawach. Dodatkowo pełni funkcję kontrolną i legitymizującą działania Komisji w oczach opinii publicznej.</w:t>
      </w:r>
    </w:p>
    <w:p w14:paraId="5D0B3E0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Przepisy art. 8–art. 17 stanowią spójny system umożliwiający prawidłowe, jednolite i przewidywalne stosowanie przepisów dotyczących sztucznej inteligencji, zarówno w wymiarze indywidualnym, jak i ogólnym. Chronią interesy podmiotów regulowanych, wzmacniają zaufanie do instytucji publicznych, wspierają harmonizację krajowego i unijnego porządku prawnego oraz zwiększają bezpieczeństwo obrotu prawnego. Ich znaczenie praktyczne będzie rosło wraz z rozwojem zastosowań sztucznej inteligencji i dynamiką zmian regulacyjnych w tym obszarze.</w:t>
      </w:r>
    </w:p>
    <w:p w14:paraId="1357D3F0" w14:textId="77777777" w:rsidR="00673E6D" w:rsidRPr="00415B4B" w:rsidRDefault="00673E6D" w:rsidP="005378F2">
      <w:pPr>
        <w:widowControl/>
        <w:suppressAutoHyphens/>
        <w:spacing w:before="120"/>
        <w:jc w:val="both"/>
        <w:rPr>
          <w:rFonts w:eastAsia="Times New Roman" w:cs="Times New Roman"/>
          <w:bCs/>
        </w:rPr>
      </w:pPr>
      <w:r w:rsidRPr="00415B4B">
        <w:rPr>
          <w:lang w:eastAsia="en-US"/>
        </w:rPr>
        <w:t>Innym z zadań i uprawnień Komisji będzie możliwość przedstawiania sądowi istotny dla sprawy pogląd w sprawach w zakresie sztucznej inteligencji, jeżeli przemawia za tym interes publiczny. Komisja będzie mogła wykonywać to zadanie z własnej inicjatywy</w:t>
      </w:r>
      <w:r>
        <w:rPr>
          <w:lang w:eastAsia="en-US"/>
        </w:rPr>
        <w:t>,</w:t>
      </w:r>
      <w:r w:rsidRPr="00415B4B">
        <w:rPr>
          <w:lang w:eastAsia="en-US"/>
        </w:rPr>
        <w:t xml:space="preserve"> jak i na wniosek</w:t>
      </w:r>
      <w:r>
        <w:rPr>
          <w:lang w:eastAsia="en-US"/>
        </w:rPr>
        <w:t>.</w:t>
      </w:r>
    </w:p>
    <w:p w14:paraId="2B6A4A8C" w14:textId="39783BD0" w:rsidR="00673E6D" w:rsidRPr="00415B4B" w:rsidRDefault="00673E6D" w:rsidP="005378F2">
      <w:pPr>
        <w:widowControl/>
        <w:suppressAutoHyphens/>
        <w:spacing w:before="120"/>
        <w:jc w:val="both"/>
        <w:rPr>
          <w:rFonts w:eastAsia="Times New Roman" w:cs="Times New Roman"/>
          <w:bCs/>
          <w:color w:val="000000" w:themeColor="text1"/>
          <w:lang w:eastAsia="en-US"/>
        </w:rPr>
      </w:pPr>
      <w:r w:rsidRPr="00415B4B">
        <w:rPr>
          <w:rFonts w:eastAsia="Times New Roman" w:cs="Times New Roman"/>
          <w:bCs/>
          <w:color w:val="000000" w:themeColor="text1"/>
          <w:lang w:eastAsia="en-US"/>
        </w:rPr>
        <w:t>Skład Komisji został zaprojektowany tak, aby zapewnić reprezentację kluczowych podmiotów zaangażowanych w nadzór nad technologiami cyfrowymi, przy zachowaniu efektywności procesu decyzyjnego. Członkami Komisji będą Przewodniczący oraz dwóch Zastępców, a także czterej przedstawiciele wskazani przez organy publiczne: Prezesa Urzędu Ochrony Konkurencji i Konsumentów, Komisj</w:t>
      </w:r>
      <w:r w:rsidR="00B71123">
        <w:rPr>
          <w:rFonts w:eastAsia="Times New Roman" w:cs="Times New Roman"/>
          <w:bCs/>
          <w:color w:val="000000" w:themeColor="text1"/>
          <w:lang w:eastAsia="en-US"/>
        </w:rPr>
        <w:t>ę</w:t>
      </w:r>
      <w:r w:rsidRPr="00415B4B">
        <w:rPr>
          <w:rFonts w:eastAsia="Times New Roman" w:cs="Times New Roman"/>
          <w:bCs/>
          <w:color w:val="000000" w:themeColor="text1"/>
          <w:lang w:eastAsia="en-US"/>
        </w:rPr>
        <w:t xml:space="preserve"> Nadzoru Finansowego, Przewodniczącego Krajowej Rady Radiofonii i Telewizji oraz Prezesa Urzędu Komunikacji Elektronicznej. Obecność przedstawicieli instytucji o wysokim poziomie niezależności gwarantuje uwzględnienie różnych perspektyw w procesie decyzyjnym, a mechanizm zapraszania ekspertów z głosem doradczym pozwala na wykorzystanie specjalistycznej wiedzy w złożonych kwestiach technicznych, co jest szczególnie ważne w dynamicznie rozwijającej się dziedzinie AI. Ustawa dodatkowo zapewnia Przewodniczącemu Komisji, jego Zastępcom oraz członkom Komisji pełną niezależność w zakresie zadań realizowanych przez Komisję.  </w:t>
      </w:r>
    </w:p>
    <w:p w14:paraId="27BAA4B8" w14:textId="6F162AEF" w:rsidR="00673E6D" w:rsidRPr="00415B4B" w:rsidRDefault="00673E6D" w:rsidP="005378F2">
      <w:pPr>
        <w:widowControl/>
        <w:suppressAutoHyphens/>
        <w:spacing w:before="120"/>
        <w:jc w:val="both"/>
        <w:rPr>
          <w:rFonts w:eastAsia="Times New Roman" w:cs="Times New Roman"/>
          <w:bCs/>
          <w:color w:val="000000" w:themeColor="text1"/>
          <w:lang w:eastAsia="en-US"/>
        </w:rPr>
      </w:pPr>
      <w:r w:rsidRPr="00415B4B">
        <w:rPr>
          <w:rFonts w:eastAsia="Times New Roman" w:cs="Times New Roman"/>
          <w:bCs/>
          <w:color w:val="000000" w:themeColor="text1"/>
          <w:lang w:eastAsia="en-US"/>
        </w:rPr>
        <w:lastRenderedPageBreak/>
        <w:t>W projekcie przewidziano ponadto możliwość stałego udziału w posiedzeniach Komisji również przedstawicieli dodatkowych organów. Przepisy gwarantują udział bez prawa głosu na zasadach stałego obserwatora przedstawicieli organów i podmiotów wskazanych na zasadach określonych w art. 77 rozporządzenia 2024/1689 oraz przedstawicieli ministrów. Zapewni to koordynację działań z administracją rządową, po</w:t>
      </w:r>
      <w:r w:rsidR="00B71123">
        <w:rPr>
          <w:rFonts w:eastAsia="Times New Roman" w:cs="Times New Roman"/>
          <w:bCs/>
          <w:color w:val="000000" w:themeColor="text1"/>
          <w:lang w:eastAsia="en-US"/>
        </w:rPr>
        <w:t>z</w:t>
      </w:r>
      <w:r w:rsidRPr="00415B4B">
        <w:rPr>
          <w:rFonts w:eastAsia="Times New Roman" w:cs="Times New Roman"/>
          <w:bCs/>
          <w:color w:val="000000" w:themeColor="text1"/>
          <w:lang w:eastAsia="en-US"/>
        </w:rPr>
        <w:t xml:space="preserve">woli na sprawną współpracę organów, a także na szybsze reagowanie w przypadku zdarzeń o potencjalnie negatywnym wpływie na bezpieczeństwo obywateli i Państwa. Zasady dotyczące wynagrodzeń i zwrotu kosztów podróży zostały określone tak, aby zapewnić profesjonalizm prac Komisji przy zachowaniu zasad racjonalności wydatków publicznych. </w:t>
      </w:r>
    </w:p>
    <w:p w14:paraId="3E4DE1BD" w14:textId="77777777" w:rsidR="00673E6D" w:rsidRPr="00415B4B" w:rsidRDefault="00673E6D" w:rsidP="005378F2">
      <w:pPr>
        <w:widowControl/>
        <w:suppressAutoHyphens/>
        <w:spacing w:before="120"/>
        <w:jc w:val="both"/>
        <w:rPr>
          <w:rFonts w:eastAsia="Times New Roman" w:cs="Times New Roman"/>
          <w:bCs/>
          <w:color w:val="000000" w:themeColor="text1"/>
          <w:lang w:eastAsia="en-US"/>
        </w:rPr>
      </w:pPr>
      <w:r w:rsidRPr="00415B4B">
        <w:rPr>
          <w:rFonts w:eastAsia="Times New Roman" w:cs="Times New Roman"/>
          <w:bCs/>
          <w:color w:val="000000" w:themeColor="text1"/>
          <w:lang w:eastAsia="en-US"/>
        </w:rPr>
        <w:t xml:space="preserve">Procedury pracy Komisji zostały określone z zachowaniem zasad przejrzystości i efektywności, co jest kluczowe dla sprawnego funkcjonowania tego organu. Możliwość podejmowania uchwał zarówno na posiedzeniach, jak i w trybie obiegowym, a także zdalnego uczestnictwa w obradach, odpowiada współczesnym standardom funkcjonowania organów administracji i zapewnia elastyczność działania przy mniejszym obciążeniu kosztami i czasochłonnością wykonywanych zadań. </w:t>
      </w:r>
    </w:p>
    <w:p w14:paraId="4CD9E0A8" w14:textId="77777777" w:rsidR="00673E6D" w:rsidRPr="00415B4B" w:rsidRDefault="00673E6D" w:rsidP="005378F2">
      <w:pPr>
        <w:widowControl/>
        <w:suppressAutoHyphens/>
        <w:spacing w:before="120"/>
        <w:jc w:val="both"/>
        <w:rPr>
          <w:rFonts w:eastAsia="Times New Roman" w:cs="Times New Roman"/>
          <w:bCs/>
          <w:color w:val="0B769F" w:themeColor="accent4" w:themeShade="BF"/>
          <w:lang w:eastAsia="en-US"/>
        </w:rPr>
      </w:pPr>
      <w:r w:rsidRPr="00415B4B">
        <w:rPr>
          <w:rFonts w:eastAsia="Times New Roman" w:cs="Times New Roman"/>
          <w:bCs/>
          <w:color w:val="000000" w:themeColor="text1"/>
          <w:lang w:eastAsia="en-US"/>
        </w:rPr>
        <w:t>Mechanizmy dotyczące wyłączenia członków Komisji z posiedzeń w przypadku konfliktu interesów zapewniają bezstronność i obiektywizm postępowania. Szczegółowe zasady funkcjonowania Komisji, mające zostać określone w regulaminie, pozwolą na dostosowanie procedur do specyfiki rozpatrywanych spraw, przy jednoczesnym zachowaniu podstawowych standardów dobrego zarządzania. Sposób podejmowania uchwał, w tym zasady rozstrzygania remisów, został zaprojektowany tak, aby zapewnić skuteczność działania Komisji przy zachowaniu zasad demokratycznego podejmowania decyzji</w:t>
      </w:r>
      <w:r w:rsidRPr="00415B4B">
        <w:rPr>
          <w:rFonts w:eastAsia="Times New Roman" w:cs="Times New Roman"/>
          <w:bCs/>
          <w:color w:val="0B769F" w:themeColor="accent4" w:themeShade="BF"/>
          <w:lang w:eastAsia="en-US"/>
        </w:rPr>
        <w:t xml:space="preserve">. </w:t>
      </w:r>
    </w:p>
    <w:p w14:paraId="5D8C746E" w14:textId="77777777" w:rsidR="00673E6D" w:rsidRPr="00415B4B" w:rsidRDefault="00673E6D" w:rsidP="005378F2">
      <w:pPr>
        <w:widowControl/>
        <w:suppressAutoHyphens/>
        <w:spacing w:before="120"/>
        <w:jc w:val="both"/>
        <w:rPr>
          <w:rFonts w:eastAsia="Times New Roman" w:cs="Times New Roman"/>
          <w:bCs/>
          <w:color w:val="000000" w:themeColor="text1"/>
          <w:lang w:eastAsia="en-US"/>
        </w:rPr>
      </w:pPr>
      <w:r w:rsidRPr="00415B4B">
        <w:rPr>
          <w:rFonts w:eastAsia="Times New Roman" w:cs="Times New Roman"/>
          <w:bCs/>
          <w:color w:val="000000" w:themeColor="text1"/>
          <w:lang w:eastAsia="en-US"/>
        </w:rPr>
        <w:t xml:space="preserve">Przepisy określają zadania Przewodniczącego Komisji i składają się na konsekwentny system kierowania i reprezentacji tego organu. Przewodniczący pełni kluczową rolę w koordynacji prac Komisji, będąc odpowiedzialnym za jej reprezentację zewnętrzną i sprawozdawczość. Szczególnie istotne jest prawo do wyznaczania Sekretarza Komisji i Zastępców Przewodniczącego, co zapewnia płynność funkcjonowania organu. Obowiązek publikowania wykazu organów w BIP i przekazywania informacji do instytucji unijnych gwarantuje przejrzystość działań i spójność z wymogami europejskimi. Kompetencja do określania wymogów dotyczących funkcjonowania Komisji w drodze zarządzenia pozwala na elastyczne dostosowywanie się do zmieniających się potrzeb rynku AI. Zadania związane z podpisywaniem zaleceń pokontrolnych i podpisywaniem uchwał wzmacniają pozycję Przewodniczącego jako lidera merytorycznego Komisji. Dodatkowo współdziałanie </w:t>
      </w:r>
      <w:r w:rsidRPr="00415B4B">
        <w:rPr>
          <w:rFonts w:eastAsia="Times New Roman" w:cs="Times New Roman"/>
          <w:bCs/>
          <w:color w:val="000000" w:themeColor="text1"/>
          <w:lang w:eastAsia="en-US"/>
        </w:rPr>
        <w:lastRenderedPageBreak/>
        <w:t xml:space="preserve">Przewodniczącego Komisji z dyrektorem generalnym urzędu obsługującego ministra właściwego do spraw informatyzacji wpłynie na zapewnienie obsługi organizacyjnej, administracyjnej oraz merytorycznej Komisji, a także na zapewnienie środków finansowych na działania określone rozporządzeniem 2024/1689 i ustawą. </w:t>
      </w:r>
    </w:p>
    <w:p w14:paraId="705B9346" w14:textId="0EBFD65F"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Co roku Przewodniczący Komisji będzie ponadto obowiązany do przedstawiania szczegółowego sprawozdania Sejmowi</w:t>
      </w:r>
      <w:r w:rsidR="00B71123">
        <w:rPr>
          <w:rFonts w:eastAsia="Times New Roman" w:cs="Times New Roman"/>
          <w:bCs/>
          <w:szCs w:val="24"/>
          <w:lang w:eastAsia="en-US"/>
        </w:rPr>
        <w:t>,</w:t>
      </w:r>
      <w:r w:rsidRPr="00415B4B">
        <w:rPr>
          <w:rFonts w:eastAsia="Times New Roman" w:cs="Times New Roman"/>
          <w:bCs/>
          <w:szCs w:val="24"/>
          <w:lang w:eastAsia="en-US"/>
        </w:rPr>
        <w:t xml:space="preserve"> co wzmacnia jej odpowiedzialność przed władzą ustawodawczą i społeczeństwem. Zakres sprawozdania obejmuje zarówno aspekty merytoryczne (wyniki kontroli, analiza trendów), jak i finansowe (realizacja budżetu), co zapewnia kompleksową ocenę działalności organu. Część finansowa sprawozdania Komisji odnosi się do danych wynikających z wykonania planu finansowego części 27 budżetu państwa i ma charakter informacyjno-zadaniowy. Publikacja sprawozdania w BIP gwarantuje dostępność informacji dla wszystkich zainteresowanych podmiotów. Szczególnie istotne jest uwzględnienie w sprawozdaniu analizy </w:t>
      </w:r>
      <w:proofErr w:type="spellStart"/>
      <w:r w:rsidRPr="00415B4B">
        <w:rPr>
          <w:rFonts w:eastAsia="Times New Roman" w:cs="Times New Roman"/>
          <w:bCs/>
          <w:szCs w:val="24"/>
          <w:lang w:eastAsia="en-US"/>
        </w:rPr>
        <w:t>ryzyk</w:t>
      </w:r>
      <w:proofErr w:type="spellEnd"/>
      <w:r w:rsidRPr="00415B4B">
        <w:rPr>
          <w:rFonts w:eastAsia="Times New Roman" w:cs="Times New Roman"/>
          <w:bCs/>
          <w:szCs w:val="24"/>
          <w:lang w:eastAsia="en-US"/>
        </w:rPr>
        <w:t xml:space="preserve"> związanych z rozwojem AI, co pozwala na bieżące monitorowanie zagrożeń i dostosowywanie polityki w tym obszarze. </w:t>
      </w:r>
    </w:p>
    <w:p w14:paraId="042DD32D" w14:textId="44149F28" w:rsidR="00673E6D" w:rsidRPr="00415B4B" w:rsidRDefault="00673E6D" w:rsidP="005378F2">
      <w:pPr>
        <w:widowControl/>
        <w:autoSpaceDE/>
        <w:autoSpaceDN/>
        <w:adjustRightInd/>
        <w:spacing w:before="120"/>
        <w:jc w:val="both"/>
        <w:rPr>
          <w:rFonts w:eastAsia="Aptos"/>
          <w:szCs w:val="24"/>
          <w:lang w:eastAsia="en-US"/>
        </w:rPr>
      </w:pPr>
      <w:r w:rsidRPr="00415B4B">
        <w:rPr>
          <w:rFonts w:eastAsia="Aptos"/>
          <w:szCs w:val="24"/>
          <w:lang w:eastAsia="en-US"/>
        </w:rPr>
        <w:t>W projekcie przewidziano także regulacje nakładające na Przewodniczącego Komisji obowiązek dotyczący ustanawiania w formie zarządzenia, w zakresie zadań Komisji, wymogów</w:t>
      </w:r>
      <w:r w:rsidR="00B71123">
        <w:rPr>
          <w:rFonts w:eastAsia="Aptos"/>
          <w:szCs w:val="24"/>
          <w:lang w:eastAsia="en-US"/>
        </w:rPr>
        <w:t>,</w:t>
      </w:r>
      <w:r w:rsidRPr="00415B4B">
        <w:rPr>
          <w:rFonts w:eastAsia="Aptos"/>
          <w:szCs w:val="24"/>
          <w:lang w:eastAsia="en-US"/>
        </w:rPr>
        <w:t xml:space="preserve"> o których mowa w art. 70 ust. 3 rozporządzenia 2024/1689. Przewodniczący odpowiedzialny będzie także za ich coroczną ocenę oraz ewentualną aktualizację. Przepis zapewnia bieżącą aktualizację zasobów niezbędnych do realizacji zadań nadzorczych, organizacyjnych i administracyjnych. Dzięki temu zapewnione zostanie, że organ nadzorczy nie tylko formalnie istnieje, ale realnie może wykonywać swoje funkcje z odpowiednią skutecznością i niezależnością.</w:t>
      </w:r>
    </w:p>
    <w:p w14:paraId="6D0B2ACE"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zCs w:val="24"/>
          <w:lang w:eastAsia="en-US"/>
        </w:rPr>
        <w:t xml:space="preserve">Dodatkowo Przewodniczący Komisji zobowiązany został do sporządzenia i przekazania Komisji Europejskiej sprawozdania, o którym mowa w art. 70 ust. 6 rozporządzenia 2024/1689, w formie elektronicznej. Sprawozdanie to ma na celu ocenę efektywności działania krajowego organu nadzorczego oraz przedstawienie informacji o dostępnych zasobach. Przepis ten zapewnia realizację obowiązków sprawozdawczych wobec instytucji unijnych. </w:t>
      </w:r>
      <w:r w:rsidRPr="00415B4B">
        <w:rPr>
          <w:rFonts w:eastAsia="Aptos"/>
          <w:spacing w:val="-2"/>
          <w:szCs w:val="24"/>
          <w:lang w:eastAsia="en-US"/>
        </w:rPr>
        <w:t xml:space="preserve"> </w:t>
      </w:r>
    </w:p>
    <w:p w14:paraId="6076094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W projekcie ustawy przewidziano, że Przewodniczącego Komisji powołuje Sejm za zgodą Senatu. Rozwiązanie to zostało przyjęte z uwagi na szczególny charakter funkcji przewodniczącego oraz strategiczne znaczenie Komisji w systemie instytucjonalnym państwa. Oznacza to, że osoba stojąca na jej czele musi nie tylko posiadać wysokie kompetencje merytoryczne, ale także cieszyć się silną legitymacją demokratyczną i zaufaniem szerokiego spektrum politycznego.</w:t>
      </w:r>
    </w:p>
    <w:p w14:paraId="2B4F1774"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lang w:eastAsia="en-US"/>
        </w:rPr>
        <w:lastRenderedPageBreak/>
        <w:t>Powoływanie Przewodniczącego Komisji przez Sejm za zgodą Senatu wprowadza mechanizm równowagi i wzajemnej kontroli między obiema izbami parlamentu. Taki model procedury wyboru służy ograniczeniu ryzyka upolitycznienia stanowiska oraz zwiększa transparentność procesu, co ma szczególne znaczenie w przypadku urzędu odpowiedzialnego za nadzór nad dziedziną dynamicznie rozwijającą się, jaką jest sztuczna inteligencja.</w:t>
      </w:r>
    </w:p>
    <w:p w14:paraId="14438021"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lang w:eastAsia="en-US"/>
        </w:rPr>
        <w:t>Ponadto, przyjęta formuła jest spójna z rozwiązaniami ustrojowymi przewidzianymi w Konstytucji RP oraz w ustawach regulujących wybór innych kluczowych funkcjonariuszy publicznych. Analogiczne mechanizmy powołania – przez Sejm za zgodą Senatu – funkcjonują w przypadku Rzecznika Praw Obywatelskich czy Prezesa Najwyższej Izby Kontroli. Wprowadzenie podobnego trybu w odniesieniu do przewodniczącego Komisji gwarantuje ciągłość i konsekwencję w zakresie standardów wyboru osób na wysokie stanowiska państwowe, co sprzyja umacnianiu zasad państwa prawa, przejrzystości i odpowiedzialności instytucji publicznych.</w:t>
      </w:r>
    </w:p>
    <w:p w14:paraId="7C97344C"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lang w:eastAsia="en-US"/>
        </w:rPr>
        <w:t xml:space="preserve">Projekt wprowadza limit dwóch kadencji, który zapobiega nadmiernej koncentracji władzy. Przepisy te tworzą równowagę między potrzebą stabilności kierownictwa Komisji a koniecznością okresowej weryfikacji jego działań. Określono także okoliczności przedterminowego zakończenia kadencji Przewodniczącego Komisji, co stanowi ważny mechanizm kontrolny. Katalog przyczyn odwołania obejmuje zarówno sytuacje obiektywne (utrata zdolności do pełnienia funkcji), jak i przypadki naruszenia zasad etycznych (skazanie za przestępstwo). </w:t>
      </w:r>
    </w:p>
    <w:p w14:paraId="4FBE3E4C" w14:textId="7777777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Szczegółowa procedura naboru na stanowisko Zastępcy Przewodniczącego została zaprojektowana tak, aby zapewnić przejrzystość i </w:t>
      </w:r>
      <w:proofErr w:type="spellStart"/>
      <w:r w:rsidRPr="00415B4B">
        <w:rPr>
          <w:rFonts w:eastAsia="Times New Roman" w:cs="Times New Roman"/>
          <w:bCs/>
          <w:szCs w:val="24"/>
          <w:lang w:eastAsia="en-US"/>
        </w:rPr>
        <w:t>merytokratyczny</w:t>
      </w:r>
      <w:proofErr w:type="spellEnd"/>
      <w:r w:rsidRPr="00415B4B">
        <w:rPr>
          <w:rFonts w:eastAsia="Times New Roman" w:cs="Times New Roman"/>
          <w:bCs/>
          <w:szCs w:val="24"/>
          <w:lang w:eastAsia="en-US"/>
        </w:rPr>
        <w:t xml:space="preserve"> charakter procesu selekcji. Wymóg otwartego konkursu i publikacji ogłoszeń w BIP gwarantuje równy dostęp do stanowiska. Powołanie specjalistycznego zespołu rekrutacyjnego oraz możliwość zaangażowania zewnętrznych ekspertów zapewniają natomiast obiektywną ocenę kandydatów. Szczegółowe wymagania dotyczące protokołu i publikacji wyników zwiększają odpowiedzialność za podejmowane decyzje. Projektowane przepisy tworzą zatem system, który z jednej strony zapewnia wysokie kwalifikacje osób powoływanych na stanowiska, z drugiej zaś – przejrzystość procesu selekcji. </w:t>
      </w:r>
    </w:p>
    <w:p w14:paraId="5068B8A8" w14:textId="34390D6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Wprowadzono ograniczenia działalności dla członków Przewodniczącego i zastępców Przewodniczącego Komisji, co ma na celu wyeliminowanie potencjalnych konfliktów interesów. Zakaz przynależności do partii politycznych i związków zawodowych wzmacnia ponadto apolityczny charakter organu. Możliwość łączenia funkcji tylko z działalnością </w:t>
      </w:r>
      <w:r w:rsidRPr="00415B4B">
        <w:rPr>
          <w:rFonts w:eastAsia="Times New Roman" w:cs="Times New Roman"/>
          <w:bCs/>
          <w:szCs w:val="24"/>
          <w:lang w:eastAsia="en-US"/>
        </w:rPr>
        <w:lastRenderedPageBreak/>
        <w:t>naukową odpowiada specyfice obszaru AI, gdzie współpraca z środowiskiem akademickim jest szczególnie pożądana. Instytucja oświadczenia o braku konfliktu interesów stanowi natomiast dodatkowe zabezpieczenie od strony etycznej. Przepisy te zostały zaprojektowane tak</w:t>
      </w:r>
      <w:r w:rsidR="00CF1740">
        <w:rPr>
          <w:rFonts w:eastAsia="Times New Roman" w:cs="Times New Roman"/>
          <w:bCs/>
          <w:szCs w:val="24"/>
          <w:lang w:eastAsia="en-US"/>
        </w:rPr>
        <w:t>,</w:t>
      </w:r>
      <w:r w:rsidRPr="00415B4B">
        <w:rPr>
          <w:rFonts w:eastAsia="Times New Roman" w:cs="Times New Roman"/>
          <w:bCs/>
          <w:szCs w:val="24"/>
          <w:lang w:eastAsia="en-US"/>
        </w:rPr>
        <w:t xml:space="preserve"> aby tworzyć system gwarancji niezależności i bezstronności Przewodniczącego i Zastępców Przewodniczącego Komisji, co jest szczególnie ważne w kontekście wrażliwych kwestii regulacyjnych dotyczących sztucznej inteligencji. </w:t>
      </w:r>
    </w:p>
    <w:p w14:paraId="5C80F712"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Projekt ustawy kładzie również duży nacisk na zapewnienie ochrony tajemnic prawnie chronionych oraz danych osobowych. W celu ochrony zarówno tajemnicy prawnie chronionych, jak i wrażliwych informacji uzyskanych podczas wykonywania obowiązków wynikających z rozporządzenia 2024/1689 i ustawy, ustanowiono szeroki obowiązek zachowania tajemnicy przez osoby związane z Komisją. Obowiązek utrzymuje się nawet po zakończeniu współpracy, co zabezpiecza przed nieuprawnionym ujawnieniem informacji. Jest to szczególnie istotne w kontekście ochrony danych osobowych, tajemnic handlowych oraz innych poufnych informacji. Wyjątek dotyczący zawiadomień o przestępstwie, co tworzy równowagę między ochroną informacji a koniecznością zgłaszania nieprawidłowości. Wprowadzenie tego wyjątku pozwala na ujawnienie informacji w sytuacjach, gdy jest to konieczne dla zapobieżenia lub ścigania przestępstw. Zgłaszanie przestępstw jest niezbędne dla zapewnienia praworządności, a także dla ochrony interesów publicznych. </w:t>
      </w:r>
    </w:p>
    <w:p w14:paraId="5A9358E9" w14:textId="7777777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Określono także zasady przetwarzania danych osobowych przez Komisję w związku z realizacją jej zadań. Przetwarzanie będzie dotyczyło również danych, o których mowa </w:t>
      </w:r>
      <w:r w:rsidRPr="00415B4B">
        <w:t xml:space="preserve">w art. 9 ust. 1 i art. 10 rozporządzenia </w:t>
      </w:r>
      <w:r w:rsidRPr="00415B4B">
        <w:rPr>
          <w:rFonts w:eastAsia="Times New Roman" w:cs="Times New Roman"/>
          <w:bCs/>
          <w:szCs w:val="24"/>
          <w:lang w:eastAsia="en-US"/>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1C6C7A5" w14:textId="77777777" w:rsidR="00673E6D" w:rsidRPr="00415B4B" w:rsidRDefault="00673E6D" w:rsidP="005378F2">
      <w:pPr>
        <w:widowControl/>
        <w:suppressAutoHyphens/>
        <w:spacing w:before="120"/>
        <w:jc w:val="both"/>
        <w:rPr>
          <w:rFonts w:eastAsia="Times New Roman" w:cs="Times New Roman"/>
          <w:bCs/>
          <w:szCs w:val="24"/>
          <w:lang w:eastAsia="en-US"/>
        </w:rPr>
      </w:pPr>
      <w:r w:rsidRPr="00415B4B">
        <w:rPr>
          <w:rFonts w:eastAsia="Times New Roman" w:cs="Times New Roman"/>
          <w:bCs/>
          <w:szCs w:val="24"/>
          <w:lang w:eastAsia="en-US"/>
        </w:rPr>
        <w:t xml:space="preserve">Przepisy uwzględniają specyfikę danych przetwarzanych w systemach AI, jednocześnie wprowadzając mechanizmy okresowego przeglądu i usuwania zbędnych informacji. Przepis ten pozwala Komisji na dostęp do szczególnych danych w zakresie niezbędnym do realizacji jej zadań, jednocześnie określając warunki ich przekazywania innym uprawnionym podmiotom. Rozwiązanie to tworzy równowagę między efektywnością nadzoru a ochroną danych i tajemnicy przedsiębiorcy. </w:t>
      </w:r>
    </w:p>
    <w:p w14:paraId="21E5FF74"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Art. 43 projektu ustawy ma na celu stworzenie kompleksowych i trwałych ram organizacyjnych, które zapewnią skuteczne i profesjonalne wsparcie dla działalności Komisji i </w:t>
      </w:r>
      <w:r w:rsidRPr="00415B4B">
        <w:rPr>
          <w:rFonts w:eastAsia="Times New Roman" w:cs="Times New Roman"/>
          <w:bCs/>
          <w:lang w:eastAsia="en-US"/>
        </w:rPr>
        <w:lastRenderedPageBreak/>
        <w:t xml:space="preserve">Przewodniczącego Komisji. Komisja będzie funkcjonowała w urzędzie obsługującym ministra właściwego do spraw informatyzacji. </w:t>
      </w:r>
    </w:p>
    <w:p w14:paraId="0F85B7F2" w14:textId="6AED03AA"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Zgodnie z przepisami ustawy urząd obsługujący ministra właściwego do spraw informatyzacji zapewni obsługę administracyjno-kancelaryjną Komisji i Przewodniczącego Komisji. Komisja oraz Przewodniczący Komisji będą mogli upoważnić pracowników właściwej komórki ww. urzędu do realizacji swoich zadań wynikających z rozporządzenia 2024/1689 i ustawy. Upoważnienie to nie może jednak obejmować </w:t>
      </w:r>
      <w:r w:rsidRPr="00415B4B">
        <w:rPr>
          <w:rFonts w:eastAsia="Times"/>
          <w:lang w:eastAsia="en-US"/>
        </w:rPr>
        <w:t>wydawania postanowień i decyzji w sprawach o naruszenie przepisów rozporządzenia 2024/1689 oraz ustawy.</w:t>
      </w:r>
      <w:r w:rsidRPr="00415B4B">
        <w:rPr>
          <w:rFonts w:eastAsia="Times New Roman" w:cs="Times New Roman"/>
          <w:bCs/>
          <w:lang w:eastAsia="en-US"/>
        </w:rPr>
        <w:t xml:space="preserve"> W tym celu planuje się utworzenie nowej komórki organizacyjnej urzędu, której organizacja i zasady funkcjonowania zostaną określon</w:t>
      </w:r>
      <w:r w:rsidR="00CF1740">
        <w:rPr>
          <w:rFonts w:eastAsia="Times New Roman" w:cs="Times New Roman"/>
          <w:bCs/>
          <w:lang w:eastAsia="en-US"/>
        </w:rPr>
        <w:t>e</w:t>
      </w:r>
      <w:r w:rsidRPr="00415B4B">
        <w:rPr>
          <w:rFonts w:eastAsia="Times New Roman" w:cs="Times New Roman"/>
          <w:bCs/>
          <w:lang w:eastAsia="en-US"/>
        </w:rPr>
        <w:t xml:space="preserve"> w regulaminie. Do spraw wynikających z zatrudnienia w ww. komórce organizacyjnej urzędu będą miały zastosowanie przepisy obowiązujące w tym zakresie w Ministerstwie Cyfryzacji. Warto jednak zaznaczyć, że z uwagi na przedmiot regulacji osoby wykonujące na podstawie upoważnienia zadania na rzecz Komisji będą zatrudniane na postawie przepisów ustawy o służbie cywilnej, kodeksu pracy, ale też nie wyklucza się umowy o dzieło, umowy zlecenia, umowy agencyjnej albo innych umów o podobnym charakterze. W celu wzmocnienia niezależności organu i pracowników realizujących jego zadania przyjęto rozwiązanie</w:t>
      </w:r>
      <w:r w:rsidR="00CF1740">
        <w:rPr>
          <w:rFonts w:eastAsia="Times New Roman" w:cs="Times New Roman"/>
          <w:bCs/>
          <w:lang w:eastAsia="en-US"/>
        </w:rPr>
        <w:t>,</w:t>
      </w:r>
      <w:r w:rsidRPr="00415B4B">
        <w:rPr>
          <w:rFonts w:eastAsia="Times New Roman" w:cs="Times New Roman"/>
          <w:bCs/>
          <w:lang w:eastAsia="en-US"/>
        </w:rPr>
        <w:t xml:space="preserve"> zgodnie z którym Przewodniczący Komisji będzie współdziałał z Dyrektorem Generalnym urzędu w zakresie spraw pracowniczych wynikających z art. 25 ust. 4 ustawy z dnia 21 listopada 2008 r. o służbie cywilnej, a także w zakresie spraw związanych z audytem i ochroną informacji. Pracownicy ww. komórki organizacyjnej będą podlegali Przewodniczącemu Komisji.</w:t>
      </w:r>
    </w:p>
    <w:p w14:paraId="17EE783D" w14:textId="73E45A53" w:rsidR="00673E6D" w:rsidRPr="00415B4B" w:rsidRDefault="00673E6D" w:rsidP="005378F2">
      <w:pPr>
        <w:widowControl/>
        <w:suppressAutoHyphens/>
        <w:spacing w:before="120"/>
        <w:jc w:val="both"/>
      </w:pPr>
      <w:r w:rsidRPr="00415B4B">
        <w:rPr>
          <w:rFonts w:eastAsia="Times New Roman" w:cs="Times New Roman"/>
          <w:lang w:eastAsia="en-US"/>
        </w:rPr>
        <w:t>Przepisy ustawy także określają status prawny Przewodniczącego Komisji, jego Zastępców i członków Komisji. Projekt ustawy wskazuje wysokość wynagrodzenia Przewodniczącego Komisji i jego zastępców. Mając na uwadze zachowanie transparentności finansowej oraz niezależności osób powołanych na ww. stanowiska</w:t>
      </w:r>
      <w:r w:rsidR="00CF1740">
        <w:rPr>
          <w:rFonts w:eastAsia="Times New Roman" w:cs="Times New Roman"/>
          <w:lang w:eastAsia="en-US"/>
        </w:rPr>
        <w:t>,</w:t>
      </w:r>
      <w:r w:rsidRPr="00415B4B">
        <w:rPr>
          <w:rFonts w:eastAsia="Times New Roman" w:cs="Times New Roman"/>
          <w:lang w:eastAsia="en-US"/>
        </w:rPr>
        <w:t xml:space="preserve"> wysokość wynagrodzenia została wskazana wprost przez odniesienie do kwoty bazowej </w:t>
      </w:r>
      <w:r w:rsidRPr="00415B4B">
        <w:t>ustalanej z zastosowaniem mnożników kwoty bazowej dla członków korpusu służby cywilnej, której wysokość, ustaloną według odrębnych przepisów, określa ustawa budżetowa.</w:t>
      </w:r>
    </w:p>
    <w:p w14:paraId="32876DEA" w14:textId="77777777" w:rsidR="00673E6D" w:rsidRPr="00415B4B" w:rsidRDefault="00673E6D" w:rsidP="005378F2">
      <w:pPr>
        <w:widowControl/>
        <w:suppressAutoHyphens/>
        <w:spacing w:before="120"/>
        <w:jc w:val="both"/>
        <w:rPr>
          <w:rFonts w:eastAsia="Times New Roman" w:cs="Times New Roman"/>
          <w:lang w:eastAsia="en-US"/>
        </w:rPr>
      </w:pPr>
      <w:r w:rsidRPr="00415B4B">
        <w:rPr>
          <w:rFonts w:eastAsia="Times New Roman" w:cs="Times New Roman"/>
          <w:lang w:eastAsia="en-US"/>
        </w:rPr>
        <w:t>Rozwiązanie to będzie odpowiadało rzeczywistym potrzebom organizacyjnym wynikającym ze specyfiki i zakresu zadań Komisji i posłuży zachowaniu równowagi w zakresie niezależności Komisji.</w:t>
      </w:r>
    </w:p>
    <w:p w14:paraId="109074DD" w14:textId="59536BD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Zgodnie z art. 45, jako organ opiniodawczo</w:t>
      </w:r>
      <w:r w:rsidR="00CF1740">
        <w:rPr>
          <w:rFonts w:eastAsia="Times New Roman" w:cs="Times New Roman"/>
          <w:bCs/>
          <w:lang w:eastAsia="en-US"/>
        </w:rPr>
        <w:t>-</w:t>
      </w:r>
      <w:r w:rsidRPr="00415B4B">
        <w:rPr>
          <w:rFonts w:eastAsia="Times New Roman" w:cs="Times New Roman"/>
          <w:bCs/>
          <w:lang w:eastAsia="en-US"/>
        </w:rPr>
        <w:t>doradczy Komisji, zostanie ustanowiona Społeczna Rada do spraw Sztucznej Inteligencji, zwana dalej „Radą</w:t>
      </w:r>
      <w:r w:rsidR="00CF1740">
        <w:rPr>
          <w:rFonts w:eastAsia="Times New Roman" w:cs="Times New Roman"/>
          <w:bCs/>
          <w:lang w:eastAsia="en-US"/>
        </w:rPr>
        <w:t>”</w:t>
      </w:r>
      <w:r w:rsidRPr="00415B4B">
        <w:rPr>
          <w:rFonts w:eastAsia="Times New Roman" w:cs="Times New Roman"/>
          <w:bCs/>
          <w:lang w:eastAsia="en-US"/>
        </w:rPr>
        <w:t xml:space="preserve">. Ma ona zapewnić wsparcie </w:t>
      </w:r>
      <w:r w:rsidRPr="00415B4B">
        <w:rPr>
          <w:rFonts w:eastAsia="Times New Roman" w:cs="Times New Roman"/>
          <w:bCs/>
          <w:lang w:eastAsia="en-US"/>
        </w:rPr>
        <w:lastRenderedPageBreak/>
        <w:t>eksperckie w zakresie sztucznej inteligencji. Rada ma na celu włączenie szerokiego grona interesariuszy, co zwiększa transparentność i demokratyczność działań Komisji. Dzięki temu możliwe jest uwzględnienie różnorodnych perspektyw i interesów społecznych oraz gospodarczych, co jest kluczowe w dynamicznie rozwijającej się dziedzinie AI.</w:t>
      </w:r>
    </w:p>
    <w:p w14:paraId="10E0075F"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Skład Rady obejmuje od dziewięciu do piętnastu członków wybieranych na dwuletnią kadencję. Taki zakres liczbowy zapewnia różnorodność opinii i kompetencji, jednocześnie umożliwiając efektywne funkcjonowanie Rady. Dwuletnia kadencja pozwala na regularne odświeżanie składu Rady, co sprzyja dynamicznemu rozwojowi i adaptacji do zmieniających się warunków technologicznych. Regularna rotacja członków Rady zapewnia również, że nowe idee i podejścia są wprowadzane do dyskusji, co jest niezbędne w kontekście szybko ewoluującej technologii.</w:t>
      </w:r>
    </w:p>
    <w:p w14:paraId="7D878D1E" w14:textId="77777777" w:rsidR="00673E6D" w:rsidRPr="00415B4B" w:rsidRDefault="00673E6D" w:rsidP="005378F2">
      <w:pPr>
        <w:widowControl/>
        <w:suppressAutoHyphens/>
        <w:spacing w:before="120"/>
        <w:jc w:val="both"/>
        <w:rPr>
          <w:lang w:eastAsia="en-US"/>
        </w:rPr>
      </w:pPr>
      <w:r w:rsidRPr="00415B4B">
        <w:rPr>
          <w:lang w:eastAsia="en-US"/>
        </w:rPr>
        <w:t xml:space="preserve">Kandydaci na członków Rady mogą być zgłaszani przez różne podmioty, w tym przedstawicieli samorządów, rzeczników praw, izby gospodarcze, organizacje związkowe, uczelnie wyższe oraz fundacje i stowarzyszenia. Chociaż przepis określa bardzo szeroki krąg podmiotów to wzięto jednak pod uwagę zakres spraw mających podlegać obradom Rady, bezpieczeństwo przetwarzanych informacji oraz efektywne działanie organu opiniodawczo-doradczego. Stąd też w przypadku fundacji i stowarzyszeń wymagane jest posiadanie wpisu do Krajowego Rejestru Sądowego. KRS daje również pewność prawną ciągłości działania podmiotu, a to przekłada się również na stabilność składu Społecznej Rady.  </w:t>
      </w:r>
    </w:p>
    <w:p w14:paraId="543DAE49"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lang w:eastAsia="en-US"/>
        </w:rPr>
        <w:t xml:space="preserve">Taki szeroki zakres podmiotów zgłaszających kandydatów zapewnia reprezentatywność i uwzględnienie różnych perspektyw oraz interesów społecznych i gospodarczych. Dzięki temu Rada może działać w sposób bardziej zrównoważony i uwzględniać potrzeby różnych grup społecznych, co jest kluczowe dla skutecznego wdrażania i regulowania technologii AI. </w:t>
      </w:r>
      <w:r w:rsidRPr="00415B4B">
        <w:rPr>
          <w:rFonts w:eastAsia="Times New Roman" w:cs="Times New Roman"/>
          <w:bCs/>
          <w:lang w:eastAsia="en-US"/>
        </w:rPr>
        <w:t>Wymogi dla członków Rady obejmują posiadanie wiedzy i doświadczenia w obszarze AI, niekaralność, pełnię praw publicznych oraz wyrażenie zgody na kandydowanie. Te kryteria mają na celu zapewnienie, że członkowie Rady będą kompetentni, wiarygodni i zaangażowani w pełnienie swoich obowiązków. Wymóg posiadania wiedzy i doświadczenia w obszarze AI gwarantuje, że członkowie Rady będą w stanie podejmować świadome i merytoryczne decyzje, które będą miały realny wpływ na rozwój i regulację tej technologii.</w:t>
      </w:r>
    </w:p>
    <w:p w14:paraId="5D54000F"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Powoływanie członków Rady przez Komisję spośród zgłoszonych kandydatów zapewnia, że wybór członków jest przejrzysty i oparty na merytorycznych przesłankach. Proces ten ma na celu wyłonienie najbardziej kompetentnych i zaangażowanych osób, które będą w stanie skutecznie wspierać Komisję w jej działaniach.</w:t>
      </w:r>
    </w:p>
    <w:p w14:paraId="7A931B9C"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lastRenderedPageBreak/>
        <w:t xml:space="preserve">Wygaśnięcie członkostwa w Radzie przed upływem kadencji może nastąpić z powodu rezygnacji, śmierci, niewykonywania obowiązków, skazania za </w:t>
      </w:r>
      <w:r w:rsidRPr="00415B4B">
        <w:rPr>
          <w:rFonts w:eastAsia="Times New Roman"/>
          <w:lang w:eastAsia="en-US"/>
        </w:rPr>
        <w:t>umyślne przestępstwo lub umyślne przestępstwo skarbowe</w:t>
      </w:r>
      <w:r w:rsidRPr="00415B4B">
        <w:rPr>
          <w:rFonts w:eastAsia="Times New Roman" w:cs="Times New Roman"/>
          <w:bCs/>
          <w:lang w:eastAsia="en-US"/>
        </w:rPr>
        <w:t xml:space="preserve"> lub pozbawienia praw publicznych. Te przepisy mają na celu utrzymanie wysokiego standardu etycznego i zaangażowania członków Rady. W przypadku, gdy członek Rady nie jest w stanie wypełniać swoich obowiązków, konieczne jest zapewnienie, że jego miejsce zajmie osoba, która będzie w stanie aktywnie uczestniczyć w pracach Rady.</w:t>
      </w:r>
    </w:p>
    <w:p w14:paraId="7897198B"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Powiadomienie o wygaśnięciu członkostwa przez Komisję zapewnia formalność i jasność procedur związanych z zakończeniem członkostwa. Dzięki temu proces ten jest przejrzysty i zrozumiały dla wszystkich zainteresowanych stron.</w:t>
      </w:r>
    </w:p>
    <w:p w14:paraId="57BBDCA9"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Odwołanie członka Rady przez Komisję w przypadku naruszenia przepisów lub niezachowania tajemnicy służbowej zapewnia, że członkowie Rady działają zgodnie z obowiązującymi normami prawnymi i etycznymi. Jest to kluczowe dla utrzymania zaufania do Rady i jej decyzji.</w:t>
      </w:r>
    </w:p>
    <w:p w14:paraId="5D0D2046" w14:textId="3C293C55" w:rsidR="00673E6D" w:rsidRPr="00415B4B" w:rsidRDefault="00B1470B" w:rsidP="005378F2">
      <w:pPr>
        <w:widowControl/>
        <w:suppressAutoHyphens/>
        <w:spacing w:before="120"/>
        <w:jc w:val="both"/>
        <w:rPr>
          <w:rFonts w:ascii="Times" w:eastAsia="MS Mincho" w:hAnsi="Times"/>
          <w:bCs/>
        </w:rPr>
      </w:pPr>
      <w:r>
        <w:rPr>
          <w:rFonts w:eastAsia="Times New Roman" w:cs="Times New Roman"/>
          <w:bCs/>
          <w:lang w:eastAsia="en-US"/>
        </w:rPr>
        <w:t>Wygaśnięcie członkostwa w Radzie</w:t>
      </w:r>
      <w:r w:rsidRPr="00415B4B">
        <w:rPr>
          <w:rFonts w:eastAsia="Times New Roman" w:cs="Times New Roman"/>
          <w:bCs/>
          <w:lang w:eastAsia="en-US"/>
        </w:rPr>
        <w:t xml:space="preserve"> </w:t>
      </w:r>
      <w:r w:rsidR="00673E6D" w:rsidRPr="00415B4B">
        <w:rPr>
          <w:rFonts w:eastAsia="Times New Roman" w:cs="Times New Roman"/>
          <w:bCs/>
          <w:lang w:eastAsia="en-US"/>
        </w:rPr>
        <w:t>w przypadku rezygnacji jest formalnym potwierdzeniem zakończenia członkostwa na wniosek członka. Jest to ważne, aby zapewnić, że członkowie Rady mają możliwość dobrowolnego zakończenia swojej kadencji, jeśli uznają to za konieczne.</w:t>
      </w:r>
    </w:p>
    <w:p w14:paraId="5B9C1850"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Wybór nowego członka Rady w przypadku wygaśnięcia członkostwa lub odwołania zapewnia ciągłość działania Rady i możliwość szybkiego uzupełnienia jej składu. Dzięki temu Rada może nadal efektywnie funkcjonować i wspierać Komisję w jej działaniach, nawet w przypadku zmian personalnych. </w:t>
      </w:r>
    </w:p>
    <w:p w14:paraId="0E5D8AB5"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Zgodnie z art. 46 do zadań Rady należy wyrażanie opinii i stanowisk w zakresie przekazanym jej przez Komisję. Rada ma możliwość podejmowania oraz przekazywania Przewodniczącemu Komisji wniosków w sprawie wszczęcia postępowania o naruszenie przepisów rozporządzenia 2024/1689 i ustawy, o których mowa w rozdziale 4. Dzięki temu może aktywnie uczestniczyć w monitorowaniu przestrzegania przepisów i inicjować działania mające na celu ich egzekwowanie.</w:t>
      </w:r>
    </w:p>
    <w:p w14:paraId="359F0CD5" w14:textId="14FC5815"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Rada ma również prawo wyrażania opinii i stanowisk przekazywanych do wiadomości Komisji z inicjatywy własnej. Taka możliwość pozwala Radzie na proaktywne działanie i podejmowanie inicjatyw, które mogą przyczynić się do lepszego zarządzania i regulacji technologii AI. Ponadto Rada podejmuje uchwały i przekazuje wnioski w sprawie stwierdzenia naruszenia przez Przewodniczącego Komisji przepisów art. 35 lub art. 36. Dzięki temu Rada może skutecznie reagować na przypadki naruszeń i wspierać Komisję w egzekwowaniu przepisów.</w:t>
      </w:r>
    </w:p>
    <w:p w14:paraId="31BC215E"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lastRenderedPageBreak/>
        <w:t>Rada wyraża opinię lub stanowisko, o którym mowa w art. 46 ust. 1 pkt 1, w terminie określonym przez Komisję. Opinie i stanowiska Rady nie są wiążące dla Komisji, co oznacza, że Komisja ma swobodę w podejmowaniu decyzji na podstawie własnych analiz i ocen. Niemniej jednak, opinie i stanowiska Rady stanowią cenne źródło informacji i mogą znacząco wpłynąć na decyzje Komisji.</w:t>
      </w:r>
    </w:p>
    <w:p w14:paraId="1958F2C2" w14:textId="2FCBD0E2"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Opinie i stanowiska Rady są wydawane w drodze uchwały podjętej większością głosów wszystkich członków Rady. Przy czym obecność pełnego składu Rady podczas głosowani</w:t>
      </w:r>
      <w:r w:rsidR="00BF141F">
        <w:rPr>
          <w:rFonts w:eastAsia="Times New Roman" w:cs="Times New Roman"/>
          <w:bCs/>
          <w:lang w:eastAsia="en-US"/>
        </w:rPr>
        <w:t>a</w:t>
      </w:r>
      <w:r w:rsidRPr="00415B4B">
        <w:rPr>
          <w:rFonts w:eastAsia="Times New Roman" w:cs="Times New Roman"/>
          <w:bCs/>
          <w:lang w:eastAsia="en-US"/>
        </w:rPr>
        <w:t xml:space="preserve"> nie jest wymagana. Oznacza to, że w przypadku 9 osobowego składu Rady niezbędne będzie uzyskanie 5 głosów „Za”, nawet gdy nie wszyscy członkowie będą obecni na głosowaniu. Taki sposób podejmowania decyzji zapewnia demokratyczność i transparentność działań Rady. Uchwały Rady są publikowane w Biuletynie Informacji Publicznej na stronie podmiotowej Komisji, co zapewnia dostępność informacji dla wszystkich zainteresowanych stron i zwiększa transparentność działań Rady.</w:t>
      </w:r>
    </w:p>
    <w:p w14:paraId="0465CDA1" w14:textId="39192ADF"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Zgodnie z art. 47 Komisja powołuje i odwołuje Przewodniczącego Rady oraz Zastępcę Przewodniczącego Rady spośród jej członków. Rada wskazuje po dwóch kandydatów na Przewodniczącego Rady i Zastępcę Przewodniczącego Rady, co zapewnia demokratyczność i transparentność procesu wyboru liderów Rady. Przewodniczący Rady kieruje jej pracami i reprezentuje ją na zewnątrz, co jest kluczowe dla efektywnego funkcjonowania Rady oraz jej komunikacji zewnętrznej. W przypadku nieobecności Przewodniczącego Rady jego obowiązki przejmuje Zastępca Przewodniczącego Rady, co zapewnia ciągłość działania Rady.</w:t>
      </w:r>
    </w:p>
    <w:p w14:paraId="508E421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Do udziału w posiedzeniu Rady mogą być wskazane, przez Komisję oraz Przewodniczącego Rady, inne osoby, o ile jest to uzasadnione zadaniami Rady. Taki przepis umożliwia włączenie dodatkowych ekspertów i interesariuszy w dyskusje oraz może wzbogacić proces decyzyjny i zapewnić bardziej kompleksowe podejście do omawianych kwestii. </w:t>
      </w:r>
    </w:p>
    <w:p w14:paraId="7C8AA427"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Członek Rady oraz osoby zapraszane do udziału w pracach Rady są obowiązani do zachowania w tajemnicy informacji, do których uzyskali dostęp w związku z wykonywaniem funkcji w Radzie. Komisja może zwolnić z obowiązku zachowania tajemnicy w zakresie przez nią określonym, o ile zachowanie tajemnicy prowadziłoby do poważnej szkody dla państwa lub życia, zdrowia i ochrony praw podstawowych osób fizycznych. Sposób zwolnienia z obowiązku zachowania tajemnicy określa regulamin Rady. Te przepisy mają na celu ochronę poufnych informacji oraz zapewnienie, że członkowie Rady działają zgodnie z najwyższymi standardami etycznymi.</w:t>
      </w:r>
    </w:p>
    <w:p w14:paraId="6DC85BA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lastRenderedPageBreak/>
        <w:t xml:space="preserve">Członek Rady nie może prowadzić działalności publicznej niedającej się pogodzić z działalnością w Radzie ani wykonywać działań, które mogłyby skutkować konfliktem interesów. Te przepisy mają na celu zapewnienie, że członkowie Rady działają w sposób niezależny i bezstronny, co jest kluczowe dla utrzymania zaufania do Rady i jej decyzji. </w:t>
      </w:r>
    </w:p>
    <w:p w14:paraId="3A714706"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Za udział w pracach Rady jej członkom nie przysługuje wynagrodzenie, co podkreśla społeczny charakter jej działalności i zaangażowanie w sprawy publiczne. Niemniej za udział w pracach Rady przysługuje zwrot kosztów podróży i noclegów na zasadach określonych w przepisach wydanych na podstawie art. 77(5) § 2 ustawy z dnia 26 czerwca 1974 r. – Kodeks pracy. Dzięki temu członkowie Rady nie ponoszą dodatkowych kosztów związanych z wykonywaniem swoich obowiązków. Powyższe zasady dotyczą również osób zapraszanych do udziału w pracach Rady.</w:t>
      </w:r>
    </w:p>
    <w:p w14:paraId="26BE88EC" w14:textId="006301B8"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Tryb działania Rady określa regulamin, uchwalany na wniosek Rady, przez Komisję zwykłą większością głosów. Taki sposób uchwalania regulaminu zapewnia, że zasady działania Rady są ustalane w sposób demokratyczny i transparentny. Obsługę Rady zapewnia urząd obsługujący ministra właściwego do spraw informatyzacji</w:t>
      </w:r>
      <w:r w:rsidR="00BF141F">
        <w:rPr>
          <w:rFonts w:eastAsia="Times New Roman" w:cs="Times New Roman"/>
          <w:bCs/>
          <w:lang w:eastAsia="en-US"/>
        </w:rPr>
        <w:t>,</w:t>
      </w:r>
      <w:r w:rsidRPr="00415B4B">
        <w:rPr>
          <w:rFonts w:eastAsia="Times New Roman" w:cs="Times New Roman"/>
          <w:bCs/>
          <w:lang w:eastAsia="en-US"/>
        </w:rPr>
        <w:t xml:space="preserve"> aby Rada miała dostęp do niezbędnych zasobów administracyjnych, umożliwiających jej efektywne funkcjonowanie.</w:t>
      </w:r>
    </w:p>
    <w:p w14:paraId="7697941B" w14:textId="77777777" w:rsidR="00673E6D" w:rsidRPr="00415B4B" w:rsidRDefault="00673E6D" w:rsidP="005378F2">
      <w:pPr>
        <w:widowControl/>
        <w:suppressAutoHyphens/>
        <w:spacing w:before="120"/>
        <w:jc w:val="both"/>
        <w:rPr>
          <w:rFonts w:ascii="Times" w:eastAsia="MS Mincho" w:hAnsi="Times"/>
          <w:bCs/>
        </w:rPr>
      </w:pPr>
      <w:r w:rsidRPr="00415B4B">
        <w:rPr>
          <w:rFonts w:eastAsia="Times New Roman" w:cs="Times New Roman"/>
          <w:bCs/>
          <w:lang w:eastAsia="en-US"/>
        </w:rPr>
        <w:t xml:space="preserve">Rada może współpracować, w zakresie spraw określonych w ustawie i rozporządzeniu 2024/1689 oraz przy zachowaniu zasady zakazu konfliktu interesów, z krajowymi lub zagranicznymi organami doradczymi właściwymi w zakresie spraw będących przedmiotem posiedzenia. Taka współpraca pozwala na wymianę doświadczeń i najlepszych praktyk, co może przyczynić się do lepszego zarządzania i regulacji technologii SI na poziomie krajowym i międzynarodowym. </w:t>
      </w:r>
    </w:p>
    <w:p w14:paraId="3019CFDD" w14:textId="77777777" w:rsidR="00673E6D" w:rsidRPr="00415B4B" w:rsidRDefault="00673E6D" w:rsidP="005378F2">
      <w:pPr>
        <w:widowControl/>
        <w:autoSpaceDE/>
        <w:autoSpaceDN/>
        <w:adjustRightInd/>
        <w:spacing w:before="120"/>
        <w:jc w:val="both"/>
        <w:rPr>
          <w:rFonts w:eastAsia="Calibri" w:cs="Times New Roman"/>
          <w:b/>
          <w:bCs/>
          <w:szCs w:val="24"/>
          <w:lang w:eastAsia="en-US"/>
        </w:rPr>
      </w:pPr>
      <w:r w:rsidRPr="00415B4B">
        <w:rPr>
          <w:rFonts w:eastAsia="Calibri" w:cs="Times New Roman"/>
          <w:b/>
          <w:bCs/>
          <w:szCs w:val="24"/>
          <w:lang w:eastAsia="en-US"/>
        </w:rPr>
        <w:t>Rozdział 3 – Kontrola przestrzegania przepisów o sztucznej inteligencji (art. 48– art. 58)</w:t>
      </w:r>
    </w:p>
    <w:p w14:paraId="69481518" w14:textId="77777777" w:rsidR="00673E6D" w:rsidRPr="00415B4B" w:rsidRDefault="00673E6D" w:rsidP="005378F2">
      <w:pPr>
        <w:widowControl/>
        <w:suppressAutoHyphens/>
        <w:autoSpaceDE/>
        <w:autoSpaceDN/>
        <w:adjustRightInd/>
        <w:spacing w:before="120"/>
        <w:jc w:val="both"/>
        <w:rPr>
          <w:rFonts w:eastAsia="Calibri" w:cs="Times New Roman"/>
          <w:bCs/>
          <w:szCs w:val="24"/>
          <w:lang w:eastAsia="en-US"/>
        </w:rPr>
      </w:pPr>
      <w:r w:rsidRPr="00415B4B">
        <w:rPr>
          <w:rFonts w:eastAsia="Calibri" w:cs="Times New Roman"/>
          <w:bCs/>
          <w:szCs w:val="24"/>
          <w:lang w:eastAsia="en-US"/>
        </w:rPr>
        <w:t xml:space="preserve">Przepisy projektowanej ustawy ustanawiają podstawę prawną dla prowadzenia przez Komisję kontroli operatorów uczestniczących w łańcuchu wartości AI. </w:t>
      </w:r>
    </w:p>
    <w:p w14:paraId="0D5E2252" w14:textId="158E6C67"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 xml:space="preserve">Kontrola jako kluczowy mechanizm nadzorczy, może być prowadzona zarówno na podstawie zatwierdzonego planu, informacji uzyskanych przez Komisję, jak i w ramach bieżącego monitorowania. Proponowane przepisy uwzględniają różnorodność statusów kontrolowanych podmiotów – przedsiębiorców oraz innych jednostek, jednocześnie wyłączając zastosowanie art. 6 pkt 1 oraz art. 51 ust. 3a ustawy </w:t>
      </w:r>
      <w:r w:rsidR="00BF141F">
        <w:rPr>
          <w:rFonts w:eastAsia="Calibri" w:cs="Times New Roman"/>
          <w:bCs/>
          <w:szCs w:val="24"/>
          <w:lang w:eastAsia="en-US"/>
        </w:rPr>
        <w:t>–</w:t>
      </w:r>
      <w:r w:rsidRPr="00415B4B">
        <w:rPr>
          <w:rFonts w:eastAsia="Calibri" w:cs="Times New Roman"/>
          <w:bCs/>
          <w:szCs w:val="24"/>
          <w:lang w:eastAsia="en-US"/>
        </w:rPr>
        <w:t xml:space="preserve"> Prawo przedsiębiorców w celu dopasowania procedur do specyfiki nadzoru nad systemami sztucznej inteligencji. Wprowadzenie regulacji opartych </w:t>
      </w:r>
      <w:r w:rsidRPr="00415B4B">
        <w:rPr>
          <w:rFonts w:eastAsia="Calibri" w:cs="Times New Roman"/>
          <w:bCs/>
          <w:szCs w:val="24"/>
          <w:lang w:eastAsia="en-US"/>
        </w:rPr>
        <w:lastRenderedPageBreak/>
        <w:t>na Kodeksie postępowania administracyjnego ma na celu zapewnienie spójności oraz przejrzystości działań kontrolnych.</w:t>
      </w:r>
    </w:p>
    <w:p w14:paraId="6F576D24" w14:textId="77777777"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Projekt określa tryb wszczynania kontroli, umożliwiając jej rozpoczęcie z urzędu lub na wniosek uprawnionych organów, takich jak Przewodniczący Komisji, jego zastępca czy członkowie Komisji</w:t>
      </w:r>
      <w:r w:rsidRPr="00415B4B">
        <w:rPr>
          <w:rStyle w:val="Ppogrubienie"/>
        </w:rPr>
        <w:t xml:space="preserve"> oraz organy lub podmioty, o którym mowa w art. 77 rozporządzenia 2024/1689</w:t>
      </w:r>
      <w:r w:rsidRPr="00415B4B">
        <w:rPr>
          <w:rFonts w:eastAsia="Calibri" w:cs="Times New Roman"/>
          <w:bCs/>
          <w:szCs w:val="24"/>
          <w:lang w:eastAsia="en-US"/>
        </w:rPr>
        <w:t xml:space="preserve">. </w:t>
      </w:r>
    </w:p>
    <w:p w14:paraId="0802F79E" w14:textId="77777777"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W trosce o poszanowanie praw podmiotów objętych nadzorem wprowadza się zasadę zawiadamiania kontrolowanego z wyprzedzeniem, przewidując jednak możliwość odstąpienia od tego obowiązku w sytuacjach wyjątkowych, np. w przypadku zagrożenia życia, zdrowia lub praw podstawowych. Wprowadza się również zasadę przeprowadzania kontroli w sposób zdalny, co stanowi odpowiedź na wymogi nowoczesnych technologii.</w:t>
      </w:r>
    </w:p>
    <w:p w14:paraId="74E20D7C" w14:textId="13E17886"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 xml:space="preserve">Istotnym elementem projektu jest uregulowanie zasad upoważniania osób do przeprowadzania kontroli </w:t>
      </w:r>
      <w:r w:rsidR="005B4994">
        <w:rPr>
          <w:rFonts w:eastAsia="Calibri" w:cs="Times New Roman"/>
          <w:bCs/>
          <w:szCs w:val="24"/>
          <w:lang w:eastAsia="en-US"/>
        </w:rPr>
        <w:t>–</w:t>
      </w:r>
      <w:r w:rsidRPr="00415B4B">
        <w:rPr>
          <w:rFonts w:eastAsia="Calibri" w:cs="Times New Roman"/>
          <w:bCs/>
          <w:szCs w:val="24"/>
          <w:lang w:eastAsia="en-US"/>
        </w:rPr>
        <w:t xml:space="preserve"> pracowników właściwej komórki urzędu obsługującego ministra właściwego do spraw informatyzacji. W celu zapewnienia bezstronności kontrolujących, wprowadzono wymóg składania oświadczeń o braku konfliktu interesów oraz obowiązek zachowania poufności informacji uzyskanych w toku kontroli.</w:t>
      </w:r>
    </w:p>
    <w:p w14:paraId="1F2C4AE1" w14:textId="77777777"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t xml:space="preserve">Projekt precyzuje procedury organizacyjne kontroli, w tym wymóg okazania imiennego upoważnienia oraz dokumentu tożsamości przez kontrolujących. Dokumenty te powinny zawierać szczegółowe informacje zapewniające przejrzystość oraz legalność działań Komisji. Proponowane przepisy umożliwiają elastyczne dostosowanie procedur kontrolnych do konkretnych przypadków dzięki powiązaniu regulacji ustawowych z wewnętrznymi regulaminami Komisji. </w:t>
      </w:r>
    </w:p>
    <w:p w14:paraId="014164E5" w14:textId="4BD95CA2"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t>Zgodnie z treścią projektowanych przepisów kontrolujący będzie ustalał stan faktyczny na podstawie dowodów zebranych w toku kontroli, w szczególności materiałów, dokumentów, innych danych, o których mowa w art. 52 ust. 1, a także informatycznych nośników danych, urządzeń, w tym urządzeń informatycznych, lub systemów informatycznych i teleinformatycznych, o których mowa w art. 52 ust. 2 pkt 2 i 3 oraz ustnych lub pisemnych wyjaśnień złożonych w toku kontroli. W ramach wyjaśnień kontrolujący będzie mógł np. żądać omówienia przyczyny, znaczenia lub sposobu działania danego systemu czy zjawiska, także np. sporządzenia analiz, zestawień czy obliczeń. Celem jest usunięcie zaistniałych w trakcie kontroli wątpliwości, ułatwianie zrozumienia skomplikowanych czy niejasnych informacji, ich uporządkowanie lub doprecyzowanie.</w:t>
      </w:r>
      <w:r w:rsidRPr="00415B4B">
        <w:t xml:space="preserve"> </w:t>
      </w:r>
    </w:p>
    <w:p w14:paraId="44C85FC9" w14:textId="77777777"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lastRenderedPageBreak/>
        <w:t>Jeżeli jest to technicznie możliwe, kontrolujący będzie mógł zabezpieczyć dowody przez sporządzenie ich kopii poświadczonych za zgodność z oryginałem.</w:t>
      </w:r>
    </w:p>
    <w:p w14:paraId="560F7D82" w14:textId="77777777"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t>Art. 54 ustawy ma na celu zapewnienie poszanowania prawa kontrolowanego do zachowania poufności komunikacji z profesjonalnym pełnomocnikiem prawnym oraz zagwarantowanie możliwości skutecznego korzystania z ochrony prawnej w toku postępowania prowadzonego przez Komisję. Zapewnia się objęcie ochroną prawną wszystkich pism i dokumentów, dotyczących realizacji prawa kontrolowanego do uzyskania ochrony prawnej, które zostały ujawnione w toku kontroli. Przepis ten stanowi realizację konstytucyjnej zasady prawa do obrony oraz prawa do rzetelnego procesu, znajdujących swoje źródło m.in. w art. 42 ust. 2 Konstytucji RP oraz w standardach międzynarodowych, takich jak art. 6 Europejskiej Konwencji Praw Człowieka.</w:t>
      </w:r>
    </w:p>
    <w:p w14:paraId="2B4EC137" w14:textId="6CC39647"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t xml:space="preserve">Art. 54 ma na celu ochronę tajemnicy zawodowej adwokata, radcy prawnego oraz innych osób uprawnionych do świadczenia pomocy prawnej. Dotyczy to zarówno komunikacji z tymi osobami, jak i dokumentów wytworzonych wyłącznie w celu uzyskania ochrony prawnej w kontekście konkretnego postępowania prowadzonego przez Komisję. </w:t>
      </w:r>
    </w:p>
    <w:p w14:paraId="07571E6B" w14:textId="2669236C"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 xml:space="preserve">Przepis reguluje ponadto procedurę postępowania kontrolującego w przypadku, gdy kontrolowany lub osoba przez niego upoważniona złoży oświadczenie, że określone dokumenty lub pisma objęte są ochroną wynikającą z tajemnicy zawodowej, o której mowa w ust. 1. W celu zapewnienia równowagi pomiędzy potrzebą skutecznego prowadzenia kontroli a koniecznością poszanowania konstytucyjnie chronionych praw, w tym prawa do obrony i tajemnicy komunikacji z pełnomocnikiem, kontrolujący uzyskuje ograniczony dostęp do dokumentu </w:t>
      </w:r>
      <w:r w:rsidR="005B4994">
        <w:rPr>
          <w:rFonts w:ascii="Times" w:eastAsia="MS Mincho" w:hAnsi="Times"/>
          <w:bCs/>
        </w:rPr>
        <w:t>–</w:t>
      </w:r>
      <w:r w:rsidRPr="00415B4B">
        <w:rPr>
          <w:rFonts w:ascii="Times" w:eastAsia="MS Mincho" w:hAnsi="Times"/>
          <w:bCs/>
        </w:rPr>
        <w:t xml:space="preserve"> wyłącznie w zakresie umożliwiającym identyfikację jego podstawowych cech formalnych, takich jak autor, adresat, tytuł, przedmiot oraz data sporządzenia.</w:t>
      </w:r>
    </w:p>
    <w:p w14:paraId="3436B4A1" w14:textId="2A80A301"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Dodatkowo kontrolujący może żądać od kontrolowanego lub osoby przez niego upoważnionej ustnych wyjaśnień dotyczących złożonego oświadczenia, a także przygotowania wersji dokumentu pozbawionej informacji objętych ochroną, o ile jest to technicznie możliwe. Wprowadzenie tej procedury ma na celu umożliwienie weryfikacji zasadności oświadczenia bez naruszania chronionej treści dokumentu.</w:t>
      </w:r>
    </w:p>
    <w:p w14:paraId="31BC6273" w14:textId="5833066A"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lang w:eastAsia="en-US"/>
        </w:rPr>
        <w:t>Projektodawca przewidział jednak konieczność zapewnienia równowagi pomiędzy ochroną tajemnicy zawodowej a efektywnością działań kontrolnych. W tym celu</w:t>
      </w:r>
      <w:r w:rsidR="005B4994">
        <w:rPr>
          <w:rFonts w:eastAsia="Calibri" w:cs="Times New Roman"/>
          <w:bCs/>
          <w:lang w:eastAsia="en-US"/>
        </w:rPr>
        <w:t xml:space="preserve"> w</w:t>
      </w:r>
      <w:r w:rsidRPr="00415B4B">
        <w:rPr>
          <w:rFonts w:eastAsia="Calibri" w:cs="Times New Roman"/>
          <w:bCs/>
          <w:lang w:eastAsia="en-US"/>
        </w:rPr>
        <w:t xml:space="preserve"> przepisie wskazano, że to na kontrolowanym ciąży obowiązek wykazania, iż sporne dokumenty rzeczywiście spełniają kryteria określone w ust. 1. Takie rozwiązanie zapobiega nadużyciom i uniemożliwia </w:t>
      </w:r>
      <w:r w:rsidRPr="00415B4B">
        <w:rPr>
          <w:rFonts w:eastAsia="Calibri" w:cs="Times New Roman"/>
          <w:bCs/>
          <w:lang w:eastAsia="en-US"/>
        </w:rPr>
        <w:lastRenderedPageBreak/>
        <w:t>arbitralne powoływanie się na poufność dokumentów w celu utrudnienia kontroli. Kontrolowany będzie musiał w sposób wiarygodny i uzasadniony przedstawić dowody potwierdzające, że dokumenty objęte są ochroną, o której mowa w przepisie.</w:t>
      </w:r>
    </w:p>
    <w:p w14:paraId="2319A714" w14:textId="77777777"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W przypadku powstania wątpliwości co do zasadności oświadczenia, kontrolujący zobowiązany jest do niezwłocznego przekazania dokumentu do Sądu Ochrony Konkurencji i Konsumentów, przy zachowaniu środków zabezpieczających przed ujawnieniem jego treści. Ciężar dowodu w zakresie wykazania, że dokument spełnia przesłanki ochrony, także w tym przypadku będzie spoczywał na kontrolowanym.</w:t>
      </w:r>
    </w:p>
    <w:p w14:paraId="2A2B60D1" w14:textId="23FA1CC1" w:rsidR="00673E6D" w:rsidRPr="00415B4B" w:rsidRDefault="00673E6D" w:rsidP="005378F2">
      <w:pPr>
        <w:widowControl/>
        <w:suppressAutoHyphens/>
        <w:spacing w:before="120"/>
        <w:jc w:val="both"/>
        <w:rPr>
          <w:rFonts w:ascii="Times" w:eastAsia="MS Mincho" w:hAnsi="Times"/>
          <w:bCs/>
        </w:rPr>
      </w:pPr>
      <w:r w:rsidRPr="00415B4B">
        <w:rPr>
          <w:rFonts w:ascii="Times" w:eastAsia="MS Mincho" w:hAnsi="Times"/>
          <w:bCs/>
        </w:rPr>
        <w:t>Sąd, po zapoznaniu się z dokumentem, wyda postanowienie o jego zwrocie kontrolowanemu (w całości lub części), jeżeli uzna, że dokument podlega ochronie, albo o jego przekazaniu właściwemu organowi, jeżeli dokument nie spełnia przesłanek określonych w ust. 1. Na postanowienie sądu projektodawca przewidział możliwość złożenia zażaleni</w:t>
      </w:r>
      <w:r w:rsidR="00380905">
        <w:rPr>
          <w:rFonts w:ascii="Times" w:eastAsia="MS Mincho" w:hAnsi="Times"/>
          <w:bCs/>
        </w:rPr>
        <w:t>a</w:t>
      </w:r>
      <w:r w:rsidRPr="00415B4B">
        <w:rPr>
          <w:rFonts w:ascii="Times" w:eastAsia="MS Mincho" w:hAnsi="Times"/>
          <w:bCs/>
        </w:rPr>
        <w:t>, a jego wykonanie następuje z chwilą uprawomocnienia.</w:t>
      </w:r>
    </w:p>
    <w:p w14:paraId="5D2DEE64" w14:textId="5C383AF7"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lang w:eastAsia="en-US"/>
        </w:rPr>
        <w:t>Projektowany przepis jest zgodny z zasadami państwa prawa oraz proporcjonalności. Uwzględnia konieczność ochrony fundamentalnych praw podmiotów objętych kontrolą, jednocześnie nie pozbawiając organu kontrolnego możliwości skutecznego przeprowadzenia postępowania w granicach prawa. Rozwiązanie to harmonizuje również z orzecznictwem Trybunału Sprawiedliwości Unii Europejskiej dotyczącym ochrony tajemnicy komunikacji z prawnikiem w ramach postępowań administracyjnych prowadzonych przez organy nadzoru lub ochrony konkurencji.</w:t>
      </w:r>
    </w:p>
    <w:p w14:paraId="461F6292" w14:textId="77777777"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lang w:eastAsia="en-US"/>
        </w:rPr>
        <w:t xml:space="preserve">Art. 55 przewiduje możliwość zwrócenia się przez Komisję do Policji oraz do jednostek podległych i nadzorowanych przez ministra właściwego do spraw informatyzacji o udzielenie pomocy w przeprowadzeniu kontroli w szczególnie uzasadnionych przypadkach. Wprowadzenie tego rozwiązania wynika z potrzeby zapewnienia Komisji instrumentów umożliwiających przeprowadzenie kontroli w sposób bezpieczny, rzetelny i skuteczny – zwłaszcza w sytuacjach, gdy czynności kontrolne mogą napotkać na opór lub wymaga specjalistycznego wsparcia informatycznego czy wiadomości specjalnych. Warto podkreślić, że jednostki podległe ministrowi właściwemu do spraw informatyzacji skupiają grono ekspertów z szeroko pojętej informatyzacji i dzięki temu mogą stanowić niezbędną pomoc ekspercką z zakresu bezpieczeństwa i zgodności z przepisami systemów sztucznej inteligencji od strony technologicznej w przypadku braku ekspertów z danej dziedziny w ramach pracowników </w:t>
      </w:r>
      <w:r w:rsidRPr="00415B4B">
        <w:rPr>
          <w:rFonts w:eastAsia="Times New Roman" w:cs="Times New Roman"/>
          <w:bCs/>
          <w:lang w:eastAsia="en-US"/>
        </w:rPr>
        <w:t>urzędu obsługującego ministra właściwego do spraw informatyzacji</w:t>
      </w:r>
      <w:r w:rsidRPr="00415B4B">
        <w:rPr>
          <w:rFonts w:eastAsia="Calibri" w:cs="Times New Roman"/>
          <w:bCs/>
          <w:lang w:eastAsia="en-US"/>
        </w:rPr>
        <w:t xml:space="preserve">. </w:t>
      </w:r>
    </w:p>
    <w:p w14:paraId="3D1558A0" w14:textId="77777777" w:rsidR="00673E6D" w:rsidRPr="00415B4B" w:rsidRDefault="00673E6D" w:rsidP="005378F2">
      <w:pPr>
        <w:widowControl/>
        <w:suppressAutoHyphens/>
        <w:spacing w:before="120"/>
        <w:jc w:val="both"/>
        <w:rPr>
          <w:rFonts w:eastAsia="Calibri" w:cs="Times New Roman"/>
          <w:bCs/>
          <w:lang w:eastAsia="en-US"/>
        </w:rPr>
      </w:pPr>
      <w:r w:rsidRPr="00415B4B">
        <w:rPr>
          <w:rFonts w:eastAsia="Calibri" w:cs="Times New Roman"/>
          <w:bCs/>
          <w:lang w:eastAsia="en-US"/>
        </w:rPr>
        <w:lastRenderedPageBreak/>
        <w:t>Przepis doprecyzowuje również zakres udzielanej pomocy. Pomoc Policji ma na celu zapewnienie porządku publicznego, ochrony osób uczestniczących w kontroli oraz poszanowania godności osób obecnych podczas czynności kontrolnych. Z kolei pomoc jednostek podległych i nadzorowanych przez ministra właściwego do spraw informatyzacji skupia się na sprawach informatycznych i aspektach technicznych, w tym na weryfikacji zgodności systemów sztucznej inteligencji z obowiązującymi przepisami oraz na analizie poziomu ich bezpieczeństwa. Takie rozróżnienie kompetencji i obowiązków odpowiada specyfice zadań obu rodzajów podmiotów wspierających.</w:t>
      </w:r>
      <w:r w:rsidRPr="00415B4B">
        <w:t xml:space="preserve"> </w:t>
      </w:r>
      <w:r w:rsidRPr="00415B4B">
        <w:rPr>
          <w:rFonts w:eastAsia="Calibri" w:cs="Times New Roman"/>
          <w:bCs/>
          <w:lang w:eastAsia="en-US"/>
        </w:rPr>
        <w:t xml:space="preserve">Intencją projektodawcy jest, aby możliwe było udzielenie wszelkiego niezbędnego wsparcia informatycznego oraz w zakresie wiadomości specjalnych w celu ustalenia stanu faktycznego w zakresie bezpieczeństwa systemu sztucznej inteligencji i jego zgodności z przepisami rozporządzenia 2024/1689. </w:t>
      </w:r>
    </w:p>
    <w:p w14:paraId="76F5C6F1" w14:textId="4D2DE537"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lang w:eastAsia="en-US"/>
        </w:rPr>
        <w:t>Ponadto uregulowane zostały formalne wymogi związane z występowaniem o pomoc oraz  terminy – standardowo minimum 7 dni przed planowaną kontrolą, natomiast w sytuacjach niecierpiących zwłoki – minimum 3 dni. Ma to na celu zapewnienie odpowiedniego czasu na organizację wsparcia i koordynację działań, przy jednoczesnym uwzględnieniu wyjątkowych przypadków wymagających szybszego działania.</w:t>
      </w:r>
    </w:p>
    <w:p w14:paraId="4DDDFD11" w14:textId="77777777"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lang w:eastAsia="en-US"/>
        </w:rPr>
        <w:t>Art. 55 wprowadza jasne zasady rozliczania kosztów związanych z pomocą udzieloną przez Policję i jednostki informatyczne. Koszty te pokrywa Komisja według stawki zryczałtowanej, ustalonej w sposób transparentny i powiązany z przeciętnym wynagrodzeniem w gospodarce, co sprzyja przewidywalności wydatków i ogranicza ryzyko sporów finansowych.</w:t>
      </w:r>
    </w:p>
    <w:p w14:paraId="58425635" w14:textId="77777777"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lang w:eastAsia="en-US"/>
        </w:rPr>
        <w:t>Przepis art. 56 stanowi kluczowy element procedury kontrolnej, który reguluje sposób dokumentowania czynności podejmowanych przez organ kontrolujący oraz relacji z kontrolowanym podmiotem. Stanowi on wyraz zasady partycypacji i transparentności. Pozwala na uruchomienie mechanizmu konsultacyjnego, w ramach którego kontrolowany ma realną możliwość odniesienia się do ustaleń kontroli. Przepis wprowadza obowiązek sporządzania protokołu kontroli. Wskazanie w przepisie szczegółowych elementów, które muszą znaleźć się w projekcie protokołu, ma charakter gwarancyjny – zapewnia, że niezależnie od rodzaju i zakresu kontroli, podstawowe informacje i ustalenia zostaną przedstawione w sposób przejrzysty i wyczerpujący. Zawarcie danych dotyczących stron, zakresu i przebiegu kontroli, ustaleń faktycznych oraz pouczeń prawnych gwarantuje pełną informacyjność dokumentu i zapobiega sytuacjom niejasności lub nieporozumień.</w:t>
      </w:r>
    </w:p>
    <w:p w14:paraId="03F211B7" w14:textId="74BF454C"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lang w:eastAsia="en-US"/>
        </w:rPr>
        <w:t xml:space="preserve">Istotnym aspektem jest również elektronizacja procesu kontrolnego. Obowiązek sporządzania dokumentów w postaci elektronicznej, opatrzonych kwalifikowanym podpisem </w:t>
      </w:r>
      <w:r w:rsidRPr="00415B4B">
        <w:rPr>
          <w:rFonts w:eastAsia="Calibri" w:cs="Times New Roman"/>
          <w:bCs/>
          <w:lang w:eastAsia="en-US"/>
        </w:rPr>
        <w:lastRenderedPageBreak/>
        <w:t>elektronicznym, podpisem zaufanym lub osobistym, wpisuje się w politykę cyfryzacji administracji publicznej i ma na celu zwiększenie efektywności, szybkości i bezpieczeństwa obiegu dokumentów. Ponadto rozwiązanie to zmniejsza ryzyko fałszowania dokumentów i umożliwia łatwiejsze archiwizowanie oraz kontrolę wewnętrzną.</w:t>
      </w:r>
    </w:p>
    <w:p w14:paraId="789E4084" w14:textId="77777777" w:rsidR="00673E6D" w:rsidRPr="00415B4B" w:rsidRDefault="00673E6D" w:rsidP="005378F2">
      <w:pPr>
        <w:widowControl/>
        <w:suppressAutoHyphens/>
        <w:spacing w:before="120"/>
        <w:jc w:val="both"/>
        <w:rPr>
          <w:rFonts w:ascii="Times" w:eastAsia="MS Mincho" w:hAnsi="Times"/>
          <w:bCs/>
        </w:rPr>
      </w:pPr>
      <w:r w:rsidRPr="00415B4B">
        <w:rPr>
          <w:rFonts w:eastAsia="Calibri" w:cs="Times New Roman"/>
          <w:bCs/>
          <w:lang w:eastAsia="en-US"/>
        </w:rPr>
        <w:t>Przewidziane w przepisie prawo do zgłaszania zastrzeżeń w terminie 7 dni od doręczenia protokołu jest istotnym instrumentem procesowym, umożliwiającym kontrolowanemu rzeczywiste zakwestionowanie ustaleń, z którymi się nie zgadza. Dalsze przepisy zapewniają, że zgłoszone zastrzeżenia są przedmiotem merytorycznej analizy, a nie jedynie formalności, co wzmacnia legitymację organu kontrolnego. Jednocześnie obowiązek przedstawienia uzasadnienia w przypadku nieuwzględnienia zastrzeżeń ma istotne znaczenie dowodowe i gwarancyjne.</w:t>
      </w:r>
    </w:p>
    <w:p w14:paraId="6A1DFA24" w14:textId="77777777"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lang w:eastAsia="en-US"/>
        </w:rPr>
        <w:t>Projekt przewiduje także mechanizm domknięcia procedury kontroli w sytuacji braku współpracy ze strony kontrolowanego. Przyjęcie fikcji prawnej odmowy podpisania protokołu w przypadku jego nieodesłania albo niezgłoszenia zastrzeżeń w terminie oraz obowiązek odnotowania tej odmowy w protokole zabezpiecza interes organu kontrolującego i pozwala zakończyć postępowanie bez konieczności podejmowania dodatkowych czynności.</w:t>
      </w:r>
    </w:p>
    <w:p w14:paraId="1B123064" w14:textId="77777777" w:rsidR="00673E6D" w:rsidRPr="00415B4B" w:rsidRDefault="00673E6D" w:rsidP="005378F2">
      <w:pPr>
        <w:widowControl/>
        <w:suppressAutoHyphens/>
        <w:spacing w:before="120"/>
        <w:jc w:val="both"/>
        <w:rPr>
          <w:rFonts w:eastAsia="Calibri" w:cs="Times New Roman"/>
          <w:bCs/>
        </w:rPr>
      </w:pPr>
      <w:r w:rsidRPr="00415B4B">
        <w:rPr>
          <w:rFonts w:eastAsia="Calibri" w:cs="Times New Roman"/>
          <w:bCs/>
          <w:lang w:eastAsia="en-US"/>
        </w:rPr>
        <w:t>Całościowo przepis ustanawia przejrzystą, szczegółową i zrównoważoną procedurę dokumentowania kontroli, która uwzględnia zarówno interes publiczny, jak i prawa kontrolowanych podmiotów. Dąży on do podniesienia jakości, wiarygodności i efektywności działań kontrolnych oraz minimalizacji ryzyka sporów proceduralnych.</w:t>
      </w:r>
    </w:p>
    <w:p w14:paraId="23D722BA" w14:textId="77777777"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Projekt przewiduje również przepisy dotyczące postępowania z wynikami kontroli. W przypadku gdy wynik kontroli wykaże nieprawidłowości stanowiące naruszenia mniejszej wagi w zakresie wykonywania przez kontrolowanego obowiązków wynikających z rozporządzenia 2024/1689, decyzji Komisji lub przepisów ustawy, Komisja może wydawać zalecenia pokontrolne, zawierające wskazówki dotyczące usunięcia nieprawidłowości oraz terminy ich realizacji. Projekt zaleceń pokontrolnych sporządza kontrolujący. Natomiast w przypadku stwierdzenia poważnych naruszeń przepisów rozporządzenia lub ustawy Komisja jest zobligowana do wszczęcia postępowania administracyjnego.</w:t>
      </w:r>
    </w:p>
    <w:p w14:paraId="0F5C0E78" w14:textId="77777777" w:rsidR="00673E6D" w:rsidRPr="00415B4B" w:rsidRDefault="00673E6D" w:rsidP="005378F2">
      <w:pPr>
        <w:widowControl/>
        <w:suppressAutoHyphens/>
        <w:autoSpaceDE/>
        <w:autoSpaceDN/>
        <w:adjustRightInd/>
        <w:spacing w:before="120"/>
        <w:jc w:val="both"/>
        <w:rPr>
          <w:rFonts w:ascii="Times" w:eastAsia="Yu Gothic Light" w:hAnsi="Times"/>
          <w:bCs/>
        </w:rPr>
      </w:pPr>
      <w:r w:rsidRPr="00415B4B">
        <w:rPr>
          <w:rFonts w:eastAsia="Calibri" w:cs="Times New Roman"/>
          <w:bCs/>
          <w:szCs w:val="24"/>
          <w:lang w:eastAsia="en-US"/>
        </w:rPr>
        <w:t>Proponowany projekt ustawy podkreśla wagę nadzoru nad systemami sztucznej inteligencji, wzmacniając ochronę interesów publicznych oraz bezpieczeństwo użytkowników nowoczesnych technologii.</w:t>
      </w:r>
    </w:p>
    <w:p w14:paraId="59A3BD5A" w14:textId="77777777" w:rsidR="00673E6D" w:rsidRPr="00415B4B" w:rsidRDefault="00673E6D" w:rsidP="005378F2">
      <w:pPr>
        <w:widowControl/>
        <w:autoSpaceDE/>
        <w:autoSpaceDN/>
        <w:adjustRightInd/>
        <w:spacing w:before="120"/>
        <w:jc w:val="both"/>
        <w:rPr>
          <w:rFonts w:eastAsia="Times New Roman" w:cs="Times New Roman"/>
          <w:b/>
          <w:bCs/>
          <w:szCs w:val="24"/>
          <w:lang w:eastAsia="en-US"/>
        </w:rPr>
      </w:pPr>
      <w:r w:rsidRPr="00415B4B">
        <w:rPr>
          <w:rFonts w:eastAsia="Times New Roman" w:cs="Times New Roman"/>
          <w:b/>
          <w:bCs/>
          <w:szCs w:val="24"/>
          <w:lang w:eastAsia="en-US"/>
        </w:rPr>
        <w:t>Rozdział 4 – Postępowanie przed organem nadzoru (art. 59 – art. 70)</w:t>
      </w:r>
    </w:p>
    <w:p w14:paraId="79A40287" w14:textId="77777777" w:rsidR="00673E6D" w:rsidRPr="00415B4B" w:rsidRDefault="00673E6D" w:rsidP="005378F2">
      <w:pPr>
        <w:widowControl/>
        <w:suppressAutoHyphens/>
        <w:autoSpaceDE/>
        <w:autoSpaceDN/>
        <w:adjustRightInd/>
        <w:spacing w:before="120"/>
        <w:jc w:val="both"/>
        <w:rPr>
          <w:rFonts w:eastAsia="Calibri" w:cs="Times New Roman"/>
          <w:bCs/>
          <w:szCs w:val="24"/>
          <w:lang w:eastAsia="en-US"/>
        </w:rPr>
      </w:pPr>
      <w:r w:rsidRPr="00415B4B">
        <w:rPr>
          <w:rFonts w:eastAsia="Calibri" w:cs="Times New Roman"/>
          <w:bCs/>
          <w:szCs w:val="24"/>
          <w:lang w:eastAsia="en-US"/>
        </w:rPr>
        <w:lastRenderedPageBreak/>
        <w:t>Projektowana regulacja ma na celu stworzenie kompletnego i skutecznego trybu postępowania prowadzonego przez Komisję w sprawach naruszeń przepisów rozporządzenia 2024/1689 oraz przepisów ustawy. Zaproponowane rozwiązania zapewniają zarówno ochronę interesu publicznego, jak i poszanowanie praw uczestników postępowania.</w:t>
      </w:r>
    </w:p>
    <w:p w14:paraId="2401F745" w14:textId="2F6A939D" w:rsidR="00673E6D" w:rsidRPr="00415B4B" w:rsidRDefault="00673E6D" w:rsidP="005378F2">
      <w:pPr>
        <w:widowControl/>
        <w:suppressAutoHyphens/>
        <w:spacing w:before="120"/>
        <w:jc w:val="both"/>
        <w:rPr>
          <w:rFonts w:eastAsia="Calibri" w:cs="Times New Roman"/>
          <w:bCs/>
          <w:szCs w:val="24"/>
          <w:lang w:eastAsia="en-US"/>
        </w:rPr>
      </w:pPr>
      <w:r w:rsidRPr="00415B4B">
        <w:rPr>
          <w:rFonts w:eastAsia="Calibri" w:cs="Times New Roman"/>
          <w:bCs/>
          <w:szCs w:val="24"/>
          <w:lang w:eastAsia="en-US"/>
        </w:rPr>
        <w:t>W przepisach tych określono zasady wszczynania i prowadzenia postępowania, w tym wskazano podstawy wszczęcia, zdefiniowano stronę postępowania jako osobę</w:t>
      </w:r>
      <w:r w:rsidR="00380905">
        <w:rPr>
          <w:rFonts w:eastAsia="Calibri" w:cs="Times New Roman"/>
          <w:bCs/>
          <w:szCs w:val="24"/>
          <w:lang w:eastAsia="en-US"/>
        </w:rPr>
        <w:t>,</w:t>
      </w:r>
      <w:r w:rsidRPr="00415B4B">
        <w:rPr>
          <w:rFonts w:eastAsia="Calibri" w:cs="Times New Roman"/>
          <w:bCs/>
          <w:szCs w:val="24"/>
          <w:lang w:eastAsia="en-US"/>
        </w:rPr>
        <w:t xml:space="preserve"> </w:t>
      </w:r>
      <w:r w:rsidRPr="00415B4B">
        <w:rPr>
          <w:rFonts w:eastAsia="Times New Roman" w:cs="Times New Roman"/>
          <w:bCs/>
          <w:lang w:eastAsia="en-US"/>
        </w:rPr>
        <w:t>wobec której wszczęto postępowanie</w:t>
      </w:r>
      <w:r w:rsidRPr="00415B4B">
        <w:rPr>
          <w:rFonts w:eastAsia="Calibri" w:cs="Times New Roman"/>
          <w:bCs/>
          <w:szCs w:val="24"/>
          <w:lang w:eastAsia="en-US"/>
        </w:rPr>
        <w:t xml:space="preserve">, instytucje ostrzeżenia, sposób rozstrzygania oraz środki odwoławcze. Dodatkowo określono </w:t>
      </w:r>
      <w:r w:rsidRPr="00415B4B">
        <w:t>maksymalny sześciomiesięczny termin</w:t>
      </w:r>
      <w:r w:rsidRPr="00415B4B">
        <w:rPr>
          <w:rFonts w:eastAsia="Calibri" w:cs="Times New Roman"/>
          <w:bCs/>
          <w:szCs w:val="24"/>
          <w:lang w:eastAsia="en-US"/>
        </w:rPr>
        <w:t xml:space="preserve"> prowadzenia postępowania. </w:t>
      </w:r>
      <w:r w:rsidRPr="00415B4B">
        <w:rPr>
          <w:rFonts w:eastAsia="Times New Roman" w:cs="Times New Roman"/>
          <w:bCs/>
          <w:lang w:eastAsia="en-US"/>
        </w:rPr>
        <w:t>Ograniczenie to zapobiega przewlekłości procedur, przy jednoczesnym zapewnieniu sprawnego i efektywnego rozstrzygnięcia spraw</w:t>
      </w:r>
      <w:r w:rsidRPr="00415B4B">
        <w:rPr>
          <w:rFonts w:eastAsia="Calibri" w:cs="Times New Roman"/>
          <w:bCs/>
          <w:szCs w:val="24"/>
          <w:lang w:eastAsia="en-US"/>
        </w:rPr>
        <w:t>.</w:t>
      </w:r>
    </w:p>
    <w:p w14:paraId="7A77E037"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Projekt przewiduje, że Komisja będzie mogła wszcząć postępowanie w kilku przypadkach:</w:t>
      </w:r>
    </w:p>
    <w:p w14:paraId="63E18920" w14:textId="77777777" w:rsidR="00673E6D" w:rsidRPr="00415B4B" w:rsidRDefault="00673E6D" w:rsidP="005378F2">
      <w:pPr>
        <w:widowControl/>
        <w:numPr>
          <w:ilvl w:val="0"/>
          <w:numId w:val="2"/>
        </w:numPr>
        <w:suppressAutoHyphens/>
        <w:autoSpaceDE/>
        <w:autoSpaceDN/>
        <w:adjustRightInd/>
        <w:ind w:left="425" w:hanging="357"/>
        <w:jc w:val="both"/>
        <w:rPr>
          <w:rFonts w:eastAsia="Times New Roman" w:cs="Times New Roman"/>
          <w:bCs/>
          <w:lang w:eastAsia="en-US"/>
        </w:rPr>
      </w:pPr>
      <w:r w:rsidRPr="00415B4B">
        <w:rPr>
          <w:rFonts w:eastAsia="Times New Roman" w:cs="Times New Roman"/>
          <w:bCs/>
          <w:lang w:eastAsia="en-US"/>
        </w:rPr>
        <w:t xml:space="preserve">z urzędu, </w:t>
      </w:r>
    </w:p>
    <w:p w14:paraId="5E56873C" w14:textId="77777777" w:rsidR="00673E6D" w:rsidRPr="00415B4B" w:rsidRDefault="00673E6D" w:rsidP="005378F2">
      <w:pPr>
        <w:widowControl/>
        <w:numPr>
          <w:ilvl w:val="0"/>
          <w:numId w:val="2"/>
        </w:numPr>
        <w:suppressAutoHyphens/>
        <w:autoSpaceDE/>
        <w:autoSpaceDN/>
        <w:adjustRightInd/>
        <w:ind w:left="425" w:hanging="357"/>
        <w:jc w:val="both"/>
        <w:rPr>
          <w:rFonts w:eastAsia="Times New Roman" w:cs="Times New Roman"/>
          <w:bCs/>
          <w:lang w:eastAsia="en-US"/>
        </w:rPr>
      </w:pPr>
      <w:r w:rsidRPr="00415B4B">
        <w:rPr>
          <w:rFonts w:eastAsia="Times New Roman" w:cs="Times New Roman"/>
          <w:bCs/>
          <w:lang w:eastAsia="en-US"/>
        </w:rPr>
        <w:t>na wniosek Przewodniczącego Komisji, Zastępcy lub członka Komisji,</w:t>
      </w:r>
    </w:p>
    <w:p w14:paraId="388EF73E" w14:textId="77777777" w:rsidR="00673E6D" w:rsidRPr="00415B4B" w:rsidRDefault="00673E6D" w:rsidP="005378F2">
      <w:pPr>
        <w:widowControl/>
        <w:numPr>
          <w:ilvl w:val="0"/>
          <w:numId w:val="2"/>
        </w:numPr>
        <w:suppressAutoHyphens/>
        <w:autoSpaceDE/>
        <w:autoSpaceDN/>
        <w:adjustRightInd/>
        <w:ind w:left="425" w:hanging="357"/>
        <w:jc w:val="both"/>
        <w:rPr>
          <w:rFonts w:eastAsia="Times New Roman" w:cs="Times New Roman"/>
          <w:bCs/>
          <w:lang w:eastAsia="en-US"/>
        </w:rPr>
      </w:pPr>
      <w:r w:rsidRPr="00415B4B">
        <w:rPr>
          <w:rFonts w:eastAsia="Times New Roman" w:cs="Times New Roman"/>
          <w:bCs/>
          <w:lang w:eastAsia="en-US"/>
        </w:rPr>
        <w:t>na wniosek organu lub podmiotu, o którym mowa w art. 77 rozporządzenia 2024/1689,</w:t>
      </w:r>
      <w:r>
        <w:rPr>
          <w:rFonts w:eastAsia="Times New Roman" w:cs="Times New Roman"/>
          <w:bCs/>
          <w:lang w:eastAsia="en-US"/>
        </w:rPr>
        <w:t xml:space="preserve"> </w:t>
      </w:r>
    </w:p>
    <w:p w14:paraId="5FAFD552" w14:textId="77777777" w:rsidR="00673E6D" w:rsidRDefault="00673E6D" w:rsidP="005378F2">
      <w:pPr>
        <w:pStyle w:val="Akapitzlist"/>
        <w:widowControl/>
        <w:numPr>
          <w:ilvl w:val="0"/>
          <w:numId w:val="2"/>
        </w:numPr>
        <w:suppressAutoHyphens/>
        <w:autoSpaceDE/>
        <w:autoSpaceDN/>
        <w:adjustRightInd/>
        <w:ind w:left="425" w:hanging="357"/>
        <w:contextualSpacing w:val="0"/>
        <w:jc w:val="both"/>
        <w:rPr>
          <w:rFonts w:ascii="Times" w:eastAsia="MS Mincho" w:hAnsi="Times"/>
          <w:bCs/>
        </w:rPr>
      </w:pPr>
      <w:r w:rsidRPr="00AF08F0">
        <w:rPr>
          <w:rFonts w:ascii="Times" w:eastAsia="MS Mincho" w:hAnsi="Times"/>
          <w:bCs/>
        </w:rPr>
        <w:t>na wniosek Rady.</w:t>
      </w:r>
    </w:p>
    <w:p w14:paraId="779795C9" w14:textId="77777777" w:rsidR="00673E6D" w:rsidRPr="00AF08F0" w:rsidRDefault="00673E6D" w:rsidP="005378F2">
      <w:pPr>
        <w:widowControl/>
        <w:suppressAutoHyphens/>
        <w:autoSpaceDE/>
        <w:autoSpaceDN/>
        <w:adjustRightInd/>
        <w:spacing w:before="120"/>
        <w:jc w:val="both"/>
        <w:rPr>
          <w:rFonts w:ascii="Times" w:eastAsia="MS Mincho" w:hAnsi="Times"/>
          <w:bCs/>
        </w:rPr>
      </w:pPr>
      <w:r w:rsidRPr="00415B4B">
        <w:t>Wszczęcie</w:t>
      </w:r>
      <w:r w:rsidRPr="00AF08F0">
        <w:rPr>
          <w:rFonts w:ascii="Times" w:eastAsia="MS Mincho" w:hAnsi="Times"/>
          <w:bCs/>
        </w:rPr>
        <w:t xml:space="preserve"> przez Komisję postępowania z urzędu może nastąpić m.in. w wyniku przeprowadzania kontroli albo w wyniku rozpatrzenia skargi</w:t>
      </w:r>
      <w:r w:rsidRPr="0068787F">
        <w:rPr>
          <w:rFonts w:eastAsia="Times New Roman" w:cs="Times New Roman"/>
          <w:bCs/>
          <w:lang w:eastAsia="en-US"/>
        </w:rPr>
        <w:t xml:space="preserve">. </w:t>
      </w:r>
    </w:p>
    <w:p w14:paraId="0D5A288C"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Projekt ustawy reguluje procedury składania przez osoby fizyczne, prawne oraz jednostki organizacyjne nieposiadające osobowości prawnej skargi na naruszenia przepisów dotyczących sztucznej inteligencji. Proponowane przepisy zobowiązują skarżących do przedstawienia szczegółowych informacji, takich jak nazwa systemu lub opis, opis naruszenia, istotne fakty oraz dane kontaktowe, co umożliwia skuteczne rozpatrzenie sprawy. Skarga może być składana elektronicznie, co zwiększa dostępność procedury, a w wyjątkowych przypadkach dopuszcza się jej złożenie w innej formie. Komisja, w ramach rozpatrywania skargi, może współpracować z innymi organami, zapewniając właściwe rozstrzygnięcie spraw wykraczających poza jej wyłączny zakres działania. Należy zaznaczyć, że wprowadzana przez rozporządzenie 2024/1689 kategoria skargi nie jest tożsama z instytucją skargi w rozumieniu polskiego prawa administracyjnego. Właściwym terminem określającym tę instytucję jest </w:t>
      </w:r>
      <w:r>
        <w:rPr>
          <w:rFonts w:eastAsia="Times New Roman" w:cs="Times New Roman"/>
          <w:bCs/>
          <w:lang w:eastAsia="en-US"/>
        </w:rPr>
        <w:t>„</w:t>
      </w:r>
      <w:r w:rsidRPr="00415B4B">
        <w:rPr>
          <w:rFonts w:eastAsia="Times New Roman" w:cs="Times New Roman"/>
          <w:bCs/>
          <w:lang w:eastAsia="en-US"/>
        </w:rPr>
        <w:t xml:space="preserve">skarga w rozumieniu [projektu] ustawy o systemach sztucznej inteligencji”, a określenie </w:t>
      </w:r>
      <w:r>
        <w:rPr>
          <w:rFonts w:eastAsia="Times New Roman" w:cs="Times New Roman"/>
          <w:bCs/>
          <w:lang w:eastAsia="en-US"/>
        </w:rPr>
        <w:t>„</w:t>
      </w:r>
      <w:r w:rsidRPr="00415B4B">
        <w:rPr>
          <w:rFonts w:eastAsia="Times New Roman" w:cs="Times New Roman"/>
          <w:bCs/>
          <w:lang w:eastAsia="en-US"/>
        </w:rPr>
        <w:t>skarga” stosowane jest przez projektodawcę w celu uniknięcia niespójności między nazewnictwem stosowanym w rozporządzeniu unijnym oraz projekcie ustawy.</w:t>
      </w:r>
    </w:p>
    <w:p w14:paraId="56D24552"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 wszczęciem postępowania wiąże się obowiązek jego doręczania wszystkim stronom.</w:t>
      </w:r>
    </w:p>
    <w:p w14:paraId="5BBA390C" w14:textId="68D25809" w:rsidR="00673E6D" w:rsidRPr="00415B4B" w:rsidRDefault="00673E6D" w:rsidP="005378F2">
      <w:pPr>
        <w:widowControl/>
        <w:suppressAutoHyphens/>
        <w:spacing w:before="120"/>
        <w:jc w:val="both"/>
        <w:rPr>
          <w:rFonts w:eastAsia="Times New Roman" w:cs="Times New Roman"/>
          <w:bCs/>
          <w:lang w:eastAsia="en-US"/>
        </w:rPr>
      </w:pPr>
      <w:r w:rsidRPr="00415B4B">
        <w:rPr>
          <w:rFonts w:eastAsia="Calibri" w:cs="Times New Roman"/>
          <w:bCs/>
          <w:szCs w:val="24"/>
          <w:lang w:eastAsia="en-US"/>
        </w:rPr>
        <w:lastRenderedPageBreak/>
        <w:t xml:space="preserve">Do postępowania przed Komisją w sprawach naruszenia przepisów o sztucznej inteligencji w zakresie nieuregulowanym projektem ustawy zastosowanie będą miały przepisy ustawy z dnia 14 czerwca 1960 r. – Kodeks postępowania administracyjnego. Dotyczy to również </w:t>
      </w:r>
      <w:r w:rsidRPr="00415B4B">
        <w:rPr>
          <w:rFonts w:eastAsia="Times New Roman" w:cs="Times New Roman"/>
          <w:bCs/>
          <w:lang w:eastAsia="en-US"/>
        </w:rPr>
        <w:t>sytuacji wymagających uzupełnienia dowodów Komisja i przeprowadzenia postępowania dowodowego. Zapewnia to spójność z ogólnymi zasadami polskiej procedury administracyjnej.</w:t>
      </w:r>
    </w:p>
    <w:p w14:paraId="122B6E88" w14:textId="688852F8"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lang w:eastAsia="en-US"/>
        </w:rPr>
        <w:t xml:space="preserve">W przypadku uzasadnionego podejrzenia, że działalność strony narusza przepisy rozporządzenia 2024/1689 lub ustawy Komisja w toku postępowania może wydać stronie ostrzeżenie. </w:t>
      </w:r>
      <w:r w:rsidRPr="00415B4B">
        <w:rPr>
          <w:rFonts w:eastAsia="Times New Roman" w:cs="Times New Roman"/>
          <w:bCs/>
          <w:lang w:eastAsia="en-US"/>
        </w:rPr>
        <w:t xml:space="preserve">Ostrzeżenie wydawane jest w formie postanowienia, ma charakter prewencyjny i naprawczy, umożliwiając stronie dobrowolne usunięcie nieprawidłowości. Zawiera ono zalecenia działań naprawczych, takich jak zablokowanie dostępu do systemu, wprowadzenie poprawek czy poinformowanie użytkowników. Strona zobowiązana jest do przedstawienia informacji o wykonaniu zaleceń w terminie 14 dni. W przypadku niewykonania ostrzeżenia Komisja może zastosować środki o charakterze nakazowym, a także przekazać informację o naruszeniu właściwym organom krajowym lub unijnym oraz opublikować ją w Biuletynie Informacji Publicznej. Stanowi to mechanizm stopniowanego reagowania, proporcjonalny do wagi naruszenia. W takiej sytuacji Komisja prowadzi dalej postępowanie w celu ustalenia stanu faktycznego. </w:t>
      </w:r>
    </w:p>
    <w:p w14:paraId="273C23D6"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Projektowane przepisy wprowadzają także możliwość wydania decyzji w sprawie naruszenia przepisów rozporządzenia lub ustawy oraz określenie w niej środków nałożenia sankcji. W przypadku dobrowolnego wykonania tych środków Komisja uwzględnia tę okoliczność przy wymiarze ewentualnej kary administracyjnej, co wzmacnia motywację do współpracy z organem.</w:t>
      </w:r>
    </w:p>
    <w:p w14:paraId="493786B5"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Szczególną regulację przewidziano na wypadek bezpośredniego lub znacznego ryzyka, jakie system sztucznej inteligencji może stwarzać dla życia, zdrowia, bezpieczeństwa lub praw podstawowych osób fizycznych. W takich sytuacjach Komisja jest uprawniona do wszczęcia postępowania z urzędu i wydania, w trybie przyspieszonym, decyzji nakazującej zaprzestanie stosowania systemu lub jego wycofanie z rynku. Postępowanie w tym trybie może trwać nie dłużej niż 7 dni. Przewidziano także obowiązki informacyjne wobec właściwych organów krajowych, jednostek notyfikowanych oraz instytucji unijnych, co służy zapewnieniu skutecznego nadzoru w skali UE.</w:t>
      </w:r>
    </w:p>
    <w:p w14:paraId="7237AFE8" w14:textId="50E3DE0B"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Wprowadzono również szczegółowe zasady zaskarżania postanowień i decyzji Komisji do Sądu Okręgowego w Warszawie – sądu ochrony konkurencji i konsumentów. Strona może skorzystać z zażalenia lub odwołania, a samo wniesienie odwołania wstrzymuje wykonanie </w:t>
      </w:r>
      <w:r w:rsidRPr="00415B4B">
        <w:rPr>
          <w:rFonts w:eastAsia="Times New Roman" w:cs="Times New Roman"/>
          <w:bCs/>
          <w:lang w:eastAsia="en-US"/>
        </w:rPr>
        <w:lastRenderedPageBreak/>
        <w:t>decyzji w zakresie administracyjnej kary pieniężnej, co chroni stronę przed nadmierną dolegliwością przed rozstrzygnięciem sądu. Dodatkowo wprowadza się mechanizmy wstrzymania wykonania decyzji w zakresie administracyjnych kar pieniężnych w przypadku wniesienia przez stronę odwołania.</w:t>
      </w:r>
    </w:p>
    <w:p w14:paraId="5D645589"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Projekt ustawy reguluje również obowiązek współpracy Komisji z organami ścigania i wymiaru sprawiedliwości.</w:t>
      </w:r>
      <w:r w:rsidRPr="00415B4B">
        <w:t xml:space="preserve"> </w:t>
      </w:r>
      <w:r w:rsidRPr="00415B4B">
        <w:rPr>
          <w:rFonts w:eastAsia="Times New Roman" w:cs="Times New Roman"/>
          <w:bCs/>
          <w:lang w:eastAsia="en-US"/>
        </w:rPr>
        <w:t xml:space="preserve">Nakłada on obowiązek złożenia zawiadomienia o podejrzeniu popełnienia przestępstwa, jeżeli w toku postępowania ujawnione zostaną odpowiednie informacje. </w:t>
      </w:r>
    </w:p>
    <w:p w14:paraId="6D324527"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Określono również zasady przechowywania akt przez okres dziesięciu lat, co odpowiada potrzebie zapewnienia możliwości kontroli działań organu oraz dochodzenia odpowiedzialności w przyszłości.</w:t>
      </w:r>
    </w:p>
    <w:p w14:paraId="0AB5759E" w14:textId="77777777" w:rsidR="00B1470B" w:rsidRDefault="00673E6D" w:rsidP="00B1470B">
      <w:pPr>
        <w:widowControl/>
        <w:autoSpaceDE/>
        <w:autoSpaceDN/>
        <w:adjustRightInd/>
        <w:spacing w:before="120"/>
        <w:jc w:val="both"/>
        <w:rPr>
          <w:rFonts w:eastAsia="Times New Roman" w:cs="Times New Roman"/>
          <w:bCs/>
          <w:lang w:eastAsia="en-US"/>
        </w:rPr>
      </w:pPr>
      <w:r w:rsidRPr="00415B4B">
        <w:rPr>
          <w:rFonts w:eastAsia="Times New Roman" w:cs="Times New Roman"/>
          <w:bCs/>
          <w:lang w:eastAsia="en-US"/>
        </w:rPr>
        <w:t>Całość regulacji ma służyć stworzeniu przejrzystego, proporcjonalnego i efektywnego systemu nadzoru nad stosowaniem systemów sztucznej inteligencji w Polsce, zgodnego z wymogami prawa unijnego, a jednocześnie gwarantującego ochronę praw uczestników postępowania oraz bezpieczeństwa obywateli.</w:t>
      </w:r>
    </w:p>
    <w:p w14:paraId="68FAB1AD" w14:textId="046AA7D6" w:rsidR="00B1470B" w:rsidRPr="00415B4B" w:rsidRDefault="00673E6D" w:rsidP="00B1470B">
      <w:pPr>
        <w:widowControl/>
        <w:autoSpaceDE/>
        <w:autoSpaceDN/>
        <w:adjustRightInd/>
        <w:spacing w:before="120"/>
        <w:jc w:val="both"/>
        <w:rPr>
          <w:rFonts w:eastAsia="Times New Roman" w:cs="Times New Roman"/>
          <w:szCs w:val="24"/>
          <w:lang w:eastAsia="en-US"/>
        </w:rPr>
      </w:pPr>
      <w:r w:rsidRPr="00415B4B">
        <w:rPr>
          <w:rFonts w:eastAsia="Times New Roman" w:cs="Times New Roman"/>
          <w:bCs/>
          <w:lang w:eastAsia="en-US"/>
        </w:rPr>
        <w:t xml:space="preserve"> </w:t>
      </w:r>
      <w:r w:rsidR="00B1470B" w:rsidRPr="00415B4B">
        <w:rPr>
          <w:rFonts w:eastAsia="Times New Roman" w:cs="Times New Roman"/>
          <w:szCs w:val="24"/>
          <w:lang w:eastAsia="en-US"/>
        </w:rPr>
        <w:t>Projekt ustanawia obowiązek publikacji decyzji wydawanych przez Komisję w sposób dostępny publicznie, przy jednoczesnym zagwarantowaniu ochrony informacji objętych tajemnicą prawnie chronioną, w tym tajemnicą przedsiębiorstwa. Wprowadzenie tego obowiązku ma służyć zarówno celom informacyjnym, jak i prewencyjnym, umożliwiając podmiotom działającym na rynku zapoznanie się z praktyką orzeczniczą Komisji i uniknięcie podobnych naruszeń.</w:t>
      </w:r>
    </w:p>
    <w:p w14:paraId="747F1ACE" w14:textId="77777777" w:rsidR="00B1470B" w:rsidRPr="00415B4B" w:rsidRDefault="00B1470B" w:rsidP="00B1470B">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Art. 67 projektu ustawy wprowadza wymóg prowadzenia szczegółowego wykazu systemów sztucznej inteligencji, wobec których podjęto decyzje o nałożeniu kary za naruszenie przepisów rozporządzenia lub ustawy. Wykaz ten zawiera kluczowe informacje, takie jak:</w:t>
      </w:r>
    </w:p>
    <w:p w14:paraId="4B344353" w14:textId="77777777" w:rsidR="00B1470B" w:rsidRPr="00415B4B" w:rsidRDefault="00B1470B" w:rsidP="00B1470B">
      <w:pPr>
        <w:widowControl/>
        <w:autoSpaceDE/>
        <w:autoSpaceDN/>
        <w:adjustRightInd/>
        <w:ind w:left="284" w:hanging="284"/>
        <w:jc w:val="both"/>
        <w:rPr>
          <w:rFonts w:eastAsia="Times New Roman" w:cs="Times New Roman"/>
          <w:szCs w:val="24"/>
          <w:lang w:eastAsia="en-US"/>
        </w:rPr>
      </w:pPr>
      <w:r w:rsidRPr="00415B4B">
        <w:rPr>
          <w:rFonts w:eastAsia="Times New Roman" w:cs="Times New Roman"/>
          <w:szCs w:val="24"/>
          <w:lang w:eastAsia="en-US"/>
        </w:rPr>
        <w:t>1)</w:t>
      </w:r>
      <w:r w:rsidRPr="00415B4B">
        <w:rPr>
          <w:rFonts w:eastAsia="Times New Roman" w:cs="Times New Roman"/>
          <w:szCs w:val="24"/>
          <w:lang w:eastAsia="en-US"/>
        </w:rPr>
        <w:tab/>
        <w:t>nazwę systemu oraz operatora, którego dotyczy decyzja;</w:t>
      </w:r>
    </w:p>
    <w:p w14:paraId="2F07B5F9" w14:textId="77777777" w:rsidR="00B1470B" w:rsidRPr="00415B4B" w:rsidRDefault="00B1470B" w:rsidP="00B1470B">
      <w:pPr>
        <w:widowControl/>
        <w:autoSpaceDE/>
        <w:autoSpaceDN/>
        <w:adjustRightInd/>
        <w:ind w:left="284" w:hanging="284"/>
        <w:jc w:val="both"/>
        <w:rPr>
          <w:rFonts w:eastAsia="Times New Roman" w:cs="Times New Roman"/>
          <w:szCs w:val="24"/>
          <w:lang w:eastAsia="en-US"/>
        </w:rPr>
      </w:pPr>
      <w:r w:rsidRPr="00415B4B">
        <w:rPr>
          <w:rFonts w:eastAsia="Times New Roman" w:cs="Times New Roman"/>
          <w:szCs w:val="24"/>
          <w:lang w:eastAsia="en-US"/>
        </w:rPr>
        <w:t>2)</w:t>
      </w:r>
      <w:r w:rsidRPr="00415B4B">
        <w:rPr>
          <w:rFonts w:eastAsia="Times New Roman" w:cs="Times New Roman"/>
          <w:szCs w:val="24"/>
          <w:lang w:eastAsia="en-US"/>
        </w:rPr>
        <w:tab/>
        <w:t>charakterystykę i opis działania systemu, wraz z wskazaniem przepisów rozporządzenia 2024/1689 oraz ustawy będących przedmiotem decyzji;</w:t>
      </w:r>
    </w:p>
    <w:p w14:paraId="55DCDDBC" w14:textId="77777777" w:rsidR="00B1470B" w:rsidRPr="00415B4B" w:rsidRDefault="00B1470B" w:rsidP="00B1470B">
      <w:pPr>
        <w:widowControl/>
        <w:autoSpaceDE/>
        <w:autoSpaceDN/>
        <w:adjustRightInd/>
        <w:ind w:left="284" w:hanging="284"/>
        <w:jc w:val="both"/>
        <w:rPr>
          <w:rFonts w:eastAsia="Times New Roman" w:cs="Times New Roman"/>
          <w:szCs w:val="24"/>
          <w:lang w:eastAsia="en-US"/>
        </w:rPr>
      </w:pPr>
      <w:r w:rsidRPr="00415B4B">
        <w:rPr>
          <w:rFonts w:eastAsia="Times New Roman" w:cs="Times New Roman"/>
          <w:szCs w:val="24"/>
          <w:lang w:eastAsia="en-US"/>
        </w:rPr>
        <w:t>3)</w:t>
      </w:r>
      <w:r w:rsidRPr="00415B4B">
        <w:rPr>
          <w:rFonts w:eastAsia="Times New Roman" w:cs="Times New Roman"/>
          <w:szCs w:val="24"/>
          <w:lang w:eastAsia="en-US"/>
        </w:rPr>
        <w:tab/>
        <w:t>informację o decyzjach dotyczących tego samego operatora, lub też podmiotu powiązanego z operatorem, podjętych przez właściwe organy nadzoru innych państw członkowskich lub Komisję Europejską na podstawie przepisów rozporządzenia 2024/1689;</w:t>
      </w:r>
    </w:p>
    <w:p w14:paraId="15334BB1" w14:textId="77777777" w:rsidR="00B1470B" w:rsidRPr="00415B4B" w:rsidRDefault="00B1470B" w:rsidP="00B1470B">
      <w:pPr>
        <w:widowControl/>
        <w:autoSpaceDE/>
        <w:autoSpaceDN/>
        <w:adjustRightInd/>
        <w:ind w:left="284" w:hanging="284"/>
        <w:jc w:val="both"/>
        <w:rPr>
          <w:rFonts w:eastAsia="Times New Roman" w:cs="Times New Roman"/>
          <w:szCs w:val="24"/>
          <w:lang w:eastAsia="en-US"/>
        </w:rPr>
      </w:pPr>
      <w:r w:rsidRPr="00415B4B">
        <w:rPr>
          <w:rFonts w:eastAsia="Times New Roman" w:cs="Times New Roman"/>
          <w:szCs w:val="24"/>
          <w:lang w:eastAsia="en-US"/>
        </w:rPr>
        <w:t>4)</w:t>
      </w:r>
      <w:r w:rsidRPr="00415B4B">
        <w:rPr>
          <w:rFonts w:eastAsia="Times New Roman" w:cs="Times New Roman"/>
          <w:szCs w:val="24"/>
          <w:lang w:eastAsia="en-US"/>
        </w:rPr>
        <w:tab/>
        <w:t>informacje o decyzjach podjętych przez inne organy nadzoru rynku w Rzecz</w:t>
      </w:r>
      <w:r>
        <w:rPr>
          <w:rFonts w:eastAsia="Times New Roman" w:cs="Times New Roman"/>
          <w:szCs w:val="24"/>
          <w:lang w:eastAsia="en-US"/>
        </w:rPr>
        <w:t>y</w:t>
      </w:r>
      <w:r w:rsidRPr="00415B4B">
        <w:rPr>
          <w:rFonts w:eastAsia="Times New Roman" w:cs="Times New Roman"/>
          <w:szCs w:val="24"/>
          <w:lang w:eastAsia="en-US"/>
        </w:rPr>
        <w:t xml:space="preserve">pospolitej Polskiej w sprawach, które dotyczą tego samego systemu, na podstawie przepisów innych niż rozporządzenia 2024/1689 oraz ustawy; </w:t>
      </w:r>
    </w:p>
    <w:p w14:paraId="6BEB8955" w14:textId="77777777" w:rsidR="00B1470B" w:rsidRPr="00415B4B" w:rsidRDefault="00B1470B" w:rsidP="00B1470B">
      <w:pPr>
        <w:widowControl/>
        <w:autoSpaceDE/>
        <w:autoSpaceDN/>
        <w:adjustRightInd/>
        <w:ind w:left="284" w:hanging="284"/>
        <w:jc w:val="both"/>
        <w:rPr>
          <w:rFonts w:eastAsia="Times New Roman" w:cs="Times New Roman"/>
          <w:szCs w:val="24"/>
          <w:lang w:eastAsia="en-US"/>
        </w:rPr>
      </w:pPr>
      <w:r w:rsidRPr="00415B4B">
        <w:rPr>
          <w:rFonts w:eastAsia="Times New Roman" w:cs="Times New Roman"/>
          <w:szCs w:val="24"/>
          <w:lang w:eastAsia="en-US"/>
        </w:rPr>
        <w:lastRenderedPageBreak/>
        <w:t>5)</w:t>
      </w:r>
      <w:r w:rsidRPr="00415B4B">
        <w:rPr>
          <w:rFonts w:eastAsia="Times New Roman" w:cs="Times New Roman"/>
          <w:szCs w:val="24"/>
          <w:lang w:eastAsia="en-US"/>
        </w:rPr>
        <w:tab/>
        <w:t>oznaczenie sprawy oraz odesłanie do treści decyzji, o której mowa w ust. 2 tego przepisu.</w:t>
      </w:r>
    </w:p>
    <w:p w14:paraId="46007F62" w14:textId="77777777" w:rsidR="00B1470B" w:rsidRPr="00415B4B" w:rsidRDefault="00B1470B" w:rsidP="00B1470B">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Celem tego rozwiązania jest stworzenie publicznie dostępnego i transparentnego rejestru, który umożliwi obywatelom monitorowanie przestrzegania prawa przez operatorów systemów AI.</w:t>
      </w:r>
    </w:p>
    <w:p w14:paraId="1C23B609" w14:textId="77777777" w:rsidR="00B1470B" w:rsidRPr="00415B4B" w:rsidRDefault="00B1470B" w:rsidP="00B1470B">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Określono także techniczne i organizacyjne wymagania dotyczące prowadzenia wykazu z wykorzystaniem systemu teleinformatycznego. Zawarte w nim wymogi w zakresie bezpieczeństwa i integralności danych mają zapewnić zgodność z przepisami o ochronie danych osobowych oraz bezpieczeństwa informacji. Szczególny nacisk położono na zapobieganie nieautoryzowanemu dostępowi do danych, ich uszkodzeniu lub utracie, a także na zapewnienie rozliczalności działań dokonywanych w systemie.</w:t>
      </w:r>
    </w:p>
    <w:p w14:paraId="210B2C2C" w14:textId="77777777" w:rsidR="00B1470B" w:rsidRPr="00415B4B" w:rsidRDefault="00B1470B" w:rsidP="00B1470B">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Ponadto projekt wskazuje Komisję jako administratora danych przetwarzanych w wykazie, co jednoznacznie określa odpowiedzialność za zgodność przetwarzania z przepisami prawa.</w:t>
      </w:r>
    </w:p>
    <w:p w14:paraId="3C93E7F2" w14:textId="44AA509A" w:rsidR="00673E6D" w:rsidRPr="00415B4B" w:rsidRDefault="00673E6D" w:rsidP="005378F2">
      <w:pPr>
        <w:widowControl/>
        <w:suppressAutoHyphens/>
        <w:spacing w:before="120"/>
        <w:jc w:val="both"/>
        <w:rPr>
          <w:rFonts w:eastAsia="Times New Roman" w:cs="Times New Roman"/>
          <w:bCs/>
          <w:lang w:eastAsia="en-US"/>
        </w:rPr>
      </w:pPr>
    </w:p>
    <w:p w14:paraId="113615A5" w14:textId="77777777" w:rsidR="00673E6D" w:rsidRPr="00415B4B" w:rsidRDefault="00673E6D" w:rsidP="005378F2">
      <w:pPr>
        <w:widowControl/>
        <w:autoSpaceDE/>
        <w:autoSpaceDN/>
        <w:adjustRightInd/>
        <w:spacing w:before="120"/>
        <w:jc w:val="both"/>
        <w:rPr>
          <w:rFonts w:eastAsia="Times New Roman" w:cs="Times New Roman"/>
          <w:b/>
          <w:bCs/>
          <w:szCs w:val="24"/>
          <w:lang w:eastAsia="en-US"/>
        </w:rPr>
      </w:pPr>
      <w:r w:rsidRPr="00415B4B">
        <w:rPr>
          <w:rFonts w:eastAsia="Times New Roman" w:cs="Times New Roman"/>
          <w:b/>
          <w:bCs/>
          <w:szCs w:val="24"/>
          <w:lang w:eastAsia="en-US"/>
        </w:rPr>
        <w:t xml:space="preserve">Rozdział 5 – Układ w sprawie warunków nadzwyczajnego złagodzenia sankcji (art. 71 – art. 85) </w:t>
      </w:r>
    </w:p>
    <w:p w14:paraId="62E90F8A"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 xml:space="preserve">Projekt ustawy wprowadza alternatywną metodę rozwiązywania sporów w postępowaniach dotyczących naruszeń przepisów regulujących obszar sztucznej inteligencji. Projektowane przepisy ustanawiają procedurę zawierania układu w sprawie nadzwyczajnego złagodzenia sankcji w postępowaniach prowadzonych przez Komisję Rozwoju i Bezpieczeństwa Sztucznej Inteligencji. Wprowadzenie tej instytucji ma na celu zwiększenie efektywności nadzoru nad zgodnością systemów sztucznej inteligencji z rozporządzeniem 2024/1689 oraz ustawą krajową, a także stworzenie mechanizmów zachęcających podmioty do współpracy z organem nadzoru i szybkiego usuwania naruszeń. </w:t>
      </w:r>
    </w:p>
    <w:p w14:paraId="22060E9B" w14:textId="3288D323"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Procedura układowa została ukształtowana jako narzędzie służące zarówno interesowi publicznemu, jak i interesowi podmiotów, wobec których prowadzone jest postępowanie</w:t>
      </w:r>
      <w:r w:rsidR="0064392C">
        <w:rPr>
          <w:rFonts w:eastAsia="Times New Roman" w:cs="Times New Roman"/>
          <w:szCs w:val="24"/>
          <w:lang w:eastAsia="en-US"/>
        </w:rPr>
        <w:t>.</w:t>
      </w:r>
      <w:r w:rsidRPr="00415B4B">
        <w:rPr>
          <w:rFonts w:eastAsia="Times New Roman" w:cs="Times New Roman"/>
          <w:szCs w:val="24"/>
          <w:lang w:eastAsia="en-US"/>
        </w:rPr>
        <w:t xml:space="preserve"> Komisja może zainicjować możliwość zawarcia układu, jeżeli oceni, że doprowadzi to do lepszej realizacji celów regulacji i jeżeli naruszenie nie doprowadziło do poważnych negatywnych skutków, a strona zobowiązuje się do zaprzestania naruszeń oraz ujawnienia wszystkich istotnych okoliczności sprawy. Jednocześnie ustawa przewiduje możliwość wszczęcia procedury układowej na wniosek strony, co zwiększa jej dostępność i pozwala podmiotom szybko podjąć działania zmierzające do wyjaśnienia sprawy oraz naprawienia nieprawidłowości. </w:t>
      </w:r>
    </w:p>
    <w:p w14:paraId="5D6B123E"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lastRenderedPageBreak/>
        <w:t>Kluczowym elementem proponowanej regulacji jest rzetelne ujawnienie przez stronę wszelkich istotnych okoliczności naruszenia, w tym informacji o osobach lub podmiotach współdziałających oraz przedstawienia dowodów na ich poparcie. Warunkiem przystąpienia do układu jest również wcześniejsze zaprzestanie naruszenia albo usunięcie stanu niezgodności z prawem. Takie rozwiązanie zapewnia, że układ nie będzie wykorzystywany do uniknięcia odpowiedzialności, lecz będzie stanowił instrument umożliwiający organowi szybkie ustalenie pełnego obrazu naruszenia oraz skuteczne przywrócenie zgodności.</w:t>
      </w:r>
    </w:p>
    <w:p w14:paraId="6FA7CEBB"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Regulacja przewiduje jednocześnie możliwość dobrowolnego podjęcia przez stronę zobowiązań dotyczących usunięcia skutków naruszeń lub naprawienia szkody wyrządzonej przez niezgodne działanie. Dzięki temu skutki naruszeń mogą zostać ograniczone lub usunięte w sposób szybszy i bardziej efektywny niż w ramach zwykłego postępowania administracyjnego, co leży zarówno w interesie organu, jak i podmiotów poszkodowanych.</w:t>
      </w:r>
    </w:p>
    <w:p w14:paraId="13B2BF97"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Istotnym elementem procedury jest określenie zasad oraz granic nadzwyczajnego złagodzenia sankcji. Przepisy przewidują możliwość złagodzenia sankcji, a nawet odstąpienia od ich nakładania w przypadku szczególnej współpracy strony z Komisją. Zakres złagodzenia sankcji będzie uzależniony od okoliczności zaprzestania naruszeń, zakresu ujawnionych informacji oraz podjętych zobowiązań. Dzięki temu instytucja układu pełni funkcję motywującą, umożliwiając lepsze osiągnięcie zamierzonych celów regulacyjnych.</w:t>
      </w:r>
      <w:r w:rsidRPr="00415B4B">
        <w:t xml:space="preserve"> </w:t>
      </w:r>
      <w:r w:rsidRPr="00415B4B">
        <w:rPr>
          <w:rFonts w:eastAsia="Times New Roman" w:cs="Times New Roman"/>
          <w:szCs w:val="24"/>
          <w:lang w:eastAsia="en-US"/>
        </w:rPr>
        <w:t>Obniżenie kary pieniężnej może wynosić od 20% do 70%, a w przypadku naruszeń ujawnionych z własnej inicjatywy – od 30% do 90%. W sytuacjach nadzwyczajnych, zwłaszcza gdy podmiot usunie wszystkie skutki naruszenia, układ może przewidywać nawet odstąpienie od sankcji. Ustawodawca wskazuje także kryteria, które Komisja powinna brać pod uwagę przy ustalaniu wysokości obniżki, co zapewnia przejrzystość i przewidywalność decyzji.</w:t>
      </w:r>
    </w:p>
    <w:p w14:paraId="4B6CCDCF" w14:textId="50CA1FB1"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 xml:space="preserve">Dla ochrony interesów strony przewidziano gwarancję, że informacje ujawnione w toku procedury układowej nie mogą zostać wykorzystane przeciwko niej w przypadku </w:t>
      </w:r>
      <w:proofErr w:type="spellStart"/>
      <w:r w:rsidRPr="00415B4B">
        <w:rPr>
          <w:rFonts w:eastAsia="Times New Roman" w:cs="Times New Roman"/>
          <w:szCs w:val="24"/>
          <w:lang w:eastAsia="en-US"/>
        </w:rPr>
        <w:t>niezawarcia</w:t>
      </w:r>
      <w:proofErr w:type="spellEnd"/>
      <w:r w:rsidRPr="00415B4B">
        <w:rPr>
          <w:rFonts w:eastAsia="Times New Roman" w:cs="Times New Roman"/>
          <w:szCs w:val="24"/>
          <w:lang w:eastAsia="en-US"/>
        </w:rPr>
        <w:t xml:space="preserve"> układu. Rozwiązanie to zabezpiecza podmioty przed poniesieniem negatywnych konsekwencji wynikających z podjęcia próby współpracy z organem.</w:t>
      </w:r>
    </w:p>
    <w:p w14:paraId="282062C1" w14:textId="752E9F04"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Projekt szczegółowo określa również ramy czasowe na zawarcie układu wyznaczając jedno</w:t>
      </w:r>
      <w:r w:rsidR="0064392C">
        <w:rPr>
          <w:rFonts w:eastAsia="Times New Roman" w:cs="Times New Roman"/>
          <w:szCs w:val="24"/>
          <w:lang w:eastAsia="en-US"/>
        </w:rPr>
        <w:t>-</w:t>
      </w:r>
      <w:r w:rsidRPr="00415B4B">
        <w:rPr>
          <w:rFonts w:eastAsia="Times New Roman" w:cs="Times New Roman"/>
          <w:szCs w:val="24"/>
          <w:lang w:eastAsia="en-US"/>
        </w:rPr>
        <w:t xml:space="preserve"> lub trzymiesięczny okres na ich zawarcie. W tym czasie strona ma możliwość wyrażenia woli przystąpienia do układu oraz dostarczenia Komisji wymaganych informacji dotyczących okoliczności naruszenia i odpowiednich dowodów.</w:t>
      </w:r>
    </w:p>
    <w:p w14:paraId="7D7956CF" w14:textId="189754DE"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lastRenderedPageBreak/>
        <w:t>W projekcie wyszczególniono także kolejne czynności procesowe, w tym sposób przygotowania projektu układu przez Komisję oraz formę jego przyjęcia przez stronę oraz konieczność złożenia oświadczenia przez stronę, którego naruszenie skutkowałoby bezskutecznością układu. Złożenie oświadczenia o przyjęciu układu ma charakter sformalizowany, aby uniknąć jakichkolwiek wątpliwości co do zamiaru strony i skutków prawnych. Przyjęcie układu powoduje zrzeczenie się prawa do odwołania od decyzji kończącej post</w:t>
      </w:r>
      <w:r w:rsidR="0064392C">
        <w:rPr>
          <w:rFonts w:eastAsia="Times New Roman" w:cs="Times New Roman"/>
          <w:szCs w:val="24"/>
          <w:lang w:eastAsia="en-US"/>
        </w:rPr>
        <w:t>ę</w:t>
      </w:r>
      <w:r w:rsidRPr="00415B4B">
        <w:rPr>
          <w:rFonts w:eastAsia="Times New Roman" w:cs="Times New Roman"/>
          <w:szCs w:val="24"/>
          <w:lang w:eastAsia="en-US"/>
        </w:rPr>
        <w:t xml:space="preserve">powanie, co zamyka postępowanie i zapewnia stabilność ostatecznego rozstrzygnięcia. </w:t>
      </w:r>
    </w:p>
    <w:p w14:paraId="33043517"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Przepisy te zapewniają pewność prawną, eliminując ryzyko niejasności interpretacyjnych.</w:t>
      </w:r>
    </w:p>
    <w:p w14:paraId="437590CB"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Projekt wprowadza również mechanizmy nadzoru nad wykonaniem układu oraz określa przypadki niewykonania zobowiązań przez stronę. Komisja otrzymuje prawo do żądania informacji oraz do monitorowania realizacji zobowiązania. Niewykonanie istotnych elementów układu prowadzi do wznowienia postępowania, przy czym dopuszczalne jest ono jedynie w okresie dziesięciu lat od doręczenia decyzji wydanej na podstawie układu.</w:t>
      </w:r>
      <w:r w:rsidRPr="00415B4B">
        <w:t xml:space="preserve"> </w:t>
      </w:r>
      <w:r w:rsidRPr="00415B4B">
        <w:rPr>
          <w:rFonts w:eastAsia="Times New Roman" w:cs="Times New Roman"/>
          <w:szCs w:val="24"/>
          <w:lang w:eastAsia="en-US"/>
        </w:rPr>
        <w:t>W takich sytuacjach Komisja uwzględnia wcześniejsze działania strony przy podejmowaniu decyzji o sankcjach.</w:t>
      </w:r>
    </w:p>
    <w:p w14:paraId="104082A2"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Proponowane przepisy wykluczają stosowanie art. 162 Kodeksu postępowania administracyjnego w odniesieniu do decyzji zawierającej układ, wzmacniając finalność i nieodwołalność rozstrzygnięć osiągniętych na drodze konsensualnej.</w:t>
      </w:r>
      <w:r w:rsidRPr="00415B4B">
        <w:t xml:space="preserve"> </w:t>
      </w:r>
      <w:r w:rsidRPr="00415B4B">
        <w:rPr>
          <w:rFonts w:eastAsia="Times New Roman" w:cs="Times New Roman"/>
          <w:szCs w:val="24"/>
          <w:lang w:eastAsia="en-US"/>
        </w:rPr>
        <w:t>Ma to zapewnić równowagę między interesem publicznym a zasadą pewności prawa.</w:t>
      </w:r>
    </w:p>
    <w:p w14:paraId="19E496C4"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Wprowadzenie instytucji układu jako narzędzia alternatywnego rozwiązywania sporów w postępowaniach dotyczących naruszeń przepisów o sztucznej inteligencji wspiera realizację celów regulacyjnych, wzmacniając ochronę interesu publicznego i skuteczność nadzoru.</w:t>
      </w:r>
    </w:p>
    <w:p w14:paraId="71788E34" w14:textId="77777777" w:rsidR="00673E6D" w:rsidRPr="00415B4B" w:rsidRDefault="00673E6D" w:rsidP="005378F2">
      <w:pPr>
        <w:widowControl/>
        <w:autoSpaceDE/>
        <w:autoSpaceDN/>
        <w:adjustRightInd/>
        <w:spacing w:before="120"/>
        <w:jc w:val="both"/>
        <w:textAlignment w:val="baseline"/>
        <w:rPr>
          <w:rFonts w:eastAsia="Times New Roman" w:cs="Times New Roman"/>
          <w:b/>
          <w:bCs/>
          <w:szCs w:val="24"/>
          <w:lang w:eastAsia="en-US"/>
        </w:rPr>
      </w:pPr>
      <w:r w:rsidRPr="00415B4B">
        <w:rPr>
          <w:rFonts w:eastAsia="Times New Roman" w:cs="Times New Roman"/>
          <w:b/>
          <w:bCs/>
          <w:szCs w:val="24"/>
          <w:lang w:eastAsia="en-US"/>
        </w:rPr>
        <w:t>Rozdział 6</w:t>
      </w:r>
      <w:r w:rsidRPr="00415B4B">
        <w:rPr>
          <w:rFonts w:eastAsia="Times New Roman" w:cs="Times New Roman"/>
          <w:szCs w:val="24"/>
          <w:lang w:eastAsia="en-US"/>
        </w:rPr>
        <w:t xml:space="preserve"> – </w:t>
      </w:r>
      <w:r w:rsidRPr="00415B4B">
        <w:rPr>
          <w:rFonts w:eastAsia="Times New Roman" w:cs="Times New Roman"/>
          <w:b/>
          <w:bCs/>
          <w:szCs w:val="24"/>
          <w:lang w:eastAsia="en-US"/>
        </w:rPr>
        <w:t xml:space="preserve">Jednostki notyfikowane i procedura notyfikacyjna (art. 86 – art. 90)  </w:t>
      </w:r>
    </w:p>
    <w:p w14:paraId="38F45927" w14:textId="0226519C"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 xml:space="preserve">Projekt ustawy w rozdziale </w:t>
      </w:r>
      <w:r w:rsidR="00CF5F7D">
        <w:rPr>
          <w:rFonts w:eastAsia="Times New Roman" w:cs="Times New Roman"/>
          <w:bCs/>
        </w:rPr>
        <w:t>6</w:t>
      </w:r>
      <w:r w:rsidRPr="00415B4B">
        <w:rPr>
          <w:rFonts w:eastAsia="Times New Roman" w:cs="Times New Roman"/>
          <w:bCs/>
        </w:rPr>
        <w:t xml:space="preserve"> ma na celu określenie krajowego systemu autoryzacji, akredytacji i notyfikacji, jednostek oceniających zgodność w związku ze stosowaniem rozporządzenia Parlamentu Europejskiego i Rady (UE) 2024/1689. Z uwagi na to, że rozporządzenie to nakłada na państwa członkowskie obowiązek wyznaczenia organu notyfikującego oraz ustanowienia jednolitych procedur w zakresie oceny i notyfikacji jednostek, konieczne jest wskazanie właściwych organów krajowych i określenie ich kompetencji.</w:t>
      </w:r>
    </w:p>
    <w:p w14:paraId="110CF52D" w14:textId="77777777"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 xml:space="preserve">W projekcie ustawy wskazuję się ministra właściwego do spraw informatyzacji jako organ notyfikujący w zakresie, o którym mowa w art. 28 rozporządzenia 2024/1689. Proces notyfikacji jednostek oceniających zgodność odbywać się będzie zgodnie z zasadami wynikającymi bezpośrednio z rozporządzenia 2024/1689, a także z ustawą </w:t>
      </w:r>
      <w:r w:rsidRPr="00415B4B">
        <w:rPr>
          <w:rFonts w:eastAsia="Times New Roman"/>
        </w:rPr>
        <w:t xml:space="preserve">z dnia 13 kwietnia </w:t>
      </w:r>
      <w:r w:rsidRPr="00415B4B">
        <w:rPr>
          <w:rFonts w:eastAsia="Times New Roman"/>
        </w:rPr>
        <w:lastRenderedPageBreak/>
        <w:t xml:space="preserve">2016 r. </w:t>
      </w:r>
      <w:r w:rsidRPr="00415B4B">
        <w:rPr>
          <w:rFonts w:eastAsia="Times New Roman" w:cs="Times New Roman"/>
          <w:bCs/>
        </w:rPr>
        <w:t>o systemach oceny zgodności i nadzoru rynku (Dz. U. z 2025 r. poz. 568), która reguluje ogólne zasady funkcjonowania jednostek notyfikowanych w Polsce. Takie odesłanie gwarantuje stosowanie jednolitych wymogów dla wszystkich obszarów regulowanych prawem Unii, a jednocześnie eliminuje konieczność powielania istniejących już regulacji.</w:t>
      </w:r>
    </w:p>
    <w:p w14:paraId="3926882E" w14:textId="13158FB0" w:rsidR="00673E6D" w:rsidRPr="00415B4B" w:rsidRDefault="00673E6D" w:rsidP="005378F2">
      <w:pPr>
        <w:widowControl/>
        <w:suppressAutoHyphens/>
        <w:spacing w:before="120"/>
        <w:jc w:val="both"/>
        <w:textAlignment w:val="baseline"/>
        <w:rPr>
          <w:rFonts w:ascii="Calibri" w:eastAsia="Times New Roman" w:hAnsi="Calibri" w:cs="Calibri"/>
          <w:sz w:val="26"/>
          <w:szCs w:val="26"/>
        </w:rPr>
      </w:pPr>
      <w:r w:rsidRPr="00415B4B">
        <w:rPr>
          <w:rFonts w:eastAsia="Times New Roman" w:cs="Times New Roman"/>
          <w:bCs/>
        </w:rPr>
        <w:t>Minister właściwy do spraw informatyzacji będzie również organem właściwym do udzielania autoryzacji</w:t>
      </w:r>
      <w:r w:rsidRPr="00415B4B">
        <w:rPr>
          <w:rFonts w:eastAsia="Times New Roman"/>
        </w:rPr>
        <w:t xml:space="preserve"> w rozumieniu przepisu art. 27 ust. 1 ustawy z dnia 13 kwietnia 2016 r. o systemach oceny zgodności i nadzoru rynku</w:t>
      </w:r>
      <w:r w:rsidRPr="00415B4B">
        <w:rPr>
          <w:rFonts w:eastAsia="Times New Roman" w:cs="Times New Roman"/>
          <w:bCs/>
        </w:rPr>
        <w:t xml:space="preserve">. Wynika to z celowości powierzenia całego procesu – od akredytacji po autoryzację i notyfikację – jednemu organowi, co podnosi efektywność i przejrzystość procedur. Do akredytacji, autoryzacji i notyfikacji jednostek biorących udział w procesie oceny zgodności systemów określonych w rozporządzeniu 2024/1689 odpowiednio będą stosowane przepisy </w:t>
      </w:r>
      <w:r w:rsidRPr="00415B4B">
        <w:rPr>
          <w:rFonts w:eastAsia="Times New Roman"/>
        </w:rPr>
        <w:t>rozdziału 4 i 5 ustawy z dnia 13 kwietnia 2016 r. o systemach oceny zgodności i nadzoru rynku</w:t>
      </w:r>
      <w:r w:rsidRPr="00415B4B">
        <w:rPr>
          <w:rFonts w:eastAsia="Times New Roman" w:cs="Times New Roman"/>
          <w:bCs/>
        </w:rPr>
        <w:t>. Pozwala to zachować jednolity standard krajowych procedur, jednocześnie unikając niepotrzebnego dublowania regulacji.</w:t>
      </w:r>
    </w:p>
    <w:p w14:paraId="16431578" w14:textId="4017B0FA"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Dla zachowania spójności z przepisami prawa oraz praktyką rynkową sprawy związane z akredytacją, o których mowa w art. 28 ust. 2 rozporządzenia 2024/1689</w:t>
      </w:r>
      <w:r w:rsidR="008248EF">
        <w:rPr>
          <w:rFonts w:eastAsia="Times New Roman" w:cs="Times New Roman"/>
          <w:bCs/>
        </w:rPr>
        <w:t>,</w:t>
      </w:r>
      <w:r w:rsidRPr="00415B4B">
        <w:rPr>
          <w:rFonts w:eastAsia="Times New Roman" w:cs="Times New Roman"/>
          <w:bCs/>
        </w:rPr>
        <w:t xml:space="preserve"> powierzone zostaną Polskiemu Centrum Akredytacji (</w:t>
      </w:r>
      <w:r w:rsidR="00CF5F7D">
        <w:rPr>
          <w:rFonts w:eastAsia="Times New Roman" w:cs="Times New Roman"/>
          <w:bCs/>
        </w:rPr>
        <w:t xml:space="preserve">zwanemu </w:t>
      </w:r>
      <w:r w:rsidRPr="00415B4B">
        <w:rPr>
          <w:rFonts w:eastAsia="Times New Roman" w:cs="Times New Roman"/>
          <w:bCs/>
        </w:rPr>
        <w:t>dalej</w:t>
      </w:r>
      <w:r w:rsidR="008248EF">
        <w:rPr>
          <w:rFonts w:eastAsia="Times New Roman" w:cs="Times New Roman"/>
          <w:bCs/>
        </w:rPr>
        <w:t>:</w:t>
      </w:r>
      <w:r w:rsidRPr="00415B4B">
        <w:rPr>
          <w:rFonts w:eastAsia="Times New Roman" w:cs="Times New Roman"/>
          <w:bCs/>
        </w:rPr>
        <w:t xml:space="preserve"> </w:t>
      </w:r>
      <w:r w:rsidR="008248EF">
        <w:rPr>
          <w:rFonts w:eastAsia="Times New Roman" w:cs="Times New Roman"/>
          <w:bCs/>
        </w:rPr>
        <w:t>„</w:t>
      </w:r>
      <w:r w:rsidRPr="00415B4B">
        <w:rPr>
          <w:rFonts w:eastAsia="Times New Roman" w:cs="Times New Roman"/>
          <w:bCs/>
        </w:rPr>
        <w:t>PCA</w:t>
      </w:r>
      <w:r w:rsidR="008248EF">
        <w:rPr>
          <w:rFonts w:eastAsia="Times New Roman" w:cs="Times New Roman"/>
          <w:bCs/>
        </w:rPr>
        <w:t>”</w:t>
      </w:r>
      <w:r w:rsidRPr="00415B4B">
        <w:rPr>
          <w:rFonts w:eastAsia="Times New Roman" w:cs="Times New Roman"/>
          <w:bCs/>
        </w:rPr>
        <w:t>) w oparciu o przepisy ustawy z dnia 13 kwietnia 2016 r. o systemach oceny zgodności i nadzoru rynku</w:t>
      </w:r>
      <w:r w:rsidR="008248EF">
        <w:rPr>
          <w:rFonts w:eastAsia="Times New Roman" w:cs="Times New Roman"/>
          <w:bCs/>
        </w:rPr>
        <w:t>,</w:t>
      </w:r>
      <w:r w:rsidRPr="00415B4B">
        <w:rPr>
          <w:rFonts w:eastAsia="Times New Roman" w:cs="Times New Roman"/>
          <w:bCs/>
        </w:rPr>
        <w:t xml:space="preserve"> które wspierać ma w tym zadaniu ministra właściwego do spraw informatyzacji. Włączenie instytucji posiadającej duży dorobek i bogate doświadczenie, jaką jest PCA, daje największą gwarancj</w:t>
      </w:r>
      <w:r w:rsidR="008248EF">
        <w:rPr>
          <w:rFonts w:eastAsia="Times New Roman" w:cs="Times New Roman"/>
          <w:bCs/>
        </w:rPr>
        <w:t>ę</w:t>
      </w:r>
      <w:r w:rsidRPr="00415B4B">
        <w:rPr>
          <w:rFonts w:eastAsia="Times New Roman" w:cs="Times New Roman"/>
          <w:bCs/>
        </w:rPr>
        <w:t xml:space="preserve"> wysokiego poziomu nadzoru nad standardami i zasadami nadzoru nad systemem instytucji oceniających zgodność produktów przy jednoczesnym zapewnieniu możliwości podejmowania przez ministra właściwego do spraw informatyzacji (jako organowi notyfikującemu) działań spójnych z kierunkiem ustalanym na poziomie unijnym (Urząd ds. AI w Komisji Europejskiej, Europejska Rada ds. AI). Z uwagi na to, że PCA jest krajową instytucją akredytującą, jej udział w przygotowaniu i aktualizacji programów akredytacji jest niezbędny dla zapewnienia wysokiej jakości procesu oceny i monitorowania jednostek oceniających zgodność. Ponadto przekazywanie ministrowi aktualnych informacji o akredytacjach umożliwia właściwe wykonywanie zadań nadzorczych i notyfikacyjnych. </w:t>
      </w:r>
    </w:p>
    <w:p w14:paraId="269B5E62" w14:textId="77777777"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Należy jednak wskazać, że zgodnie z motywem 64</w:t>
      </w:r>
      <w:r w:rsidRPr="00415B4B">
        <w:rPr>
          <w:rFonts w:eastAsia="Times New Roman" w:cs="Times New Roman"/>
          <w:b/>
          <w:bCs/>
        </w:rPr>
        <w:t xml:space="preserve"> </w:t>
      </w:r>
      <w:r w:rsidRPr="00415B4B">
        <w:rPr>
          <w:rFonts w:eastAsia="Times New Roman" w:cs="Times New Roman"/>
          <w:bCs/>
        </w:rPr>
        <w:t xml:space="preserve">rozporządzenia 2024/1689 uzupełnia ono ustawodawstwo </w:t>
      </w:r>
      <w:proofErr w:type="spellStart"/>
      <w:r w:rsidRPr="00415B4B">
        <w:rPr>
          <w:rFonts w:eastAsia="Times New Roman" w:cs="Times New Roman"/>
          <w:bCs/>
        </w:rPr>
        <w:t>harmonizacyjne</w:t>
      </w:r>
      <w:proofErr w:type="spellEnd"/>
      <w:r w:rsidRPr="00415B4B">
        <w:rPr>
          <w:rFonts w:eastAsia="Times New Roman" w:cs="Times New Roman"/>
          <w:bCs/>
        </w:rPr>
        <w:t xml:space="preserve">. „Zagrożenia związane z systemami AI objętymi wymogami niniejszego rozporządzenia dotyczą innych aspektów niż obowiązujące unijne prawodawstwo </w:t>
      </w:r>
      <w:proofErr w:type="spellStart"/>
      <w:r w:rsidRPr="00415B4B">
        <w:rPr>
          <w:rFonts w:eastAsia="Times New Roman" w:cs="Times New Roman"/>
          <w:bCs/>
        </w:rPr>
        <w:t>harmonizacyjne</w:t>
      </w:r>
      <w:proofErr w:type="spellEnd"/>
      <w:r w:rsidRPr="00415B4B">
        <w:rPr>
          <w:rFonts w:eastAsia="Times New Roman" w:cs="Times New Roman"/>
          <w:bCs/>
        </w:rPr>
        <w:t xml:space="preserve">, w związku z czym wymogi niniejszego rozporządzenia uzupełnią obowiązujące unijne prawodawstwo </w:t>
      </w:r>
      <w:proofErr w:type="spellStart"/>
      <w:r w:rsidRPr="00415B4B">
        <w:rPr>
          <w:rFonts w:eastAsia="Times New Roman" w:cs="Times New Roman"/>
          <w:bCs/>
        </w:rPr>
        <w:t>harmonizacyjne</w:t>
      </w:r>
      <w:proofErr w:type="spellEnd"/>
      <w:r w:rsidRPr="00415B4B">
        <w:rPr>
          <w:rFonts w:eastAsia="Times New Roman" w:cs="Times New Roman"/>
          <w:bCs/>
        </w:rPr>
        <w:t xml:space="preserve">. Na przykład maszyny lub wyroby </w:t>
      </w:r>
      <w:r w:rsidRPr="00415B4B">
        <w:rPr>
          <w:rFonts w:eastAsia="Times New Roman" w:cs="Times New Roman"/>
          <w:bCs/>
        </w:rPr>
        <w:lastRenderedPageBreak/>
        <w:t xml:space="preserve">medyczne zawierające system AI mogą stwarzać ryzyko, które nie zostało uwzględnione w zasadniczych wymogach w zakresie zdrowia i bezpieczeństwa ustanowionych w odpowiednim unijnym prawodawstwie </w:t>
      </w:r>
      <w:proofErr w:type="spellStart"/>
      <w:r w:rsidRPr="00415B4B">
        <w:rPr>
          <w:rFonts w:eastAsia="Times New Roman" w:cs="Times New Roman"/>
          <w:bCs/>
        </w:rPr>
        <w:t>harmonizacyjnym</w:t>
      </w:r>
      <w:proofErr w:type="spellEnd"/>
      <w:r w:rsidRPr="00415B4B">
        <w:rPr>
          <w:rFonts w:eastAsia="Times New Roman" w:cs="Times New Roman"/>
          <w:bCs/>
        </w:rPr>
        <w:t xml:space="preserve">, ponieważ to prawo sektorowe nie reguluje ryzyka specyficznego dla systemów AI. Wymaga to jednoczesnego i komplementarnego stosowania różnych aktów ustawodawczych. Aby zapewnić spójność i uniknąć niepotrzebnych obciążeń administracyjnych i niepotrzebnych kosztów, dostawcy produktu, który zawiera co najmniej jeden system AI wysokiego ryzyka, do którego stosuje się wymogi niniejszego rozporządzenia i unijnego prawodawstwa </w:t>
      </w:r>
      <w:proofErr w:type="spellStart"/>
      <w:r w:rsidRPr="00415B4B">
        <w:rPr>
          <w:rFonts w:eastAsia="Times New Roman" w:cs="Times New Roman"/>
          <w:bCs/>
        </w:rPr>
        <w:t>harmonizacyjnego</w:t>
      </w:r>
      <w:proofErr w:type="spellEnd"/>
      <w:r w:rsidRPr="00415B4B">
        <w:rPr>
          <w:rFonts w:eastAsia="Times New Roman" w:cs="Times New Roman"/>
          <w:bCs/>
        </w:rPr>
        <w:t xml:space="preserve"> opartego na nowych ramach prawnych, wymienionego w załączniku do niniejszego rozporządzenia, powinni mieć swobodę w zakresie decyzji operacyjnych dotyczących sposobu zapewnienia w optymalny sposób zgodności produktu zawierającego co najmniej jeden system AI ze wszystkimi mającymi zastosowanie wymogami unijnego prawodawstwa </w:t>
      </w:r>
      <w:proofErr w:type="spellStart"/>
      <w:r w:rsidRPr="00415B4B">
        <w:rPr>
          <w:rFonts w:eastAsia="Times New Roman" w:cs="Times New Roman"/>
          <w:bCs/>
        </w:rPr>
        <w:t>harmonizacyjnego</w:t>
      </w:r>
      <w:proofErr w:type="spellEnd"/>
      <w:r w:rsidRPr="00415B4B">
        <w:rPr>
          <w:rFonts w:eastAsia="Times New Roman" w:cs="Times New Roman"/>
          <w:bCs/>
        </w:rPr>
        <w:t xml:space="preserve">. Swoboda ta może oznaczać na przykład decyzję dostawcy o włączeniu części niezbędnych procesów testowania i sprawozdawczości, informacji i dokumentacji wymaganych na mocy niniejszego rozporządzenia do już istniejącej dokumentacji i procedur wymaganych na mocy obowiązującego unijnego prawodawstwa </w:t>
      </w:r>
      <w:proofErr w:type="spellStart"/>
      <w:r w:rsidRPr="00415B4B">
        <w:rPr>
          <w:rFonts w:eastAsia="Times New Roman" w:cs="Times New Roman"/>
          <w:bCs/>
        </w:rPr>
        <w:t>harmonizacyjnego</w:t>
      </w:r>
      <w:proofErr w:type="spellEnd"/>
      <w:r w:rsidRPr="00415B4B">
        <w:rPr>
          <w:rFonts w:eastAsia="Times New Roman" w:cs="Times New Roman"/>
          <w:bCs/>
        </w:rPr>
        <w:t xml:space="preserve"> opartego na nowych ramach prawnych i wymienionego w załączniku do niniejszego rozporządzenia. Nie powinno to w żaden sposób podważać spoczywającego na dostawcy obowiązku zapewnienia zgodności z wszystkimi mającymi zastosowanie wymogami”.</w:t>
      </w:r>
    </w:p>
    <w:p w14:paraId="31809B83" w14:textId="77777777"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 xml:space="preserve">W związku z tym wyznaczenie ministra właściwego do spraw informatyzacji jako organu notyfikującego zgodnie z art. 70 projektu, który wykonuje art. 70 ust. 1 rozporządzenia 2024/1689, nie pozbawia innych organów kompetencji określonych w normach </w:t>
      </w:r>
      <w:proofErr w:type="spellStart"/>
      <w:r w:rsidRPr="00415B4B">
        <w:rPr>
          <w:rFonts w:eastAsia="Times New Roman" w:cs="Times New Roman"/>
          <w:bCs/>
        </w:rPr>
        <w:t>harmonizacyjnych</w:t>
      </w:r>
      <w:proofErr w:type="spellEnd"/>
      <w:r w:rsidRPr="00415B4B">
        <w:rPr>
          <w:rFonts w:eastAsia="Times New Roman" w:cs="Times New Roman"/>
          <w:bCs/>
        </w:rPr>
        <w:t xml:space="preserve">. </w:t>
      </w:r>
    </w:p>
    <w:p w14:paraId="2DDAB620" w14:textId="77777777"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 xml:space="preserve">W przypadku kiedy unijne prawodawstwo </w:t>
      </w:r>
      <w:proofErr w:type="spellStart"/>
      <w:r w:rsidRPr="00415B4B">
        <w:rPr>
          <w:rFonts w:eastAsia="Times New Roman" w:cs="Times New Roman"/>
          <w:bCs/>
        </w:rPr>
        <w:t>harmonizacyjne</w:t>
      </w:r>
      <w:proofErr w:type="spellEnd"/>
      <w:r w:rsidRPr="00415B4B">
        <w:rPr>
          <w:rFonts w:eastAsia="Times New Roman" w:cs="Times New Roman"/>
          <w:bCs/>
        </w:rPr>
        <w:t xml:space="preserve"> wymienione w załączniku I do rozporządzenia 2024/1689 albo przepisy krajowe służące jego stosowaniu wskazują inny organ właściwy w tym zakresie, to ocena, wyznaczanie i notyfikowanie jednostek oceniających zgodność będzie dokonywane przez organ w ramach jednego procesu i nie dojdzie do konieczności dokonywania przez podmioty podwójnej notyfikacji – jednej w zakresie samego systemu sztucznej inteligencji przez ministra właściwego ds. informatyzacji, a drugiej w zakresie całego produktu, którego częścią jest ten system, dokonywanej przez organ właściwy w przypadku danych produktów. Przykładowo, w przypadku wyrobów, o których mowa w art. 1 ust. 4 rozporządzenia Parlamentu Europejskiego i Rady (UE) 2017/745 z dnia 5 kwietnia 2017 r. w sprawie wyrobów medycznych, zmiany dyrektywy 2001/83/WE, rozporządzenia </w:t>
      </w:r>
      <w:r w:rsidRPr="00415B4B">
        <w:rPr>
          <w:rFonts w:eastAsia="Times New Roman" w:cs="Times New Roman"/>
          <w:bCs/>
        </w:rPr>
        <w:lastRenderedPageBreak/>
        <w:t>(WE) nr 178/2002 i rozporządzenia (WE) nr 1223/2009 oraz uchylenia dyrektyw Rady 90/385/EWG i 93/42/EWG, oraz wyrobów, o których mowa w art. 1 ust. 2 rozporządzenia Parlamentu Europejskiego i Rady (UE) 2017/746 z dnia 5 kwietnia 2017 r. w sprawie wyrobów medycznych do diagnostyki in vitro oraz uchylenia dyrektywy 98/79/WE i decyzji Komisji 2010/227/UE, których elementem związanym z bezpieczeństwem jest system sztucznej inteligencji lub które same są takimi systemami będzie to Prezes Urzędu Rejestracji Produktów Leczniczych, Wyrobów Medycznych i Produktów Biobójczych.</w:t>
      </w:r>
    </w:p>
    <w:p w14:paraId="3A89B2AE" w14:textId="77777777" w:rsidR="00673E6D" w:rsidRPr="00415B4B" w:rsidRDefault="00673E6D" w:rsidP="005378F2">
      <w:pPr>
        <w:widowControl/>
        <w:suppressAutoHyphens/>
        <w:spacing w:before="120"/>
        <w:jc w:val="both"/>
        <w:textAlignment w:val="baseline"/>
        <w:rPr>
          <w:rFonts w:eastAsia="Times New Roman" w:cs="Times New Roman"/>
          <w:bCs/>
        </w:rPr>
      </w:pPr>
      <w:r w:rsidRPr="00415B4B">
        <w:rPr>
          <w:rFonts w:eastAsia="Times New Roman" w:cs="Times New Roman"/>
          <w:bCs/>
        </w:rPr>
        <w:t xml:space="preserve">Dodatkowo zgodnie z motywem 124 w celu zminimalizowania obciążenia dla operatorów i aby uniknąć ewentualne powielanie działań, zgodność z wymogami niniejszego rozporządzenia w przypadku systemów AI wysokiego ryzyka powiązanych z produktami, które są objęte zakresem stosowania obowiązującego unijnego prawodawstwa </w:t>
      </w:r>
      <w:proofErr w:type="spellStart"/>
      <w:r w:rsidRPr="00415B4B">
        <w:rPr>
          <w:rFonts w:eastAsia="Times New Roman" w:cs="Times New Roman"/>
          <w:bCs/>
        </w:rPr>
        <w:t>harmonizacyjnego</w:t>
      </w:r>
      <w:proofErr w:type="spellEnd"/>
      <w:r w:rsidRPr="00415B4B">
        <w:rPr>
          <w:rFonts w:eastAsia="Times New Roman" w:cs="Times New Roman"/>
          <w:bCs/>
        </w:rPr>
        <w:t xml:space="preserve"> opartego na nowych ramach prawnych, należy oceniać w ramach oceny zgodności przewidzianej już w tym prawodawstwie. Stosowanie wymogów niniejszego rozporządzenia nie powinno zatem wpływać na szczególną logikę, metodykę lub ogólną strukturę oceny zgodności określone w unijnym prawodawstwie </w:t>
      </w:r>
      <w:proofErr w:type="spellStart"/>
      <w:r w:rsidRPr="00415B4B">
        <w:rPr>
          <w:rFonts w:eastAsia="Times New Roman" w:cs="Times New Roman"/>
          <w:bCs/>
        </w:rPr>
        <w:t>harmonizacyjnym</w:t>
      </w:r>
      <w:proofErr w:type="spellEnd"/>
      <w:r w:rsidRPr="00415B4B">
        <w:rPr>
          <w:rFonts w:eastAsia="Times New Roman" w:cs="Times New Roman"/>
          <w:bCs/>
        </w:rPr>
        <w:t>.</w:t>
      </w:r>
    </w:p>
    <w:p w14:paraId="4F989ADF"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W projekcie ustawy określono także procedurę składania wniosków o notyfikację przez jednostki oceniające zgodność. Z uwagi na cyfryzację procesów administracyjnych wniosek składany ma być wyłącznie w postaci elektronicznej, co zwiększa efektywność postępowania, ogranicza koszty administracyjne oraz zapewnia jego pełną przejrzystość.</w:t>
      </w:r>
    </w:p>
    <w:p w14:paraId="2C7A38CD" w14:textId="77777777"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 xml:space="preserve">W projektowanych przepisach zawarto minimalny zakres informacji, jakie wniosek musi zawierać. Są to dane podstawowe pozwalające na identyfikację wnioskodawcy oraz dane niezbędne do weryfikacji jej statusu akredytacyjnego. Wymóg podania informacji o akredytacji (w tym numeru certyfikatu) wynika z faktu, że akredytacja jest warunkiem koniecznym do notyfikacji w większości obszarów oceny zgodności określonych w przepisach unijnych. Przepis zatem zapewnia kompletność i poprawność danych niezbędnych do przeprowadzenia procedury notyfikacyjnej. </w:t>
      </w:r>
    </w:p>
    <w:p w14:paraId="67E1D781" w14:textId="03165952" w:rsidR="00673E6D" w:rsidRPr="00415B4B" w:rsidRDefault="00673E6D" w:rsidP="005378F2">
      <w:pPr>
        <w:widowControl/>
        <w:suppressAutoHyphens/>
        <w:spacing w:before="120"/>
        <w:jc w:val="both"/>
        <w:rPr>
          <w:rFonts w:eastAsia="Times New Roman" w:cs="Times New Roman"/>
          <w:bCs/>
        </w:rPr>
      </w:pPr>
      <w:r w:rsidRPr="00415B4B">
        <w:rPr>
          <w:rFonts w:eastAsia="Times New Roman" w:cs="Times New Roman"/>
          <w:bCs/>
        </w:rPr>
        <w:t>Art. 88 projektu umożliwia ministrowi właściwemu do spraw informatyzacji przetwarzanie informacji stanowiących tajemnice prawnie chronione, w tym tajemnicę przedsiębiorstwa</w:t>
      </w:r>
      <w:r w:rsidR="008248EF">
        <w:rPr>
          <w:rFonts w:eastAsia="Times New Roman" w:cs="Times New Roman"/>
          <w:bCs/>
        </w:rPr>
        <w:t>,</w:t>
      </w:r>
      <w:r w:rsidRPr="00415B4B" w:rsidDel="002419DD">
        <w:rPr>
          <w:rFonts w:eastAsia="Times New Roman" w:cs="Times New Roman"/>
          <w:bCs/>
        </w:rPr>
        <w:t xml:space="preserve"> </w:t>
      </w:r>
      <w:r w:rsidRPr="00415B4B">
        <w:rPr>
          <w:rFonts w:eastAsia="Times New Roman" w:cs="Times New Roman"/>
          <w:bCs/>
        </w:rPr>
        <w:t xml:space="preserve">gdy jest to konieczne dla realizacji zadań wynikających z rozporządzenia 2024/1689 oraz ustawy. Jest to niezbędne, ponieważ materia ocen zgodności, akredytacji i autoryzacji jednostek często obejmuje informacje techniczne, technologiczne oraz organizacyjne przedsiębiorców, które podlegają ochronie. Jednocześnie minister musi mieć możliwość ich przetwarzania w celu rzetelnej realizacji zadań wynikających z rozporządzenia 2024/1689 i przepisów krajowych. </w:t>
      </w:r>
      <w:r w:rsidRPr="00415B4B">
        <w:rPr>
          <w:rFonts w:eastAsia="Times New Roman" w:cs="Times New Roman"/>
          <w:bCs/>
        </w:rPr>
        <w:lastRenderedPageBreak/>
        <w:t xml:space="preserve">Przepis ten zapewnia więc zgodność z zasadami legalizmu oraz ochrony danych poufnych. a także zapewnia skuteczne realizowanie funkcji organu notyfikującego. </w:t>
      </w:r>
    </w:p>
    <w:p w14:paraId="5E155132"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 xml:space="preserve">Art. 89 ma charakter uzupełniający i porządkujący. odnosi się do pozostałych spraw, które są regulowane w rozdziale 6 projektu. W przypadkach, które nie są uregulowane przepisami rozporządzenia 2024/1689 ani niniejszą ustawą, przepis wskazuje na subsydiarne zastosowanie przepisów ustawy z dnia 13 kwietnia 2016 r. o systemach oceny zgodności i nadzoru rynku. Pozwala to zapewnić spójność całego systemu prawa dotyczącego oceny zgodności w Polsce, unika kolizji regulacyjnych oraz umożliwia korzystanie z procedur i mechanizmów już funkcjonujących w systemie prawnym. </w:t>
      </w:r>
    </w:p>
    <w:p w14:paraId="72D8C321"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Projektowany art. 90 doprecyzowuje zadania ministra właściwego do spraw informatyzacji wynikające z rozporządzenia 2024/1689 w zakresie funkcjonowania organu notyfikującego. Przepis ust. 1 zapewnia możliwość krajowego określania oraz corocznej weryfikacji wymogów, o których mowa w art. 70 ust. 3 rozporządzenia 2024/1689.</w:t>
      </w:r>
    </w:p>
    <w:p w14:paraId="00C2AC46"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Dodatkowo przepis nakłada na ministra obowiązek podejmowania działań naprawczych w przypadku stwierdzenia braku zgodności z określonymi wymogami, co gwarantuje utrzymanie właściwego poziomu kompetencji organu notyfikującego oraz zapewnia realizację zobowiązań wynikających z prawa Unii. Ponadto przepis wprowadza obowiązek przekazywania Komisji Europejskiej sprawozdania, o którym mowa w art. 70 ust. 6 rozporządzenia 2024/1689, co umożliwia właściwe monitorowanie funkcjonowania organu notyfikującego na poziomie unijnym oraz zapewnia przejrzystość i zgodność z procedurami określonymi w przepisach europejskich.</w:t>
      </w:r>
    </w:p>
    <w:p w14:paraId="4757A078" w14:textId="77777777" w:rsidR="00673E6D" w:rsidRPr="00415B4B" w:rsidRDefault="00673E6D" w:rsidP="005378F2">
      <w:pPr>
        <w:widowControl/>
        <w:autoSpaceDE/>
        <w:autoSpaceDN/>
        <w:adjustRightInd/>
        <w:spacing w:before="120"/>
        <w:jc w:val="both"/>
        <w:rPr>
          <w:rFonts w:eastAsia="Times New Roman" w:cs="Times New Roman"/>
          <w:b/>
          <w:bCs/>
          <w:szCs w:val="24"/>
          <w:lang w:eastAsia="en-US"/>
        </w:rPr>
      </w:pPr>
      <w:r w:rsidRPr="00415B4B">
        <w:rPr>
          <w:rFonts w:eastAsia="Times New Roman" w:cs="Times New Roman"/>
          <w:b/>
          <w:bCs/>
          <w:szCs w:val="24"/>
          <w:lang w:eastAsia="en-US"/>
        </w:rPr>
        <w:t>Rozdział 7 – Środki wspierające innowacyjność (art. 91 – art. 99)</w:t>
      </w:r>
    </w:p>
    <w:p w14:paraId="07B3E76D" w14:textId="311B88A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Projekt ustawy określa nie tylko kwestie związane z nadzorem na systemami sztucznej inteligencji</w:t>
      </w:r>
      <w:r w:rsidR="008248EF">
        <w:rPr>
          <w:rFonts w:eastAsia="Aptos"/>
          <w:spacing w:val="-2"/>
          <w:szCs w:val="24"/>
          <w:lang w:eastAsia="en-US"/>
        </w:rPr>
        <w:t>,</w:t>
      </w:r>
      <w:r w:rsidRPr="00415B4B">
        <w:rPr>
          <w:rFonts w:eastAsia="Aptos"/>
          <w:spacing w:val="-2"/>
          <w:szCs w:val="24"/>
          <w:lang w:eastAsia="en-US"/>
        </w:rPr>
        <w:t xml:space="preserve"> ale również określa podstawy prawne do wdrażania środków wspierających innowacyjność. </w:t>
      </w:r>
    </w:p>
    <w:p w14:paraId="1BC1F8A6" w14:textId="77777777" w:rsidR="00673E6D" w:rsidRPr="00415B4B" w:rsidRDefault="00673E6D" w:rsidP="005378F2">
      <w:pPr>
        <w:widowControl/>
        <w:autoSpaceDE/>
        <w:autoSpaceDN/>
        <w:adjustRightInd/>
        <w:spacing w:before="120"/>
        <w:jc w:val="both"/>
        <w:rPr>
          <w:rFonts w:eastAsia="Aptos"/>
          <w:szCs w:val="24"/>
          <w:lang w:eastAsia="en-US"/>
        </w:rPr>
      </w:pPr>
      <w:r w:rsidRPr="00415B4B">
        <w:rPr>
          <w:rFonts w:eastAsia="Aptos"/>
          <w:spacing w:val="-2"/>
          <w:szCs w:val="24"/>
          <w:lang w:eastAsia="en-US"/>
        </w:rPr>
        <w:t xml:space="preserve">W projekcie zawarto regulacje ustanawiające krajowe podstawy prawne funkcjonowania piaskownicy regulacyjnej w obszarze sztucznej inteligencji zgodnie z rozporządzeniem 2024/1689. Rozporządzenie unijne przewiduje możliwość tworzenia piaskownic regulacyjnych w celu wspierania innowacji oraz testowania systemów AI w warunkach kontrolowanych, przy jednoczesnym zapewnieniu wysokiego poziomu ochrony użytkowników. Tym samym projekt wykonuje obowiązek państw członkowskich do określenia zasad organizacji takiej piaskownicy oraz warunków udzielania odstępstw od stosowania niektórych wymogów technicznych i </w:t>
      </w:r>
      <w:r w:rsidRPr="00415B4B">
        <w:rPr>
          <w:rFonts w:eastAsia="Aptos"/>
          <w:spacing w:val="-2"/>
          <w:szCs w:val="24"/>
          <w:lang w:eastAsia="en-US"/>
        </w:rPr>
        <w:lastRenderedPageBreak/>
        <w:t>proceduralnych, niezbędnych do przeprowadzenia projektów pilotażowych.</w:t>
      </w:r>
      <w:r w:rsidRPr="00415B4B">
        <w:rPr>
          <w:rFonts w:eastAsia="Aptos"/>
          <w:szCs w:val="24"/>
          <w:lang w:eastAsia="en-US"/>
        </w:rPr>
        <w:t xml:space="preserve"> Zgodnie z art. 57 rozporządzenia 2024/1689 każde państwo członkowskie Unii Europejskiej musi uruchomić przynajmniej jedną piaskownicę regulacyjną w zakresie AI do 2 sierpnia 2026 roku.</w:t>
      </w:r>
    </w:p>
    <w:p w14:paraId="7B6CA6AF"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Mechanizm ten ma na celu wsparcie rozwoju nowatorskich rozwiązań technologicznych na terenie kraju w obszarze AI, przy jednoczesnym zapewnieniu odpowiednich zabezpieczeń dla użytkowników i społeczeństwa. Komisja uzyskuje uprawnienie do udzielania zgody, w formie decyzji, na funkcjonowanie piaskownicy wybranym podmiotom, co stwarza możliwość testowania nowych technologii w bezpiecznych warunkach. Ponadto projekt przewiduje preferencyjne warunki dla małych i średnich przedsiębiorstw, takich jak bezpłatne uczestnictwo w programie,</w:t>
      </w:r>
      <w:r w:rsidRPr="00415B4B">
        <w:t xml:space="preserve"> </w:t>
      </w:r>
      <w:r w:rsidRPr="00415B4B">
        <w:rPr>
          <w:rFonts w:eastAsia="Aptos"/>
          <w:spacing w:val="-2"/>
          <w:szCs w:val="24"/>
          <w:lang w:eastAsia="en-US"/>
        </w:rPr>
        <w:t>w celu wspierania innowacji oraz zmniejszenia barier finansowych dla podmiotów rozwijających systemy AI. Rozwiązanie to jest zgodne z polityką UE w zakresie wsparcia małych i średnich przedsiębiorstw.</w:t>
      </w:r>
      <w:r w:rsidRPr="00415B4B">
        <w:t xml:space="preserve"> Minister właściwy do spraw informatyzacji określi, w drodze rozporządzenia, wysokość opłaty, za udział w piaskownicy regulacyjnej oraz sposób jej wnoszenia, mając na względzie konieczność prawidłowej i efektywnej obsługi piaskownicy regulacyjnej.</w:t>
      </w:r>
    </w:p>
    <w:p w14:paraId="12437220"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Projekt ustawy ustanawia przejrzyste procedury konkursowe dla podmiotów ubiegających się o udział w piaskownicy regulacyjnej. Komisja organizuje konkurs, którego celem jest wyłonienie najbardziej obiecujących projektów, wnoszących istotny wkład w rozwój technologii AI, przy zachowaniu bezpieczeństwa i zgodności z ogólnymi zasadami prawa. Proces oceny ofert podlega nadzorowi zespołu konkursowego, który dokonuje merytorycznej analizy zgłoszeń, tworzy listę rankingową oraz protokół z oceny. Szczególną preferencją objęte są podmioty pochodzące z Unii Europejskiej, co wspiera współpracę na szczeblu regionalnym i harmonizację działań z unijną polityką technologiczną. Przepisy wprowadzają również obowiązek publikacji wyników konkursu oraz mechanizmy odwoławcze, umożliwiające stronom zakwestionowanie rozstrzygnięcia komisji konkursowej, co gwarantuje równe szanse uczestnikom.</w:t>
      </w:r>
    </w:p>
    <w:p w14:paraId="407DF47D"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Uczestnicy mają prawo do zgłoszenia odwołania w terminie 7 dni. W przypadku uwzględnienia zarzutów Komisja powołuje zespół odwoławczy do ponownej oceny odwołania. W skład zespołu nie będą wchodziły osoby, które brały udział w pracach zespołu konkursowego co zapewnia sprawiedliwość rozstrzygnięć oraz transparentność działań.</w:t>
      </w:r>
    </w:p>
    <w:p w14:paraId="3B194876"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 xml:space="preserve">Projekt ustawy nakłada obowiązki na Komisję w zakresie określania limitów użytkowników </w:t>
      </w:r>
      <w:r w:rsidRPr="00415B4B">
        <w:t>oraz innych podmiotów, na które może oddziaływać projekt w piaskownicy regulacyjnej</w:t>
      </w:r>
      <w:r w:rsidRPr="00415B4B">
        <w:rPr>
          <w:rFonts w:eastAsia="Aptos"/>
          <w:spacing w:val="-2"/>
          <w:szCs w:val="24"/>
          <w:lang w:eastAsia="en-US"/>
        </w:rPr>
        <w:t xml:space="preserve"> oraz zakresu odstępstw dla poszczególnych projektów funkcjonujących w piaskownicy regulacyjnej. Dodatkowo wymaga, aby Komisja informowała instytucje unijne o utworzeniu piaskownicy, co </w:t>
      </w:r>
      <w:r w:rsidRPr="00415B4B">
        <w:rPr>
          <w:rFonts w:eastAsia="Aptos"/>
          <w:spacing w:val="-2"/>
          <w:szCs w:val="24"/>
          <w:lang w:eastAsia="en-US"/>
        </w:rPr>
        <w:lastRenderedPageBreak/>
        <w:t>umożliwia monitorowanie efektów testów przez organy unijne oraz zapewnienie spójności działań z polityką UE w zakresie sztucznej inteligencji.</w:t>
      </w:r>
    </w:p>
    <w:p w14:paraId="53FDA3AB" w14:textId="70BA4B2E"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 xml:space="preserve">Uczestnicy piaskownicy regulacyjnej zobowiązani są do informowania użytkowników o udziale w programie, publikowania rocznych raportów, </w:t>
      </w:r>
      <w:r w:rsidRPr="00415B4B">
        <w:t>zamieszcza</w:t>
      </w:r>
      <w:r w:rsidR="006C5619">
        <w:t>nia</w:t>
      </w:r>
      <w:r w:rsidRPr="00415B4B">
        <w:t xml:space="preserve"> na swojej stronie internetowej informacji o uczestnictwie w piaskownicy regulacyjnej oraz o warunkach zakwalifikowania do piaskownicy regulacyjnej</w:t>
      </w:r>
      <w:r w:rsidRPr="00415B4B">
        <w:rPr>
          <w:rFonts w:eastAsia="Aptos"/>
          <w:spacing w:val="-2"/>
          <w:szCs w:val="24"/>
          <w:lang w:eastAsia="en-US"/>
        </w:rPr>
        <w:t xml:space="preserve"> a także zgłaszania wszelkich zmian mających wpływ na projekt. Takie wymogi gwarantują transparentność procesów testowych oraz skuteczny nadzór nad prowadzonymi eksperymentami. Komisja uzyskuje uprawnienie do kontrolowania uczestników piaskownicy oraz podejmowania działań dyscyplinujących w przypadku stwierdzenia naruszeń, takich jak wezwanie do usunięcia nieprawidłowości czy wykluczenie z programu.</w:t>
      </w:r>
    </w:p>
    <w:p w14:paraId="447CB7EE" w14:textId="77777777" w:rsidR="00673E6D" w:rsidRPr="00415B4B" w:rsidRDefault="00673E6D" w:rsidP="005378F2">
      <w:pPr>
        <w:widowControl/>
        <w:autoSpaceDE/>
        <w:autoSpaceDN/>
        <w:adjustRightInd/>
        <w:spacing w:before="120"/>
        <w:jc w:val="both"/>
        <w:rPr>
          <w:rFonts w:eastAsia="Aptos"/>
          <w:szCs w:val="24"/>
          <w:lang w:eastAsia="en-US"/>
        </w:rPr>
      </w:pPr>
      <w:r w:rsidRPr="00415B4B">
        <w:rPr>
          <w:rFonts w:eastAsia="Aptos"/>
          <w:szCs w:val="24"/>
          <w:lang w:eastAsia="en-US"/>
        </w:rPr>
        <w:t>Projekt wykonuje obowiązki państwa członkowskiego wynikające z art. 95 rozporządzenia 2024/1689. W art. 98 projektu ustawy wskazano, że minister właściwy do spraw informatyzacji wykonuje zadania dotyczące wspierania tworzenia kodeksów dobrego postępowania w zakresie stosowania systemów AI. W celu ułatwienia opracowywania tych kodeksów, minister będzie wydawać rekomendacje najlepszych praktyk. Taki mechanizm ma charakter niewiążący, jednak pełni istotną rolę w tworzeniu spójnych i wysokiej jakości standardów funkcjonowania systemów sztucznej inteligencji w Polsce. Rekomendacje te będą służyły jako punkt odniesienia zarówno dla podmiotów sektora publicznego, jak i prywatnego, wspierając harmonizację podejścia do AI na poziomie krajowym i unijnym.</w:t>
      </w:r>
    </w:p>
    <w:p w14:paraId="7FA8F302" w14:textId="29994BD9" w:rsidR="00673E6D" w:rsidRPr="00415B4B" w:rsidRDefault="00673E6D" w:rsidP="005378F2">
      <w:pPr>
        <w:widowControl/>
        <w:autoSpaceDE/>
        <w:autoSpaceDN/>
        <w:adjustRightInd/>
        <w:spacing w:before="120"/>
        <w:jc w:val="both"/>
        <w:rPr>
          <w:rFonts w:eastAsia="Aptos"/>
          <w:szCs w:val="24"/>
          <w:lang w:eastAsia="en-US"/>
        </w:rPr>
      </w:pPr>
      <w:r w:rsidRPr="00415B4B">
        <w:rPr>
          <w:rFonts w:eastAsia="Aptos"/>
          <w:szCs w:val="24"/>
          <w:lang w:eastAsia="en-US"/>
        </w:rPr>
        <w:t>Ponadto projekt ustanawia obowiązek corocznego przekazywania przez ministra właściwego do spraw informatyzacji, do dnia 31 marca każdego roku, informacji dotyczącej wymaganych zasobów obliczeniowych do rozwoju systemów AI oraz prognozowanego zużycia energii związanego z ich działaniem. Informacja ta ma być przedstawiana zarówno Radzie Ministrów, jak i Komisji Europejskiej. Jest to wyraz uznania rosnącego znaczenia infrastruktury obliczeniowej dla rozwoju nowoczesnych technologii oraz potrzeby monitorowania ich wpływu na zużycie zasobów energetycznych, co ma znaczenie zarówno z perspektywy polityki cyfrowej, jak i klimatyczno-energetycznej. Przepis ten pozwoli lepiej planować inwestycje w infrastrukturę cyfrową, a także wspierać działania na rzecz zrównoważonego rozwoju. Minister właściwy ds. informatyzacji, jako odpowiedzialny za koordynację wdrażania krajowej Polityki AI</w:t>
      </w:r>
      <w:r w:rsidR="006C5619">
        <w:rPr>
          <w:rFonts w:eastAsia="Aptos"/>
          <w:szCs w:val="24"/>
          <w:lang w:eastAsia="en-US"/>
        </w:rPr>
        <w:t>,</w:t>
      </w:r>
      <w:r w:rsidRPr="00415B4B">
        <w:rPr>
          <w:rFonts w:eastAsia="Aptos"/>
          <w:szCs w:val="24"/>
          <w:lang w:eastAsia="en-US"/>
        </w:rPr>
        <w:t xml:space="preserve"> dysponuje najszerszym zbiorem danych, dzięki którym mógł przygotować raporty i prognozy, o których mowa powyżej.</w:t>
      </w:r>
    </w:p>
    <w:p w14:paraId="0F7F93DB" w14:textId="67ED3ABD" w:rsidR="00673E6D" w:rsidRPr="00415B4B" w:rsidRDefault="00673E6D" w:rsidP="005378F2">
      <w:pPr>
        <w:widowControl/>
        <w:autoSpaceDE/>
        <w:autoSpaceDN/>
        <w:adjustRightInd/>
        <w:spacing w:before="120"/>
        <w:jc w:val="both"/>
        <w:rPr>
          <w:rFonts w:eastAsia="Aptos"/>
          <w:szCs w:val="24"/>
          <w:lang w:eastAsia="en-US"/>
        </w:rPr>
      </w:pPr>
      <w:r w:rsidRPr="00415B4B">
        <w:rPr>
          <w:rFonts w:eastAsia="Aptos"/>
          <w:szCs w:val="24"/>
          <w:lang w:eastAsia="en-US"/>
        </w:rPr>
        <w:t xml:space="preserve">Zgodnie z art. 99 projektu przyznaje się ministrowi właściwemu do spraw informatyzacji uprawnienia w zakresie wspierania badań naukowych i prac rozwojowych, co jest kluczowe </w:t>
      </w:r>
      <w:r w:rsidRPr="00415B4B">
        <w:rPr>
          <w:rFonts w:eastAsia="Aptos"/>
          <w:szCs w:val="24"/>
          <w:lang w:eastAsia="en-US"/>
        </w:rPr>
        <w:lastRenderedPageBreak/>
        <w:t>dla rozwoju technologii przełomowej</w:t>
      </w:r>
      <w:r w:rsidR="006C5619">
        <w:rPr>
          <w:rFonts w:eastAsia="Aptos"/>
          <w:szCs w:val="24"/>
          <w:lang w:eastAsia="en-US"/>
        </w:rPr>
        <w:t>,</w:t>
      </w:r>
      <w:r w:rsidRPr="00415B4B">
        <w:rPr>
          <w:rFonts w:eastAsia="Aptos"/>
          <w:szCs w:val="24"/>
          <w:lang w:eastAsia="en-US"/>
        </w:rPr>
        <w:t xml:space="preserve"> jaką jest sztuczna inteligencja. Przepisy te umożliwiają ministrowi udzielanie wsparcia finansowego na badania naukowe i prace rozwojowe, a także finansowanie lub współfinansowanie programów i projektów z budżetu państwa oraz środków unijnych. Dzięki temu możliwe jest zapewnienie odpowiednich środków na realizację innowacyjnych projektów, które mogą przyczynić się do rozwoju sztucznej inteligencji w Polsce.</w:t>
      </w:r>
    </w:p>
    <w:p w14:paraId="2C58036A" w14:textId="1B356935" w:rsidR="00673E6D" w:rsidRPr="00415B4B" w:rsidRDefault="00673E6D" w:rsidP="005378F2">
      <w:pPr>
        <w:widowControl/>
        <w:autoSpaceDE/>
        <w:autoSpaceDN/>
        <w:adjustRightInd/>
        <w:spacing w:before="120"/>
        <w:jc w:val="both"/>
        <w:rPr>
          <w:rFonts w:eastAsia="Aptos"/>
          <w:lang w:eastAsia="en-US"/>
        </w:rPr>
      </w:pPr>
      <w:r w:rsidRPr="00415B4B">
        <w:rPr>
          <w:rFonts w:eastAsia="Aptos"/>
          <w:lang w:eastAsia="en-US"/>
        </w:rPr>
        <w:t xml:space="preserve">Minister może również inicjować, wspierać i realizować programy finansujące badania naukowe i prace rozwojowe oraz działania przygotowujące do wdrożenia ich wyników. Programy te są realizowane przez Instytut Badawczy IDEAS </w:t>
      </w:r>
      <w:r w:rsidR="006C5619">
        <w:rPr>
          <w:rFonts w:eastAsia="Aptos"/>
          <w:lang w:eastAsia="en-US"/>
        </w:rPr>
        <w:t>–</w:t>
      </w:r>
      <w:r w:rsidRPr="00415B4B">
        <w:rPr>
          <w:rFonts w:eastAsia="Aptos"/>
          <w:lang w:eastAsia="en-US"/>
        </w:rPr>
        <w:t xml:space="preserve"> nad którym nadzór ministrowi właściwemu do spraw informatyzacji został przekazany rozporządzeniem Rady Ministrów z dnia 25 lutego 2025 r. w sprawie utworzenia Instytutu Badawczego IDEAS </w:t>
      </w:r>
      <w:r w:rsidR="006C5619">
        <w:rPr>
          <w:rFonts w:eastAsia="Aptos"/>
          <w:lang w:eastAsia="en-US"/>
        </w:rPr>
        <w:t>–</w:t>
      </w:r>
      <w:r w:rsidRPr="00415B4B">
        <w:rPr>
          <w:rFonts w:eastAsia="Aptos"/>
          <w:lang w:eastAsia="en-US"/>
        </w:rPr>
        <w:t xml:space="preserve"> oraz pozostałe jednostki podległe i nadzorowane przez ministra, co zapewnia spójność i efektywność działań. Wprowadzenie tych przepisów ma na celu stworzenie odpowiednich warunków do prowadzenia badań naukowych i prac rozwojowych, co jest kluczowe dla wdrożenia sztucznej inteligencji.</w:t>
      </w:r>
      <w:r w:rsidRPr="00415B4B">
        <w:t xml:space="preserve"> </w:t>
      </w:r>
      <w:r w:rsidRPr="00415B4B">
        <w:rPr>
          <w:rFonts w:eastAsia="Aptos"/>
          <w:lang w:eastAsia="en-US"/>
        </w:rPr>
        <w:t>Wykaz jednostek, o których mowa w art. 99</w:t>
      </w:r>
      <w:r w:rsidR="006C5619">
        <w:rPr>
          <w:rFonts w:eastAsia="Aptos"/>
          <w:lang w:eastAsia="en-US"/>
        </w:rPr>
        <w:t>,</w:t>
      </w:r>
      <w:r w:rsidRPr="00415B4B">
        <w:rPr>
          <w:rFonts w:eastAsia="Aptos"/>
          <w:lang w:eastAsia="en-US"/>
        </w:rPr>
        <w:t xml:space="preserve"> jest zawierany w obwieszczeniu Ministra Cyfryzacji wydanym na podstawie art. 33 ust. 1d ustawy z dnia 8 sierpnia 1996 r. o Radzie Ministrów.</w:t>
      </w:r>
    </w:p>
    <w:p w14:paraId="4787BE97" w14:textId="77777777" w:rsidR="00673E6D" w:rsidRPr="00415B4B" w:rsidRDefault="00673E6D" w:rsidP="005378F2">
      <w:pPr>
        <w:widowControl/>
        <w:autoSpaceDE/>
        <w:autoSpaceDN/>
        <w:adjustRightInd/>
        <w:spacing w:before="120"/>
        <w:jc w:val="both"/>
        <w:rPr>
          <w:rFonts w:eastAsia="Aptos"/>
          <w:lang w:eastAsia="en-US"/>
        </w:rPr>
      </w:pPr>
      <w:r w:rsidRPr="00415B4B">
        <w:rPr>
          <w:rFonts w:eastAsia="Aptos"/>
          <w:lang w:eastAsia="en-US"/>
        </w:rPr>
        <w:t xml:space="preserve">Obecnie jednostkami podległymi </w:t>
      </w:r>
      <w:r>
        <w:rPr>
          <w:rFonts w:eastAsia="Aptos"/>
          <w:lang w:eastAsia="en-US"/>
        </w:rPr>
        <w:t>M</w:t>
      </w:r>
      <w:r w:rsidRPr="00415B4B">
        <w:rPr>
          <w:rFonts w:eastAsia="Aptos"/>
          <w:lang w:eastAsia="en-US"/>
        </w:rPr>
        <w:t xml:space="preserve">inistrowi </w:t>
      </w:r>
      <w:r>
        <w:rPr>
          <w:rFonts w:eastAsia="Aptos"/>
          <w:lang w:eastAsia="en-US"/>
        </w:rPr>
        <w:t xml:space="preserve">Cyfryzacji </w:t>
      </w:r>
      <w:r w:rsidRPr="00415B4B">
        <w:rPr>
          <w:rFonts w:eastAsia="Aptos"/>
          <w:lang w:eastAsia="en-US"/>
        </w:rPr>
        <w:t>i nadzorowanymi przez Ministra Cyfryzacji są:</w:t>
      </w:r>
    </w:p>
    <w:p w14:paraId="3DA792D4" w14:textId="77777777" w:rsidR="00673E6D" w:rsidRPr="00415B4B" w:rsidRDefault="00673E6D" w:rsidP="005378F2">
      <w:pPr>
        <w:widowControl/>
        <w:autoSpaceDE/>
        <w:autoSpaceDN/>
        <w:adjustRightInd/>
        <w:spacing w:before="120"/>
        <w:jc w:val="both"/>
        <w:rPr>
          <w:rFonts w:eastAsia="Aptos"/>
          <w:lang w:eastAsia="en-US"/>
        </w:rPr>
      </w:pPr>
      <w:r w:rsidRPr="00415B4B">
        <w:rPr>
          <w:rFonts w:eastAsia="Aptos"/>
          <w:lang w:eastAsia="en-US"/>
        </w:rPr>
        <w:t>Jednostki podległe:</w:t>
      </w:r>
    </w:p>
    <w:p w14:paraId="60B89F0A" w14:textId="77777777" w:rsidR="00673E6D" w:rsidRPr="00415B4B" w:rsidRDefault="00673E6D" w:rsidP="005378F2">
      <w:pPr>
        <w:pStyle w:val="Akapitzlist"/>
        <w:widowControl/>
        <w:numPr>
          <w:ilvl w:val="0"/>
          <w:numId w:val="26"/>
        </w:numPr>
        <w:autoSpaceDE/>
        <w:autoSpaceDN/>
        <w:adjustRightInd/>
        <w:ind w:left="284" w:hanging="284"/>
        <w:contextualSpacing w:val="0"/>
        <w:jc w:val="both"/>
        <w:rPr>
          <w:rFonts w:eastAsia="Aptos"/>
          <w:lang w:eastAsia="en-US"/>
        </w:rPr>
      </w:pPr>
      <w:r w:rsidRPr="00415B4B">
        <w:rPr>
          <w:rFonts w:eastAsia="Aptos"/>
          <w:lang w:eastAsia="en-US"/>
        </w:rPr>
        <w:t>Centrum Projektów Polska Cyfrowa.</w:t>
      </w:r>
    </w:p>
    <w:p w14:paraId="25BA1C2D" w14:textId="77777777" w:rsidR="00673E6D" w:rsidRPr="00415B4B" w:rsidRDefault="00673E6D" w:rsidP="005378F2">
      <w:pPr>
        <w:widowControl/>
        <w:autoSpaceDE/>
        <w:autoSpaceDN/>
        <w:adjustRightInd/>
        <w:spacing w:before="120"/>
        <w:ind w:left="340" w:hanging="340"/>
        <w:jc w:val="both"/>
        <w:rPr>
          <w:rFonts w:eastAsia="Aptos"/>
          <w:lang w:eastAsia="en-US"/>
        </w:rPr>
      </w:pPr>
      <w:r w:rsidRPr="00415B4B">
        <w:rPr>
          <w:rFonts w:eastAsia="Aptos"/>
          <w:lang w:eastAsia="en-US"/>
        </w:rPr>
        <w:t>Jednostki nadzorowane:</w:t>
      </w:r>
    </w:p>
    <w:p w14:paraId="6FD7A025" w14:textId="77777777" w:rsidR="00673E6D" w:rsidRPr="00415B4B" w:rsidRDefault="00673E6D" w:rsidP="005378F2">
      <w:pPr>
        <w:pStyle w:val="Akapitzlist"/>
        <w:widowControl/>
        <w:numPr>
          <w:ilvl w:val="0"/>
          <w:numId w:val="26"/>
        </w:numPr>
        <w:autoSpaceDE/>
        <w:autoSpaceDN/>
        <w:adjustRightInd/>
        <w:ind w:left="284" w:hanging="284"/>
        <w:contextualSpacing w:val="0"/>
        <w:jc w:val="both"/>
        <w:rPr>
          <w:rFonts w:eastAsia="Aptos"/>
          <w:lang w:eastAsia="en-US"/>
        </w:rPr>
      </w:pPr>
      <w:r w:rsidRPr="00415B4B">
        <w:rPr>
          <w:rFonts w:eastAsia="Aptos"/>
          <w:lang w:eastAsia="en-US"/>
        </w:rPr>
        <w:t>Centralny Ośrodek Informatyki;</w:t>
      </w:r>
    </w:p>
    <w:p w14:paraId="3E279551" w14:textId="28FB3B3B" w:rsidR="00673E6D" w:rsidRPr="00415B4B" w:rsidRDefault="00673E6D" w:rsidP="005378F2">
      <w:pPr>
        <w:pStyle w:val="Akapitzlist"/>
        <w:widowControl/>
        <w:numPr>
          <w:ilvl w:val="0"/>
          <w:numId w:val="26"/>
        </w:numPr>
        <w:autoSpaceDE/>
        <w:autoSpaceDN/>
        <w:adjustRightInd/>
        <w:ind w:left="284" w:hanging="284"/>
        <w:contextualSpacing w:val="0"/>
        <w:jc w:val="both"/>
        <w:rPr>
          <w:rFonts w:eastAsia="Aptos"/>
          <w:lang w:eastAsia="en-US"/>
        </w:rPr>
      </w:pPr>
      <w:r w:rsidRPr="00415B4B">
        <w:rPr>
          <w:rFonts w:eastAsia="Aptos"/>
          <w:lang w:eastAsia="en-US"/>
        </w:rPr>
        <w:t>Instytut Badawczy IDEAS</w:t>
      </w:r>
      <w:r w:rsidR="006C5619">
        <w:rPr>
          <w:rFonts w:eastAsia="Aptos"/>
          <w:lang w:eastAsia="en-US"/>
        </w:rPr>
        <w:t>;</w:t>
      </w:r>
    </w:p>
    <w:p w14:paraId="0F98113B" w14:textId="77777777" w:rsidR="00673E6D" w:rsidRPr="00415B4B" w:rsidRDefault="00673E6D" w:rsidP="005378F2">
      <w:pPr>
        <w:pStyle w:val="Akapitzlist"/>
        <w:widowControl/>
        <w:numPr>
          <w:ilvl w:val="0"/>
          <w:numId w:val="26"/>
        </w:numPr>
        <w:autoSpaceDE/>
        <w:autoSpaceDN/>
        <w:adjustRightInd/>
        <w:ind w:left="284" w:hanging="284"/>
        <w:contextualSpacing w:val="0"/>
        <w:jc w:val="both"/>
        <w:rPr>
          <w:rFonts w:eastAsia="Aptos"/>
          <w:lang w:eastAsia="en-US"/>
        </w:rPr>
      </w:pPr>
      <w:r w:rsidRPr="00415B4B">
        <w:rPr>
          <w:rFonts w:eastAsia="Aptos"/>
          <w:lang w:eastAsia="en-US"/>
        </w:rPr>
        <w:t>Instytut Łączności – Państwowy Instytut Badawczy;</w:t>
      </w:r>
    </w:p>
    <w:p w14:paraId="57D9BEE0" w14:textId="77777777" w:rsidR="00673E6D" w:rsidRPr="00415B4B" w:rsidRDefault="00673E6D" w:rsidP="005378F2">
      <w:pPr>
        <w:pStyle w:val="Akapitzlist"/>
        <w:widowControl/>
        <w:numPr>
          <w:ilvl w:val="0"/>
          <w:numId w:val="26"/>
        </w:numPr>
        <w:autoSpaceDE/>
        <w:autoSpaceDN/>
        <w:adjustRightInd/>
        <w:ind w:left="284" w:hanging="284"/>
        <w:contextualSpacing w:val="0"/>
        <w:jc w:val="both"/>
        <w:rPr>
          <w:rFonts w:eastAsia="Aptos"/>
          <w:lang w:eastAsia="en-US"/>
        </w:rPr>
      </w:pPr>
      <w:r w:rsidRPr="00415B4B">
        <w:rPr>
          <w:rFonts w:eastAsia="Aptos"/>
          <w:lang w:eastAsia="en-US"/>
        </w:rPr>
        <w:t>Naukowa i Akademicka Sieć Komputerowa – Państwowy Instytut Badawczy.</w:t>
      </w:r>
    </w:p>
    <w:p w14:paraId="577C8B4A" w14:textId="6B11C6E1" w:rsidR="00673E6D" w:rsidRPr="00415B4B" w:rsidRDefault="00673E6D" w:rsidP="005378F2">
      <w:pPr>
        <w:widowControl/>
        <w:autoSpaceDE/>
        <w:autoSpaceDN/>
        <w:adjustRightInd/>
        <w:spacing w:before="120"/>
        <w:jc w:val="both"/>
        <w:rPr>
          <w:rFonts w:eastAsia="Aptos"/>
          <w:lang w:eastAsia="en-US"/>
        </w:rPr>
      </w:pPr>
      <w:r w:rsidRPr="00415B4B">
        <w:rPr>
          <w:rFonts w:eastAsia="Aptos"/>
          <w:lang w:eastAsia="en-US"/>
        </w:rPr>
        <w:t>Celem przepisu jest zapewnienie możliwości elastycznego i dostosowanego do specyfiki bra</w:t>
      </w:r>
      <w:r w:rsidR="00B1470B">
        <w:rPr>
          <w:rFonts w:eastAsia="Aptos"/>
          <w:lang w:eastAsia="en-US"/>
        </w:rPr>
        <w:t>n</w:t>
      </w:r>
      <w:r w:rsidRPr="00415B4B">
        <w:rPr>
          <w:rFonts w:eastAsia="Aptos"/>
          <w:lang w:eastAsia="en-US"/>
        </w:rPr>
        <w:t>ży i działań udzielania pomocy finansowej w zakresie badań naukowych lub prac rozwojowych oraz programów i projektów w tym zakresie realizowanych przez ww. pomocy w ramach ich zadań. Stąd też w projekcie znalazł się przepis wskazujący na szerokie źródła środków przeznaczonych na finansowanie w ramach dotacji celowych.</w:t>
      </w:r>
    </w:p>
    <w:p w14:paraId="5FF86FA5" w14:textId="3486F595" w:rsidR="00673E6D" w:rsidRPr="00415B4B" w:rsidRDefault="00673E6D" w:rsidP="005378F2">
      <w:pPr>
        <w:widowControl/>
        <w:autoSpaceDE/>
        <w:autoSpaceDN/>
        <w:adjustRightInd/>
        <w:spacing w:before="120"/>
        <w:jc w:val="both"/>
        <w:rPr>
          <w:rFonts w:eastAsia="Aptos"/>
          <w:lang w:eastAsia="en-US"/>
        </w:rPr>
      </w:pPr>
      <w:r w:rsidRPr="00415B4B">
        <w:rPr>
          <w:rFonts w:eastAsia="Aptos"/>
          <w:lang w:eastAsia="en-US"/>
        </w:rPr>
        <w:lastRenderedPageBreak/>
        <w:t>Szczegółowe określenie czy skonkretyzowanie zadań, o których mowa w uwadze z uwzględnieniem podziału na podmioty nie jest możliwe do określenia</w:t>
      </w:r>
      <w:r w:rsidR="00745331">
        <w:rPr>
          <w:rFonts w:eastAsia="Aptos"/>
          <w:lang w:eastAsia="en-US"/>
        </w:rPr>
        <w:t>,</w:t>
      </w:r>
      <w:r w:rsidRPr="00415B4B">
        <w:rPr>
          <w:rFonts w:eastAsia="Aptos"/>
          <w:lang w:eastAsia="en-US"/>
        </w:rPr>
        <w:t xml:space="preserve"> a także nie wydaje się zasadne z uwagi na nieprzewidywalny kierunek rozwoju sztucznej inteligencji, a także wynikające z tego zapotrzebowania.</w:t>
      </w:r>
    </w:p>
    <w:p w14:paraId="58DFFE02"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ptos"/>
          <w:szCs w:val="24"/>
          <w:lang w:eastAsia="en-US"/>
        </w:rPr>
        <w:t xml:space="preserve">Dzięki temu możliwe jest osiągnięcie celów określonych w rozporządzeniu 2024/1689, takich jak promowanie zorientowanej na człowieka i godnej zaufania sztucznej inteligencji. Wsparcie finansowe i organizacyjne dla badań naukowych i prac rozwojowych jest niezbędne, aby możliwy był rozwój sztucznej inteligencji zgodnie z wartościami Unii Europejskiej. </w:t>
      </w:r>
    </w:p>
    <w:p w14:paraId="2420703D" w14:textId="77777777" w:rsidR="00673E6D" w:rsidRPr="00415B4B" w:rsidRDefault="00673E6D" w:rsidP="005378F2">
      <w:pPr>
        <w:widowControl/>
        <w:autoSpaceDE/>
        <w:autoSpaceDN/>
        <w:adjustRightInd/>
        <w:spacing w:before="120"/>
        <w:jc w:val="both"/>
        <w:rPr>
          <w:rFonts w:eastAsia="Aptos"/>
          <w:spacing w:val="-2"/>
          <w:szCs w:val="24"/>
          <w:lang w:eastAsia="en-US"/>
        </w:rPr>
      </w:pPr>
      <w:r w:rsidRPr="00415B4B">
        <w:rPr>
          <w:rFonts w:eastAsia="Aptos"/>
          <w:spacing w:val="-2"/>
          <w:szCs w:val="24"/>
          <w:lang w:eastAsia="en-US"/>
        </w:rPr>
        <w:t>Proponowane regulacje mają na celu wspieranie innowacyjnych technologii w obszarze AI, zachowanie zgodności działań z polityką UE oraz zapewnienie odpowiednich zabezpieczeń i transparentności procesów testowych.</w:t>
      </w:r>
    </w:p>
    <w:p w14:paraId="0B7EA204" w14:textId="77777777" w:rsidR="00673E6D" w:rsidRPr="00415B4B" w:rsidRDefault="00673E6D" w:rsidP="005378F2">
      <w:pPr>
        <w:widowControl/>
        <w:autoSpaceDE/>
        <w:autoSpaceDN/>
        <w:adjustRightInd/>
        <w:spacing w:before="120"/>
        <w:jc w:val="both"/>
        <w:rPr>
          <w:rFonts w:eastAsia="Times New Roman" w:cs="Times New Roman"/>
          <w:b/>
          <w:bCs/>
          <w:szCs w:val="24"/>
          <w:lang w:eastAsia="en-US"/>
        </w:rPr>
      </w:pPr>
      <w:r w:rsidRPr="00415B4B">
        <w:rPr>
          <w:rFonts w:eastAsia="Times New Roman" w:cs="Times New Roman"/>
          <w:b/>
          <w:bCs/>
          <w:szCs w:val="24"/>
          <w:lang w:eastAsia="en-US"/>
        </w:rPr>
        <w:t>Rozdział 8 – Przepisy o administracyjnych karach pieniężnych i przepisy karne (art. 100 – art. 110)</w:t>
      </w:r>
    </w:p>
    <w:p w14:paraId="141A1C5E"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Uregulowania w przepisach polskiego prawa wymagają także określone w treści rozporządzenia kwestie nakładania przez organ nadzoru administracyjnych kar pieniężnych. Mechanizm w postaci możliwości nałożenia sankcji za naruszenie przepisów </w:t>
      </w:r>
      <w:r w:rsidRPr="00415B4B">
        <w:rPr>
          <w:rFonts w:eastAsia="Times New Roman" w:cs="Times New Roman"/>
          <w:bCs/>
        </w:rPr>
        <w:t xml:space="preserve">rozporządzenia 2024/1689 </w:t>
      </w:r>
      <w:r w:rsidRPr="00415B4B">
        <w:rPr>
          <w:rFonts w:eastAsia="Times New Roman" w:cs="Times New Roman"/>
          <w:bCs/>
          <w:lang w:eastAsia="en-US"/>
        </w:rPr>
        <w:t xml:space="preserve">jest kluczowy pod kątem jego praktycznego egzekwowania, a więc faktycznej możliwości osiągnięcia celów prawodawcy w zakresie wspierania rozwoju AI w ramach jednolitego rynku w zgodzie z europejskim prawem i wartościami. </w:t>
      </w:r>
    </w:p>
    <w:p w14:paraId="48BEFC5E"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Projektowany art. 100 stanowi kluczowy element krajowego mechanizmu egzekwowania przepisów rozporządzenia 2024/1689. Celem tego przepisu jest przyznanie Komisji kompetencji do nakładania administracyjnych kar pieniężnych na podmioty, które naruszą przepisy rozporządzenia. Przepis wskazuje, że nałożenie kary odbywa się w drodze decyzji administracyjnej, co oznacza, że zastosowanie będą miały ogólne zasady postępowania administracyjnego, w tym gwarancje proceduralne dla stron postępowania. Kary są nakładane w przypadkach, wysokości i na warunkach przewidzianych w rozdziale XII rozporządzenia 2024/1689, co zapewnia pełną zgodność z przepisami prawa Unii Europejskiej. Taki mechanizm gwarantuje spójność systemu sankcyjnego i eliminuje ryzyko rozbieżności interpretacyjnych między przepisami unijnymi a krajowymi.</w:t>
      </w:r>
    </w:p>
    <w:p w14:paraId="61E48128"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Ust. 2 i 3 wprowadzają obowiązek uwzględnienia przy podejmowaniu decyzji, oraz wskazania w jej uzasadnieniu, przesłanek określonych w art. 99 ust. 7 rozporządzenia 2024/1689. Przesłanki te obejmują m.in. charakter, wagę i czas trwania naruszenia, stopień winy, </w:t>
      </w:r>
      <w:r w:rsidRPr="00415B4B">
        <w:rPr>
          <w:rFonts w:eastAsia="Times New Roman" w:cs="Times New Roman"/>
          <w:bCs/>
          <w:lang w:eastAsia="en-US"/>
        </w:rPr>
        <w:lastRenderedPageBreak/>
        <w:t xml:space="preserve">wcześniejsze naruszenia, środki zastosowane w celu zapobieżenia lub naprawienia skutków naruszenia. Uwzględnienie tych kryteriów zapewnia, że kara będzie proporcjonalna do naruszenia oraz że każde postępowanie będzie prowadzone w sposób indywidualny i sprawiedliwy. </w:t>
      </w:r>
    </w:p>
    <w:p w14:paraId="163BC1A9"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Ust. 4 reguluje sposób przeliczania wartości pieniężnych wyrażonych w euro na walutę krajową – złoty polski. Ustalenie stałego dnia odniesienia (28 stycznia każdego roku) oraz wskazanie wprost średniego kursu ogłaszanego przez Narodowy Bank Polski, a także rozwiązanie sytuacji, gdy kurs nie zostanie ogłoszony w tym dniu, zapewnia jednolitość, przewidywalność oraz techniczną wykonalność przepisu. </w:t>
      </w:r>
    </w:p>
    <w:p w14:paraId="0D8139FA" w14:textId="53CC47DA" w:rsidR="00673E6D" w:rsidRPr="00415B4B" w:rsidRDefault="00673E6D" w:rsidP="005378F2">
      <w:pPr>
        <w:pStyle w:val="ARTartustawynprozporzdzenia"/>
        <w:ind w:firstLine="0"/>
        <w:rPr>
          <w:rFonts w:eastAsia="Times New Roman"/>
          <w:shd w:val="clear" w:color="auto" w:fill="FFFFFF"/>
          <w:lang w:eastAsia="en-US"/>
        </w:rPr>
      </w:pPr>
      <w:r w:rsidRPr="00415B4B">
        <w:rPr>
          <w:rFonts w:eastAsia="Times New Roman"/>
          <w:shd w:val="clear" w:color="auto" w:fill="FFFFFF"/>
          <w:lang w:eastAsia="en-US"/>
        </w:rPr>
        <w:t>Jednocześnie ustawa przewiduje mechanizm umożliwiający Komisji na wymierzenie kary. Podmiot jest obowiązany do dostarczenia Komisji w terminie 14</w:t>
      </w:r>
      <w:r w:rsidRPr="00415B4B">
        <w:rPr>
          <w:rFonts w:eastAsia="Times New Roman"/>
          <w:lang w:eastAsia="en-US"/>
        </w:rPr>
        <w:t xml:space="preserve"> </w:t>
      </w:r>
      <w:r w:rsidRPr="00415B4B">
        <w:rPr>
          <w:rFonts w:eastAsia="Times New Roman"/>
          <w:shd w:val="clear" w:color="auto" w:fill="FFFFFF"/>
          <w:lang w:eastAsia="en-US"/>
        </w:rPr>
        <w:t xml:space="preserve">dni od dnia otrzymania żądania danych niezbędnych do określenia podstawy wymiaru administracyjnej kary pieniężnej. W przypadku niedostarczenia danych przez podmiot lub gdy dostarczone przez ten podmiot dane uniemożliwiają ustalenie podstawy wymiaru administracyjnej kary pieniężnej, </w:t>
      </w:r>
      <w:r w:rsidRPr="00415B4B">
        <w:rPr>
          <w:rFonts w:eastAsia="Times New Roman"/>
          <w:lang w:eastAsia="en-US"/>
        </w:rPr>
        <w:t>Komisja</w:t>
      </w:r>
      <w:r w:rsidRPr="00415B4B">
        <w:rPr>
          <w:rFonts w:eastAsia="Times New Roman"/>
          <w:shd w:val="clear" w:color="auto" w:fill="FFFFFF"/>
          <w:lang w:eastAsia="en-US"/>
        </w:rPr>
        <w:t xml:space="preserve"> ma prawo do samodzielnego ustalenia podstawy wymiaru administracyjnej kary pieniężnej w sposób szacunkowy. Uwzględnia przy tym wielkość podmiotu, specyfikę prowadzonej przez niego działalności lub ogólnie dostępne dane finansowe dotyczące podmiotu.</w:t>
      </w:r>
    </w:p>
    <w:p w14:paraId="3199ED89"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Postępowanie dotyczące kar ma być prowadzone na podstawie przepisów ustawy z dnia 14 czerwca 1960 r. – Kodeks postępowania administracyjnego. Aby zapewnić prawidłową ochronę strony w postępowaniu wskazano, że w przypadku nałożenia kary osoba (fizyczna, prawna oraz nieposiadająca osobowości prawnej), na którą zostanie ona nałożona, będzie miała uprawnienie do wniesienia odwołania do Sądu Okręgowego w Warszawie – sądu ochrony konkurencji i konsumentów. </w:t>
      </w:r>
    </w:p>
    <w:p w14:paraId="793A5FB5" w14:textId="023F344E"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Sąd Okręgowy w Warszawie – sąd ochrony konkurencji i konsumentów, jest właściwym organem do rozpatrywania </w:t>
      </w:r>
      <w:proofErr w:type="spellStart"/>
      <w:r w:rsidRPr="00415B4B">
        <w:rPr>
          <w:rFonts w:eastAsia="Times New Roman" w:cs="Times New Roman"/>
          <w:bCs/>
          <w:lang w:eastAsia="en-US"/>
        </w:rPr>
        <w:t>odwołań</w:t>
      </w:r>
      <w:proofErr w:type="spellEnd"/>
      <w:r w:rsidRPr="00415B4B">
        <w:rPr>
          <w:rFonts w:eastAsia="Times New Roman" w:cs="Times New Roman"/>
          <w:bCs/>
          <w:lang w:eastAsia="en-US"/>
        </w:rPr>
        <w:t xml:space="preserve"> od decyzji Komisji (w tym decyzji o kara</w:t>
      </w:r>
      <w:r w:rsidR="00745331">
        <w:rPr>
          <w:rFonts w:eastAsia="Times New Roman" w:cs="Times New Roman"/>
          <w:bCs/>
          <w:lang w:eastAsia="en-US"/>
        </w:rPr>
        <w:t>ch</w:t>
      </w:r>
      <w:r w:rsidRPr="00415B4B">
        <w:rPr>
          <w:rFonts w:eastAsia="Times New Roman" w:cs="Times New Roman"/>
          <w:bCs/>
          <w:lang w:eastAsia="en-US"/>
        </w:rPr>
        <w:t xml:space="preserve"> pieniężnych) z kilku kluczowych powodów. Po pierwsze, </w:t>
      </w:r>
      <w:r>
        <w:rPr>
          <w:rFonts w:eastAsia="Times New Roman" w:cs="Times New Roman"/>
          <w:bCs/>
          <w:lang w:eastAsia="en-US"/>
        </w:rPr>
        <w:t>s</w:t>
      </w:r>
      <w:r w:rsidRPr="00415B4B">
        <w:rPr>
          <w:rFonts w:eastAsia="Times New Roman" w:cs="Times New Roman"/>
          <w:bCs/>
          <w:lang w:eastAsia="en-US"/>
        </w:rPr>
        <w:t xml:space="preserve">ąd </w:t>
      </w:r>
      <w:r>
        <w:rPr>
          <w:rFonts w:eastAsia="Times New Roman" w:cs="Times New Roman"/>
          <w:bCs/>
          <w:lang w:eastAsia="en-US"/>
        </w:rPr>
        <w:t>o</w:t>
      </w:r>
      <w:r w:rsidRPr="00415B4B">
        <w:rPr>
          <w:rFonts w:eastAsia="Times New Roman" w:cs="Times New Roman"/>
          <w:bCs/>
          <w:lang w:eastAsia="en-US"/>
        </w:rPr>
        <w:t xml:space="preserve">chrony </w:t>
      </w:r>
      <w:r>
        <w:rPr>
          <w:rFonts w:eastAsia="Times New Roman" w:cs="Times New Roman"/>
          <w:bCs/>
          <w:lang w:eastAsia="en-US"/>
        </w:rPr>
        <w:t>k</w:t>
      </w:r>
      <w:r w:rsidRPr="00415B4B">
        <w:rPr>
          <w:rFonts w:eastAsia="Times New Roman" w:cs="Times New Roman"/>
          <w:bCs/>
          <w:lang w:eastAsia="en-US"/>
        </w:rPr>
        <w:t xml:space="preserve">onkurencji i </w:t>
      </w:r>
      <w:r>
        <w:rPr>
          <w:rFonts w:eastAsia="Times New Roman" w:cs="Times New Roman"/>
          <w:bCs/>
          <w:lang w:eastAsia="en-US"/>
        </w:rPr>
        <w:t>k</w:t>
      </w:r>
      <w:r w:rsidRPr="00415B4B">
        <w:rPr>
          <w:rFonts w:eastAsia="Times New Roman" w:cs="Times New Roman"/>
          <w:bCs/>
          <w:lang w:eastAsia="en-US"/>
        </w:rPr>
        <w:t xml:space="preserve">onsumentów posiada już ugruntowaną pozycję i doświadczenie w rozpatrywaniu spraw związanych z regulacjami rynkowymi oraz ochroną konsumentów. Jego kompetencje obejmują rozpatrywanie </w:t>
      </w:r>
      <w:proofErr w:type="spellStart"/>
      <w:r w:rsidRPr="00415B4B">
        <w:rPr>
          <w:rFonts w:eastAsia="Times New Roman" w:cs="Times New Roman"/>
          <w:bCs/>
          <w:lang w:eastAsia="en-US"/>
        </w:rPr>
        <w:t>odwołań</w:t>
      </w:r>
      <w:proofErr w:type="spellEnd"/>
      <w:r w:rsidRPr="00415B4B">
        <w:rPr>
          <w:rFonts w:eastAsia="Times New Roman" w:cs="Times New Roman"/>
          <w:bCs/>
          <w:lang w:eastAsia="en-US"/>
        </w:rPr>
        <w:t xml:space="preserve"> od decyzji takich organów jak Prezes Urzędu Ochrony Konkurencji i Konsumentów, co czyni go naturalnym wyborem do rozpatrywania spraw związanych z nowymi technologiami, w tym sztuczną inteligencją </w:t>
      </w:r>
    </w:p>
    <w:p w14:paraId="4F7692C5" w14:textId="5EED5C8C" w:rsidR="00673E6D" w:rsidRPr="00415B4B" w:rsidRDefault="00673E6D" w:rsidP="005378F2">
      <w:pPr>
        <w:widowControl/>
        <w:suppressAutoHyphens/>
        <w:autoSpaceDE/>
        <w:autoSpaceDN/>
        <w:adjustRightInd/>
        <w:spacing w:before="120"/>
        <w:jc w:val="both"/>
        <w:rPr>
          <w:rFonts w:ascii="Times" w:eastAsia="MS Mincho" w:hAnsi="Times"/>
          <w:bCs/>
        </w:rPr>
      </w:pPr>
      <w:r w:rsidRPr="00415B4B">
        <w:rPr>
          <w:rFonts w:eastAsia="Times New Roman" w:cs="Times New Roman"/>
          <w:bCs/>
          <w:lang w:eastAsia="en-US"/>
        </w:rPr>
        <w:lastRenderedPageBreak/>
        <w:t xml:space="preserve">Sztuczna inteligencja jest technologią przełomową, która ma potencjał do znaczącej transformacji wielu sektorów gospodarki oraz życia społecznego. W związku z tym konieczne jest, aby sprawy dotyczące AI były rozpatrywane przez sąd posiadający odpowiednie zaplecze merytoryczne i organizacyjne. Skoncentrowanie tych spraw w jednym sądzie, takim jak Sąd Okręgowy w Warszawie, pozwala na zbudowanie specjalistycznej wiedzy i doświadczenia w zakresie regulacji i nadzoru nad AI, co jest kluczowe dla zapewnienia sprawiedliwości i efektywności postępowań sądowych </w:t>
      </w:r>
    </w:p>
    <w:p w14:paraId="12E97EB0" w14:textId="53044558" w:rsidR="00673E6D" w:rsidRPr="00415B4B" w:rsidRDefault="00673E6D" w:rsidP="005378F2">
      <w:pPr>
        <w:widowControl/>
        <w:suppressAutoHyphens/>
        <w:autoSpaceDE/>
        <w:autoSpaceDN/>
        <w:adjustRightInd/>
        <w:spacing w:before="120"/>
        <w:jc w:val="both"/>
        <w:rPr>
          <w:rFonts w:ascii="Times" w:eastAsia="MS Mincho" w:hAnsi="Times"/>
          <w:bCs/>
        </w:rPr>
      </w:pPr>
      <w:r w:rsidRPr="00415B4B">
        <w:rPr>
          <w:rFonts w:eastAsia="Times New Roman" w:cs="Times New Roman"/>
          <w:bCs/>
          <w:lang w:eastAsia="en-US"/>
        </w:rPr>
        <w:t xml:space="preserve">Ponadto centralizacja rozpatrywania spraw związanych z AI w jednym sądzie zapobiega rozproszeniu kompetencji i umożliwia lepszą koordynację działań. Dzięki temu możliwe jest wypracowanie jednolitej linii orzeczniczej, co jest szczególnie istotne w kontekście dynamicznie rozwijającej się technologii, jaką jest sztuczna inteligencja. Taki model organizacyjny pozwala również na bardziej efektywne wykorzystanie zasobów sądowych oraz zapewnia lepszą dostępność specjalistycznych ekspertyz i opinii biegłych </w:t>
      </w:r>
    </w:p>
    <w:p w14:paraId="22ADE7BA"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 xml:space="preserve">Kary pieniężne podlegać będą egzekucji w trybie przepisów o postępowaniu egzekucyjnym w administracji w zakresie egzekucji obowiązków o charakterze pieniężnym. Zapewni to spójność rozwiązań w zakresie egzekucji z innymi przepisami w tym zakresie. </w:t>
      </w:r>
    </w:p>
    <w:p w14:paraId="049F907B" w14:textId="77777777" w:rsidR="00673E6D" w:rsidRPr="00415B4B" w:rsidRDefault="00673E6D" w:rsidP="005378F2">
      <w:pPr>
        <w:widowControl/>
        <w:suppressAutoHyphens/>
        <w:autoSpaceDE/>
        <w:autoSpaceDN/>
        <w:adjustRightInd/>
        <w:spacing w:before="120"/>
        <w:jc w:val="both"/>
        <w:rPr>
          <w:rFonts w:eastAsia="Times New Roman" w:cs="Times New Roman"/>
          <w:bCs/>
          <w:szCs w:val="24"/>
          <w:lang w:eastAsia="en-US"/>
        </w:rPr>
      </w:pPr>
      <w:r w:rsidRPr="00415B4B">
        <w:rPr>
          <w:rFonts w:eastAsia="Times New Roman" w:cs="Times New Roman"/>
          <w:bCs/>
          <w:szCs w:val="24"/>
          <w:lang w:eastAsia="en-US"/>
        </w:rPr>
        <w:t xml:space="preserve">Należy wskazać, że przesłanki nakładania kar i maksymalne ich wysokości wynikają wprost z przepisów rozporządzenia 2024/1689. Zgodnie z przepisami rozporządzenia 2024/1689 oraz ze względu na znaczenie przepisów dla ochrony praw osób, praworządności oraz demokracji w Europie, omawiany projekt zakłada możliwość nałożenia z tego tytułu kary na podmioty sektora prywatnego, jak i publicznego. Analogiczne uprawnienie dla państw członkowskich funkcjonuje na gruncie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w:t>
      </w:r>
    </w:p>
    <w:p w14:paraId="78768437" w14:textId="77777777" w:rsidR="00673E6D" w:rsidRPr="00415B4B" w:rsidDel="00781231" w:rsidRDefault="00673E6D" w:rsidP="005378F2">
      <w:pPr>
        <w:pStyle w:val="USTustnpkodeksu"/>
        <w:keepNext/>
        <w:spacing w:before="120"/>
        <w:ind w:firstLine="0"/>
        <w:rPr>
          <w:rFonts w:eastAsia="Aptos"/>
          <w:lang w:eastAsia="en-US"/>
        </w:rPr>
      </w:pPr>
      <w:r w:rsidRPr="00415B4B">
        <w:rPr>
          <w:rFonts w:eastAsia="Times New Roman" w:cs="Times New Roman"/>
          <w:lang w:eastAsia="en-US"/>
        </w:rPr>
        <w:t>Projekt przewiduje również możliwość zmniejszenia wysokości administracyjnej kary pieniężnej,</w:t>
      </w:r>
      <w:r w:rsidRPr="00415B4B">
        <w:t xml:space="preserve"> niemniej niż o 10% i </w:t>
      </w:r>
      <w:proofErr w:type="spellStart"/>
      <w:r w:rsidRPr="00415B4B">
        <w:t>niewięcej</w:t>
      </w:r>
      <w:proofErr w:type="spellEnd"/>
      <w:r w:rsidRPr="00415B4B">
        <w:t xml:space="preserve"> niż o 50%, </w:t>
      </w:r>
      <w:r w:rsidRPr="00415B4B">
        <w:rPr>
          <w:rFonts w:eastAsia="Times New Roman" w:cs="Times New Roman"/>
          <w:lang w:eastAsia="en-US"/>
        </w:rPr>
        <w:t xml:space="preserve">jeżeli ukarany podmiot wykonał w okresie 3 miesięcy od doręczenia decyzji w sprawie kary rekomendacje zawarte w ostrzeżeniu, o którym mowa w art. </w:t>
      </w:r>
      <w:r w:rsidRPr="00415B4B">
        <w:rPr>
          <w:rFonts w:eastAsia="Times New Roman" w:cs="Times New Roman"/>
          <w:bCs w:val="0"/>
          <w:lang w:eastAsia="en-US"/>
        </w:rPr>
        <w:t>62</w:t>
      </w:r>
      <w:r w:rsidRPr="00415B4B">
        <w:rPr>
          <w:rFonts w:eastAsia="Times New Roman" w:cs="Times New Roman"/>
          <w:lang w:eastAsia="en-US"/>
        </w:rPr>
        <w:t xml:space="preserve"> ustawy, a naruszenie nie doprowadziło do śmierci lub poważnego uszczerbku na zdrowiu.</w:t>
      </w:r>
      <w:r w:rsidRPr="00415B4B">
        <w:rPr>
          <w:rFonts w:eastAsia="Times New Roman" w:cs="Times New Roman"/>
          <w:bCs w:val="0"/>
          <w:lang w:eastAsia="en-US"/>
        </w:rPr>
        <w:t xml:space="preserve"> </w:t>
      </w:r>
      <w:r w:rsidRPr="00415B4B">
        <w:rPr>
          <w:rFonts w:eastAsia="Times New Roman"/>
          <w:lang w:eastAsia="en-US"/>
        </w:rPr>
        <w:t xml:space="preserve">Komisja może też, na uzasadniony wniosek podmiotu ukaranego, odroczyć termin uiszczenia administracyjnej kary pieniężnej albo rozłożyć ją na raty, ze </w:t>
      </w:r>
      <w:r w:rsidRPr="00415B4B">
        <w:rPr>
          <w:rFonts w:eastAsia="Times New Roman"/>
          <w:lang w:eastAsia="en-US"/>
        </w:rPr>
        <w:lastRenderedPageBreak/>
        <w:t xml:space="preserve">względu na ważny interes wnioskodawcy. Działania te stanowią ulgę </w:t>
      </w:r>
      <w:r w:rsidRPr="00415B4B" w:rsidDel="00781231">
        <w:rPr>
          <w:rFonts w:eastAsia="Times New Roman"/>
          <w:lang w:eastAsia="en-US"/>
        </w:rPr>
        <w:t>w wykonaniu administracyjnej kary pieniężne</w:t>
      </w:r>
      <w:r w:rsidRPr="00415B4B">
        <w:rPr>
          <w:rFonts w:eastAsia="Times New Roman"/>
          <w:lang w:eastAsia="en-US"/>
        </w:rPr>
        <w:t>j, która:</w:t>
      </w:r>
    </w:p>
    <w:p w14:paraId="75BB2165" w14:textId="77777777" w:rsidR="00673E6D" w:rsidRPr="00415B4B" w:rsidDel="00781231" w:rsidRDefault="00673E6D" w:rsidP="005378F2">
      <w:pPr>
        <w:pStyle w:val="PKTpunkt"/>
        <w:ind w:left="425" w:hanging="425"/>
        <w:rPr>
          <w:rFonts w:eastAsia="Aptos"/>
          <w:lang w:eastAsia="en-US"/>
        </w:rPr>
      </w:pPr>
      <w:r w:rsidRPr="00415B4B" w:rsidDel="00781231">
        <w:rPr>
          <w:lang w:eastAsia="en-US"/>
        </w:rPr>
        <w:t>1)</w:t>
      </w:r>
      <w:r w:rsidRPr="00415B4B" w:rsidDel="00781231">
        <w:rPr>
          <w:lang w:eastAsia="en-US"/>
        </w:rPr>
        <w:tab/>
        <w:t>nie stanowi pomocy publicznej;</w:t>
      </w:r>
    </w:p>
    <w:p w14:paraId="26FD23CB" w14:textId="77777777" w:rsidR="00673E6D" w:rsidRPr="00415B4B" w:rsidDel="00781231" w:rsidRDefault="00673E6D" w:rsidP="005378F2">
      <w:pPr>
        <w:pStyle w:val="PKTpunkt"/>
        <w:ind w:left="425" w:hanging="425"/>
      </w:pPr>
      <w:r w:rsidRPr="00415B4B" w:rsidDel="00781231">
        <w:rPr>
          <w:lang w:eastAsia="en-US"/>
        </w:rPr>
        <w:t>2)</w:t>
      </w:r>
      <w:r w:rsidRPr="00415B4B" w:rsidDel="00781231">
        <w:rPr>
          <w:lang w:eastAsia="en-US"/>
        </w:rPr>
        <w:tab/>
      </w:r>
      <w:r w:rsidRPr="00415B4B" w:rsidDel="00781231">
        <w:t xml:space="preserve">stanowi pomoc </w:t>
      </w:r>
      <w:r w:rsidRPr="005378F2" w:rsidDel="00781231">
        <w:rPr>
          <w:i/>
          <w:iCs/>
        </w:rPr>
        <w:t xml:space="preserve">de </w:t>
      </w:r>
      <w:proofErr w:type="spellStart"/>
      <w:r w:rsidRPr="005378F2" w:rsidDel="00781231">
        <w:rPr>
          <w:i/>
          <w:iCs/>
        </w:rPr>
        <w:t>minimis</w:t>
      </w:r>
      <w:proofErr w:type="spellEnd"/>
      <w:r w:rsidRPr="00415B4B" w:rsidDel="00781231">
        <w:t xml:space="preserve"> albo pomoc </w:t>
      </w:r>
      <w:r w:rsidRPr="005378F2" w:rsidDel="00781231">
        <w:rPr>
          <w:i/>
          <w:iCs/>
        </w:rPr>
        <w:t xml:space="preserve">de </w:t>
      </w:r>
      <w:proofErr w:type="spellStart"/>
      <w:r w:rsidRPr="005378F2" w:rsidDel="00781231">
        <w:rPr>
          <w:i/>
          <w:iCs/>
        </w:rPr>
        <w:t>minimis</w:t>
      </w:r>
      <w:proofErr w:type="spellEnd"/>
      <w:r w:rsidRPr="00415B4B" w:rsidDel="00781231">
        <w:t xml:space="preserve"> w rolnictwie lub rybołówstwie – w zakresie i na zasadach określonych w bezpośrednio obowiązujących przepisach prawa Unii Europejskiej dotyczących pomocy w ramach zasady </w:t>
      </w:r>
      <w:r w:rsidRPr="005378F2" w:rsidDel="00781231">
        <w:rPr>
          <w:i/>
          <w:iCs/>
        </w:rPr>
        <w:t xml:space="preserve">de </w:t>
      </w:r>
      <w:proofErr w:type="spellStart"/>
      <w:r w:rsidRPr="005378F2" w:rsidDel="00781231">
        <w:rPr>
          <w:i/>
          <w:iCs/>
        </w:rPr>
        <w:t>minimis</w:t>
      </w:r>
      <w:proofErr w:type="spellEnd"/>
      <w:r w:rsidRPr="00415B4B" w:rsidDel="00781231">
        <w:t>;</w:t>
      </w:r>
    </w:p>
    <w:p w14:paraId="5852DF36" w14:textId="77777777" w:rsidR="00673E6D" w:rsidRPr="00415B4B" w:rsidRDefault="00673E6D" w:rsidP="005378F2">
      <w:pPr>
        <w:pStyle w:val="PKTpunkt"/>
        <w:ind w:left="425" w:hanging="425"/>
        <w:rPr>
          <w:rFonts w:cs="Times New Roman"/>
          <w:color w:val="000000"/>
          <w:lang w:eastAsia="en-US"/>
        </w:rPr>
      </w:pPr>
      <w:r w:rsidRPr="00415B4B" w:rsidDel="00781231">
        <w:t>3)</w:t>
      </w:r>
      <w:r w:rsidRPr="00415B4B" w:rsidDel="00781231">
        <w:tab/>
        <w:t>stanowi pomoc publiczną zgodną z zasadami rynku wewnętrznego Unii Europejskiej, której dopuszczalność</w:t>
      </w:r>
      <w:r w:rsidRPr="00415B4B" w:rsidDel="00781231">
        <w:rPr>
          <w:rFonts w:cs="Times New Roman"/>
          <w:color w:val="000000" w:themeColor="text1"/>
          <w:lang w:eastAsia="en-US"/>
        </w:rPr>
        <w:t xml:space="preserve"> została określona przez właściwe instytucje Unii Europejskiej.</w:t>
      </w:r>
    </w:p>
    <w:p w14:paraId="7E4A0ADB"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t>Przepisy stanowi ważny instrument o charakterze motywacyjnym i prewencyjnym. Mechanizm ten premiuje współpracę z organem i szybką reakcję na naruszenie, co może skutecznie przeciwdziałać dalszym nieprawidłowościom. Jednocześnie przepis wyznacza granice takiej łagodności – nie może ona mieć zastosowania, jeśli skutki naruszenia były poważne, co zapewnia ochronę interesu publicznego i osób narażonych na skutki naruszeń</w:t>
      </w:r>
      <w:r>
        <w:rPr>
          <w:rFonts w:eastAsia="Times New Roman" w:cs="Times New Roman"/>
          <w:bCs/>
          <w:lang w:eastAsia="en-US"/>
        </w:rPr>
        <w:t>.</w:t>
      </w:r>
    </w:p>
    <w:p w14:paraId="798F7781" w14:textId="65E51CAE"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Konstruując przepisy umożliwiające nałożenie kar na podstawie naruszenia rozporządzenia 2024/1689, projektodawca umożliwia stosowanie ich w oparciu o wszystkie przypadki naruszenia przepisów rozporządzenia 2024/1689. Nie przekreśla to możliwości uregulowania w przyszłości szczegółowych kwestii dotyczących naruszeń innych przepisów, w szczególności art. 6 omawianego rozporządzenia. Takie działanie legislacyjne będzie wskazane ze względu na fakt wejścia w życie, w 2026 oraz 2027 r., pozostałych przepisów rozporządzenia 2024/1689 oraz prac Komisji Europejskiej związanych z opracowaniem i publikacją aktów wykonawczych, delegowanych oraz dokumentów merytorycznych odnoszących się do obszarów ujętych zakresowo przepisami o systemach AI wysokiego ryzyka (art. 6), w których właściwymi organami nadzoru mają być spełniające kryteria określone w rozporządzeniu krajowe organy nadzoru (m.in. nad sektorem finansowym czy zastosowaniem systemów wysokiego ryzyka przez instytucje publiczne w obszarach</w:t>
      </w:r>
      <w:r w:rsidR="00745331">
        <w:rPr>
          <w:rFonts w:eastAsia="Times New Roman" w:cs="Times New Roman"/>
          <w:bCs/>
          <w:lang w:eastAsia="en-US"/>
        </w:rPr>
        <w:t>,</w:t>
      </w:r>
      <w:r w:rsidRPr="00415B4B">
        <w:rPr>
          <w:rFonts w:eastAsia="Times New Roman" w:cs="Times New Roman"/>
          <w:bCs/>
          <w:lang w:eastAsia="en-US"/>
        </w:rPr>
        <w:t xml:space="preserve"> takich jak ściganie przestępstw, migracja czy wymiar sprawiedliwości). Określony w projekcie szeroki zakres uprawnień Komisji do nakładania kar wynika z harmonogramu wchodzenia w życie przepisów rozporządzenia, jak również z powodu konieczności oczekiwania na podjęcie przez Komisję Europejską, Radę ds. AI oraz inne powołane do życia na mocy przepisów regulacji instytucje europejskiego systemu nadzoru nad modelami i systemami sztucznej inteligencji działań o charakterze technicznym, merytorycznym i prawnym, które to według przepisów rozporządzenia, jak również komunikatów przedstawicieli Komisji na spotkaniach Rady ds. AI planów nastąpić ma do końca 2025 r.</w:t>
      </w:r>
    </w:p>
    <w:p w14:paraId="0FE88B20" w14:textId="218A25A4"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lastRenderedPageBreak/>
        <w:t>Przepisy art. 108 i art. 109 mają na celu wzmocnienie skuteczności prowadzonych post</w:t>
      </w:r>
      <w:r w:rsidR="00745331">
        <w:rPr>
          <w:rFonts w:eastAsia="Times New Roman" w:cs="Times New Roman"/>
          <w:bCs/>
          <w:lang w:eastAsia="en-US"/>
        </w:rPr>
        <w:t>ę</w:t>
      </w:r>
      <w:r w:rsidRPr="00415B4B">
        <w:rPr>
          <w:rFonts w:eastAsia="Times New Roman" w:cs="Times New Roman"/>
          <w:bCs/>
          <w:lang w:eastAsia="en-US"/>
        </w:rPr>
        <w:t>powań, mechanizmów kontrolnych oraz egzekwowania obowiązków podmiotów objętych kontrolą lub postępowaniem administracyjnym. Wprowadzenie sankcji karnych w postaci kary ograniczenia wolności lub grzywny służy zapewnieniu należytej współpracy ze strony kontrolowanych, stron postępowania oraz przeciwdziałaniu działaniom obstrukcyjnym.</w:t>
      </w:r>
    </w:p>
    <w:p w14:paraId="672DF675"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Wprowadzenie przepisu art. 108 ma na celu zapewnienie skuteczności czynności kontrolnych oraz postępowań administracyjnych prowadzonych przez Komisję zgodnie z ustawą. Czynności te stanowią kluczowy instrument nadzorczy, umożliwiający wykrywanie nieprawidłowości, reagowanie na naruszenia i weryfikację zgodności działania podmiotów z obowiązkami wynikającymi z rozporządzenia 2024/1689 oraz ustawy.</w:t>
      </w:r>
    </w:p>
    <w:p w14:paraId="6954CA4E"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Penalizacja działań zmierzających do utrudnienia lub udaremnienia czynności kontrolnych jest konieczna, ponieważ bez możliwości wymierzenia sankcji działania Komisji mogłyby być w praktyce nieskuteczne, a podmioty objęte kontrolą mogłyby nie wykonywać obowiązków lub celowo uniemożliwiać realizację ustawowych zadań organu nadzorczego.</w:t>
      </w:r>
    </w:p>
    <w:p w14:paraId="74E21070" w14:textId="2B8C9A53"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Wprowadzone sankcje – grzywna albo kara ograniczenia wolności – są proporcjonalne do wagi naruszenia i zgodne z zasadą subsydiarności prawa karnego. Penalizacji podlega wyłącznie zachowanie o charakterze świadomego sprzeciwu wobec czynności organu, mające wysoce negatywny wpływ na możliwość wykonywania jego zadań. Przepis dotyczy każdego zarówno osób fizycznych, os</w:t>
      </w:r>
      <w:r w:rsidR="00CF5F7D">
        <w:rPr>
          <w:rFonts w:eastAsia="Times New Roman" w:cs="Times New Roman"/>
          <w:bCs/>
          <w:lang w:eastAsia="en-US"/>
        </w:rPr>
        <w:t>ó</w:t>
      </w:r>
      <w:r w:rsidRPr="00415B4B">
        <w:rPr>
          <w:rFonts w:eastAsia="Times New Roman" w:cs="Times New Roman"/>
          <w:bCs/>
          <w:lang w:eastAsia="en-US"/>
        </w:rPr>
        <w:t>b prowadząc</w:t>
      </w:r>
      <w:r w:rsidR="00CF5F7D">
        <w:rPr>
          <w:rFonts w:eastAsia="Times New Roman" w:cs="Times New Roman"/>
          <w:bCs/>
          <w:lang w:eastAsia="en-US"/>
        </w:rPr>
        <w:t>ych</w:t>
      </w:r>
      <w:r w:rsidRPr="00415B4B">
        <w:rPr>
          <w:rFonts w:eastAsia="Times New Roman" w:cs="Times New Roman"/>
          <w:bCs/>
          <w:lang w:eastAsia="en-US"/>
        </w:rPr>
        <w:t xml:space="preserve"> dzi</w:t>
      </w:r>
      <w:r w:rsidR="00D74335">
        <w:rPr>
          <w:rFonts w:eastAsia="Times New Roman" w:cs="Times New Roman"/>
          <w:bCs/>
          <w:lang w:eastAsia="en-US"/>
        </w:rPr>
        <w:t>ała</w:t>
      </w:r>
      <w:r w:rsidRPr="00415B4B">
        <w:rPr>
          <w:rFonts w:eastAsia="Times New Roman" w:cs="Times New Roman"/>
          <w:bCs/>
          <w:lang w:eastAsia="en-US"/>
        </w:rPr>
        <w:t xml:space="preserve">lność gospodarczą, </w:t>
      </w:r>
      <w:r w:rsidR="00CF5F7D">
        <w:rPr>
          <w:rFonts w:eastAsia="Times New Roman" w:cs="Times New Roman"/>
          <w:bCs/>
          <w:lang w:eastAsia="en-US"/>
        </w:rPr>
        <w:t xml:space="preserve">jak i </w:t>
      </w:r>
      <w:r w:rsidRPr="00415B4B">
        <w:rPr>
          <w:rFonts w:eastAsia="Times New Roman" w:cs="Times New Roman"/>
          <w:bCs/>
          <w:lang w:eastAsia="en-US"/>
        </w:rPr>
        <w:t>przedsiębiorc</w:t>
      </w:r>
      <w:r w:rsidR="00FC00D3">
        <w:rPr>
          <w:rFonts w:eastAsia="Times New Roman" w:cs="Times New Roman"/>
          <w:bCs/>
          <w:lang w:eastAsia="en-US"/>
        </w:rPr>
        <w:t>ów</w:t>
      </w:r>
      <w:r w:rsidRPr="00415B4B">
        <w:rPr>
          <w:rFonts w:eastAsia="Times New Roman" w:cs="Times New Roman"/>
          <w:bCs/>
          <w:lang w:eastAsia="en-US"/>
        </w:rPr>
        <w:t xml:space="preserve">. </w:t>
      </w:r>
    </w:p>
    <w:p w14:paraId="1F9D8D6E"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Ujęcie w ust. 2 odpowiedzialności osób działających w imieniu lub w interesie osób prawnych i jednostek organizacyjnych wynika z konieczności zapobieżenia sytuacjom, w których szkodliwe działania podejmowane są przez przedstawicieli podmiotów zbiorowych, często faktycznie odpowiedzialnych za naruszenia. Rozwiązanie to jest zgodne z zasadą, że odpowiedzialność karna obejmuje także osoby uprawnione do działania w strukturach organizacyjnych podmiotów gospodarczych.</w:t>
      </w:r>
    </w:p>
    <w:p w14:paraId="7A47686F" w14:textId="50834BA2" w:rsidR="00673E6D" w:rsidRPr="00415B4B" w:rsidRDefault="00673E6D" w:rsidP="005378F2">
      <w:pPr>
        <w:widowControl/>
        <w:suppressAutoHyphens/>
        <w:spacing w:before="120"/>
        <w:jc w:val="both"/>
      </w:pPr>
      <w:r w:rsidRPr="00415B4B">
        <w:t>Stosowanie przepisów ust. 1 i 2 zostało wyłączone w odniesieniu do czynów polegających na dostarczaniu nieprawidłowych, niekompletnych lub wprowadzających w błąd informacji właściwym organom krajowym w odpowiedzi na ich wniosek. Te czyny zostały wskazane w przepisach rozporządzenia 2024/1689 enumeratywnie i kara za nie została wprost określona w art. 99 ust. 5 rozporządz</w:t>
      </w:r>
      <w:r w:rsidR="00FC00D3">
        <w:t>e</w:t>
      </w:r>
      <w:r w:rsidRPr="00415B4B">
        <w:t xml:space="preserve">nia 2024/1689. Mają one bowiem szczególne istotne znaczenie dla ustalania poprawnie stanu faktycznego a tym sam na uznanie systemu za zgodny z </w:t>
      </w:r>
      <w:r w:rsidRPr="00415B4B">
        <w:lastRenderedPageBreak/>
        <w:t>przepisanymi rozp</w:t>
      </w:r>
      <w:r w:rsidR="00FC00D3">
        <w:t>o</w:t>
      </w:r>
      <w:r w:rsidRPr="00415B4B">
        <w:t>rz</w:t>
      </w:r>
      <w:r w:rsidR="00FC00D3">
        <w:t>ądz</w:t>
      </w:r>
      <w:r w:rsidRPr="00415B4B">
        <w:t>enia 2024/1689, bezpieczny i godny zaufania. Wyłączenie to ma na celu unikni</w:t>
      </w:r>
      <w:r w:rsidR="00FC00D3">
        <w:t>ę</w:t>
      </w:r>
      <w:r w:rsidRPr="00415B4B">
        <w:t>cie ryzyka podwójnej karalności.</w:t>
      </w:r>
    </w:p>
    <w:p w14:paraId="207E625D"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Celem tego przepisu jest ochrona integralności procesu kontrolnego oraz postępowań i zapewnienie, że zarówno kontrolujący, jak i osoby prowadzące postępowanie administracyjne będą mogli wykonywać swoje obowiązki w sposób niezakłócony.  </w:t>
      </w:r>
    </w:p>
    <w:p w14:paraId="2B903CF6" w14:textId="58B91868"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Celem wprowadzenia art. 109 jest zapewnienie realnej wykonalności decyzji Komisji, o której mowa w art. 64 ust. 2 ustawy, podejmowanych w przypadku stwierdzenia naruszeń dotyczących funkcjonowania lub stosowania systemów sztucznej inteligencji. Decyzje te mają charakter środków naprawczych i służą usunięciu naruszeń wynikających ze stworzonego przez </w:t>
      </w:r>
      <w:r w:rsidRPr="00415B4B">
        <w:t xml:space="preserve">system sztucznej inteligencji </w:t>
      </w:r>
      <w:r w:rsidRPr="00415B4B">
        <w:rPr>
          <w:rFonts w:eastAsia="Times New Roman" w:cs="Times New Roman"/>
          <w:bCs/>
          <w:lang w:eastAsia="en-US"/>
        </w:rPr>
        <w:t>ryzyka, o którym mowa w art. 79 rozporządzenia 2024/1689</w:t>
      </w:r>
      <w:r w:rsidR="00FC00D3">
        <w:rPr>
          <w:rFonts w:eastAsia="Times New Roman" w:cs="Times New Roman"/>
          <w:bCs/>
          <w:lang w:eastAsia="en-US"/>
        </w:rPr>
        <w:t>,</w:t>
      </w:r>
      <w:r w:rsidRPr="00415B4B">
        <w:rPr>
          <w:rFonts w:eastAsia="Times New Roman" w:cs="Times New Roman"/>
          <w:bCs/>
          <w:lang w:eastAsia="en-US"/>
        </w:rPr>
        <w:t xml:space="preserve"> lub </w:t>
      </w:r>
      <w:r w:rsidRPr="00415B4B">
        <w:t xml:space="preserve">bezpośredniego ryzyka zagrożenia dla życia, zdrowia, bezpieczeństwa lub praw podstawowych osób fizycznych. </w:t>
      </w:r>
    </w:p>
    <w:p w14:paraId="577F8587"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W sytuacji braku sankcji za niewykonanie decyzji organu, podmiot obowiązany mógłby pozostawać bierny, co prowadziłoby do utrzymywania niezgodności z prawem, a niekiedy do dalszego zagrożenia dla użytkowników systemów sztucznej inteligencji. Wprowadzenie penalizacji jest zatem konieczne dla zapewnienia skuteczności nadzoru publicznego i respektowania decyzji naprawczych.</w:t>
      </w:r>
    </w:p>
    <w:p w14:paraId="523275EA"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Niewykonanie decyzji organu administracji publicznej w zakresie obowiązków nakazanych dla usunięcia naruszeń jest czynem o wysokim stopniu społecznej szkodliwości, ponieważ:</w:t>
      </w:r>
    </w:p>
    <w:p w14:paraId="74E28518" w14:textId="77777777" w:rsidR="00673E6D" w:rsidRPr="00415B4B" w:rsidRDefault="00673E6D" w:rsidP="005378F2">
      <w:pPr>
        <w:widowControl/>
        <w:numPr>
          <w:ilvl w:val="0"/>
          <w:numId w:val="29"/>
        </w:numPr>
        <w:tabs>
          <w:tab w:val="clear" w:pos="720"/>
        </w:tabs>
        <w:suppressAutoHyphens/>
        <w:ind w:left="284" w:hanging="284"/>
        <w:jc w:val="both"/>
        <w:rPr>
          <w:rFonts w:eastAsia="Times New Roman" w:cs="Times New Roman"/>
          <w:bCs/>
          <w:lang w:eastAsia="en-US"/>
        </w:rPr>
      </w:pPr>
      <w:r w:rsidRPr="00415B4B">
        <w:rPr>
          <w:rFonts w:eastAsia="Times New Roman" w:cs="Times New Roman"/>
          <w:bCs/>
          <w:lang w:eastAsia="en-US"/>
        </w:rPr>
        <w:t>prowadzi do utrzymywania stanu niezgodnego z prawem,</w:t>
      </w:r>
    </w:p>
    <w:p w14:paraId="3118E9EC" w14:textId="77777777" w:rsidR="00673E6D" w:rsidRPr="00415B4B" w:rsidRDefault="00673E6D" w:rsidP="005378F2">
      <w:pPr>
        <w:widowControl/>
        <w:numPr>
          <w:ilvl w:val="0"/>
          <w:numId w:val="29"/>
        </w:numPr>
        <w:tabs>
          <w:tab w:val="clear" w:pos="720"/>
        </w:tabs>
        <w:suppressAutoHyphens/>
        <w:ind w:left="284" w:hanging="284"/>
        <w:jc w:val="both"/>
        <w:rPr>
          <w:rFonts w:eastAsia="Times New Roman" w:cs="Times New Roman"/>
          <w:bCs/>
          <w:lang w:eastAsia="en-US"/>
        </w:rPr>
      </w:pPr>
      <w:r w:rsidRPr="00415B4B">
        <w:rPr>
          <w:rFonts w:eastAsia="Times New Roman" w:cs="Times New Roman"/>
          <w:bCs/>
          <w:lang w:eastAsia="en-US"/>
        </w:rPr>
        <w:t>naraża użytkowników systemów AI na ryzyko,</w:t>
      </w:r>
    </w:p>
    <w:p w14:paraId="23D2D47C" w14:textId="77777777" w:rsidR="00673E6D" w:rsidRPr="00415B4B" w:rsidRDefault="00673E6D" w:rsidP="005378F2">
      <w:pPr>
        <w:widowControl/>
        <w:numPr>
          <w:ilvl w:val="0"/>
          <w:numId w:val="29"/>
        </w:numPr>
        <w:tabs>
          <w:tab w:val="clear" w:pos="720"/>
        </w:tabs>
        <w:suppressAutoHyphens/>
        <w:ind w:left="284" w:hanging="284"/>
        <w:jc w:val="both"/>
        <w:rPr>
          <w:rFonts w:eastAsia="Times New Roman" w:cs="Times New Roman"/>
          <w:bCs/>
          <w:lang w:eastAsia="en-US"/>
        </w:rPr>
      </w:pPr>
      <w:r w:rsidRPr="00415B4B">
        <w:rPr>
          <w:rFonts w:eastAsia="Times New Roman" w:cs="Times New Roman"/>
          <w:bCs/>
          <w:lang w:eastAsia="en-US"/>
        </w:rPr>
        <w:t>może uniemożliwiać skuteczne naprawienie naruszenia,</w:t>
      </w:r>
    </w:p>
    <w:p w14:paraId="6A2E530A" w14:textId="77777777" w:rsidR="00673E6D" w:rsidRPr="00415B4B" w:rsidRDefault="00673E6D" w:rsidP="005378F2">
      <w:pPr>
        <w:widowControl/>
        <w:numPr>
          <w:ilvl w:val="0"/>
          <w:numId w:val="29"/>
        </w:numPr>
        <w:tabs>
          <w:tab w:val="clear" w:pos="720"/>
        </w:tabs>
        <w:suppressAutoHyphens/>
        <w:ind w:left="284" w:hanging="284"/>
        <w:jc w:val="both"/>
        <w:rPr>
          <w:rFonts w:eastAsia="Times New Roman" w:cs="Times New Roman"/>
          <w:bCs/>
          <w:lang w:eastAsia="en-US"/>
        </w:rPr>
      </w:pPr>
      <w:r w:rsidRPr="00415B4B">
        <w:rPr>
          <w:rFonts w:eastAsia="Times New Roman" w:cs="Times New Roman"/>
          <w:bCs/>
          <w:lang w:eastAsia="en-US"/>
        </w:rPr>
        <w:t>godzi w interes publiczny rozumiany jako bezpieczeństwo i przejrzystość stosowania technologii AI.</w:t>
      </w:r>
    </w:p>
    <w:p w14:paraId="0E34971B"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Zachowanie to ma charakter umyślny lub co najmniej wynikający z rażącego niedbalstwa i odnosi się do obowiązków nałożonych w decyzji, która stanowi akt władczy skierowany do konkretnego podmiotu. Projekt przewiduje karę grzywny albo ograniczenia wolności. Sankcje są adekwatne do charakteru czynu, nie mają charakteru nadmiernie represyjnego, wpisują się w standard kar stosowanych za niewykonywanie decyzji organów nadzorczych w innych sektorach regulowanych (np. ochrona danych osobowych, nadzór rynku finansowego), odpowiadają standardowi sankcji za podobne delikty administracyjno</w:t>
      </w:r>
      <w:r w:rsidRPr="00415B4B">
        <w:rPr>
          <w:rFonts w:eastAsia="Times New Roman" w:cs="Times New Roman"/>
          <w:bCs/>
          <w:lang w:eastAsia="en-US"/>
        </w:rPr>
        <w:noBreakHyphen/>
        <w:t xml:space="preserve">karne. Prawo karne </w:t>
      </w:r>
      <w:r w:rsidRPr="00415B4B">
        <w:rPr>
          <w:rFonts w:eastAsia="Times New Roman" w:cs="Times New Roman"/>
          <w:bCs/>
          <w:lang w:eastAsia="en-US"/>
        </w:rPr>
        <w:lastRenderedPageBreak/>
        <w:t>zachowuje w tym przypadku charakter środka ultima ratio, stosowanego wyłącznie wówczas, gdy podmiot świadomie ignoruje wiążącą decyzję administracyjną.</w:t>
      </w:r>
    </w:p>
    <w:p w14:paraId="12958C93"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Ust. 2 przewiduje odpowiedzialność osób działających w imieniu lub w interesie osób prawnych oraz jednostek organizacyjnych nieposiadających osobowości prawnej. Rozwiązanie to odzwierciedla faktyczny sposób funkcjonowania podmiotów gospodarczych, zapobiega przerzucaniu odpowiedzialności na podmiot zbiorowy i ukrywaniu sprawców działań faktycznych, ponadto jest zgodne z powszechnie stosowaną w polskim prawie konstrukcją odpowiedzialności osób odpowiedzialnych za działanie podmiotu (np. w prawie wykroczeń gospodarczych i nadzorczych), zapewnia skuteczność sankcji i zapobiega ich faktycznemu obchodzeniu.</w:t>
      </w:r>
    </w:p>
    <w:p w14:paraId="0E3EABDD"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 xml:space="preserve">Przepis art. 110 odsyła do stosowania </w:t>
      </w:r>
      <w:r w:rsidRPr="00415B4B">
        <w:rPr>
          <w:szCs w:val="24"/>
        </w:rPr>
        <w:t>w ww. sprawach</w:t>
      </w:r>
      <w:r w:rsidRPr="00415B4B">
        <w:rPr>
          <w:rFonts w:eastAsia="Times New Roman" w:cs="Times New Roman"/>
          <w:bCs/>
          <w:lang w:eastAsia="en-US"/>
        </w:rPr>
        <w:t xml:space="preserve"> przepisów ustawy z dnia 24 sierpnia 2001 r. – Kodeks postępowania w sprawach o wykroczenia. Ma to na celu ujednolicenie procedury orzekania w sprawach o czyny określone w art. 108 i art. 109 oraz zapewnienie jednolitego stosowania zasad procesu wykroczeniowego.</w:t>
      </w:r>
    </w:p>
    <w:p w14:paraId="1553E334" w14:textId="77777777" w:rsidR="00673E6D" w:rsidRPr="00415B4B" w:rsidRDefault="00673E6D" w:rsidP="005378F2">
      <w:pPr>
        <w:widowControl/>
        <w:suppressAutoHyphens/>
        <w:spacing w:before="120"/>
        <w:jc w:val="both"/>
        <w:rPr>
          <w:rFonts w:eastAsia="Times New Roman" w:cs="Times New Roman"/>
          <w:bCs/>
          <w:lang w:eastAsia="en-US"/>
        </w:rPr>
      </w:pPr>
      <w:r w:rsidRPr="00415B4B">
        <w:rPr>
          <w:rFonts w:eastAsia="Times New Roman" w:cs="Times New Roman"/>
          <w:bCs/>
          <w:lang w:eastAsia="en-US"/>
        </w:rPr>
        <w:t>Wybór trybu wykroczeniowego jest uzasadniony charakterem sankcji przewidzianych w ustawie (grzywna albo kara ograniczenia wolności) oraz stopniem społecznej szkodliwości czynów. Wprowadzenie tej regulacji zapewnia: przejrzystość procedury. skrócenie czasu rozpoznania spraw, zminimalizowanie obciążenia organów wymiaru sprawiedliwości, wykorzystanie istniejącej, ugruntowanej procedury właściwej dla podobnych deliktów administracyjnych. Regulacja jest niezbędna dla prawidłowego stosowania przepisów karnych zawartych w ustawie.</w:t>
      </w:r>
    </w:p>
    <w:p w14:paraId="4E3FF1EB" w14:textId="77777777" w:rsidR="00673E6D" w:rsidRPr="00415B4B" w:rsidRDefault="00673E6D" w:rsidP="005378F2">
      <w:pPr>
        <w:widowControl/>
        <w:autoSpaceDE/>
        <w:autoSpaceDN/>
        <w:adjustRightInd/>
        <w:spacing w:before="120"/>
        <w:jc w:val="both"/>
        <w:rPr>
          <w:rFonts w:eastAsia="Times New Roman" w:cs="Times New Roman"/>
          <w:b/>
          <w:bCs/>
          <w:lang w:eastAsia="en-US"/>
        </w:rPr>
      </w:pPr>
      <w:r w:rsidRPr="00415B4B">
        <w:rPr>
          <w:rFonts w:eastAsia="Times New Roman" w:cs="Times New Roman"/>
          <w:b/>
          <w:bCs/>
          <w:lang w:eastAsia="en-US"/>
        </w:rPr>
        <w:t>Rozdział 9 – Zmiany w przepisach obowiązujących (art. 111 – art. 119)</w:t>
      </w:r>
    </w:p>
    <w:p w14:paraId="0630AEC6" w14:textId="77777777" w:rsidR="00673E6D" w:rsidRPr="00415B4B" w:rsidRDefault="00673E6D" w:rsidP="005378F2">
      <w:pPr>
        <w:widowControl/>
        <w:spacing w:before="120"/>
        <w:jc w:val="both"/>
        <w:rPr>
          <w:rFonts w:eastAsia="Arial" w:cs="Times New Roman"/>
          <w:lang w:eastAsia="en-US"/>
        </w:rPr>
      </w:pPr>
      <w:r w:rsidRPr="00415B4B">
        <w:rPr>
          <w:rFonts w:eastAsia="Arial" w:cs="Times New Roman"/>
          <w:lang w:eastAsia="en-US"/>
        </w:rPr>
        <w:t>Projekt zakłada nowelizację następujących ustaw:</w:t>
      </w:r>
    </w:p>
    <w:p w14:paraId="14AD92B6" w14:textId="77777777" w:rsidR="00673E6D" w:rsidRPr="00415B4B" w:rsidRDefault="00673E6D" w:rsidP="005378F2">
      <w:pPr>
        <w:widowControl/>
        <w:numPr>
          <w:ilvl w:val="0"/>
          <w:numId w:val="25"/>
        </w:numPr>
        <w:autoSpaceDE/>
        <w:autoSpaceDN/>
        <w:adjustRightInd/>
        <w:ind w:left="425" w:hanging="425"/>
        <w:jc w:val="both"/>
        <w:rPr>
          <w:rFonts w:eastAsia="Arial" w:cs="Times New Roman"/>
          <w:lang w:eastAsia="en-US"/>
        </w:rPr>
      </w:pPr>
      <w:r w:rsidRPr="00415B4B">
        <w:rPr>
          <w:rFonts w:eastAsia="Arial" w:cs="Times New Roman"/>
          <w:lang w:eastAsia="en-US"/>
        </w:rPr>
        <w:t xml:space="preserve">ustawy z dnia 17 listopada 1964 r. – Kodeks postępowania cywilnego (Dz. U. z 2024 r. poz. 1568, z późn. zm.); </w:t>
      </w:r>
    </w:p>
    <w:p w14:paraId="61E20D1B" w14:textId="57F977E4" w:rsidR="00673E6D" w:rsidRPr="00415B4B" w:rsidRDefault="00673E6D" w:rsidP="005378F2">
      <w:pPr>
        <w:widowControl/>
        <w:numPr>
          <w:ilvl w:val="0"/>
          <w:numId w:val="25"/>
        </w:numPr>
        <w:autoSpaceDE/>
        <w:autoSpaceDN/>
        <w:adjustRightInd/>
        <w:ind w:left="425" w:hanging="425"/>
        <w:jc w:val="both"/>
        <w:rPr>
          <w:rFonts w:eastAsia="Arial" w:cs="Times New Roman"/>
          <w:lang w:eastAsia="en-US"/>
        </w:rPr>
      </w:pPr>
      <w:r w:rsidRPr="00415B4B">
        <w:rPr>
          <w:rFonts w:eastAsia="Arial" w:cs="Times New Roman"/>
          <w:lang w:eastAsia="en-US"/>
        </w:rPr>
        <w:t xml:space="preserve">ustawy z dnia 17 czerwca 1966 r. o postępowaniu egzekucyjnym w administracji (Dz. U. z </w:t>
      </w:r>
      <w:r w:rsidR="00CF5F7D">
        <w:rPr>
          <w:rFonts w:eastAsia="Arial" w:cs="Times New Roman"/>
          <w:lang w:eastAsia="en-US"/>
        </w:rPr>
        <w:t>2026 r. po. 268</w:t>
      </w:r>
      <w:r w:rsidRPr="00415B4B">
        <w:rPr>
          <w:rFonts w:eastAsia="Arial" w:cs="Times New Roman"/>
          <w:lang w:eastAsia="en-US"/>
        </w:rPr>
        <w:t>);</w:t>
      </w:r>
    </w:p>
    <w:p w14:paraId="381DBF78" w14:textId="18795134" w:rsidR="00673E6D" w:rsidRPr="00415B4B" w:rsidRDefault="00673E6D" w:rsidP="005378F2">
      <w:pPr>
        <w:widowControl/>
        <w:numPr>
          <w:ilvl w:val="0"/>
          <w:numId w:val="25"/>
        </w:numPr>
        <w:autoSpaceDE/>
        <w:autoSpaceDN/>
        <w:adjustRightInd/>
        <w:ind w:left="425" w:hanging="425"/>
        <w:jc w:val="both"/>
        <w:rPr>
          <w:rFonts w:eastAsia="Arial" w:cs="Times New Roman"/>
          <w:szCs w:val="24"/>
          <w:lang w:eastAsia="en-US"/>
        </w:rPr>
      </w:pPr>
      <w:r w:rsidRPr="00415B4B">
        <w:rPr>
          <w:rFonts w:eastAsia="Arial" w:cs="Times New Roman"/>
          <w:szCs w:val="24"/>
          <w:lang w:eastAsia="en-US"/>
        </w:rPr>
        <w:t xml:space="preserve">ustawy z dnia 29 grudnia 1992 r. o radiofonii i telewizji (Dz. U. z 2022 r. poz. 1722, </w:t>
      </w:r>
      <w:bookmarkStart w:id="0" w:name="_Hlk225955452"/>
      <w:r w:rsidRPr="00415B4B">
        <w:rPr>
          <w:rFonts w:eastAsia="Arial" w:cs="Times New Roman"/>
          <w:szCs w:val="24"/>
          <w:lang w:eastAsia="en-US"/>
        </w:rPr>
        <w:t>z późn. zm.</w:t>
      </w:r>
      <w:bookmarkEnd w:id="0"/>
      <w:r w:rsidRPr="00415B4B">
        <w:rPr>
          <w:rFonts w:eastAsia="Arial" w:cs="Times New Roman"/>
          <w:szCs w:val="24"/>
          <w:lang w:eastAsia="en-US"/>
        </w:rPr>
        <w:t xml:space="preserve">); </w:t>
      </w:r>
    </w:p>
    <w:p w14:paraId="68471F54" w14:textId="17C0F465" w:rsidR="00673E6D" w:rsidRPr="00415B4B" w:rsidRDefault="00673E6D" w:rsidP="005378F2">
      <w:pPr>
        <w:widowControl/>
        <w:numPr>
          <w:ilvl w:val="0"/>
          <w:numId w:val="25"/>
        </w:numPr>
        <w:autoSpaceDE/>
        <w:autoSpaceDN/>
        <w:adjustRightInd/>
        <w:ind w:left="425" w:hanging="425"/>
        <w:jc w:val="both"/>
        <w:rPr>
          <w:rFonts w:eastAsia="Arial" w:cs="Times New Roman"/>
          <w:szCs w:val="24"/>
          <w:lang w:eastAsia="en-US"/>
        </w:rPr>
      </w:pPr>
      <w:r w:rsidRPr="00415B4B">
        <w:rPr>
          <w:rFonts w:eastAsia="Arial" w:cs="Times New Roman"/>
          <w:szCs w:val="24"/>
          <w:lang w:eastAsia="en-US"/>
        </w:rPr>
        <w:t>ustawy z dnia 21 sierpnia 1997 r. o ograniczeniu prowadzenia działalności gospodarczej przez osoby pełniące funkcje publiczne (Dz. U. z 2025 r. poz. 499</w:t>
      </w:r>
      <w:r w:rsidR="00CF5F7D">
        <w:rPr>
          <w:rFonts w:eastAsia="Arial" w:cs="Times New Roman"/>
          <w:szCs w:val="24"/>
          <w:lang w:eastAsia="en-US"/>
        </w:rPr>
        <w:t xml:space="preserve">, </w:t>
      </w:r>
      <w:r w:rsidR="00CF5F7D" w:rsidRPr="00415B4B">
        <w:rPr>
          <w:rFonts w:eastAsia="Arial" w:cs="Times New Roman"/>
          <w:szCs w:val="24"/>
          <w:lang w:eastAsia="en-US"/>
        </w:rPr>
        <w:t>z późn. zm.</w:t>
      </w:r>
      <w:r w:rsidRPr="00415B4B">
        <w:rPr>
          <w:rFonts w:eastAsia="Arial" w:cs="Times New Roman"/>
          <w:szCs w:val="24"/>
          <w:lang w:eastAsia="en-US"/>
        </w:rPr>
        <w:t>);</w:t>
      </w:r>
    </w:p>
    <w:p w14:paraId="0B89D753" w14:textId="29D1BE12" w:rsidR="00673E6D" w:rsidRPr="00415B4B" w:rsidRDefault="00673E6D" w:rsidP="005378F2">
      <w:pPr>
        <w:widowControl/>
        <w:numPr>
          <w:ilvl w:val="0"/>
          <w:numId w:val="25"/>
        </w:numPr>
        <w:autoSpaceDE/>
        <w:autoSpaceDN/>
        <w:adjustRightInd/>
        <w:ind w:left="283" w:hanging="357"/>
        <w:jc w:val="both"/>
        <w:rPr>
          <w:rFonts w:eastAsia="Arial" w:cs="Times New Roman"/>
          <w:szCs w:val="24"/>
          <w:lang w:eastAsia="en-US"/>
        </w:rPr>
      </w:pPr>
      <w:r w:rsidRPr="00415B4B">
        <w:lastRenderedPageBreak/>
        <w:t>ustawy z dnia 24 maja 2002 r. o Agencji Bezpieczeństwa Wewnętrznego oraz Agencji Wywiadu (Dz. U. z 2025 poz. 902</w:t>
      </w:r>
      <w:r w:rsidR="00CF5F7D">
        <w:t xml:space="preserve">, </w:t>
      </w:r>
      <w:r w:rsidR="00CF5F7D" w:rsidRPr="00415B4B">
        <w:rPr>
          <w:rFonts w:eastAsia="Arial" w:cs="Times New Roman"/>
          <w:szCs w:val="24"/>
          <w:lang w:eastAsia="en-US"/>
        </w:rPr>
        <w:t>z późn. zm.</w:t>
      </w:r>
      <w:r w:rsidRPr="00415B4B">
        <w:t>);</w:t>
      </w:r>
    </w:p>
    <w:p w14:paraId="42163DA7" w14:textId="45D3FE26" w:rsidR="00673E6D" w:rsidRPr="00415B4B" w:rsidRDefault="00673E6D" w:rsidP="005378F2">
      <w:pPr>
        <w:widowControl/>
        <w:numPr>
          <w:ilvl w:val="0"/>
          <w:numId w:val="25"/>
        </w:numPr>
        <w:autoSpaceDE/>
        <w:autoSpaceDN/>
        <w:adjustRightInd/>
        <w:ind w:left="283" w:hanging="357"/>
        <w:jc w:val="both"/>
        <w:rPr>
          <w:rFonts w:eastAsia="Arial" w:cs="Times New Roman"/>
          <w:szCs w:val="24"/>
          <w:lang w:eastAsia="en-US"/>
        </w:rPr>
      </w:pPr>
      <w:r w:rsidRPr="00415B4B">
        <w:rPr>
          <w:rFonts w:eastAsia="Arial" w:cs="Times New Roman"/>
          <w:szCs w:val="24"/>
          <w:lang w:eastAsia="en-US"/>
        </w:rPr>
        <w:t>ustawy z dnia 28 lipca 2025 r. o kosztach sądowych w sprawach cywilnych (Dz. U. z 202</w:t>
      </w:r>
      <w:r w:rsidR="00CF5F7D">
        <w:rPr>
          <w:rFonts w:eastAsia="Arial" w:cs="Times New Roman"/>
          <w:szCs w:val="24"/>
          <w:lang w:eastAsia="en-US"/>
        </w:rPr>
        <w:t>5</w:t>
      </w:r>
      <w:r w:rsidRPr="00415B4B">
        <w:rPr>
          <w:rFonts w:eastAsia="Arial" w:cs="Times New Roman"/>
          <w:szCs w:val="24"/>
          <w:lang w:eastAsia="en-US"/>
        </w:rPr>
        <w:t xml:space="preserve"> r. poz. </w:t>
      </w:r>
      <w:r w:rsidR="00CF5F7D">
        <w:rPr>
          <w:rFonts w:eastAsia="Arial" w:cs="Times New Roman"/>
          <w:szCs w:val="24"/>
          <w:lang w:eastAsia="en-US"/>
        </w:rPr>
        <w:t>1228</w:t>
      </w:r>
      <w:r w:rsidRPr="00415B4B">
        <w:rPr>
          <w:rFonts w:eastAsia="Arial" w:cs="Times New Roman"/>
          <w:szCs w:val="24"/>
          <w:lang w:eastAsia="en-US"/>
        </w:rPr>
        <w:t>, z późn. zm.)</w:t>
      </w:r>
      <w:r w:rsidR="00FC00D3">
        <w:rPr>
          <w:rFonts w:eastAsia="Arial" w:cs="Times New Roman"/>
          <w:szCs w:val="24"/>
          <w:lang w:eastAsia="en-US"/>
        </w:rPr>
        <w:t>;</w:t>
      </w:r>
    </w:p>
    <w:p w14:paraId="6A4819D7" w14:textId="559CE2A1" w:rsidR="00673E6D" w:rsidRPr="00415B4B" w:rsidRDefault="00673E6D" w:rsidP="005378F2">
      <w:pPr>
        <w:widowControl/>
        <w:numPr>
          <w:ilvl w:val="0"/>
          <w:numId w:val="25"/>
        </w:numPr>
        <w:autoSpaceDE/>
        <w:autoSpaceDN/>
        <w:adjustRightInd/>
        <w:ind w:left="283" w:hanging="357"/>
        <w:jc w:val="both"/>
        <w:rPr>
          <w:rFonts w:eastAsia="Arial" w:cs="Times New Roman"/>
          <w:szCs w:val="24"/>
          <w:lang w:eastAsia="en-US"/>
        </w:rPr>
      </w:pPr>
      <w:r w:rsidRPr="00415B4B">
        <w:rPr>
          <w:rFonts w:eastAsia="Arial" w:cs="Times New Roman"/>
          <w:szCs w:val="24"/>
          <w:lang w:eastAsia="en-US"/>
        </w:rPr>
        <w:t>ustawy z dnia 21 lipca 2006 r. o nadzorze nad rynkiem finansowym (Dz. U. z 202</w:t>
      </w:r>
      <w:r w:rsidR="00CF5F7D">
        <w:rPr>
          <w:rFonts w:eastAsia="Arial" w:cs="Times New Roman"/>
          <w:szCs w:val="24"/>
          <w:lang w:eastAsia="en-US"/>
        </w:rPr>
        <w:t>5</w:t>
      </w:r>
      <w:r w:rsidRPr="00415B4B">
        <w:rPr>
          <w:rFonts w:eastAsia="Arial" w:cs="Times New Roman"/>
          <w:szCs w:val="24"/>
          <w:lang w:eastAsia="en-US"/>
        </w:rPr>
        <w:t xml:space="preserve"> r. poz. </w:t>
      </w:r>
      <w:r w:rsidR="00CF5F7D">
        <w:rPr>
          <w:rFonts w:eastAsia="Arial" w:cs="Times New Roman"/>
          <w:szCs w:val="24"/>
          <w:lang w:eastAsia="en-US"/>
        </w:rPr>
        <w:t>640</w:t>
      </w:r>
      <w:r w:rsidRPr="00415B4B">
        <w:rPr>
          <w:rFonts w:eastAsia="Arial" w:cs="Times New Roman"/>
          <w:szCs w:val="24"/>
          <w:lang w:eastAsia="en-US"/>
        </w:rPr>
        <w:t>, z późn. zm.);</w:t>
      </w:r>
    </w:p>
    <w:p w14:paraId="6B1435B4" w14:textId="3EF865FA" w:rsidR="00673E6D" w:rsidRPr="00415B4B" w:rsidRDefault="00673E6D" w:rsidP="005378F2">
      <w:pPr>
        <w:widowControl/>
        <w:numPr>
          <w:ilvl w:val="0"/>
          <w:numId w:val="25"/>
        </w:numPr>
        <w:autoSpaceDE/>
        <w:autoSpaceDN/>
        <w:adjustRightInd/>
        <w:ind w:left="283" w:hanging="357"/>
        <w:jc w:val="both"/>
        <w:rPr>
          <w:rFonts w:eastAsia="Arial" w:cs="Times New Roman"/>
          <w:szCs w:val="24"/>
          <w:lang w:eastAsia="en-US"/>
        </w:rPr>
      </w:pPr>
      <w:r w:rsidRPr="00415B4B">
        <w:rPr>
          <w:rFonts w:eastAsia="Arial" w:cs="Times New Roman"/>
          <w:szCs w:val="24"/>
          <w:lang w:eastAsia="en-US"/>
        </w:rPr>
        <w:t>ustawy z dnia 10 maja 2018 r. o ochronie danych osobowych (Dz. U. z 2019 r. poz. 1781</w:t>
      </w:r>
      <w:r w:rsidR="00CF5F7D" w:rsidRPr="00CF5F7D">
        <w:t xml:space="preserve"> </w:t>
      </w:r>
      <w:r w:rsidR="00CF5F7D" w:rsidRPr="00CF5F7D">
        <w:rPr>
          <w:rFonts w:eastAsia="Arial" w:cs="Times New Roman"/>
          <w:szCs w:val="24"/>
          <w:lang w:eastAsia="en-US"/>
        </w:rPr>
        <w:t>z późn. zm.</w:t>
      </w:r>
      <w:r w:rsidRPr="00415B4B">
        <w:rPr>
          <w:rFonts w:eastAsia="Arial" w:cs="Times New Roman"/>
          <w:szCs w:val="24"/>
          <w:lang w:eastAsia="en-US"/>
        </w:rPr>
        <w:t xml:space="preserve">); </w:t>
      </w:r>
    </w:p>
    <w:p w14:paraId="015D2A1D" w14:textId="67DCBBB0" w:rsidR="00673E6D" w:rsidRPr="00415B4B" w:rsidRDefault="00673E6D" w:rsidP="005378F2">
      <w:pPr>
        <w:widowControl/>
        <w:numPr>
          <w:ilvl w:val="0"/>
          <w:numId w:val="25"/>
        </w:numPr>
        <w:autoSpaceDE/>
        <w:autoSpaceDN/>
        <w:adjustRightInd/>
        <w:ind w:left="283" w:hanging="357"/>
        <w:jc w:val="both"/>
        <w:rPr>
          <w:rFonts w:eastAsia="Arial" w:cs="Times New Roman"/>
          <w:szCs w:val="24"/>
          <w:lang w:eastAsia="en-US"/>
        </w:rPr>
      </w:pPr>
      <w:r w:rsidRPr="00415B4B">
        <w:rPr>
          <w:rFonts w:eastAsia="Arial" w:cs="Times New Roman"/>
          <w:szCs w:val="24"/>
          <w:lang w:eastAsia="en-US"/>
        </w:rPr>
        <w:t>ustawy z dnia 5 lipca 2018 r. o krajowym systemie cyberbezpieczeństwa (Dz. U. z 2026 r. poz. 20</w:t>
      </w:r>
      <w:r w:rsidR="00CF5F7D" w:rsidRPr="00CF5F7D">
        <w:t xml:space="preserve"> </w:t>
      </w:r>
      <w:r w:rsidR="00CF5F7D" w:rsidRPr="00CF5F7D">
        <w:rPr>
          <w:rFonts w:eastAsia="Arial" w:cs="Times New Roman"/>
          <w:szCs w:val="24"/>
          <w:lang w:eastAsia="en-US"/>
        </w:rPr>
        <w:t>z późn. zm.</w:t>
      </w:r>
      <w:r w:rsidRPr="00415B4B">
        <w:rPr>
          <w:rFonts w:eastAsia="Arial" w:cs="Times New Roman"/>
          <w:szCs w:val="24"/>
          <w:lang w:eastAsia="en-US"/>
        </w:rPr>
        <w:t>).</w:t>
      </w:r>
    </w:p>
    <w:p w14:paraId="6E25476A" w14:textId="77777777"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Zmiany mają na celu dostosowanie aktualnego systemu prawnego do regulacji wprowadzanych tą ustawą.</w:t>
      </w:r>
    </w:p>
    <w:p w14:paraId="2731A625" w14:textId="77777777"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 xml:space="preserve">Najbardziej istotna zmiana dotyczy przepisów Kodeksu postępowania cywilnego. Projektowana zmiana polega na dodaniu nowego działu </w:t>
      </w:r>
      <w:proofErr w:type="spellStart"/>
      <w:r w:rsidRPr="00415B4B">
        <w:rPr>
          <w:rFonts w:eastAsia="Arial" w:cs="Times New Roman"/>
          <w:szCs w:val="24"/>
          <w:lang w:eastAsia="en-US"/>
        </w:rPr>
        <w:t>IVfa</w:t>
      </w:r>
      <w:proofErr w:type="spellEnd"/>
      <w:r w:rsidRPr="00415B4B">
        <w:rPr>
          <w:rFonts w:eastAsia="Arial" w:cs="Times New Roman"/>
          <w:szCs w:val="24"/>
          <w:lang w:eastAsia="en-US"/>
        </w:rPr>
        <w:t xml:space="preserve"> w tytule VII księgi pierwszej części pierwszej kodeksu. Nowelizacja ta wynika z potrzeby zapewnienia skutecznych i zgodnych z konstytucyjnymi standardami mechanizmów sądowej kontroli decyzji organu nadzorczego, jakim będzie Komisja Rozwoju i Bezpieczeństwa Sztucznej Inteligencji. Wprowadzenie odrębnych przepisów proceduralnych w tym zakresie stanowi odpowiedź projektodawcy na nowe wyzwania prawne i technologiczne związane z dynamicznym rozwojem i wdrażaniem systemów sztucznej inteligencji w życiu publicznym i gospodarczym.</w:t>
      </w:r>
    </w:p>
    <w:p w14:paraId="36BFA964"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rial" w:cs="Times New Roman"/>
          <w:szCs w:val="24"/>
          <w:lang w:eastAsia="en-US"/>
        </w:rPr>
        <w:t xml:space="preserve">Z uwagi na złożoność spraw związanych z oceną zgodności systemów sztucznej inteligencji z regulacjami prawa unijnego i krajowego, projekt przewiduje, że rozpoznawaniem </w:t>
      </w:r>
      <w:proofErr w:type="spellStart"/>
      <w:r w:rsidRPr="00415B4B">
        <w:rPr>
          <w:rFonts w:eastAsia="Arial" w:cs="Times New Roman"/>
          <w:szCs w:val="24"/>
          <w:lang w:eastAsia="en-US"/>
        </w:rPr>
        <w:t>odwołań</w:t>
      </w:r>
      <w:proofErr w:type="spellEnd"/>
      <w:r w:rsidRPr="00415B4B">
        <w:rPr>
          <w:rFonts w:eastAsia="Arial" w:cs="Times New Roman"/>
          <w:szCs w:val="24"/>
          <w:lang w:eastAsia="en-US"/>
        </w:rPr>
        <w:t xml:space="preserve"> od decyzji oraz zażaleń na postanowienia Komisji zajmować się będzie Sąd Okręgowy w Warszawie – sąd ochrony konkurencji i konsumentów. Wybór tego sądu uzasadniony jest jego wyspecjalizowaną kompetencją w sprawach gospodarczych, regulacyjnych i administracyjnoprawnych o charakterze publicznoprawnym. Takie rozwiązanie zapewnia także jednolitość orzecznictwa i koncentrację spraw, co sprzyja efektywności i spójności postępowania sądowego.</w:t>
      </w:r>
    </w:p>
    <w:p w14:paraId="71D233E5" w14:textId="77777777"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Uregulowanie trybu wniesienia odwołania (art. 479</w:t>
      </w:r>
      <w:r w:rsidRPr="00415B4B">
        <w:rPr>
          <w:rStyle w:val="IGindeksgrny"/>
        </w:rPr>
        <w:t>88b–c</w:t>
      </w:r>
      <w:r w:rsidRPr="00415B4B">
        <w:rPr>
          <w:rFonts w:eastAsia="Arial" w:cs="Times New Roman"/>
          <w:szCs w:val="24"/>
          <w:lang w:eastAsia="en-US"/>
        </w:rPr>
        <w:t xml:space="preserve">) opiera się na modelu pośrednictwa Komisji, która przekazuje odwołanie wraz z aktami sprawy do właściwego sądu. Jednocześnie projekt przewiduje możliwość autokontroli decyzji przez Komisję, jeśli uzna ona zarzuty odwołania za zasadne w całości. Umożliwia to szybkie zakończenie sporu bez angażowania sądu, przy jednoczesnym zachowaniu prawa strony do ponownego wniesienia odwołania od </w:t>
      </w:r>
      <w:r w:rsidRPr="00415B4B">
        <w:rPr>
          <w:rFonts w:eastAsia="Arial" w:cs="Times New Roman"/>
          <w:szCs w:val="24"/>
          <w:lang w:eastAsia="en-US"/>
        </w:rPr>
        <w:lastRenderedPageBreak/>
        <w:t>nowej decyzji. Rozwiązanie to odciąża sądy i promuje efektywne rozwiązywanie spraw na poziomie organu administracyjnego.</w:t>
      </w:r>
    </w:p>
    <w:p w14:paraId="281DDED7"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rial" w:cs="Times New Roman"/>
          <w:szCs w:val="24"/>
          <w:lang w:eastAsia="en-US"/>
        </w:rPr>
        <w:t>W art. 479</w:t>
      </w:r>
      <w:r w:rsidRPr="00415B4B">
        <w:rPr>
          <w:rStyle w:val="IGindeksgrny"/>
        </w:rPr>
        <w:t>88d</w:t>
      </w:r>
      <w:r w:rsidRPr="00415B4B">
        <w:rPr>
          <w:rFonts w:eastAsia="Arial" w:cs="Times New Roman"/>
          <w:szCs w:val="24"/>
          <w:lang w:eastAsia="en-US"/>
        </w:rPr>
        <w:t xml:space="preserve"> określono, jakie elementy powinno zawierać odwołanie. Przepis ten ma na celu zapewnienie jasności zarzutów i przejrzystości argumentacji procesowej.</w:t>
      </w:r>
    </w:p>
    <w:p w14:paraId="1CFAA152"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rial" w:cs="Times New Roman"/>
          <w:szCs w:val="24"/>
          <w:lang w:eastAsia="en-US"/>
        </w:rPr>
        <w:t>W art. 479</w:t>
      </w:r>
      <w:r w:rsidRPr="00415B4B">
        <w:rPr>
          <w:rStyle w:val="IGindeksgrny"/>
        </w:rPr>
        <w:t xml:space="preserve">88e </w:t>
      </w:r>
      <w:r w:rsidRPr="00415B4B">
        <w:rPr>
          <w:rFonts w:eastAsia="Arial" w:cs="Times New Roman"/>
          <w:szCs w:val="24"/>
          <w:lang w:eastAsia="en-US"/>
        </w:rPr>
        <w:t xml:space="preserve">jednoznacznie określono krąg stron postępowania przed sądem – są nimi zarówno Komisja, jak i podmiot, wobec którego wydano decyzję. Dodatkowo przyznano Komisji prawo reprezentacji przez pracowników </w:t>
      </w:r>
      <w:r w:rsidRPr="00415B4B">
        <w:rPr>
          <w:rFonts w:eastAsia="Times New Roman" w:cs="Times New Roman"/>
          <w:bCs/>
          <w:lang w:eastAsia="en-US"/>
        </w:rPr>
        <w:t>urzędu obsługującego ministra właściwego do spraw informatyzacji</w:t>
      </w:r>
      <w:r w:rsidRPr="00415B4B">
        <w:rPr>
          <w:rFonts w:eastAsia="Arial" w:cs="Times New Roman"/>
          <w:szCs w:val="24"/>
          <w:lang w:eastAsia="en-US"/>
        </w:rPr>
        <w:t>, co zwiększa sprawność postępowania i odciąża Prokuratorię Generalną RP. Uregulowanie to jest zgodne z tendencją legislacyjną przyznającą wyspecjalizowanym organom administracyjnym kompetencje do samodzielnego występowania przed sądem.</w:t>
      </w:r>
    </w:p>
    <w:p w14:paraId="560B77A4" w14:textId="77777777"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rial" w:cs="Times New Roman"/>
          <w:szCs w:val="24"/>
          <w:lang w:eastAsia="en-US"/>
        </w:rPr>
        <w:t>Art. 479</w:t>
      </w:r>
      <w:r w:rsidRPr="00415B4B">
        <w:rPr>
          <w:rStyle w:val="IGindeksgrny"/>
        </w:rPr>
        <w:t>88f</w:t>
      </w:r>
      <w:r w:rsidRPr="00415B4B">
        <w:rPr>
          <w:rFonts w:eastAsia="Arial" w:cs="Times New Roman"/>
          <w:szCs w:val="24"/>
          <w:lang w:eastAsia="en-US"/>
        </w:rPr>
        <w:t xml:space="preserve"> normuje sposób rozpoznania </w:t>
      </w:r>
      <w:proofErr w:type="spellStart"/>
      <w:r w:rsidRPr="00415B4B">
        <w:rPr>
          <w:rFonts w:eastAsia="Arial" w:cs="Times New Roman"/>
          <w:szCs w:val="24"/>
          <w:lang w:eastAsia="en-US"/>
        </w:rPr>
        <w:t>odwołań</w:t>
      </w:r>
      <w:proofErr w:type="spellEnd"/>
      <w:r w:rsidRPr="00415B4B">
        <w:rPr>
          <w:rFonts w:eastAsia="Arial" w:cs="Times New Roman"/>
          <w:szCs w:val="24"/>
          <w:lang w:eastAsia="en-US"/>
        </w:rPr>
        <w:t>, sąd może je oddalić, odrzucić lub uwzględnić, uchylając lub zmieniając zaskarżoną decyzję. Jednocześnie sąd ma obowiązek stwierdzić, czy decyzja została wydana bez podstawy prawnej lub z rażącym naruszeniem prawa, co stanowi dodatkowy mechanizm kontroli legalności działania organu nadzorczego.</w:t>
      </w:r>
    </w:p>
    <w:p w14:paraId="10F9B8E8" w14:textId="7EAF11DA" w:rsidR="00673E6D" w:rsidRPr="00415B4B" w:rsidRDefault="00673E6D" w:rsidP="005378F2">
      <w:pPr>
        <w:widowControl/>
        <w:autoSpaceDE/>
        <w:autoSpaceDN/>
        <w:adjustRightInd/>
        <w:spacing w:before="120"/>
        <w:jc w:val="both"/>
        <w:rPr>
          <w:rFonts w:ascii="Aptos" w:eastAsia="Aptos" w:hAnsi="Aptos"/>
          <w:szCs w:val="24"/>
          <w:lang w:eastAsia="en-US"/>
        </w:rPr>
      </w:pPr>
      <w:r w:rsidRPr="00415B4B">
        <w:rPr>
          <w:rFonts w:eastAsia="Arial" w:cs="Times New Roman"/>
          <w:szCs w:val="24"/>
          <w:lang w:eastAsia="en-US"/>
        </w:rPr>
        <w:t>W art. 479</w:t>
      </w:r>
      <w:r w:rsidRPr="00415B4B">
        <w:rPr>
          <w:rStyle w:val="IGindeksgrny"/>
        </w:rPr>
        <w:t xml:space="preserve">88g </w:t>
      </w:r>
      <w:r w:rsidRPr="00415B4B">
        <w:rPr>
          <w:rFonts w:eastAsia="Arial" w:cs="Times New Roman"/>
          <w:szCs w:val="24"/>
          <w:lang w:eastAsia="en-US"/>
        </w:rPr>
        <w:t>zawarto szczegółowe regulacje dotyczące ochrony tajemnic prawnie chronionych w toku postępowania sądowego. Z uwagi na charakter spraw z zakresu systemów sztucznej inteligencji, które często dotyczą danych technicznych, handlowych, algorytmicznych oraz know</w:t>
      </w:r>
      <w:r w:rsidR="00FC00D3">
        <w:rPr>
          <w:rFonts w:eastAsia="Arial" w:cs="Times New Roman"/>
          <w:szCs w:val="24"/>
          <w:lang w:eastAsia="en-US"/>
        </w:rPr>
        <w:t>-</w:t>
      </w:r>
      <w:r w:rsidRPr="00415B4B">
        <w:rPr>
          <w:rFonts w:eastAsia="Arial" w:cs="Times New Roman"/>
          <w:szCs w:val="24"/>
          <w:lang w:eastAsia="en-US"/>
        </w:rPr>
        <w:t>how konieczne było wprowadzenie mechanizmu ochrony tajemnicy przedsiębiorstwa i innych informacji niejawnych. Jednocześnie projekt przyznaje sądowi możliwość udostępnienia tych informacji stronie tylko w wyjątkowych, ściśle określonych przypadkach, przy jednoczesnym wykluczeniu zażalenia na takie postanowienia, co zabezpiecza sprawność postępowania. Wyraźnie wskazano także, że ograniczenia te nie dotyczą samej Komisji, która zachowuje pełny dostęp do materiałów dowodowych.</w:t>
      </w:r>
    </w:p>
    <w:p w14:paraId="57374617" w14:textId="77777777"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Art. 479</w:t>
      </w:r>
      <w:r w:rsidRPr="00415B4B">
        <w:rPr>
          <w:rStyle w:val="IGindeksgrny"/>
        </w:rPr>
        <w:t>88h</w:t>
      </w:r>
      <w:r w:rsidRPr="00415B4B">
        <w:rPr>
          <w:rFonts w:eastAsia="Arial" w:cs="Times New Roman"/>
          <w:szCs w:val="24"/>
          <w:lang w:eastAsia="en-US"/>
        </w:rPr>
        <w:t xml:space="preserve"> przyznaje stronie prawo wniesienia zażalenia na postanowienie Komisji w terminie tygodnia, zapewniając tym samym skuteczną ochronę praw procesowych również w odniesieniu do rozstrzygnięć incydentalnych. Odwołanie do stosowania przepisów dotyczących </w:t>
      </w:r>
      <w:proofErr w:type="spellStart"/>
      <w:r w:rsidRPr="00415B4B">
        <w:rPr>
          <w:rFonts w:eastAsia="Arial" w:cs="Times New Roman"/>
          <w:szCs w:val="24"/>
          <w:lang w:eastAsia="en-US"/>
        </w:rPr>
        <w:t>odwołań</w:t>
      </w:r>
      <w:proofErr w:type="spellEnd"/>
      <w:r w:rsidRPr="00415B4B">
        <w:rPr>
          <w:rFonts w:eastAsia="Arial" w:cs="Times New Roman"/>
          <w:szCs w:val="24"/>
          <w:lang w:eastAsia="en-US"/>
        </w:rPr>
        <w:t xml:space="preserve"> zapewnia spójność i jednolitość proceduralną.</w:t>
      </w:r>
      <w:r w:rsidRPr="00415B4B">
        <w:t xml:space="preserve"> </w:t>
      </w:r>
    </w:p>
    <w:p w14:paraId="7E88C7D4" w14:textId="77777777"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Wreszcie art. 479</w:t>
      </w:r>
      <w:r w:rsidRPr="00415B4B">
        <w:rPr>
          <w:rStyle w:val="IGindeksgrny"/>
        </w:rPr>
        <w:t>88i</w:t>
      </w:r>
      <w:r w:rsidRPr="00415B4B">
        <w:rPr>
          <w:rFonts w:eastAsia="Arial" w:cs="Times New Roman"/>
          <w:szCs w:val="24"/>
          <w:lang w:eastAsia="en-US"/>
        </w:rPr>
        <w:t xml:space="preserve"> stanowi, że od orzeczenia sądu drugiej instancji będzie przysługiwała skarga kasacyjna niezależnie od wartości przedmiotu zaskarżenia.</w:t>
      </w:r>
    </w:p>
    <w:p w14:paraId="60670A4C" w14:textId="1D4CD075" w:rsidR="00673E6D" w:rsidRPr="00415B4B" w:rsidRDefault="00673E6D" w:rsidP="005378F2">
      <w:pPr>
        <w:widowControl/>
        <w:autoSpaceDE/>
        <w:autoSpaceDN/>
        <w:adjustRightInd/>
        <w:spacing w:before="120"/>
        <w:jc w:val="both"/>
        <w:rPr>
          <w:rFonts w:eastAsia="Arial" w:cs="Times New Roman"/>
          <w:szCs w:val="24"/>
          <w:lang w:eastAsia="en-US"/>
        </w:rPr>
      </w:pPr>
      <w:r w:rsidRPr="00415B4B">
        <w:rPr>
          <w:rFonts w:eastAsia="Arial" w:cs="Times New Roman"/>
          <w:szCs w:val="24"/>
          <w:lang w:eastAsia="en-US"/>
        </w:rPr>
        <w:t xml:space="preserve">Wprowadzenie działu </w:t>
      </w:r>
      <w:proofErr w:type="spellStart"/>
      <w:r w:rsidRPr="00415B4B">
        <w:rPr>
          <w:rFonts w:eastAsia="Arial" w:cs="Times New Roman"/>
          <w:szCs w:val="24"/>
          <w:lang w:eastAsia="en-US"/>
        </w:rPr>
        <w:t>IVfa</w:t>
      </w:r>
      <w:proofErr w:type="spellEnd"/>
      <w:r w:rsidRPr="00415B4B">
        <w:rPr>
          <w:rFonts w:eastAsia="Arial" w:cs="Times New Roman"/>
          <w:szCs w:val="24"/>
          <w:lang w:eastAsia="en-US"/>
        </w:rPr>
        <w:t xml:space="preserve"> w Kodeksie postępowania cywilnego ma kluczowe znaczenie dla zapewnienia realnego środka zaskarżenia decyzji administracyjnych w dziedzinie regulacji sztucznej inteligencji. Przepisy te nie tylko zapewniają wykonanie obowiązków wynikających </w:t>
      </w:r>
      <w:r w:rsidRPr="00415B4B">
        <w:rPr>
          <w:rFonts w:eastAsia="Arial" w:cs="Times New Roman"/>
          <w:szCs w:val="24"/>
          <w:lang w:eastAsia="en-US"/>
        </w:rPr>
        <w:lastRenderedPageBreak/>
        <w:t>z prawa unijnego, ale także służą ochronie praw jednostek i podmiotów gospodarczych przed ewentualnymi nadużyciami administracyjnymi. System ten został zaprojektowany z uwzględnieniem zasady proporcjonalności, efektywności postępowania i ochrony informacji wrażliwych, a także z poszanowaniem konstytucyjnych zasad państwa prawa.</w:t>
      </w:r>
    </w:p>
    <w:p w14:paraId="6C02F03B" w14:textId="77777777" w:rsidR="00673E6D" w:rsidRPr="00415B4B" w:rsidRDefault="00673E6D" w:rsidP="005378F2">
      <w:pPr>
        <w:widowControl/>
        <w:autoSpaceDE/>
        <w:autoSpaceDN/>
        <w:adjustRightInd/>
        <w:spacing w:before="120"/>
        <w:jc w:val="both"/>
        <w:rPr>
          <w:rFonts w:eastAsia="Times New Roman" w:cs="Times New Roman"/>
          <w:b/>
          <w:bCs/>
          <w:szCs w:val="24"/>
          <w:lang w:eastAsia="en-US"/>
        </w:rPr>
      </w:pPr>
      <w:r w:rsidRPr="00415B4B">
        <w:rPr>
          <w:rFonts w:eastAsia="Times New Roman" w:cs="Times New Roman"/>
          <w:b/>
          <w:bCs/>
          <w:szCs w:val="24"/>
          <w:lang w:eastAsia="en-US"/>
        </w:rPr>
        <w:t>Rozdział 10 – Przepisy przejściowe i przepis końcowy (art. 120 – art. 122)</w:t>
      </w:r>
    </w:p>
    <w:p w14:paraId="47C6F37B"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Projekt ustawy przewiduje utworzenie Komisji Rozwoju i Bezpieczeństwa Sztucznej Inteligencji jako organu odpowiedzialnego za monitorowanie i wspieranie rozwoju sztucznej inteligencji w sposób bezpieczny i zgodny z interesem publicznym. Sztuczna inteligencja stanowi kluczowy element nowoczesnych technologii i ma istotny wpływ na gospodarkę oraz społeczeństwo, dlatego konieczne jest stworzenie dedykowanego organu, który będzie dbał o jej rozwój zgodnie z zasadami etyki i bezpieczeństwa. Komisja ma pełnić funkcję wspomagającą i kontrolną, dbając o zgodność wdrażanych rozwiązań z regulacjami prawnymi oraz standardami międzynarodowymi.</w:t>
      </w:r>
    </w:p>
    <w:p w14:paraId="36778CD3"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W celu zapewnienia sprawnej działalności Komisji w projekcie wskazano termin powołania jej Przewodniczącego przez Sejm RP za zgodą Senatu RP. Procedura ta gwarantuje demokratyczną legitymizację działania organu i zapewnia, że na jego czele stanie osoba posiadająca odpowiednie kompetencje. Jednocześnie określono termin pierwszego posiedzenia Komisji, które ma się odbyć w ciągu trzech miesięcy od wejścia w życie ustawy. Jest to istotne dla zapewnienia płynnego wdrożenia nowych rozwiązań i niezwłocznego podjęcia prac przez Komisję.</w:t>
      </w:r>
    </w:p>
    <w:p w14:paraId="23625E02" w14:textId="77777777" w:rsidR="00673E6D" w:rsidRPr="00415B4B" w:rsidRDefault="00673E6D" w:rsidP="005378F2">
      <w:pPr>
        <w:pStyle w:val="USTustnpkodeksu"/>
        <w:spacing w:before="120"/>
        <w:ind w:firstLine="0"/>
      </w:pPr>
      <w:r w:rsidRPr="00415B4B">
        <w:t>Mając na uwadze, że Komisja będzie funkcjonowała w urzędzie obsługującym ministra właściwego do spraw informatyzacji, minister został zobowiązanych do podjęcia niezbędnych działań w celu utworzenia w urzędzie komórki organizacyjnej zapewniającej obsługę Komisji i Przewodniczącego Komisji w zakresie ich zadań wynikających z rozporządzenia 2024/ 1689 oraz z ustawy. Rozpoczęcie działalności przez tę komórkę, powinno nastąpić w terminie 2 miesięcy od dnia wejścia w życie ustawy.</w:t>
      </w:r>
    </w:p>
    <w:p w14:paraId="0FBD4706" w14:textId="26E5E083" w:rsidR="00673E6D" w:rsidRPr="00415B4B" w:rsidRDefault="00673E6D" w:rsidP="005378F2">
      <w:pPr>
        <w:pStyle w:val="USTustnpkodeksu"/>
        <w:spacing w:before="120"/>
        <w:ind w:firstLine="0"/>
        <w:rPr>
          <w:rFonts w:eastAsia="Times New Roman" w:cs="Times New Roman"/>
          <w:szCs w:val="24"/>
          <w:lang w:eastAsia="en-US"/>
        </w:rPr>
      </w:pPr>
      <w:r w:rsidRPr="00415B4B">
        <w:rPr>
          <w:rFonts w:eastAsia="Times New Roman" w:cs="Times New Roman"/>
          <w:szCs w:val="24"/>
          <w:lang w:eastAsia="en-US"/>
        </w:rPr>
        <w:t xml:space="preserve">Projekt ustawy przewiduje również maksymalne limity wydatków budżetowych na kolejne lata oraz wprowadzenie mechanizmu korygującego w przypadku zagrożenia ich przekroczeniem. Mechanizm </w:t>
      </w:r>
      <w:r w:rsidRPr="00415B4B">
        <w:rPr>
          <w:rFonts w:eastAsia="Times New Roman"/>
          <w:lang w:eastAsia="en-US"/>
        </w:rPr>
        <w:t xml:space="preserve">korygujący polegający na ograniczeniu kosztów związanych z realizacją zadań wynikających z ustawy </w:t>
      </w:r>
      <w:r w:rsidRPr="00415B4B">
        <w:rPr>
          <w:rFonts w:eastAsia="Times New Roman" w:cs="Times New Roman"/>
          <w:szCs w:val="24"/>
          <w:lang w:eastAsia="en-US"/>
        </w:rPr>
        <w:t>umożliwia</w:t>
      </w:r>
      <w:r w:rsidRPr="00415B4B">
        <w:rPr>
          <w:rFonts w:eastAsia="Times New Roman"/>
          <w:lang w:eastAsia="en-US"/>
        </w:rPr>
        <w:t xml:space="preserve"> elastyczne i skuteczne</w:t>
      </w:r>
      <w:r w:rsidRPr="00415B4B">
        <w:rPr>
          <w:rFonts w:eastAsia="Times New Roman" w:cs="Times New Roman"/>
          <w:szCs w:val="24"/>
          <w:lang w:eastAsia="en-US"/>
        </w:rPr>
        <w:t xml:space="preserve"> ograniczenie kosztów, zapewniając racjonalne gospodarowanie środkami publicznymi. Mechanizm opiera się na obniżeniu limitu wydatków </w:t>
      </w:r>
      <w:r w:rsidR="005B10C1">
        <w:rPr>
          <w:rFonts w:eastAsia="Times New Roman" w:cs="Times New Roman"/>
          <w:szCs w:val="24"/>
          <w:lang w:eastAsia="en-US"/>
        </w:rPr>
        <w:t>–</w:t>
      </w:r>
      <w:r w:rsidRPr="00415B4B">
        <w:rPr>
          <w:rFonts w:eastAsia="Times New Roman" w:cs="Times New Roman"/>
          <w:szCs w:val="24"/>
          <w:lang w:eastAsia="en-US"/>
        </w:rPr>
        <w:t xml:space="preserve"> co automatycznie wymusza redukcję kosztów tych zadań.</w:t>
      </w:r>
    </w:p>
    <w:p w14:paraId="6B5A71EA" w14:textId="77777777" w:rsidR="00673E6D" w:rsidRPr="00415B4B" w:rsidRDefault="00673E6D" w:rsidP="005378F2">
      <w:pPr>
        <w:pStyle w:val="USTustnpkodeksu"/>
        <w:spacing w:before="120"/>
        <w:ind w:firstLine="0"/>
        <w:rPr>
          <w:rFonts w:eastAsia="Times New Roman" w:cs="Times New Roman"/>
          <w:b/>
          <w:szCs w:val="24"/>
          <w:lang w:eastAsia="en-US"/>
        </w:rPr>
      </w:pPr>
      <w:r w:rsidRPr="00415B4B">
        <w:rPr>
          <w:rFonts w:eastAsia="Times New Roman" w:cs="Times New Roman"/>
          <w:szCs w:val="24"/>
          <w:lang w:eastAsia="en-US"/>
        </w:rPr>
        <w:lastRenderedPageBreak/>
        <w:t xml:space="preserve">W przypadku konieczności zastosowania mechanizmu korygującego niezbędna będzie weryfikacja, </w:t>
      </w:r>
      <w:proofErr w:type="spellStart"/>
      <w:r w:rsidRPr="00415B4B">
        <w:rPr>
          <w:rFonts w:eastAsia="Times New Roman" w:cs="Times New Roman"/>
          <w:szCs w:val="24"/>
          <w:lang w:eastAsia="en-US"/>
        </w:rPr>
        <w:t>priorytetyzacja</w:t>
      </w:r>
      <w:proofErr w:type="spellEnd"/>
      <w:r w:rsidRPr="00415B4B">
        <w:rPr>
          <w:rFonts w:eastAsia="Times New Roman" w:cs="Times New Roman"/>
          <w:szCs w:val="24"/>
          <w:lang w:eastAsia="en-US"/>
        </w:rPr>
        <w:t xml:space="preserve"> lub przesuniecie zakresu realizacji niektórych zadań. Mechanizm korygujący nie będzie uchylał obowiązku wynikającego z ustawy, ale będzie </w:t>
      </w:r>
      <w:r w:rsidRPr="00415B4B">
        <w:t xml:space="preserve">modyfikował sposób finansowania tego obowiązku, np. </w:t>
      </w:r>
      <w:r w:rsidRPr="00415B4B">
        <w:rPr>
          <w:rFonts w:eastAsia="Times New Roman" w:cs="Times New Roman"/>
          <w:szCs w:val="24"/>
          <w:lang w:eastAsia="en-US"/>
        </w:rPr>
        <w:t>przesuwając fazy jego realizacji.</w:t>
      </w:r>
    </w:p>
    <w:p w14:paraId="07D11BD1" w14:textId="77777777" w:rsidR="00673E6D" w:rsidRPr="00415B4B" w:rsidRDefault="00673E6D" w:rsidP="005378F2">
      <w:pPr>
        <w:pStyle w:val="USTustnpkodeksu"/>
        <w:spacing w:before="120"/>
        <w:ind w:firstLine="0"/>
        <w:rPr>
          <w:rFonts w:eastAsia="Times New Roman"/>
          <w:lang w:eastAsia="en-US"/>
        </w:rPr>
      </w:pPr>
      <w:r w:rsidRPr="00415B4B">
        <w:rPr>
          <w:rFonts w:eastAsia="Times New Roman" w:cs="Times New Roman"/>
          <w:szCs w:val="24"/>
          <w:lang w:eastAsia="en-US"/>
        </w:rPr>
        <w:t xml:space="preserve">Będzie on dostosowany do priorytetów realizowanych przez Komisję. </w:t>
      </w:r>
    </w:p>
    <w:p w14:paraId="7C24D380"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Nadzór nad finansami sprawuje minister właściwy do spraw informatyzacji, co gwarantuje odpowiednią kontrolę wydatkowania środków publicznych, natomiast Przewodniczący Komisji odpowiada za wdrażanie mechanizmów kontrolnych w celu uniknięcia przekroczenia założonych limitów.</w:t>
      </w:r>
    </w:p>
    <w:p w14:paraId="2BD2C6A5" w14:textId="77777777" w:rsidR="00673E6D" w:rsidRPr="00415B4B" w:rsidRDefault="00673E6D" w:rsidP="005378F2">
      <w:pPr>
        <w:widowControl/>
        <w:autoSpaceDE/>
        <w:autoSpaceDN/>
        <w:adjustRightInd/>
        <w:spacing w:before="120"/>
        <w:jc w:val="both"/>
        <w:rPr>
          <w:rStyle w:val="Ppogrubienie"/>
        </w:rPr>
      </w:pPr>
      <w:bookmarkStart w:id="1" w:name="_Hlk201634515"/>
      <w:r w:rsidRPr="00415B4B">
        <w:rPr>
          <w:rStyle w:val="Ppogrubienie"/>
        </w:rPr>
        <w:t>Termin wejścia w życie przepisów ustawy</w:t>
      </w:r>
    </w:p>
    <w:p w14:paraId="501B6635" w14:textId="5BE2CA6B"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Zachowane zostało wejści</w:t>
      </w:r>
      <w:r w:rsidR="005B10C1">
        <w:rPr>
          <w:rFonts w:eastAsia="Times New Roman" w:cs="Times New Roman"/>
          <w:szCs w:val="24"/>
          <w:lang w:eastAsia="en-US"/>
        </w:rPr>
        <w:t>e</w:t>
      </w:r>
      <w:r w:rsidRPr="00415B4B">
        <w:rPr>
          <w:rFonts w:eastAsia="Times New Roman" w:cs="Times New Roman"/>
          <w:szCs w:val="24"/>
          <w:lang w:eastAsia="en-US"/>
        </w:rPr>
        <w:t xml:space="preserve"> w życie przepisów ustawy zgodne z terminem wejścia w życie przepisów rozporządzenia 2024/1689. </w:t>
      </w:r>
    </w:p>
    <w:p w14:paraId="462CD6EC"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Ustawa wejdzie w życie po upływie 14 dni od dnia ogłoszenia, przy czym przepisy dotyczące powołania organu nadzoru zaczną obowiązywać od dnia następującego po jej ogłoszeniu. Takie rozwiązanie umożliwia sprawne rozpoczęcie organizacji Komisji oraz szybkie wdrożenie działań niezbędnych do uruchomienia pracy nowego organu.</w:t>
      </w:r>
      <w:r w:rsidRPr="00415B4B">
        <w:t xml:space="preserve"> </w:t>
      </w:r>
    </w:p>
    <w:p w14:paraId="413DE324" w14:textId="620B93C7" w:rsidR="00673E6D" w:rsidRPr="00415B4B" w:rsidRDefault="00673E6D" w:rsidP="005378F2">
      <w:pPr>
        <w:widowControl/>
        <w:autoSpaceDE/>
        <w:autoSpaceDN/>
        <w:adjustRightInd/>
        <w:spacing w:before="120"/>
        <w:jc w:val="both"/>
        <w:rPr>
          <w:rFonts w:eastAsia="Times New Roman" w:cs="Times New Roman"/>
          <w:bCs/>
          <w:szCs w:val="24"/>
          <w:lang w:eastAsia="en-US"/>
        </w:rPr>
      </w:pPr>
      <w:r w:rsidRPr="00415B4B">
        <w:rPr>
          <w:rFonts w:eastAsia="Times New Roman" w:cs="Times New Roman"/>
          <w:szCs w:val="24"/>
          <w:lang w:eastAsia="en-US"/>
        </w:rPr>
        <w:t>Jednocze</w:t>
      </w:r>
      <w:r w:rsidR="005B10C1">
        <w:rPr>
          <w:rFonts w:eastAsia="Times New Roman" w:cs="Times New Roman"/>
          <w:szCs w:val="24"/>
          <w:lang w:eastAsia="en-US"/>
        </w:rPr>
        <w:t>ś</w:t>
      </w:r>
      <w:r w:rsidRPr="00415B4B">
        <w:rPr>
          <w:rFonts w:eastAsia="Times New Roman" w:cs="Times New Roman"/>
          <w:szCs w:val="24"/>
          <w:lang w:eastAsia="en-US"/>
        </w:rPr>
        <w:t>nie wyjaśnić należy, że</w:t>
      </w:r>
      <w:r w:rsidRPr="00415B4B">
        <w:rPr>
          <w:rFonts w:eastAsia="Times New Roman" w:cs="Times New Roman"/>
          <w:bCs/>
          <w:szCs w:val="24"/>
          <w:lang w:eastAsia="en-US"/>
        </w:rPr>
        <w:t xml:space="preserve"> w zakresie spraw uregulowanych:</w:t>
      </w:r>
    </w:p>
    <w:p w14:paraId="7E3FB9E3" w14:textId="0B952710" w:rsidR="00673E6D" w:rsidRPr="00415B4B" w:rsidRDefault="00673E6D" w:rsidP="005378F2">
      <w:pPr>
        <w:widowControl/>
        <w:numPr>
          <w:ilvl w:val="0"/>
          <w:numId w:val="24"/>
        </w:numPr>
        <w:autoSpaceDE/>
        <w:autoSpaceDN/>
        <w:adjustRightInd/>
        <w:ind w:left="425" w:hanging="448"/>
        <w:jc w:val="both"/>
        <w:rPr>
          <w:rFonts w:eastAsia="Times New Roman" w:cs="Times New Roman"/>
          <w:szCs w:val="24"/>
          <w:lang w:eastAsia="en-US"/>
        </w:rPr>
      </w:pPr>
      <w:r w:rsidRPr="00415B4B">
        <w:rPr>
          <w:rFonts w:eastAsia="Times New Roman" w:cs="Times New Roman"/>
          <w:szCs w:val="24"/>
          <w:lang w:eastAsia="en-US"/>
        </w:rPr>
        <w:t>w rozdziale III sekcje 1</w:t>
      </w:r>
      <w:r w:rsidR="005B10C1">
        <w:rPr>
          <w:rFonts w:eastAsia="Times New Roman" w:cs="Times New Roman"/>
          <w:szCs w:val="24"/>
          <w:lang w:eastAsia="en-US"/>
        </w:rPr>
        <w:t>–</w:t>
      </w:r>
      <w:r w:rsidRPr="00415B4B">
        <w:rPr>
          <w:rFonts w:eastAsia="Times New Roman" w:cs="Times New Roman"/>
          <w:szCs w:val="24"/>
          <w:lang w:eastAsia="en-US"/>
        </w:rPr>
        <w:t>3 i sekcja 5, rozdziale IV, rozdziale VI, rozdziałach VIII</w:t>
      </w:r>
      <w:r w:rsidR="005B10C1">
        <w:rPr>
          <w:rFonts w:eastAsia="Times New Roman" w:cs="Times New Roman"/>
          <w:szCs w:val="24"/>
          <w:lang w:eastAsia="en-US"/>
        </w:rPr>
        <w:t>–</w:t>
      </w:r>
      <w:r w:rsidRPr="00415B4B">
        <w:rPr>
          <w:rFonts w:eastAsia="Times New Roman" w:cs="Times New Roman"/>
          <w:szCs w:val="24"/>
          <w:lang w:eastAsia="en-US"/>
        </w:rPr>
        <w:t>XI, z wyłączeniem art. 78, oraz w zakresie spraw uregulowanych w art. 101 rozporządzenia z 2024/1689, przepisy ustawy będą obowiązywały od 2 sierpnia 2026 r.;</w:t>
      </w:r>
    </w:p>
    <w:p w14:paraId="6DCB2330" w14:textId="77777777" w:rsidR="00673E6D" w:rsidRPr="00415B4B" w:rsidRDefault="00673E6D" w:rsidP="005378F2">
      <w:pPr>
        <w:widowControl/>
        <w:numPr>
          <w:ilvl w:val="0"/>
          <w:numId w:val="24"/>
        </w:numPr>
        <w:autoSpaceDE/>
        <w:autoSpaceDN/>
        <w:adjustRightInd/>
        <w:ind w:left="425" w:hanging="448"/>
        <w:jc w:val="both"/>
        <w:rPr>
          <w:rFonts w:eastAsia="Times New Roman" w:cs="Times New Roman"/>
          <w:szCs w:val="24"/>
          <w:lang w:eastAsia="en-US"/>
        </w:rPr>
      </w:pPr>
      <w:r w:rsidRPr="00415B4B">
        <w:rPr>
          <w:rFonts w:eastAsia="Times New Roman" w:cs="Times New Roman"/>
          <w:szCs w:val="24"/>
          <w:lang w:eastAsia="en-US"/>
        </w:rPr>
        <w:t>w art. 6 ust. 1 rozporządzenia 2024/1689 i odpowiadających mu obowiązków ustanowionych w tym rozporządzeniu, przepisy ustawy będą obowiązywały od 2 sierpnia 2027 r.</w:t>
      </w:r>
    </w:p>
    <w:p w14:paraId="2511CDAB" w14:textId="77777777" w:rsidR="00673E6D" w:rsidRPr="00415B4B" w:rsidRDefault="00673E6D" w:rsidP="005378F2">
      <w:pPr>
        <w:widowControl/>
        <w:autoSpaceDE/>
        <w:autoSpaceDN/>
        <w:adjustRightInd/>
        <w:spacing w:before="120"/>
        <w:jc w:val="both"/>
        <w:rPr>
          <w:rFonts w:eastAsia="Times New Roman" w:cs="Times New Roman"/>
          <w:szCs w:val="24"/>
          <w:lang w:eastAsia="en-US"/>
        </w:rPr>
      </w:pPr>
      <w:r w:rsidRPr="00415B4B">
        <w:rPr>
          <w:rFonts w:eastAsia="Times New Roman" w:cs="Times New Roman"/>
          <w:szCs w:val="24"/>
          <w:lang w:eastAsia="en-US"/>
        </w:rPr>
        <w:t>Wskazane terminy wynikają wprost z art. 113 rozporządzenia 2024/1689.</w:t>
      </w:r>
    </w:p>
    <w:bookmarkEnd w:id="1"/>
    <w:p w14:paraId="370BDBE2" w14:textId="77777777" w:rsidR="00673E6D" w:rsidRPr="00415B4B" w:rsidRDefault="00673E6D" w:rsidP="005378F2">
      <w:pPr>
        <w:widowControl/>
        <w:suppressAutoHyphens/>
        <w:autoSpaceDE/>
        <w:autoSpaceDN/>
        <w:adjustRightInd/>
        <w:spacing w:before="120"/>
        <w:jc w:val="both"/>
        <w:rPr>
          <w:rFonts w:eastAsia="Times New Roman" w:cs="Times New Roman"/>
          <w:bCs/>
        </w:rPr>
      </w:pPr>
      <w:r w:rsidRPr="00415B4B">
        <w:rPr>
          <w:rFonts w:eastAsia="Times New Roman" w:cs="Times New Roman"/>
          <w:bCs/>
        </w:rPr>
        <w:t>Projekt zapewnia sprawną organizację i finansowanie Komisji oraz urzędu obsługującego ministra właściwego do spraw informatyzacji, umożliwiając efektywne zarządzanie rozwojem sztucznej inteligencji w Polsce. Tworzy on stabilne ramy prawne, organizacyjne i finansowe dla działalności Komisji, co pozwoli na skuteczne monitorowanie rozwoju sztucznej inteligencji i minimalizowanie związanych z nią zagrożeń. Wdrożenie ustawy stanowi istotny krok w kierunku nowoczesnej i odpowiedzialnej polityki państwa wobec dynamicznie rozwijających się technologii cyfrowych.</w:t>
      </w:r>
    </w:p>
    <w:p w14:paraId="5CFF40DF" w14:textId="77777777" w:rsidR="00673E6D" w:rsidRPr="00415B4B" w:rsidRDefault="00673E6D" w:rsidP="005378F2">
      <w:pPr>
        <w:widowControl/>
        <w:suppressAutoHyphens/>
        <w:autoSpaceDE/>
        <w:autoSpaceDN/>
        <w:adjustRightInd/>
        <w:spacing w:before="120"/>
        <w:jc w:val="both"/>
        <w:rPr>
          <w:rFonts w:eastAsia="Times New Roman" w:cs="Times New Roman"/>
          <w:bCs/>
          <w:lang w:eastAsia="en-US"/>
        </w:rPr>
      </w:pPr>
      <w:r w:rsidRPr="00415B4B">
        <w:rPr>
          <w:rFonts w:eastAsia="Times New Roman" w:cs="Times New Roman"/>
          <w:bCs/>
          <w:lang w:eastAsia="en-US"/>
        </w:rPr>
        <w:lastRenderedPageBreak/>
        <w:t>Projekt ustawy nie zawiera przepisów technicznych w rozumieniu przepisów rozporządzenia Rady Ministrów z dnia 23 grudnia 2002 r. w sprawie sposobu funkcjonowania krajowego systemu notyfikacji norm i aktów prawnych (Dz. U. poz. 2039, z późn. zm.) i w związku z tym nie podlega procedurze notyfikacji.</w:t>
      </w:r>
    </w:p>
    <w:p w14:paraId="476887B3" w14:textId="4AF47B12" w:rsidR="00673E6D" w:rsidRPr="00415B4B" w:rsidRDefault="00673E6D" w:rsidP="005378F2">
      <w:pPr>
        <w:widowControl/>
        <w:suppressAutoHyphens/>
        <w:autoSpaceDE/>
        <w:autoSpaceDN/>
        <w:adjustRightInd/>
        <w:spacing w:before="120"/>
        <w:ind w:right="9"/>
        <w:jc w:val="both"/>
        <w:rPr>
          <w:rFonts w:eastAsia="Times New Roman" w:cs="Times New Roman"/>
          <w:bCs/>
          <w:lang w:eastAsia="en-US"/>
        </w:rPr>
      </w:pPr>
      <w:r w:rsidRPr="00415B4B">
        <w:rPr>
          <w:rFonts w:eastAsia="Times New Roman" w:cs="Times New Roman"/>
          <w:bCs/>
          <w:lang w:eastAsia="en-US"/>
        </w:rPr>
        <w:t>W związku z art. 68–70 ustawy z dnia 6 marca 2018 r. – Prawo przedsiębiorców należy zaznaczyć, że projektowana ustawa, nakładając nowe obowiązki na przedsiębiorców będzie miała wpływ na działalność mikro</w:t>
      </w:r>
      <w:r w:rsidR="005B10C1">
        <w:rPr>
          <w:rFonts w:eastAsia="Times New Roman" w:cs="Times New Roman"/>
          <w:bCs/>
          <w:lang w:eastAsia="en-US"/>
        </w:rPr>
        <w:t>-</w:t>
      </w:r>
      <w:r w:rsidRPr="00415B4B">
        <w:rPr>
          <w:rFonts w:eastAsia="Times New Roman" w:cs="Times New Roman"/>
          <w:bCs/>
          <w:lang w:eastAsia="en-US"/>
        </w:rPr>
        <w:t xml:space="preserve"> oraz małych i średnich przedsiębiorców. Projektowana ustawa ogranicza się jednak do nałożenia obowiązków niezbędnych do osiągnięcia celów rozporządzenia 2024/1689. </w:t>
      </w:r>
    </w:p>
    <w:p w14:paraId="102AABF5" w14:textId="77777777" w:rsidR="00673E6D" w:rsidRPr="00415B4B" w:rsidRDefault="00673E6D" w:rsidP="005378F2">
      <w:pPr>
        <w:widowControl/>
        <w:suppressAutoHyphens/>
        <w:autoSpaceDE/>
        <w:autoSpaceDN/>
        <w:adjustRightInd/>
        <w:spacing w:before="120"/>
        <w:jc w:val="both"/>
        <w:rPr>
          <w:rFonts w:eastAsia="Times New Roman" w:cs="Times New Roman"/>
          <w:bCs/>
          <w:szCs w:val="24"/>
          <w:lang w:eastAsia="en-US"/>
        </w:rPr>
      </w:pPr>
      <w:r w:rsidRPr="00415B4B">
        <w:rPr>
          <w:rFonts w:eastAsia="Times New Roman" w:cs="Times New Roman"/>
          <w:bCs/>
          <w:szCs w:val="24"/>
          <w:lang w:eastAsia="en-US"/>
        </w:rPr>
        <w:t>Projekt ustawy jest zgodny z przepisami prawa Unii Europejskiej i służy ich stosowaniu.</w:t>
      </w:r>
    </w:p>
    <w:p w14:paraId="501385E2" w14:textId="77777777" w:rsidR="00673E6D" w:rsidRPr="00415B4B" w:rsidRDefault="00673E6D" w:rsidP="005378F2">
      <w:pPr>
        <w:widowControl/>
        <w:suppressAutoHyphens/>
        <w:autoSpaceDE/>
        <w:autoSpaceDN/>
        <w:adjustRightInd/>
        <w:spacing w:before="120"/>
        <w:jc w:val="both"/>
        <w:rPr>
          <w:rFonts w:eastAsia="Times New Roman" w:cs="Times New Roman"/>
          <w:bCs/>
          <w:szCs w:val="24"/>
          <w:lang w:eastAsia="en-US"/>
        </w:rPr>
      </w:pPr>
      <w:r w:rsidRPr="00415B4B">
        <w:rPr>
          <w:rFonts w:eastAsia="Times New Roman" w:cs="Times New Roman"/>
          <w:bCs/>
          <w:szCs w:val="24"/>
          <w:lang w:eastAsia="en-US"/>
        </w:rPr>
        <w:t xml:space="preserve">Projekt ustawy nie podlega przedstawieniu właściwym organom i instytucjom Unii Europejskiej, w tym Europejskiemu Bankowi Centralnemu, w celu uzyskania opinii, dokonania powiadomienia, konsultacji albo uzgodnienia. </w:t>
      </w:r>
    </w:p>
    <w:p w14:paraId="2F9F97DE" w14:textId="20223310" w:rsidR="008E70DC" w:rsidRDefault="00673E6D" w:rsidP="005378F2">
      <w:pPr>
        <w:widowControl/>
        <w:suppressAutoHyphens/>
        <w:autoSpaceDE/>
        <w:autoSpaceDN/>
        <w:adjustRightInd/>
        <w:spacing w:before="120"/>
        <w:jc w:val="both"/>
      </w:pPr>
      <w:r w:rsidRPr="00415B4B">
        <w:rPr>
          <w:rFonts w:eastAsia="Times New Roman" w:cs="Times New Roman"/>
          <w:bCs/>
          <w:szCs w:val="24"/>
          <w:lang w:eastAsia="en-US"/>
        </w:rPr>
        <w:t>Projekt ustawy stosownie do wymogów art. 5 ustawy z dnia 7 lipca 2005 r. o działalności lobbingowej w procesie stanowienia prawa (Dz. U. z 2025 r. poz. 677</w:t>
      </w:r>
      <w:r w:rsidR="00FD1543">
        <w:rPr>
          <w:rFonts w:eastAsia="Times New Roman" w:cs="Times New Roman"/>
          <w:bCs/>
          <w:szCs w:val="24"/>
          <w:lang w:eastAsia="en-US"/>
        </w:rPr>
        <w:t>,</w:t>
      </w:r>
      <w:r w:rsidR="00CF5F7D" w:rsidRPr="00CF5F7D">
        <w:t xml:space="preserve"> </w:t>
      </w:r>
      <w:r w:rsidR="00CF5F7D" w:rsidRPr="00CF5F7D">
        <w:rPr>
          <w:rFonts w:eastAsia="Times New Roman" w:cs="Times New Roman"/>
          <w:bCs/>
          <w:szCs w:val="24"/>
          <w:lang w:eastAsia="en-US"/>
        </w:rPr>
        <w:t>z późn. zm.</w:t>
      </w:r>
      <w:r w:rsidRPr="00415B4B">
        <w:rPr>
          <w:rFonts w:eastAsia="Times New Roman" w:cs="Times New Roman"/>
          <w:bCs/>
          <w:szCs w:val="24"/>
          <w:lang w:eastAsia="en-US"/>
        </w:rPr>
        <w:t xml:space="preserve">) oraz zgodnie z § 52 ust. 1 uchwały nr 190 Rady Ministrów z dnia 29 października 2013 r. – Regulamin pracy Rady Ministrów (M.P. z 2024 r. poz. 806, z późn. zm.) został zamieszczony w Biuletynie Informacji Publicznej na stronie podmiotowej Ministra Cyfryzacji oraz w Biuletynie Informacji Publicznej na stronie podmiotowej Rządowego Centrum Legislacji, w serwisie </w:t>
      </w:r>
      <w:r w:rsidR="005B10C1">
        <w:rPr>
          <w:rFonts w:eastAsia="Times New Roman" w:cs="Times New Roman"/>
          <w:bCs/>
          <w:szCs w:val="24"/>
          <w:lang w:eastAsia="en-US"/>
        </w:rPr>
        <w:t>„</w:t>
      </w:r>
      <w:r w:rsidRPr="00415B4B">
        <w:rPr>
          <w:rFonts w:eastAsia="Times New Roman" w:cs="Times New Roman"/>
          <w:bCs/>
          <w:szCs w:val="24"/>
          <w:lang w:eastAsia="en-US"/>
        </w:rPr>
        <w:t>Rządowy Proces Legislacyjny</w:t>
      </w:r>
      <w:r w:rsidR="005B10C1">
        <w:rPr>
          <w:rFonts w:eastAsia="Times New Roman" w:cs="Times New Roman"/>
          <w:bCs/>
          <w:szCs w:val="24"/>
          <w:lang w:eastAsia="en-US"/>
        </w:rPr>
        <w:t>”</w:t>
      </w:r>
      <w:r w:rsidRPr="00415B4B">
        <w:rPr>
          <w:rFonts w:eastAsia="Times New Roman" w:cs="Times New Roman"/>
          <w:bCs/>
          <w:szCs w:val="24"/>
          <w:lang w:eastAsia="en-US"/>
        </w:rPr>
        <w:t>.</w:t>
      </w:r>
    </w:p>
    <w:sectPr w:rsidR="008E70DC" w:rsidSect="00673E6D">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8199" w14:textId="77777777" w:rsidR="00FF28FF" w:rsidRDefault="00FF28FF" w:rsidP="00673E6D">
      <w:pPr>
        <w:spacing w:line="240" w:lineRule="auto"/>
      </w:pPr>
      <w:r>
        <w:separator/>
      </w:r>
    </w:p>
  </w:endnote>
  <w:endnote w:type="continuationSeparator" w:id="0">
    <w:p w14:paraId="0A55DC5B" w14:textId="77777777" w:rsidR="00FF28FF" w:rsidRDefault="00FF28FF" w:rsidP="00673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863620"/>
      <w:docPartObj>
        <w:docPartGallery w:val="Page Numbers (Bottom of Page)"/>
        <w:docPartUnique/>
      </w:docPartObj>
    </w:sdtPr>
    <w:sdtEndPr>
      <w:rPr>
        <w:rFonts w:ascii="Times New Roman" w:hAnsi="Times New Roman"/>
      </w:rPr>
    </w:sdtEndPr>
    <w:sdtContent>
      <w:p w14:paraId="414255A9" w14:textId="453653BF" w:rsidR="00673E6D" w:rsidRPr="00673E6D" w:rsidRDefault="00673E6D" w:rsidP="00673E6D">
        <w:pPr>
          <w:pStyle w:val="Stopka"/>
          <w:jc w:val="center"/>
          <w:rPr>
            <w:rFonts w:ascii="Times New Roman" w:hAnsi="Times New Roman"/>
          </w:rPr>
        </w:pPr>
        <w:r w:rsidRPr="00673E6D">
          <w:rPr>
            <w:rFonts w:ascii="Times New Roman" w:hAnsi="Times New Roman"/>
          </w:rPr>
          <w:fldChar w:fldCharType="begin"/>
        </w:r>
        <w:r w:rsidRPr="00673E6D">
          <w:rPr>
            <w:rFonts w:ascii="Times New Roman" w:hAnsi="Times New Roman"/>
          </w:rPr>
          <w:instrText>PAGE   \* MERGEFORMAT</w:instrText>
        </w:r>
        <w:r w:rsidRPr="00673E6D">
          <w:rPr>
            <w:rFonts w:ascii="Times New Roman" w:hAnsi="Times New Roman"/>
          </w:rPr>
          <w:fldChar w:fldCharType="separate"/>
        </w:r>
        <w:r w:rsidRPr="00673E6D">
          <w:rPr>
            <w:rFonts w:ascii="Times New Roman" w:hAnsi="Times New Roman"/>
          </w:rPr>
          <w:t>2</w:t>
        </w:r>
        <w:r w:rsidRPr="00673E6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A088" w14:textId="14154992" w:rsidR="00673E6D" w:rsidRDefault="0067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CC0E" w14:textId="77777777" w:rsidR="00FF28FF" w:rsidRDefault="00FF28FF" w:rsidP="00673E6D">
      <w:pPr>
        <w:spacing w:line="240" w:lineRule="auto"/>
      </w:pPr>
      <w:r>
        <w:separator/>
      </w:r>
    </w:p>
  </w:footnote>
  <w:footnote w:type="continuationSeparator" w:id="0">
    <w:p w14:paraId="2D30542A" w14:textId="77777777" w:rsidR="00FF28FF" w:rsidRDefault="00FF28FF" w:rsidP="00673E6D">
      <w:pPr>
        <w:spacing w:line="240" w:lineRule="auto"/>
      </w:pPr>
      <w:r>
        <w:continuationSeparator/>
      </w:r>
    </w:p>
  </w:footnote>
  <w:footnote w:id="1">
    <w:p w14:paraId="6E3C72B2" w14:textId="33141D73" w:rsidR="00673E6D" w:rsidRPr="00051824" w:rsidRDefault="00673E6D" w:rsidP="00673E6D">
      <w:pPr>
        <w:pStyle w:val="PKTODNONIKApunktodnonika"/>
        <w:rPr>
          <w:rFonts w:cs="Times New Roman"/>
          <w:color w:val="000000" w:themeColor="text1"/>
          <w:lang w:val="en-US"/>
        </w:rPr>
      </w:pPr>
      <w:r w:rsidRPr="00051824">
        <w:rPr>
          <w:rStyle w:val="Odwoanieprzypisudolnego"/>
          <w:color w:val="000000" w:themeColor="text1"/>
        </w:rPr>
        <w:footnoteRef/>
      </w:r>
      <w:r w:rsidRPr="00051824">
        <w:rPr>
          <w:rFonts w:cs="Times New Roman"/>
          <w:color w:val="000000" w:themeColor="text1"/>
          <w:lang w:val="en-US"/>
        </w:rPr>
        <w:t xml:space="preserve"> A Robust Governance for the AI Act: AI Office, AI Board, Scientific Panel, and National Authorities | European Journal of Risk Regulation | Cambridge Core 2024.</w:t>
      </w:r>
    </w:p>
  </w:footnote>
  <w:footnote w:id="2">
    <w:p w14:paraId="2008F946" w14:textId="666EE08D" w:rsidR="00673E6D" w:rsidRPr="00051824" w:rsidRDefault="00673E6D" w:rsidP="00673E6D">
      <w:pPr>
        <w:pStyle w:val="PKTODNONIKApunktodnonika"/>
        <w:rPr>
          <w:rFonts w:cs="Times New Roman"/>
          <w:color w:val="000000" w:themeColor="text1"/>
        </w:rPr>
      </w:pPr>
      <w:r w:rsidRPr="00051824">
        <w:rPr>
          <w:rStyle w:val="Odwoanieprzypisudolnego"/>
          <w:color w:val="000000" w:themeColor="text1"/>
        </w:rPr>
        <w:footnoteRef/>
      </w:r>
      <w:r w:rsidRPr="00051824">
        <w:rPr>
          <w:rFonts w:cs="Times New Roman"/>
          <w:color w:val="000000" w:themeColor="text1"/>
        </w:rPr>
        <w:t xml:space="preserve"> </w:t>
      </w:r>
      <w:r w:rsidRPr="00051824">
        <w:rPr>
          <w:rStyle w:val="Hipercze"/>
          <w:rFonts w:cs="Times New Roman"/>
          <w:color w:val="000000" w:themeColor="text1"/>
          <w:u w:val="none"/>
        </w:rPr>
        <w:t>RAPORT: Analiza związku Aktu w sprawie sztucznej inteligencji z wybranymi obowiązującymi i projektowanymi regulacjami prawnymi – Portal sztucznej inteligencji – Portal G ov.pl (www.gov.pl)</w:t>
      </w:r>
      <w:r w:rsidR="00051824">
        <w:rPr>
          <w:rStyle w:val="Hipercze"/>
          <w:rFonts w:cs="Times New Roman"/>
          <w:color w:val="000000" w:themeColor="text1"/>
          <w:u w:val="none"/>
        </w:rPr>
        <w:t>.</w:t>
      </w:r>
    </w:p>
  </w:footnote>
  <w:footnote w:id="3">
    <w:p w14:paraId="134FA768" w14:textId="2093B310" w:rsidR="00673E6D" w:rsidRPr="00051824" w:rsidRDefault="00673E6D" w:rsidP="00673E6D">
      <w:pPr>
        <w:pStyle w:val="PKTODNONIKApunktodnonika"/>
        <w:rPr>
          <w:rFonts w:cs="Times New Roman"/>
          <w:color w:val="000000" w:themeColor="text1"/>
        </w:rPr>
      </w:pPr>
      <w:r w:rsidRPr="00051824">
        <w:rPr>
          <w:rStyle w:val="Odwoanieprzypisudolnego"/>
          <w:color w:val="000000" w:themeColor="text1"/>
        </w:rPr>
        <w:footnoteRef/>
      </w:r>
      <w:r w:rsidRPr="00051824">
        <w:rPr>
          <w:rFonts w:cs="Times New Roman"/>
          <w:color w:val="000000" w:themeColor="text1"/>
        </w:rPr>
        <w:t xml:space="preserve"> </w:t>
      </w:r>
      <w:hyperlink r:id="rId1" w:history="1">
        <w:r w:rsidRPr="00051824">
          <w:rPr>
            <w:rStyle w:val="Hipercze"/>
            <w:rFonts w:cs="Times New Roman"/>
            <w:color w:val="000000" w:themeColor="text1"/>
            <w:u w:val="none"/>
          </w:rPr>
          <w:t>Wdrożenie Aktu o AI – Ministerstwo Cyfryzacji – Portal Gov.pl (www.gov.pl)</w:t>
        </w:r>
      </w:hyperlink>
      <w:r w:rsidR="00051824">
        <w:rPr>
          <w:color w:val="000000" w:themeColor="text1"/>
        </w:rPr>
        <w:t>.</w:t>
      </w:r>
    </w:p>
  </w:footnote>
  <w:footnote w:id="4">
    <w:p w14:paraId="71D6045D" w14:textId="77777777" w:rsidR="00673E6D" w:rsidRPr="00166C69" w:rsidRDefault="00673E6D" w:rsidP="00673E6D">
      <w:pPr>
        <w:pStyle w:val="PKTODNONIKApunktodnonika"/>
        <w:rPr>
          <w:rFonts w:cs="Times New Roman"/>
        </w:rPr>
      </w:pPr>
      <w:r w:rsidRPr="00051824">
        <w:rPr>
          <w:rStyle w:val="Odwoanieprzypisudolnego"/>
          <w:color w:val="000000" w:themeColor="text1"/>
        </w:rPr>
        <w:footnoteRef/>
      </w:r>
      <w:r w:rsidRPr="00051824">
        <w:rPr>
          <w:rFonts w:cs="Times New Roman"/>
          <w:color w:val="000000" w:themeColor="text1"/>
        </w:rPr>
        <w:t xml:space="preserve"> </w:t>
      </w:r>
      <w:hyperlink r:id="rId2" w:history="1">
        <w:r w:rsidRPr="00051824">
          <w:rPr>
            <w:rStyle w:val="Hipercze"/>
            <w:rFonts w:cs="Times New Roman"/>
            <w:color w:val="000000" w:themeColor="text1"/>
            <w:u w:val="none"/>
          </w:rPr>
          <w:t>Estrategia de Inteligencia Artificial 2024</w:t>
        </w:r>
      </w:hyperlink>
      <w:r w:rsidRPr="00051824">
        <w:rPr>
          <w:rFonts w:cs="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737"/>
    <w:multiLevelType w:val="hybridMultilevel"/>
    <w:tmpl w:val="106EB9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F0E99"/>
    <w:multiLevelType w:val="hybridMultilevel"/>
    <w:tmpl w:val="175C86A8"/>
    <w:lvl w:ilvl="0" w:tplc="711CBFA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930E9"/>
    <w:multiLevelType w:val="hybridMultilevel"/>
    <w:tmpl w:val="BA8C3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54BC3"/>
    <w:multiLevelType w:val="hybridMultilevel"/>
    <w:tmpl w:val="C9BCC9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3476E6"/>
    <w:multiLevelType w:val="multilevel"/>
    <w:tmpl w:val="D0863B74"/>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253E5A"/>
    <w:multiLevelType w:val="hybridMultilevel"/>
    <w:tmpl w:val="5D6EAB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44557F"/>
    <w:multiLevelType w:val="hybridMultilevel"/>
    <w:tmpl w:val="9794745C"/>
    <w:lvl w:ilvl="0" w:tplc="776ABA12">
      <w:start w:val="1"/>
      <w:numFmt w:val="decimal"/>
      <w:lvlText w:val="%1."/>
      <w:lvlJc w:val="left"/>
      <w:pPr>
        <w:ind w:left="720" w:hanging="360"/>
      </w:pPr>
      <w:rPr>
        <w:rFonts w:ascii="Calibri" w:eastAsia="Calibri" w:hAnsi="Calibri" w:cs="Times New Roman"/>
        <w:b/>
        <w:bCs/>
      </w:rPr>
    </w:lvl>
    <w:lvl w:ilvl="1" w:tplc="73F2A4E4">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04987"/>
    <w:multiLevelType w:val="hybridMultilevel"/>
    <w:tmpl w:val="C9463382"/>
    <w:lvl w:ilvl="0" w:tplc="8660743A">
      <w:start w:val="50"/>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B2AE6"/>
    <w:multiLevelType w:val="hybridMultilevel"/>
    <w:tmpl w:val="28687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70B00"/>
    <w:multiLevelType w:val="hybridMultilevel"/>
    <w:tmpl w:val="80DE4C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24C01E4E"/>
    <w:multiLevelType w:val="hybridMultilevel"/>
    <w:tmpl w:val="E6864ECC"/>
    <w:lvl w:ilvl="0" w:tplc="5086B878">
      <w:start w:val="1"/>
      <w:numFmt w:val="decimal"/>
      <w:lvlText w:val="%1."/>
      <w:lvlJc w:val="left"/>
      <w:pPr>
        <w:ind w:left="410" w:hanging="360"/>
      </w:pPr>
      <w:rPr>
        <w:rFonts w:ascii="Times New Roman" w:eastAsia="Times New Roman" w:hAnsi="Times New Roman" w:cs="Times New Roman"/>
        <w:b/>
        <w:bCs/>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1" w15:restartNumberingAfterBreak="0">
    <w:nsid w:val="2DE745FB"/>
    <w:multiLevelType w:val="hybridMultilevel"/>
    <w:tmpl w:val="014895A2"/>
    <w:lvl w:ilvl="0" w:tplc="0415000F">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FE16D5"/>
    <w:multiLevelType w:val="multilevel"/>
    <w:tmpl w:val="93BE4C1A"/>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9B7020"/>
    <w:multiLevelType w:val="hybridMultilevel"/>
    <w:tmpl w:val="B300B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C940CB"/>
    <w:multiLevelType w:val="hybridMultilevel"/>
    <w:tmpl w:val="BE007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2A41E7"/>
    <w:multiLevelType w:val="hybridMultilevel"/>
    <w:tmpl w:val="20D28BD2"/>
    <w:lvl w:ilvl="0" w:tplc="5DACEDE6">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C4EEA"/>
    <w:multiLevelType w:val="multilevel"/>
    <w:tmpl w:val="5AB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56046"/>
    <w:multiLevelType w:val="hybridMultilevel"/>
    <w:tmpl w:val="6C883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EC4C9D"/>
    <w:multiLevelType w:val="hybridMultilevel"/>
    <w:tmpl w:val="27CE75F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AF7D68"/>
    <w:multiLevelType w:val="hybridMultilevel"/>
    <w:tmpl w:val="1F0423D6"/>
    <w:lvl w:ilvl="0" w:tplc="48126480">
      <w:start w:val="1"/>
      <w:numFmt w:val="decimal"/>
      <w:lvlText w:val="%1)"/>
      <w:lvlJc w:val="left"/>
      <w:pPr>
        <w:ind w:left="870" w:hanging="360"/>
      </w:pPr>
      <w:rPr>
        <w:rFonts w:cs="Arial" w:hint="default"/>
        <w:color w:val="auto"/>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0" w15:restartNumberingAfterBreak="0">
    <w:nsid w:val="51E2088C"/>
    <w:multiLevelType w:val="hybridMultilevel"/>
    <w:tmpl w:val="FFFFFFFF"/>
    <w:lvl w:ilvl="0" w:tplc="19D442AE">
      <w:start w:val="1"/>
      <w:numFmt w:val="lowerLetter"/>
      <w:lvlText w:val="%1)"/>
      <w:lvlJc w:val="left"/>
      <w:pPr>
        <w:ind w:left="870" w:hanging="360"/>
      </w:pPr>
    </w:lvl>
    <w:lvl w:ilvl="1" w:tplc="67FC9638">
      <w:start w:val="1"/>
      <w:numFmt w:val="lowerLetter"/>
      <w:lvlText w:val="%2."/>
      <w:lvlJc w:val="left"/>
      <w:pPr>
        <w:ind w:left="1590" w:hanging="360"/>
      </w:pPr>
    </w:lvl>
    <w:lvl w:ilvl="2" w:tplc="55DEAB98">
      <w:start w:val="1"/>
      <w:numFmt w:val="lowerRoman"/>
      <w:lvlText w:val="%3."/>
      <w:lvlJc w:val="right"/>
      <w:pPr>
        <w:ind w:left="2310" w:hanging="180"/>
      </w:pPr>
    </w:lvl>
    <w:lvl w:ilvl="3" w:tplc="62A0327E">
      <w:start w:val="1"/>
      <w:numFmt w:val="decimal"/>
      <w:lvlText w:val="%4."/>
      <w:lvlJc w:val="left"/>
      <w:pPr>
        <w:ind w:left="3030" w:hanging="360"/>
      </w:pPr>
    </w:lvl>
    <w:lvl w:ilvl="4" w:tplc="748A5BD2">
      <w:start w:val="1"/>
      <w:numFmt w:val="lowerLetter"/>
      <w:lvlText w:val="%5."/>
      <w:lvlJc w:val="left"/>
      <w:pPr>
        <w:ind w:left="3750" w:hanging="360"/>
      </w:pPr>
    </w:lvl>
    <w:lvl w:ilvl="5" w:tplc="0C3E22D4">
      <w:start w:val="1"/>
      <w:numFmt w:val="lowerRoman"/>
      <w:lvlText w:val="%6."/>
      <w:lvlJc w:val="right"/>
      <w:pPr>
        <w:ind w:left="4470" w:hanging="180"/>
      </w:pPr>
    </w:lvl>
    <w:lvl w:ilvl="6" w:tplc="89E21CDC">
      <w:start w:val="1"/>
      <w:numFmt w:val="decimal"/>
      <w:lvlText w:val="%7."/>
      <w:lvlJc w:val="left"/>
      <w:pPr>
        <w:ind w:left="5190" w:hanging="360"/>
      </w:pPr>
    </w:lvl>
    <w:lvl w:ilvl="7" w:tplc="878CACAC">
      <w:start w:val="1"/>
      <w:numFmt w:val="lowerLetter"/>
      <w:lvlText w:val="%8."/>
      <w:lvlJc w:val="left"/>
      <w:pPr>
        <w:ind w:left="5910" w:hanging="360"/>
      </w:pPr>
    </w:lvl>
    <w:lvl w:ilvl="8" w:tplc="DE6EAF50">
      <w:start w:val="1"/>
      <w:numFmt w:val="lowerRoman"/>
      <w:lvlText w:val="%9."/>
      <w:lvlJc w:val="right"/>
      <w:pPr>
        <w:ind w:left="6630" w:hanging="180"/>
      </w:pPr>
    </w:lvl>
  </w:abstractNum>
  <w:abstractNum w:abstractNumId="21" w15:restartNumberingAfterBreak="0">
    <w:nsid w:val="56E727B8"/>
    <w:multiLevelType w:val="multilevel"/>
    <w:tmpl w:val="0AA8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31490"/>
    <w:multiLevelType w:val="hybridMultilevel"/>
    <w:tmpl w:val="F28EB61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DD499E"/>
    <w:multiLevelType w:val="hybridMultilevel"/>
    <w:tmpl w:val="FFFFFFFF"/>
    <w:lvl w:ilvl="0" w:tplc="FFFFFFFF">
      <w:start w:val="1"/>
      <w:numFmt w:val="lowerLetter"/>
      <w:lvlText w:val="%1)"/>
      <w:lvlJc w:val="left"/>
      <w:pPr>
        <w:ind w:left="870" w:hanging="360"/>
      </w:pPr>
    </w:lvl>
    <w:lvl w:ilvl="1" w:tplc="FFFFFFFF">
      <w:start w:val="1"/>
      <w:numFmt w:val="lowerLetter"/>
      <w:lvlText w:val="%2."/>
      <w:lvlJc w:val="left"/>
      <w:pPr>
        <w:ind w:left="1590" w:hanging="360"/>
      </w:pPr>
    </w:lvl>
    <w:lvl w:ilvl="2" w:tplc="FFFFFFFF">
      <w:start w:val="1"/>
      <w:numFmt w:val="lowerRoman"/>
      <w:lvlText w:val="%3."/>
      <w:lvlJc w:val="right"/>
      <w:pPr>
        <w:ind w:left="2310" w:hanging="180"/>
      </w:pPr>
    </w:lvl>
    <w:lvl w:ilvl="3" w:tplc="FFFFFFFF">
      <w:start w:val="1"/>
      <w:numFmt w:val="decimal"/>
      <w:lvlText w:val="%4."/>
      <w:lvlJc w:val="left"/>
      <w:pPr>
        <w:ind w:left="3030" w:hanging="360"/>
      </w:pPr>
    </w:lvl>
    <w:lvl w:ilvl="4" w:tplc="FFFFFFFF">
      <w:start w:val="1"/>
      <w:numFmt w:val="lowerLetter"/>
      <w:lvlText w:val="%5."/>
      <w:lvlJc w:val="left"/>
      <w:pPr>
        <w:ind w:left="3750" w:hanging="360"/>
      </w:pPr>
    </w:lvl>
    <w:lvl w:ilvl="5" w:tplc="FFFFFFFF">
      <w:start w:val="1"/>
      <w:numFmt w:val="lowerRoman"/>
      <w:lvlText w:val="%6."/>
      <w:lvlJc w:val="right"/>
      <w:pPr>
        <w:ind w:left="4470" w:hanging="180"/>
      </w:pPr>
    </w:lvl>
    <w:lvl w:ilvl="6" w:tplc="FFFFFFFF">
      <w:start w:val="1"/>
      <w:numFmt w:val="decimal"/>
      <w:lvlText w:val="%7."/>
      <w:lvlJc w:val="left"/>
      <w:pPr>
        <w:ind w:left="5190" w:hanging="360"/>
      </w:pPr>
    </w:lvl>
    <w:lvl w:ilvl="7" w:tplc="FFFFFFFF">
      <w:start w:val="1"/>
      <w:numFmt w:val="lowerLetter"/>
      <w:lvlText w:val="%8."/>
      <w:lvlJc w:val="left"/>
      <w:pPr>
        <w:ind w:left="5910" w:hanging="360"/>
      </w:pPr>
    </w:lvl>
    <w:lvl w:ilvl="8" w:tplc="FFFFFFFF">
      <w:start w:val="1"/>
      <w:numFmt w:val="lowerRoman"/>
      <w:lvlText w:val="%9."/>
      <w:lvlJc w:val="right"/>
      <w:pPr>
        <w:ind w:left="6630" w:hanging="180"/>
      </w:pPr>
    </w:lvl>
  </w:abstractNum>
  <w:abstractNum w:abstractNumId="24" w15:restartNumberingAfterBreak="0">
    <w:nsid w:val="6714479C"/>
    <w:multiLevelType w:val="hybridMultilevel"/>
    <w:tmpl w:val="C7D6E010"/>
    <w:lvl w:ilvl="0" w:tplc="C20487B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5" w15:restartNumberingAfterBreak="0">
    <w:nsid w:val="69646C93"/>
    <w:multiLevelType w:val="multilevel"/>
    <w:tmpl w:val="595EC71A"/>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5F373C"/>
    <w:multiLevelType w:val="multilevel"/>
    <w:tmpl w:val="53E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0050F"/>
    <w:multiLevelType w:val="hybridMultilevel"/>
    <w:tmpl w:val="F7C4CA1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6A47CB"/>
    <w:multiLevelType w:val="multilevel"/>
    <w:tmpl w:val="DC36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C30C8"/>
    <w:multiLevelType w:val="hybridMultilevel"/>
    <w:tmpl w:val="D1B0DD8E"/>
    <w:lvl w:ilvl="0" w:tplc="2078EB80">
      <w:start w:val="1"/>
      <w:numFmt w:val="decimal"/>
      <w:lvlText w:val="%1)"/>
      <w:lvlJc w:val="left"/>
      <w:pPr>
        <w:ind w:left="810" w:hanging="450"/>
      </w:pPr>
      <w:rPr>
        <w:rFonts w:ascii="Times New Roman" w:eastAsiaTheme="minorHAnsi" w:hAnsi="Times New Roman" w:cs="Times New Roman"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2604B"/>
    <w:multiLevelType w:val="hybridMultilevel"/>
    <w:tmpl w:val="33222182"/>
    <w:lvl w:ilvl="0" w:tplc="AD4848AA">
      <w:start w:val="1"/>
      <w:numFmt w:val="decimal"/>
      <w:lvlText w:val="%1)"/>
      <w:lvlJc w:val="left"/>
      <w:pPr>
        <w:ind w:left="870" w:hanging="360"/>
      </w:pPr>
      <w:rPr>
        <w:rFonts w:cs="Arial" w:hint="default"/>
        <w:color w:val="auto"/>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7C6F0CCA"/>
    <w:multiLevelType w:val="hybridMultilevel"/>
    <w:tmpl w:val="ACEC659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C85FEA"/>
    <w:multiLevelType w:val="hybridMultilevel"/>
    <w:tmpl w:val="D0422320"/>
    <w:lvl w:ilvl="0" w:tplc="CA825B60">
      <w:start w:val="1"/>
      <w:numFmt w:val="decimal"/>
      <w:lvlText w:val="%1)"/>
      <w:lvlJc w:val="left"/>
      <w:pPr>
        <w:ind w:left="870" w:hanging="360"/>
      </w:pPr>
      <w:rPr>
        <w:rFonts w:cs="Arial" w:hint="default"/>
        <w:color w:val="auto"/>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3" w15:restartNumberingAfterBreak="0">
    <w:nsid w:val="7CDD105E"/>
    <w:multiLevelType w:val="multilevel"/>
    <w:tmpl w:val="23C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542732">
    <w:abstractNumId w:val="20"/>
  </w:num>
  <w:num w:numId="2" w16cid:durableId="1458333272">
    <w:abstractNumId w:val="17"/>
  </w:num>
  <w:num w:numId="3" w16cid:durableId="1617368046">
    <w:abstractNumId w:val="22"/>
  </w:num>
  <w:num w:numId="4" w16cid:durableId="646478076">
    <w:abstractNumId w:val="13"/>
  </w:num>
  <w:num w:numId="5" w16cid:durableId="1798184159">
    <w:abstractNumId w:val="15"/>
  </w:num>
  <w:num w:numId="6" w16cid:durableId="1822696689">
    <w:abstractNumId w:val="7"/>
  </w:num>
  <w:num w:numId="7" w16cid:durableId="339817971">
    <w:abstractNumId w:val="31"/>
  </w:num>
  <w:num w:numId="8" w16cid:durableId="210698896">
    <w:abstractNumId w:val="14"/>
  </w:num>
  <w:num w:numId="9" w16cid:durableId="1277638646">
    <w:abstractNumId w:val="5"/>
  </w:num>
  <w:num w:numId="10" w16cid:durableId="416024310">
    <w:abstractNumId w:val="11"/>
  </w:num>
  <w:num w:numId="11" w16cid:durableId="956448902">
    <w:abstractNumId w:val="0"/>
  </w:num>
  <w:num w:numId="12" w16cid:durableId="361590593">
    <w:abstractNumId w:val="3"/>
  </w:num>
  <w:num w:numId="13" w16cid:durableId="709450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6369110">
    <w:abstractNumId w:val="10"/>
  </w:num>
  <w:num w:numId="15" w16cid:durableId="1466193250">
    <w:abstractNumId w:val="6"/>
  </w:num>
  <w:num w:numId="16" w16cid:durableId="577979019">
    <w:abstractNumId w:val="1"/>
  </w:num>
  <w:num w:numId="17" w16cid:durableId="436871187">
    <w:abstractNumId w:val="4"/>
  </w:num>
  <w:num w:numId="18" w16cid:durableId="868025521">
    <w:abstractNumId w:val="19"/>
  </w:num>
  <w:num w:numId="19" w16cid:durableId="596642626">
    <w:abstractNumId w:val="32"/>
  </w:num>
  <w:num w:numId="20" w16cid:durableId="463038527">
    <w:abstractNumId w:val="25"/>
  </w:num>
  <w:num w:numId="21" w16cid:durableId="465701921">
    <w:abstractNumId w:val="27"/>
  </w:num>
  <w:num w:numId="22" w16cid:durableId="717358917">
    <w:abstractNumId w:val="8"/>
  </w:num>
  <w:num w:numId="23" w16cid:durableId="2016763870">
    <w:abstractNumId w:val="30"/>
  </w:num>
  <w:num w:numId="24" w16cid:durableId="222453524">
    <w:abstractNumId w:val="29"/>
  </w:num>
  <w:num w:numId="25" w16cid:durableId="466247153">
    <w:abstractNumId w:val="18"/>
  </w:num>
  <w:num w:numId="26" w16cid:durableId="1118724162">
    <w:abstractNumId w:val="9"/>
  </w:num>
  <w:num w:numId="27" w16cid:durableId="260140990">
    <w:abstractNumId w:val="23"/>
  </w:num>
  <w:num w:numId="28" w16cid:durableId="143394853">
    <w:abstractNumId w:val="21"/>
  </w:num>
  <w:num w:numId="29" w16cid:durableId="484661441">
    <w:abstractNumId w:val="33"/>
  </w:num>
  <w:num w:numId="30" w16cid:durableId="990132795">
    <w:abstractNumId w:val="26"/>
  </w:num>
  <w:num w:numId="31" w16cid:durableId="1111164950">
    <w:abstractNumId w:val="28"/>
  </w:num>
  <w:num w:numId="32" w16cid:durableId="1725058159">
    <w:abstractNumId w:val="24"/>
  </w:num>
  <w:num w:numId="33" w16cid:durableId="2108311783">
    <w:abstractNumId w:val="2"/>
  </w:num>
  <w:num w:numId="34" w16cid:durableId="283729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6D"/>
    <w:rsid w:val="00051824"/>
    <w:rsid w:val="00144C59"/>
    <w:rsid w:val="00380905"/>
    <w:rsid w:val="00415B06"/>
    <w:rsid w:val="0046178E"/>
    <w:rsid w:val="00494FE8"/>
    <w:rsid w:val="004A3487"/>
    <w:rsid w:val="005378F2"/>
    <w:rsid w:val="005431C8"/>
    <w:rsid w:val="0054519C"/>
    <w:rsid w:val="005B10C1"/>
    <w:rsid w:val="005B4994"/>
    <w:rsid w:val="00623787"/>
    <w:rsid w:val="0064392C"/>
    <w:rsid w:val="00667B04"/>
    <w:rsid w:val="00673E6D"/>
    <w:rsid w:val="006C5619"/>
    <w:rsid w:val="00702510"/>
    <w:rsid w:val="00741C21"/>
    <w:rsid w:val="00745331"/>
    <w:rsid w:val="008248EF"/>
    <w:rsid w:val="0084171A"/>
    <w:rsid w:val="008B1617"/>
    <w:rsid w:val="008E70DC"/>
    <w:rsid w:val="008E7280"/>
    <w:rsid w:val="00906F44"/>
    <w:rsid w:val="00927337"/>
    <w:rsid w:val="00AA7260"/>
    <w:rsid w:val="00B1470B"/>
    <w:rsid w:val="00B71123"/>
    <w:rsid w:val="00BA2CEE"/>
    <w:rsid w:val="00BF141F"/>
    <w:rsid w:val="00C07E38"/>
    <w:rsid w:val="00C137C7"/>
    <w:rsid w:val="00CF1740"/>
    <w:rsid w:val="00CF5F7D"/>
    <w:rsid w:val="00D31FF7"/>
    <w:rsid w:val="00D74335"/>
    <w:rsid w:val="00E27CE1"/>
    <w:rsid w:val="00E77283"/>
    <w:rsid w:val="00E85509"/>
    <w:rsid w:val="00E92B2F"/>
    <w:rsid w:val="00FC00D3"/>
    <w:rsid w:val="00FD1543"/>
    <w:rsid w:val="00FE318A"/>
    <w:rsid w:val="00FF28FF"/>
    <w:rsid w:val="00FF3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823B"/>
  <w15:chartTrackingRefBased/>
  <w15:docId w15:val="{80ED02E4-4770-4AD4-A1BC-0FE5319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3E6D"/>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673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73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673E6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73E6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73E6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73E6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3E6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3E6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3E6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3E6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73E6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673E6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73E6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73E6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73E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3E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3E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3E6D"/>
    <w:rPr>
      <w:rFonts w:eastAsiaTheme="majorEastAsia" w:cstheme="majorBidi"/>
      <w:color w:val="272727" w:themeColor="text1" w:themeTint="D8"/>
    </w:rPr>
  </w:style>
  <w:style w:type="paragraph" w:styleId="Tytu">
    <w:name w:val="Title"/>
    <w:basedOn w:val="Normalny"/>
    <w:next w:val="Normalny"/>
    <w:link w:val="TytuZnak"/>
    <w:uiPriority w:val="10"/>
    <w:qFormat/>
    <w:rsid w:val="0067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3E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3E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3E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3E6D"/>
    <w:pPr>
      <w:spacing w:before="160"/>
      <w:jc w:val="center"/>
    </w:pPr>
    <w:rPr>
      <w:i/>
      <w:iCs/>
      <w:color w:val="404040" w:themeColor="text1" w:themeTint="BF"/>
    </w:rPr>
  </w:style>
  <w:style w:type="character" w:customStyle="1" w:styleId="CytatZnak">
    <w:name w:val="Cytat Znak"/>
    <w:basedOn w:val="Domylnaczcionkaakapitu"/>
    <w:link w:val="Cytat"/>
    <w:uiPriority w:val="29"/>
    <w:rsid w:val="00673E6D"/>
    <w:rPr>
      <w:i/>
      <w:iCs/>
      <w:color w:val="404040" w:themeColor="text1" w:themeTint="BF"/>
    </w:rPr>
  </w:style>
  <w:style w:type="paragraph" w:styleId="Akapitzlist">
    <w:name w:val="List Paragraph"/>
    <w:basedOn w:val="Normalny"/>
    <w:uiPriority w:val="34"/>
    <w:qFormat/>
    <w:rsid w:val="00673E6D"/>
    <w:pPr>
      <w:ind w:left="720"/>
      <w:contextualSpacing/>
    </w:pPr>
  </w:style>
  <w:style w:type="character" w:styleId="Wyrnienieintensywne">
    <w:name w:val="Intense Emphasis"/>
    <w:basedOn w:val="Domylnaczcionkaakapitu"/>
    <w:uiPriority w:val="21"/>
    <w:qFormat/>
    <w:rsid w:val="00673E6D"/>
    <w:rPr>
      <w:i/>
      <w:iCs/>
      <w:color w:val="0F4761" w:themeColor="accent1" w:themeShade="BF"/>
    </w:rPr>
  </w:style>
  <w:style w:type="paragraph" w:styleId="Cytatintensywny">
    <w:name w:val="Intense Quote"/>
    <w:basedOn w:val="Normalny"/>
    <w:next w:val="Normalny"/>
    <w:link w:val="CytatintensywnyZnak"/>
    <w:uiPriority w:val="30"/>
    <w:qFormat/>
    <w:rsid w:val="00673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73E6D"/>
    <w:rPr>
      <w:i/>
      <w:iCs/>
      <w:color w:val="0F4761" w:themeColor="accent1" w:themeShade="BF"/>
    </w:rPr>
  </w:style>
  <w:style w:type="character" w:styleId="Odwoanieintensywne">
    <w:name w:val="Intense Reference"/>
    <w:basedOn w:val="Domylnaczcionkaakapitu"/>
    <w:uiPriority w:val="32"/>
    <w:qFormat/>
    <w:rsid w:val="00673E6D"/>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673E6D"/>
    <w:pPr>
      <w:ind w:left="1497"/>
    </w:pPr>
  </w:style>
  <w:style w:type="paragraph" w:customStyle="1" w:styleId="ZTIRwPKTzmtirwpktartykuempunktem">
    <w:name w:val="Z/TIR_w_PKT – zm. tir. w pkt artykułem (punktem)"/>
    <w:basedOn w:val="TIRtiret"/>
    <w:uiPriority w:val="33"/>
    <w:qFormat/>
    <w:rsid w:val="00673E6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73E6D"/>
    <w:pPr>
      <w:ind w:left="1021"/>
    </w:pPr>
  </w:style>
  <w:style w:type="paragraph" w:customStyle="1" w:styleId="2TIRpodwjnytiret">
    <w:name w:val="2TIR – podwójny tiret"/>
    <w:basedOn w:val="TIRtiret"/>
    <w:uiPriority w:val="73"/>
    <w:qFormat/>
    <w:rsid w:val="00673E6D"/>
    <w:pPr>
      <w:ind w:left="1780"/>
    </w:pPr>
  </w:style>
  <w:style w:type="character" w:styleId="Odwoanieprzypisudolnego">
    <w:name w:val="footnote reference"/>
    <w:uiPriority w:val="99"/>
    <w:semiHidden/>
    <w:rsid w:val="00673E6D"/>
    <w:rPr>
      <w:rFonts w:cs="Times New Roman"/>
      <w:vertAlign w:val="superscript"/>
    </w:rPr>
  </w:style>
  <w:style w:type="paragraph" w:styleId="Nagwek">
    <w:name w:val="header"/>
    <w:basedOn w:val="Normalny"/>
    <w:link w:val="NagwekZnak"/>
    <w:uiPriority w:val="99"/>
    <w:rsid w:val="00673E6D"/>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673E6D"/>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rsid w:val="00673E6D"/>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673E6D"/>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673E6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673E6D"/>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673E6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73E6D"/>
    <w:pPr>
      <w:ind w:left="1497"/>
    </w:pPr>
  </w:style>
  <w:style w:type="paragraph" w:customStyle="1" w:styleId="ZTIRwLITzmtirwlitartykuempunktem">
    <w:name w:val="Z/TIR_w_LIT – zm. tir. w lit. artykułem (punktem)"/>
    <w:basedOn w:val="TIRtiret"/>
    <w:uiPriority w:val="33"/>
    <w:qFormat/>
    <w:rsid w:val="00673E6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73E6D"/>
  </w:style>
  <w:style w:type="paragraph" w:styleId="Bezodstpw">
    <w:name w:val="No Spacing"/>
    <w:uiPriority w:val="99"/>
    <w:rsid w:val="00673E6D"/>
    <w:pPr>
      <w:widowControl w:val="0"/>
      <w:suppressAutoHyphens/>
      <w:spacing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1"/>
    <w:qFormat/>
    <w:rsid w:val="00673E6D"/>
    <w:pPr>
      <w:ind w:left="1020"/>
    </w:pPr>
  </w:style>
  <w:style w:type="paragraph" w:customStyle="1" w:styleId="ZARTzmartartykuempunktem">
    <w:name w:val="Z/ART(§) – zm. art. (§) artykułem (punktem)"/>
    <w:basedOn w:val="ARTartustawynprozporzdzenia"/>
    <w:uiPriority w:val="30"/>
    <w:qFormat/>
    <w:rsid w:val="00673E6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73E6D"/>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673E6D"/>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673E6D"/>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73E6D"/>
    <w:rPr>
      <w:bCs/>
    </w:rPr>
  </w:style>
  <w:style w:type="paragraph" w:customStyle="1" w:styleId="OZNRODZAKTUtznustawalubrozporzdzenieiorganwydajcy">
    <w:name w:val="OZN_RODZ_AKTU – tzn. ustawa lub rozporządzenie i organ wydający"/>
    <w:next w:val="DATAAKTUdatauchwalenialubwydaniaaktu"/>
    <w:uiPriority w:val="5"/>
    <w:qFormat/>
    <w:rsid w:val="00673E6D"/>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673E6D"/>
    <w:pPr>
      <w:spacing w:before="0"/>
    </w:pPr>
    <w:rPr>
      <w:bCs/>
    </w:rPr>
  </w:style>
  <w:style w:type="paragraph" w:customStyle="1" w:styleId="PKTpunkt">
    <w:name w:val="PKT – punkt"/>
    <w:uiPriority w:val="13"/>
    <w:qFormat/>
    <w:rsid w:val="00673E6D"/>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673E6D"/>
    <w:pPr>
      <w:ind w:left="0" w:firstLine="0"/>
    </w:pPr>
  </w:style>
  <w:style w:type="paragraph" w:customStyle="1" w:styleId="LITlitera">
    <w:name w:val="LIT – litera"/>
    <w:basedOn w:val="PKTpunkt"/>
    <w:uiPriority w:val="14"/>
    <w:qFormat/>
    <w:rsid w:val="00673E6D"/>
    <w:pPr>
      <w:ind w:left="986" w:hanging="476"/>
    </w:pPr>
  </w:style>
  <w:style w:type="paragraph" w:customStyle="1" w:styleId="CZWSPLITczwsplnaliter">
    <w:name w:val="CZ_WSP_LIT – część wspólna liter"/>
    <w:basedOn w:val="LITlitera"/>
    <w:next w:val="USTustnpkodeksu"/>
    <w:uiPriority w:val="17"/>
    <w:qFormat/>
    <w:rsid w:val="00673E6D"/>
    <w:pPr>
      <w:ind w:left="510" w:firstLine="0"/>
    </w:pPr>
    <w:rPr>
      <w:szCs w:val="24"/>
    </w:rPr>
  </w:style>
  <w:style w:type="paragraph" w:customStyle="1" w:styleId="TIRtiret">
    <w:name w:val="TIR – tiret"/>
    <w:basedOn w:val="LITlitera"/>
    <w:uiPriority w:val="15"/>
    <w:qFormat/>
    <w:rsid w:val="00673E6D"/>
    <w:pPr>
      <w:ind w:left="1384" w:hanging="397"/>
    </w:pPr>
  </w:style>
  <w:style w:type="paragraph" w:customStyle="1" w:styleId="CZWSPTIRczwsplnatiret">
    <w:name w:val="CZ_WSP_TIR – część wspólna tiret"/>
    <w:basedOn w:val="TIRtiret"/>
    <w:next w:val="USTustnpkodeksu"/>
    <w:uiPriority w:val="17"/>
    <w:qFormat/>
    <w:rsid w:val="00673E6D"/>
    <w:pPr>
      <w:ind w:left="987" w:firstLine="0"/>
    </w:pPr>
  </w:style>
  <w:style w:type="paragraph" w:customStyle="1" w:styleId="CYTcytatnpprzysigi">
    <w:name w:val="CYT – cytat np. przysięgi"/>
    <w:basedOn w:val="USTustnpkodeksu"/>
    <w:next w:val="USTustnpkodeksu"/>
    <w:uiPriority w:val="18"/>
    <w:qFormat/>
    <w:rsid w:val="00673E6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73E6D"/>
    <w:pPr>
      <w:keepNext/>
      <w:suppressAutoHyphens/>
      <w:spacing w:before="120" w:after="0" w:line="360" w:lineRule="auto"/>
      <w:jc w:val="center"/>
    </w:pPr>
    <w:rPr>
      <w:rFonts w:ascii="Times" w:eastAsiaTheme="minorEastAsia"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673E6D"/>
  </w:style>
  <w:style w:type="paragraph" w:customStyle="1" w:styleId="ZLITCZWSPTIRwLITzmczciwsptirwlitliter">
    <w:name w:val="Z_LIT/CZ_WSP_TIR_w_LIT – zm. części wsp. tir. w lit. literą"/>
    <w:basedOn w:val="CZWSPTIRczwsplnatiret"/>
    <w:next w:val="LITlitera"/>
    <w:uiPriority w:val="51"/>
    <w:qFormat/>
    <w:rsid w:val="00673E6D"/>
    <w:pPr>
      <w:ind w:left="1463"/>
    </w:pPr>
  </w:style>
  <w:style w:type="paragraph" w:customStyle="1" w:styleId="ZLITTIRwLITzmtirwlitliter">
    <w:name w:val="Z_LIT/TIR_w_LIT – zm. tir. w lit. literą"/>
    <w:basedOn w:val="TIRtiret"/>
    <w:uiPriority w:val="49"/>
    <w:qFormat/>
    <w:rsid w:val="00673E6D"/>
    <w:pPr>
      <w:ind w:left="1860"/>
    </w:pPr>
  </w:style>
  <w:style w:type="paragraph" w:customStyle="1" w:styleId="TYTDZOZNoznaczenietytuulubdziau">
    <w:name w:val="TYT(DZ)_OZN – oznaczenie tytułu lub działu"/>
    <w:next w:val="Normalny"/>
    <w:uiPriority w:val="9"/>
    <w:qFormat/>
    <w:rsid w:val="00673E6D"/>
    <w:pPr>
      <w:keepNext/>
      <w:spacing w:before="120" w:after="0" w:line="360" w:lineRule="auto"/>
      <w:jc w:val="center"/>
    </w:pPr>
    <w:rPr>
      <w:rFonts w:ascii="Times" w:eastAsiaTheme="minorEastAsia"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673E6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73E6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73E6D"/>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673E6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73E6D"/>
    <w:pPr>
      <w:ind w:left="510"/>
    </w:pPr>
  </w:style>
  <w:style w:type="paragraph" w:customStyle="1" w:styleId="ZZLITzmianazmlit">
    <w:name w:val="ZZ/LIT – zmiana zm. lit."/>
    <w:basedOn w:val="ZZPKTzmianazmpkt"/>
    <w:uiPriority w:val="67"/>
    <w:qFormat/>
    <w:rsid w:val="00673E6D"/>
    <w:pPr>
      <w:ind w:left="2370" w:hanging="476"/>
    </w:pPr>
  </w:style>
  <w:style w:type="paragraph" w:customStyle="1" w:styleId="ZZTIRzmianazmtir">
    <w:name w:val="ZZ/TIR – zmiana zm. tir."/>
    <w:basedOn w:val="ZZLITzmianazmlit"/>
    <w:uiPriority w:val="67"/>
    <w:qFormat/>
    <w:rsid w:val="00673E6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73E6D"/>
    <w:pPr>
      <w:keepNext/>
      <w:suppressAutoHyphens/>
      <w:spacing w:after="0" w:line="360" w:lineRule="auto"/>
      <w:ind w:left="510"/>
      <w:jc w:val="center"/>
    </w:pPr>
    <w:rPr>
      <w:rFonts w:ascii="Times" w:eastAsiaTheme="minorEastAsia"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673E6D"/>
    <w:pPr>
      <w:ind w:left="987"/>
    </w:pPr>
  </w:style>
  <w:style w:type="paragraph" w:customStyle="1" w:styleId="ZLITPKTzmpktliter">
    <w:name w:val="Z_LIT/PKT – zm. pkt literą"/>
    <w:basedOn w:val="PKTpunkt"/>
    <w:uiPriority w:val="47"/>
    <w:qFormat/>
    <w:rsid w:val="00673E6D"/>
    <w:pPr>
      <w:ind w:left="1497"/>
    </w:pPr>
  </w:style>
  <w:style w:type="paragraph" w:customStyle="1" w:styleId="ZZCZWSPPKTzmianazmczciwsppkt">
    <w:name w:val="ZZ/CZ_WSP_PKT – zmiana. zm. części wsp. pkt"/>
    <w:basedOn w:val="ZZARTzmianazmart"/>
    <w:next w:val="ZPKTzmpktartykuempunktem"/>
    <w:uiPriority w:val="68"/>
    <w:qFormat/>
    <w:rsid w:val="00673E6D"/>
    <w:pPr>
      <w:ind w:firstLine="0"/>
    </w:pPr>
  </w:style>
  <w:style w:type="paragraph" w:customStyle="1" w:styleId="ZLITLITzmlitliter">
    <w:name w:val="Z_LIT/LIT – zm. lit. literą"/>
    <w:basedOn w:val="LITlitera"/>
    <w:uiPriority w:val="48"/>
    <w:qFormat/>
    <w:rsid w:val="00673E6D"/>
    <w:pPr>
      <w:ind w:left="1463"/>
    </w:pPr>
  </w:style>
  <w:style w:type="paragraph" w:customStyle="1" w:styleId="ZLITCZWSPPKTzmczciwsppktliter">
    <w:name w:val="Z_LIT/CZ_WSP_PKT – zm. części wsp. pkt literą"/>
    <w:basedOn w:val="CZWSPLITczwsplnaliter"/>
    <w:next w:val="LITlitera"/>
    <w:uiPriority w:val="50"/>
    <w:qFormat/>
    <w:rsid w:val="00673E6D"/>
    <w:pPr>
      <w:ind w:left="987"/>
    </w:pPr>
  </w:style>
  <w:style w:type="paragraph" w:customStyle="1" w:styleId="ZLITTIRzmtirliter">
    <w:name w:val="Z_LIT/TIR – zm. tir. literą"/>
    <w:basedOn w:val="TIRtiret"/>
    <w:uiPriority w:val="49"/>
    <w:qFormat/>
    <w:rsid w:val="00673E6D"/>
  </w:style>
  <w:style w:type="paragraph" w:customStyle="1" w:styleId="ZZCZWSPLITwPKTzmianazmczciwsplitwpkt">
    <w:name w:val="ZZ/CZ_WSP_LIT_w_PKT – zmiana zm. części wsp. lit. w pkt"/>
    <w:basedOn w:val="ZZLITwPKTzmianazmlitwpkt"/>
    <w:uiPriority w:val="69"/>
    <w:qFormat/>
    <w:rsid w:val="00673E6D"/>
    <w:pPr>
      <w:ind w:left="2404" w:firstLine="0"/>
    </w:pPr>
  </w:style>
  <w:style w:type="paragraph" w:customStyle="1" w:styleId="ZLITLITwPKTzmlitwpktliter">
    <w:name w:val="Z_LIT/LIT_w_PKT – zm. lit. w pkt literą"/>
    <w:basedOn w:val="LITlitera"/>
    <w:uiPriority w:val="48"/>
    <w:qFormat/>
    <w:rsid w:val="00673E6D"/>
    <w:pPr>
      <w:ind w:left="1973"/>
    </w:pPr>
  </w:style>
  <w:style w:type="paragraph" w:customStyle="1" w:styleId="ZLITCZWSPLITwPKTzmczciwsplitwpktliter">
    <w:name w:val="Z_LIT/CZ_WSP_LIT_w_PKT – zm. części wsp. lit. w pkt literą"/>
    <w:basedOn w:val="CZWSPLITczwsplnaliter"/>
    <w:next w:val="LITlitera"/>
    <w:uiPriority w:val="51"/>
    <w:qFormat/>
    <w:rsid w:val="00673E6D"/>
    <w:pPr>
      <w:ind w:left="1497"/>
    </w:pPr>
  </w:style>
  <w:style w:type="paragraph" w:customStyle="1" w:styleId="ZLITTIRwPKTzmtirwpktliter">
    <w:name w:val="Z_LIT/TIR_w_PKT – zm. tir. w pkt literą"/>
    <w:basedOn w:val="TIRtiret"/>
    <w:uiPriority w:val="49"/>
    <w:qFormat/>
    <w:rsid w:val="00673E6D"/>
    <w:pPr>
      <w:ind w:left="2370"/>
    </w:pPr>
  </w:style>
  <w:style w:type="paragraph" w:customStyle="1" w:styleId="ZLITCZWSPTIRwPKTzmczciwsptirwpktliter">
    <w:name w:val="Z_LIT/CZ_WSP_TIR_w_PKT – zm. części wsp. tir. w pkt literą"/>
    <w:basedOn w:val="CZWSPTIRczwsplnatiret"/>
    <w:next w:val="LITlitera"/>
    <w:uiPriority w:val="51"/>
    <w:qFormat/>
    <w:rsid w:val="00673E6D"/>
    <w:pPr>
      <w:ind w:left="1973"/>
    </w:pPr>
  </w:style>
  <w:style w:type="paragraph" w:styleId="Tekstprzypisudolnego">
    <w:name w:val="footnote text"/>
    <w:basedOn w:val="Normalny"/>
    <w:link w:val="TekstprzypisudolnegoZnak"/>
    <w:uiPriority w:val="99"/>
    <w:semiHidden/>
    <w:qFormat/>
    <w:rsid w:val="00673E6D"/>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73E6D"/>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673E6D"/>
    <w:pPr>
      <w:ind w:left="1859"/>
    </w:pPr>
  </w:style>
  <w:style w:type="paragraph" w:customStyle="1" w:styleId="ZTIRCZWSPPKTzmczciwsppkttiret">
    <w:name w:val="Z_TIR/CZ_WSP_PKT – zm. części wsp. pkt tiret"/>
    <w:basedOn w:val="CZWSPLITczwsplnaliter"/>
    <w:next w:val="TIRtiret"/>
    <w:uiPriority w:val="58"/>
    <w:qFormat/>
    <w:rsid w:val="00673E6D"/>
    <w:pPr>
      <w:ind w:left="1383"/>
    </w:pPr>
  </w:style>
  <w:style w:type="paragraph" w:customStyle="1" w:styleId="ZTIRTIRzmtirtiret">
    <w:name w:val="Z_TIR/TIR – zm. tir. tiret"/>
    <w:basedOn w:val="TIRtiret"/>
    <w:uiPriority w:val="57"/>
    <w:qFormat/>
    <w:rsid w:val="00673E6D"/>
    <w:pPr>
      <w:ind w:left="1780"/>
    </w:pPr>
  </w:style>
  <w:style w:type="paragraph" w:customStyle="1" w:styleId="ZZCZWSPTIRwPKTzmianazmczciwsptirwpkt">
    <w:name w:val="ZZ/CZ_WSP_TIR_w_PKT – zmiana zm. części wsp. tir. w pkt"/>
    <w:basedOn w:val="ZZTIRwPKTzmianazmtirwpkt"/>
    <w:uiPriority w:val="70"/>
    <w:qFormat/>
    <w:rsid w:val="00673E6D"/>
    <w:pPr>
      <w:ind w:left="2880" w:firstLine="0"/>
    </w:pPr>
  </w:style>
  <w:style w:type="paragraph" w:customStyle="1" w:styleId="ZZTIRwLITzmianazmtirwlit">
    <w:name w:val="ZZ/TIR_w_LIT – zmiana zm. tir. w lit."/>
    <w:basedOn w:val="ZZTIRzmianazmtir"/>
    <w:uiPriority w:val="67"/>
    <w:qFormat/>
    <w:rsid w:val="00673E6D"/>
    <w:pPr>
      <w:ind w:left="2767"/>
    </w:pPr>
  </w:style>
  <w:style w:type="paragraph" w:customStyle="1" w:styleId="ZTIRTIRwLITzmtirwlittiret">
    <w:name w:val="Z_TIR/TIR_w_LIT – zm. tir. w lit. tiret"/>
    <w:basedOn w:val="TIRtiret"/>
    <w:uiPriority w:val="57"/>
    <w:qFormat/>
    <w:rsid w:val="00673E6D"/>
    <w:pPr>
      <w:ind w:left="2257"/>
    </w:pPr>
  </w:style>
  <w:style w:type="paragraph" w:customStyle="1" w:styleId="ZTIRCZWSPTIRwLITzmczciwsptirwlittiret">
    <w:name w:val="Z_TIR/CZ_WSP_TIR_w_LIT – zm. części wsp. tir. w lit. tiret"/>
    <w:basedOn w:val="CZWSPTIRczwsplnatiret"/>
    <w:next w:val="TIRtiret"/>
    <w:uiPriority w:val="60"/>
    <w:qFormat/>
    <w:rsid w:val="00673E6D"/>
    <w:pPr>
      <w:ind w:left="1860"/>
    </w:pPr>
  </w:style>
  <w:style w:type="paragraph" w:customStyle="1" w:styleId="CZWSP2TIRczwsplnapodwjnychtiret">
    <w:name w:val="CZ_WSP_2TIR – część wspólna podwójnych tiret"/>
    <w:basedOn w:val="CZWSPTIRczwsplnatiret"/>
    <w:next w:val="TIRtiret"/>
    <w:uiPriority w:val="73"/>
    <w:qFormat/>
    <w:rsid w:val="00673E6D"/>
    <w:pPr>
      <w:ind w:left="1780"/>
    </w:pPr>
  </w:style>
  <w:style w:type="paragraph" w:customStyle="1" w:styleId="Z2TIRzmpodwtirartykuempunktem">
    <w:name w:val="Z/2TIR – zm. podw. tir. artykułem (punktem)"/>
    <w:basedOn w:val="TIRtiret"/>
    <w:uiPriority w:val="73"/>
    <w:qFormat/>
    <w:rsid w:val="00673E6D"/>
    <w:pPr>
      <w:ind w:left="907"/>
    </w:pPr>
  </w:style>
  <w:style w:type="paragraph" w:customStyle="1" w:styleId="ZZCZWSPTIRwLITzmianazmczciwsptirwlit">
    <w:name w:val="ZZ/CZ_WSP_TIR_w_LIT – zmiana zm. części wsp. tir. w lit."/>
    <w:basedOn w:val="ZZTIRwLITzmianazmtirwlit"/>
    <w:uiPriority w:val="70"/>
    <w:qFormat/>
    <w:rsid w:val="00673E6D"/>
    <w:pPr>
      <w:ind w:left="2370" w:firstLine="0"/>
    </w:pPr>
  </w:style>
  <w:style w:type="paragraph" w:customStyle="1" w:styleId="ZLIT2TIRzmpodwtirliter">
    <w:name w:val="Z_LIT/2TIR – zm. podw. tir. literą"/>
    <w:basedOn w:val="TIRtiret"/>
    <w:uiPriority w:val="75"/>
    <w:qFormat/>
    <w:rsid w:val="00673E6D"/>
  </w:style>
  <w:style w:type="paragraph" w:customStyle="1" w:styleId="ZTIR2TIRzmpodwtirtiret">
    <w:name w:val="Z_TIR/2TIR – zm. podw. tir. tiret"/>
    <w:basedOn w:val="TIRtiret"/>
    <w:uiPriority w:val="78"/>
    <w:qFormat/>
    <w:rsid w:val="00673E6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73E6D"/>
    <w:pPr>
      <w:ind w:left="1780"/>
    </w:pPr>
  </w:style>
  <w:style w:type="paragraph" w:customStyle="1" w:styleId="Z2TIRwPKTzmpodwtirwpktartykuempunktem">
    <w:name w:val="Z/2TIR_w_PKT – zm. podw. tir. w pkt artykułem (punktem)"/>
    <w:basedOn w:val="TIRtiret"/>
    <w:next w:val="ZPKTzmpktartykuempunktem"/>
    <w:uiPriority w:val="74"/>
    <w:qFormat/>
    <w:rsid w:val="00673E6D"/>
    <w:pPr>
      <w:ind w:left="2291"/>
    </w:pPr>
  </w:style>
  <w:style w:type="paragraph" w:customStyle="1" w:styleId="ZTIRPKTzmpkttiret">
    <w:name w:val="Z_TIR/PKT – zm. pkt tiret"/>
    <w:basedOn w:val="PKTpunkt"/>
    <w:uiPriority w:val="56"/>
    <w:qFormat/>
    <w:rsid w:val="00673E6D"/>
    <w:pPr>
      <w:ind w:left="1893"/>
    </w:pPr>
  </w:style>
  <w:style w:type="paragraph" w:customStyle="1" w:styleId="ZTIRLITwPKTzmlitwpkttiret">
    <w:name w:val="Z_TIR/LIT_w_PKT – zm. lit. w pkt tiret"/>
    <w:basedOn w:val="LITlitera"/>
    <w:uiPriority w:val="57"/>
    <w:qFormat/>
    <w:rsid w:val="00673E6D"/>
    <w:pPr>
      <w:ind w:left="2336"/>
    </w:pPr>
  </w:style>
  <w:style w:type="paragraph" w:customStyle="1" w:styleId="ZTIRCZWSPLITwPKTzmczciwsplitwpkttiret">
    <w:name w:val="Z_TIR/CZ_WSP_LIT_w_PKT – zm. części wsp. lit. w pkt tiret"/>
    <w:basedOn w:val="CZWSPLITczwsplnaliter"/>
    <w:uiPriority w:val="59"/>
    <w:qFormat/>
    <w:rsid w:val="00673E6D"/>
    <w:pPr>
      <w:ind w:left="1860"/>
    </w:pPr>
  </w:style>
  <w:style w:type="paragraph" w:customStyle="1" w:styleId="ZTIR2TIRwLITzmpodwtirwlittiret">
    <w:name w:val="Z_TIR/2TIR_w_LIT – zm. podw. tir. w lit. tiret"/>
    <w:basedOn w:val="TIRtiret"/>
    <w:uiPriority w:val="79"/>
    <w:qFormat/>
    <w:rsid w:val="00673E6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73E6D"/>
    <w:pPr>
      <w:ind w:left="2257"/>
    </w:pPr>
  </w:style>
  <w:style w:type="paragraph" w:customStyle="1" w:styleId="ZTIR2TIRwTIRzmpodwtirwtirtiret">
    <w:name w:val="Z_TIR/2TIR_w_TIR – zm. podw. tir. w tir. tiret"/>
    <w:basedOn w:val="TIRtiret"/>
    <w:uiPriority w:val="78"/>
    <w:qFormat/>
    <w:rsid w:val="00673E6D"/>
    <w:pPr>
      <w:ind w:left="2177"/>
    </w:pPr>
  </w:style>
  <w:style w:type="paragraph" w:customStyle="1" w:styleId="ZTIRCZWSP2TIRwTIRzmczciwsppodwtirwtirtiret">
    <w:name w:val="Z_TIR/CZ_WSP_2TIR_w_TIR – zm. części wsp. podw. tir. w tir. tiret"/>
    <w:basedOn w:val="CZWSPTIRczwsplnatiret"/>
    <w:uiPriority w:val="79"/>
    <w:qFormat/>
    <w:rsid w:val="00673E6D"/>
    <w:pPr>
      <w:ind w:left="1780"/>
    </w:pPr>
  </w:style>
  <w:style w:type="paragraph" w:customStyle="1" w:styleId="Z2TIRLITzmlitpodwjnymtiret">
    <w:name w:val="Z_2TIR/LIT – zm. lit. podwójnym tiret"/>
    <w:basedOn w:val="LITlitera"/>
    <w:uiPriority w:val="84"/>
    <w:qFormat/>
    <w:rsid w:val="00673E6D"/>
    <w:pPr>
      <w:ind w:left="2256"/>
    </w:pPr>
  </w:style>
  <w:style w:type="paragraph" w:customStyle="1" w:styleId="ZZ2TIRwTIRzmianazmpodwtirwtir">
    <w:name w:val="ZZ/2TIR_w_TIR – zmiana zm. podw. tir. w tir."/>
    <w:basedOn w:val="ZZCZWSP2TIRzmianazmczciwsppodwtir"/>
    <w:uiPriority w:val="93"/>
    <w:qFormat/>
    <w:rsid w:val="00673E6D"/>
    <w:pPr>
      <w:ind w:left="2688" w:hanging="397"/>
    </w:pPr>
  </w:style>
  <w:style w:type="paragraph" w:customStyle="1" w:styleId="ZZ2TIRwLITzmianazmpodwtirwlit">
    <w:name w:val="ZZ/2TIR_w_LIT – zmiana zm. podw. tir. w lit."/>
    <w:basedOn w:val="ZZ2TIRwTIRzmianazmpodwtirwtir"/>
    <w:uiPriority w:val="94"/>
    <w:qFormat/>
    <w:rsid w:val="00673E6D"/>
    <w:pPr>
      <w:ind w:left="3164"/>
    </w:pPr>
  </w:style>
  <w:style w:type="paragraph" w:customStyle="1" w:styleId="Z2TIRTIRwLITzmtirwlitpodwjnymtiret">
    <w:name w:val="Z_2TIR/TIR_w_LIT – zm. tir. w lit. podwójnym tiret"/>
    <w:basedOn w:val="TIRtiret"/>
    <w:uiPriority w:val="84"/>
    <w:qFormat/>
    <w:rsid w:val="00673E6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73E6D"/>
    <w:pPr>
      <w:ind w:left="2257"/>
    </w:pPr>
  </w:style>
  <w:style w:type="paragraph" w:customStyle="1" w:styleId="ZZ2TIRwPKTzmianazmpodwtirwpkt">
    <w:name w:val="ZZ/2TIR_w_PKT – zmiana zm. podw. tir. w pkt"/>
    <w:basedOn w:val="ZZ2TIRwLITzmianazmpodwtirwlit"/>
    <w:uiPriority w:val="94"/>
    <w:qFormat/>
    <w:rsid w:val="00673E6D"/>
    <w:pPr>
      <w:ind w:left="3674"/>
    </w:pPr>
  </w:style>
  <w:style w:type="paragraph" w:customStyle="1" w:styleId="ZZCZWSP2TIRwTIRzmianazmczciwsppodwtirwtir">
    <w:name w:val="ZZ/CZ_WSP_2TIR_w_TIR – zmiana zm. części wsp. podw. tir. w tir."/>
    <w:basedOn w:val="ZZ2TIRwLITzmianazmpodwtirwlit"/>
    <w:uiPriority w:val="94"/>
    <w:qFormat/>
    <w:rsid w:val="00673E6D"/>
    <w:pPr>
      <w:ind w:left="2291" w:firstLine="0"/>
    </w:pPr>
  </w:style>
  <w:style w:type="paragraph" w:customStyle="1" w:styleId="Z2TIR2TIRwTIRzmpodwtirwtirpodwjnymtiret">
    <w:name w:val="Z_2TIR/2TIR_w_TIR – zm. podw. tir. w tir. podwójnym tiret"/>
    <w:basedOn w:val="TIRtiret"/>
    <w:uiPriority w:val="85"/>
    <w:qFormat/>
    <w:rsid w:val="00673E6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73E6D"/>
    <w:pPr>
      <w:ind w:left="2177"/>
    </w:pPr>
  </w:style>
  <w:style w:type="paragraph" w:customStyle="1" w:styleId="Z2TIR2TIRwLITzmpodwtirwlitpodwjnymtiret">
    <w:name w:val="Z_2TIR/2TIR_w_LIT – zm. podw. tir. w lit. podwójnym tiret"/>
    <w:basedOn w:val="TIRtiret"/>
    <w:uiPriority w:val="86"/>
    <w:qFormat/>
    <w:rsid w:val="00673E6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73E6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73E6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73E6D"/>
    <w:pPr>
      <w:spacing w:after="120"/>
      <w:ind w:left="510"/>
    </w:pPr>
    <w:rPr>
      <w:b w:val="0"/>
    </w:rPr>
  </w:style>
  <w:style w:type="character" w:styleId="Odwoaniedokomentarza">
    <w:name w:val="annotation reference"/>
    <w:basedOn w:val="Domylnaczcionkaakapitu"/>
    <w:uiPriority w:val="99"/>
    <w:semiHidden/>
    <w:rsid w:val="00673E6D"/>
    <w:rPr>
      <w:sz w:val="16"/>
      <w:szCs w:val="16"/>
    </w:rPr>
  </w:style>
  <w:style w:type="paragraph" w:styleId="Tekstkomentarza">
    <w:name w:val="annotation text"/>
    <w:basedOn w:val="Normalny"/>
    <w:link w:val="TekstkomentarzaZnak"/>
    <w:uiPriority w:val="99"/>
    <w:rsid w:val="00673E6D"/>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673E6D"/>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673E6D"/>
    <w:rPr>
      <w:b/>
      <w:bCs/>
    </w:rPr>
  </w:style>
  <w:style w:type="character" w:customStyle="1" w:styleId="TematkomentarzaZnak">
    <w:name w:val="Temat komentarza Znak"/>
    <w:basedOn w:val="TekstkomentarzaZnak"/>
    <w:link w:val="Tematkomentarza"/>
    <w:uiPriority w:val="99"/>
    <w:semiHidden/>
    <w:rsid w:val="00673E6D"/>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673E6D"/>
    <w:pPr>
      <w:ind w:left="1894"/>
    </w:pPr>
  </w:style>
  <w:style w:type="paragraph" w:customStyle="1" w:styleId="ZZPKTzmianazmpkt">
    <w:name w:val="ZZ/PKT – zmiana zm. pkt"/>
    <w:basedOn w:val="ZPKTzmpktartykuempunktem"/>
    <w:uiPriority w:val="66"/>
    <w:qFormat/>
    <w:rsid w:val="00673E6D"/>
    <w:pPr>
      <w:ind w:left="2404"/>
    </w:pPr>
  </w:style>
  <w:style w:type="paragraph" w:customStyle="1" w:styleId="ZZLITwPKTzmianazmlitwpkt">
    <w:name w:val="ZZ/LIT_w_PKT – zmiana zm. lit. w pkt"/>
    <w:basedOn w:val="ZLITwPKTzmlitwpktartykuempunktem"/>
    <w:uiPriority w:val="67"/>
    <w:qFormat/>
    <w:rsid w:val="00673E6D"/>
    <w:pPr>
      <w:ind w:left="2880"/>
    </w:pPr>
  </w:style>
  <w:style w:type="paragraph" w:customStyle="1" w:styleId="ZZTIRwPKTzmianazmtirwpkt">
    <w:name w:val="ZZ/TIR_w_PKT – zmiana zm. tir. w pkt"/>
    <w:basedOn w:val="ZTIRwPKTzmtirwpktartykuempunktem"/>
    <w:uiPriority w:val="67"/>
    <w:qFormat/>
    <w:rsid w:val="00673E6D"/>
    <w:pPr>
      <w:ind w:left="3277"/>
    </w:pPr>
  </w:style>
  <w:style w:type="paragraph" w:customStyle="1" w:styleId="ZZWMATFIZCHEMzmwzorumatfizlubchem">
    <w:name w:val="ZZ/W_MAT(FIZ|CHEM) – zm. wzoru mat. (fiz. lub chem.)"/>
    <w:basedOn w:val="ZWMATFIZCHEMzmwzorumatfizlubchemartykuempunktem"/>
    <w:uiPriority w:val="71"/>
    <w:qFormat/>
    <w:rsid w:val="00673E6D"/>
    <w:pPr>
      <w:ind w:left="2404"/>
    </w:pPr>
  </w:style>
  <w:style w:type="paragraph" w:customStyle="1" w:styleId="ODNONIKtreodnonika">
    <w:name w:val="ODNOŚNIK – treść odnośnika"/>
    <w:uiPriority w:val="19"/>
    <w:qFormat/>
    <w:rsid w:val="00673E6D"/>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673E6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73E6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73E6D"/>
    <w:rPr>
      <w:rFonts w:ascii="Times New Roman" w:hAnsi="Times New Roman"/>
    </w:rPr>
  </w:style>
  <w:style w:type="paragraph" w:customStyle="1" w:styleId="ZTIRTIRwPKTzmtirwpkttiret">
    <w:name w:val="Z_TIR/TIR_w_PKT – zm. tir. w pkt tiret"/>
    <w:basedOn w:val="ZTIRTIRwLITzmtirwlittiret"/>
    <w:uiPriority w:val="57"/>
    <w:qFormat/>
    <w:rsid w:val="00673E6D"/>
    <w:pPr>
      <w:ind w:left="2733"/>
    </w:pPr>
  </w:style>
  <w:style w:type="paragraph" w:customStyle="1" w:styleId="ZTIRCZWSPTIRwPKTzmczciwsptirtiret">
    <w:name w:val="Z_TIR/CZ_WSP_TIR_w_PKT – zm. części wsp. tir. tiret"/>
    <w:basedOn w:val="ZTIRTIRwPKTzmtirwpkttiret"/>
    <w:next w:val="TIRtiret"/>
    <w:uiPriority w:val="60"/>
    <w:qFormat/>
    <w:rsid w:val="00673E6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73E6D"/>
    <w:pPr>
      <w:ind w:left="510" w:firstLine="0"/>
    </w:pPr>
  </w:style>
  <w:style w:type="paragraph" w:customStyle="1" w:styleId="ROZDZODDZOZNoznaczenierozdziauluboddziau">
    <w:name w:val="ROZDZ(ODDZ)_OZN – oznaczenie rozdziału lub oddziału"/>
    <w:next w:val="ARTartustawynprozporzdzenia"/>
    <w:uiPriority w:val="10"/>
    <w:qFormat/>
    <w:rsid w:val="00673E6D"/>
    <w:pPr>
      <w:keepNext/>
      <w:suppressAutoHyphens/>
      <w:spacing w:before="120" w:after="0" w:line="360" w:lineRule="auto"/>
      <w:jc w:val="center"/>
    </w:pPr>
    <w:rPr>
      <w:rFonts w:ascii="Times" w:eastAsiaTheme="minorEastAsia"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673E6D"/>
    <w:pPr>
      <w:ind w:left="2177"/>
    </w:pPr>
  </w:style>
  <w:style w:type="paragraph" w:customStyle="1" w:styleId="Z2TIRTIRzmtirpodwjnymtiret">
    <w:name w:val="Z_2TIR/TIR – zm. tir. podwójnym tiret"/>
    <w:basedOn w:val="TIRtiret"/>
    <w:uiPriority w:val="84"/>
    <w:qFormat/>
    <w:rsid w:val="00673E6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73E6D"/>
    <w:pPr>
      <w:ind w:left="1021"/>
    </w:pPr>
  </w:style>
  <w:style w:type="paragraph" w:customStyle="1" w:styleId="ZLITSKARNzmsankcjikarnejliter">
    <w:name w:val="Z_LIT/S_KARN – zm. sankcji karnej literą"/>
    <w:basedOn w:val="ZSKARNzmsankcjikarnejwszczeglnociwKodeksiekarnym"/>
    <w:uiPriority w:val="53"/>
    <w:qFormat/>
    <w:rsid w:val="00673E6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73E6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73E6D"/>
    <w:pPr>
      <w:ind w:left="1894" w:firstLine="0"/>
    </w:pPr>
  </w:style>
  <w:style w:type="paragraph" w:customStyle="1" w:styleId="Z2TIRwLITzmpodwtirwlitartykuempunktem">
    <w:name w:val="Z/2TIR_w_LIT – zm. podw. tir. w lit. artykułem (punktem)"/>
    <w:basedOn w:val="Z2TIRwPKTzmpodwtirwpktartykuempunktem"/>
    <w:uiPriority w:val="74"/>
    <w:qFormat/>
    <w:rsid w:val="00673E6D"/>
    <w:pPr>
      <w:ind w:left="1780"/>
    </w:pPr>
  </w:style>
  <w:style w:type="paragraph" w:customStyle="1" w:styleId="Z2TIRwTIRzmpodwtirwtirartykuempunktem">
    <w:name w:val="Z/2TIR_w_TIR – zm. podw. tir. w tir. artykułem (punktem)"/>
    <w:basedOn w:val="Z2TIRwLITzmpodwtirwlitartykuempunktem"/>
    <w:uiPriority w:val="73"/>
    <w:qFormat/>
    <w:rsid w:val="00673E6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73E6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73E6D"/>
    <w:pPr>
      <w:ind w:left="1383" w:firstLine="0"/>
    </w:pPr>
  </w:style>
  <w:style w:type="paragraph" w:customStyle="1" w:styleId="ZZCZWSP2TIRzmianazmczciwsppodwtir">
    <w:name w:val="ZZ/CZ_WSP_2TIR – zmiana zm. części wsp. podw. tir."/>
    <w:basedOn w:val="ZZTIRzmianazmtir"/>
    <w:next w:val="ZZUSTzmianazmust"/>
    <w:uiPriority w:val="94"/>
    <w:qFormat/>
    <w:rsid w:val="00673E6D"/>
    <w:pPr>
      <w:ind w:left="1894" w:firstLine="0"/>
    </w:pPr>
  </w:style>
  <w:style w:type="paragraph" w:customStyle="1" w:styleId="PKTODNONIKApunktodnonika">
    <w:name w:val="PKT_ODNOŚNIKA – punkt odnośnika"/>
    <w:basedOn w:val="ODNONIKtreodnonika"/>
    <w:uiPriority w:val="19"/>
    <w:qFormat/>
    <w:rsid w:val="00673E6D"/>
    <w:pPr>
      <w:ind w:left="568"/>
    </w:pPr>
  </w:style>
  <w:style w:type="paragraph" w:customStyle="1" w:styleId="ZODNONIKAzmtekstuodnonikaartykuempunktem">
    <w:name w:val="Z/ODNOŚNIKA – zm. tekstu odnośnika artykułem (punktem)"/>
    <w:basedOn w:val="ODNONIKtreodnonika"/>
    <w:uiPriority w:val="39"/>
    <w:qFormat/>
    <w:rsid w:val="00673E6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73E6D"/>
    <w:pPr>
      <w:ind w:left="1304"/>
    </w:pPr>
  </w:style>
  <w:style w:type="paragraph" w:customStyle="1" w:styleId="ZPKTODNONIKAzmpktodnonikaartykuempunktem">
    <w:name w:val="Z/PKT_ODNOŚNIKA – zm. pkt odnośnika artykułem (punktem)"/>
    <w:basedOn w:val="ZODNONIKAzmtekstuodnonikaartykuempunktem"/>
    <w:uiPriority w:val="39"/>
    <w:qFormat/>
    <w:rsid w:val="00673E6D"/>
  </w:style>
  <w:style w:type="paragraph" w:customStyle="1" w:styleId="ZLIT2TIRwTIRzmpodwtirwtirliter">
    <w:name w:val="Z_LIT/2TIR_w_TIR – zm. podw. tir. w tir. literą"/>
    <w:basedOn w:val="ZLIT2TIRzmpodwtirliter"/>
    <w:uiPriority w:val="75"/>
    <w:qFormat/>
    <w:rsid w:val="00673E6D"/>
    <w:pPr>
      <w:ind w:left="1780"/>
    </w:pPr>
  </w:style>
  <w:style w:type="paragraph" w:customStyle="1" w:styleId="ZLIT2TIRwLITzmpodwtirwlitliter">
    <w:name w:val="Z_LIT/2TIR_w_LIT – zm. podw. tir. w lit. literą"/>
    <w:basedOn w:val="ZLIT2TIRwTIRzmpodwtirwtirliter"/>
    <w:uiPriority w:val="76"/>
    <w:qFormat/>
    <w:rsid w:val="00673E6D"/>
    <w:pPr>
      <w:ind w:left="2257"/>
    </w:pPr>
  </w:style>
  <w:style w:type="paragraph" w:customStyle="1" w:styleId="ZLIT2TIRwPKTzmpodwtirwpktliter">
    <w:name w:val="Z_LIT/2TIR_w_PKT – zm. podw. tir. w pkt literą"/>
    <w:basedOn w:val="ZLIT2TIRwLITzmpodwtirwlitliter"/>
    <w:uiPriority w:val="76"/>
    <w:qFormat/>
    <w:rsid w:val="00673E6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73E6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73E6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73E6D"/>
    <w:pPr>
      <w:ind w:left="2370" w:firstLine="0"/>
    </w:pPr>
  </w:style>
  <w:style w:type="paragraph" w:customStyle="1" w:styleId="ZTIR2TIRwPKTzmpodwtirwpkttiret">
    <w:name w:val="Z_TIR/2TIR_w_PKT – zm. podw. tir. w pkt tiret"/>
    <w:basedOn w:val="ZTIR2TIRwLITzmpodwtirwlittiret"/>
    <w:uiPriority w:val="79"/>
    <w:qFormat/>
    <w:rsid w:val="00673E6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73E6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73E6D"/>
    <w:pPr>
      <w:ind w:left="2767"/>
    </w:pPr>
  </w:style>
  <w:style w:type="paragraph" w:customStyle="1" w:styleId="ZZCZWSP2TIRwPKTzmianazmczciwsppodwtirwpkt">
    <w:name w:val="ZZ/CZ_WSP_2TIR_w_PKT – zmiana zm. części wsp. podw. tir. w pkt"/>
    <w:basedOn w:val="ZZ2TIRwLITzmianazmpodwtirwlit"/>
    <w:uiPriority w:val="95"/>
    <w:qFormat/>
    <w:rsid w:val="00673E6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73E6D"/>
  </w:style>
  <w:style w:type="paragraph" w:customStyle="1" w:styleId="ZLITCZWSP2TIRzmczciwsppodwtirliter">
    <w:name w:val="Z_LIT/CZ_WSP_2TIR – zm. części wsp. podw. tir. literą"/>
    <w:basedOn w:val="ZLITCZWSPPKTzmczciwsppktliter"/>
    <w:next w:val="LITlitera"/>
    <w:uiPriority w:val="76"/>
    <w:qFormat/>
    <w:rsid w:val="00673E6D"/>
  </w:style>
  <w:style w:type="paragraph" w:customStyle="1" w:styleId="ZTIRCZWSP2TIRzmczciwsppodwtirtiret">
    <w:name w:val="Z_TIR/CZ_WSP_2TIR – zm. części wsp. podw. tir. tiret"/>
    <w:basedOn w:val="ZLITCZWSP2TIRzmczciwsppodwtirliter"/>
    <w:next w:val="TIRtiret"/>
    <w:uiPriority w:val="79"/>
    <w:qFormat/>
    <w:rsid w:val="00673E6D"/>
  </w:style>
  <w:style w:type="paragraph" w:customStyle="1" w:styleId="ZZ2TIRzmianazmpodwtir">
    <w:name w:val="ZZ/2TIR – zmiana zm. podw. tir."/>
    <w:basedOn w:val="ZZCZWSP2TIRzmianazmczciwsppodwtir"/>
    <w:uiPriority w:val="93"/>
    <w:qFormat/>
    <w:rsid w:val="00673E6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73E6D"/>
  </w:style>
  <w:style w:type="paragraph" w:customStyle="1" w:styleId="ZCZWSPTIRzmczciwsptirartykuempunktem">
    <w:name w:val="Z/CZ_WSP_TIR – zm. części wsp. tir. artykułem (punktem)"/>
    <w:basedOn w:val="ZCZWSPPKTzmczciwsppktartykuempunktem"/>
    <w:next w:val="PKTpunkt"/>
    <w:uiPriority w:val="35"/>
    <w:qFormat/>
    <w:rsid w:val="00673E6D"/>
  </w:style>
  <w:style w:type="paragraph" w:customStyle="1" w:styleId="ZLITCZWSPLITzmczciwsplitliter">
    <w:name w:val="Z_LIT/CZ_WSP_LIT – zm. części wsp. lit. literą"/>
    <w:basedOn w:val="ZLITCZWSPPKTzmczciwsppktliter"/>
    <w:next w:val="LITlitera"/>
    <w:uiPriority w:val="51"/>
    <w:qFormat/>
    <w:rsid w:val="00673E6D"/>
  </w:style>
  <w:style w:type="paragraph" w:customStyle="1" w:styleId="ZLITCZWSPTIRzmczciwsptirliter">
    <w:name w:val="Z_LIT/CZ_WSP_TIR – zm. części wsp. tir. literą"/>
    <w:basedOn w:val="ZLITCZWSPPKTzmczciwsppktliter"/>
    <w:next w:val="LITlitera"/>
    <w:uiPriority w:val="51"/>
    <w:qFormat/>
    <w:rsid w:val="00673E6D"/>
  </w:style>
  <w:style w:type="paragraph" w:customStyle="1" w:styleId="ZTIRCZWSPLITzmczciwsplittiret">
    <w:name w:val="Z_TIR/CZ_WSP_LIT – zm. części wsp. lit. tiret"/>
    <w:basedOn w:val="ZTIRCZWSPPKTzmczciwsppkttiret"/>
    <w:next w:val="TIRtiret"/>
    <w:uiPriority w:val="59"/>
    <w:qFormat/>
    <w:rsid w:val="00673E6D"/>
  </w:style>
  <w:style w:type="paragraph" w:customStyle="1" w:styleId="ZTIRCZWSPTIRzmczciwsptirtiret">
    <w:name w:val="Z_TIR/CZ_WSP_TIR – zm. części wsp. tir. tiret"/>
    <w:basedOn w:val="ZTIRCZWSPPKTzmczciwsppkttiret"/>
    <w:next w:val="TIRtiret"/>
    <w:uiPriority w:val="60"/>
    <w:qFormat/>
    <w:rsid w:val="00673E6D"/>
  </w:style>
  <w:style w:type="paragraph" w:customStyle="1" w:styleId="ZZCZWSPLITzmianazmczciwsplit">
    <w:name w:val="ZZ/CZ_WSP_LIT – zmiana. zm. części wsp. lit."/>
    <w:basedOn w:val="ZZCZWSPPKTzmianazmczciwsppkt"/>
    <w:uiPriority w:val="69"/>
    <w:qFormat/>
    <w:rsid w:val="00673E6D"/>
  </w:style>
  <w:style w:type="paragraph" w:customStyle="1" w:styleId="ZZCZWSPTIRzmianazmczciwsptir">
    <w:name w:val="ZZ/CZ_WSP_TIR – zmiana. zm. części wsp. tir."/>
    <w:basedOn w:val="ZZCZWSPPKTzmianazmczciwsppkt"/>
    <w:uiPriority w:val="69"/>
    <w:qFormat/>
    <w:rsid w:val="00673E6D"/>
  </w:style>
  <w:style w:type="paragraph" w:customStyle="1" w:styleId="Z2TIRCZWSPTIRzmczciwsptirpodwjnymtiret">
    <w:name w:val="Z_2TIR/CZ_WSP_TIR – zm. części wsp. tir. podwójnym tiret"/>
    <w:basedOn w:val="Z2TIRCZWSPLITzmczciwsplitpodwjnymtiret"/>
    <w:next w:val="2TIRpodwjnytiret"/>
    <w:uiPriority w:val="87"/>
    <w:qFormat/>
    <w:rsid w:val="00673E6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73E6D"/>
  </w:style>
  <w:style w:type="paragraph" w:customStyle="1" w:styleId="ZUSTzmustartykuempunktem">
    <w:name w:val="Z/UST(§) – zm. ust. (§) artykułem (punktem)"/>
    <w:basedOn w:val="ZARTzmartartykuempunktem"/>
    <w:uiPriority w:val="30"/>
    <w:qFormat/>
    <w:rsid w:val="00673E6D"/>
  </w:style>
  <w:style w:type="paragraph" w:customStyle="1" w:styleId="ZZUSTzmianazmust">
    <w:name w:val="ZZ/UST(§) – zmiana zm. ust. (§)"/>
    <w:basedOn w:val="ZZARTzmianazmart"/>
    <w:uiPriority w:val="65"/>
    <w:qFormat/>
    <w:rsid w:val="00673E6D"/>
  </w:style>
  <w:style w:type="paragraph" w:customStyle="1" w:styleId="TYTDZPRZEDMprzedmiotregulacjitytuulubdziau">
    <w:name w:val="TYT(DZ)_PRZEDM – przedmiot regulacji tytułu lub działu"/>
    <w:next w:val="ARTartustawynprozporzdzenia"/>
    <w:uiPriority w:val="9"/>
    <w:qFormat/>
    <w:rsid w:val="00673E6D"/>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673E6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73E6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73E6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73E6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73E6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73E6D"/>
    <w:pPr>
      <w:ind w:left="1894"/>
    </w:pPr>
  </w:style>
  <w:style w:type="paragraph" w:customStyle="1" w:styleId="P1wTABELIpoziom1numeracjiwtabeli">
    <w:name w:val="P1_w_TABELI – poziom 1 numeracji w tabeli"/>
    <w:basedOn w:val="PKTpunkt"/>
    <w:uiPriority w:val="24"/>
    <w:qFormat/>
    <w:rsid w:val="00673E6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73E6D"/>
    <w:pPr>
      <w:ind w:left="0" w:firstLine="0"/>
    </w:pPr>
  </w:style>
  <w:style w:type="paragraph" w:customStyle="1" w:styleId="P2wTABELIpoziom2numeracjiwtabeli">
    <w:name w:val="P2_w_TABELI – poziom 2 numeracji w tabeli"/>
    <w:basedOn w:val="P1wTABELIpoziom1numeracjiwtabeli"/>
    <w:uiPriority w:val="24"/>
    <w:qFormat/>
    <w:rsid w:val="00673E6D"/>
    <w:pPr>
      <w:ind w:left="794"/>
    </w:pPr>
  </w:style>
  <w:style w:type="paragraph" w:customStyle="1" w:styleId="P3wTABELIpoziom3numeracjiwtabeli">
    <w:name w:val="P3_w_TABELI – poziom 3 numeracji w tabeli"/>
    <w:basedOn w:val="P2wTABELIpoziom2numeracjiwtabeli"/>
    <w:uiPriority w:val="24"/>
    <w:qFormat/>
    <w:rsid w:val="00673E6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73E6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73E6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73E6D"/>
    <w:pPr>
      <w:ind w:left="1191"/>
    </w:pPr>
  </w:style>
  <w:style w:type="paragraph" w:customStyle="1" w:styleId="P4wTABELIpoziom4numeracjiwtabeli">
    <w:name w:val="P4_w_TABELI – poziom 4 numeracji w tabeli"/>
    <w:basedOn w:val="P3wTABELIpoziom3numeracjiwtabeli"/>
    <w:uiPriority w:val="24"/>
    <w:qFormat/>
    <w:rsid w:val="00673E6D"/>
    <w:pPr>
      <w:ind w:left="1588"/>
    </w:pPr>
  </w:style>
  <w:style w:type="paragraph" w:customStyle="1" w:styleId="TYTTABELItytutabeli">
    <w:name w:val="TYT_TABELI – tytuł tabeli"/>
    <w:basedOn w:val="TYTDZOZNoznaczenietytuulubdziau"/>
    <w:uiPriority w:val="22"/>
    <w:qFormat/>
    <w:rsid w:val="00673E6D"/>
    <w:rPr>
      <w:b/>
    </w:rPr>
  </w:style>
  <w:style w:type="paragraph" w:customStyle="1" w:styleId="OZNPROJEKTUwskazaniedatylubwersjiprojektu">
    <w:name w:val="OZN_PROJEKTU – wskazanie daty lub wersji projektu"/>
    <w:next w:val="OZNRODZAKTUtznustawalubrozporzdzenieiorganwydajcy"/>
    <w:uiPriority w:val="5"/>
    <w:qFormat/>
    <w:rsid w:val="00673E6D"/>
    <w:pPr>
      <w:spacing w:after="0" w:line="360" w:lineRule="auto"/>
      <w:jc w:val="right"/>
    </w:pPr>
    <w:rPr>
      <w:rFonts w:ascii="Times New Roman" w:eastAsiaTheme="minorEastAsia"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673E6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73E6D"/>
    <w:pPr>
      <w:ind w:left="0" w:right="4820"/>
      <w:jc w:val="left"/>
    </w:pPr>
  </w:style>
  <w:style w:type="paragraph" w:customStyle="1" w:styleId="TEKSTwporozumieniu">
    <w:name w:val="TEKST&quot;w porozumieniu:&quot;"/>
    <w:next w:val="NAZORGWPOROZUMIENIUnazwaorganuwporozumieniuzktrymaktjestwydawany"/>
    <w:uiPriority w:val="27"/>
    <w:qFormat/>
    <w:rsid w:val="00673E6D"/>
    <w:pPr>
      <w:spacing w:after="0" w:line="360" w:lineRule="auto"/>
    </w:pPr>
    <w:rPr>
      <w:rFonts w:ascii="Times New Roman" w:eastAsiaTheme="minorEastAsia"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673E6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73E6D"/>
    <w:pPr>
      <w:ind w:left="510" w:firstLine="0"/>
    </w:pPr>
  </w:style>
  <w:style w:type="paragraph" w:customStyle="1" w:styleId="NOTATKILEGISLATORA">
    <w:name w:val="NOTATKI_LEGISLATORA"/>
    <w:basedOn w:val="Normalny"/>
    <w:uiPriority w:val="5"/>
    <w:qFormat/>
    <w:rsid w:val="00673E6D"/>
    <w:rPr>
      <w:b/>
      <w:i/>
    </w:rPr>
  </w:style>
  <w:style w:type="paragraph" w:customStyle="1" w:styleId="OZNZACZNIKAwskazanienrzacznika">
    <w:name w:val="OZN_ZAŁĄCZNIKA – wskazanie nr załącznika"/>
    <w:basedOn w:val="OZNPROJEKTUwskazaniedatylubwersjiprojektu"/>
    <w:uiPriority w:val="28"/>
    <w:qFormat/>
    <w:rsid w:val="00673E6D"/>
    <w:pPr>
      <w:keepNext/>
    </w:pPr>
    <w:rPr>
      <w:b/>
      <w:u w:val="none"/>
    </w:rPr>
  </w:style>
  <w:style w:type="paragraph" w:customStyle="1" w:styleId="OZNPARAFYADNOTACJE">
    <w:name w:val="OZN_PARAFY(ADNOTACJE)"/>
    <w:basedOn w:val="ODNONIKtreodnonika"/>
    <w:uiPriority w:val="26"/>
    <w:qFormat/>
    <w:rsid w:val="00673E6D"/>
  </w:style>
  <w:style w:type="paragraph" w:customStyle="1" w:styleId="TEKSTZacznikido">
    <w:name w:val="TEKST&quot;Załącznik(i) do ...&quot;"/>
    <w:uiPriority w:val="28"/>
    <w:qFormat/>
    <w:rsid w:val="00673E6D"/>
    <w:pPr>
      <w:keepNext/>
      <w:spacing w:after="240" w:line="240" w:lineRule="auto"/>
      <w:ind w:left="5670"/>
      <w:contextualSpacing/>
    </w:pPr>
    <w:rPr>
      <w:rFonts w:ascii="Times New Roman" w:eastAsiaTheme="minorEastAsia"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673E6D"/>
    <w:pPr>
      <w:ind w:left="851"/>
    </w:pPr>
  </w:style>
  <w:style w:type="paragraph" w:customStyle="1" w:styleId="CZWSPLITODNONIKAczwspliterodnonika">
    <w:name w:val="CZ_WSP_LIT_ODNOŚNIKA – część wsp. liter odnośnika"/>
    <w:basedOn w:val="LITODNONIKAliteraodnonika"/>
    <w:uiPriority w:val="22"/>
    <w:qFormat/>
    <w:rsid w:val="00673E6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73E6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73E6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73E6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673E6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73E6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73E6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73E6D"/>
  </w:style>
  <w:style w:type="paragraph" w:customStyle="1" w:styleId="ZLITwPKTODNONIKAzmlitwpktodnonikaartykuempunktem">
    <w:name w:val="Z/LIT_w_PKT_ODNOŚNIKA – zm. lit. w pkt odnośnika artykułem (punktem)"/>
    <w:basedOn w:val="ZLITODNONIKAzmlitodnonikaartykuempunktem"/>
    <w:uiPriority w:val="40"/>
    <w:qFormat/>
    <w:rsid w:val="00673E6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73E6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73E6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73E6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73E6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73E6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73E6D"/>
  </w:style>
  <w:style w:type="paragraph" w:customStyle="1" w:styleId="ZZFRAGzmianazmfragmentunpzdania">
    <w:name w:val="ZZ/FRAG – zmiana zm. fragmentu (np. zdania)"/>
    <w:basedOn w:val="ZZCZWSPPKTzmianazmczciwsppkt"/>
    <w:uiPriority w:val="70"/>
    <w:qFormat/>
    <w:rsid w:val="00673E6D"/>
  </w:style>
  <w:style w:type="paragraph" w:customStyle="1" w:styleId="Z2TIRPKTzmpktpodwjnymtiret">
    <w:name w:val="Z_2TIR/PKT – zm. pkt podwójnym tiret"/>
    <w:basedOn w:val="Z2TIRLITzmlitpodwjnymtiret"/>
    <w:uiPriority w:val="83"/>
    <w:qFormat/>
    <w:rsid w:val="00673E6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73E6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73E6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73E6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73E6D"/>
    <w:pPr>
      <w:ind w:left="1780" w:firstLine="510"/>
    </w:pPr>
  </w:style>
  <w:style w:type="paragraph" w:customStyle="1" w:styleId="Z2TIRUSTzmustpodwjnymtiret">
    <w:name w:val="Z_2TIR/UST(§) – zm. ust. (§) podwójnym tiret"/>
    <w:basedOn w:val="Z2TIRPKTzmpktpodwjnymtiret"/>
    <w:uiPriority w:val="82"/>
    <w:qFormat/>
    <w:rsid w:val="00673E6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73E6D"/>
    <w:pPr>
      <w:ind w:left="3164" w:firstLine="0"/>
    </w:pPr>
  </w:style>
  <w:style w:type="paragraph" w:customStyle="1" w:styleId="Z2TIRCZWSPPKTzmczciwsppktpodwjnymtiret">
    <w:name w:val="Z_2TIR/CZ_WSP_PKT – zm. części wsp. pkt podwójnym tiret"/>
    <w:basedOn w:val="Z2TIRPKTzmpktpodwjnymtiret"/>
    <w:uiPriority w:val="86"/>
    <w:qFormat/>
    <w:rsid w:val="00673E6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73E6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73E6D"/>
    <w:pPr>
      <w:ind w:left="2767" w:firstLine="0"/>
    </w:pPr>
  </w:style>
  <w:style w:type="paragraph" w:customStyle="1" w:styleId="ZLITARTzmartliter">
    <w:name w:val="Z_LIT/ART(§) – zm. art. (§) literą"/>
    <w:basedOn w:val="ZLITUSTzmustliter"/>
    <w:uiPriority w:val="46"/>
    <w:qFormat/>
    <w:rsid w:val="00673E6D"/>
    <w:rPr>
      <w:rFonts w:ascii="Times New Roman" w:hAnsi="Times New Roman"/>
    </w:rPr>
  </w:style>
  <w:style w:type="paragraph" w:customStyle="1" w:styleId="ZTIRARTzmarttiret">
    <w:name w:val="Z_TIR/ART(§) – zm. art. (§) tiret"/>
    <w:basedOn w:val="ZTIRPKTzmpkttiret"/>
    <w:uiPriority w:val="55"/>
    <w:qFormat/>
    <w:rsid w:val="00673E6D"/>
    <w:pPr>
      <w:ind w:left="1383" w:firstLine="510"/>
    </w:pPr>
    <w:rPr>
      <w:rFonts w:ascii="Times New Roman" w:hAnsi="Times New Roman"/>
    </w:rPr>
  </w:style>
  <w:style w:type="paragraph" w:customStyle="1" w:styleId="ZTIRUSTzmusttiret">
    <w:name w:val="Z_TIR/UST(§) – zm. ust. (§) tiret"/>
    <w:basedOn w:val="ZTIRARTzmarttiret"/>
    <w:uiPriority w:val="55"/>
    <w:qFormat/>
    <w:rsid w:val="00673E6D"/>
  </w:style>
  <w:style w:type="paragraph" w:customStyle="1" w:styleId="ZLITKSIGIzmozniprzedmksigiliter">
    <w:name w:val="Z_LIT/KSIĘGI – zm. ozn. i przedm. księgi literą"/>
    <w:basedOn w:val="ZCZCIKSIGIzmozniprzedmczciksigiartykuempunktem"/>
    <w:uiPriority w:val="44"/>
    <w:qFormat/>
    <w:rsid w:val="00673E6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73E6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73E6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73E6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73E6D"/>
    <w:pPr>
      <w:ind w:left="987"/>
    </w:pPr>
  </w:style>
  <w:style w:type="paragraph" w:customStyle="1" w:styleId="ZTIRDZOZNzmozndziautiret">
    <w:name w:val="Z_TIR/DZ_OZN – zm. ozn. działu tiret"/>
    <w:basedOn w:val="ZLITTYTDZOZNzmozntytuudziauliter"/>
    <w:next w:val="ZTIRDZPRZEDMzmprzedmdziautiret"/>
    <w:uiPriority w:val="54"/>
    <w:qFormat/>
    <w:rsid w:val="00673E6D"/>
    <w:pPr>
      <w:ind w:left="1383"/>
    </w:pPr>
  </w:style>
  <w:style w:type="paragraph" w:customStyle="1" w:styleId="ZTIRDZPRZEDMzmprzedmdziautiret">
    <w:name w:val="Z_TIR/DZ_PRZEDM – zm. przedm. działu tiret"/>
    <w:basedOn w:val="ZLITTYTDZPRZEDMzmprzedmtytuudziauliter"/>
    <w:uiPriority w:val="54"/>
    <w:qFormat/>
    <w:rsid w:val="00673E6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73E6D"/>
    <w:pPr>
      <w:ind w:left="1383"/>
    </w:pPr>
  </w:style>
  <w:style w:type="paragraph" w:customStyle="1" w:styleId="ZTIRROZDZODDZPRZEDMzmprzedmrozdzoddztiret">
    <w:name w:val="Z_TIR/ROZDZ(ODDZ)_PRZEDM – zm. przedm. rozdz. (oddz.) tiret"/>
    <w:basedOn w:val="ZLITROZDZODDZPRZEDMzmprzedmrozdzoddzliter"/>
    <w:uiPriority w:val="54"/>
    <w:qFormat/>
    <w:rsid w:val="00673E6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73E6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73E6D"/>
    <w:pPr>
      <w:ind w:left="1780"/>
    </w:pPr>
  </w:style>
  <w:style w:type="character" w:customStyle="1" w:styleId="IGindeksgrny">
    <w:name w:val="_IG_ – indeks górny"/>
    <w:basedOn w:val="Domylnaczcionkaakapitu"/>
    <w:uiPriority w:val="2"/>
    <w:qFormat/>
    <w:rsid w:val="00673E6D"/>
    <w:rPr>
      <w:b w:val="0"/>
      <w:i w:val="0"/>
      <w:vanish w:val="0"/>
      <w:spacing w:val="0"/>
      <w:vertAlign w:val="superscript"/>
    </w:rPr>
  </w:style>
  <w:style w:type="character" w:customStyle="1" w:styleId="IDindeksdolny">
    <w:name w:val="_ID_ – indeks dolny"/>
    <w:basedOn w:val="Domylnaczcionkaakapitu"/>
    <w:uiPriority w:val="3"/>
    <w:qFormat/>
    <w:rsid w:val="00673E6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73E6D"/>
    <w:rPr>
      <w:b/>
      <w:vanish w:val="0"/>
      <w:spacing w:val="0"/>
      <w:vertAlign w:val="subscript"/>
    </w:rPr>
  </w:style>
  <w:style w:type="character" w:customStyle="1" w:styleId="IDKindeksdolnyikursywa">
    <w:name w:val="_ID_K_ – indeks dolny i kursywa"/>
    <w:basedOn w:val="Domylnaczcionkaakapitu"/>
    <w:uiPriority w:val="3"/>
    <w:qFormat/>
    <w:rsid w:val="00673E6D"/>
    <w:rPr>
      <w:i/>
      <w:vanish w:val="0"/>
      <w:spacing w:val="0"/>
      <w:vertAlign w:val="subscript"/>
    </w:rPr>
  </w:style>
  <w:style w:type="character" w:customStyle="1" w:styleId="IGPindeksgrnyipogrubienie">
    <w:name w:val="_IG_P_ – indeks górny i pogrubienie"/>
    <w:basedOn w:val="Domylnaczcionkaakapitu"/>
    <w:uiPriority w:val="2"/>
    <w:qFormat/>
    <w:rsid w:val="00673E6D"/>
    <w:rPr>
      <w:b/>
      <w:vanish w:val="0"/>
      <w:spacing w:val="0"/>
      <w:vertAlign w:val="superscript"/>
    </w:rPr>
  </w:style>
  <w:style w:type="character" w:customStyle="1" w:styleId="IGKindeksgrnyikursywa">
    <w:name w:val="_IG_K_ – indeks górny i kursywa"/>
    <w:basedOn w:val="Domylnaczcionkaakapitu"/>
    <w:uiPriority w:val="2"/>
    <w:qFormat/>
    <w:rsid w:val="00673E6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73E6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73E6D"/>
    <w:rPr>
      <w:b/>
      <w:i/>
      <w:vanish w:val="0"/>
      <w:spacing w:val="0"/>
      <w:vertAlign w:val="subscript"/>
    </w:rPr>
  </w:style>
  <w:style w:type="character" w:customStyle="1" w:styleId="Ppogrubienie">
    <w:name w:val="_P_ – pogrubienie"/>
    <w:basedOn w:val="Domylnaczcionkaakapitu"/>
    <w:uiPriority w:val="1"/>
    <w:qFormat/>
    <w:rsid w:val="00673E6D"/>
    <w:rPr>
      <w:b/>
    </w:rPr>
  </w:style>
  <w:style w:type="character" w:customStyle="1" w:styleId="Kkursywa">
    <w:name w:val="_K_ – kursywa"/>
    <w:basedOn w:val="Domylnaczcionkaakapitu"/>
    <w:uiPriority w:val="1"/>
    <w:qFormat/>
    <w:rsid w:val="00673E6D"/>
    <w:rPr>
      <w:i/>
    </w:rPr>
  </w:style>
  <w:style w:type="character" w:customStyle="1" w:styleId="PKpogrubieniekursywa">
    <w:name w:val="_P_K_ – pogrubienie kursywa"/>
    <w:basedOn w:val="Domylnaczcionkaakapitu"/>
    <w:uiPriority w:val="1"/>
    <w:qFormat/>
    <w:rsid w:val="00673E6D"/>
    <w:rPr>
      <w:b/>
      <w:i/>
    </w:rPr>
  </w:style>
  <w:style w:type="character" w:customStyle="1" w:styleId="TEKSTOZNACZONYWDOKUMENCIERDOWYMJAKOUKRYTY">
    <w:name w:val="_TEKST_OZNACZONY_W_DOKUMENCIE_ŹRÓDŁOWYM_JAKO_UKRYTY_"/>
    <w:basedOn w:val="Domylnaczcionkaakapitu"/>
    <w:uiPriority w:val="4"/>
    <w:unhideWhenUsed/>
    <w:qFormat/>
    <w:rsid w:val="00673E6D"/>
    <w:rPr>
      <w:vanish w:val="0"/>
      <w:color w:val="FF0000"/>
      <w:u w:val="single" w:color="FF0000"/>
    </w:rPr>
  </w:style>
  <w:style w:type="character" w:customStyle="1" w:styleId="BEZWERSALIKW">
    <w:name w:val="_BEZ_WERSALIKÓW_"/>
    <w:basedOn w:val="Domylnaczcionkaakapitu"/>
    <w:uiPriority w:val="4"/>
    <w:qFormat/>
    <w:rsid w:val="00673E6D"/>
    <w:rPr>
      <w:caps/>
    </w:rPr>
  </w:style>
  <w:style w:type="character" w:customStyle="1" w:styleId="IIGPindeksgrnyindeksugrnegoipogrubienie">
    <w:name w:val="_IIG_P_ – indeks górny indeksu górnego i pogrubienie"/>
    <w:basedOn w:val="Domylnaczcionkaakapitu"/>
    <w:uiPriority w:val="3"/>
    <w:qFormat/>
    <w:rsid w:val="00673E6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73E6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673E6D"/>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673E6D"/>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673E6D"/>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673E6D"/>
    <w:pPr>
      <w:ind w:left="1894"/>
    </w:pPr>
  </w:style>
  <w:style w:type="paragraph" w:customStyle="1" w:styleId="ZZSKARNzmianazmsankcjikarnej">
    <w:name w:val="ZZ/S_KARN – zmiana zm. sankcji karnej"/>
    <w:basedOn w:val="ZZFRAGzmianazmfragmentunpzdania"/>
    <w:uiPriority w:val="71"/>
    <w:qFormat/>
    <w:rsid w:val="00673E6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673E6D"/>
    <w:pPr>
      <w:ind w:left="2291" w:firstLine="0"/>
    </w:pPr>
  </w:style>
  <w:style w:type="paragraph" w:customStyle="1" w:styleId="WMATFIZCHEMwzrmatfizlubchem">
    <w:name w:val="W_MAT(FIZ|CHEM) – wzór mat. (fiz. lub chem.)"/>
    <w:uiPriority w:val="18"/>
    <w:qFormat/>
    <w:rsid w:val="00673E6D"/>
    <w:pPr>
      <w:spacing w:after="0" w:line="360" w:lineRule="auto"/>
      <w:jc w:val="center"/>
    </w:pPr>
    <w:rPr>
      <w:rFonts w:ascii="Times New Roman" w:eastAsiaTheme="minorEastAsia"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673E6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73E6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673E6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73E6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673E6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673E6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73E6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673E6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73E6D"/>
    <w:pPr>
      <w:ind w:left="3085"/>
    </w:pPr>
  </w:style>
  <w:style w:type="paragraph" w:customStyle="1" w:styleId="ZLITCYTzmcytatunpprzysigiliter">
    <w:name w:val="Z_LIT/CYT – zm. cytatu np. przysięgi literą"/>
    <w:basedOn w:val="ZCYTzmcytatunpprzysigiartykuempunktem"/>
    <w:uiPriority w:val="53"/>
    <w:qFormat/>
    <w:rsid w:val="00673E6D"/>
    <w:pPr>
      <w:ind w:left="1497"/>
    </w:pPr>
  </w:style>
  <w:style w:type="paragraph" w:customStyle="1" w:styleId="ZTIRCYTzmcytatunpprzysigitiret">
    <w:name w:val="Z_TIR/CYT – zm. cytatu np. przysięgi tiret"/>
    <w:basedOn w:val="ZLITCYTzmcytatunpprzysigiliter"/>
    <w:next w:val="ZTIRUSTzmusttiret"/>
    <w:uiPriority w:val="61"/>
    <w:qFormat/>
    <w:rsid w:val="00673E6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673E6D"/>
    <w:pPr>
      <w:ind w:left="2291"/>
    </w:pPr>
  </w:style>
  <w:style w:type="paragraph" w:customStyle="1" w:styleId="ZZCYTzmianazmcytatunpprzysigi">
    <w:name w:val="ZZ/CYT – zmiana zm. cytatu np. przysięgi"/>
    <w:basedOn w:val="ZZFRAGzmianazmfragmentunpzdania"/>
    <w:next w:val="ZZUSTzmianazmust"/>
    <w:uiPriority w:val="71"/>
    <w:qFormat/>
    <w:rsid w:val="00673E6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673E6D"/>
    <w:pPr>
      <w:ind w:left="1780"/>
    </w:pPr>
  </w:style>
  <w:style w:type="table" w:styleId="Tabela-Siatka">
    <w:name w:val="Table Grid"/>
    <w:basedOn w:val="Standardowy"/>
    <w:rsid w:val="00673E6D"/>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673E6D"/>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673E6D"/>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673E6D"/>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673E6D"/>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673E6D"/>
    <w:rPr>
      <w:color w:val="808080"/>
    </w:rPr>
  </w:style>
  <w:style w:type="paragraph" w:customStyle="1" w:styleId="Nagwek21">
    <w:name w:val="Nagłówek 21"/>
    <w:basedOn w:val="Normalny"/>
    <w:next w:val="Normalny"/>
    <w:uiPriority w:val="9"/>
    <w:semiHidden/>
    <w:unhideWhenUsed/>
    <w:qFormat/>
    <w:rsid w:val="00673E6D"/>
    <w:pPr>
      <w:keepNext/>
      <w:keepLines/>
      <w:widowControl/>
      <w:autoSpaceDE/>
      <w:autoSpaceDN/>
      <w:adjustRightInd/>
      <w:spacing w:before="160" w:after="80" w:line="279" w:lineRule="auto"/>
      <w:outlineLvl w:val="1"/>
    </w:pPr>
    <w:rPr>
      <w:rFonts w:ascii="Aptos Display" w:eastAsia="Yu Gothic Light" w:hAnsi="Aptos Display" w:cs="Times New Roman"/>
      <w:color w:val="0F4761"/>
      <w:sz w:val="32"/>
      <w:szCs w:val="32"/>
      <w:lang w:eastAsia="en-US"/>
    </w:rPr>
  </w:style>
  <w:style w:type="paragraph" w:customStyle="1" w:styleId="Nagwek31">
    <w:name w:val="Nagłówek 31"/>
    <w:basedOn w:val="Normalny"/>
    <w:next w:val="Normalny"/>
    <w:uiPriority w:val="9"/>
    <w:semiHidden/>
    <w:unhideWhenUsed/>
    <w:qFormat/>
    <w:rsid w:val="00673E6D"/>
    <w:pPr>
      <w:keepNext/>
      <w:keepLines/>
      <w:widowControl/>
      <w:autoSpaceDE/>
      <w:autoSpaceDN/>
      <w:adjustRightInd/>
      <w:spacing w:before="160" w:after="80" w:line="279" w:lineRule="auto"/>
      <w:outlineLvl w:val="2"/>
    </w:pPr>
    <w:rPr>
      <w:rFonts w:ascii="Aptos" w:eastAsia="Yu Gothic Light" w:hAnsi="Aptos" w:cs="Times New Roman"/>
      <w:color w:val="0F4761"/>
      <w:sz w:val="28"/>
      <w:szCs w:val="28"/>
      <w:lang w:eastAsia="en-US"/>
    </w:rPr>
  </w:style>
  <w:style w:type="paragraph" w:customStyle="1" w:styleId="Nagwek41">
    <w:name w:val="Nagłówek 41"/>
    <w:basedOn w:val="Normalny"/>
    <w:next w:val="Normalny"/>
    <w:uiPriority w:val="9"/>
    <w:semiHidden/>
    <w:unhideWhenUsed/>
    <w:qFormat/>
    <w:rsid w:val="00673E6D"/>
    <w:pPr>
      <w:keepNext/>
      <w:keepLines/>
      <w:widowControl/>
      <w:autoSpaceDE/>
      <w:autoSpaceDN/>
      <w:adjustRightInd/>
      <w:spacing w:before="80" w:after="40" w:line="279" w:lineRule="auto"/>
      <w:outlineLvl w:val="3"/>
    </w:pPr>
    <w:rPr>
      <w:rFonts w:ascii="Aptos" w:eastAsia="Yu Gothic Light" w:hAnsi="Aptos" w:cs="Times New Roman"/>
      <w:i/>
      <w:iCs/>
      <w:color w:val="0F4761"/>
      <w:szCs w:val="24"/>
      <w:lang w:eastAsia="en-US"/>
    </w:rPr>
  </w:style>
  <w:style w:type="paragraph" w:customStyle="1" w:styleId="Nagwek51">
    <w:name w:val="Nagłówek 51"/>
    <w:basedOn w:val="Normalny"/>
    <w:next w:val="Normalny"/>
    <w:uiPriority w:val="9"/>
    <w:semiHidden/>
    <w:unhideWhenUsed/>
    <w:qFormat/>
    <w:rsid w:val="00673E6D"/>
    <w:pPr>
      <w:keepNext/>
      <w:keepLines/>
      <w:widowControl/>
      <w:autoSpaceDE/>
      <w:autoSpaceDN/>
      <w:adjustRightInd/>
      <w:spacing w:before="80" w:after="40" w:line="279" w:lineRule="auto"/>
      <w:outlineLvl w:val="4"/>
    </w:pPr>
    <w:rPr>
      <w:rFonts w:ascii="Aptos" w:eastAsia="Yu Gothic Light" w:hAnsi="Aptos" w:cs="Times New Roman"/>
      <w:color w:val="0F4761"/>
      <w:szCs w:val="24"/>
      <w:lang w:eastAsia="en-US"/>
    </w:rPr>
  </w:style>
  <w:style w:type="paragraph" w:customStyle="1" w:styleId="Nagwek61">
    <w:name w:val="Nagłówek 61"/>
    <w:basedOn w:val="Normalny"/>
    <w:next w:val="Normalny"/>
    <w:uiPriority w:val="9"/>
    <w:semiHidden/>
    <w:unhideWhenUsed/>
    <w:qFormat/>
    <w:rsid w:val="00673E6D"/>
    <w:pPr>
      <w:keepNext/>
      <w:keepLines/>
      <w:widowControl/>
      <w:autoSpaceDE/>
      <w:autoSpaceDN/>
      <w:adjustRightInd/>
      <w:spacing w:before="40" w:line="279" w:lineRule="auto"/>
      <w:outlineLvl w:val="5"/>
    </w:pPr>
    <w:rPr>
      <w:rFonts w:ascii="Aptos" w:eastAsia="Yu Gothic Light" w:hAnsi="Aptos" w:cs="Times New Roman"/>
      <w:i/>
      <w:iCs/>
      <w:color w:val="595959"/>
      <w:szCs w:val="24"/>
      <w:lang w:eastAsia="en-US"/>
    </w:rPr>
  </w:style>
  <w:style w:type="paragraph" w:customStyle="1" w:styleId="Nagwek71">
    <w:name w:val="Nagłówek 71"/>
    <w:basedOn w:val="Normalny"/>
    <w:next w:val="Normalny"/>
    <w:uiPriority w:val="9"/>
    <w:semiHidden/>
    <w:unhideWhenUsed/>
    <w:qFormat/>
    <w:rsid w:val="00673E6D"/>
    <w:pPr>
      <w:keepNext/>
      <w:keepLines/>
      <w:widowControl/>
      <w:autoSpaceDE/>
      <w:autoSpaceDN/>
      <w:adjustRightInd/>
      <w:spacing w:before="40" w:line="279" w:lineRule="auto"/>
      <w:outlineLvl w:val="6"/>
    </w:pPr>
    <w:rPr>
      <w:rFonts w:ascii="Aptos" w:eastAsia="Yu Gothic Light" w:hAnsi="Aptos" w:cs="Times New Roman"/>
      <w:color w:val="595959"/>
      <w:szCs w:val="24"/>
      <w:lang w:eastAsia="en-US"/>
    </w:rPr>
  </w:style>
  <w:style w:type="paragraph" w:customStyle="1" w:styleId="Nagwek81">
    <w:name w:val="Nagłówek 81"/>
    <w:basedOn w:val="Normalny"/>
    <w:next w:val="Normalny"/>
    <w:uiPriority w:val="9"/>
    <w:semiHidden/>
    <w:unhideWhenUsed/>
    <w:qFormat/>
    <w:rsid w:val="00673E6D"/>
    <w:pPr>
      <w:keepNext/>
      <w:keepLines/>
      <w:widowControl/>
      <w:autoSpaceDE/>
      <w:autoSpaceDN/>
      <w:adjustRightInd/>
      <w:spacing w:line="279" w:lineRule="auto"/>
      <w:outlineLvl w:val="7"/>
    </w:pPr>
    <w:rPr>
      <w:rFonts w:ascii="Aptos" w:eastAsia="Yu Gothic Light" w:hAnsi="Aptos" w:cs="Times New Roman"/>
      <w:i/>
      <w:iCs/>
      <w:color w:val="272727"/>
      <w:szCs w:val="24"/>
      <w:lang w:eastAsia="en-US"/>
    </w:rPr>
  </w:style>
  <w:style w:type="paragraph" w:customStyle="1" w:styleId="Nagwek91">
    <w:name w:val="Nagłówek 91"/>
    <w:basedOn w:val="Normalny"/>
    <w:next w:val="Normalny"/>
    <w:uiPriority w:val="9"/>
    <w:semiHidden/>
    <w:unhideWhenUsed/>
    <w:qFormat/>
    <w:rsid w:val="00673E6D"/>
    <w:pPr>
      <w:keepNext/>
      <w:keepLines/>
      <w:widowControl/>
      <w:autoSpaceDE/>
      <w:autoSpaceDN/>
      <w:adjustRightInd/>
      <w:spacing w:line="279" w:lineRule="auto"/>
      <w:outlineLvl w:val="8"/>
    </w:pPr>
    <w:rPr>
      <w:rFonts w:ascii="Aptos" w:eastAsia="Yu Gothic Light" w:hAnsi="Aptos" w:cs="Times New Roman"/>
      <w:color w:val="272727"/>
      <w:szCs w:val="24"/>
      <w:lang w:eastAsia="en-US"/>
    </w:rPr>
  </w:style>
  <w:style w:type="numbering" w:customStyle="1" w:styleId="Bezlisty1">
    <w:name w:val="Bez listy1"/>
    <w:next w:val="Bezlisty"/>
    <w:uiPriority w:val="99"/>
    <w:semiHidden/>
    <w:unhideWhenUsed/>
    <w:rsid w:val="00673E6D"/>
  </w:style>
  <w:style w:type="paragraph" w:customStyle="1" w:styleId="Tytu1">
    <w:name w:val="Tytuł1"/>
    <w:basedOn w:val="Normalny"/>
    <w:next w:val="Normalny"/>
    <w:uiPriority w:val="10"/>
    <w:qFormat/>
    <w:rsid w:val="00673E6D"/>
    <w:pPr>
      <w:widowControl/>
      <w:autoSpaceDE/>
      <w:autoSpaceDN/>
      <w:adjustRightInd/>
      <w:spacing w:after="80" w:line="240" w:lineRule="auto"/>
      <w:contextualSpacing/>
    </w:pPr>
    <w:rPr>
      <w:rFonts w:ascii="Aptos Display" w:eastAsia="Yu Gothic Light" w:hAnsi="Aptos Display" w:cs="Times New Roman"/>
      <w:spacing w:val="-10"/>
      <w:kern w:val="28"/>
      <w:sz w:val="56"/>
      <w:szCs w:val="56"/>
      <w:lang w:eastAsia="en-US"/>
    </w:rPr>
  </w:style>
  <w:style w:type="paragraph" w:customStyle="1" w:styleId="Podtytu1">
    <w:name w:val="Podtytuł1"/>
    <w:basedOn w:val="Normalny"/>
    <w:next w:val="Normalny"/>
    <w:uiPriority w:val="11"/>
    <w:qFormat/>
    <w:rsid w:val="00673E6D"/>
    <w:pPr>
      <w:widowControl/>
      <w:numPr>
        <w:ilvl w:val="1"/>
      </w:numPr>
      <w:autoSpaceDE/>
      <w:autoSpaceDN/>
      <w:adjustRightInd/>
      <w:spacing w:after="160" w:line="279" w:lineRule="auto"/>
    </w:pPr>
    <w:rPr>
      <w:rFonts w:ascii="Aptos" w:eastAsia="Yu Gothic Light" w:hAnsi="Aptos" w:cs="Times New Roman"/>
      <w:color w:val="595959"/>
      <w:spacing w:val="15"/>
      <w:sz w:val="28"/>
      <w:szCs w:val="28"/>
      <w:lang w:eastAsia="en-US"/>
    </w:rPr>
  </w:style>
  <w:style w:type="paragraph" w:customStyle="1" w:styleId="Cytat1">
    <w:name w:val="Cytat1"/>
    <w:basedOn w:val="Normalny"/>
    <w:next w:val="Normalny"/>
    <w:uiPriority w:val="29"/>
    <w:qFormat/>
    <w:rsid w:val="00673E6D"/>
    <w:pPr>
      <w:widowControl/>
      <w:autoSpaceDE/>
      <w:autoSpaceDN/>
      <w:adjustRightInd/>
      <w:spacing w:before="160" w:after="160" w:line="279" w:lineRule="auto"/>
      <w:jc w:val="center"/>
    </w:pPr>
    <w:rPr>
      <w:rFonts w:ascii="Aptos" w:eastAsia="Aptos" w:hAnsi="Aptos"/>
      <w:i/>
      <w:iCs/>
      <w:color w:val="404040"/>
      <w:szCs w:val="24"/>
      <w:lang w:eastAsia="en-US"/>
    </w:rPr>
  </w:style>
  <w:style w:type="paragraph" w:customStyle="1" w:styleId="Akapitzlist1">
    <w:name w:val="Akapit z listą1"/>
    <w:basedOn w:val="Normalny"/>
    <w:next w:val="Akapitzlist"/>
    <w:uiPriority w:val="34"/>
    <w:qFormat/>
    <w:rsid w:val="00673E6D"/>
    <w:pPr>
      <w:widowControl/>
      <w:autoSpaceDE/>
      <w:autoSpaceDN/>
      <w:adjustRightInd/>
      <w:spacing w:after="160" w:line="279" w:lineRule="auto"/>
      <w:ind w:left="720"/>
      <w:contextualSpacing/>
    </w:pPr>
    <w:rPr>
      <w:rFonts w:ascii="Aptos" w:eastAsia="Aptos" w:hAnsi="Aptos"/>
      <w:szCs w:val="24"/>
      <w:lang w:eastAsia="en-US"/>
    </w:rPr>
  </w:style>
  <w:style w:type="character" w:customStyle="1" w:styleId="Wyrnienieintensywne1">
    <w:name w:val="Wyróżnienie intensywne1"/>
    <w:basedOn w:val="Domylnaczcionkaakapitu"/>
    <w:uiPriority w:val="21"/>
    <w:qFormat/>
    <w:rsid w:val="00673E6D"/>
    <w:rPr>
      <w:i/>
      <w:iCs/>
      <w:color w:val="0F4761"/>
    </w:rPr>
  </w:style>
  <w:style w:type="paragraph" w:customStyle="1" w:styleId="Cytatintensywny1">
    <w:name w:val="Cytat intensywny1"/>
    <w:basedOn w:val="Normalny"/>
    <w:next w:val="Normalny"/>
    <w:uiPriority w:val="30"/>
    <w:qFormat/>
    <w:rsid w:val="00673E6D"/>
    <w:pPr>
      <w:widowControl/>
      <w:pBdr>
        <w:top w:val="single" w:sz="4" w:space="10" w:color="0F4761"/>
        <w:bottom w:val="single" w:sz="4" w:space="10" w:color="0F4761"/>
      </w:pBdr>
      <w:autoSpaceDE/>
      <w:autoSpaceDN/>
      <w:adjustRightInd/>
      <w:spacing w:before="360" w:after="360" w:line="279" w:lineRule="auto"/>
      <w:ind w:left="864" w:right="864"/>
      <w:jc w:val="center"/>
    </w:pPr>
    <w:rPr>
      <w:rFonts w:ascii="Aptos" w:eastAsia="Aptos" w:hAnsi="Aptos"/>
      <w:i/>
      <w:iCs/>
      <w:color w:val="0F4761"/>
      <w:szCs w:val="24"/>
      <w:lang w:eastAsia="en-US"/>
    </w:rPr>
  </w:style>
  <w:style w:type="character" w:customStyle="1" w:styleId="Odwoanieintensywne1">
    <w:name w:val="Odwołanie intensywne1"/>
    <w:basedOn w:val="Domylnaczcionkaakapitu"/>
    <w:uiPriority w:val="32"/>
    <w:qFormat/>
    <w:rsid w:val="00673E6D"/>
    <w:rPr>
      <w:b/>
      <w:bCs/>
      <w:smallCaps/>
      <w:color w:val="0F4761"/>
      <w:spacing w:val="5"/>
    </w:rPr>
  </w:style>
  <w:style w:type="character" w:customStyle="1" w:styleId="Hipercze1">
    <w:name w:val="Hiperłącze1"/>
    <w:basedOn w:val="Domylnaczcionkaakapitu"/>
    <w:uiPriority w:val="99"/>
    <w:unhideWhenUsed/>
    <w:rsid w:val="00673E6D"/>
    <w:rPr>
      <w:color w:val="467886"/>
      <w:u w:val="single"/>
    </w:rPr>
  </w:style>
  <w:style w:type="paragraph" w:customStyle="1" w:styleId="Poprawka1">
    <w:name w:val="Poprawka1"/>
    <w:next w:val="Poprawka"/>
    <w:hidden/>
    <w:uiPriority w:val="99"/>
    <w:semiHidden/>
    <w:rsid w:val="00673E6D"/>
    <w:pPr>
      <w:spacing w:after="0" w:line="240" w:lineRule="auto"/>
    </w:pPr>
    <w:rPr>
      <w:rFonts w:ascii="Aptos" w:eastAsia="Aptos" w:hAnsi="Aptos" w:cs="Arial"/>
      <w:kern w:val="0"/>
      <w:sz w:val="24"/>
      <w:szCs w:val="24"/>
      <w14:ligatures w14:val="none"/>
    </w:rPr>
  </w:style>
  <w:style w:type="character" w:customStyle="1" w:styleId="Nierozpoznanawzmianka1">
    <w:name w:val="Nierozpoznana wzmianka1"/>
    <w:basedOn w:val="Domylnaczcionkaakapitu"/>
    <w:uiPriority w:val="99"/>
    <w:semiHidden/>
    <w:unhideWhenUsed/>
    <w:rsid w:val="00673E6D"/>
    <w:rPr>
      <w:color w:val="605E5C"/>
      <w:shd w:val="clear" w:color="auto" w:fill="E1DFDD"/>
    </w:rPr>
  </w:style>
  <w:style w:type="paragraph" w:customStyle="1" w:styleId="paragraph">
    <w:name w:val="paragraph"/>
    <w:basedOn w:val="Normalny"/>
    <w:rsid w:val="00673E6D"/>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normaltextrun">
    <w:name w:val="normaltextrun"/>
    <w:basedOn w:val="Domylnaczcionkaakapitu"/>
    <w:rsid w:val="00673E6D"/>
  </w:style>
  <w:style w:type="character" w:customStyle="1" w:styleId="eop">
    <w:name w:val="eop"/>
    <w:basedOn w:val="Domylnaczcionkaakapitu"/>
    <w:rsid w:val="00673E6D"/>
  </w:style>
  <w:style w:type="character" w:customStyle="1" w:styleId="tabchar">
    <w:name w:val="tabchar"/>
    <w:basedOn w:val="Domylnaczcionkaakapitu"/>
    <w:rsid w:val="00673E6D"/>
  </w:style>
  <w:style w:type="character" w:customStyle="1" w:styleId="findhit">
    <w:name w:val="findhit"/>
    <w:basedOn w:val="Domylnaczcionkaakapitu"/>
    <w:rsid w:val="00673E6D"/>
  </w:style>
  <w:style w:type="character" w:customStyle="1" w:styleId="scxw45490527">
    <w:name w:val="scxw45490527"/>
    <w:basedOn w:val="Domylnaczcionkaakapitu"/>
    <w:rsid w:val="00673E6D"/>
  </w:style>
  <w:style w:type="character" w:customStyle="1" w:styleId="Wzmianka1">
    <w:name w:val="Wzmianka1"/>
    <w:basedOn w:val="Domylnaczcionkaakapitu"/>
    <w:uiPriority w:val="99"/>
    <w:unhideWhenUsed/>
    <w:rsid w:val="00673E6D"/>
    <w:rPr>
      <w:color w:val="2B579A"/>
      <w:shd w:val="clear" w:color="auto" w:fill="E1DFDD"/>
    </w:rPr>
  </w:style>
  <w:style w:type="character" w:customStyle="1" w:styleId="act">
    <w:name w:val="act"/>
    <w:basedOn w:val="Domylnaczcionkaakapitu"/>
    <w:rsid w:val="00673E6D"/>
  </w:style>
  <w:style w:type="character" w:customStyle="1" w:styleId="scxw96333661">
    <w:name w:val="scxw96333661"/>
    <w:basedOn w:val="Domylnaczcionkaakapitu"/>
    <w:rsid w:val="00673E6D"/>
  </w:style>
  <w:style w:type="table" w:customStyle="1" w:styleId="Tabela-Siatka1">
    <w:name w:val="Tabela - Siatka1"/>
    <w:basedOn w:val="Standardowy"/>
    <w:next w:val="Tabela-Siatka"/>
    <w:uiPriority w:val="59"/>
    <w:rsid w:val="00673E6D"/>
    <w:pPr>
      <w:spacing w:after="0" w:line="240" w:lineRule="auto"/>
    </w:pPr>
    <w:rPr>
      <w:rFonts w:ascii="Aptos" w:eastAsia="Aptos" w:hAnsi="Aptos" w:cs="Arial"/>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basedOn w:val="Domylnaczcionkaakapitu"/>
    <w:uiPriority w:val="20"/>
    <w:qFormat/>
    <w:rsid w:val="00673E6D"/>
    <w:rPr>
      <w:i/>
      <w:iCs/>
    </w:rPr>
  </w:style>
  <w:style w:type="paragraph" w:customStyle="1" w:styleId="Tekstprzypisukocowego1">
    <w:name w:val="Tekst przypisu końcowego1"/>
    <w:basedOn w:val="Normalny"/>
    <w:next w:val="Tekstprzypisukocowego"/>
    <w:link w:val="TekstprzypisukocowegoZnak"/>
    <w:uiPriority w:val="99"/>
    <w:semiHidden/>
    <w:unhideWhenUsed/>
    <w:rsid w:val="00673E6D"/>
    <w:pPr>
      <w:widowControl/>
      <w:autoSpaceDE/>
      <w:autoSpaceDN/>
      <w:adjustRightInd/>
      <w:spacing w:line="240" w:lineRule="auto"/>
    </w:pPr>
    <w:rPr>
      <w:rFonts w:ascii="Times" w:eastAsia="Times New Roman" w:hAnsi="Times" w:cs="Times New Roman"/>
      <w:sz w:val="20"/>
    </w:rPr>
  </w:style>
  <w:style w:type="character" w:customStyle="1" w:styleId="TekstprzypisukocowegoZnak">
    <w:name w:val="Tekst przypisu końcowego Znak"/>
    <w:basedOn w:val="Domylnaczcionkaakapitu"/>
    <w:link w:val="Tekstprzypisukocowego1"/>
    <w:uiPriority w:val="99"/>
    <w:semiHidden/>
    <w:rsid w:val="00673E6D"/>
    <w:rPr>
      <w:rFonts w:ascii="Times" w:eastAsia="Times New Roman" w:hAnsi="Times"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73E6D"/>
    <w:rPr>
      <w:vertAlign w:val="superscript"/>
    </w:rPr>
  </w:style>
  <w:style w:type="character" w:customStyle="1" w:styleId="scxw212215101">
    <w:name w:val="scxw212215101"/>
    <w:basedOn w:val="Domylnaczcionkaakapitu"/>
    <w:uiPriority w:val="1"/>
    <w:rsid w:val="00673E6D"/>
    <w:rPr>
      <w:rFonts w:ascii="Calibri" w:eastAsia="Calibri" w:hAnsi="Calibri" w:cs="Times New Roman"/>
    </w:rPr>
  </w:style>
  <w:style w:type="character" w:customStyle="1" w:styleId="scxw49794450">
    <w:name w:val="scxw49794450"/>
    <w:basedOn w:val="Domylnaczcionkaakapitu"/>
    <w:uiPriority w:val="1"/>
    <w:rsid w:val="00673E6D"/>
    <w:rPr>
      <w:rFonts w:ascii="Calibri" w:eastAsia="Calibri" w:hAnsi="Calibri" w:cs="Times New Roman"/>
    </w:rPr>
  </w:style>
  <w:style w:type="character" w:customStyle="1" w:styleId="scxw204514300">
    <w:name w:val="scxw204514300"/>
    <w:basedOn w:val="Domylnaczcionkaakapitu"/>
    <w:uiPriority w:val="1"/>
    <w:rsid w:val="00673E6D"/>
    <w:rPr>
      <w:rFonts w:ascii="Calibri" w:eastAsia="Calibri" w:hAnsi="Calibri" w:cs="Times New Roman"/>
    </w:rPr>
  </w:style>
  <w:style w:type="character" w:customStyle="1" w:styleId="TekstprzypisudolnegoZnak1">
    <w:name w:val="Tekst przypisu dolnego Znak1"/>
    <w:basedOn w:val="Domylnaczcionkaakapitu"/>
    <w:uiPriority w:val="99"/>
    <w:semiHidden/>
    <w:rsid w:val="00673E6D"/>
    <w:rPr>
      <w:kern w:val="0"/>
      <w:sz w:val="20"/>
      <w:szCs w:val="20"/>
      <w14:ligatures w14:val="none"/>
    </w:rPr>
  </w:style>
  <w:style w:type="character" w:customStyle="1" w:styleId="Nagwek2Znak1">
    <w:name w:val="Nagłówek 2 Znak1"/>
    <w:basedOn w:val="Domylnaczcionkaakapitu"/>
    <w:uiPriority w:val="99"/>
    <w:semiHidden/>
    <w:rsid w:val="00673E6D"/>
    <w:rPr>
      <w:rFonts w:asciiTheme="majorHAnsi" w:eastAsiaTheme="majorEastAsia" w:hAnsiTheme="majorHAnsi" w:cstheme="majorBidi"/>
      <w:color w:val="0F4761" w:themeColor="accent1" w:themeShade="BF"/>
      <w:sz w:val="26"/>
      <w:szCs w:val="26"/>
    </w:rPr>
  </w:style>
  <w:style w:type="character" w:customStyle="1" w:styleId="Nagwek3Znak1">
    <w:name w:val="Nagłówek 3 Znak1"/>
    <w:basedOn w:val="Domylnaczcionkaakapitu"/>
    <w:uiPriority w:val="99"/>
    <w:semiHidden/>
    <w:rsid w:val="00673E6D"/>
    <w:rPr>
      <w:rFonts w:asciiTheme="majorHAnsi" w:eastAsiaTheme="majorEastAsia" w:hAnsiTheme="majorHAnsi" w:cstheme="majorBidi"/>
      <w:color w:val="0A2F40" w:themeColor="accent1" w:themeShade="7F"/>
    </w:rPr>
  </w:style>
  <w:style w:type="character" w:customStyle="1" w:styleId="Nagwek4Znak1">
    <w:name w:val="Nagłówek 4 Znak1"/>
    <w:basedOn w:val="Domylnaczcionkaakapitu"/>
    <w:uiPriority w:val="99"/>
    <w:semiHidden/>
    <w:rsid w:val="00673E6D"/>
    <w:rPr>
      <w:rFonts w:asciiTheme="majorHAnsi" w:eastAsiaTheme="majorEastAsia" w:hAnsiTheme="majorHAnsi" w:cstheme="majorBidi"/>
      <w:i/>
      <w:iCs/>
      <w:color w:val="0F4761" w:themeColor="accent1" w:themeShade="BF"/>
      <w:szCs w:val="20"/>
    </w:rPr>
  </w:style>
  <w:style w:type="character" w:customStyle="1" w:styleId="Nagwek5Znak1">
    <w:name w:val="Nagłówek 5 Znak1"/>
    <w:basedOn w:val="Domylnaczcionkaakapitu"/>
    <w:uiPriority w:val="99"/>
    <w:semiHidden/>
    <w:rsid w:val="00673E6D"/>
    <w:rPr>
      <w:rFonts w:asciiTheme="majorHAnsi" w:eastAsiaTheme="majorEastAsia" w:hAnsiTheme="majorHAnsi" w:cstheme="majorBidi"/>
      <w:color w:val="0F4761" w:themeColor="accent1" w:themeShade="BF"/>
      <w:szCs w:val="20"/>
    </w:rPr>
  </w:style>
  <w:style w:type="character" w:customStyle="1" w:styleId="Nagwek6Znak1">
    <w:name w:val="Nagłówek 6 Znak1"/>
    <w:basedOn w:val="Domylnaczcionkaakapitu"/>
    <w:uiPriority w:val="99"/>
    <w:semiHidden/>
    <w:rsid w:val="00673E6D"/>
    <w:rPr>
      <w:rFonts w:asciiTheme="majorHAnsi" w:eastAsiaTheme="majorEastAsia" w:hAnsiTheme="majorHAnsi" w:cstheme="majorBidi"/>
      <w:color w:val="0A2F40" w:themeColor="accent1" w:themeShade="7F"/>
      <w:szCs w:val="20"/>
    </w:rPr>
  </w:style>
  <w:style w:type="character" w:customStyle="1" w:styleId="Nagwek7Znak1">
    <w:name w:val="Nagłówek 7 Znak1"/>
    <w:basedOn w:val="Domylnaczcionkaakapitu"/>
    <w:uiPriority w:val="99"/>
    <w:semiHidden/>
    <w:rsid w:val="00673E6D"/>
    <w:rPr>
      <w:rFonts w:asciiTheme="majorHAnsi" w:eastAsiaTheme="majorEastAsia" w:hAnsiTheme="majorHAnsi" w:cstheme="majorBidi"/>
      <w:i/>
      <w:iCs/>
      <w:color w:val="0A2F40" w:themeColor="accent1" w:themeShade="7F"/>
      <w:szCs w:val="20"/>
    </w:rPr>
  </w:style>
  <w:style w:type="character" w:customStyle="1" w:styleId="Nagwek8Znak1">
    <w:name w:val="Nagłówek 8 Znak1"/>
    <w:basedOn w:val="Domylnaczcionkaakapitu"/>
    <w:uiPriority w:val="99"/>
    <w:semiHidden/>
    <w:rsid w:val="00673E6D"/>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9"/>
    <w:semiHidden/>
    <w:rsid w:val="00673E6D"/>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99"/>
    <w:semiHidden/>
    <w:rsid w:val="00673E6D"/>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99"/>
    <w:semiHidden/>
    <w:rsid w:val="00673E6D"/>
    <w:rPr>
      <w:rFonts w:asciiTheme="minorHAnsi" w:eastAsiaTheme="minorEastAsia" w:hAnsiTheme="minorHAnsi" w:cstheme="minorBidi"/>
      <w:color w:val="5A5A5A" w:themeColor="text1" w:themeTint="A5"/>
      <w:spacing w:val="15"/>
      <w:sz w:val="22"/>
      <w:szCs w:val="22"/>
    </w:rPr>
  </w:style>
  <w:style w:type="character" w:customStyle="1" w:styleId="CytatZnak1">
    <w:name w:val="Cytat Znak1"/>
    <w:basedOn w:val="Domylnaczcionkaakapitu"/>
    <w:uiPriority w:val="99"/>
    <w:semiHidden/>
    <w:rsid w:val="00673E6D"/>
    <w:rPr>
      <w:rFonts w:ascii="Times New Roman" w:eastAsiaTheme="minorEastAsia" w:hAnsi="Times New Roman" w:cs="Arial"/>
      <w:i/>
      <w:iCs/>
      <w:color w:val="404040" w:themeColor="text1" w:themeTint="BF"/>
      <w:szCs w:val="20"/>
    </w:rPr>
  </w:style>
  <w:style w:type="character" w:customStyle="1" w:styleId="CytatintensywnyZnak1">
    <w:name w:val="Cytat intensywny Znak1"/>
    <w:basedOn w:val="Domylnaczcionkaakapitu"/>
    <w:uiPriority w:val="99"/>
    <w:semiHidden/>
    <w:rsid w:val="00673E6D"/>
    <w:rPr>
      <w:rFonts w:ascii="Times New Roman" w:eastAsiaTheme="minorEastAsia" w:hAnsi="Times New Roman" w:cs="Arial"/>
      <w:i/>
      <w:iCs/>
      <w:color w:val="156082" w:themeColor="accent1"/>
      <w:szCs w:val="20"/>
    </w:rPr>
  </w:style>
  <w:style w:type="character" w:styleId="Hipercze">
    <w:name w:val="Hyperlink"/>
    <w:basedOn w:val="Domylnaczcionkaakapitu"/>
    <w:uiPriority w:val="99"/>
    <w:rsid w:val="00673E6D"/>
    <w:rPr>
      <w:color w:val="467886" w:themeColor="hyperlink"/>
      <w:u w:val="single"/>
    </w:rPr>
  </w:style>
  <w:style w:type="paragraph" w:styleId="Poprawka">
    <w:name w:val="Revision"/>
    <w:hidden/>
    <w:uiPriority w:val="99"/>
    <w:semiHidden/>
    <w:rsid w:val="00673E6D"/>
    <w:pPr>
      <w:spacing w:after="0" w:line="240" w:lineRule="auto"/>
    </w:pPr>
    <w:rPr>
      <w:rFonts w:ascii="Times New Roman" w:eastAsiaTheme="minorEastAsia" w:hAnsi="Times New Roman" w:cs="Arial"/>
      <w:kern w:val="0"/>
      <w:sz w:val="24"/>
      <w:szCs w:val="20"/>
      <w:lang w:eastAsia="pl-PL"/>
      <w14:ligatures w14:val="none"/>
    </w:rPr>
  </w:style>
  <w:style w:type="paragraph" w:styleId="Tekstprzypisukocowego">
    <w:name w:val="endnote text"/>
    <w:basedOn w:val="Normalny"/>
    <w:link w:val="TekstprzypisukocowegoZnak1"/>
    <w:uiPriority w:val="99"/>
    <w:semiHidden/>
    <w:rsid w:val="00673E6D"/>
    <w:pPr>
      <w:spacing w:line="240" w:lineRule="auto"/>
    </w:pPr>
    <w:rPr>
      <w:sz w:val="20"/>
    </w:rPr>
  </w:style>
  <w:style w:type="character" w:customStyle="1" w:styleId="TekstprzypisukocowegoZnak1">
    <w:name w:val="Tekst przypisu końcowego Znak1"/>
    <w:basedOn w:val="Domylnaczcionkaakapitu"/>
    <w:link w:val="Tekstprzypisukocowego"/>
    <w:uiPriority w:val="99"/>
    <w:semiHidden/>
    <w:rsid w:val="00673E6D"/>
    <w:rPr>
      <w:rFonts w:ascii="Times New Roman" w:eastAsiaTheme="minorEastAsia" w:hAnsi="Times New Roman" w:cs="Arial"/>
      <w:kern w:val="0"/>
      <w:sz w:val="20"/>
      <w:szCs w:val="20"/>
      <w:lang w:eastAsia="pl-PL"/>
      <w14:ligatures w14:val="none"/>
    </w:rPr>
  </w:style>
  <w:style w:type="numbering" w:customStyle="1" w:styleId="Bezlisty2">
    <w:name w:val="Bez listy2"/>
    <w:next w:val="Bezlisty"/>
    <w:uiPriority w:val="99"/>
    <w:semiHidden/>
    <w:unhideWhenUsed/>
    <w:rsid w:val="00673E6D"/>
  </w:style>
  <w:style w:type="table" w:customStyle="1" w:styleId="Tabela-Siatka2">
    <w:name w:val="Tabela - Siatka2"/>
    <w:basedOn w:val="Standardowy"/>
    <w:next w:val="Tabela-Siatka"/>
    <w:uiPriority w:val="59"/>
    <w:rsid w:val="00673E6D"/>
    <w:pPr>
      <w:spacing w:after="0" w:line="240" w:lineRule="auto"/>
    </w:pPr>
    <w:rPr>
      <w:rFonts w:ascii="Aptos" w:eastAsia="Aptos" w:hAnsi="Aptos" w:cs="Arial"/>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1">
    <w:name w:val="pf1"/>
    <w:basedOn w:val="Normalny"/>
    <w:rsid w:val="00673E6D"/>
    <w:pPr>
      <w:widowControl/>
      <w:autoSpaceDE/>
      <w:autoSpaceDN/>
      <w:adjustRightInd/>
      <w:spacing w:before="100" w:beforeAutospacing="1" w:after="100" w:afterAutospacing="1" w:line="240" w:lineRule="auto"/>
      <w:ind w:left="720"/>
    </w:pPr>
    <w:rPr>
      <w:rFonts w:eastAsia="Times New Roman" w:cs="Times New Roman"/>
      <w:szCs w:val="24"/>
    </w:rPr>
  </w:style>
  <w:style w:type="paragraph" w:customStyle="1" w:styleId="pf2">
    <w:name w:val="pf2"/>
    <w:basedOn w:val="Normalny"/>
    <w:rsid w:val="00673E6D"/>
    <w:pPr>
      <w:widowControl/>
      <w:autoSpaceDE/>
      <w:autoSpaceDN/>
      <w:adjustRightInd/>
      <w:spacing w:before="100" w:beforeAutospacing="1" w:after="100" w:afterAutospacing="1" w:line="240" w:lineRule="auto"/>
      <w:ind w:left="360"/>
    </w:pPr>
    <w:rPr>
      <w:rFonts w:eastAsia="Times New Roman" w:cs="Times New Roman"/>
      <w:szCs w:val="24"/>
    </w:rPr>
  </w:style>
  <w:style w:type="paragraph" w:customStyle="1" w:styleId="pf0">
    <w:name w:val="pf0"/>
    <w:basedOn w:val="Normalny"/>
    <w:rsid w:val="00673E6D"/>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cf01">
    <w:name w:val="cf01"/>
    <w:basedOn w:val="Domylnaczcionkaakapitu"/>
    <w:rsid w:val="00673E6D"/>
    <w:rPr>
      <w:rFonts w:ascii="Segoe UI" w:hAnsi="Segoe UI" w:cs="Segoe UI" w:hint="default"/>
      <w:sz w:val="18"/>
      <w:szCs w:val="18"/>
    </w:rPr>
  </w:style>
  <w:style w:type="character" w:customStyle="1" w:styleId="ui-provider">
    <w:name w:val="ui-provider"/>
    <w:basedOn w:val="Domylnaczcionkaakapitu"/>
    <w:rsid w:val="00673E6D"/>
  </w:style>
  <w:style w:type="character" w:styleId="Pogrubienie">
    <w:name w:val="Strong"/>
    <w:basedOn w:val="Domylnaczcionkaakapitu"/>
    <w:uiPriority w:val="22"/>
    <w:qFormat/>
    <w:rsid w:val="00673E6D"/>
    <w:rPr>
      <w:b/>
      <w:bCs/>
    </w:rPr>
  </w:style>
  <w:style w:type="paragraph" w:styleId="NormalnyWeb">
    <w:name w:val="Normal (Web)"/>
    <w:basedOn w:val="Normalny"/>
    <w:uiPriority w:val="99"/>
    <w:semiHidden/>
    <w:rsid w:val="00673E6D"/>
    <w:rPr>
      <w:rFonts w:cs="Times New Roman"/>
      <w:szCs w:val="24"/>
    </w:rPr>
  </w:style>
  <w:style w:type="numbering" w:customStyle="1" w:styleId="Bezlisty3">
    <w:name w:val="Bez listy3"/>
    <w:next w:val="Bezlisty"/>
    <w:uiPriority w:val="99"/>
    <w:semiHidden/>
    <w:unhideWhenUsed/>
    <w:rsid w:val="00673E6D"/>
  </w:style>
  <w:style w:type="numbering" w:customStyle="1" w:styleId="Bezlisty4">
    <w:name w:val="Bez listy4"/>
    <w:next w:val="Bezlisty"/>
    <w:uiPriority w:val="99"/>
    <w:semiHidden/>
    <w:unhideWhenUsed/>
    <w:rsid w:val="00673E6D"/>
  </w:style>
  <w:style w:type="table" w:customStyle="1" w:styleId="Tabela-Siatka3">
    <w:name w:val="Tabela - Siatka3"/>
    <w:basedOn w:val="Standardowy"/>
    <w:next w:val="Tabela-Siatka"/>
    <w:uiPriority w:val="99"/>
    <w:rsid w:val="00673E6D"/>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673E6D"/>
    <w:rPr>
      <w:color w:val="800080"/>
      <w:u w:val="single"/>
    </w:rPr>
  </w:style>
  <w:style w:type="character" w:styleId="Nierozpoznanawzmianka">
    <w:name w:val="Unresolved Mention"/>
    <w:basedOn w:val="Domylnaczcionkaakapitu"/>
    <w:uiPriority w:val="99"/>
    <w:semiHidden/>
    <w:unhideWhenUsed/>
    <w:rsid w:val="00673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igital.gob.es/dam/es/portalmtdfp/DigitalizacionIA/Estrategia_IA_2024.pdf" TargetMode="External"/><Relationship Id="rId1" Type="http://schemas.openxmlformats.org/officeDocument/2006/relationships/hyperlink" Target="https://www.gov.pl/web/cyfryzacja/wdrozenie-aktu-o-a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18491</Words>
  <Characters>110950</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Bodych Dominika</dc:creator>
  <cp:keywords/>
  <dc:description/>
  <cp:lastModifiedBy>Bodych Dominika</cp:lastModifiedBy>
  <cp:revision>2</cp:revision>
  <dcterms:created xsi:type="dcterms:W3CDTF">2026-04-07T09:24:00Z</dcterms:created>
  <dcterms:modified xsi:type="dcterms:W3CDTF">2026-04-07T09:24:00Z</dcterms:modified>
</cp:coreProperties>
</file>