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40F4" w14:textId="77777777" w:rsidR="00B06A47" w:rsidRPr="00A334E0" w:rsidRDefault="00B06A47" w:rsidP="00A334E0">
      <w:pPr>
        <w:pStyle w:val="DATAAKTUdatauchwalenialubwydaniaaktu"/>
        <w:keepNext w:val="0"/>
        <w:spacing w:after="80"/>
        <w:rPr>
          <w:rStyle w:val="Ppogrubienie"/>
          <w:b w:val="0"/>
          <w:bCs w:val="0"/>
        </w:rPr>
      </w:pPr>
      <w:r w:rsidRPr="00A334E0">
        <w:rPr>
          <w:rStyle w:val="Ppogrubienie"/>
          <w:b w:val="0"/>
          <w:bCs w:val="0"/>
        </w:rPr>
        <w:t>UZASADNIENIE</w:t>
      </w:r>
    </w:p>
    <w:p w14:paraId="3B9777BA" w14:textId="499A7EAE" w:rsidR="00EB0016" w:rsidRPr="001210F7" w:rsidRDefault="00EB0016" w:rsidP="00A334E0">
      <w:pPr>
        <w:spacing w:before="80"/>
        <w:jc w:val="both"/>
        <w:rPr>
          <w:rFonts w:eastAsia="Calibri" w:cs="Times New Roman"/>
          <w:bCs/>
          <w:iCs/>
          <w:szCs w:val="24"/>
        </w:rPr>
      </w:pPr>
      <w:r>
        <w:t>P</w:t>
      </w:r>
      <w:r w:rsidRPr="0096080B">
        <w:t xml:space="preserve">rzedłożony projekt </w:t>
      </w:r>
      <w:r w:rsidRPr="001210F7">
        <w:rPr>
          <w:rFonts w:eastAsia="Calibri" w:cs="Times New Roman"/>
          <w:bCs/>
          <w:iCs/>
          <w:szCs w:val="24"/>
        </w:rPr>
        <w:t>wprowadza zmiany w:</w:t>
      </w:r>
    </w:p>
    <w:p w14:paraId="3CD8E6D9" w14:textId="1931D54D" w:rsidR="00EB0016" w:rsidRPr="001210F7" w:rsidRDefault="00EB0016" w:rsidP="00A334E0">
      <w:pPr>
        <w:widowControl/>
        <w:numPr>
          <w:ilvl w:val="0"/>
          <w:numId w:val="3"/>
        </w:numPr>
        <w:autoSpaceDE/>
        <w:autoSpaceDN/>
        <w:adjustRightInd/>
        <w:ind w:left="777" w:hanging="493"/>
        <w:jc w:val="both"/>
        <w:rPr>
          <w:rFonts w:eastAsia="Calibri" w:cs="Times New Roman"/>
          <w:bCs/>
          <w:iCs/>
          <w:szCs w:val="24"/>
        </w:rPr>
      </w:pPr>
      <w:r w:rsidRPr="001210F7">
        <w:rPr>
          <w:rFonts w:eastAsia="Calibri" w:cs="Times New Roman"/>
          <w:bCs/>
          <w:iCs/>
          <w:szCs w:val="24"/>
        </w:rPr>
        <w:t>ustawie z dnia 26 lipca 1991 r. o podatku dochodowym od osób fizycznych (Dz.</w:t>
      </w:r>
      <w:r w:rsidR="00F46D83">
        <w:rPr>
          <w:rFonts w:eastAsia="Calibri" w:cs="Times New Roman"/>
          <w:bCs/>
          <w:iCs/>
          <w:szCs w:val="24"/>
        </w:rPr>
        <w:t xml:space="preserve"> </w:t>
      </w:r>
      <w:r w:rsidRPr="001210F7">
        <w:rPr>
          <w:rFonts w:eastAsia="Calibri" w:cs="Times New Roman"/>
          <w:bCs/>
          <w:iCs/>
          <w:szCs w:val="24"/>
        </w:rPr>
        <w:t>U. z</w:t>
      </w:r>
      <w:r w:rsidR="00A2256F">
        <w:rPr>
          <w:rFonts w:eastAsia="Calibri" w:cs="Times New Roman"/>
          <w:bCs/>
          <w:iCs/>
          <w:szCs w:val="24"/>
        </w:rPr>
        <w:t> </w:t>
      </w:r>
      <w:r w:rsidRPr="001210F7">
        <w:rPr>
          <w:rFonts w:eastAsia="Calibri" w:cs="Times New Roman"/>
          <w:bCs/>
          <w:iCs/>
          <w:szCs w:val="24"/>
        </w:rPr>
        <w:t xml:space="preserve">2025 r. poz. 163, </w:t>
      </w:r>
      <w:r w:rsidR="00311E34">
        <w:rPr>
          <w:rFonts w:eastAsia="Calibri" w:cs="Times New Roman"/>
          <w:bCs/>
          <w:iCs/>
          <w:szCs w:val="24"/>
        </w:rPr>
        <w:t>z późn. zm.</w:t>
      </w:r>
      <w:r w:rsidRPr="001210F7">
        <w:rPr>
          <w:rFonts w:eastAsia="Calibri" w:cs="Times New Roman"/>
          <w:bCs/>
          <w:iCs/>
          <w:szCs w:val="24"/>
        </w:rPr>
        <w:t>), zwanej dalej „</w:t>
      </w:r>
      <w:r w:rsidRPr="006C45C7">
        <w:rPr>
          <w:rFonts w:eastAsia="Calibri" w:cs="Times New Roman"/>
          <w:b/>
          <w:iCs/>
          <w:szCs w:val="24"/>
        </w:rPr>
        <w:t>ustawą PIT</w:t>
      </w:r>
      <w:r w:rsidRPr="001210F7">
        <w:rPr>
          <w:rFonts w:eastAsia="Calibri" w:cs="Times New Roman"/>
          <w:bCs/>
          <w:iCs/>
          <w:szCs w:val="24"/>
        </w:rPr>
        <w:t>”,</w:t>
      </w:r>
    </w:p>
    <w:p w14:paraId="681CE939" w14:textId="27D0BA19" w:rsidR="00EB0016" w:rsidRDefault="00EB0016" w:rsidP="00A334E0">
      <w:pPr>
        <w:widowControl/>
        <w:numPr>
          <w:ilvl w:val="0"/>
          <w:numId w:val="3"/>
        </w:numPr>
        <w:autoSpaceDE/>
        <w:autoSpaceDN/>
        <w:adjustRightInd/>
        <w:ind w:left="777" w:hanging="493"/>
        <w:jc w:val="both"/>
        <w:rPr>
          <w:rFonts w:eastAsia="Calibri" w:cs="Times New Roman"/>
          <w:bCs/>
          <w:iCs/>
          <w:szCs w:val="24"/>
        </w:rPr>
      </w:pPr>
      <w:r w:rsidRPr="001210F7">
        <w:rPr>
          <w:rFonts w:eastAsia="Calibri" w:cs="Times New Roman"/>
          <w:bCs/>
          <w:iCs/>
          <w:szCs w:val="24"/>
        </w:rPr>
        <w:t>ustawie z dnia 15 lutego 1992 r. o podatku dochodowym od osób prawnych (Dz.</w:t>
      </w:r>
      <w:r w:rsidR="00F46D83">
        <w:rPr>
          <w:rFonts w:eastAsia="Calibri" w:cs="Times New Roman"/>
          <w:bCs/>
          <w:iCs/>
          <w:szCs w:val="24"/>
        </w:rPr>
        <w:t xml:space="preserve"> </w:t>
      </w:r>
      <w:r w:rsidRPr="001210F7">
        <w:rPr>
          <w:rFonts w:eastAsia="Calibri" w:cs="Times New Roman"/>
          <w:bCs/>
          <w:iCs/>
          <w:szCs w:val="24"/>
        </w:rPr>
        <w:t>U. z</w:t>
      </w:r>
      <w:r w:rsidR="00A2256F">
        <w:rPr>
          <w:rFonts w:eastAsia="Calibri" w:cs="Times New Roman"/>
          <w:bCs/>
          <w:iCs/>
          <w:szCs w:val="24"/>
        </w:rPr>
        <w:t> </w:t>
      </w:r>
      <w:r w:rsidRPr="001210F7">
        <w:rPr>
          <w:rFonts w:eastAsia="Calibri" w:cs="Times New Roman"/>
          <w:bCs/>
          <w:iCs/>
          <w:szCs w:val="24"/>
        </w:rPr>
        <w:t>2025 r. poz. 278</w:t>
      </w:r>
      <w:r w:rsidR="00ED20CA" w:rsidRPr="00ED20CA">
        <w:rPr>
          <w:rFonts w:eastAsia="Calibri" w:cs="Times New Roman"/>
          <w:bCs/>
          <w:iCs/>
          <w:szCs w:val="24"/>
        </w:rPr>
        <w:t>, z późn. zm.</w:t>
      </w:r>
      <w:r w:rsidRPr="001210F7">
        <w:rPr>
          <w:rFonts w:eastAsia="Calibri" w:cs="Times New Roman"/>
          <w:bCs/>
          <w:iCs/>
          <w:szCs w:val="24"/>
        </w:rPr>
        <w:t>), zwanej dalej „</w:t>
      </w:r>
      <w:r w:rsidRPr="00886E07">
        <w:rPr>
          <w:rFonts w:eastAsia="Calibri" w:cs="Times New Roman"/>
          <w:b/>
          <w:iCs/>
          <w:szCs w:val="24"/>
        </w:rPr>
        <w:t>ustawą CIT</w:t>
      </w:r>
      <w:r w:rsidRPr="001210F7">
        <w:rPr>
          <w:rFonts w:eastAsia="Calibri" w:cs="Times New Roman"/>
          <w:bCs/>
          <w:iCs/>
          <w:szCs w:val="24"/>
        </w:rPr>
        <w:t>”</w:t>
      </w:r>
      <w:r w:rsidR="00850CE1">
        <w:rPr>
          <w:rFonts w:eastAsia="Calibri" w:cs="Times New Roman"/>
          <w:bCs/>
          <w:iCs/>
          <w:szCs w:val="24"/>
        </w:rPr>
        <w:t>,</w:t>
      </w:r>
    </w:p>
    <w:p w14:paraId="2B5977AA" w14:textId="0D8023BB" w:rsidR="00850CE1" w:rsidRPr="00850CE1" w:rsidRDefault="00850CE1" w:rsidP="00A334E0">
      <w:pPr>
        <w:widowControl/>
        <w:numPr>
          <w:ilvl w:val="0"/>
          <w:numId w:val="3"/>
        </w:numPr>
        <w:autoSpaceDE/>
        <w:autoSpaceDN/>
        <w:adjustRightInd/>
        <w:ind w:left="777" w:hanging="493"/>
        <w:jc w:val="both"/>
        <w:rPr>
          <w:rFonts w:eastAsia="Calibri" w:cs="Times New Roman"/>
          <w:bCs/>
          <w:iCs/>
          <w:szCs w:val="24"/>
        </w:rPr>
      </w:pPr>
      <w:r w:rsidRPr="001210F7">
        <w:rPr>
          <w:rFonts w:eastAsia="Calibri" w:cs="Times New Roman"/>
          <w:bCs/>
          <w:iCs/>
          <w:szCs w:val="24"/>
        </w:rPr>
        <w:t>ustawie z dnia 20 listopada 1998 r. o zryczałtowanym podatku dochodowym od niektórych przychodów osiąganych przez osoby fizyczne (Dz.</w:t>
      </w:r>
      <w:r w:rsidR="00F46D83">
        <w:rPr>
          <w:rFonts w:eastAsia="Calibri" w:cs="Times New Roman"/>
          <w:bCs/>
          <w:iCs/>
          <w:szCs w:val="24"/>
        </w:rPr>
        <w:t xml:space="preserve"> </w:t>
      </w:r>
      <w:r w:rsidRPr="001210F7">
        <w:rPr>
          <w:rFonts w:eastAsia="Calibri" w:cs="Times New Roman"/>
          <w:bCs/>
          <w:iCs/>
          <w:szCs w:val="24"/>
        </w:rPr>
        <w:t>U. z 2025 r. poz.</w:t>
      </w:r>
      <w:r w:rsidR="00526673">
        <w:rPr>
          <w:rFonts w:eastAsia="Calibri" w:cs="Times New Roman"/>
          <w:bCs/>
          <w:iCs/>
          <w:szCs w:val="24"/>
        </w:rPr>
        <w:t> </w:t>
      </w:r>
      <w:r w:rsidRPr="001210F7">
        <w:rPr>
          <w:rFonts w:eastAsia="Calibri" w:cs="Times New Roman"/>
          <w:bCs/>
          <w:iCs/>
          <w:szCs w:val="24"/>
        </w:rPr>
        <w:t>843), zwanej dalej „</w:t>
      </w:r>
      <w:r w:rsidRPr="00886E07">
        <w:rPr>
          <w:rFonts w:eastAsia="Calibri" w:cs="Times New Roman"/>
          <w:b/>
          <w:iCs/>
          <w:szCs w:val="24"/>
        </w:rPr>
        <w:t>ustawą o ryczałcie</w:t>
      </w:r>
      <w:r w:rsidRPr="001210F7">
        <w:rPr>
          <w:rFonts w:eastAsia="Calibri" w:cs="Times New Roman"/>
          <w:bCs/>
          <w:iCs/>
          <w:szCs w:val="24"/>
        </w:rPr>
        <w:t>”</w:t>
      </w:r>
      <w:r>
        <w:rPr>
          <w:rFonts w:eastAsia="Calibri" w:cs="Times New Roman"/>
          <w:bCs/>
          <w:iCs/>
          <w:szCs w:val="24"/>
        </w:rPr>
        <w:t>.</w:t>
      </w:r>
    </w:p>
    <w:p w14:paraId="0BDE5121" w14:textId="49AEAFEE" w:rsidR="00F6466A" w:rsidRDefault="00F05F67" w:rsidP="00A334E0">
      <w:pPr>
        <w:spacing w:before="40" w:after="120"/>
        <w:jc w:val="both"/>
        <w:rPr>
          <w:rFonts w:cs="Times New Roman"/>
          <w:szCs w:val="24"/>
        </w:rPr>
      </w:pPr>
      <w:r>
        <w:rPr>
          <w:rFonts w:cs="Times New Roman"/>
          <w:szCs w:val="24"/>
        </w:rPr>
        <w:t>W p</w:t>
      </w:r>
      <w:r w:rsidR="00F6466A">
        <w:rPr>
          <w:rFonts w:cs="Times New Roman"/>
          <w:szCs w:val="24"/>
        </w:rPr>
        <w:t>rojek</w:t>
      </w:r>
      <w:r>
        <w:rPr>
          <w:rFonts w:cs="Times New Roman"/>
          <w:szCs w:val="24"/>
        </w:rPr>
        <w:t>cie</w:t>
      </w:r>
      <w:r w:rsidR="00F6466A">
        <w:rPr>
          <w:rFonts w:cs="Times New Roman"/>
          <w:szCs w:val="24"/>
        </w:rPr>
        <w:t xml:space="preserve"> przewiduje </w:t>
      </w:r>
      <w:r>
        <w:rPr>
          <w:rFonts w:cs="Times New Roman"/>
          <w:szCs w:val="24"/>
        </w:rPr>
        <w:t xml:space="preserve">się </w:t>
      </w:r>
      <w:r w:rsidR="00F6466A">
        <w:rPr>
          <w:rFonts w:cs="Times New Roman"/>
          <w:szCs w:val="24"/>
        </w:rPr>
        <w:t>wprowadzenie regulacji spełniających postulat</w:t>
      </w:r>
      <w:r w:rsidR="00EB0016">
        <w:rPr>
          <w:rFonts w:cs="Times New Roman"/>
          <w:szCs w:val="24"/>
        </w:rPr>
        <w:t>y</w:t>
      </w:r>
      <w:r w:rsidR="005F774D">
        <w:rPr>
          <w:rFonts w:cs="Times New Roman"/>
          <w:szCs w:val="24"/>
        </w:rPr>
        <w:t>,</w:t>
      </w:r>
      <w:r w:rsidR="00F6466A">
        <w:rPr>
          <w:rFonts w:cs="Times New Roman"/>
          <w:szCs w:val="24"/>
        </w:rPr>
        <w:t xml:space="preserve"> zgłaszan</w:t>
      </w:r>
      <w:r w:rsidR="00EB0016">
        <w:rPr>
          <w:rFonts w:cs="Times New Roman"/>
          <w:szCs w:val="24"/>
        </w:rPr>
        <w:t>e</w:t>
      </w:r>
      <w:r w:rsidR="00F6466A">
        <w:rPr>
          <w:rFonts w:cs="Times New Roman"/>
          <w:szCs w:val="24"/>
        </w:rPr>
        <w:t xml:space="preserve"> przez podatników</w:t>
      </w:r>
      <w:r w:rsidR="005F774D">
        <w:rPr>
          <w:rFonts w:cs="Times New Roman"/>
          <w:szCs w:val="24"/>
        </w:rPr>
        <w:t>,</w:t>
      </w:r>
      <w:r w:rsidR="00F6466A">
        <w:rPr>
          <w:rFonts w:cs="Times New Roman"/>
          <w:szCs w:val="24"/>
        </w:rPr>
        <w:t xml:space="preserve"> w zakresie nowych obowiązków ewidencyjnych JPK </w:t>
      </w:r>
      <w:r w:rsidR="00C34F48">
        <w:rPr>
          <w:rFonts w:cs="Times New Roman"/>
          <w:szCs w:val="24"/>
        </w:rPr>
        <w:t>n</w:t>
      </w:r>
      <w:r w:rsidR="00F6466A">
        <w:rPr>
          <w:rFonts w:cs="Times New Roman"/>
          <w:szCs w:val="24"/>
        </w:rPr>
        <w:t>a gruncie podatku PIT</w:t>
      </w:r>
      <w:r w:rsidR="00EF0984">
        <w:rPr>
          <w:rFonts w:cs="Times New Roman"/>
          <w:szCs w:val="24"/>
        </w:rPr>
        <w:t xml:space="preserve"> oraz</w:t>
      </w:r>
      <w:r w:rsidR="00F6466A">
        <w:rPr>
          <w:rFonts w:cs="Times New Roman"/>
          <w:szCs w:val="24"/>
        </w:rPr>
        <w:t xml:space="preserve"> CIT.</w:t>
      </w:r>
      <w:r w:rsidR="00F6466A" w:rsidRPr="001B71EF">
        <w:rPr>
          <w:rFonts w:cs="Times New Roman"/>
          <w:szCs w:val="24"/>
        </w:rPr>
        <w:t xml:space="preserve"> </w:t>
      </w:r>
      <w:r>
        <w:rPr>
          <w:rFonts w:cs="Times New Roman"/>
          <w:szCs w:val="24"/>
        </w:rPr>
        <w:t xml:space="preserve">Proponowane rozwiązania zakładają korzystne dla podatników rozwiązania w zakresie wydłużenia terminu przesyłania </w:t>
      </w:r>
      <w:r w:rsidR="00B514FE">
        <w:rPr>
          <w:rFonts w:cs="Times New Roman"/>
          <w:szCs w:val="24"/>
        </w:rPr>
        <w:t xml:space="preserve">ksiąg rachunkowych </w:t>
      </w:r>
      <w:r>
        <w:rPr>
          <w:rFonts w:cs="Times New Roman"/>
          <w:szCs w:val="24"/>
        </w:rPr>
        <w:t xml:space="preserve">na gruncie przepisów o podatkach dochodowych oraz w odniesieniu do pełnomocnictwa </w:t>
      </w:r>
      <w:r w:rsidR="00C863CC">
        <w:rPr>
          <w:rFonts w:cs="Times New Roman"/>
          <w:szCs w:val="24"/>
        </w:rPr>
        <w:t>do podpisywania deklaracji (</w:t>
      </w:r>
      <w:r>
        <w:rPr>
          <w:rFonts w:cs="Times New Roman"/>
          <w:szCs w:val="24"/>
        </w:rPr>
        <w:t>UPL</w:t>
      </w:r>
      <w:r w:rsidR="00C863CC">
        <w:rPr>
          <w:rFonts w:cs="Times New Roman"/>
          <w:szCs w:val="24"/>
        </w:rPr>
        <w:t>)</w:t>
      </w:r>
      <w:r>
        <w:rPr>
          <w:rFonts w:cs="Times New Roman"/>
          <w:szCs w:val="24"/>
        </w:rPr>
        <w:t xml:space="preserve"> – objęcie tym pełnomocnictwem również przypadków p</w:t>
      </w:r>
      <w:r w:rsidR="00B514FE">
        <w:rPr>
          <w:rFonts w:cs="Times New Roman"/>
          <w:szCs w:val="24"/>
        </w:rPr>
        <w:t>odpisywania</w:t>
      </w:r>
      <w:r>
        <w:rPr>
          <w:rFonts w:cs="Times New Roman"/>
          <w:szCs w:val="24"/>
        </w:rPr>
        <w:t xml:space="preserve"> ksiąg podatkowych.</w:t>
      </w:r>
    </w:p>
    <w:p w14:paraId="65E5B60C" w14:textId="550DCA56" w:rsidR="00FB2FA7" w:rsidRDefault="00F05F67" w:rsidP="00A334E0">
      <w:pPr>
        <w:spacing w:after="120"/>
        <w:jc w:val="both"/>
      </w:pPr>
      <w:r>
        <w:t>P</w:t>
      </w:r>
      <w:r w:rsidR="00311E34" w:rsidRPr="00311E34">
        <w:t xml:space="preserve">rojekt w </w:t>
      </w:r>
      <w:r w:rsidR="00311E34" w:rsidRPr="00C5538C">
        <w:rPr>
          <w:b/>
          <w:bCs/>
        </w:rPr>
        <w:t xml:space="preserve">art. </w:t>
      </w:r>
      <w:r w:rsidR="00C5538C" w:rsidRPr="00C5538C">
        <w:rPr>
          <w:b/>
          <w:bCs/>
        </w:rPr>
        <w:t>1</w:t>
      </w:r>
      <w:r w:rsidR="00311E34" w:rsidRPr="00311E34">
        <w:t xml:space="preserve"> </w:t>
      </w:r>
      <w:r w:rsidR="00B27E62">
        <w:t xml:space="preserve">przewiduje </w:t>
      </w:r>
      <w:r w:rsidR="00B151E1">
        <w:t>wydłużenie terminu</w:t>
      </w:r>
      <w:r w:rsidR="00311E34" w:rsidRPr="00311E34">
        <w:t xml:space="preserve"> na przesyłanie ksiąg </w:t>
      </w:r>
      <w:r w:rsidR="00EF0984">
        <w:t>rachunkowych</w:t>
      </w:r>
      <w:r w:rsidR="00EF0984" w:rsidRPr="00311E34">
        <w:t xml:space="preserve"> </w:t>
      </w:r>
      <w:r w:rsidR="00311E34" w:rsidRPr="00311E34">
        <w:t xml:space="preserve">w postaci elektronicznej przez podmioty do tego zobowiązane na mocy art. 24a ust. 1e ustawy </w:t>
      </w:r>
      <w:r w:rsidR="00B151E1">
        <w:t>PIT do dnia</w:t>
      </w:r>
      <w:r w:rsidR="00311E34" w:rsidRPr="00311E34">
        <w:t xml:space="preserve"> 31</w:t>
      </w:r>
      <w:r w:rsidR="00A2256F">
        <w:t> </w:t>
      </w:r>
      <w:r w:rsidR="00311E34" w:rsidRPr="00311E34">
        <w:t xml:space="preserve">lipca po zakończeniu roku podatkowego. W aktualnym stanie prawnym terminem tym </w:t>
      </w:r>
      <w:r w:rsidR="00655007">
        <w:t>jest</w:t>
      </w:r>
      <w:r w:rsidR="00311E34" w:rsidRPr="00311E34">
        <w:t xml:space="preserve"> dzień upływu terminu na złożeni</w:t>
      </w:r>
      <w:r w:rsidR="005A26BE">
        <w:t>e</w:t>
      </w:r>
      <w:r w:rsidR="00311E34" w:rsidRPr="00311E34">
        <w:t xml:space="preserve"> zeznania, </w:t>
      </w:r>
      <w:bookmarkStart w:id="0" w:name="_Hlk219446769"/>
      <w:r w:rsidR="00311E34" w:rsidRPr="00311E34">
        <w:t>o którym mowa w art. 45 ust. 1 ustawy PIT, tj.</w:t>
      </w:r>
      <w:r w:rsidR="00A2256F">
        <w:t> </w:t>
      </w:r>
      <w:r w:rsidR="00311E34" w:rsidRPr="00311E34">
        <w:t>30</w:t>
      </w:r>
      <w:r w:rsidR="00A2256F">
        <w:t> </w:t>
      </w:r>
      <w:r w:rsidR="00311E34" w:rsidRPr="00311E34">
        <w:t>kwietnia roku następującego po roku podatkowym.</w:t>
      </w:r>
      <w:r w:rsidR="00311E34">
        <w:t xml:space="preserve"> </w:t>
      </w:r>
      <w:bookmarkEnd w:id="0"/>
      <w:r w:rsidR="00EF0984">
        <w:t>Natomiast</w:t>
      </w:r>
      <w:r w:rsidR="00EF0984" w:rsidRPr="00EF0984">
        <w:t xml:space="preserve"> proponowany termin</w:t>
      </w:r>
      <w:r w:rsidR="00A11CEC">
        <w:t>,</w:t>
      </w:r>
      <w:r w:rsidR="00EF0984">
        <w:t xml:space="preserve"> tj.</w:t>
      </w:r>
      <w:r w:rsidR="0073777E">
        <w:t> </w:t>
      </w:r>
      <w:r w:rsidR="00EF0984">
        <w:t>31</w:t>
      </w:r>
      <w:r w:rsidR="0073777E">
        <w:t> </w:t>
      </w:r>
      <w:r w:rsidR="00EF0984">
        <w:t>lipca</w:t>
      </w:r>
      <w:r w:rsidR="00A11CEC">
        <w:t>,</w:t>
      </w:r>
      <w:r w:rsidR="00EF0984" w:rsidRPr="00EF0984">
        <w:t xml:space="preserve"> zostaje wyznaczony na okres następujący po upływie ustawowego terminu na zatwierdzenie rocznego sprawozdania finansowego oraz ostateczne zamknięcie ksiąg rachunkowych.</w:t>
      </w:r>
    </w:p>
    <w:p w14:paraId="27190355" w14:textId="0D181831" w:rsidR="00FB2FA7" w:rsidRPr="00FB2FA7" w:rsidRDefault="00FB2FA7" w:rsidP="00A334E0">
      <w:pPr>
        <w:spacing w:after="120"/>
        <w:jc w:val="both"/>
      </w:pPr>
      <w:r w:rsidRPr="00FB2FA7">
        <w:t xml:space="preserve">Natomiast pozostałe podmioty obowiązane, na gruncie przepisów ustawy PIT, do przesyłania ksiąg podatkowych w formie elektronicznej, tj.: JPK_PKPIR </w:t>
      </w:r>
      <w:r w:rsidR="00F85912">
        <w:t>–</w:t>
      </w:r>
      <w:r w:rsidRPr="00FB2FA7">
        <w:t xml:space="preserve"> podatkowa księga przychodów i rozchodów, JPK_ST – ewidencja środków trwałych i wartości niematerialnych i prawnych (dla podmiotów składających JPK_PKPIR), będą przesyłać te księgi w terminie, o którym mowa w art. 45 ust. 1 ustawy PIT, tj. do 30 kwietnia roku następującego po roku podatkowym.</w:t>
      </w:r>
    </w:p>
    <w:p w14:paraId="649FE8F7" w14:textId="7064C632" w:rsidR="00F05F67" w:rsidRDefault="00F05F67" w:rsidP="00A334E0">
      <w:pPr>
        <w:spacing w:after="120"/>
        <w:jc w:val="both"/>
      </w:pPr>
      <w:r>
        <w:t xml:space="preserve">Zgodnie z </w:t>
      </w:r>
      <w:r w:rsidRPr="0020799A">
        <w:rPr>
          <w:b/>
          <w:bCs/>
        </w:rPr>
        <w:t xml:space="preserve">art. </w:t>
      </w:r>
      <w:r w:rsidRPr="00372B32">
        <w:rPr>
          <w:b/>
          <w:bCs/>
        </w:rPr>
        <w:t>2</w:t>
      </w:r>
      <w:r w:rsidRPr="0020799A">
        <w:rPr>
          <w:b/>
          <w:bCs/>
        </w:rPr>
        <w:t xml:space="preserve"> projektu</w:t>
      </w:r>
      <w:r>
        <w:t xml:space="preserve"> p</w:t>
      </w:r>
      <w:r w:rsidRPr="0020799A">
        <w:t xml:space="preserve">roponuje się przesunięcie terminu przesyłania ksiąg rachunkowych na podstawie art. 9 ust. 1c oraz ust. 1e ustawy CIT do końca siódmego miesiąca po zakończeniu roku podatkowego lub obrotowego. </w:t>
      </w:r>
      <w:r>
        <w:t xml:space="preserve">W obecnym stanie prawnym termin ten </w:t>
      </w:r>
      <w:r w:rsidR="00C863CC">
        <w:t xml:space="preserve">jest </w:t>
      </w:r>
      <w:r>
        <w:t xml:space="preserve">wyznaczony na </w:t>
      </w:r>
      <w:r w:rsidRPr="00C34F48">
        <w:t>ko</w:t>
      </w:r>
      <w:r>
        <w:t>niec</w:t>
      </w:r>
      <w:r w:rsidRPr="00C34F48">
        <w:t xml:space="preserve"> trzeciego miesiąca</w:t>
      </w:r>
      <w:r>
        <w:t xml:space="preserve"> następnego roku podatkowego lub obrotowego.</w:t>
      </w:r>
      <w:r w:rsidRPr="0020799A">
        <w:t xml:space="preserve"> </w:t>
      </w:r>
      <w:bookmarkStart w:id="1" w:name="_Hlk215063965"/>
      <w:r w:rsidR="00717FA9">
        <w:t xml:space="preserve">Analogicznie jak na gruncie </w:t>
      </w:r>
      <w:r w:rsidR="00FB2FA7">
        <w:t xml:space="preserve">ustawy </w:t>
      </w:r>
      <w:r w:rsidR="00717FA9">
        <w:t>PIT</w:t>
      </w:r>
      <w:r w:rsidRPr="0020799A">
        <w:t xml:space="preserve"> proponowany termin zostaje wyznaczony na okres następujący po </w:t>
      </w:r>
      <w:r w:rsidRPr="0020799A">
        <w:lastRenderedPageBreak/>
        <w:t>upływie ustawowego terminu na zatwierdzenie rocznego sprawozdania finansowego oraz ostateczne zamknięcie ksiąg rachunkowych.</w:t>
      </w:r>
      <w:bookmarkEnd w:id="1"/>
    </w:p>
    <w:p w14:paraId="1B543A29" w14:textId="64CE9557" w:rsidR="001751E8" w:rsidRPr="001751E8" w:rsidRDefault="001751E8" w:rsidP="00A334E0">
      <w:pPr>
        <w:spacing w:after="120"/>
        <w:jc w:val="both"/>
      </w:pPr>
      <w:r>
        <w:t>Podkreślić należy</w:t>
      </w:r>
      <w:r w:rsidRPr="001751E8">
        <w:t>, że ewidencja środków trwałych oraz wartości niematerialnych i prawnych jest elementem ksiąg rachunkowych, zatem wydłużony termin dotyczy również tej ewidencji jako części ksiąg rachunkowych. Wyodrębnienie w ramach obowiązującej struktury logicznej plików JPK_KR_PD oraz JPK_ST_KR ma charakter wyłącznie techniczny.</w:t>
      </w:r>
    </w:p>
    <w:p w14:paraId="276D2381" w14:textId="18988E48" w:rsidR="008D3D19" w:rsidRDefault="001751E8" w:rsidP="00A334E0">
      <w:pPr>
        <w:spacing w:after="120"/>
        <w:jc w:val="both"/>
      </w:pPr>
      <w:r w:rsidRPr="001751E8">
        <w:t xml:space="preserve">Zatem podmioty obowiązane do przesłania ksiąg rachunkowych (na gruncie ustawy PIT, jak i </w:t>
      </w:r>
      <w:r>
        <w:t xml:space="preserve">ustawy </w:t>
      </w:r>
      <w:r w:rsidRPr="001751E8">
        <w:t xml:space="preserve">CIT) prześlą te księgi, w tym ewidencję środków trwałych oraz wartości niematerialnych i prawnych, w </w:t>
      </w:r>
      <w:r w:rsidR="00855B55">
        <w:t>nowym</w:t>
      </w:r>
      <w:r w:rsidRPr="001751E8">
        <w:t xml:space="preserve"> terminie</w:t>
      </w:r>
      <w:r w:rsidR="00855B55">
        <w:t xml:space="preserve"> określonym w niniejszym projekcie</w:t>
      </w:r>
      <w:r w:rsidRPr="001751E8">
        <w:t>.</w:t>
      </w:r>
    </w:p>
    <w:p w14:paraId="7B977F22" w14:textId="6514676B" w:rsidR="00F97B30" w:rsidRDefault="00F97B30" w:rsidP="00A334E0">
      <w:pPr>
        <w:spacing w:after="120"/>
        <w:jc w:val="both"/>
      </w:pPr>
      <w:r>
        <w:t xml:space="preserve">Dodatkowo projekt </w:t>
      </w:r>
      <w:r w:rsidRPr="0096256C">
        <w:t>zakłada wprowadzenie regulacji, zgodnie z którymi pełnomocnictwo do podpisywania deklaracji składanej za pomocą środków komunikacji elektronicznej</w:t>
      </w:r>
      <w:r w:rsidR="00C863CC">
        <w:t>,</w:t>
      </w:r>
      <w:r w:rsidRPr="0096256C">
        <w:t xml:space="preserve"> udzielone na podstawie przepisów ustawy z dnia 29 sierpnia 1997 r. – Ordynacja podatkowa (Dz.</w:t>
      </w:r>
      <w:r w:rsidR="0073777E">
        <w:t xml:space="preserve"> </w:t>
      </w:r>
      <w:r w:rsidRPr="0096256C">
        <w:t>U. z 2025 r. poz. 111, z późn. zm.)</w:t>
      </w:r>
      <w:r w:rsidR="00C863CC">
        <w:t>,</w:t>
      </w:r>
      <w:r>
        <w:t xml:space="preserve"> </w:t>
      </w:r>
      <w:r w:rsidRPr="0096256C">
        <w:t>będzie miało zastosowanie odpowiednio do ksiąg podatkowych</w:t>
      </w:r>
      <w:r w:rsidR="00046ADC">
        <w:t>,</w:t>
      </w:r>
      <w:r w:rsidR="001751E8">
        <w:t xml:space="preserve"> tj.: ksiąg rachunkowych, podatkowej księgi przychodów i rozchodów, ewidencji przychodów, ewidencji/wykazu środków trwałych i wartości niematerialnych i prawnych</w:t>
      </w:r>
      <w:r w:rsidRPr="0096256C">
        <w:t xml:space="preserve"> (</w:t>
      </w:r>
      <w:r w:rsidRPr="0096256C">
        <w:rPr>
          <w:b/>
          <w:bCs/>
        </w:rPr>
        <w:t xml:space="preserve">art. 1 pkt </w:t>
      </w:r>
      <w:r w:rsidR="00C863CC">
        <w:rPr>
          <w:b/>
          <w:bCs/>
        </w:rPr>
        <w:t>7</w:t>
      </w:r>
      <w:r w:rsidRPr="0096256C">
        <w:rPr>
          <w:b/>
          <w:bCs/>
        </w:rPr>
        <w:t>, art.</w:t>
      </w:r>
      <w:r w:rsidR="0073777E">
        <w:rPr>
          <w:b/>
          <w:bCs/>
        </w:rPr>
        <w:t> </w:t>
      </w:r>
      <w:r w:rsidRPr="0096256C">
        <w:rPr>
          <w:b/>
          <w:bCs/>
        </w:rPr>
        <w:t>2 pkt 3 oraz art. 3 projektu</w:t>
      </w:r>
      <w:r w:rsidRPr="0096256C">
        <w:t>). Oznacza to, że osoba, która posiada pełnomocnictwo do podpisywania deklaracji podatkowych składanych w formie elektronicznej</w:t>
      </w:r>
      <w:r w:rsidR="00A93152">
        <w:t>,</w:t>
      </w:r>
      <w:r w:rsidRPr="0096256C">
        <w:t xml:space="preserve"> będzie uprawniona do podpisania także księgi podatkowej</w:t>
      </w:r>
      <w:r>
        <w:t xml:space="preserve">. Nie będzie to więc nowe, odrębne pełnomocnictwo, a tylko rozwiązanie, które pozwoli wykorzystać udzielone już pełnomocnictwo na wzorze formularza UPL-1, określonym na podstawie obecnie obowiązujących przepisów, wydanych na podstawie art. 80a </w:t>
      </w:r>
      <w:r w:rsidRPr="00C6140D">
        <w:t xml:space="preserve">§ </w:t>
      </w:r>
      <w:r>
        <w:t>5 Ordynacj</w:t>
      </w:r>
      <w:r w:rsidR="00A11CEC">
        <w:t>i</w:t>
      </w:r>
      <w:r>
        <w:t xml:space="preserve"> podatkow</w:t>
      </w:r>
      <w:r w:rsidR="00A11CEC">
        <w:t>ej</w:t>
      </w:r>
      <w:r>
        <w:t>.</w:t>
      </w:r>
    </w:p>
    <w:p w14:paraId="3B77F4E8" w14:textId="386612C1" w:rsidR="00855B55" w:rsidRDefault="00855B55" w:rsidP="00A334E0">
      <w:pPr>
        <w:spacing w:after="120"/>
        <w:jc w:val="both"/>
      </w:pPr>
      <w:r>
        <w:t>Należy przy tym zwrócić uwagę, że z</w:t>
      </w:r>
      <w:r w:rsidRPr="00855B55">
        <w:t xml:space="preserve"> dniem wejścia w życie projektowanych przepisów będzie możliwe podpisywanie ksiąg podatkowych w podatkach dochodowych w oparciu o pełnomocnictwo do podpisywania deklaracji składanej za pomocą środków komunikacji elektronicznej (UPL-1). </w:t>
      </w:r>
      <w:r w:rsidR="00C863CC">
        <w:t>Możliwe to będzie również na podstawie</w:t>
      </w:r>
      <w:r w:rsidRPr="00855B55">
        <w:t xml:space="preserve"> pełnomocni</w:t>
      </w:r>
      <w:r w:rsidR="00C863CC">
        <w:t xml:space="preserve">ctw </w:t>
      </w:r>
      <w:r w:rsidRPr="00855B55">
        <w:t xml:space="preserve">ustanowionych przed dniem wejścia w życie </w:t>
      </w:r>
      <w:r>
        <w:t>nowych regulacji</w:t>
      </w:r>
      <w:r w:rsidRPr="00855B55">
        <w:t>.</w:t>
      </w:r>
    </w:p>
    <w:p w14:paraId="7F0535FB" w14:textId="3EEB5B43" w:rsidR="00B27E62" w:rsidRDefault="00B27E62" w:rsidP="00B27E62">
      <w:pPr>
        <w:spacing w:after="120"/>
        <w:jc w:val="both"/>
      </w:pPr>
      <w:r>
        <w:t xml:space="preserve">Art. 1 projektu w pkt 1–4, 6, 8–10 wprowadza ponadto zmiany </w:t>
      </w:r>
      <w:r w:rsidR="00C863CC">
        <w:t>uspójniające terminologię używaną na gruncie art. 24a ustawy PIT w zakresie używanego w liczbie pojedynczej pojęcia</w:t>
      </w:r>
      <w:r>
        <w:t xml:space="preserve"> „księga”</w:t>
      </w:r>
      <w:r w:rsidR="00C863CC">
        <w:t>, która zgodnie z ust. 1 oznacza podatkową księgę</w:t>
      </w:r>
      <w:r w:rsidR="00BA3A49" w:rsidRPr="00BA3A49">
        <w:t xml:space="preserve"> przychodów i rozchodów</w:t>
      </w:r>
      <w:r w:rsidR="00C863CC">
        <w:t>. Wprowadzone zmiany zapewnią</w:t>
      </w:r>
      <w:r>
        <w:t xml:space="preserve"> większą czytelność przepisów.</w:t>
      </w:r>
    </w:p>
    <w:p w14:paraId="258CF7A4" w14:textId="125085F3" w:rsidR="00D61319" w:rsidRDefault="00B36912" w:rsidP="00A334E0">
      <w:pPr>
        <w:spacing w:after="120"/>
        <w:jc w:val="both"/>
      </w:pPr>
      <w:r>
        <w:t>Rezygnacja z posługiwani</w:t>
      </w:r>
      <w:r w:rsidR="00E233EE">
        <w:t>a</w:t>
      </w:r>
      <w:r>
        <w:t xml:space="preserve"> się skrótem „księga” na określenie podatkowej księgi przychodów i rozchodów obejmuje swoim zakresem również upoważnienie ustawowe zawarte w art. 24a </w:t>
      </w:r>
      <w:r>
        <w:lastRenderedPageBreak/>
        <w:t>ust. 8 ustawy o PIT.</w:t>
      </w:r>
      <w:r w:rsidR="00AA47BB">
        <w:t xml:space="preserve"> </w:t>
      </w:r>
      <w:r w:rsidR="009D45B3">
        <w:t xml:space="preserve">W przepisie tym zastąpiono również łącznik „i” na „lub” w celu bardziej precyzyjnego określenia brzmienia fakultatywnej delegacji do wydania rozporządzenia. </w:t>
      </w:r>
      <w:r w:rsidR="00D61319" w:rsidRPr="00D61319">
        <w:t>W tym zakresie zwrócić należy uwagę, że zmianie brzmienia tego przepisu nie towarzyszy zmiana „treści” przepisu, tj. zaproponowana zmiana nie pociąga za sobą zmiany merytorycznej, co oznacza, że zakres upoważnienia ustawowego nie ulega zmianie. Tym samym rozporządzeni</w:t>
      </w:r>
      <w:r w:rsidR="00181514">
        <w:t>e</w:t>
      </w:r>
      <w:r w:rsidR="00D61319" w:rsidRPr="00D61319">
        <w:t xml:space="preserve"> wydane na podstawie art. 24a ust. 8 </w:t>
      </w:r>
      <w:r w:rsidR="00181514">
        <w:t xml:space="preserve">pkt 1 </w:t>
      </w:r>
      <w:r w:rsidR="00D61319" w:rsidRPr="00D61319">
        <w:t xml:space="preserve">ustawy PIT pozostanie w mocy </w:t>
      </w:r>
      <w:r w:rsidR="009D45B3">
        <w:t xml:space="preserve">po wejściu w życie projektowanych zmian, </w:t>
      </w:r>
      <w:r w:rsidR="00D61319" w:rsidRPr="00D61319">
        <w:t>bez konieczności wprowadzania w ni</w:t>
      </w:r>
      <w:r w:rsidR="00181514">
        <w:t>m</w:t>
      </w:r>
      <w:r w:rsidR="00D61319" w:rsidRPr="00D61319">
        <w:t xml:space="preserve"> zmian. </w:t>
      </w:r>
    </w:p>
    <w:p w14:paraId="03C30F05" w14:textId="64C0B623" w:rsidR="00C001D1" w:rsidRDefault="00C001D1" w:rsidP="00A334E0">
      <w:pPr>
        <w:spacing w:after="120"/>
        <w:jc w:val="both"/>
      </w:pPr>
      <w:r>
        <w:t xml:space="preserve">W </w:t>
      </w:r>
      <w:r w:rsidR="00B17543">
        <w:rPr>
          <w:b/>
          <w:bCs/>
        </w:rPr>
        <w:t xml:space="preserve">art. </w:t>
      </w:r>
      <w:r w:rsidR="00D61319">
        <w:rPr>
          <w:b/>
          <w:bCs/>
        </w:rPr>
        <w:t>4</w:t>
      </w:r>
      <w:r w:rsidR="00C6140D">
        <w:rPr>
          <w:b/>
          <w:bCs/>
        </w:rPr>
        <w:t xml:space="preserve"> </w:t>
      </w:r>
      <w:r>
        <w:t>projek</w:t>
      </w:r>
      <w:r w:rsidR="00B17543">
        <w:t>tu</w:t>
      </w:r>
      <w:r>
        <w:t xml:space="preserve"> przewidziano, że projektowana ustawa wejdzie w życie z dniem</w:t>
      </w:r>
      <w:r w:rsidR="00B416A4">
        <w:t xml:space="preserve"> 1 lipca 2026</w:t>
      </w:r>
      <w:r w:rsidR="00526673">
        <w:t> </w:t>
      </w:r>
      <w:r w:rsidR="00B416A4">
        <w:t>r</w:t>
      </w:r>
      <w:r>
        <w:t>.</w:t>
      </w:r>
      <w:r w:rsidR="00142E7A">
        <w:t xml:space="preserve">, z wyjątkiem art. 1 pkt 7, art. 2 pkt </w:t>
      </w:r>
      <w:r w:rsidR="00B36912">
        <w:t>7</w:t>
      </w:r>
      <w:r w:rsidR="00142E7A">
        <w:t xml:space="preserve"> i art. 3, które wejdą w życie</w:t>
      </w:r>
      <w:r w:rsidR="00142E7A" w:rsidRPr="00363E3E">
        <w:t xml:space="preserve"> </w:t>
      </w:r>
      <w:r w:rsidR="00142E7A">
        <w:t>z dniem następującym po dniu ogłoszenia.</w:t>
      </w:r>
      <w:r w:rsidR="00B416A4">
        <w:t xml:space="preserve"> Na proponowany termin wpływ ma rozporządzeni</w:t>
      </w:r>
      <w:r w:rsidR="00FA3D46">
        <w:t>e</w:t>
      </w:r>
      <w:r w:rsidR="00B416A4">
        <w:t xml:space="preserve"> Ministra Finansów i Gospodarki </w:t>
      </w:r>
      <w:r w:rsidR="00FA3D46">
        <w:t xml:space="preserve">z dnia 16 lutego 2026 r. </w:t>
      </w:r>
      <w:r w:rsidR="00B416A4">
        <w:t>w sprawie przedłużenia terminów przesyłania ksiąg rachunkowych w zakresie podatku dochodowego od osób prawnych</w:t>
      </w:r>
      <w:r w:rsidR="00FA3D46">
        <w:t xml:space="preserve"> (Dz. U. poz. 188)</w:t>
      </w:r>
      <w:r w:rsidR="00B416A4">
        <w:t xml:space="preserve">. </w:t>
      </w:r>
      <w:r w:rsidR="00FA3D46">
        <w:t>R</w:t>
      </w:r>
      <w:r w:rsidR="00B416A4">
        <w:t>ozporządzeni</w:t>
      </w:r>
      <w:r w:rsidR="00FA3D46">
        <w:t>e to</w:t>
      </w:r>
      <w:r w:rsidR="00B416A4">
        <w:t xml:space="preserve"> przedłuż</w:t>
      </w:r>
      <w:r w:rsidR="00FA3D46">
        <w:t>yło</w:t>
      </w:r>
      <w:r w:rsidR="00B416A4">
        <w:t xml:space="preserve"> termin</w:t>
      </w:r>
      <w:r w:rsidR="00FA3D46">
        <w:t>y</w:t>
      </w:r>
      <w:r w:rsidR="00B416A4">
        <w:t xml:space="preserve"> na przesłanie ksiąg rachunkowych dla podatników CIT </w:t>
      </w:r>
      <w:r w:rsidR="00AE1D4A">
        <w:t>oraz spółek niebędących osobami prawnym</w:t>
      </w:r>
      <w:r w:rsidR="00744454">
        <w:t>i</w:t>
      </w:r>
      <w:r w:rsidR="00AE1D4A">
        <w:t xml:space="preserve"> </w:t>
      </w:r>
      <w:r w:rsidR="00B416A4">
        <w:t xml:space="preserve">przesyłających po raz pierwszy księgi rachunkowe za rok </w:t>
      </w:r>
      <w:r w:rsidR="00B416A4" w:rsidRPr="00B416A4">
        <w:t>podatkowy/obrotowy rozpoczynający się po dniu 31 grudnia 2024 r. i kończący się przed 1 kwietnia 2026 r.</w:t>
      </w:r>
      <w:r w:rsidR="00142E7A">
        <w:t xml:space="preserve"> Z kolei wejście w życie regulacji w zakresie pełnomocnictw uwarunkowane jest ciążącymi na poszczególnych grupach podatników obowiązkami w zakresie przesyłania ksiąg rachunkowych za rok podatkowy/obrotowy rozpoczynający się </w:t>
      </w:r>
      <w:r w:rsidR="00EE778E">
        <w:t>od</w:t>
      </w:r>
      <w:r w:rsidR="00142E7A">
        <w:t xml:space="preserve"> 1 stycznia 2025 r. </w:t>
      </w:r>
    </w:p>
    <w:p w14:paraId="6D23E4CB" w14:textId="37C0E4E0" w:rsidR="00C001D1" w:rsidRDefault="00C001D1" w:rsidP="00694242">
      <w:pPr>
        <w:spacing w:before="120"/>
        <w:jc w:val="both"/>
      </w:pPr>
      <w:r>
        <w:t>Projektowan</w:t>
      </w:r>
      <w:r w:rsidR="00796BD4">
        <w:t>a</w:t>
      </w:r>
      <w:r>
        <w:t xml:space="preserve"> ustaw</w:t>
      </w:r>
      <w:r w:rsidR="00796BD4">
        <w:t>a</w:t>
      </w:r>
      <w:r>
        <w:t xml:space="preserve"> pozytywnie wpłynie na działalność mikroprzedsiębiorców, małych i</w:t>
      </w:r>
      <w:r w:rsidR="00524F0B">
        <w:t> </w:t>
      </w:r>
      <w:r>
        <w:t xml:space="preserve">średnich przedsiębiorców poprzez </w:t>
      </w:r>
      <w:r w:rsidR="00303606">
        <w:t xml:space="preserve">wydłużenie terminu przesyłania </w:t>
      </w:r>
      <w:r>
        <w:t xml:space="preserve">ksiąg </w:t>
      </w:r>
      <w:r w:rsidR="00303606">
        <w:t>rachunkowych w ramach JPK</w:t>
      </w:r>
      <w:r>
        <w:t>.</w:t>
      </w:r>
    </w:p>
    <w:p w14:paraId="150D1F82" w14:textId="3FF30755" w:rsidR="00C001D1" w:rsidRDefault="00C001D1" w:rsidP="00694242">
      <w:pPr>
        <w:spacing w:before="120"/>
        <w:jc w:val="both"/>
      </w:pPr>
      <w:r>
        <w:t>Projekt ustawy nie jest objęty prawem Unii Europejskiej. Projekt nie wymaga zasięgnięcia opinii, dokonania konsultacji lub uzgodnienia z właściwymi organami i instytucjami Unii Europejskiej, w tym z Europejskim Bankiem Centralnym.</w:t>
      </w:r>
    </w:p>
    <w:p w14:paraId="54B0014E" w14:textId="77777777" w:rsidR="00303606" w:rsidRDefault="00C001D1" w:rsidP="00A334E0">
      <w:pPr>
        <w:spacing w:before="120" w:after="120"/>
        <w:jc w:val="both"/>
      </w:pPr>
      <w:r>
        <w:t>Projekt nie zawiera przepisów technicznych, wobec czego nie podlega obowiązkowi notyfikacji zgodnie z trybem przewidzianym w przepisach dotyczących sposobu funkcjonowania krajowego systemu notyfikacji norm i aktów prawnych.</w:t>
      </w:r>
    </w:p>
    <w:p w14:paraId="66DB356C" w14:textId="4D1CA9CF" w:rsidR="00CF79EB" w:rsidRDefault="00C001D1" w:rsidP="00A334E0">
      <w:pPr>
        <w:jc w:val="both"/>
      </w:pPr>
      <w:r>
        <w:t>Stosownie do art. 5 ustawy z dnia 7 lipca 2005 r. o działalności lobbingowej w procesie stanowienia prawa (Dz.</w:t>
      </w:r>
      <w:r w:rsidR="009921D5">
        <w:t xml:space="preserve"> </w:t>
      </w:r>
      <w:r>
        <w:t xml:space="preserve">U. </w:t>
      </w:r>
      <w:r w:rsidR="00AB3507" w:rsidRPr="00AB3507">
        <w:t>z 2025 r. poz. 677</w:t>
      </w:r>
      <w:r w:rsidR="00761A8D">
        <w:t>, z późn. zm.</w:t>
      </w:r>
      <w:r>
        <w:t>) oraz § 4 i § 52 uchwały nr 190 Rady Ministrów z dnia 29 października 2013 r. – Regulamin pracy Rady Ministrów (M.P. z 2024 r. poz. 806</w:t>
      </w:r>
      <w:r w:rsidR="00995FDA">
        <w:t>, z późn. zm.</w:t>
      </w:r>
      <w:r>
        <w:t xml:space="preserve">), projekt </w:t>
      </w:r>
      <w:r w:rsidR="00B514FE">
        <w:t xml:space="preserve">ustawy </w:t>
      </w:r>
      <w:r>
        <w:t xml:space="preserve">został udostępniony w Biuletynie Informacji Publicznej na stronie podmiotowej Rządowego Centrum Legislacji, w serwisie </w:t>
      </w:r>
      <w:r w:rsidR="00526673">
        <w:t>„</w:t>
      </w:r>
      <w:r>
        <w:t>Rządowy Proces Legislacyjny</w:t>
      </w:r>
      <w:r w:rsidR="00526673">
        <w:t>”</w:t>
      </w:r>
      <w:r>
        <w:t>.</w:t>
      </w:r>
    </w:p>
    <w:sectPr w:rsidR="00CF79EB" w:rsidSect="00A334E0">
      <w:headerReference w:type="default" r:id="rId8"/>
      <w:footerReference w:type="default" r:id="rId9"/>
      <w:footnotePr>
        <w:numRestart w:val="eachSect"/>
      </w:footnotePr>
      <w:pgSz w:w="11906" w:h="16838"/>
      <w:pgMar w:top="1135"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5361" w14:textId="77777777" w:rsidR="00B62127" w:rsidRDefault="00B62127">
      <w:pPr>
        <w:spacing w:line="240" w:lineRule="auto"/>
      </w:pPr>
      <w:r>
        <w:separator/>
      </w:r>
    </w:p>
  </w:endnote>
  <w:endnote w:type="continuationSeparator" w:id="0">
    <w:p w14:paraId="4692C9A1" w14:textId="77777777" w:rsidR="00B62127" w:rsidRDefault="00B62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04969"/>
      <w:docPartObj>
        <w:docPartGallery w:val="Page Numbers (Bottom of Page)"/>
        <w:docPartUnique/>
      </w:docPartObj>
    </w:sdtPr>
    <w:sdtEndPr/>
    <w:sdtContent>
      <w:p w14:paraId="217F9482" w14:textId="5DD16F1B" w:rsidR="0073777E" w:rsidRDefault="0073777E">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B8E3" w14:textId="77777777" w:rsidR="00B62127" w:rsidRDefault="00B62127">
      <w:pPr>
        <w:spacing w:line="240" w:lineRule="auto"/>
      </w:pPr>
      <w:r>
        <w:separator/>
      </w:r>
    </w:p>
  </w:footnote>
  <w:footnote w:type="continuationSeparator" w:id="0">
    <w:p w14:paraId="5FDF395B" w14:textId="77777777" w:rsidR="00B62127" w:rsidRDefault="00B621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43F8" w14:textId="4FECBC86" w:rsidR="008F38E5" w:rsidRPr="00B371CC" w:rsidRDefault="008F38E5"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59"/>
    <w:multiLevelType w:val="hybridMultilevel"/>
    <w:tmpl w:val="91D409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346B3192"/>
    <w:multiLevelType w:val="hybridMultilevel"/>
    <w:tmpl w:val="BA96AD5C"/>
    <w:lvl w:ilvl="0" w:tplc="523EA668">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 w15:restartNumberingAfterBreak="0">
    <w:nsid w:val="6F211865"/>
    <w:multiLevelType w:val="hybridMultilevel"/>
    <w:tmpl w:val="DB98D5B0"/>
    <w:lvl w:ilvl="0" w:tplc="0415000F">
      <w:start w:val="1"/>
      <w:numFmt w:val="decimal"/>
      <w:lvlText w:val="%1."/>
      <w:lvlJc w:val="left"/>
      <w:pPr>
        <w:ind w:left="780" w:hanging="360"/>
      </w:pPr>
    </w:lvl>
    <w:lvl w:ilvl="1" w:tplc="308CF976">
      <w:start w:val="1"/>
      <w:numFmt w:val="decimal"/>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548297043">
    <w:abstractNumId w:val="0"/>
  </w:num>
  <w:num w:numId="2" w16cid:durableId="1230383692">
    <w:abstractNumId w:val="1"/>
  </w:num>
  <w:num w:numId="3" w16cid:durableId="12559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47"/>
    <w:rsid w:val="00001C09"/>
    <w:rsid w:val="00015BBA"/>
    <w:rsid w:val="00033A83"/>
    <w:rsid w:val="00045624"/>
    <w:rsid w:val="00046ADC"/>
    <w:rsid w:val="00060191"/>
    <w:rsid w:val="00061FF0"/>
    <w:rsid w:val="0009058B"/>
    <w:rsid w:val="000A1976"/>
    <w:rsid w:val="000A2E02"/>
    <w:rsid w:val="000A4C37"/>
    <w:rsid w:val="000E159E"/>
    <w:rsid w:val="000F4BEB"/>
    <w:rsid w:val="001049D2"/>
    <w:rsid w:val="0010543F"/>
    <w:rsid w:val="00142E7A"/>
    <w:rsid w:val="00144BA6"/>
    <w:rsid w:val="00155E7C"/>
    <w:rsid w:val="00157E58"/>
    <w:rsid w:val="00166D56"/>
    <w:rsid w:val="001751E8"/>
    <w:rsid w:val="00176AF5"/>
    <w:rsid w:val="00180815"/>
    <w:rsid w:val="00181514"/>
    <w:rsid w:val="0018649C"/>
    <w:rsid w:val="0019289E"/>
    <w:rsid w:val="001A0184"/>
    <w:rsid w:val="001A444D"/>
    <w:rsid w:val="001B014B"/>
    <w:rsid w:val="001B2AC0"/>
    <w:rsid w:val="001C2EA7"/>
    <w:rsid w:val="001F797B"/>
    <w:rsid w:val="00200F3E"/>
    <w:rsid w:val="00204DD6"/>
    <w:rsid w:val="0020799A"/>
    <w:rsid w:val="002173D0"/>
    <w:rsid w:val="00237E63"/>
    <w:rsid w:val="0024746D"/>
    <w:rsid w:val="00266504"/>
    <w:rsid w:val="0027440F"/>
    <w:rsid w:val="002B3A06"/>
    <w:rsid w:val="003020DC"/>
    <w:rsid w:val="00303606"/>
    <w:rsid w:val="00311E34"/>
    <w:rsid w:val="003257B4"/>
    <w:rsid w:val="0033576C"/>
    <w:rsid w:val="00354523"/>
    <w:rsid w:val="00372B32"/>
    <w:rsid w:val="00377BD5"/>
    <w:rsid w:val="003A11C6"/>
    <w:rsid w:val="003B0AAC"/>
    <w:rsid w:val="003B15C5"/>
    <w:rsid w:val="003E018E"/>
    <w:rsid w:val="003E0DC1"/>
    <w:rsid w:val="003F061F"/>
    <w:rsid w:val="003F54CA"/>
    <w:rsid w:val="0040727F"/>
    <w:rsid w:val="004125E6"/>
    <w:rsid w:val="00421CA1"/>
    <w:rsid w:val="00425C66"/>
    <w:rsid w:val="00446BD0"/>
    <w:rsid w:val="0045276F"/>
    <w:rsid w:val="004601D0"/>
    <w:rsid w:val="004629D1"/>
    <w:rsid w:val="00462CD6"/>
    <w:rsid w:val="00473A3B"/>
    <w:rsid w:val="00496AD4"/>
    <w:rsid w:val="004A26F1"/>
    <w:rsid w:val="004D658F"/>
    <w:rsid w:val="004F3CDF"/>
    <w:rsid w:val="004F7E4D"/>
    <w:rsid w:val="0051233E"/>
    <w:rsid w:val="00524F0B"/>
    <w:rsid w:val="00526673"/>
    <w:rsid w:val="00533CE9"/>
    <w:rsid w:val="005410C8"/>
    <w:rsid w:val="00547E92"/>
    <w:rsid w:val="0056403A"/>
    <w:rsid w:val="00585797"/>
    <w:rsid w:val="0059259A"/>
    <w:rsid w:val="005A1248"/>
    <w:rsid w:val="005A26BE"/>
    <w:rsid w:val="005C147B"/>
    <w:rsid w:val="005C2087"/>
    <w:rsid w:val="005E26D1"/>
    <w:rsid w:val="005F2901"/>
    <w:rsid w:val="005F3DC8"/>
    <w:rsid w:val="005F774D"/>
    <w:rsid w:val="00602862"/>
    <w:rsid w:val="0061533A"/>
    <w:rsid w:val="00621D15"/>
    <w:rsid w:val="00623579"/>
    <w:rsid w:val="0064799A"/>
    <w:rsid w:val="00655007"/>
    <w:rsid w:val="00663C5A"/>
    <w:rsid w:val="00694242"/>
    <w:rsid w:val="006A1AFC"/>
    <w:rsid w:val="006C214B"/>
    <w:rsid w:val="006E0F1C"/>
    <w:rsid w:val="006F4F33"/>
    <w:rsid w:val="00701CC8"/>
    <w:rsid w:val="00704782"/>
    <w:rsid w:val="0071037E"/>
    <w:rsid w:val="00717FA9"/>
    <w:rsid w:val="00725639"/>
    <w:rsid w:val="00725A0E"/>
    <w:rsid w:val="007268E8"/>
    <w:rsid w:val="0073407D"/>
    <w:rsid w:val="0073777E"/>
    <w:rsid w:val="00744454"/>
    <w:rsid w:val="007609D0"/>
    <w:rsid w:val="00761254"/>
    <w:rsid w:val="00761A8D"/>
    <w:rsid w:val="00761E92"/>
    <w:rsid w:val="00786B24"/>
    <w:rsid w:val="00787CDC"/>
    <w:rsid w:val="007954D2"/>
    <w:rsid w:val="00796BD4"/>
    <w:rsid w:val="00797F87"/>
    <w:rsid w:val="007C7A41"/>
    <w:rsid w:val="007D0AB5"/>
    <w:rsid w:val="00822E93"/>
    <w:rsid w:val="00837DFC"/>
    <w:rsid w:val="00850CE1"/>
    <w:rsid w:val="00855B55"/>
    <w:rsid w:val="00864D57"/>
    <w:rsid w:val="00880E02"/>
    <w:rsid w:val="00883115"/>
    <w:rsid w:val="00886E07"/>
    <w:rsid w:val="008914E5"/>
    <w:rsid w:val="008A13C0"/>
    <w:rsid w:val="008A34E5"/>
    <w:rsid w:val="008A6A32"/>
    <w:rsid w:val="008D08EC"/>
    <w:rsid w:val="008D3D19"/>
    <w:rsid w:val="008D7FEE"/>
    <w:rsid w:val="008E695C"/>
    <w:rsid w:val="008F38E5"/>
    <w:rsid w:val="00903A87"/>
    <w:rsid w:val="00911D2A"/>
    <w:rsid w:val="00944CBC"/>
    <w:rsid w:val="009911C2"/>
    <w:rsid w:val="009921D5"/>
    <w:rsid w:val="00995FDA"/>
    <w:rsid w:val="009A59AD"/>
    <w:rsid w:val="009B0641"/>
    <w:rsid w:val="009B6E26"/>
    <w:rsid w:val="009C3451"/>
    <w:rsid w:val="009C473B"/>
    <w:rsid w:val="009D45B3"/>
    <w:rsid w:val="009E4DF4"/>
    <w:rsid w:val="009E730F"/>
    <w:rsid w:val="009F2BAD"/>
    <w:rsid w:val="00A042CE"/>
    <w:rsid w:val="00A11CEC"/>
    <w:rsid w:val="00A12EBB"/>
    <w:rsid w:val="00A150CA"/>
    <w:rsid w:val="00A2256F"/>
    <w:rsid w:val="00A3093A"/>
    <w:rsid w:val="00A326FC"/>
    <w:rsid w:val="00A334E0"/>
    <w:rsid w:val="00A400D1"/>
    <w:rsid w:val="00A41817"/>
    <w:rsid w:val="00A5060D"/>
    <w:rsid w:val="00A57075"/>
    <w:rsid w:val="00A77BBE"/>
    <w:rsid w:val="00A858EE"/>
    <w:rsid w:val="00A93152"/>
    <w:rsid w:val="00AA47BB"/>
    <w:rsid w:val="00AB3507"/>
    <w:rsid w:val="00AE1D4A"/>
    <w:rsid w:val="00AF14A9"/>
    <w:rsid w:val="00B0340A"/>
    <w:rsid w:val="00B06A47"/>
    <w:rsid w:val="00B10180"/>
    <w:rsid w:val="00B151E1"/>
    <w:rsid w:val="00B17543"/>
    <w:rsid w:val="00B2361D"/>
    <w:rsid w:val="00B27E62"/>
    <w:rsid w:val="00B27F7E"/>
    <w:rsid w:val="00B35165"/>
    <w:rsid w:val="00B36912"/>
    <w:rsid w:val="00B416A4"/>
    <w:rsid w:val="00B514FE"/>
    <w:rsid w:val="00B62127"/>
    <w:rsid w:val="00B630B1"/>
    <w:rsid w:val="00B678D7"/>
    <w:rsid w:val="00B72959"/>
    <w:rsid w:val="00B8150A"/>
    <w:rsid w:val="00B916B3"/>
    <w:rsid w:val="00B94851"/>
    <w:rsid w:val="00B9715C"/>
    <w:rsid w:val="00BA2A63"/>
    <w:rsid w:val="00BA3A49"/>
    <w:rsid w:val="00BD189E"/>
    <w:rsid w:val="00C001D1"/>
    <w:rsid w:val="00C34F48"/>
    <w:rsid w:val="00C54BA5"/>
    <w:rsid w:val="00C5538C"/>
    <w:rsid w:val="00C6140D"/>
    <w:rsid w:val="00C805B8"/>
    <w:rsid w:val="00C80C13"/>
    <w:rsid w:val="00C83C0F"/>
    <w:rsid w:val="00C863CC"/>
    <w:rsid w:val="00CB5926"/>
    <w:rsid w:val="00CD28A4"/>
    <w:rsid w:val="00CD5C03"/>
    <w:rsid w:val="00CD7E95"/>
    <w:rsid w:val="00CE52A1"/>
    <w:rsid w:val="00CF1B8A"/>
    <w:rsid w:val="00CF4563"/>
    <w:rsid w:val="00CF79EB"/>
    <w:rsid w:val="00D0032A"/>
    <w:rsid w:val="00D20D8C"/>
    <w:rsid w:val="00D23503"/>
    <w:rsid w:val="00D433FD"/>
    <w:rsid w:val="00D4619D"/>
    <w:rsid w:val="00D4627C"/>
    <w:rsid w:val="00D61319"/>
    <w:rsid w:val="00D87138"/>
    <w:rsid w:val="00D87BDB"/>
    <w:rsid w:val="00D94178"/>
    <w:rsid w:val="00DC23E9"/>
    <w:rsid w:val="00E02751"/>
    <w:rsid w:val="00E233EE"/>
    <w:rsid w:val="00E526DE"/>
    <w:rsid w:val="00E73FCD"/>
    <w:rsid w:val="00E77952"/>
    <w:rsid w:val="00E90A58"/>
    <w:rsid w:val="00E9146F"/>
    <w:rsid w:val="00E92C85"/>
    <w:rsid w:val="00EB0016"/>
    <w:rsid w:val="00EC0360"/>
    <w:rsid w:val="00ED20CA"/>
    <w:rsid w:val="00ED28DD"/>
    <w:rsid w:val="00EE778E"/>
    <w:rsid w:val="00EF0984"/>
    <w:rsid w:val="00F0064E"/>
    <w:rsid w:val="00F03AC4"/>
    <w:rsid w:val="00F05F67"/>
    <w:rsid w:val="00F46D83"/>
    <w:rsid w:val="00F5743E"/>
    <w:rsid w:val="00F6466A"/>
    <w:rsid w:val="00F653F8"/>
    <w:rsid w:val="00F85912"/>
    <w:rsid w:val="00F97B30"/>
    <w:rsid w:val="00FA0BCD"/>
    <w:rsid w:val="00FA0E40"/>
    <w:rsid w:val="00FA2CFD"/>
    <w:rsid w:val="00FA3D46"/>
    <w:rsid w:val="00FB2FA7"/>
    <w:rsid w:val="00FB5944"/>
    <w:rsid w:val="00FE1F5B"/>
    <w:rsid w:val="00FF0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F6B77"/>
  <w15:chartTrackingRefBased/>
  <w15:docId w15:val="{094BAE8C-4682-4B0D-99CF-2B7E582D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A47"/>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B06A4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B06A47"/>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Normalny"/>
    <w:uiPriority w:val="6"/>
    <w:qFormat/>
    <w:rsid w:val="00B06A47"/>
    <w:pPr>
      <w:keepNext/>
      <w:suppressAutoHyphens/>
      <w:spacing w:before="120" w:after="120" w:line="360" w:lineRule="auto"/>
      <w:jc w:val="center"/>
    </w:pPr>
    <w:rPr>
      <w:rFonts w:ascii="Times" w:eastAsiaTheme="minorEastAsia" w:hAnsi="Times" w:cs="Arial"/>
      <w:bCs/>
      <w:sz w:val="24"/>
      <w:szCs w:val="24"/>
      <w:lang w:eastAsia="pl-PL"/>
    </w:rPr>
  </w:style>
  <w:style w:type="character" w:customStyle="1" w:styleId="Ppogrubienie">
    <w:name w:val="_P_ – pogrubienie"/>
    <w:basedOn w:val="Domylnaczcionkaakapitu"/>
    <w:uiPriority w:val="1"/>
    <w:qFormat/>
    <w:rsid w:val="00B06A47"/>
    <w:rPr>
      <w:b/>
    </w:rPr>
  </w:style>
  <w:style w:type="paragraph" w:styleId="Akapitzlist">
    <w:name w:val="List Paragraph"/>
    <w:basedOn w:val="Normalny"/>
    <w:uiPriority w:val="34"/>
    <w:qFormat/>
    <w:rsid w:val="00CD5C03"/>
    <w:pPr>
      <w:ind w:left="720"/>
      <w:contextualSpacing/>
    </w:pPr>
  </w:style>
  <w:style w:type="paragraph" w:styleId="Tekstprzypisukocowego">
    <w:name w:val="endnote text"/>
    <w:basedOn w:val="Normalny"/>
    <w:link w:val="TekstprzypisukocowegoZnak"/>
    <w:uiPriority w:val="99"/>
    <w:semiHidden/>
    <w:unhideWhenUsed/>
    <w:rsid w:val="006E0F1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E0F1C"/>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6E0F1C"/>
    <w:rPr>
      <w:vertAlign w:val="superscript"/>
    </w:rPr>
  </w:style>
  <w:style w:type="paragraph" w:styleId="Tekstprzypisudolnego">
    <w:name w:val="footnote text"/>
    <w:basedOn w:val="Normalny"/>
    <w:link w:val="TekstprzypisudolnegoZnak"/>
    <w:uiPriority w:val="99"/>
    <w:semiHidden/>
    <w:unhideWhenUsed/>
    <w:rsid w:val="00CF1B8A"/>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CF1B8A"/>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CF1B8A"/>
    <w:rPr>
      <w:vertAlign w:val="superscript"/>
    </w:rPr>
  </w:style>
  <w:style w:type="character" w:styleId="Odwoaniedokomentarza">
    <w:name w:val="annotation reference"/>
    <w:basedOn w:val="Domylnaczcionkaakapitu"/>
    <w:uiPriority w:val="99"/>
    <w:semiHidden/>
    <w:unhideWhenUsed/>
    <w:rsid w:val="00F6466A"/>
    <w:rPr>
      <w:sz w:val="16"/>
      <w:szCs w:val="16"/>
    </w:rPr>
  </w:style>
  <w:style w:type="paragraph" w:styleId="Tekstkomentarza">
    <w:name w:val="annotation text"/>
    <w:basedOn w:val="Normalny"/>
    <w:link w:val="TekstkomentarzaZnak"/>
    <w:uiPriority w:val="99"/>
    <w:unhideWhenUsed/>
    <w:rsid w:val="00F6466A"/>
    <w:pPr>
      <w:widowControl/>
      <w:autoSpaceDE/>
      <w:autoSpaceDN/>
      <w:adjustRightInd/>
      <w:spacing w:line="240" w:lineRule="auto"/>
    </w:pPr>
    <w:rPr>
      <w:rFonts w:ascii="Calibri" w:eastAsiaTheme="minorHAnsi" w:hAnsi="Calibri" w:cs="Calibri"/>
      <w:sz w:val="20"/>
      <w:lang w:eastAsia="en-US"/>
    </w:rPr>
  </w:style>
  <w:style w:type="character" w:customStyle="1" w:styleId="TekstkomentarzaZnak">
    <w:name w:val="Tekst komentarza Znak"/>
    <w:basedOn w:val="Domylnaczcionkaakapitu"/>
    <w:link w:val="Tekstkomentarza"/>
    <w:uiPriority w:val="99"/>
    <w:rsid w:val="00F6466A"/>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8D08EC"/>
    <w:pPr>
      <w:widowControl w:val="0"/>
      <w:autoSpaceDE w:val="0"/>
      <w:autoSpaceDN w:val="0"/>
      <w:adjustRightInd w:val="0"/>
    </w:pPr>
    <w:rPr>
      <w:rFonts w:ascii="Times New Roman" w:eastAsiaTheme="minorEastAsia" w:hAnsi="Times New Roman" w:cs="Arial"/>
      <w:b/>
      <w:bCs/>
      <w:lang w:eastAsia="pl-PL"/>
    </w:rPr>
  </w:style>
  <w:style w:type="character" w:customStyle="1" w:styleId="TematkomentarzaZnak">
    <w:name w:val="Temat komentarza Znak"/>
    <w:basedOn w:val="TekstkomentarzaZnak"/>
    <w:link w:val="Tematkomentarza"/>
    <w:uiPriority w:val="99"/>
    <w:semiHidden/>
    <w:rsid w:val="008D08EC"/>
    <w:rPr>
      <w:rFonts w:ascii="Times New Roman" w:eastAsiaTheme="minorEastAsia" w:hAnsi="Times New Roman" w:cs="Arial"/>
      <w:b/>
      <w:bCs/>
      <w:sz w:val="20"/>
      <w:szCs w:val="20"/>
      <w:lang w:eastAsia="pl-PL"/>
    </w:rPr>
  </w:style>
  <w:style w:type="paragraph" w:styleId="Poprawka">
    <w:name w:val="Revision"/>
    <w:hidden/>
    <w:uiPriority w:val="99"/>
    <w:semiHidden/>
    <w:rsid w:val="00526673"/>
    <w:pPr>
      <w:spacing w:after="0" w:line="240" w:lineRule="auto"/>
    </w:pPr>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73777E"/>
    <w:pPr>
      <w:tabs>
        <w:tab w:val="center" w:pos="4536"/>
        <w:tab w:val="right" w:pos="9072"/>
      </w:tabs>
      <w:spacing w:line="240" w:lineRule="auto"/>
    </w:pPr>
  </w:style>
  <w:style w:type="character" w:customStyle="1" w:styleId="StopkaZnak">
    <w:name w:val="Stopka Znak"/>
    <w:basedOn w:val="Domylnaczcionkaakapitu"/>
    <w:link w:val="Stopka"/>
    <w:uiPriority w:val="99"/>
    <w:rsid w:val="0073777E"/>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1B2A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2AC0"/>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4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39E9-5D66-48E5-A319-A27C1453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6712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Bielecki Cezary</dc:creator>
  <cp:keywords/>
  <dc:description/>
  <cp:lastModifiedBy>Wójcik Aleksandra</cp:lastModifiedBy>
  <cp:revision>3</cp:revision>
  <dcterms:created xsi:type="dcterms:W3CDTF">2026-04-09T12:21:00Z</dcterms:created>
  <dcterms:modified xsi:type="dcterms:W3CDTF">2026-04-09T12:28:00Z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UxC4dwLulzfINJ8nQH+xvX5LNGipWa4BRSZhPgxsCvmiqZn3KxTQ8ZS3cThMDfIjgo5LhtQbWgG1YoG7LfIx/w==</vt:lpwstr>
  </property>
  <property fmtid="{D5CDD505-2E9C-101B-9397-08002B2CF9AE}" pid="4" name="MFClassificationDate">
    <vt:lpwstr>2025-04-07T12:27:33.3881482+02:00</vt:lpwstr>
  </property>
  <property fmtid="{D5CDD505-2E9C-101B-9397-08002B2CF9AE}" pid="5" name="MFClassifiedBySID">
    <vt:lpwstr>UxC4dwLulzfINJ8nQH+xvX5LNGipWa4BRSZhPgxsCvm42mrIC/DSDv0ggS+FjUN/2v1BBotkLlY5aAiEhoi6ud0KXGd243xo+2C47T6Vap/bbtIdGbVd8bOp2obSMu7j</vt:lpwstr>
  </property>
  <property fmtid="{D5CDD505-2E9C-101B-9397-08002B2CF9AE}" pid="6" name="MFGRNItemId">
    <vt:lpwstr>GRN-fc32712d-a7b7-4143-9fc8-c292375499c5</vt:lpwstr>
  </property>
  <property fmtid="{D5CDD505-2E9C-101B-9397-08002B2CF9AE}" pid="7" name="MFHash">
    <vt:lpwstr>C0LQBo95o+vj4J+xtfiQkCUDYEwRTgRBRudoFh/TI1k=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