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146A" w14:textId="0A49157A" w:rsidR="00284CFE" w:rsidRPr="00284CFE" w:rsidRDefault="00284CFE" w:rsidP="00284CFE">
      <w:pPr>
        <w:pStyle w:val="TYTDZPRZEDMprzedmiotregulacjitytuulubdziau"/>
      </w:pPr>
      <w:r w:rsidRPr="00284CFE">
        <w:t>UZASADNIENIE</w:t>
      </w:r>
    </w:p>
    <w:p w14:paraId="06FE190B" w14:textId="2BDA302D" w:rsidR="00C01F88" w:rsidRPr="00C01F88" w:rsidRDefault="00C01F88" w:rsidP="00C01F88">
      <w:pPr>
        <w:pStyle w:val="NIEARTTEKSTtekstnieartykuowanynppodstprawnarozplubpreambua"/>
      </w:pPr>
      <w:r w:rsidRPr="00C01F88">
        <w:t>Projekt ustawy o zmianie ustawy z dnia 24 czerwca 1999 r. o wykonywaniu inicjatywy ustawodawczej przez obywateli przewiduje utworzenie usługi, która będzie ułatwiała wykonywanie przez obywateli uprawnień związanych z inicjatywą ustawodawczą oraz wykonywanie niektórych uprawnień i obowiązków przez pełnomocnika komitetu, dzięki wykorzystaniu rozwiązań elektronicznych.</w:t>
      </w:r>
    </w:p>
    <w:p w14:paraId="4EA71C70" w14:textId="4D86DD10" w:rsidR="00C01F88" w:rsidRPr="00C01F88" w:rsidRDefault="00C01F88" w:rsidP="00C01F88">
      <w:pPr>
        <w:pStyle w:val="NIEARTTEKSTtekstnieartykuowanynppodstprawnarozplubpreambua"/>
      </w:pPr>
      <w:r w:rsidRPr="00C01F88">
        <w:t xml:space="preserve">Założeniem projektu ustawy jest, aby usługa udostępniania w portalu poparcia poszerzała możliwości działania obywateli oraz pełnomocnika komitetu i nie zastępowała możliwości dotychczasowych. Przepisy projektu ustawy nie ograniczają zatem możliwości wykonywania czynności przewidzianych w ustawie w postaci papierowej, ale umożliwiają wykonywanie niektórych z nich elektronicznie. </w:t>
      </w:r>
    </w:p>
    <w:p w14:paraId="5FFFE0A5" w14:textId="6F4685A6" w:rsidR="00C01F88" w:rsidRPr="00C01F88" w:rsidRDefault="00C01F88" w:rsidP="00C01F88">
      <w:pPr>
        <w:pStyle w:val="NIEARTTEKSTtekstnieartykuowanynppodstprawnarozplubpreambua"/>
      </w:pPr>
      <w:r w:rsidRPr="00C01F88">
        <w:t xml:space="preserve">Usługa będzie udostępniana za pomocą portalu poparcia, o którym mowa w art. 103d § 1 ustawy z dnia 5 stycznia 2011 r. – Kodeks wyborczy (Dz. U. z 2025 r. poz. 365 i 1792), obok usługi służącej do udzielenia poparcia w postaci elektronicznej liście kandydatów na posłów, liście kandydatów na posłów do Parlamentu Europejskiego, kandydatowi na Prezydenta Rzeczypospolitej Polskiej oraz kandydatowi na senatora, i będzie umożliwiać obywatelowi udzielenia poparcia projektowi ustawy, oraz umożliwiać pełnomocnikowi komitetu wniesienie do Marszałka Sejmu projektu ustawy oraz złożenie sprawozdania finansowego o źródłach pozyskanych funduszy. </w:t>
      </w:r>
    </w:p>
    <w:p w14:paraId="7576BF7A" w14:textId="7F821721" w:rsidR="00C01F88" w:rsidRPr="00C01F88" w:rsidRDefault="00C01F88" w:rsidP="00C01F88">
      <w:pPr>
        <w:pStyle w:val="NIEARTTEKSTtekstnieartykuowanynppodstprawnarozplubpreambua"/>
      </w:pPr>
      <w:r w:rsidRPr="00C01F88">
        <w:t>W każdym z tych przypadków, wykonanie tych czynności będzie wymagało zalogowania się do portalu poparcia, uwierzytelnienia w sposób określony w art. 20a ust. 1 ustawy z dnia 17 lutego 2005 r. o informatyzacji działalności podmiotów realizujących zadania publiczne (Dz.U. z 2025 r. poz. 1703 i 1301 oraz z 2026 r. poz. 160) oraz złożenia kwalifikowanego podpisu elektronicznego, podpisu zaufanego albo podpisu osobistego. Dodatkowo, po zalogowaniu się do portalu poparcia oraz uwierzytelnieniu, obywatel będzie mógł uzyskać informację o tym, do jakich komitetów przystąpił oraz o dacie udzielenia przez nią poparcia, nazwie komitetu oraz treści projektu ustawy, której udzielił poparcia.</w:t>
      </w:r>
    </w:p>
    <w:p w14:paraId="015E7A91" w14:textId="3CBE477F" w:rsidR="00C01F88" w:rsidRPr="00C01F88" w:rsidRDefault="00C01F88" w:rsidP="00C01F88">
      <w:pPr>
        <w:pStyle w:val="NIEARTTEKSTtekstnieartykuowanynppodstprawnarozplubpreambua"/>
      </w:pPr>
      <w:r w:rsidRPr="00C01F88">
        <w:t xml:space="preserve">Usługa nie będzie umożliwiać utworzenia komitetu inicjatywy ustawodawczej poprzez złożenie oświadczeń o jego przystąpieniu, ani złożenia oświadczeń o wskazaniu pełnomocnika komitetu ani jego zastępcy. Takie oświadczenia będą składane, jak dotychczas, w postaci papierowej. Nie przewiduje się możliwości dokonania za pośrednictwem usług dokonania </w:t>
      </w:r>
      <w:r w:rsidRPr="00C01F88">
        <w:lastRenderedPageBreak/>
        <w:t xml:space="preserve">zawiadomienia o utworzeniu komitetu. Zawiadomienie takie pełnomocnik komitetu będzie składać Marszałkowi Sejmu zgodnie z art. 6 ust. 1-3 ustawy. </w:t>
      </w:r>
    </w:p>
    <w:p w14:paraId="6D000024" w14:textId="7F3BBC0D" w:rsidR="00C01F88" w:rsidRPr="00C01F88" w:rsidRDefault="00C01F88" w:rsidP="00C01F88">
      <w:pPr>
        <w:pStyle w:val="NIEARTTEKSTtekstnieartykuowanynppodstprawnarozplubpreambua"/>
      </w:pPr>
      <w:r w:rsidRPr="00C01F88">
        <w:t xml:space="preserve">Projekt ustawy został bowiem przygotowany z uwzględnieniem faktu, że </w:t>
      </w:r>
      <w:r>
        <w:t>–</w:t>
      </w:r>
      <w:r w:rsidRPr="00C01F88">
        <w:t xml:space="preserve"> w dobie powszechnej komunikacji elektronicznej </w:t>
      </w:r>
      <w:r>
        <w:t>–</w:t>
      </w:r>
      <w:r w:rsidRPr="00C01F88">
        <w:t xml:space="preserve"> rozwiązania przewidziane w ustawie, bazujące na łatwości udzielenia poparcia, niskich kosztach i niewielkim nakładzie pracy po stronie komitetu dla uzyskania wymaganego poparcia, mogłyby zostać wykorzystane w sposób sprzeczny z jej celem, na przykład dla tworzenia znacznej liczby projektów ustawy tylko w celu utrudnienia pracy Marszałka Sejmu lub innych organów władzy, bez realnego poparcia dla danego projektu ustawy. Z tego powodu, projekt zakłada utrzymanie wymogu zebrania 1000 własnoręcznych podpisów obywateli popierających projekt, niezbędnych do złożenia Marszałkowi Sejmu zawiadomienia o utworzeniu komitetu inicjatywy ustawodawczej.</w:t>
      </w:r>
    </w:p>
    <w:p w14:paraId="3C592FC1" w14:textId="564AEF2E" w:rsidR="00C01F88" w:rsidRPr="00C01F88" w:rsidRDefault="00C01F88" w:rsidP="00C01F88">
      <w:pPr>
        <w:pStyle w:val="NIEARTTEKSTtekstnieartykuowanynppodstprawnarozplubpreambua"/>
      </w:pPr>
      <w:r w:rsidRPr="00C01F88">
        <w:t xml:space="preserve">Po wydaniu przez Marszałka Sejmu postanowienia o przyjęciu zawiadomienia </w:t>
      </w:r>
      <w:r>
        <w:br/>
      </w:r>
      <w:r w:rsidRPr="00C01F88">
        <w:t xml:space="preserve">o utworzeniu komitetu lub po doręczeniu Marszałkowi Sejmu postanowienia Sądu Najwyższego uwzględniającego skargę na postanowienie o odmowie odmowę przyjęcia zawiadomienia o utworzeniu komitetu, w terminie 3 dni, w portalu poparcia umożliwia się obywatelom udzielenie poparcia projektowi ustawy. W tym samym terminie, Marszałek Sejmu zamieszcza w portalu poparcia informację o tym, że dany obywatel przystąpił do komitetu </w:t>
      </w:r>
      <w:r>
        <w:t>–</w:t>
      </w:r>
      <w:r w:rsidRPr="00C01F88">
        <w:t xml:space="preserve"> przy czym informacja o tym będzie dostępna w portalu poparcia dla osoby, której ona dotyczy.</w:t>
      </w:r>
    </w:p>
    <w:p w14:paraId="79576329" w14:textId="13C69BBE" w:rsidR="00C01F88" w:rsidRPr="00C01F88" w:rsidRDefault="00C01F88" w:rsidP="00C01F88">
      <w:pPr>
        <w:pStyle w:val="NIEARTTEKSTtekstnieartykuowanynppodstprawnarozplubpreambua"/>
      </w:pPr>
      <w:r w:rsidRPr="00C01F88">
        <w:t xml:space="preserve">Usługa będzie umożliwiać powszechny dostęp do informacji o utworzonych komitetach oraz liczbie osób, które udzieliły poparcia projektowi ustawy za pomocą portalu poparcia. Informacje takie nie zawierają danych wrażliwych ani nie identyfikuje się ryzyka ich wykorzystania w sposób bezprawny, zatem będą one dostępne bez konieczności logowania </w:t>
      </w:r>
      <w:r>
        <w:br/>
      </w:r>
      <w:r w:rsidRPr="00C01F88">
        <w:t>i uwierzytelnienia.</w:t>
      </w:r>
    </w:p>
    <w:p w14:paraId="6DD52CA9" w14:textId="2AEC6ADD" w:rsidR="00C01F88" w:rsidRPr="00C01F88" w:rsidRDefault="00C01F88" w:rsidP="00C01F88">
      <w:pPr>
        <w:pStyle w:val="NIEARTTEKSTtekstnieartykuowanynppodstprawnarozplubpreambua"/>
      </w:pPr>
      <w:r w:rsidRPr="00C01F88">
        <w:t xml:space="preserve">Pełnomocnik komitetu będzie mógł, za pośrednictwem usługi, wnieść do Marszałka Sejmu projekt ustawy. Jeśli projekt ustawy uzyskał w portalu poparcia wymaganą liczbę podpisów, to nie ma konieczności przedkładania Marszałkowi Sejmu wykazów poparcia projektu w postaci papierowej. Jeśli jednak projektowi ustawy nie udzielono poparcia za pomocą portalu poparcia w wymaganej liczbie, to pełnomocnik komitetu wnosi do Marszałka Sejmu wykaz podpisów obywateli popierających projekt. </w:t>
      </w:r>
    </w:p>
    <w:p w14:paraId="15A5C727" w14:textId="45518E4E" w:rsidR="00C01F88" w:rsidRPr="00C01F88" w:rsidRDefault="00C01F88" w:rsidP="00C01F88">
      <w:pPr>
        <w:pStyle w:val="NIEARTTEKSTtekstnieartykuowanynppodstprawnarozplubpreambua"/>
      </w:pPr>
      <w:r w:rsidRPr="00C01F88">
        <w:t xml:space="preserve">Pełnomocnik komitetu może też wnieść do Marszałka Sejmu projekt ustawy </w:t>
      </w:r>
      <w:r>
        <w:br/>
      </w:r>
      <w:r w:rsidRPr="00C01F88">
        <w:t xml:space="preserve">z załączonym wykazem podpisów obywateli popierających projekt, zatem w postaci papierowej. W takim przypadku, Marszałek Sejmu dołącza informację o liczbie obywateli, </w:t>
      </w:r>
      <w:r w:rsidRPr="00C01F88">
        <w:lastRenderedPageBreak/>
        <w:t xml:space="preserve">którzy udzielili projektowi poparcia za pomocą portalu poparcia, do momentu wniesienia projektu ustawy do Marszałka Sejmu. </w:t>
      </w:r>
    </w:p>
    <w:p w14:paraId="0D282EA9" w14:textId="2E85D6EF" w:rsidR="00C01F88" w:rsidRPr="00C01F88" w:rsidRDefault="00C01F88" w:rsidP="00C01F88">
      <w:pPr>
        <w:pStyle w:val="NIEARTTEKSTtekstnieartykuowanynppodstprawnarozplubpreambua"/>
      </w:pPr>
      <w:r w:rsidRPr="00C01F88">
        <w:t xml:space="preserve">Sposób wniesienia projektu ustawy nie ma wpływu na bieg terminu 3-miesięcznego, </w:t>
      </w:r>
      <w:r>
        <w:br/>
      </w:r>
      <w:r w:rsidRPr="00C01F88">
        <w:t xml:space="preserve">w którym pełnomocnik komitetu powinien wnieść projekt z podpisami świadczącymi </w:t>
      </w:r>
      <w:r>
        <w:br/>
      </w:r>
      <w:r w:rsidRPr="00C01F88">
        <w:t>o poparciu projektu. Dla ustalenia spełnienia wymogu poparcia projektu przez 100 000 obywateli decydująca jest data, godzina i minuta wniesienia projektu ustawy do Marszałka Sejmu.</w:t>
      </w:r>
    </w:p>
    <w:p w14:paraId="6E6A1CEA" w14:textId="334C0B6D" w:rsidR="00C01F88" w:rsidRPr="00C01F88" w:rsidRDefault="00C01F88" w:rsidP="00C01F88">
      <w:pPr>
        <w:pStyle w:val="NIEARTTEKSTtekstnieartykuowanynppodstprawnarozplubpreambua"/>
      </w:pPr>
      <w:r w:rsidRPr="00C01F88">
        <w:t>Usługa nie będzie umożliwiała doręczenia pełnomocnikowi komitetu postanowień wydawanych przez Marszałka Sejmu ani przez Sąd Najwyższy, który rozpoznaje skargi na postanowienia Marszałka Sejmu w zakresie wskazanym w ustawie. Nie będzie ona również umożliwiała wnoszenia skarg przez pełnomocnika komitetu na postanowienia Marszałka Sejmu wskazane w ustawie o wykonywaniu inicjatywy ustawodawczej przez obywateli.</w:t>
      </w:r>
    </w:p>
    <w:p w14:paraId="29018913" w14:textId="77E41F03" w:rsidR="00261A16" w:rsidRPr="00737F6A" w:rsidRDefault="00C01F88" w:rsidP="00C01F88">
      <w:pPr>
        <w:pStyle w:val="NIEARTTEKSTtekstnieartykuowanynppodstprawnarozplubpreambua"/>
      </w:pPr>
      <w:r w:rsidRPr="00C01F88">
        <w:t>W art. 9b ust. 1 zawarto regulacje odnoszące się do przepisów ustawy z dnia 5 stycznia 2011 r. – Kodeks wyborczy, wprowadzonych ustawą z dnia 23 stycznia 2026 r. o zmianie ustawy – Kodeks wyborczy (Dz.U. z 2026 r. poz. 178). Natomiast przepisy art. 9b ust. 2-5 regulują przechowywanie wskazanych tam danych w portalu poparcia w związku z usługą, dostęp do tych danych, oraz obowiązki ich udostępniania dla potrzeb sądów, prokuratury lub Policji.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58CE6" w14:textId="77777777" w:rsidR="004B04CD" w:rsidRDefault="004B04CD">
      <w:r>
        <w:separator/>
      </w:r>
    </w:p>
  </w:endnote>
  <w:endnote w:type="continuationSeparator" w:id="0">
    <w:p w14:paraId="112207EF" w14:textId="77777777" w:rsidR="004B04CD" w:rsidRDefault="004B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0342" w14:textId="77777777" w:rsidR="004B04CD" w:rsidRDefault="004B04CD">
      <w:r>
        <w:separator/>
      </w:r>
    </w:p>
  </w:footnote>
  <w:footnote w:type="continuationSeparator" w:id="0">
    <w:p w14:paraId="690666D2" w14:textId="77777777" w:rsidR="004B04CD" w:rsidRDefault="004B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DCE9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6720133">
    <w:abstractNumId w:val="23"/>
  </w:num>
  <w:num w:numId="2" w16cid:durableId="1387023410">
    <w:abstractNumId w:val="23"/>
  </w:num>
  <w:num w:numId="3" w16cid:durableId="2137990664">
    <w:abstractNumId w:val="18"/>
  </w:num>
  <w:num w:numId="4" w16cid:durableId="1064328697">
    <w:abstractNumId w:val="18"/>
  </w:num>
  <w:num w:numId="5" w16cid:durableId="1411386982">
    <w:abstractNumId w:val="35"/>
  </w:num>
  <w:num w:numId="6" w16cid:durableId="1888028502">
    <w:abstractNumId w:val="31"/>
  </w:num>
  <w:num w:numId="7" w16cid:durableId="2129541259">
    <w:abstractNumId w:val="35"/>
  </w:num>
  <w:num w:numId="8" w16cid:durableId="2122450928">
    <w:abstractNumId w:val="31"/>
  </w:num>
  <w:num w:numId="9" w16cid:durableId="1931699456">
    <w:abstractNumId w:val="35"/>
  </w:num>
  <w:num w:numId="10" w16cid:durableId="533421992">
    <w:abstractNumId w:val="31"/>
  </w:num>
  <w:num w:numId="11" w16cid:durableId="1375930641">
    <w:abstractNumId w:val="14"/>
  </w:num>
  <w:num w:numId="12" w16cid:durableId="1682274561">
    <w:abstractNumId w:val="10"/>
  </w:num>
  <w:num w:numId="13" w16cid:durableId="1358770785">
    <w:abstractNumId w:val="15"/>
  </w:num>
  <w:num w:numId="14" w16cid:durableId="1332442469">
    <w:abstractNumId w:val="26"/>
  </w:num>
  <w:num w:numId="15" w16cid:durableId="680472799">
    <w:abstractNumId w:val="14"/>
  </w:num>
  <w:num w:numId="16" w16cid:durableId="252713049">
    <w:abstractNumId w:val="16"/>
  </w:num>
  <w:num w:numId="17" w16cid:durableId="1475215695">
    <w:abstractNumId w:val="8"/>
  </w:num>
  <w:num w:numId="18" w16cid:durableId="976449100">
    <w:abstractNumId w:val="3"/>
  </w:num>
  <w:num w:numId="19" w16cid:durableId="71005877">
    <w:abstractNumId w:val="2"/>
  </w:num>
  <w:num w:numId="20" w16cid:durableId="1722901153">
    <w:abstractNumId w:val="1"/>
  </w:num>
  <w:num w:numId="21" w16cid:durableId="253515423">
    <w:abstractNumId w:val="0"/>
  </w:num>
  <w:num w:numId="22" w16cid:durableId="866330430">
    <w:abstractNumId w:val="9"/>
  </w:num>
  <w:num w:numId="23" w16cid:durableId="744301301">
    <w:abstractNumId w:val="7"/>
  </w:num>
  <w:num w:numId="24" w16cid:durableId="1601597224">
    <w:abstractNumId w:val="6"/>
  </w:num>
  <w:num w:numId="25" w16cid:durableId="1894583929">
    <w:abstractNumId w:val="5"/>
  </w:num>
  <w:num w:numId="26" w16cid:durableId="741753432">
    <w:abstractNumId w:val="4"/>
  </w:num>
  <w:num w:numId="27" w16cid:durableId="1342588066">
    <w:abstractNumId w:val="33"/>
  </w:num>
  <w:num w:numId="28" w16cid:durableId="499656454">
    <w:abstractNumId w:val="25"/>
  </w:num>
  <w:num w:numId="29" w16cid:durableId="954480249">
    <w:abstractNumId w:val="36"/>
  </w:num>
  <w:num w:numId="30" w16cid:durableId="1147357871">
    <w:abstractNumId w:val="32"/>
  </w:num>
  <w:num w:numId="31" w16cid:durableId="1556429132">
    <w:abstractNumId w:val="19"/>
  </w:num>
  <w:num w:numId="32" w16cid:durableId="1772511635">
    <w:abstractNumId w:val="11"/>
  </w:num>
  <w:num w:numId="33" w16cid:durableId="514274262">
    <w:abstractNumId w:val="30"/>
  </w:num>
  <w:num w:numId="34" w16cid:durableId="741099677">
    <w:abstractNumId w:val="20"/>
  </w:num>
  <w:num w:numId="35" w16cid:durableId="330837535">
    <w:abstractNumId w:val="17"/>
  </w:num>
  <w:num w:numId="36" w16cid:durableId="2113353692">
    <w:abstractNumId w:val="22"/>
  </w:num>
  <w:num w:numId="37" w16cid:durableId="2062556010">
    <w:abstractNumId w:val="27"/>
  </w:num>
  <w:num w:numId="38" w16cid:durableId="1697846943">
    <w:abstractNumId w:val="24"/>
  </w:num>
  <w:num w:numId="39" w16cid:durableId="188765468">
    <w:abstractNumId w:val="13"/>
  </w:num>
  <w:num w:numId="40" w16cid:durableId="928856573">
    <w:abstractNumId w:val="29"/>
  </w:num>
  <w:num w:numId="41" w16cid:durableId="2036269199">
    <w:abstractNumId w:val="28"/>
  </w:num>
  <w:num w:numId="42" w16cid:durableId="1100415938">
    <w:abstractNumId w:val="21"/>
  </w:num>
  <w:num w:numId="43" w16cid:durableId="1962229019">
    <w:abstractNumId w:val="34"/>
  </w:num>
  <w:num w:numId="44" w16cid:durableId="18875704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F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97A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2DF2"/>
    <w:rsid w:val="00284CFE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414A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04CD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6456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4586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189E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1F88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F16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63F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5504</Characters>
  <Application>Microsoft Office Word</Application>
  <DocSecurity>0</DocSecurity>
  <Lines>45</Lines>
  <Paragraphs>12</Paragraphs>
  <ScaleCrop>false</ScaleCrop>
  <Manager/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2026-04-17T10:37:00Z</dcterms:created>
  <dcterms:modified xsi:type="dcterms:W3CDTF">2026-04-17T10:37:00Z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