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D9FF" w14:textId="77777777" w:rsidR="009E10BE" w:rsidRPr="00786B0A" w:rsidRDefault="009E10BE" w:rsidP="00786B0A">
      <w:pPr>
        <w:keepNext/>
        <w:suppressAutoHyphens/>
        <w:spacing w:before="120" w:after="12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UZASADNIENIE</w:t>
      </w:r>
    </w:p>
    <w:p w14:paraId="614FCD7F" w14:textId="01388887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Projekt ustawy o zmianie ustawy o świadczeniach opieki zdrowotnej finansowanych ze środków publicznych oraz ustawy o zapobieganiu oraz zwalczaniu zakażeń i chorób zakaźnych u ludzi zakłada zmianę w art. 48 ust. 1b oraz art. 97 ust. 3 pkt 3e, ust. 3k i 3l ustawy z dnia 27</w:t>
      </w:r>
      <w:r w:rsidR="00E75C07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 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sierpnia 2004 r. o świadczeniach opieki zdrowotnej finansowanych ze środków publicznych (Dz. U. z 202</w:t>
      </w:r>
      <w:r w:rsidR="00124429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r. poz. 146</w:t>
      </w:r>
      <w:r w:rsidR="00124429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1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, z późn. zm.). Zmiana ta jest związana z ustawą z dnia 16 listopada 2022 r. o zmianie ustawy o zawodach lekarza i lekarza dentysty oraz niektórych innych ustaw</w:t>
      </w:r>
      <w:r w:rsidRPr="00786B0A" w:rsidDel="00C44B6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(Dz. U. poz. 2770). Nowelizacja ta miała na celu zmienić podmiot finansujący realizację zadań merytorycznych w ramach programów polityki zdrowotnej wskazanych w art. 48 ust. 1a i art.</w:t>
      </w:r>
      <w:r w:rsidR="00E75C07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 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97 ust. 3 pkt 3e ustawy z dnia 27 sierpnia 2004 r. o świadczeniach opieki zdrowotnej finansowanych ze środków publicznych. W związku z tym środki na finansowanie tych zadań, w tym świadczeń zdrowotnych (badań diagnostycznych) w ramach części dotyczącej leczenia przewlekłego wirusowego zapalenia wątroby typu C u pacjentów osadzonych w zakładach penitencjarnych, zostały zaplanowane w programie, o którym mowa w art. 48 ust. 1a pkt 2 ustawy z dnia 27 sierpnia 2004 r. o świadczeniach opieki zdrowotnej finansowanych ze środków publicznych, i uwzględnione w prognozie przychodów Narodowego Funduszu Zdrowia na lata 2025–2027 oraz na lata 2026–2028, jak również w planie finansowym Narodowego Funduszu Zdrowia. Jednak w związku z brakiem uwzględnienia świadczeń zdrowotnych w obecnym brzmieniu art. 48 ust. 1b i art. 97 ust. 3 pkt 3e ustawy z dnia 27</w:t>
      </w:r>
      <w:r w:rsidR="00E75C07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 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sierpnia 2004 r. o świadczeniach opieki zdrowotnej finansowanych ze środków publicznych ze środków Narodowego Funduszu Zdrowia jest możliwe finansowanie wyłącznie zakupu produktów leczniczych i wyrobów medycznych. Pomimo jasnego celu zmian wprowadzanych ustawą z dnia 16 listopada 2022 r. o zmianie ustawy o zawodach lekarza i lekarza dentysty oraz niektórych innych ustaw oraz zaplanowaniem środków w budżecie Narodowego Funduszu Zdrowia </w:t>
      </w:r>
      <w:r w:rsidR="00A1042F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nie ma</w:t>
      </w:r>
      <w:r w:rsidR="00A1042F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możliwości finansowania świadczeń opieki zdrowotnej realizowanych w ramach wskazanego programu polityki zdrowotnej, które są finansowane z budżetu ministra właściwego do spraw zdrowia. Pozostałe zadania merytoryczne – zakup produktów leczniczych i wyrobów medycznych</w:t>
      </w:r>
      <w:r w:rsidR="00CA579E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, </w:t>
      </w:r>
      <w:r w:rsidR="008F6270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są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finansowane z budżetu Narodowego Funduszu Zdrowia.</w:t>
      </w:r>
    </w:p>
    <w:p w14:paraId="4D8B7460" w14:textId="7FE1AC2B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Proponowana zmiana dostosowuje ustawę z dnia 27 sierpnia 2004 r. o świadczeniach opieki zdrowotnej finansowanych ze środków publicznych do celu wskazanego </w:t>
      </w:r>
      <w:r w:rsidR="0085309F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ustawą z dnia 16 listopada 2022 r. o zmianie ustawy o zawodach lekarza i lekarza dentysty oraz niektórych innych ustaw</w:t>
      </w:r>
      <w:r w:rsidR="0085309F" w:rsidRPr="00786B0A" w:rsidDel="00C44B6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bookmarkStart w:id="0" w:name="_Hlk199921165"/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‒</w:t>
      </w:r>
      <w:bookmarkEnd w:id="0"/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tj. zapewnienia komplementarności finansowania interwencji medycznych (w</w:t>
      </w:r>
      <w:r w:rsidR="00E75C07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 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tym również świadczeń zdrowotnych) zaplanowanych w ramach programu polityki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>zdrowotnej, o którym mowa w art. 48 ust. 1a pkt 2 ustawy z dnia 27 sierpnia 2004 r. o świadczeniach opieki zdrowotnej finansowanych ze środków publicznych.</w:t>
      </w:r>
      <w:bookmarkStart w:id="1" w:name="_Hlk209189353"/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W związku z obecnym finansowaniem tych świadczeń z budżetu ministra właściwego do spraw zdrowia nie ma potrzeby wprowadzania przepisów przejściowych.</w:t>
      </w:r>
    </w:p>
    <w:bookmarkEnd w:id="1"/>
    <w:p w14:paraId="79FC6EA6" w14:textId="7C0A3402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Z kolei projektowana zmiana w art. 41 ustawy z dnia 5 grudnia 2008 r. o zapobieganiu oraz zwalczaniu zakażeń i chorób zakaźnych u ludzi (Dz. U. z 2025 r. poz. 1675</w:t>
      </w:r>
      <w:r w:rsidR="008F6270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oraz z 2026 r. poz. 26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) polegająca na dodaniu ust. 6 ma na celu doprecyzowanie przepisów dotyczących finansowania świadczeń opieki zdrowotnej niezbędnych do realizacji programu polityki zdrowotnej leczenia antyretrowirusowego osób żyjących z wirusem HIV</w:t>
      </w:r>
      <w:r w:rsidR="0085309F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przez wskazanie, że koszty świadczeń opieki zdrowotnej </w:t>
      </w:r>
      <w:r w:rsidR="00D33CCE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związanych przyczynowo z zakażeniami i chorobami objętymi realizacją programu polityki zdrowotnej leczenia antyretrowirusowego osób żyjących z wirusem HIV</w:t>
      </w:r>
      <w:r w:rsidR="0085309F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, innych niż określonych w art. 41 ust. 4 i 5 ww. ustawy, udzielonych osobom nieposiadającym uprawnień z tytułu ubezpieczenia zdrowotnego, są finansowane z budżetu państwa z części, której dysponentem jest minister właściwy do spraw zdrowia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. Obecne regulacje prowadzą do szeregu nieporozumień i błędnych interpretacji ze strony podmiotów leczniczych posiadających umowę z Narodowym Funduszem Zdrowia i realizujących jednocześnie program polityki zdrowotnej leczenia antyretrowirusowego osób żyjących z wirusem HIV. W zależności od miejsca i sytuacji świadczenia opieki zdrowotnej, w ramach których </w:t>
      </w:r>
      <w:r w:rsidR="008F6270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są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wydawane produkty lecznicze oraz </w:t>
      </w:r>
      <w:r w:rsidR="008F6270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są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wykonywane badania diagnostyczne wyrobami medycznymi z tego programu, są udzielane bez dodatkowych opłat lub jest pobierana opłata za te świadczenia. Wobec powyższego wskazana grupa pacjentów ma utrudniony dostęp do produktów leczniczych i wyrobów medycznych w ramach programu, o którym mowa w art. </w:t>
      </w:r>
      <w:r w:rsidR="0085309F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41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ust. 3 ustawy z dnia 5 grudnia 2008 r. o zapobieganiu oraz zwalczaniu zakażeń i chorób zakaźnych u ludzi, skierowanego do wszystkich osób zakażonych HIV i chorych na AIDS przebywających na terytorium Rzecz</w:t>
      </w:r>
      <w:r w:rsidR="00B261C2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y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pospolitej Polskiej, niezależnie od statusu ubezpieczeniowego</w:t>
      </w:r>
      <w:bookmarkStart w:id="2" w:name="_Hlk209189449"/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. </w:t>
      </w:r>
    </w:p>
    <w:bookmarkEnd w:id="2"/>
    <w:p w14:paraId="642DC619" w14:textId="300F1DFA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Zgodnie z art. 12 ustawy z dnia 27 sierpnia 2004 r. o świadczeniach opieki zdrowotnej finansowanych ze środków publicznych zaproponowane przepisy nie naruszają przepisów o świadczeniach opieki zdrowotnej udzielanych bezpłatnie bez względu na uprawnienia z tytułu ubezpieczenia zdrowotnego na podstawie m.in. przepisów ustawy z dnia 5 grudnia 2008 r. o zapobieganiu oraz zwalczaniu zakażeń i chorób zakaźnych u ludzi – w przypadku świadczeń zdrowotnych związanych ze zwalczaniem zakażeń i chorób zakaźnych. Wskazany przepis ustawy z dnia 27 sierpnia 2004 r. o świadczeniach opieki zdrowotnej finansowanych ze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>środków publicznych zawiera odesłanie do aktów prawnych, które regulują możliwości korzystania z konkretnych świadczeń zdrowotnych, na zasadach odmiennych niż wskazane w tej ustawie.</w:t>
      </w:r>
    </w:p>
    <w:p w14:paraId="4B158738" w14:textId="4EFDCE1F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Leczenie antyretrowirusowe jest skuteczną metodą przerwania łańcucha epidemiologicznego nowych zakażeń HIV. Pełniąc podwójną rolę – terapeutyczną i profilaktyczną</w:t>
      </w:r>
      <w:r w:rsidR="00557612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,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terapia ta stanowi podstawę strategii prewencyjnych (TasP – leczenie jako profilaktyka, z ang. </w:t>
      </w:r>
      <w:r w:rsidRPr="00786B0A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eastAsia="pl-PL"/>
          <w14:ligatures w14:val="none"/>
        </w:rPr>
        <w:t>Treatment as Prevention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), ponieważ osoby skutecznie leczone, z niewykrywalną wiremią HIV nie zakażają innych podczas kontaktów seksualnych (zasada N=N Niewykrywalny=Niezakażający, z ang. U=U </w:t>
      </w:r>
      <w:r w:rsidRPr="00786B0A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eastAsia="pl-PL"/>
          <w14:ligatures w14:val="none"/>
        </w:rPr>
        <w:t>Undetectable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= </w:t>
      </w:r>
      <w:r w:rsidRPr="00786B0A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eastAsia="pl-PL"/>
          <w14:ligatures w14:val="none"/>
        </w:rPr>
        <w:t>Untransmittable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). Wobec powyższego</w:t>
      </w:r>
      <w:r w:rsidR="008F6270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,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umożliwiając leczenie osobom zakażonym, zmniejszamy przyszłe koszty leczenia kolejnych osób, które miałyby ryzyko zakażeni</w:t>
      </w:r>
      <w:r w:rsidR="008D777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a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od tych osób.</w:t>
      </w:r>
    </w:p>
    <w:p w14:paraId="13F15CE4" w14:textId="427D2CD7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Nieleczenie zakażenia HIV lub przerwanie leczenia, np. z powodu utraty tytułu do ubezpieczenia zdrowotnego i braku możliwości odbycia wizyty lekarskiej, na której </w:t>
      </w:r>
      <w:r w:rsidR="008F6270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są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wydawane leki, powoduje progresję chorób współistniejących, m.in. włóknieni</w:t>
      </w:r>
      <w:r w:rsidR="008F6270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e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miąższu wątroby u osób zakażonych przewlekle HCV oraz wzrost aktywności markerów zapalnych, a co za tym idzie p</w:t>
      </w:r>
      <w:r w:rsidR="00652AC1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ow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o</w:t>
      </w:r>
      <w:r w:rsidR="00652AC1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d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ują starzenie oraz rozwój powikłań sercowo-naczyniowych, metabolicznych oraz kostnych. W ostatnich latach podkreśla się również wzrost ryzyka nowotworów związanych z nieskutecznym leczeniem. Ponadto</w:t>
      </w:r>
      <w:r w:rsidR="00652AC1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przerwanie leczenia prowadzi do zwiększenia ryzyka nieskuteczności wirusowej (brak supresji replikacji) po ponownym jego wdrożeniu (zjawisko lekooporności). Na podstawie wielu badań udowodniono również, że przerwy w terapii antyretrowirusowej zwiększają ryzyko transmisji zakażenia HIV u osób przewlekle zakażonych, przyczyniając się do rozszerzania epidemii HIV/AIDS. </w:t>
      </w:r>
    </w:p>
    <w:p w14:paraId="2D855FBC" w14:textId="335A1854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Należy zatem z dużą dozą prawdopodobieństwa stwierdzić, że pacjent, </w:t>
      </w:r>
      <w:bookmarkStart w:id="3" w:name="_Hlk219796390"/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którego nie leczy się lub u którego przerywa się leczenie antyretrowirusowe</w:t>
      </w:r>
      <w:bookmarkEnd w:id="3"/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, po jakimś czasie (</w:t>
      </w:r>
      <w:r w:rsidR="00DE2D5A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po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kilku tygodni</w:t>
      </w:r>
      <w:r w:rsidR="00DE2D5A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ach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lub kilku miesi</w:t>
      </w:r>
      <w:r w:rsidR="006403AD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ą</w:t>
      </w:r>
      <w:r w:rsidR="00DE2D5A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cach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) wróci do oddziału szpitalnego w stanie ciężkim, wymagając hospitalizacji z powodu zakażeń oportunistycznych, nowotworów lub innych powikłań powodowanych przez zakażenie HIV. Będzie to wówczas stan bezpośredniego zagrożenia życia i pacjent ten </w:t>
      </w:r>
      <w:r w:rsidR="00DE2D5A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będzie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wymagał, tak czy inaczej, podania leków antyretrowirusowych ze wskazań życiowych. Dodatkowo </w:t>
      </w:r>
      <w:r w:rsidR="0085309F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pacjent ten będzie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generować koszty znacznie większe niż nieprzerwana terapia ARV, m.in. z powodu hospitalizacji i konieczności leczenia zagrażających życiu zakażeń oportunistycznych. Koszty te będą wielokrotnie wyższe niż koszt wizyty lekarskiej, na któr</w:t>
      </w:r>
      <w:r w:rsidR="00DE2D5A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ej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są wydawane produkty lecznicze i </w:t>
      </w:r>
      <w:r w:rsidR="00DE2D5A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będą 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robione badania </w:t>
      </w:r>
      <w:r w:rsidR="00652AC1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wyrobami medycznymi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finansowanymi z programu dla wszystkich osób, które tego wymagają. </w:t>
      </w:r>
    </w:p>
    <w:p w14:paraId="70B67F05" w14:textId="77777777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lastRenderedPageBreak/>
        <w:t>Przedmiotowa regulacja nie wymaga przepisów przejściowych.</w:t>
      </w:r>
    </w:p>
    <w:p w14:paraId="2433C6D9" w14:textId="77777777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Proponuje się wejście w życie ustawy po upływie 14 dni od dnia ogłoszenia.  </w:t>
      </w:r>
    </w:p>
    <w:p w14:paraId="71603930" w14:textId="77777777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Projektowana ustawa nie jest sprzeczna z prawem Unii Europejskiej. </w:t>
      </w:r>
    </w:p>
    <w:p w14:paraId="137ED5C9" w14:textId="77777777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Projekt ustawy nie wymaga przedstawienia organom i instytucjom Unii Europejskiej, w tym Europejskiemu Bankowi Centralnemu, w celu uzyskania opinii, dokonania powiadomienia, konsultacji albo uzgodnienia. </w:t>
      </w:r>
    </w:p>
    <w:p w14:paraId="03DC3081" w14:textId="77777777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Projekt ustawy nie ma wpływu na działalność mikroprzedsiębiorców, małych i średnich przedsiębiorców.</w:t>
      </w:r>
    </w:p>
    <w:p w14:paraId="313D65FC" w14:textId="79D94DFB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Projekt ustawy nie zawiera przepisów technicznych w rozumieniu przepisów rozporządzenia Rady Ministrów z dnia 23 grudnia 2002 r. w sprawie sposobu funkcjonowania krajowego systemu notyfikacji norm i aktów prawnych (Dz. U. poz. 2039 oraz z 2004 r. poz.</w:t>
      </w:r>
      <w:r w:rsidR="003F4823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 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597) i w związku z tym nie podlega procedurze notyfikacji.</w:t>
      </w:r>
    </w:p>
    <w:p w14:paraId="1B7E32F7" w14:textId="77777777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Projektowana ustawa nie zawiera wymogów nakładanych na usługodawców podlegających notyfikacji, o której mowa w art. 15 ust. 7 i art. 39 ust. 5 dyrektywy 2006/123/WE Parlamentu Europejskiego i Rady z dnia 12 grudnia 2006 r. dotyczącej usług na rynku wewnętrznym (Dz. Urz. UE L 376 z 27.12.2006, str. 36).</w:t>
      </w:r>
    </w:p>
    <w:p w14:paraId="5375ECF8" w14:textId="099144C1" w:rsidR="009E10BE" w:rsidRPr="00786B0A" w:rsidRDefault="009E10BE" w:rsidP="009E10B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Projektowana ustawa nie wywiera wpływu na obszar danych osobowych. W związku z tym nie przeprowadzono oceny skutków dla ochrony danych osobowych, o której mowa w art.</w:t>
      </w:r>
      <w:r w:rsidR="00E75C07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 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35 ust. 1 rozporządzenia Parlamentu Europejskiego i Rady (UE) 2016/679 z dnia 27</w:t>
      </w:r>
      <w:r w:rsidR="00E75C07"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 </w:t>
      </w: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</w:p>
    <w:p w14:paraId="376B49F0" w14:textId="7592A5F2" w:rsidR="00E75C07" w:rsidRPr="00786B0A" w:rsidRDefault="009E10BE" w:rsidP="00E75C07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86B0A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Nie ma możliwości podjęcia alternatywnych w stosunku do uchwalenia projektu ustawy środków umożliwiających osiągnięcie zamierzonego celu.</w:t>
      </w:r>
    </w:p>
    <w:p w14:paraId="0F0B3AE5" w14:textId="77777777" w:rsidR="007848A2" w:rsidRPr="00786B0A" w:rsidRDefault="007848A2" w:rsidP="00786B0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hAnsi="Times New Roman" w:cs="Times New Roman"/>
          <w:sz w:val="2"/>
          <w:szCs w:val="2"/>
        </w:rPr>
      </w:pPr>
    </w:p>
    <w:sectPr w:rsidR="007848A2" w:rsidRPr="00786B0A" w:rsidSect="00363110">
      <w:footerReference w:type="default" r:id="rId7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3EE9" w14:textId="77777777" w:rsidR="00DE3EB3" w:rsidRDefault="00DE3EB3" w:rsidP="00363110">
      <w:pPr>
        <w:spacing w:after="0" w:line="240" w:lineRule="auto"/>
      </w:pPr>
      <w:r>
        <w:separator/>
      </w:r>
    </w:p>
  </w:endnote>
  <w:endnote w:type="continuationSeparator" w:id="0">
    <w:p w14:paraId="44A8C22F" w14:textId="77777777" w:rsidR="00DE3EB3" w:rsidRDefault="00DE3EB3" w:rsidP="0036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5915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BFA80B" w14:textId="40097239" w:rsidR="00363110" w:rsidRPr="00363110" w:rsidRDefault="00363110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31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31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31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63110">
          <w:rPr>
            <w:rFonts w:ascii="Times New Roman" w:hAnsi="Times New Roman" w:cs="Times New Roman"/>
            <w:sz w:val="24"/>
            <w:szCs w:val="24"/>
          </w:rPr>
          <w:t>2</w:t>
        </w:r>
        <w:r w:rsidRPr="003631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4CC2" w14:textId="77777777" w:rsidR="00DE3EB3" w:rsidRDefault="00DE3EB3" w:rsidP="00363110">
      <w:pPr>
        <w:spacing w:after="0" w:line="240" w:lineRule="auto"/>
      </w:pPr>
      <w:r>
        <w:separator/>
      </w:r>
    </w:p>
  </w:footnote>
  <w:footnote w:type="continuationSeparator" w:id="0">
    <w:p w14:paraId="3E1ACF05" w14:textId="77777777" w:rsidR="00DE3EB3" w:rsidRDefault="00DE3EB3" w:rsidP="00363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BE"/>
    <w:rsid w:val="00061353"/>
    <w:rsid w:val="0006483F"/>
    <w:rsid w:val="000F2BD2"/>
    <w:rsid w:val="00105C59"/>
    <w:rsid w:val="001172AC"/>
    <w:rsid w:val="00124429"/>
    <w:rsid w:val="00175B90"/>
    <w:rsid w:val="001E32B7"/>
    <w:rsid w:val="001F4F40"/>
    <w:rsid w:val="002D2B3E"/>
    <w:rsid w:val="00303C5C"/>
    <w:rsid w:val="00326066"/>
    <w:rsid w:val="00363110"/>
    <w:rsid w:val="003956C3"/>
    <w:rsid w:val="003B306C"/>
    <w:rsid w:val="003F4823"/>
    <w:rsid w:val="0042014C"/>
    <w:rsid w:val="00420E7E"/>
    <w:rsid w:val="00461B5B"/>
    <w:rsid w:val="004A2DD1"/>
    <w:rsid w:val="004D24BB"/>
    <w:rsid w:val="004D291F"/>
    <w:rsid w:val="00557612"/>
    <w:rsid w:val="005B2585"/>
    <w:rsid w:val="005C1AB9"/>
    <w:rsid w:val="005F2C2E"/>
    <w:rsid w:val="005F785D"/>
    <w:rsid w:val="006403AD"/>
    <w:rsid w:val="0064419E"/>
    <w:rsid w:val="00652AC1"/>
    <w:rsid w:val="00695461"/>
    <w:rsid w:val="006B6207"/>
    <w:rsid w:val="006C4993"/>
    <w:rsid w:val="006F5737"/>
    <w:rsid w:val="007848A2"/>
    <w:rsid w:val="00786B0A"/>
    <w:rsid w:val="007E5552"/>
    <w:rsid w:val="00826C22"/>
    <w:rsid w:val="0085309F"/>
    <w:rsid w:val="0085523E"/>
    <w:rsid w:val="008D7776"/>
    <w:rsid w:val="008F6270"/>
    <w:rsid w:val="009919CD"/>
    <w:rsid w:val="009E10BE"/>
    <w:rsid w:val="00A0693B"/>
    <w:rsid w:val="00A1042F"/>
    <w:rsid w:val="00A221FD"/>
    <w:rsid w:val="00A83D4A"/>
    <w:rsid w:val="00AA5E03"/>
    <w:rsid w:val="00AB07D1"/>
    <w:rsid w:val="00AC624D"/>
    <w:rsid w:val="00AD1F09"/>
    <w:rsid w:val="00AF33CA"/>
    <w:rsid w:val="00B261C2"/>
    <w:rsid w:val="00BB4C7B"/>
    <w:rsid w:val="00BF49A4"/>
    <w:rsid w:val="00C41E38"/>
    <w:rsid w:val="00CA579E"/>
    <w:rsid w:val="00D33CCE"/>
    <w:rsid w:val="00D74713"/>
    <w:rsid w:val="00DE051F"/>
    <w:rsid w:val="00DE2D5A"/>
    <w:rsid w:val="00DE3EB3"/>
    <w:rsid w:val="00E75C07"/>
    <w:rsid w:val="00F30E39"/>
    <w:rsid w:val="00F638AF"/>
    <w:rsid w:val="00F650DB"/>
    <w:rsid w:val="00FB6D79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3322"/>
  <w15:chartTrackingRefBased/>
  <w15:docId w15:val="{0015D69F-2C0B-43E6-9F05-AA0DDE5E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1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0B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2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2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2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2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2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5309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6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110"/>
  </w:style>
  <w:style w:type="paragraph" w:styleId="Stopka">
    <w:name w:val="footer"/>
    <w:basedOn w:val="Normalny"/>
    <w:link w:val="StopkaZnak"/>
    <w:uiPriority w:val="99"/>
    <w:unhideWhenUsed/>
    <w:rsid w:val="0036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59B9-17C2-41B1-AB48-973E3B27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1431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Kołodziejek Tomasz</dc:creator>
  <cp:keywords/>
  <dc:description/>
  <cp:lastModifiedBy>Wójcik Aleksandra</cp:lastModifiedBy>
  <cp:revision>2</cp:revision>
  <dcterms:created xsi:type="dcterms:W3CDTF">2026-04-14T12:50:00Z</dcterms:created>
  <dcterms:modified xsi:type="dcterms:W3CDTF">2026-04-14T12:50:00Z</dcterms:modified>
</cp:coreProperties>
</file>