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5AA60" w14:textId="77777777" w:rsidR="00F62F15" w:rsidRDefault="00F62F15" w:rsidP="00F62F15">
      <w:pPr>
        <w:spacing w:after="0" w:line="360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C6749A">
        <w:rPr>
          <w:rFonts w:ascii="Times New Roman" w:eastAsia="Aptos" w:hAnsi="Times New Roman" w:cs="Times New Roman"/>
          <w:b/>
          <w:bCs/>
          <w:sz w:val="24"/>
          <w:szCs w:val="24"/>
        </w:rPr>
        <w:t>Uzasadnienie</w:t>
      </w:r>
    </w:p>
    <w:p w14:paraId="000412F6" w14:textId="77777777" w:rsidR="006D5887" w:rsidRPr="00C6749A" w:rsidRDefault="006D5887" w:rsidP="00F62F15">
      <w:pPr>
        <w:spacing w:after="0" w:line="360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148605AF" w14:textId="77777777" w:rsidR="00F62F15" w:rsidRPr="00C6749A" w:rsidRDefault="00F62F15" w:rsidP="00F62F15">
      <w:pPr>
        <w:jc w:val="both"/>
        <w:rPr>
          <w:rFonts w:ascii="Times New Roman" w:hAnsi="Times New Roman" w:cs="Times New Roman"/>
          <w:sz w:val="24"/>
        </w:rPr>
      </w:pPr>
      <w:r w:rsidRPr="00C6749A">
        <w:rPr>
          <w:rFonts w:ascii="Times New Roman" w:hAnsi="Times New Roman" w:cs="Times New Roman"/>
          <w:sz w:val="24"/>
        </w:rPr>
        <w:t>Projektowana ustawa ma na celu zapewnienie jednolitego i spójnego sposobu udostępniania danych przez deweloperów w portalu dane.gov.pl, prowadzonym przez Ministra Cyfryzacji. Ujednolicenie formatu udostępnianych danych zwiększy ich użyteczność, umożliwi automatyczne przetwarzanie oraz stworzy warunki do efektywnego ponownego wykorzystywania danych, w szczególności na potrzeby tworzenia narzędzi porównawczych i rozwiązań analitycznych.</w:t>
      </w:r>
    </w:p>
    <w:p w14:paraId="7494D81F" w14:textId="23402CDA" w:rsidR="00F62F15" w:rsidRPr="00C6749A" w:rsidRDefault="00F62F15" w:rsidP="00F62F15">
      <w:pPr>
        <w:jc w:val="both"/>
        <w:rPr>
          <w:rFonts w:ascii="Times New Roman" w:hAnsi="Times New Roman" w:cs="Times New Roman"/>
          <w:sz w:val="24"/>
        </w:rPr>
      </w:pPr>
      <w:r w:rsidRPr="00C6749A">
        <w:rPr>
          <w:rFonts w:ascii="Times New Roman" w:hAnsi="Times New Roman" w:cs="Times New Roman"/>
          <w:sz w:val="24"/>
        </w:rPr>
        <w:t xml:space="preserve">Zgodnie z art. 19b ustawy z dnia 20 maja 2021 r. o ochronie praw nabywcy lokalu mieszkalnego lub domu jednorodzinnego oraz Deweloperskim Funduszu Gwarancyjnym (Dz. U. z 2024 r. poz. 695, z </w:t>
      </w:r>
      <w:proofErr w:type="spellStart"/>
      <w:r w:rsidRPr="00C6749A">
        <w:rPr>
          <w:rFonts w:ascii="Times New Roman" w:hAnsi="Times New Roman" w:cs="Times New Roman"/>
          <w:sz w:val="24"/>
        </w:rPr>
        <w:t>późn</w:t>
      </w:r>
      <w:proofErr w:type="spellEnd"/>
      <w:r w:rsidRPr="00C6749A">
        <w:rPr>
          <w:rFonts w:ascii="Times New Roman" w:hAnsi="Times New Roman" w:cs="Times New Roman"/>
          <w:sz w:val="24"/>
        </w:rPr>
        <w:t>. zm.), podmioty wskazane w tym przepisie (przede wszystkim deweloperzy) są zobowiązane do udostępniania danych w portalu dane.gov.pl. Udostępnianiu podlegają dane wskazane w art. 19a ust. 1 i 2 tej ustawy, obejmujące w szczególności dane dotyczące ceny 1 m² powierzchni użytkowej każdego z oferowanych lokali mieszkalnych lub domów jednorodzinnych oraz całej nieruchomości lub jej części. Obowiązki te zostały wprowadzone nowelizacją z dnia 21 maja 2025 r. (Dz. U. z 2025 r. poz. 758)</w:t>
      </w:r>
      <w:r w:rsidRPr="00C6749A">
        <w:rPr>
          <w:rStyle w:val="Odwoanieprzypisudolnego"/>
          <w:rFonts w:ascii="Times New Roman" w:hAnsi="Times New Roman" w:cs="Times New Roman"/>
          <w:sz w:val="24"/>
        </w:rPr>
        <w:footnoteReference w:id="1"/>
      </w:r>
      <w:r w:rsidRPr="00C6749A">
        <w:rPr>
          <w:rFonts w:ascii="Times New Roman" w:hAnsi="Times New Roman" w:cs="Times New Roman"/>
          <w:sz w:val="24"/>
        </w:rPr>
        <w:t>.</w:t>
      </w:r>
    </w:p>
    <w:p w14:paraId="0D341D64" w14:textId="77777777" w:rsidR="00F62F15" w:rsidRPr="00C6749A" w:rsidRDefault="00F62F15" w:rsidP="00F62F15">
      <w:pPr>
        <w:jc w:val="both"/>
        <w:rPr>
          <w:rFonts w:ascii="Times New Roman" w:hAnsi="Times New Roman" w:cs="Times New Roman"/>
          <w:sz w:val="24"/>
        </w:rPr>
      </w:pPr>
      <w:r w:rsidRPr="00C6749A">
        <w:rPr>
          <w:rFonts w:ascii="Times New Roman" w:hAnsi="Times New Roman" w:cs="Times New Roman"/>
          <w:sz w:val="24"/>
        </w:rPr>
        <w:t>W celu zapewnienia spójności danych udostępnianych w portalu dane.gov.pl oraz ich zgodności ze standardem technicznym tego portalu, Ministerstwo Cyfryzacji opracowało i rekomenduje korzystanie z ustrukturyzowanego formatu danych przeznaczonego do odczytu maszynowego. Wzorcowe pliki zostały udostępnione w Bazie wiedzy w portalu dane.gov.pl i były konsultowane z Urzędem Ochrony Konkurencji i Konsumentów oraz Polskim Związkiem Firm Deweloperskich. Zakres danych wynika bezpośrednio z art. 19a ustawy z dnia 20 maja 2021 r. o ochronie praw nabywcy lokalu mieszkalnego lub domu jednorodzinnego oraz Deweloperskim Funduszu Gwarancyjnym.</w:t>
      </w:r>
    </w:p>
    <w:p w14:paraId="2358502F" w14:textId="77777777" w:rsidR="00F62F15" w:rsidRPr="00C6749A" w:rsidRDefault="00F62F15" w:rsidP="00F62F15">
      <w:pPr>
        <w:jc w:val="both"/>
        <w:rPr>
          <w:rFonts w:ascii="Times New Roman" w:hAnsi="Times New Roman" w:cs="Times New Roman"/>
          <w:sz w:val="24"/>
        </w:rPr>
      </w:pPr>
      <w:r w:rsidRPr="00C6749A">
        <w:rPr>
          <w:rFonts w:ascii="Times New Roman" w:hAnsi="Times New Roman" w:cs="Times New Roman"/>
          <w:sz w:val="24"/>
        </w:rPr>
        <w:t>Obecnie korzystanie z przygotowanego przez Ministerstwo Cyfryzacji rozwiązania nie jest obowiązkowe, ale znaczna część deweloperów stosuje rekomendowany ustrukturyzowany format danych. Nadal jednak część danych nie jest udostępniana w taki sposób. Taki stan rzeczy ogranicza użyteczność zasobów udostępnianych w portalu oraz utrudnia ich efektywne przetwarzanie i wykorzystywanie przez użytkowników. Zapewnienie spójności wszystkich udostępnianych danych zwiększyłoby ich przydatność dla celów ponownego wykorzystywania, w tym w szczególności dla tworzenia narzędzi porównawczych oraz rozwiązań opartych na automatyzacji procesów (przetwarzaniu danych).</w:t>
      </w:r>
    </w:p>
    <w:p w14:paraId="0E08E029" w14:textId="77777777" w:rsidR="00F62F15" w:rsidRPr="00C6749A" w:rsidRDefault="00F62F15" w:rsidP="00F62F15">
      <w:pPr>
        <w:jc w:val="both"/>
        <w:rPr>
          <w:rFonts w:ascii="Times New Roman" w:hAnsi="Times New Roman" w:cs="Times New Roman"/>
          <w:sz w:val="24"/>
        </w:rPr>
      </w:pPr>
      <w:r w:rsidRPr="00C6749A">
        <w:rPr>
          <w:rFonts w:ascii="Times New Roman" w:hAnsi="Times New Roman" w:cs="Times New Roman"/>
          <w:sz w:val="24"/>
        </w:rPr>
        <w:t>Taki stan rzeczy ogranicza użyteczność zasobów udostępnianych w portalu dane.gov.pl oraz utrudnia ich efektywne przetwarzanie i wykorzystywanie przez użytkowników, zarówno indywidualnych (konsumentów poszukujących informacji o cenach mieszkań), jak i profesjonalnych. Zapewnienie spójności wszystkich udostępnianych danych zwiększyłoby ich przydatność dla celów ponownego wykorzystywania, w tym w szczególności dla tworzenia narzędzi porównawczych oraz rozwiązań opartych na automatyzacji procesów przetwarzania danych.</w:t>
      </w:r>
    </w:p>
    <w:p w14:paraId="058C4A82" w14:textId="77777777" w:rsidR="00F62F15" w:rsidRPr="00C6749A" w:rsidRDefault="00F62F15" w:rsidP="00F62F15">
      <w:pPr>
        <w:jc w:val="both"/>
        <w:rPr>
          <w:rFonts w:ascii="Times New Roman" w:hAnsi="Times New Roman" w:cs="Times New Roman"/>
          <w:sz w:val="24"/>
        </w:rPr>
      </w:pPr>
      <w:r w:rsidRPr="00C6749A">
        <w:rPr>
          <w:rFonts w:ascii="Times New Roman" w:hAnsi="Times New Roman" w:cs="Times New Roman"/>
          <w:sz w:val="24"/>
        </w:rPr>
        <w:t>Nowelizacja zakłada wprowadzenie w art. 19b ustawy o ochronie praw nabywcy lokalu mieszkalnego lub domu jednorodzinnego oraz Deweloperskim Funduszu Gwarancyjnym następujących zmian:</w:t>
      </w:r>
    </w:p>
    <w:p w14:paraId="721306E2" w14:textId="77777777" w:rsidR="00F62F15" w:rsidRPr="00C6749A" w:rsidRDefault="00F62F15" w:rsidP="00F62F15">
      <w:pPr>
        <w:jc w:val="both"/>
        <w:rPr>
          <w:rFonts w:ascii="Times New Roman" w:hAnsi="Times New Roman" w:cs="Times New Roman"/>
          <w:sz w:val="24"/>
        </w:rPr>
      </w:pPr>
      <w:r w:rsidRPr="00C6749A">
        <w:rPr>
          <w:rFonts w:ascii="Times New Roman" w:hAnsi="Times New Roman" w:cs="Times New Roman"/>
          <w:sz w:val="24"/>
        </w:rPr>
        <w:lastRenderedPageBreak/>
        <w:t>- w ust. 2 dodaje się zastrzeżenie odsyłające do nowego ust. 2a - co zapewnia prawidłowe powiązanie systemowe nowej regulacji z dotychczasową treścią przepisu.</w:t>
      </w:r>
    </w:p>
    <w:p w14:paraId="5EFC0C01" w14:textId="77777777" w:rsidR="00F62F15" w:rsidRPr="00C6749A" w:rsidRDefault="00F62F15" w:rsidP="00F62F15">
      <w:pPr>
        <w:jc w:val="both"/>
        <w:rPr>
          <w:rFonts w:ascii="Times New Roman" w:hAnsi="Times New Roman" w:cs="Times New Roman"/>
          <w:sz w:val="24"/>
        </w:rPr>
      </w:pPr>
      <w:r w:rsidRPr="00C6749A">
        <w:rPr>
          <w:rFonts w:ascii="Times New Roman" w:hAnsi="Times New Roman" w:cs="Times New Roman"/>
          <w:sz w:val="24"/>
        </w:rPr>
        <w:t>- dodaje się nowy ust. 2a - ustanawiający obowiązek udostępniania danych w portalu dane.gov.pl z zastosowaniem ustrukturyzowanego formatu przeznaczonego do odczytu maszynowego. Format ten jest udostępniany komunikatem ministra właściwego do spraw informatyzacji w portalu danych w rozumieniu art. 2 pkt 13 ustawy z dnia 11 sierpnia 2021 r. o otwartych danych i ponownym wykorzystywaniu informacji sektora publicznego.</w:t>
      </w:r>
    </w:p>
    <w:p w14:paraId="06655E9B" w14:textId="29A134B7" w:rsidR="00F62F15" w:rsidRPr="00C6749A" w:rsidRDefault="00F62F15" w:rsidP="00F62F15">
      <w:pPr>
        <w:jc w:val="both"/>
        <w:rPr>
          <w:rFonts w:ascii="Times New Roman" w:hAnsi="Times New Roman" w:cs="Times New Roman"/>
          <w:sz w:val="24"/>
        </w:rPr>
      </w:pPr>
      <w:r w:rsidRPr="00C6749A">
        <w:rPr>
          <w:rFonts w:ascii="Times New Roman" w:hAnsi="Times New Roman" w:cs="Times New Roman"/>
          <w:sz w:val="24"/>
        </w:rPr>
        <w:t xml:space="preserve">- dodaje się nowy ust. 2b - zobowiązujący ministra właściwego do spraw informatyzacji do ogłoszenia komunikatu określającego ustrukturyzowany format danych w Dzienniku Urzędowym Rzeczypospolitej Polskiej „Monitor Polski". Publikacja komunikatu w Monitorze Polskim zapewnia transparentność i powszechną dostępność informacji o wymaganym formacie danych, a także jednoznacznie określa moment, od którego dany format staje się obowiązujący. </w:t>
      </w:r>
    </w:p>
    <w:p w14:paraId="79EB046C" w14:textId="77777777" w:rsidR="00F62F15" w:rsidRPr="00C6749A" w:rsidRDefault="00F62F15" w:rsidP="00F62F15">
      <w:pPr>
        <w:jc w:val="both"/>
        <w:rPr>
          <w:rFonts w:ascii="Times New Roman" w:hAnsi="Times New Roman" w:cs="Times New Roman"/>
          <w:sz w:val="24"/>
        </w:rPr>
      </w:pPr>
      <w:r w:rsidRPr="00C6749A">
        <w:rPr>
          <w:rFonts w:ascii="Times New Roman" w:hAnsi="Times New Roman" w:cs="Times New Roman"/>
          <w:sz w:val="24"/>
        </w:rPr>
        <w:t>- zmienia się ust. 4, który przewiduje, że brak zastosowania się do obowiązku udostępniania danych z wykorzystaniem ustrukturyzowanego formatu stanowi czyn nieuczciwej konkurencji</w:t>
      </w:r>
    </w:p>
    <w:p w14:paraId="48159234" w14:textId="77777777" w:rsidR="00F62F15" w:rsidRPr="00C6749A" w:rsidRDefault="00F62F15" w:rsidP="00F62F15">
      <w:pPr>
        <w:jc w:val="both"/>
        <w:rPr>
          <w:rFonts w:ascii="Times New Roman" w:hAnsi="Times New Roman" w:cs="Times New Roman"/>
          <w:sz w:val="24"/>
        </w:rPr>
      </w:pPr>
      <w:r w:rsidRPr="00C6749A">
        <w:rPr>
          <w:rFonts w:ascii="Times New Roman" w:hAnsi="Times New Roman" w:cs="Times New Roman"/>
          <w:sz w:val="24"/>
        </w:rPr>
        <w:t>Przyjęcie formy komunikatu ogłaszanego w Monitorze Polskim stanowi rozwiązanie proporcjonalne, z jednej strony zapewnia oficjalną publikację i dostępność formatu, z drugiej zaś umożliwia jego aktualizację w sposób prostszy niż zmiana rozporządzenia, co jest uzasadnione czysto technicznym charakterem regulowanej materii (specyfikacja struktury pliku danych).</w:t>
      </w:r>
    </w:p>
    <w:p w14:paraId="7E96AF2D" w14:textId="77777777" w:rsidR="00F62F15" w:rsidRPr="00C6749A" w:rsidRDefault="00F62F15" w:rsidP="00F62F15">
      <w:pPr>
        <w:jc w:val="both"/>
        <w:rPr>
          <w:rFonts w:ascii="Times New Roman" w:hAnsi="Times New Roman" w:cs="Times New Roman"/>
          <w:sz w:val="24"/>
        </w:rPr>
      </w:pPr>
      <w:r w:rsidRPr="00C6749A">
        <w:rPr>
          <w:rFonts w:ascii="Times New Roman" w:hAnsi="Times New Roman" w:cs="Times New Roman"/>
          <w:sz w:val="24"/>
        </w:rPr>
        <w:t>Dzięki projektowanym zmianom wszystkie dane, o których mowa w art. 19a ust. 1 i 2 ustawy o ochronie praw nabywcy lokalu mieszkalnego lub domu jednorodzinnego oraz Deweloperskim Funduszu Gwarancyjnym, będą udostępniane w portalu dane.gov.pl w jednolity i spójny sposób.</w:t>
      </w:r>
    </w:p>
    <w:p w14:paraId="75CB4CD4" w14:textId="287006CE" w:rsidR="00F62F15" w:rsidRPr="00C6749A" w:rsidRDefault="00F62F15" w:rsidP="00F62F15">
      <w:pPr>
        <w:jc w:val="both"/>
        <w:rPr>
          <w:rFonts w:ascii="Times New Roman" w:hAnsi="Times New Roman" w:cs="Times New Roman"/>
          <w:sz w:val="24"/>
        </w:rPr>
      </w:pPr>
      <w:r w:rsidRPr="00C6749A">
        <w:rPr>
          <w:rFonts w:ascii="Times New Roman" w:hAnsi="Times New Roman" w:cs="Times New Roman"/>
          <w:sz w:val="24"/>
        </w:rPr>
        <w:t>Projektowany przepis (nowy ust. 2a) będzie objęty regulacją art. 19b ust. 4 nowelizowanej ustawy, zgodnie z którym naruszenie obowiązku określonego w ust. 1 i 2 tego artykułu stanowi praktykę naruszającą zbiorowe interesy konsumentów w rozumieniu art. 24 ust. 2 ustawy z dnia 16 lutego 2007 r. o ochronie konkurencji i konsumentów. Oznacza to, że niestosowanie wymaganego formatu danych (nawet przy jednoczesnym wypełnieniu obowiązku udostępnienia danych jako takiego) będzie kwalifikowane jako praktyka naruszająca zbiorowe interesy konsumentów.</w:t>
      </w:r>
    </w:p>
    <w:p w14:paraId="134F480C" w14:textId="77777777" w:rsidR="00F62F15" w:rsidRPr="00C6749A" w:rsidRDefault="00F62F15" w:rsidP="00F62F15">
      <w:pPr>
        <w:jc w:val="both"/>
        <w:rPr>
          <w:rFonts w:ascii="Times New Roman" w:hAnsi="Times New Roman" w:cs="Times New Roman"/>
          <w:sz w:val="24"/>
        </w:rPr>
      </w:pPr>
      <w:r w:rsidRPr="00C6749A">
        <w:rPr>
          <w:rFonts w:ascii="Times New Roman" w:hAnsi="Times New Roman" w:cs="Times New Roman"/>
          <w:sz w:val="24"/>
        </w:rPr>
        <w:t xml:space="preserve">Ustawa wchodzi w życie po upływie 3 miesięcy od dnia ogłoszenia. Przewidziane </w:t>
      </w:r>
      <w:r w:rsidRPr="00C6749A">
        <w:rPr>
          <w:rFonts w:ascii="Times New Roman" w:hAnsi="Times New Roman" w:cs="Times New Roman"/>
          <w:i/>
          <w:iCs/>
          <w:sz w:val="24"/>
        </w:rPr>
        <w:t>vacatio legis</w:t>
      </w:r>
      <w:r w:rsidRPr="00C6749A">
        <w:rPr>
          <w:rFonts w:ascii="Times New Roman" w:hAnsi="Times New Roman" w:cs="Times New Roman"/>
          <w:sz w:val="24"/>
        </w:rPr>
        <w:t xml:space="preserve"> umożliwi deweloperom przygotowanie się do stosowania wymaganego formatu danych, a ministrowi właściwemu do spraw informatyzacji - ogłoszenie komunikatu określającego ten format w Monitorze Polskim.</w:t>
      </w:r>
    </w:p>
    <w:p w14:paraId="638B9E8B" w14:textId="77777777" w:rsidR="00F62F15" w:rsidRPr="00C6749A" w:rsidRDefault="00F62F15" w:rsidP="00F62F15">
      <w:pPr>
        <w:jc w:val="both"/>
        <w:rPr>
          <w:rFonts w:ascii="Times New Roman" w:hAnsi="Times New Roman" w:cs="Times New Roman"/>
          <w:sz w:val="24"/>
        </w:rPr>
      </w:pPr>
      <w:r w:rsidRPr="00C6749A">
        <w:rPr>
          <w:rFonts w:ascii="Times New Roman" w:hAnsi="Times New Roman" w:cs="Times New Roman"/>
          <w:sz w:val="24"/>
        </w:rPr>
        <w:t xml:space="preserve">Projektowana regulacja nie powinna generować istotnych kosztów dostosowawczych po stronie </w:t>
      </w:r>
      <w:proofErr w:type="spellStart"/>
      <w:r w:rsidRPr="00C6749A">
        <w:rPr>
          <w:rFonts w:ascii="Times New Roman" w:hAnsi="Times New Roman" w:cs="Times New Roman"/>
          <w:sz w:val="24"/>
        </w:rPr>
        <w:t>mikroprzedsiębiorców</w:t>
      </w:r>
      <w:proofErr w:type="spellEnd"/>
      <w:r w:rsidRPr="00C6749A">
        <w:rPr>
          <w:rFonts w:ascii="Times New Roman" w:hAnsi="Times New Roman" w:cs="Times New Roman"/>
          <w:sz w:val="24"/>
        </w:rPr>
        <w:t xml:space="preserve"> oraz małych i średnich przedsiębiorców prowadzących działalność deweloperską, ponieważ obowiązek udostępniania danych w portalu dane.gov.pl ciąży na nich już na podstawie obowiązujących przepisów. Zmiana dotyczy wyłącznie formatu technicznego udostępniania danych, a wzorcowe pliki w ustrukturyzowanym formacie są bezpłatnie udostępniane w Bazie wiedzy portalu dane.gov.pl. Ewentualne koszty adaptacji ograniczają się do jednorazowego dostosowania sposobu wprowadzania danych i są szacowane jako minimalne.</w:t>
      </w:r>
    </w:p>
    <w:p w14:paraId="7E4E1E72" w14:textId="77777777" w:rsidR="00F62F15" w:rsidRPr="00C6749A" w:rsidRDefault="00F62F15" w:rsidP="00F62F15">
      <w:pPr>
        <w:jc w:val="both"/>
        <w:rPr>
          <w:rFonts w:ascii="Times New Roman" w:hAnsi="Times New Roman" w:cs="Times New Roman"/>
          <w:sz w:val="24"/>
        </w:rPr>
      </w:pPr>
      <w:r w:rsidRPr="00C6749A">
        <w:rPr>
          <w:rFonts w:ascii="Times New Roman" w:hAnsi="Times New Roman" w:cs="Times New Roman"/>
          <w:sz w:val="24"/>
        </w:rPr>
        <w:t>Przedkładany projekt ustawy jest zgodny z prawem Unii Europejskiej.</w:t>
      </w:r>
    </w:p>
    <w:p w14:paraId="15F30775" w14:textId="77777777" w:rsidR="00F62F15" w:rsidRPr="00C6749A" w:rsidRDefault="00F62F15" w:rsidP="00F62F15">
      <w:pPr>
        <w:jc w:val="both"/>
        <w:rPr>
          <w:rFonts w:ascii="Times New Roman" w:hAnsi="Times New Roman" w:cs="Times New Roman"/>
          <w:sz w:val="24"/>
        </w:rPr>
      </w:pPr>
      <w:r w:rsidRPr="00C6749A">
        <w:rPr>
          <w:rFonts w:ascii="Times New Roman" w:hAnsi="Times New Roman" w:cs="Times New Roman"/>
          <w:sz w:val="24"/>
        </w:rPr>
        <w:lastRenderedPageBreak/>
        <w:t>Projekt ustawy nie wymaga przedłożenia właściwym instytucjom i organom Unii Europejskiej, w tym Europejskiemu Bankowi Centralnemu, w celu uzyskania opinii, dokonania powiadomienia, konsultacji albo uzgodnienia.</w:t>
      </w:r>
    </w:p>
    <w:p w14:paraId="2771D9B7" w14:textId="77777777" w:rsidR="00F62F15" w:rsidRPr="009C2DC6" w:rsidRDefault="00F62F15" w:rsidP="00F62F15">
      <w:pPr>
        <w:jc w:val="both"/>
        <w:rPr>
          <w:rFonts w:ascii="Arial" w:eastAsia="Times New Roman" w:hAnsi="Arial" w:cs="Arial"/>
          <w:sz w:val="24"/>
          <w:szCs w:val="24"/>
          <w14:ligatures w14:val="none"/>
        </w:rPr>
      </w:pPr>
      <w:r w:rsidRPr="00C6749A">
        <w:rPr>
          <w:rFonts w:ascii="Times New Roman" w:hAnsi="Times New Roman" w:cs="Times New Roman"/>
          <w:sz w:val="24"/>
        </w:rPr>
        <w:t>Projekt nie podlega procedurze notyfikacji.</w:t>
      </w:r>
      <w:r w:rsidRPr="009C2DC6">
        <w:rPr>
          <w:rFonts w:ascii="Arial" w:hAnsi="Arial" w:cs="Arial"/>
          <w:sz w:val="24"/>
        </w:rPr>
        <w:br w:type="page"/>
      </w:r>
    </w:p>
    <w:p w14:paraId="55B9FC86" w14:textId="77777777" w:rsidR="00F62F15" w:rsidRPr="0093121D" w:rsidRDefault="00F62F15" w:rsidP="00F62F15">
      <w:pPr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  <w:r w:rsidRPr="0093121D">
        <w:rPr>
          <w:rFonts w:ascii="Arial" w:hAnsi="Arial" w:cs="Arial"/>
          <w:b/>
          <w:bCs/>
          <w:sz w:val="24"/>
        </w:rPr>
        <w:lastRenderedPageBreak/>
        <w:t>DEKLAROWANE SKUTKI REGULACJI (DSR)</w:t>
      </w:r>
    </w:p>
    <w:p w14:paraId="5B197F9D" w14:textId="77777777" w:rsidR="00F62F15" w:rsidRPr="0093121D" w:rsidRDefault="00F62F15" w:rsidP="00F62F15">
      <w:pPr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  <w:r w:rsidRPr="0093121D">
        <w:rPr>
          <w:rFonts w:ascii="Arial" w:hAnsi="Arial" w:cs="Arial"/>
          <w:b/>
          <w:bCs/>
          <w:sz w:val="24"/>
        </w:rPr>
        <w:t>projektu ustawy</w:t>
      </w:r>
    </w:p>
    <w:p w14:paraId="7C418931" w14:textId="77777777" w:rsidR="00F62F15" w:rsidRPr="0093121D" w:rsidRDefault="00F62F15" w:rsidP="00F62F15">
      <w:pPr>
        <w:tabs>
          <w:tab w:val="left" w:pos="6290"/>
        </w:tabs>
        <w:spacing w:before="240"/>
        <w:jc w:val="both"/>
        <w:rPr>
          <w:rFonts w:ascii="Arial" w:hAnsi="Arial" w:cs="Arial"/>
          <w:b/>
          <w:bCs/>
          <w:sz w:val="24"/>
        </w:rPr>
      </w:pPr>
      <w:r w:rsidRPr="0093121D">
        <w:rPr>
          <w:rFonts w:ascii="Arial" w:hAnsi="Arial" w:cs="Arial"/>
          <w:b/>
          <w:bCs/>
          <w:sz w:val="24"/>
        </w:rPr>
        <w:t>Informacja o projekcie</w:t>
      </w:r>
    </w:p>
    <w:p w14:paraId="793910DD" w14:textId="77777777" w:rsidR="00F62F15" w:rsidRPr="0093121D" w:rsidRDefault="00F62F15" w:rsidP="00F62F15">
      <w:pPr>
        <w:ind w:left="360"/>
        <w:jc w:val="both"/>
        <w:rPr>
          <w:rFonts w:ascii="Arial" w:hAnsi="Arial" w:cs="Arial"/>
          <w:sz w:val="24"/>
          <w:szCs w:val="24"/>
        </w:rPr>
      </w:pPr>
      <w:r w:rsidRPr="0093121D">
        <w:rPr>
          <w:rFonts w:ascii="Arial" w:hAnsi="Arial" w:cs="Arial"/>
          <w:sz w:val="24"/>
          <w:szCs w:val="24"/>
        </w:rPr>
        <w:t>a) Tytuł projektu:</w:t>
      </w:r>
    </w:p>
    <w:tbl>
      <w:tblPr>
        <w:tblStyle w:val="Tabela-Siatka"/>
        <w:tblW w:w="9182" w:type="dxa"/>
        <w:tblLook w:val="04A0" w:firstRow="1" w:lastRow="0" w:firstColumn="1" w:lastColumn="0" w:noHBand="0" w:noVBand="1"/>
      </w:tblPr>
      <w:tblGrid>
        <w:gridCol w:w="9182"/>
      </w:tblGrid>
      <w:tr w:rsidR="00F62F15" w:rsidRPr="0093121D" w14:paraId="0B0AD3D5" w14:textId="77777777" w:rsidTr="00567B4D">
        <w:trPr>
          <w:trHeight w:val="410"/>
        </w:trPr>
        <w:tc>
          <w:tcPr>
            <w:tcW w:w="9182" w:type="dxa"/>
          </w:tcPr>
          <w:p w14:paraId="1D48D610" w14:textId="77777777" w:rsidR="00F62F15" w:rsidRPr="0093121D" w:rsidRDefault="00F62F15" w:rsidP="00567B4D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Hlk174516121"/>
          </w:p>
          <w:p w14:paraId="0E48ED52" w14:textId="77777777" w:rsidR="00F62F15" w:rsidRPr="0093121D" w:rsidRDefault="00F62F15" w:rsidP="00567B4D">
            <w:pPr>
              <w:jc w:val="both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14:ligatures w14:val="none"/>
              </w:rPr>
              <w:t>Projekt u</w:t>
            </w:r>
            <w:r w:rsidRPr="0093121D">
              <w:rPr>
                <w:rFonts w:ascii="Arial" w:eastAsia="Times New Roman" w:hAnsi="Arial" w:cs="Arial"/>
                <w:sz w:val="24"/>
                <w:szCs w:val="24"/>
                <w14:ligatures w14:val="none"/>
              </w:rPr>
              <w:t>staw</w:t>
            </w:r>
            <w:r>
              <w:rPr>
                <w:rFonts w:ascii="Arial" w:eastAsia="Times New Roman" w:hAnsi="Arial" w:cs="Arial"/>
                <w:sz w:val="24"/>
                <w:szCs w:val="24"/>
                <w14:ligatures w14:val="none"/>
              </w:rPr>
              <w:t>y</w:t>
            </w:r>
            <w:r w:rsidRPr="0093121D">
              <w:rPr>
                <w:rFonts w:ascii="Arial" w:hAnsi="Arial" w:cs="Arial"/>
              </w:rPr>
              <w:t xml:space="preserve"> </w:t>
            </w:r>
            <w:r w:rsidRPr="0093121D">
              <w:rPr>
                <w:rFonts w:ascii="Arial" w:eastAsia="Times New Roman" w:hAnsi="Arial" w:cs="Arial"/>
                <w:sz w:val="24"/>
                <w:szCs w:val="24"/>
                <w14:ligatures w14:val="none"/>
              </w:rPr>
              <w:t>o zmianie ustawy o ochronie praw nabywcy lokalu mieszkalnego lub domu jednorodzinnego oraz Deweloperskim Funduszu Gwarancyjnym</w:t>
            </w:r>
          </w:p>
          <w:p w14:paraId="1EC51D89" w14:textId="77777777" w:rsidR="00F62F15" w:rsidRPr="0093121D" w:rsidRDefault="00F62F15" w:rsidP="00567B4D">
            <w:pPr>
              <w:jc w:val="both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14:ligatures w14:val="none"/>
              </w:rPr>
            </w:pPr>
          </w:p>
        </w:tc>
      </w:tr>
    </w:tbl>
    <w:bookmarkEnd w:id="0"/>
    <w:p w14:paraId="396D5BA9" w14:textId="77777777" w:rsidR="00F62F15" w:rsidRPr="0093121D" w:rsidRDefault="00F62F15" w:rsidP="00F62F15">
      <w:pPr>
        <w:spacing w:before="240"/>
        <w:ind w:left="357"/>
        <w:jc w:val="both"/>
        <w:rPr>
          <w:rFonts w:ascii="Arial" w:eastAsia="Times New Roman" w:hAnsi="Arial" w:cs="Arial"/>
          <w:sz w:val="24"/>
          <w:szCs w:val="24"/>
          <w14:ligatures w14:val="none"/>
        </w:rPr>
      </w:pPr>
      <w:r w:rsidRPr="0093121D">
        <w:rPr>
          <w:rFonts w:ascii="Arial" w:eastAsia="Times New Roman" w:hAnsi="Arial" w:cs="Arial"/>
          <w:sz w:val="24"/>
          <w:szCs w:val="24"/>
          <w14:ligatures w14:val="none"/>
        </w:rPr>
        <w:t>b) Przedstawiciel wnioskodawcy: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F62F15" w:rsidRPr="0093121D" w14:paraId="335A43DF" w14:textId="77777777" w:rsidTr="00567B4D">
        <w:trPr>
          <w:trHeight w:val="671"/>
        </w:trPr>
        <w:tc>
          <w:tcPr>
            <w:tcW w:w="9209" w:type="dxa"/>
          </w:tcPr>
          <w:p w14:paraId="33622E99" w14:textId="77777777" w:rsidR="00F62F15" w:rsidRPr="0093121D" w:rsidRDefault="00F62F15" w:rsidP="00567B4D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A27301" w14:textId="0F3E424A" w:rsidR="00F62F15" w:rsidRPr="0093121D" w:rsidRDefault="00041408" w:rsidP="00567B4D">
            <w:pPr>
              <w:jc w:val="both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14:ligatures w14:val="none"/>
              </w:rPr>
              <w:t xml:space="preserve">Pan poseł </w:t>
            </w:r>
            <w:r w:rsidR="00F62F15" w:rsidRPr="0093121D">
              <w:rPr>
                <w:rFonts w:ascii="Arial" w:eastAsia="Times New Roman" w:hAnsi="Arial" w:cs="Arial"/>
                <w:sz w:val="24"/>
                <w:szCs w:val="24"/>
                <w14:ligatures w14:val="none"/>
              </w:rPr>
              <w:t>Michał Gramatyka</w:t>
            </w:r>
          </w:p>
          <w:p w14:paraId="6B22DBE1" w14:textId="77777777" w:rsidR="00F62F15" w:rsidRPr="0093121D" w:rsidRDefault="00F62F15" w:rsidP="00567B4D">
            <w:pPr>
              <w:jc w:val="both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14:ligatures w14:val="none"/>
              </w:rPr>
            </w:pPr>
          </w:p>
        </w:tc>
      </w:tr>
    </w:tbl>
    <w:p w14:paraId="28EA82AD" w14:textId="77777777" w:rsidR="00F62F15" w:rsidRPr="0093121D" w:rsidRDefault="00F62F15" w:rsidP="00F62F15">
      <w:pPr>
        <w:spacing w:before="240"/>
        <w:rPr>
          <w:rFonts w:ascii="Arial" w:hAnsi="Arial" w:cs="Arial"/>
          <w:sz w:val="24"/>
        </w:rPr>
      </w:pPr>
      <w:r w:rsidRPr="0093121D">
        <w:rPr>
          <w:rFonts w:ascii="Arial" w:hAnsi="Arial" w:cs="Arial"/>
          <w:b/>
          <w:sz w:val="24"/>
        </w:rPr>
        <w:t>I. Część wstępna</w:t>
      </w:r>
    </w:p>
    <w:p w14:paraId="47A3F752" w14:textId="77777777" w:rsidR="00F62F15" w:rsidRPr="0093121D" w:rsidRDefault="00F62F15" w:rsidP="00F62F15">
      <w:pPr>
        <w:jc w:val="both"/>
        <w:rPr>
          <w:rFonts w:ascii="Arial" w:hAnsi="Arial" w:cs="Arial"/>
          <w:sz w:val="24"/>
        </w:rPr>
      </w:pPr>
      <w:r w:rsidRPr="0093121D">
        <w:rPr>
          <w:rFonts w:ascii="Arial" w:hAnsi="Arial" w:cs="Arial"/>
          <w:sz w:val="24"/>
        </w:rPr>
        <w:t>[1] Zwięzły opis zidentyfikowanego problemu i proponowanych rozwiązań.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62F15" w:rsidRPr="0093121D" w14:paraId="4AF68543" w14:textId="77777777" w:rsidTr="00567B4D">
        <w:tc>
          <w:tcPr>
            <w:tcW w:w="9062" w:type="dxa"/>
          </w:tcPr>
          <w:p w14:paraId="7853E1C6" w14:textId="77777777" w:rsidR="00F62F15" w:rsidRDefault="00F62F15" w:rsidP="00567B4D">
            <w:pPr>
              <w:jc w:val="both"/>
              <w:rPr>
                <w:rFonts w:ascii="Arial" w:eastAsia="Times New Roman" w:hAnsi="Arial" w:cs="Arial"/>
                <w:sz w:val="24"/>
                <w:szCs w:val="24"/>
                <w14:ligatures w14:val="none"/>
              </w:rPr>
            </w:pPr>
            <w:r w:rsidRPr="006C1DDC">
              <w:rPr>
                <w:rFonts w:ascii="Arial" w:eastAsia="Times New Roman" w:hAnsi="Arial" w:cs="Arial"/>
                <w:sz w:val="24"/>
                <w:szCs w:val="24"/>
                <w14:ligatures w14:val="none"/>
              </w:rPr>
              <w:t>Projektowana regulacja ma na celu rozwiązanie problemu braku jednolitego i zgodnego ze standardem technicznym portalu dane.gov.pl sposobu udostępniania danych przez deweloperów. Chociaż obowiązek publikacji danych wynika już z obowiązujących przepisów (art. 19b ustawy z dnia 20 maja 2021 r. o ochronie praw nabywcy lokalu mieszkalnego lub domu jednorodzinnego oraz Deweloperskim Funduszu Gwarancyjnym, w brzmieniu nadanym nowelizacją z dnia 21 maja 2025 r.), obecnie istotna część podmiotów nie korzysta z ustrukturyzowanego formatu danych rekomendowanego przez Ministerstwo Cyfryzacji. Problem nie ma charakteru incydentalnego, lecz dotyczy znaczącej części danych udostępnianych w portalu i wpływa na funkcjonalność całego mechanizmu dostępu oraz ponownego wykorzystywania tych danych. Powoduje to ograniczenie użyteczności zasobów publikowanych w portalu, utrudnia ich automatyczne przetwarzanie oraz zmniejsza potencjał ponownego wykorzystywania danych, w szczególności dla celów tworzenia narzędzi porównawczych.</w:t>
            </w:r>
          </w:p>
          <w:p w14:paraId="450952BA" w14:textId="77777777" w:rsidR="00F62F15" w:rsidRDefault="00F62F15" w:rsidP="00567B4D">
            <w:pPr>
              <w:jc w:val="both"/>
              <w:rPr>
                <w:rFonts w:ascii="Arial" w:eastAsia="Times New Roman" w:hAnsi="Arial" w:cs="Arial"/>
                <w:sz w:val="24"/>
                <w:szCs w:val="24"/>
                <w14:ligatures w14:val="none"/>
              </w:rPr>
            </w:pPr>
            <w:r w:rsidRPr="006C1DDC">
              <w:rPr>
                <w:rFonts w:ascii="Arial" w:eastAsia="Times New Roman" w:hAnsi="Arial" w:cs="Arial"/>
                <w:sz w:val="24"/>
                <w:szCs w:val="24"/>
                <w14:ligatures w14:val="none"/>
              </w:rPr>
              <w:t>Nowelizacja zakłada dodanie w art. 19b ustawy nowych ust. 2a i 2b. Nowy ust. 2a wprowadza obowiązek udostępniania danych z zastosowaniem ustrukturyzowanego formatu przeznaczonego do odczytu maszynowego, udostępnianego komunikatem ministra właściwego do spraw informatyzacji w portalu danych. Nowy ust. 2b zobowiązuje ministra właściwego do spraw informatyzacji do ogłoszenia tego komunikatu w Dzienniku Urzędowym RP „Monitor Polski", co zapewnia transparentność, pewność prawną i powszechną dostępność informacji o wymaganym formacie. Ponadto w ust. 2 dodaje się zastrzeżenie odsyłające do nowego ust. 2a, zapewniające systemową spójność przepisu.</w:t>
            </w:r>
          </w:p>
          <w:p w14:paraId="11B795B2" w14:textId="09BA8174" w:rsidR="00F62F15" w:rsidRPr="0093121D" w:rsidRDefault="00F62F15" w:rsidP="00567B4D">
            <w:pPr>
              <w:jc w:val="both"/>
              <w:rPr>
                <w:rFonts w:ascii="Arial" w:eastAsia="Times New Roman" w:hAnsi="Arial" w:cs="Arial"/>
                <w:sz w:val="24"/>
                <w:szCs w:val="24"/>
                <w14:ligatures w14:val="none"/>
              </w:rPr>
            </w:pPr>
            <w:r w:rsidRPr="006C1DDC">
              <w:rPr>
                <w:rFonts w:ascii="Arial" w:eastAsia="Times New Roman" w:hAnsi="Arial" w:cs="Arial"/>
                <w:sz w:val="24"/>
                <w:szCs w:val="24"/>
                <w14:ligatures w14:val="none"/>
              </w:rPr>
              <w:t>Brak interwencji legislacyjnej skutkowałby dalszym funkcjonowaniem niejednolitego sposobu udostępniania danych przez deweloperów w portalu dane.gov.pl. W konsekwencji utrzymywałby się stan, w którym część danych publikowana byłaby w ustrukturyzowanym formacie, a część — w sposób odmienny, niespójny lub utrudniający ich dalsze wykorzystywanie. Prowadziłoby to do dalszego ograniczenia użyteczności zasobów publikowanych w portalu, zarówno z perspektywy konsumentów poszukujących informacji o cenach mieszkań, jak i podmiotów wykorzystujących dane w sposób profesjonalny. Ponadto nie można wykluczyć, że w</w:t>
            </w:r>
            <w:r w:rsidR="000710EC">
              <w:rPr>
                <w:rFonts w:ascii="Arial" w:eastAsia="Times New Roman" w:hAnsi="Arial" w:cs="Arial"/>
                <w:sz w:val="24"/>
                <w:szCs w:val="24"/>
                <w14:ligatures w14:val="none"/>
              </w:rPr>
              <w:t xml:space="preserve"> przypadku</w:t>
            </w:r>
            <w:r w:rsidRPr="006C1DDC">
              <w:rPr>
                <w:rFonts w:ascii="Arial" w:eastAsia="Times New Roman" w:hAnsi="Arial" w:cs="Arial"/>
                <w:sz w:val="24"/>
                <w:szCs w:val="24"/>
                <w14:ligatures w14:val="none"/>
              </w:rPr>
              <w:t xml:space="preserve"> braku obowiązku prawnego odsetek podmiotów stosujących rekomendowany format mógłby w przyszłości ulec zmniejszeniu, np. w przypadku rotacji podmiotów na rynku deweloperskim.</w:t>
            </w:r>
          </w:p>
        </w:tc>
      </w:tr>
    </w:tbl>
    <w:p w14:paraId="6E632CA2" w14:textId="77777777" w:rsidR="00F62F15" w:rsidRPr="0093121D" w:rsidRDefault="00F62F15" w:rsidP="00F62F15">
      <w:pPr>
        <w:spacing w:before="240"/>
        <w:jc w:val="both"/>
        <w:rPr>
          <w:rFonts w:ascii="Arial" w:hAnsi="Arial" w:cs="Arial"/>
          <w:sz w:val="24"/>
        </w:rPr>
      </w:pPr>
      <w:r w:rsidRPr="0093121D">
        <w:rPr>
          <w:rFonts w:ascii="Arial" w:hAnsi="Arial" w:cs="Arial"/>
          <w:sz w:val="24"/>
        </w:rPr>
        <w:lastRenderedPageBreak/>
        <w:t>[2] Czy były rozważane rozwiązania alternatywne?</w:t>
      </w:r>
    </w:p>
    <w:p w14:paraId="37F31C75" w14:textId="00199CC2" w:rsidR="00F62F15" w:rsidRPr="00041408" w:rsidRDefault="00F62F15" w:rsidP="0004140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  <w:sz w:val="24"/>
          <w:u w:val="single"/>
        </w:rPr>
      </w:pPr>
      <w:r w:rsidRPr="00041408">
        <w:rPr>
          <w:rFonts w:ascii="Arial" w:hAnsi="Arial" w:cs="Arial"/>
          <w:b/>
          <w:bCs/>
          <w:sz w:val="24"/>
          <w:u w:val="single"/>
        </w:rPr>
        <w:t xml:space="preserve">Tak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62F15" w:rsidRPr="0093121D" w14:paraId="6E429725" w14:textId="77777777" w:rsidTr="00567B4D">
        <w:tc>
          <w:tcPr>
            <w:tcW w:w="9062" w:type="dxa"/>
          </w:tcPr>
          <w:p w14:paraId="04977E76" w14:textId="77777777" w:rsidR="00F62F15" w:rsidRPr="0093121D" w:rsidRDefault="00F62F15" w:rsidP="00567B4D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  <w14:ligatures w14:val="none"/>
              </w:rPr>
            </w:pPr>
            <w:bookmarkStart w:id="1" w:name="_Hlk174441549"/>
            <w:r w:rsidRPr="0093121D">
              <w:rPr>
                <w:rFonts w:ascii="Arial" w:hAnsi="Arial" w:cs="Arial"/>
                <w:sz w:val="24"/>
              </w:rPr>
              <w:t xml:space="preserve">Rozwiązanie alternatywne polega na utrzymaniu stanu obecnego. </w:t>
            </w:r>
            <w:r>
              <w:rPr>
                <w:rFonts w:ascii="Arial" w:hAnsi="Arial" w:cs="Arial"/>
                <w:sz w:val="24"/>
              </w:rPr>
              <w:t xml:space="preserve">Obecnie </w:t>
            </w:r>
            <w:r w:rsidRPr="0093121D">
              <w:rPr>
                <w:rFonts w:ascii="Arial" w:hAnsi="Arial" w:cs="Arial"/>
                <w:sz w:val="24"/>
              </w:rPr>
              <w:t xml:space="preserve">Ministerstwo Cyfryzacji </w:t>
            </w:r>
            <w:r>
              <w:rPr>
                <w:rFonts w:ascii="Arial" w:hAnsi="Arial" w:cs="Arial"/>
                <w:sz w:val="24"/>
              </w:rPr>
              <w:t xml:space="preserve">rekomenduje stosowanie </w:t>
            </w:r>
            <w:r w:rsidRPr="0093121D">
              <w:rPr>
                <w:rFonts w:ascii="Arial" w:hAnsi="Arial" w:cs="Arial"/>
                <w:sz w:val="24"/>
              </w:rPr>
              <w:t>ustrukturyzowan</w:t>
            </w:r>
            <w:r>
              <w:rPr>
                <w:rFonts w:ascii="Arial" w:hAnsi="Arial" w:cs="Arial"/>
                <w:sz w:val="24"/>
              </w:rPr>
              <w:t>ego</w:t>
            </w:r>
            <w:r w:rsidRPr="0093121D">
              <w:rPr>
                <w:rFonts w:ascii="Arial" w:hAnsi="Arial" w:cs="Arial"/>
                <w:sz w:val="24"/>
              </w:rPr>
              <w:t xml:space="preserve"> format</w:t>
            </w:r>
            <w:r>
              <w:rPr>
                <w:rFonts w:ascii="Arial" w:hAnsi="Arial" w:cs="Arial"/>
                <w:sz w:val="24"/>
              </w:rPr>
              <w:t>u</w:t>
            </w:r>
            <w:r w:rsidRPr="0093121D">
              <w:rPr>
                <w:rFonts w:ascii="Arial" w:hAnsi="Arial" w:cs="Arial"/>
                <w:sz w:val="24"/>
              </w:rPr>
              <w:t xml:space="preserve"> danych podczas udostępniania danych w portalu dane.gov.pl. Niewprowadzenie proponowanej nowelizacji spowoduje, że nadal </w:t>
            </w:r>
            <w:r>
              <w:rPr>
                <w:rFonts w:ascii="Arial" w:hAnsi="Arial" w:cs="Arial"/>
                <w:sz w:val="24"/>
              </w:rPr>
              <w:t xml:space="preserve">udostępnianie danych w rekomendowanym formacie </w:t>
            </w:r>
            <w:r w:rsidRPr="0093121D">
              <w:rPr>
                <w:rFonts w:ascii="Arial" w:hAnsi="Arial" w:cs="Arial"/>
                <w:sz w:val="24"/>
              </w:rPr>
              <w:t>ustrukturyzowan</w:t>
            </w:r>
            <w:r>
              <w:rPr>
                <w:rFonts w:ascii="Arial" w:hAnsi="Arial" w:cs="Arial"/>
                <w:sz w:val="24"/>
              </w:rPr>
              <w:t>ym</w:t>
            </w:r>
            <w:r w:rsidRPr="0093121D">
              <w:rPr>
                <w:rFonts w:ascii="Arial" w:hAnsi="Arial" w:cs="Arial"/>
                <w:sz w:val="24"/>
              </w:rPr>
              <w:t xml:space="preserve"> będzie nieobowiązkowe. Utrzymanie obecnego stanu rzeczy jest nieefektywne, </w:t>
            </w:r>
            <w:r w:rsidRPr="0093121D">
              <w:rPr>
                <w:rFonts w:ascii="Arial" w:eastAsia="Times New Roman" w:hAnsi="Arial" w:cs="Arial"/>
                <w:sz w:val="24"/>
                <w:szCs w:val="24"/>
                <w14:ligatures w14:val="none"/>
              </w:rPr>
              <w:t>wpływa na użyteczność zasobów oraz utrudnia wykorzystywanie danych przez użytkowników.</w:t>
            </w:r>
          </w:p>
          <w:p w14:paraId="42DB330F" w14:textId="77777777" w:rsidR="00F62F15" w:rsidRPr="0093121D" w:rsidRDefault="00F62F15" w:rsidP="00567B4D">
            <w:pPr>
              <w:jc w:val="both"/>
              <w:rPr>
                <w:rFonts w:ascii="Arial" w:eastAsia="Times New Roman" w:hAnsi="Arial" w:cs="Arial"/>
                <w:sz w:val="24"/>
                <w:szCs w:val="24"/>
                <w14:ligatures w14:val="none"/>
              </w:rPr>
            </w:pPr>
            <w:r w:rsidRPr="0093121D">
              <w:rPr>
                <w:rFonts w:ascii="Arial" w:eastAsia="Times New Roman" w:hAnsi="Arial" w:cs="Arial"/>
                <w:sz w:val="24"/>
                <w:szCs w:val="24"/>
                <w14:ligatures w14:val="none"/>
              </w:rPr>
              <w:t xml:space="preserve">Proponowane w ustawie nowelizującej rozwiązanie polega na wprowadzeniu obowiązku korzystania przez deweloperów z ustrukturyzowanego formatu danych </w:t>
            </w:r>
            <w:r>
              <w:rPr>
                <w:rFonts w:ascii="Arial" w:eastAsia="Times New Roman" w:hAnsi="Arial" w:cs="Arial"/>
                <w:sz w:val="24"/>
                <w:szCs w:val="24"/>
                <w14:ligatures w14:val="none"/>
              </w:rPr>
              <w:t>rekomendowanego</w:t>
            </w:r>
            <w:r w:rsidRPr="0093121D">
              <w:rPr>
                <w:rFonts w:ascii="Arial" w:eastAsia="Times New Roman" w:hAnsi="Arial" w:cs="Arial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14:ligatures w14:val="none"/>
              </w:rPr>
              <w:t xml:space="preserve">do tej pory </w:t>
            </w:r>
            <w:r w:rsidRPr="0093121D">
              <w:rPr>
                <w:rFonts w:ascii="Arial" w:eastAsia="Times New Roman" w:hAnsi="Arial" w:cs="Arial"/>
                <w:sz w:val="24"/>
                <w:szCs w:val="24"/>
                <w14:ligatures w14:val="none"/>
              </w:rPr>
              <w:t>przez Ministerstwo Cyfryzacji.</w:t>
            </w:r>
          </w:p>
        </w:tc>
      </w:tr>
    </w:tbl>
    <w:bookmarkEnd w:id="1"/>
    <w:p w14:paraId="0BAD5856" w14:textId="77777777" w:rsidR="00F62F15" w:rsidRPr="0093121D" w:rsidRDefault="00F62F15" w:rsidP="00F62F15">
      <w:pPr>
        <w:spacing w:before="240"/>
        <w:rPr>
          <w:rFonts w:ascii="Arial" w:hAnsi="Arial" w:cs="Arial"/>
          <w:sz w:val="24"/>
        </w:rPr>
      </w:pPr>
      <w:r w:rsidRPr="0093121D">
        <w:rPr>
          <w:rFonts w:ascii="Arial" w:hAnsi="Arial" w:cs="Arial"/>
          <w:b/>
          <w:sz w:val="24"/>
        </w:rPr>
        <w:t>II. Wymogi określone w art. 34 ust. 2 pkt 3–5 regulaminu Sejmu</w:t>
      </w:r>
    </w:p>
    <w:p w14:paraId="14229251" w14:textId="77777777" w:rsidR="00F62F15" w:rsidRPr="0093121D" w:rsidRDefault="00F62F15" w:rsidP="00F62F15">
      <w:pPr>
        <w:jc w:val="both"/>
        <w:rPr>
          <w:rFonts w:ascii="Arial" w:hAnsi="Arial" w:cs="Arial"/>
          <w:sz w:val="24"/>
        </w:rPr>
      </w:pPr>
      <w:r w:rsidRPr="0093121D">
        <w:rPr>
          <w:rFonts w:ascii="Arial" w:hAnsi="Arial" w:cs="Arial"/>
          <w:sz w:val="24"/>
        </w:rPr>
        <w:t>[3] Jakie są przewidywane skutki prawne projektowanych rozwiązań?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62F15" w:rsidRPr="0093121D" w14:paraId="11C116D0" w14:textId="77777777" w:rsidTr="00567B4D">
        <w:tc>
          <w:tcPr>
            <w:tcW w:w="9062" w:type="dxa"/>
          </w:tcPr>
          <w:p w14:paraId="0D53F450" w14:textId="77777777" w:rsidR="00F62F15" w:rsidRDefault="00F62F15" w:rsidP="00567B4D">
            <w:pPr>
              <w:jc w:val="both"/>
              <w:rPr>
                <w:rFonts w:ascii="Arial" w:eastAsia="Times New Roman" w:hAnsi="Arial" w:cs="Arial"/>
                <w:sz w:val="24"/>
                <w:szCs w:val="24"/>
                <w14:ligatures w14:val="none"/>
              </w:rPr>
            </w:pPr>
            <w:r w:rsidRPr="006C1DDC">
              <w:rPr>
                <w:rFonts w:ascii="Arial" w:eastAsia="Times New Roman" w:hAnsi="Arial" w:cs="Arial"/>
                <w:sz w:val="24"/>
                <w:szCs w:val="24"/>
                <w14:ligatures w14:val="none"/>
              </w:rPr>
              <w:t>Projektowana nowelizacja przewiduje dodanie w art. 19b ustawy o ochronie praw nabywcy lokalu mieszkalnego lub domu jednorodzinnego oraz Deweloperskim Funduszu Gwarancyjnym nowych ust. 2a i 2b oraz zmianę redakcyjną ust. 2 (dodanie zastrzeżenia)</w:t>
            </w:r>
            <w:r>
              <w:rPr>
                <w:rFonts w:ascii="Arial" w:eastAsia="Times New Roman" w:hAnsi="Arial" w:cs="Arial"/>
                <w:sz w:val="24"/>
                <w:szCs w:val="24"/>
                <w14:ligatures w14:val="none"/>
              </w:rPr>
              <w:t xml:space="preserve"> oraz ust. 4 (rozszerzenie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14:ligatures w14:val="none"/>
              </w:rPr>
              <w:t>zachowań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14:ligatures w14:val="none"/>
              </w:rPr>
              <w:t xml:space="preserve"> stanowiących czyn nieuczciwej konkurencji).</w:t>
            </w:r>
          </w:p>
          <w:p w14:paraId="68D04E18" w14:textId="77777777" w:rsidR="00F62F15" w:rsidRDefault="00F62F15" w:rsidP="00567B4D">
            <w:pPr>
              <w:jc w:val="both"/>
              <w:rPr>
                <w:rFonts w:ascii="Arial" w:eastAsia="Times New Roman" w:hAnsi="Arial" w:cs="Arial"/>
                <w:sz w:val="24"/>
                <w:szCs w:val="24"/>
                <w14:ligatures w14:val="none"/>
              </w:rPr>
            </w:pPr>
            <w:r w:rsidRPr="006C1DDC">
              <w:rPr>
                <w:rFonts w:ascii="Arial" w:eastAsia="Times New Roman" w:hAnsi="Arial" w:cs="Arial"/>
                <w:b/>
                <w:bCs/>
                <w:sz w:val="24"/>
                <w:szCs w:val="24"/>
                <w14:ligatures w14:val="none"/>
              </w:rPr>
              <w:t>Stan dotychczasowy:</w:t>
            </w:r>
            <w:r w:rsidRPr="006C1DDC">
              <w:rPr>
                <w:rFonts w:ascii="Arial" w:eastAsia="Times New Roman" w:hAnsi="Arial" w:cs="Arial"/>
                <w:sz w:val="24"/>
                <w:szCs w:val="24"/>
                <w14:ligatures w14:val="none"/>
              </w:rPr>
              <w:t xml:space="preserve"> Deweloperzy są obowiązani do udostępniania danych w portalu dane.gov.pl (art. 19b ust. 1 i 2 ustawy). Korzystanie z ustrukturyzowanego formatu danych rekomendowanego przez Ministerstwo Cyfryzacji ma charakter fakultatywny. Brak jest podstawy prawnej do określenia wymaganego formatu w drodze aktu o charakterze powszechnie obowiązującym.</w:t>
            </w:r>
          </w:p>
          <w:p w14:paraId="1A50CEEE" w14:textId="77777777" w:rsidR="00F62F15" w:rsidRDefault="00F62F15" w:rsidP="00567B4D">
            <w:pPr>
              <w:jc w:val="both"/>
              <w:rPr>
                <w:rFonts w:ascii="Arial" w:eastAsia="Times New Roman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14:ligatures w14:val="none"/>
              </w:rPr>
              <w:t>Propozycja nowelizacji</w:t>
            </w:r>
            <w:r w:rsidRPr="006C1DDC">
              <w:rPr>
                <w:rFonts w:ascii="Arial" w:eastAsia="Times New Roman" w:hAnsi="Arial" w:cs="Arial"/>
                <w:b/>
                <w:bCs/>
                <w:sz w:val="24"/>
                <w:szCs w:val="24"/>
                <w14:ligatures w14:val="none"/>
              </w:rPr>
              <w:t>:</w:t>
            </w:r>
            <w:r w:rsidRPr="006C1DDC">
              <w:rPr>
                <w:rFonts w:ascii="Arial" w:eastAsia="Times New Roman" w:hAnsi="Arial" w:cs="Arial"/>
                <w:sz w:val="24"/>
                <w:szCs w:val="24"/>
                <w14:ligatures w14:val="none"/>
              </w:rPr>
              <w:t xml:space="preserve"> Ustanawia się obowiązek korzystania przez deweloperów z ustrukturyzowanego formatu przeznaczonego do odczytu maszynowego, udostępnianego komunikatem ministra właściwego do spraw informatyzacji w portalu danych. Komunikat ten jest ogłaszany w Monitorze Polskim, co zapewnia jego powszechną dostępność i oficjalny charakter. Projektowane rozwiązanie uzupełni obecne regulacje w obszarze technicznym i usprawni stosowanie aktualnych przepisów.</w:t>
            </w:r>
          </w:p>
          <w:p w14:paraId="291F3CA1" w14:textId="6281D3A4" w:rsidR="00F62F15" w:rsidRDefault="00F62F15" w:rsidP="00567B4D">
            <w:pPr>
              <w:jc w:val="both"/>
              <w:rPr>
                <w:rFonts w:ascii="Arial" w:eastAsia="Times New Roman" w:hAnsi="Arial" w:cs="Arial"/>
                <w:sz w:val="24"/>
                <w:szCs w:val="24"/>
                <w14:ligatures w14:val="none"/>
              </w:rPr>
            </w:pPr>
            <w:r w:rsidRPr="006C1DDC">
              <w:rPr>
                <w:rFonts w:ascii="Arial" w:eastAsia="Times New Roman" w:hAnsi="Arial" w:cs="Arial"/>
                <w:sz w:val="24"/>
                <w:szCs w:val="24"/>
                <w14:ligatures w14:val="none"/>
              </w:rPr>
              <w:t>Projektowany przepis (nowy ust. 2a) będzie objęty regulacją art. 19b ust. 4 nowelizowanej ustawy, zgodnie z którym naruszenie obowiązku określonego w ust. 1</w:t>
            </w:r>
            <w:r>
              <w:rPr>
                <w:rFonts w:ascii="Arial" w:eastAsia="Times New Roman" w:hAnsi="Arial" w:cs="Arial"/>
                <w:sz w:val="24"/>
                <w:szCs w:val="24"/>
                <w14:ligatures w14:val="none"/>
              </w:rPr>
              <w:t xml:space="preserve">, </w:t>
            </w:r>
            <w:r w:rsidRPr="006C1DDC">
              <w:rPr>
                <w:rFonts w:ascii="Arial" w:eastAsia="Times New Roman" w:hAnsi="Arial" w:cs="Arial"/>
                <w:sz w:val="24"/>
                <w:szCs w:val="24"/>
                <w14:ligatures w14:val="none"/>
              </w:rPr>
              <w:t xml:space="preserve">2 </w:t>
            </w:r>
            <w:r>
              <w:rPr>
                <w:rFonts w:ascii="Arial" w:eastAsia="Times New Roman" w:hAnsi="Arial" w:cs="Arial"/>
                <w:sz w:val="24"/>
                <w:szCs w:val="24"/>
                <w14:ligatures w14:val="none"/>
              </w:rPr>
              <w:t xml:space="preserve">oraz oddanego ust. 2a </w:t>
            </w:r>
            <w:r w:rsidRPr="006C1DDC">
              <w:rPr>
                <w:rFonts w:ascii="Arial" w:eastAsia="Times New Roman" w:hAnsi="Arial" w:cs="Arial"/>
                <w:sz w:val="24"/>
                <w:szCs w:val="24"/>
                <w14:ligatures w14:val="none"/>
              </w:rPr>
              <w:t>tego artykułu stanowi praktykę naruszającą zbiorowe interesy konsumentów.</w:t>
            </w:r>
          </w:p>
          <w:p w14:paraId="2E65C0DC" w14:textId="77777777" w:rsidR="00F62F15" w:rsidRDefault="00F62F15" w:rsidP="00567B4D">
            <w:pPr>
              <w:jc w:val="both"/>
              <w:rPr>
                <w:rFonts w:ascii="Arial" w:eastAsia="Times New Roman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14:ligatures w14:val="none"/>
              </w:rPr>
              <w:t>Przepisy</w:t>
            </w:r>
            <w:r w:rsidRPr="006C1DDC">
              <w:rPr>
                <w:rFonts w:ascii="Arial" w:eastAsia="Times New Roman" w:hAnsi="Arial" w:cs="Arial"/>
                <w:sz w:val="24"/>
                <w:szCs w:val="24"/>
                <w14:ligatures w14:val="none"/>
              </w:rPr>
              <w:t xml:space="preserve"> wejd</w:t>
            </w:r>
            <w:r>
              <w:rPr>
                <w:rFonts w:ascii="Arial" w:eastAsia="Times New Roman" w:hAnsi="Arial" w:cs="Arial"/>
                <w:sz w:val="24"/>
                <w:szCs w:val="24"/>
                <w14:ligatures w14:val="none"/>
              </w:rPr>
              <w:t>ą</w:t>
            </w:r>
            <w:r w:rsidRPr="006C1DDC">
              <w:rPr>
                <w:rFonts w:ascii="Arial" w:eastAsia="Times New Roman" w:hAnsi="Arial" w:cs="Arial"/>
                <w:sz w:val="24"/>
                <w:szCs w:val="24"/>
                <w14:ligatures w14:val="none"/>
              </w:rPr>
              <w:t xml:space="preserve"> w życie po upływie 3 miesięcy od dnia ogłoszenia. Przewidziane </w:t>
            </w:r>
            <w:r w:rsidRPr="006C1DDC">
              <w:rPr>
                <w:rFonts w:ascii="Arial" w:eastAsia="Times New Roman" w:hAnsi="Arial" w:cs="Arial"/>
                <w:i/>
                <w:iCs/>
                <w:sz w:val="24"/>
                <w:szCs w:val="24"/>
                <w14:ligatures w14:val="none"/>
              </w:rPr>
              <w:t>vacatio legis</w:t>
            </w:r>
            <w:r w:rsidRPr="006C1DDC">
              <w:rPr>
                <w:rFonts w:ascii="Arial" w:eastAsia="Times New Roman" w:hAnsi="Arial" w:cs="Arial"/>
                <w:sz w:val="24"/>
                <w:szCs w:val="24"/>
                <w14:ligatures w14:val="none"/>
              </w:rPr>
              <w:t xml:space="preserve"> umożliwi deweloperom przygotowanie się do stosowania nowego rozwiązania, a ministrowi właściwemu do spraw informatyzacji ogłoszenie komunikatu w Monitorze Polskim.</w:t>
            </w:r>
          </w:p>
          <w:p w14:paraId="10A47FA2" w14:textId="77777777" w:rsidR="00F62F15" w:rsidRPr="0093121D" w:rsidRDefault="00F62F15" w:rsidP="00567B4D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3794DC71" w14:textId="77777777" w:rsidR="00F62F15" w:rsidRPr="0093121D" w:rsidRDefault="00F62F15" w:rsidP="00F62F15">
      <w:pPr>
        <w:spacing w:before="240"/>
        <w:jc w:val="both"/>
        <w:rPr>
          <w:rFonts w:ascii="Arial" w:hAnsi="Arial" w:cs="Arial"/>
          <w:sz w:val="24"/>
        </w:rPr>
      </w:pPr>
      <w:r w:rsidRPr="0093121D">
        <w:rPr>
          <w:rFonts w:ascii="Arial" w:hAnsi="Arial" w:cs="Arial"/>
          <w:sz w:val="24"/>
        </w:rPr>
        <w:t xml:space="preserve">[4] Jakie są </w:t>
      </w:r>
      <w:bookmarkStart w:id="2" w:name="_Hlk174443131"/>
      <w:r w:rsidRPr="0093121D">
        <w:rPr>
          <w:rFonts w:ascii="Arial" w:hAnsi="Arial" w:cs="Arial"/>
          <w:sz w:val="24"/>
        </w:rPr>
        <w:t>przewidywane</w:t>
      </w:r>
      <w:bookmarkEnd w:id="2"/>
      <w:r w:rsidRPr="0093121D">
        <w:rPr>
          <w:rFonts w:ascii="Arial" w:hAnsi="Arial" w:cs="Arial"/>
          <w:sz w:val="24"/>
        </w:rPr>
        <w:t xml:space="preserve"> skutki społeczne projektowanych rozwiązań?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62F15" w:rsidRPr="0093121D" w14:paraId="0B292C9B" w14:textId="77777777" w:rsidTr="00567B4D">
        <w:tc>
          <w:tcPr>
            <w:tcW w:w="9062" w:type="dxa"/>
          </w:tcPr>
          <w:p w14:paraId="64D99B56" w14:textId="77777777" w:rsidR="00F62F15" w:rsidRPr="0093121D" w:rsidRDefault="00F62F15" w:rsidP="00567B4D">
            <w:pPr>
              <w:spacing w:before="120"/>
              <w:jc w:val="both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997F58">
              <w:rPr>
                <w:rFonts w:ascii="Arial" w:hAnsi="Arial" w:cs="Arial"/>
                <w:sz w:val="24"/>
              </w:rPr>
              <w:t xml:space="preserve">Przewidywanym skutkiem społecznym projektowanych rozwiązań będzie zwiększenie użyteczności danych udostępnianych w portalu dane.gov.pl poprzez ujednolicenie sposobu ich publikacji. Rozwiązanie to ułatwi przetwarzanie i analizę danych, a także stworzy warunki do automatyzacji procesów związanych z ich wykorzystywaniem. Jednocześnie standaryzacja danych zwiększy możliwość tworzenia narzędzi porównawczych oraz innych narzędzi cyfrowych opartych na </w:t>
            </w:r>
            <w:r w:rsidRPr="00997F58">
              <w:rPr>
                <w:rFonts w:ascii="Arial" w:hAnsi="Arial" w:cs="Arial"/>
                <w:sz w:val="24"/>
              </w:rPr>
              <w:lastRenderedPageBreak/>
              <w:t>ponownym wykorzystywaniu danych, co przełoży się na większą przejrzystość informacji oraz ułatwi obywatelom i innym użytkownikom dostęp do danych porównywalnych i bardziej użytecznych dla celów ich dalszego wykorzyst</w:t>
            </w:r>
            <w:r>
              <w:rPr>
                <w:rFonts w:ascii="Arial" w:hAnsi="Arial" w:cs="Arial"/>
                <w:sz w:val="24"/>
              </w:rPr>
              <w:t>yw</w:t>
            </w:r>
            <w:r w:rsidRPr="00997F58">
              <w:rPr>
                <w:rFonts w:ascii="Arial" w:hAnsi="Arial" w:cs="Arial"/>
                <w:sz w:val="24"/>
              </w:rPr>
              <w:t>ania.</w:t>
            </w:r>
          </w:p>
        </w:tc>
      </w:tr>
    </w:tbl>
    <w:p w14:paraId="45A0DB2C" w14:textId="77777777" w:rsidR="00F62F15" w:rsidRPr="0093121D" w:rsidRDefault="00F62F15" w:rsidP="00F62F15">
      <w:pPr>
        <w:spacing w:before="240"/>
        <w:jc w:val="both"/>
        <w:rPr>
          <w:rFonts w:ascii="Arial" w:hAnsi="Arial" w:cs="Arial"/>
          <w:sz w:val="24"/>
        </w:rPr>
      </w:pPr>
      <w:r w:rsidRPr="0093121D">
        <w:rPr>
          <w:rFonts w:ascii="Arial" w:hAnsi="Arial" w:cs="Arial"/>
          <w:sz w:val="24"/>
        </w:rPr>
        <w:lastRenderedPageBreak/>
        <w:t>[5] Jakie są przewidywane skutki gospodarcze projektowanych rozwiązań?</w:t>
      </w:r>
    </w:p>
    <w:p w14:paraId="47050EE9" w14:textId="77777777" w:rsidR="00F62F15" w:rsidRPr="0093121D" w:rsidRDefault="00F62F15" w:rsidP="00F62F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A10FF5">
        <w:rPr>
          <w:rFonts w:ascii="Arial" w:hAnsi="Arial" w:cs="Arial"/>
          <w:sz w:val="24"/>
        </w:rPr>
        <w:t>Projektowane rozwiązania będą miały pozytywny wpływ na przedsiębiorców, w</w:t>
      </w:r>
      <w:r>
        <w:rPr>
          <w:rFonts w:ascii="Arial" w:hAnsi="Arial" w:cs="Arial"/>
          <w:sz w:val="24"/>
        </w:rPr>
        <w:t> </w:t>
      </w:r>
      <w:r w:rsidRPr="00A10FF5">
        <w:rPr>
          <w:rFonts w:ascii="Arial" w:hAnsi="Arial" w:cs="Arial"/>
          <w:sz w:val="24"/>
        </w:rPr>
        <w:t xml:space="preserve">szczególności poprzez ujednolicenie sposobu udostępniania danych oraz zwiększenie możliwości ich automatycznego przetwarzania i ponownego wykorzystywania. Standaryzacja danych stworzy warunki do rozwoju narzędzi cyfrowych, w tym </w:t>
      </w:r>
      <w:proofErr w:type="spellStart"/>
      <w:r w:rsidRPr="00A10FF5">
        <w:rPr>
          <w:rFonts w:ascii="Arial" w:hAnsi="Arial" w:cs="Arial"/>
          <w:sz w:val="24"/>
        </w:rPr>
        <w:t>porównywarek</w:t>
      </w:r>
      <w:proofErr w:type="spellEnd"/>
      <w:r w:rsidRPr="00A10FF5">
        <w:rPr>
          <w:rFonts w:ascii="Arial" w:hAnsi="Arial" w:cs="Arial"/>
          <w:sz w:val="24"/>
        </w:rPr>
        <w:t xml:space="preserve"> i usług analitycznych, a także </w:t>
      </w:r>
      <w:r>
        <w:rPr>
          <w:rFonts w:ascii="Arial" w:hAnsi="Arial" w:cs="Arial"/>
          <w:sz w:val="24"/>
        </w:rPr>
        <w:t xml:space="preserve">może </w:t>
      </w:r>
      <w:r w:rsidRPr="00A10FF5">
        <w:rPr>
          <w:rFonts w:ascii="Arial" w:hAnsi="Arial" w:cs="Arial"/>
          <w:sz w:val="24"/>
        </w:rPr>
        <w:t>ograniczy</w:t>
      </w:r>
      <w:r>
        <w:rPr>
          <w:rFonts w:ascii="Arial" w:hAnsi="Arial" w:cs="Arial"/>
          <w:sz w:val="24"/>
        </w:rPr>
        <w:t>ć</w:t>
      </w:r>
      <w:r w:rsidRPr="00A10FF5">
        <w:rPr>
          <w:rFonts w:ascii="Arial" w:hAnsi="Arial" w:cs="Arial"/>
          <w:sz w:val="24"/>
        </w:rPr>
        <w:t xml:space="preserve"> koszty związane z pozyskiwaniem, porządkowaniem i integracją </w:t>
      </w:r>
      <w:r>
        <w:rPr>
          <w:rFonts w:ascii="Arial" w:hAnsi="Arial" w:cs="Arial"/>
          <w:sz w:val="24"/>
        </w:rPr>
        <w:t>danych</w:t>
      </w:r>
      <w:r w:rsidRPr="00A10FF5">
        <w:rPr>
          <w:rFonts w:ascii="Arial" w:hAnsi="Arial" w:cs="Arial"/>
          <w:sz w:val="24"/>
        </w:rPr>
        <w:t>. Jednocześnie regulacja nie powinna powodować istotnych</w:t>
      </w:r>
      <w:r>
        <w:rPr>
          <w:rFonts w:ascii="Arial" w:hAnsi="Arial" w:cs="Arial"/>
          <w:sz w:val="24"/>
        </w:rPr>
        <w:t xml:space="preserve">, </w:t>
      </w:r>
      <w:r w:rsidRPr="00A10FF5">
        <w:rPr>
          <w:rFonts w:ascii="Arial" w:hAnsi="Arial" w:cs="Arial"/>
          <w:sz w:val="24"/>
        </w:rPr>
        <w:t xml:space="preserve">dodatkowych obciążeń po stronie deweloperów, gdyż nie wprowadza nowego obowiązku udostępniania danych, </w:t>
      </w:r>
      <w:r>
        <w:rPr>
          <w:rFonts w:ascii="Arial" w:hAnsi="Arial" w:cs="Arial"/>
          <w:sz w:val="24"/>
        </w:rPr>
        <w:t>tylko</w:t>
      </w:r>
      <w:r w:rsidRPr="00A10FF5">
        <w:rPr>
          <w:rFonts w:ascii="Arial" w:hAnsi="Arial" w:cs="Arial"/>
          <w:sz w:val="24"/>
        </w:rPr>
        <w:t xml:space="preserve"> ujednolica techniczny sposób wykonania obowiązku już istniejącego.</w:t>
      </w:r>
    </w:p>
    <w:p w14:paraId="2819D803" w14:textId="77777777" w:rsidR="00F62F15" w:rsidRPr="0093121D" w:rsidRDefault="00F62F15" w:rsidP="00F62F15">
      <w:pPr>
        <w:spacing w:before="240"/>
        <w:jc w:val="both"/>
        <w:rPr>
          <w:rFonts w:ascii="Arial" w:hAnsi="Arial" w:cs="Arial"/>
          <w:sz w:val="24"/>
        </w:rPr>
      </w:pPr>
      <w:r w:rsidRPr="0093121D">
        <w:rPr>
          <w:rFonts w:ascii="Arial" w:hAnsi="Arial" w:cs="Arial"/>
          <w:sz w:val="24"/>
        </w:rPr>
        <w:t>[6] Jakie są przewidywane skutki finansowe projektowanych rozwiązań, w szczególności wpływ na sektor finansów publicznych, w tym na budżet państwa i budżety jednostek samorządu terytorialnego?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62F15" w:rsidRPr="0093121D" w14:paraId="1FDEFDD8" w14:textId="77777777" w:rsidTr="00567B4D">
        <w:tc>
          <w:tcPr>
            <w:tcW w:w="9062" w:type="dxa"/>
          </w:tcPr>
          <w:p w14:paraId="0280BCFE" w14:textId="77777777" w:rsidR="00F62F15" w:rsidRPr="0093121D" w:rsidRDefault="00F62F15" w:rsidP="00567B4D">
            <w:pPr>
              <w:spacing w:before="120"/>
              <w:jc w:val="both"/>
              <w:rPr>
                <w:rFonts w:ascii="Arial" w:hAnsi="Arial" w:cs="Arial"/>
                <w:sz w:val="24"/>
              </w:rPr>
            </w:pPr>
            <w:r w:rsidRPr="0093121D">
              <w:rPr>
                <w:rFonts w:ascii="Arial" w:hAnsi="Arial" w:cs="Arial"/>
                <w:sz w:val="24"/>
              </w:rPr>
              <w:t>Nowelizacja nie powoduje skutków finansowych dla sektora finansów publicznych.</w:t>
            </w:r>
          </w:p>
        </w:tc>
      </w:tr>
    </w:tbl>
    <w:p w14:paraId="48BD0955" w14:textId="77777777" w:rsidR="00F62F15" w:rsidRPr="0093121D" w:rsidRDefault="00F62F15" w:rsidP="00F62F15">
      <w:pPr>
        <w:spacing w:before="240"/>
        <w:jc w:val="both"/>
        <w:rPr>
          <w:rFonts w:ascii="Arial" w:hAnsi="Arial" w:cs="Arial"/>
          <w:sz w:val="24"/>
        </w:rPr>
      </w:pPr>
      <w:r w:rsidRPr="0093121D">
        <w:rPr>
          <w:rFonts w:ascii="Arial" w:hAnsi="Arial" w:cs="Arial"/>
          <w:sz w:val="24"/>
        </w:rPr>
        <w:t>[7] Wykaz źródeł finansowania, jeśli projekt ustawy pociąga za sobą obciążenie budżetu państwa lub budżetów jednostek samorządu terytorialnego.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62F15" w:rsidRPr="0093121D" w14:paraId="244A2230" w14:textId="77777777" w:rsidTr="00567B4D">
        <w:tc>
          <w:tcPr>
            <w:tcW w:w="9062" w:type="dxa"/>
          </w:tcPr>
          <w:p w14:paraId="171BE5C3" w14:textId="77777777" w:rsidR="00F62F15" w:rsidRPr="0093121D" w:rsidRDefault="00F62F15" w:rsidP="00567B4D">
            <w:pPr>
              <w:spacing w:before="120"/>
              <w:jc w:val="both"/>
              <w:rPr>
                <w:rFonts w:ascii="Arial" w:hAnsi="Arial" w:cs="Arial"/>
                <w:sz w:val="24"/>
              </w:rPr>
            </w:pPr>
            <w:r w:rsidRPr="0093121D">
              <w:rPr>
                <w:rFonts w:ascii="Arial" w:hAnsi="Arial" w:cs="Arial"/>
                <w:sz w:val="24"/>
              </w:rPr>
              <w:t>Nie dotyczy.</w:t>
            </w:r>
          </w:p>
        </w:tc>
      </w:tr>
    </w:tbl>
    <w:p w14:paraId="4B0E55B1" w14:textId="77777777" w:rsidR="00F62F15" w:rsidRPr="0093121D" w:rsidRDefault="00F62F15" w:rsidP="00F62F15">
      <w:pPr>
        <w:spacing w:before="240"/>
        <w:rPr>
          <w:rFonts w:ascii="Arial" w:hAnsi="Arial" w:cs="Arial"/>
          <w:sz w:val="24"/>
        </w:rPr>
      </w:pPr>
      <w:r w:rsidRPr="0093121D">
        <w:rPr>
          <w:rFonts w:ascii="Arial" w:hAnsi="Arial" w:cs="Arial"/>
          <w:sz w:val="24"/>
        </w:rPr>
        <w:t xml:space="preserve">[8] Czy projekt ustawy podlega procedurze notyfikacyjnej? </w:t>
      </w:r>
    </w:p>
    <w:p w14:paraId="7FFA415C" w14:textId="77777777" w:rsidR="00F62F15" w:rsidRPr="00041408" w:rsidRDefault="00F62F15" w:rsidP="00F62F1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  <w:sz w:val="24"/>
          <w:u w:val="single"/>
        </w:rPr>
      </w:pPr>
      <w:r w:rsidRPr="00041408">
        <w:rPr>
          <w:rFonts w:ascii="Arial" w:hAnsi="Arial" w:cs="Arial"/>
          <w:b/>
          <w:bCs/>
          <w:sz w:val="24"/>
          <w:u w:val="single"/>
        </w:rPr>
        <w:t>Nie</w:t>
      </w:r>
    </w:p>
    <w:p w14:paraId="242C959B" w14:textId="77777777" w:rsidR="00F62F15" w:rsidRPr="0093121D" w:rsidRDefault="00F62F15" w:rsidP="00F62F15">
      <w:pPr>
        <w:spacing w:before="240"/>
        <w:rPr>
          <w:rFonts w:ascii="Arial" w:hAnsi="Arial" w:cs="Arial"/>
          <w:b/>
          <w:sz w:val="24"/>
        </w:rPr>
      </w:pPr>
      <w:r w:rsidRPr="0093121D">
        <w:rPr>
          <w:rFonts w:ascii="Arial" w:hAnsi="Arial" w:cs="Arial"/>
          <w:b/>
          <w:sz w:val="24"/>
        </w:rPr>
        <w:t xml:space="preserve">III. </w:t>
      </w:r>
      <w:bookmarkStart w:id="3" w:name="_Hlk174441212"/>
      <w:r w:rsidRPr="0093121D">
        <w:rPr>
          <w:rFonts w:ascii="Arial" w:hAnsi="Arial" w:cs="Arial"/>
          <w:b/>
          <w:sz w:val="24"/>
        </w:rPr>
        <w:t>Wymogi określone w art. 34 ust. 2a i 2b regulaminu Sejmu</w:t>
      </w:r>
      <w:bookmarkEnd w:id="3"/>
    </w:p>
    <w:p w14:paraId="5D741F6B" w14:textId="77777777" w:rsidR="00F62F15" w:rsidRPr="0093121D" w:rsidRDefault="00F62F15" w:rsidP="00F62F15">
      <w:pPr>
        <w:jc w:val="both"/>
        <w:rPr>
          <w:rFonts w:ascii="Arial" w:hAnsi="Arial" w:cs="Arial"/>
          <w:sz w:val="24"/>
        </w:rPr>
      </w:pPr>
      <w:r w:rsidRPr="0093121D">
        <w:rPr>
          <w:rFonts w:ascii="Arial" w:hAnsi="Arial" w:cs="Arial"/>
          <w:sz w:val="24"/>
        </w:rPr>
        <w:t>[9] Czy projekt ustawy zawiera przepisy określające zasady podejmowania, wykonywania lub zakończenia działalności gospodarczej (art. 34 ust. 2a regulaminu Sejmu)?</w:t>
      </w:r>
    </w:p>
    <w:p w14:paraId="7AFB060E" w14:textId="51B9B960" w:rsidR="00F62F15" w:rsidRPr="00041408" w:rsidRDefault="00F62F15" w:rsidP="00F62F1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  <w:sz w:val="24"/>
          <w:u w:val="single"/>
        </w:rPr>
      </w:pPr>
      <w:r w:rsidRPr="00041408">
        <w:rPr>
          <w:rFonts w:ascii="Arial" w:hAnsi="Arial" w:cs="Arial"/>
          <w:b/>
          <w:bCs/>
          <w:sz w:val="24"/>
          <w:u w:val="single"/>
        </w:rPr>
        <w:t>Nie</w:t>
      </w:r>
    </w:p>
    <w:p w14:paraId="0B244019" w14:textId="77777777" w:rsidR="00F62F15" w:rsidRPr="0093121D" w:rsidRDefault="00F62F15" w:rsidP="00F62F15">
      <w:pPr>
        <w:jc w:val="both"/>
        <w:rPr>
          <w:rFonts w:ascii="Arial" w:hAnsi="Arial" w:cs="Arial"/>
          <w:sz w:val="24"/>
        </w:rPr>
      </w:pPr>
      <w:r w:rsidRPr="0093121D">
        <w:rPr>
          <w:rFonts w:ascii="Arial" w:hAnsi="Arial" w:cs="Arial"/>
          <w:sz w:val="24"/>
        </w:rPr>
        <w:t xml:space="preserve">[10] Czy wdrożenie projektowanych przepisów spowoduje obciążenia administracyjne </w:t>
      </w:r>
      <w:proofErr w:type="spellStart"/>
      <w:r w:rsidRPr="0093121D">
        <w:rPr>
          <w:rFonts w:ascii="Arial" w:hAnsi="Arial" w:cs="Arial"/>
          <w:sz w:val="24"/>
        </w:rPr>
        <w:t>mikroprzedsiębiorców</w:t>
      </w:r>
      <w:proofErr w:type="spellEnd"/>
      <w:r w:rsidRPr="0093121D">
        <w:rPr>
          <w:rFonts w:ascii="Arial" w:hAnsi="Arial" w:cs="Arial"/>
          <w:sz w:val="24"/>
        </w:rPr>
        <w:t>, małych i średnich przedsiębiorców (art. 34 ust. 2a regulaminu Sejmu)?</w:t>
      </w:r>
    </w:p>
    <w:p w14:paraId="25C35258" w14:textId="3BE310B2" w:rsidR="00F62F15" w:rsidRPr="00041408" w:rsidRDefault="00F62F15" w:rsidP="0004140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  <w:sz w:val="24"/>
          <w:u w:val="single"/>
        </w:rPr>
      </w:pPr>
      <w:r w:rsidRPr="00041408">
        <w:rPr>
          <w:rFonts w:ascii="Arial" w:hAnsi="Arial" w:cs="Arial"/>
          <w:b/>
          <w:bCs/>
          <w:sz w:val="24"/>
          <w:u w:val="single"/>
        </w:rPr>
        <w:t>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62F15" w:rsidRPr="0093121D" w14:paraId="56DCD4E4" w14:textId="77777777" w:rsidTr="00567B4D">
        <w:tc>
          <w:tcPr>
            <w:tcW w:w="9062" w:type="dxa"/>
          </w:tcPr>
          <w:p w14:paraId="513AC678" w14:textId="77777777" w:rsidR="00F62F15" w:rsidRPr="0093121D" w:rsidRDefault="00F62F15" w:rsidP="00567B4D">
            <w:pPr>
              <w:jc w:val="both"/>
              <w:rPr>
                <w:rFonts w:ascii="Arial" w:hAnsi="Arial" w:cs="Arial"/>
                <w:sz w:val="24"/>
              </w:rPr>
            </w:pPr>
            <w:r w:rsidRPr="0093121D">
              <w:rPr>
                <w:rFonts w:ascii="Arial" w:hAnsi="Arial" w:cs="Arial"/>
                <w:sz w:val="24"/>
              </w:rPr>
              <w:t>Proponowana nowelizacja wprowadza obowiązek korzystania przez deweloperów z</w:t>
            </w:r>
            <w:r>
              <w:rPr>
                <w:rFonts w:ascii="Arial" w:hAnsi="Arial" w:cs="Arial"/>
                <w:sz w:val="24"/>
              </w:rPr>
              <w:t> </w:t>
            </w:r>
            <w:r w:rsidRPr="0093121D">
              <w:rPr>
                <w:rFonts w:ascii="Arial" w:hAnsi="Arial" w:cs="Arial"/>
                <w:sz w:val="24"/>
              </w:rPr>
              <w:t>rekomendowanego</w:t>
            </w:r>
            <w:r>
              <w:rPr>
                <w:rFonts w:ascii="Arial" w:hAnsi="Arial" w:cs="Arial"/>
                <w:sz w:val="24"/>
              </w:rPr>
              <w:t xml:space="preserve"> do tej pory </w:t>
            </w:r>
            <w:r w:rsidRPr="0093121D">
              <w:rPr>
                <w:rFonts w:ascii="Arial" w:hAnsi="Arial" w:cs="Arial"/>
                <w:sz w:val="24"/>
              </w:rPr>
              <w:t xml:space="preserve">przez Ministerstwo Cyfryzacji ustrukturyzowanego formatu danych, który będzie wykorzystywany przy udostępnianiu danych w portalu dane.gov.pl. Obecnie takiego obowiązku nie ma. Większość deweloperów już obecnie stosuje </w:t>
            </w:r>
            <w:r>
              <w:rPr>
                <w:rFonts w:ascii="Arial" w:hAnsi="Arial" w:cs="Arial"/>
                <w:sz w:val="24"/>
              </w:rPr>
              <w:t xml:space="preserve">rekomendowany </w:t>
            </w:r>
            <w:r w:rsidRPr="0093121D">
              <w:rPr>
                <w:rFonts w:ascii="Arial" w:hAnsi="Arial" w:cs="Arial"/>
                <w:sz w:val="24"/>
              </w:rPr>
              <w:t xml:space="preserve">ustrukturyzowany format podczas udostępniania danych. Dla pozostałych podmiotów (które obecnie nie stosują tego rozwiązania) projektowany przepis nie będzie stanowił dodatkowego obciążenia, ponieważ sam obowiązek udostępniania danych wynika już z obecnie obowiązujących regulacji. Proponowana nowelizacja nie wprowadza nowego obowiązku udostępniania danych, ale stanowi jedynie techniczne uzupełnienie obecnych przepisów i ma </w:t>
            </w:r>
            <w:r w:rsidRPr="0093121D">
              <w:rPr>
                <w:rFonts w:ascii="Arial" w:hAnsi="Arial" w:cs="Arial"/>
                <w:sz w:val="24"/>
              </w:rPr>
              <w:lastRenderedPageBreak/>
              <w:t>ujednolicić oraz uprościć sposób udostępniania danych w portalu (ma ujednolicić oraz uprościć realizację istniejącego obowiązku ustawowego). Jeden, standardowy ustrukturyzowany format danych będzie ułatwieniem dla deweloperów w realizacji obecnych przepisów.</w:t>
            </w:r>
          </w:p>
        </w:tc>
      </w:tr>
    </w:tbl>
    <w:p w14:paraId="70E00CDC" w14:textId="77777777" w:rsidR="00F62F15" w:rsidRPr="0093121D" w:rsidRDefault="00F62F15" w:rsidP="00F62F15">
      <w:pPr>
        <w:spacing w:before="240"/>
        <w:jc w:val="both"/>
        <w:rPr>
          <w:rFonts w:ascii="Arial" w:hAnsi="Arial" w:cs="Arial"/>
          <w:sz w:val="24"/>
        </w:rPr>
      </w:pPr>
      <w:r w:rsidRPr="0093121D">
        <w:rPr>
          <w:rFonts w:ascii="Arial" w:hAnsi="Arial" w:cs="Arial"/>
          <w:sz w:val="24"/>
        </w:rPr>
        <w:lastRenderedPageBreak/>
        <w:t>[11] Czy projekt ustawy zawiera przepisy regulacyjne lub określa wymogi dotyczące świadczenia usług transgranicznych w rozumieniu ustawy z dnia 22 grudnia 2015 r. o zasadach uznawania kwalifikacji zawodowych nabytych w państwach członkowskich Unii Europejskiej (art. 34 ust. 2b regulaminu Sejmu)?</w:t>
      </w:r>
    </w:p>
    <w:p w14:paraId="5E5A528D" w14:textId="77777777" w:rsidR="00F62F15" w:rsidRPr="00041408" w:rsidRDefault="00F62F15" w:rsidP="00F62F15">
      <w:pPr>
        <w:pStyle w:val="Akapitzlist"/>
        <w:numPr>
          <w:ilvl w:val="0"/>
          <w:numId w:val="2"/>
        </w:numPr>
        <w:ind w:left="714" w:hanging="357"/>
        <w:jc w:val="both"/>
        <w:rPr>
          <w:rFonts w:ascii="Arial" w:hAnsi="Arial" w:cs="Arial"/>
          <w:b/>
          <w:bCs/>
          <w:sz w:val="24"/>
          <w:u w:val="single"/>
        </w:rPr>
      </w:pPr>
      <w:r w:rsidRPr="00041408">
        <w:rPr>
          <w:rFonts w:ascii="Arial" w:hAnsi="Arial" w:cs="Arial"/>
          <w:b/>
          <w:bCs/>
          <w:sz w:val="24"/>
          <w:u w:val="single"/>
        </w:rPr>
        <w:t xml:space="preserve">Nie </w:t>
      </w:r>
    </w:p>
    <w:p w14:paraId="4A1DC42A" w14:textId="1104517C" w:rsidR="00F62F15" w:rsidRPr="0093121D" w:rsidRDefault="00F62F15" w:rsidP="00041408">
      <w:pPr>
        <w:pStyle w:val="Akapitzlist"/>
        <w:ind w:left="714"/>
        <w:rPr>
          <w:rFonts w:ascii="Arial" w:hAnsi="Arial" w:cs="Arial"/>
          <w:sz w:val="24"/>
        </w:rPr>
      </w:pPr>
    </w:p>
    <w:p w14:paraId="0F52D28F" w14:textId="77777777" w:rsidR="00F62F15" w:rsidRPr="0093121D" w:rsidRDefault="00F62F15" w:rsidP="00F62F15">
      <w:pPr>
        <w:rPr>
          <w:rFonts w:ascii="Arial" w:hAnsi="Arial" w:cs="Arial"/>
          <w:sz w:val="24"/>
        </w:rPr>
      </w:pPr>
    </w:p>
    <w:p w14:paraId="77646833" w14:textId="77777777" w:rsidR="00F62F15" w:rsidRPr="005410C2" w:rsidRDefault="00F62F15" w:rsidP="00F62F15"/>
    <w:p w14:paraId="410F67DB" w14:textId="77777777" w:rsidR="00F740E1" w:rsidRDefault="00F740E1"/>
    <w:sectPr w:rsidR="00F740E1" w:rsidSect="00F62F15">
      <w:headerReference w:type="default" r:id="rId7"/>
      <w:headerReference w:type="first" r:id="rId8"/>
      <w:pgSz w:w="11906" w:h="16838"/>
      <w:pgMar w:top="851" w:right="1418" w:bottom="851" w:left="1418" w:header="567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CEC4F" w14:textId="77777777" w:rsidR="006E5E17" w:rsidRDefault="006E5E17" w:rsidP="00F62F15">
      <w:pPr>
        <w:spacing w:after="0" w:line="240" w:lineRule="auto"/>
      </w:pPr>
      <w:r>
        <w:separator/>
      </w:r>
    </w:p>
  </w:endnote>
  <w:endnote w:type="continuationSeparator" w:id="0">
    <w:p w14:paraId="3A948A16" w14:textId="77777777" w:rsidR="006E5E17" w:rsidRDefault="006E5E17" w:rsidP="00F62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B9CEB" w14:textId="77777777" w:rsidR="006E5E17" w:rsidRDefault="006E5E17" w:rsidP="00F62F15">
      <w:pPr>
        <w:spacing w:after="0" w:line="240" w:lineRule="auto"/>
      </w:pPr>
      <w:r>
        <w:separator/>
      </w:r>
    </w:p>
  </w:footnote>
  <w:footnote w:type="continuationSeparator" w:id="0">
    <w:p w14:paraId="40E2CA54" w14:textId="77777777" w:rsidR="006E5E17" w:rsidRDefault="006E5E17" w:rsidP="00F62F15">
      <w:pPr>
        <w:spacing w:after="0" w:line="240" w:lineRule="auto"/>
      </w:pPr>
      <w:r>
        <w:continuationSeparator/>
      </w:r>
    </w:p>
  </w:footnote>
  <w:footnote w:id="1">
    <w:p w14:paraId="61FE6BD4" w14:textId="77777777" w:rsidR="00F62F15" w:rsidRPr="00C6749A" w:rsidRDefault="00F62F15" w:rsidP="00F62F15">
      <w:pPr>
        <w:pStyle w:val="Tekstprzypisudolnego"/>
        <w:rPr>
          <w:rFonts w:ascii="Times New Roman" w:hAnsi="Times New Roman" w:cs="Times New Roman"/>
        </w:rPr>
      </w:pPr>
      <w:r w:rsidRPr="00C6749A">
        <w:rPr>
          <w:rStyle w:val="Odwoanieprzypisudolnego"/>
          <w:rFonts w:ascii="Times New Roman" w:hAnsi="Times New Roman" w:cs="Times New Roman"/>
        </w:rPr>
        <w:footnoteRef/>
      </w:r>
      <w:r w:rsidRPr="00C6749A">
        <w:rPr>
          <w:rFonts w:ascii="Times New Roman" w:hAnsi="Times New Roman" w:cs="Times New Roman"/>
        </w:rPr>
        <w:t xml:space="preserve"> Ustawa z dnia 21 maja 2025 r. o zmianie ustawy o ochronie praw nabywcy lokalu mieszkalnego lub domu jednorodzinnego oraz Deweloperskim Funduszu Gwarancyjnym (Dz. U. z 2025 r. poz. 758).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B953B" w14:textId="77777777" w:rsidR="00F62F15" w:rsidRPr="00312A04" w:rsidRDefault="00F62F15" w:rsidP="00C718D6">
    <w:pPr>
      <w:pStyle w:val="Nagwek"/>
      <w:tabs>
        <w:tab w:val="clear" w:pos="4536"/>
        <w:tab w:val="center" w:pos="4535"/>
        <w:tab w:val="left" w:pos="7010"/>
      </w:tabs>
      <w:rPr>
        <w:rFonts w:ascii="Arial" w:hAnsi="Arial" w:cs="Arial"/>
        <w:sz w:val="24"/>
      </w:rPr>
    </w:pPr>
  </w:p>
  <w:p w14:paraId="3818E3E2" w14:textId="77777777" w:rsidR="00F62F15" w:rsidRPr="00874584" w:rsidRDefault="00F62F15" w:rsidP="00874584">
    <w:pPr>
      <w:pStyle w:val="Nagwek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247E2" w14:textId="77777777" w:rsidR="00F62F15" w:rsidRPr="00696272" w:rsidRDefault="00F62F15" w:rsidP="00696272">
    <w:pPr>
      <w:pStyle w:val="Nagwek"/>
      <w:ind w:left="7080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32EB2"/>
    <w:multiLevelType w:val="hybridMultilevel"/>
    <w:tmpl w:val="1E20F1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4746E"/>
    <w:multiLevelType w:val="hybridMultilevel"/>
    <w:tmpl w:val="4F307D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487502">
    <w:abstractNumId w:val="1"/>
  </w:num>
  <w:num w:numId="2" w16cid:durableId="1496339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F15"/>
    <w:rsid w:val="00041408"/>
    <w:rsid w:val="000710EC"/>
    <w:rsid w:val="000D2DE8"/>
    <w:rsid w:val="001B7544"/>
    <w:rsid w:val="004B3102"/>
    <w:rsid w:val="004E494A"/>
    <w:rsid w:val="006D5887"/>
    <w:rsid w:val="006E5E17"/>
    <w:rsid w:val="00C6749A"/>
    <w:rsid w:val="00CE7AEB"/>
    <w:rsid w:val="00F62F15"/>
    <w:rsid w:val="00F7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B8286"/>
  <w15:chartTrackingRefBased/>
  <w15:docId w15:val="{CF587A44-21D9-4A15-86E4-81EC9B3D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F15"/>
  </w:style>
  <w:style w:type="paragraph" w:styleId="Nagwek1">
    <w:name w:val="heading 1"/>
    <w:basedOn w:val="Normalny"/>
    <w:next w:val="Normalny"/>
    <w:link w:val="Nagwek1Znak"/>
    <w:uiPriority w:val="9"/>
    <w:qFormat/>
    <w:rsid w:val="00F62F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2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2F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2F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2F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2F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2F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2F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2F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2F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2F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2F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2F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2F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2F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2F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2F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2F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2F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2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2F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2F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2F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2F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2F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2F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2F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2F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2F1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62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62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2F1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2F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2F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2F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2260</Words>
  <Characters>13564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Sejmu</Company>
  <LinksUpToDate>false</LinksUpToDate>
  <CharactersWithSpaces>15793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Maurycy Przyrowski</dc:creator>
  <cp:keywords/>
  <dc:description/>
  <cp:lastModifiedBy>Maurycy Przyrowski</cp:lastModifiedBy>
  <cp:revision>4</cp:revision>
  <dcterms:created xsi:type="dcterms:W3CDTF">2026-03-27T08:33:00Z</dcterms:created>
  <dcterms:modified xsi:type="dcterms:W3CDTF">2026-04-13T09:30:00Z</dcterms:modified>
</cp:coreProperties>
</file>