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8ECB" w14:textId="7BAE7731" w:rsidR="003E22F6" w:rsidRPr="00BF4514" w:rsidRDefault="003E22F6" w:rsidP="00BF4514">
      <w:pPr>
        <w:spacing w:after="120" w:line="360" w:lineRule="auto"/>
        <w:jc w:val="center"/>
        <w:rPr>
          <w:rFonts w:ascii="Times New Roman" w:hAnsi="Times New Roman" w:cs="Times New Roman"/>
          <w:spacing w:val="20"/>
          <w:sz w:val="24"/>
          <w:szCs w:val="24"/>
        </w:rPr>
      </w:pPr>
      <w:r w:rsidRPr="00BF4514">
        <w:rPr>
          <w:rFonts w:ascii="Times New Roman" w:hAnsi="Times New Roman" w:cs="Times New Roman"/>
          <w:spacing w:val="20"/>
          <w:sz w:val="24"/>
          <w:szCs w:val="24"/>
        </w:rPr>
        <w:t>UZASADNIENIE</w:t>
      </w:r>
      <w:r w:rsidR="00CB6C12" w:rsidRPr="00BF4514">
        <w:rPr>
          <w:rFonts w:ascii="Times New Roman" w:hAnsi="Times New Roman" w:cs="Times New Roman"/>
          <w:spacing w:val="20"/>
          <w:sz w:val="24"/>
          <w:szCs w:val="24"/>
        </w:rPr>
        <w:t xml:space="preserve"> </w:t>
      </w:r>
    </w:p>
    <w:p w14:paraId="4F6E9D98" w14:textId="57A765F7" w:rsidR="005D7EC5" w:rsidRPr="00BF4514" w:rsidRDefault="008D7AA4"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 xml:space="preserve">I. Potrzeba i cel wydania ustawy </w:t>
      </w:r>
    </w:p>
    <w:p w14:paraId="4BDF3E86" w14:textId="58391E46" w:rsidR="0006521D" w:rsidRPr="00BF4514" w:rsidRDefault="00BA4885"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Opracowanie projektu ustawy o</w:t>
      </w:r>
      <w:r w:rsidR="00907B5E" w:rsidRPr="00BF4514">
        <w:rPr>
          <w:rFonts w:ascii="Times New Roman" w:hAnsi="Times New Roman" w:cs="Times New Roman"/>
          <w:sz w:val="24"/>
          <w:szCs w:val="24"/>
        </w:rPr>
        <w:t xml:space="preserve"> szczególnych środkach</w:t>
      </w:r>
      <w:r w:rsidRPr="00BF4514">
        <w:rPr>
          <w:rFonts w:ascii="Times New Roman" w:hAnsi="Times New Roman" w:cs="Times New Roman"/>
          <w:sz w:val="24"/>
          <w:szCs w:val="24"/>
        </w:rPr>
        <w:t xml:space="preserve"> ochron</w:t>
      </w:r>
      <w:r w:rsidR="00907B5E" w:rsidRPr="00BF4514">
        <w:rPr>
          <w:rFonts w:ascii="Times New Roman" w:hAnsi="Times New Roman" w:cs="Times New Roman"/>
          <w:sz w:val="24"/>
          <w:szCs w:val="24"/>
        </w:rPr>
        <w:t>y</w:t>
      </w:r>
      <w:r w:rsidRPr="00BF4514">
        <w:rPr>
          <w:rFonts w:ascii="Times New Roman" w:hAnsi="Times New Roman" w:cs="Times New Roman"/>
          <w:sz w:val="24"/>
          <w:szCs w:val="24"/>
        </w:rPr>
        <w:t xml:space="preserve"> osób uczestniczących w debacie publicznej m</w:t>
      </w:r>
      <w:r w:rsidR="00A22F4B" w:rsidRPr="00BF4514">
        <w:rPr>
          <w:rFonts w:ascii="Times New Roman" w:hAnsi="Times New Roman" w:cs="Times New Roman"/>
          <w:sz w:val="24"/>
          <w:szCs w:val="24"/>
        </w:rPr>
        <w:t>iało</w:t>
      </w:r>
      <w:r w:rsidRPr="00BF4514">
        <w:rPr>
          <w:rFonts w:ascii="Times New Roman" w:hAnsi="Times New Roman" w:cs="Times New Roman"/>
          <w:sz w:val="24"/>
          <w:szCs w:val="24"/>
        </w:rPr>
        <w:t xml:space="preserve"> na celu implementację dyrektywy Parlamentu Europejskiego i Rady (UE) 2024/1069 z</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dnia 11 kwietnia 2024 r. w sprawie ochrony osób, które angażują się w debatę publiczną, przed oczywiście bezzasadnymi roszczeniami lub stanowiącymi nadużycie postępowaniami sądowymi ("strategiczne powództwa zmierzające do stłumienia debaty publicznej")</w:t>
      </w:r>
      <w:r w:rsidRPr="00BF4514">
        <w:rPr>
          <w:rStyle w:val="Odwoanieprzypisudolnego"/>
          <w:rFonts w:ascii="Times New Roman" w:hAnsi="Times New Roman" w:cs="Times New Roman"/>
          <w:sz w:val="24"/>
          <w:szCs w:val="24"/>
        </w:rPr>
        <w:footnoteReference w:id="2"/>
      </w:r>
      <w:r w:rsidRPr="00BF4514">
        <w:rPr>
          <w:rFonts w:ascii="Times New Roman" w:hAnsi="Times New Roman" w:cs="Times New Roman"/>
          <w:sz w:val="24"/>
          <w:szCs w:val="24"/>
        </w:rPr>
        <w:t xml:space="preserve">, zwanej dalej „dyrektywą 2024/1069”. Dyrektywa 2024/1069 </w:t>
      </w:r>
      <w:r w:rsidR="00A57BF5" w:rsidRPr="00BF4514">
        <w:rPr>
          <w:rFonts w:ascii="Times New Roman" w:hAnsi="Times New Roman" w:cs="Times New Roman"/>
          <w:sz w:val="24"/>
          <w:szCs w:val="24"/>
        </w:rPr>
        <w:t>powinna</w:t>
      </w:r>
      <w:r w:rsidRPr="00BF4514">
        <w:rPr>
          <w:rFonts w:ascii="Times New Roman" w:hAnsi="Times New Roman" w:cs="Times New Roman"/>
          <w:sz w:val="24"/>
          <w:szCs w:val="24"/>
        </w:rPr>
        <w:t xml:space="preserve"> zostać zaimplementowana do kr</w:t>
      </w:r>
      <w:r w:rsidR="00672DCB" w:rsidRPr="00BF4514">
        <w:rPr>
          <w:rFonts w:ascii="Times New Roman" w:hAnsi="Times New Roman" w:cs="Times New Roman"/>
          <w:sz w:val="24"/>
          <w:szCs w:val="24"/>
        </w:rPr>
        <w:t>ajowych</w:t>
      </w:r>
      <w:r w:rsidRPr="00BF4514">
        <w:rPr>
          <w:rFonts w:ascii="Times New Roman" w:hAnsi="Times New Roman" w:cs="Times New Roman"/>
          <w:sz w:val="24"/>
          <w:szCs w:val="24"/>
        </w:rPr>
        <w:t xml:space="preserve"> porządk</w:t>
      </w:r>
      <w:r w:rsidR="00672DCB" w:rsidRPr="00BF4514">
        <w:rPr>
          <w:rFonts w:ascii="Times New Roman" w:hAnsi="Times New Roman" w:cs="Times New Roman"/>
          <w:sz w:val="24"/>
          <w:szCs w:val="24"/>
        </w:rPr>
        <w:t>ów</w:t>
      </w:r>
      <w:r w:rsidRPr="00BF4514">
        <w:rPr>
          <w:rFonts w:ascii="Times New Roman" w:hAnsi="Times New Roman" w:cs="Times New Roman"/>
          <w:sz w:val="24"/>
          <w:szCs w:val="24"/>
        </w:rPr>
        <w:t xml:space="preserve"> prawn</w:t>
      </w:r>
      <w:r w:rsidR="00672DCB" w:rsidRPr="00BF4514">
        <w:rPr>
          <w:rFonts w:ascii="Times New Roman" w:hAnsi="Times New Roman" w:cs="Times New Roman"/>
          <w:sz w:val="24"/>
          <w:szCs w:val="24"/>
        </w:rPr>
        <w:t>ych</w:t>
      </w:r>
      <w:r w:rsidRPr="00BF4514">
        <w:rPr>
          <w:rFonts w:ascii="Times New Roman" w:hAnsi="Times New Roman" w:cs="Times New Roman"/>
          <w:sz w:val="24"/>
          <w:szCs w:val="24"/>
        </w:rPr>
        <w:t xml:space="preserve"> do dnia 7 maja 2026 r. </w:t>
      </w:r>
    </w:p>
    <w:p w14:paraId="690C5F1F" w14:textId="609E980D" w:rsidR="00F42B10" w:rsidRPr="00BF4514" w:rsidRDefault="00084189"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Projektodawca</w:t>
      </w:r>
      <w:r w:rsidR="00BB3944">
        <w:rPr>
          <w:rFonts w:ascii="Times New Roman" w:hAnsi="Times New Roman" w:cs="Times New Roman"/>
          <w:sz w:val="24"/>
          <w:szCs w:val="24"/>
        </w:rPr>
        <w:t>,</w:t>
      </w:r>
      <w:r w:rsidRPr="00BF4514">
        <w:rPr>
          <w:rFonts w:ascii="Times New Roman" w:hAnsi="Times New Roman" w:cs="Times New Roman"/>
          <w:sz w:val="24"/>
          <w:szCs w:val="24"/>
        </w:rPr>
        <w:t xml:space="preserve"> formułując przepisy ustawy</w:t>
      </w:r>
      <w:r w:rsidR="00BB3944">
        <w:rPr>
          <w:rFonts w:ascii="Times New Roman" w:hAnsi="Times New Roman" w:cs="Times New Roman"/>
          <w:sz w:val="24"/>
          <w:szCs w:val="24"/>
        </w:rPr>
        <w:t>,</w:t>
      </w:r>
      <w:r w:rsidRPr="00BF4514">
        <w:rPr>
          <w:rFonts w:ascii="Times New Roman" w:hAnsi="Times New Roman" w:cs="Times New Roman"/>
          <w:sz w:val="24"/>
          <w:szCs w:val="24"/>
        </w:rPr>
        <w:t xml:space="preserve"> miał na uwadze również wytyczne zawarte w rekomendacji CM/Rec(2024)2 Komitetu Ministrów Rady Europy, dotyczące przeciwdziałania wykorzystywaniu strategicznych pozwów przeciwko udziałowi społecz</w:t>
      </w:r>
      <w:r w:rsidR="00AF7606" w:rsidRPr="00BF4514">
        <w:rPr>
          <w:rFonts w:ascii="Times New Roman" w:hAnsi="Times New Roman" w:cs="Times New Roman"/>
          <w:sz w:val="24"/>
          <w:szCs w:val="24"/>
        </w:rPr>
        <w:t>nemu</w:t>
      </w:r>
      <w:r w:rsidRPr="00BF4514">
        <w:rPr>
          <w:rFonts w:ascii="Times New Roman" w:hAnsi="Times New Roman" w:cs="Times New Roman"/>
          <w:sz w:val="24"/>
          <w:szCs w:val="24"/>
        </w:rPr>
        <w:t xml:space="preserve"> (SLAPP). Z tego względu należy przyjąć</w:t>
      </w:r>
      <w:r w:rsidR="00F42B10" w:rsidRPr="00BF4514">
        <w:rPr>
          <w:rFonts w:ascii="Times New Roman" w:hAnsi="Times New Roman" w:cs="Times New Roman"/>
          <w:sz w:val="24"/>
          <w:szCs w:val="24"/>
        </w:rPr>
        <w:t>, że przepisy projektowanej ustawy powinny być odczytywane w sposób zapewniający ich spójność z</w:t>
      </w:r>
      <w:r w:rsidR="00C45E57" w:rsidRPr="00BF4514">
        <w:rPr>
          <w:rFonts w:ascii="Times New Roman" w:hAnsi="Times New Roman" w:cs="Times New Roman"/>
          <w:sz w:val="24"/>
          <w:szCs w:val="24"/>
        </w:rPr>
        <w:t> </w:t>
      </w:r>
      <w:r w:rsidR="00F42B10" w:rsidRPr="00BF4514">
        <w:rPr>
          <w:rFonts w:ascii="Times New Roman" w:hAnsi="Times New Roman" w:cs="Times New Roman"/>
          <w:sz w:val="24"/>
          <w:szCs w:val="24"/>
        </w:rPr>
        <w:t>europejskimi standardami ochrony wolności wypowiedzi, prawa do informacji oraz aktywnego udziału obywateli w życiu publicznym.</w:t>
      </w:r>
    </w:p>
    <w:p w14:paraId="470DFA16" w14:textId="04A830C5" w:rsidR="0006521D" w:rsidRPr="00BF4514" w:rsidRDefault="001D58C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Oczywiście bezzasadne roszczenia lub stanowiące nadużycie postępowania sądowe</w:t>
      </w:r>
      <w:r w:rsidR="00F71A9A" w:rsidRPr="00BF4514">
        <w:rPr>
          <w:rFonts w:ascii="Times New Roman" w:hAnsi="Times New Roman" w:cs="Times New Roman"/>
          <w:sz w:val="24"/>
          <w:szCs w:val="24"/>
        </w:rPr>
        <w:t xml:space="preserve">, określane </w:t>
      </w:r>
      <w:r w:rsidR="005F1227" w:rsidRPr="00BF4514">
        <w:rPr>
          <w:rFonts w:ascii="Times New Roman" w:hAnsi="Times New Roman" w:cs="Times New Roman"/>
          <w:sz w:val="24"/>
          <w:szCs w:val="24"/>
        </w:rPr>
        <w:t>również potocznie mianem „SLAPPów” (</w:t>
      </w:r>
      <w:r w:rsidR="007333A1" w:rsidRPr="00BF4514">
        <w:rPr>
          <w:rFonts w:ascii="Times New Roman" w:hAnsi="Times New Roman" w:cs="Times New Roman"/>
          <w:sz w:val="24"/>
          <w:szCs w:val="24"/>
        </w:rPr>
        <w:t>z ang.</w:t>
      </w:r>
      <w:r w:rsidR="005F1227" w:rsidRPr="00BF4514">
        <w:rPr>
          <w:rFonts w:ascii="Times New Roman" w:hAnsi="Times New Roman" w:cs="Times New Roman"/>
          <w:sz w:val="24"/>
          <w:szCs w:val="24"/>
        </w:rPr>
        <w:t xml:space="preserve"> </w:t>
      </w:r>
      <w:r w:rsidR="005F1227" w:rsidRPr="00BF4514">
        <w:rPr>
          <w:rFonts w:ascii="Times New Roman" w:hAnsi="Times New Roman" w:cs="Times New Roman"/>
          <w:i/>
          <w:iCs/>
          <w:sz w:val="24"/>
          <w:szCs w:val="24"/>
        </w:rPr>
        <w:t>Strategic lawsuits against public participation</w:t>
      </w:r>
      <w:r w:rsidR="005F1227" w:rsidRPr="00BF4514">
        <w:rPr>
          <w:rFonts w:ascii="Times New Roman" w:hAnsi="Times New Roman" w:cs="Times New Roman"/>
          <w:sz w:val="24"/>
          <w:szCs w:val="24"/>
        </w:rPr>
        <w:t>)</w:t>
      </w:r>
      <w:r w:rsidR="007E047F" w:rsidRPr="00BF4514">
        <w:rPr>
          <w:rFonts w:ascii="Times New Roman" w:hAnsi="Times New Roman" w:cs="Times New Roman"/>
          <w:sz w:val="24"/>
          <w:szCs w:val="24"/>
        </w:rPr>
        <w:t>,</w:t>
      </w:r>
      <w:r w:rsidRPr="00BF4514">
        <w:rPr>
          <w:rFonts w:ascii="Times New Roman" w:hAnsi="Times New Roman" w:cs="Times New Roman"/>
          <w:sz w:val="24"/>
          <w:szCs w:val="24"/>
        </w:rPr>
        <w:t xml:space="preserve"> są zazwyczaj wytaczane przez wpływowe podmioty</w:t>
      </w:r>
      <w:r w:rsidR="00BB3944">
        <w:rPr>
          <w:rFonts w:ascii="Times New Roman" w:hAnsi="Times New Roman" w:cs="Times New Roman"/>
          <w:sz w:val="24"/>
          <w:szCs w:val="24"/>
        </w:rPr>
        <w:t>,</w:t>
      </w:r>
      <w:r w:rsidRPr="00BF4514">
        <w:rPr>
          <w:rFonts w:ascii="Times New Roman" w:hAnsi="Times New Roman" w:cs="Times New Roman"/>
          <w:sz w:val="24"/>
          <w:szCs w:val="24"/>
        </w:rPr>
        <w:t xml:space="preserve"> tj. grupy lobbystyczne, korporacje, polityków i organy państwowe, a wymierzone są w osoby, które zabierają głos w sprawach publicznych </w:t>
      </w:r>
      <w:r w:rsidR="00BB3944">
        <w:rPr>
          <w:rFonts w:ascii="Times New Roman" w:hAnsi="Times New Roman" w:cs="Times New Roman"/>
          <w:sz w:val="24"/>
          <w:szCs w:val="24"/>
        </w:rPr>
        <w:t>–</w:t>
      </w:r>
      <w:r w:rsidRPr="00BF4514">
        <w:rPr>
          <w:rFonts w:ascii="Times New Roman" w:hAnsi="Times New Roman" w:cs="Times New Roman"/>
          <w:sz w:val="24"/>
          <w:szCs w:val="24"/>
        </w:rPr>
        <w:t xml:space="preserve"> dziennikarzy, aktywistów czy w organizacje społeczne. Brak równowagi sił między stronami znacznie zwiększa szkodliwe skutki, a także potęguje efekt mrożący </w:t>
      </w:r>
      <w:r w:rsidR="00452988" w:rsidRPr="00BF4514">
        <w:rPr>
          <w:rFonts w:ascii="Times New Roman" w:hAnsi="Times New Roman" w:cs="Times New Roman"/>
          <w:sz w:val="24"/>
          <w:szCs w:val="24"/>
        </w:rPr>
        <w:t>S</w:t>
      </w:r>
      <w:r w:rsidR="00CF0638" w:rsidRPr="00BF4514">
        <w:rPr>
          <w:rFonts w:ascii="Times New Roman" w:hAnsi="Times New Roman" w:cs="Times New Roman"/>
          <w:sz w:val="24"/>
          <w:szCs w:val="24"/>
        </w:rPr>
        <w:t>lapp</w:t>
      </w:r>
      <w:r w:rsidR="00452988" w:rsidRPr="00BF4514">
        <w:rPr>
          <w:rFonts w:ascii="Times New Roman" w:hAnsi="Times New Roman" w:cs="Times New Roman"/>
          <w:sz w:val="24"/>
          <w:szCs w:val="24"/>
        </w:rPr>
        <w:t>ów</w:t>
      </w:r>
      <w:r w:rsidRPr="00BF4514">
        <w:rPr>
          <w:rFonts w:ascii="Times New Roman" w:hAnsi="Times New Roman" w:cs="Times New Roman"/>
          <w:sz w:val="24"/>
          <w:szCs w:val="24"/>
        </w:rPr>
        <w:t xml:space="preserve">, dlatego zauważono konieczność </w:t>
      </w:r>
      <w:r w:rsidR="00CC4560" w:rsidRPr="00BF4514">
        <w:rPr>
          <w:rFonts w:ascii="Times New Roman" w:hAnsi="Times New Roman" w:cs="Times New Roman"/>
          <w:sz w:val="24"/>
          <w:szCs w:val="24"/>
        </w:rPr>
        <w:t>zapewnienia skuteczniejszej ochrony przed takimi postępowaniami</w:t>
      </w:r>
      <w:r w:rsidRPr="00BF4514">
        <w:rPr>
          <w:rFonts w:ascii="Times New Roman" w:hAnsi="Times New Roman" w:cs="Times New Roman"/>
          <w:sz w:val="24"/>
          <w:szCs w:val="24"/>
        </w:rPr>
        <w:t xml:space="preserve"> na poziomie unijnym.</w:t>
      </w:r>
    </w:p>
    <w:p w14:paraId="6E993165" w14:textId="5AF718F9" w:rsidR="0006521D" w:rsidRPr="00BF4514" w:rsidRDefault="00452102"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Dyrektywa </w:t>
      </w:r>
      <w:r w:rsidR="00BF7F19" w:rsidRPr="00BF4514">
        <w:rPr>
          <w:rFonts w:ascii="Times New Roman" w:hAnsi="Times New Roman" w:cs="Times New Roman"/>
          <w:sz w:val="24"/>
          <w:szCs w:val="24"/>
        </w:rPr>
        <w:t xml:space="preserve">2024/1069 </w:t>
      </w:r>
      <w:r w:rsidRPr="00BF4514">
        <w:rPr>
          <w:rFonts w:ascii="Times New Roman" w:hAnsi="Times New Roman" w:cs="Times New Roman"/>
          <w:sz w:val="24"/>
          <w:szCs w:val="24"/>
        </w:rPr>
        <w:t xml:space="preserve">to akt prawny Unii Europejskiej, który ma na celu przeciwdziałanie </w:t>
      </w:r>
      <w:r w:rsidR="009D718F" w:rsidRPr="00BF4514">
        <w:rPr>
          <w:rFonts w:ascii="Times New Roman" w:hAnsi="Times New Roman" w:cs="Times New Roman"/>
          <w:sz w:val="24"/>
          <w:szCs w:val="24"/>
        </w:rPr>
        <w:t>oczywiście bezzasadnym roszczeniom lub stanowiącym nadużycie postępowaniom sądowym w sprawach cywilnych</w:t>
      </w:r>
      <w:r w:rsidRPr="00BF4514">
        <w:rPr>
          <w:rFonts w:ascii="Times New Roman" w:hAnsi="Times New Roman" w:cs="Times New Roman"/>
          <w:sz w:val="24"/>
          <w:szCs w:val="24"/>
        </w:rPr>
        <w:t xml:space="preserve"> </w:t>
      </w:r>
      <w:r w:rsidR="008A5D07" w:rsidRPr="00BF4514">
        <w:rPr>
          <w:rFonts w:ascii="Times New Roman" w:hAnsi="Times New Roman" w:cs="Times New Roman"/>
          <w:sz w:val="24"/>
          <w:szCs w:val="24"/>
        </w:rPr>
        <w:t xml:space="preserve">mających skutki transgraniczne, </w:t>
      </w:r>
      <w:r w:rsidRPr="00BF4514">
        <w:rPr>
          <w:rFonts w:ascii="Times New Roman" w:hAnsi="Times New Roman" w:cs="Times New Roman"/>
          <w:sz w:val="24"/>
          <w:szCs w:val="24"/>
        </w:rPr>
        <w:t>w celu tłumienia wolności słowa i ograniczania udziału obywateli w debacie publicznej</w:t>
      </w:r>
      <w:r w:rsidR="00BB3944">
        <w:rPr>
          <w:rFonts w:ascii="Times New Roman" w:hAnsi="Times New Roman" w:cs="Times New Roman"/>
          <w:sz w:val="24"/>
          <w:szCs w:val="24"/>
        </w:rPr>
        <w:t>,</w:t>
      </w:r>
      <w:r w:rsidR="00281B38" w:rsidRPr="00BF4514">
        <w:rPr>
          <w:rFonts w:ascii="Times New Roman" w:hAnsi="Times New Roman" w:cs="Times New Roman"/>
          <w:sz w:val="24"/>
          <w:szCs w:val="24"/>
        </w:rPr>
        <w:t xml:space="preserve"> i z</w:t>
      </w:r>
      <w:r w:rsidRPr="00BF4514">
        <w:rPr>
          <w:rFonts w:ascii="Times New Roman" w:hAnsi="Times New Roman" w:cs="Times New Roman"/>
          <w:sz w:val="24"/>
          <w:szCs w:val="24"/>
        </w:rPr>
        <w:t>ostał opracowan</w:t>
      </w:r>
      <w:r w:rsidR="00281B38" w:rsidRPr="00BF4514">
        <w:rPr>
          <w:rFonts w:ascii="Times New Roman" w:hAnsi="Times New Roman" w:cs="Times New Roman"/>
          <w:sz w:val="24"/>
          <w:szCs w:val="24"/>
        </w:rPr>
        <w:t>y</w:t>
      </w:r>
      <w:r w:rsidRPr="00BF4514">
        <w:rPr>
          <w:rFonts w:ascii="Times New Roman" w:hAnsi="Times New Roman" w:cs="Times New Roman"/>
          <w:sz w:val="24"/>
          <w:szCs w:val="24"/>
        </w:rPr>
        <w:t xml:space="preserve">, aby chronić osoby </w:t>
      </w:r>
      <w:r w:rsidR="007D4AAD" w:rsidRPr="00BF4514">
        <w:rPr>
          <w:rFonts w:ascii="Times New Roman" w:hAnsi="Times New Roman" w:cs="Times New Roman"/>
          <w:sz w:val="24"/>
          <w:szCs w:val="24"/>
        </w:rPr>
        <w:t>angażujące się w debatę publiczną przed roszczeniami</w:t>
      </w:r>
      <w:r w:rsidRPr="00BF4514">
        <w:rPr>
          <w:rFonts w:ascii="Times New Roman" w:hAnsi="Times New Roman" w:cs="Times New Roman"/>
          <w:sz w:val="24"/>
          <w:szCs w:val="24"/>
        </w:rPr>
        <w:t xml:space="preserve"> wnoszon</w:t>
      </w:r>
      <w:r w:rsidR="007D4AAD" w:rsidRPr="00BF4514">
        <w:rPr>
          <w:rFonts w:ascii="Times New Roman" w:hAnsi="Times New Roman" w:cs="Times New Roman"/>
          <w:sz w:val="24"/>
          <w:szCs w:val="24"/>
        </w:rPr>
        <w:t>ymi</w:t>
      </w:r>
      <w:r w:rsidRPr="00BF4514">
        <w:rPr>
          <w:rFonts w:ascii="Times New Roman" w:hAnsi="Times New Roman" w:cs="Times New Roman"/>
          <w:sz w:val="24"/>
          <w:szCs w:val="24"/>
        </w:rPr>
        <w:t xml:space="preserve"> przez podmioty wykorzystujące system prawny do zastraszania</w:t>
      </w:r>
      <w:r w:rsidR="007D4AAD" w:rsidRPr="00BF4514">
        <w:rPr>
          <w:rFonts w:ascii="Times New Roman" w:hAnsi="Times New Roman" w:cs="Times New Roman"/>
          <w:sz w:val="24"/>
          <w:szCs w:val="24"/>
        </w:rPr>
        <w:t xml:space="preserve"> i </w:t>
      </w:r>
      <w:r w:rsidRPr="00BF4514">
        <w:rPr>
          <w:rFonts w:ascii="Times New Roman" w:hAnsi="Times New Roman" w:cs="Times New Roman"/>
          <w:sz w:val="24"/>
          <w:szCs w:val="24"/>
        </w:rPr>
        <w:t>uciszania krytyki</w:t>
      </w:r>
      <w:r w:rsidR="00E26101" w:rsidRPr="00BF4514">
        <w:rPr>
          <w:rFonts w:ascii="Times New Roman" w:hAnsi="Times New Roman" w:cs="Times New Roman"/>
          <w:sz w:val="24"/>
          <w:szCs w:val="24"/>
        </w:rPr>
        <w:t>, prowadząc do autocenzury, ograniczenia dostępu do informacji i</w:t>
      </w:r>
      <w:r w:rsidR="00C45E57" w:rsidRPr="00BF4514">
        <w:rPr>
          <w:rFonts w:ascii="Times New Roman" w:hAnsi="Times New Roman" w:cs="Times New Roman"/>
          <w:sz w:val="24"/>
          <w:szCs w:val="24"/>
        </w:rPr>
        <w:t> </w:t>
      </w:r>
      <w:r w:rsidR="00E26101" w:rsidRPr="00BF4514">
        <w:rPr>
          <w:rFonts w:ascii="Times New Roman" w:hAnsi="Times New Roman" w:cs="Times New Roman"/>
          <w:sz w:val="24"/>
          <w:szCs w:val="24"/>
        </w:rPr>
        <w:t>osłabienia aktywności społecznej</w:t>
      </w:r>
      <w:r w:rsidRPr="00BF4514">
        <w:rPr>
          <w:rFonts w:ascii="Times New Roman" w:hAnsi="Times New Roman" w:cs="Times New Roman"/>
          <w:sz w:val="24"/>
          <w:szCs w:val="24"/>
        </w:rPr>
        <w:t xml:space="preserve">. </w:t>
      </w:r>
      <w:r w:rsidR="006920AD" w:rsidRPr="00BF4514">
        <w:rPr>
          <w:rFonts w:ascii="Times New Roman" w:hAnsi="Times New Roman" w:cs="Times New Roman"/>
          <w:sz w:val="24"/>
          <w:szCs w:val="24"/>
        </w:rPr>
        <w:t>W</w:t>
      </w:r>
      <w:r w:rsidRPr="00BF4514">
        <w:rPr>
          <w:rFonts w:ascii="Times New Roman" w:hAnsi="Times New Roman" w:cs="Times New Roman"/>
          <w:sz w:val="24"/>
          <w:szCs w:val="24"/>
        </w:rPr>
        <w:t xml:space="preserve">prowadzenie </w:t>
      </w:r>
      <w:r w:rsidR="006920AD" w:rsidRPr="00BF4514">
        <w:rPr>
          <w:rFonts w:ascii="Times New Roman" w:hAnsi="Times New Roman" w:cs="Times New Roman"/>
          <w:sz w:val="24"/>
          <w:szCs w:val="24"/>
        </w:rPr>
        <w:t xml:space="preserve">dyrektywy 2024/1069 </w:t>
      </w:r>
      <w:r w:rsidRPr="00BF4514">
        <w:rPr>
          <w:rFonts w:ascii="Times New Roman" w:hAnsi="Times New Roman" w:cs="Times New Roman"/>
          <w:sz w:val="24"/>
          <w:szCs w:val="24"/>
        </w:rPr>
        <w:t>jest wyrazem dążenia Unii Europejskiej do ochrony</w:t>
      </w:r>
      <w:r w:rsidR="006920AD" w:rsidRPr="00BF4514">
        <w:rPr>
          <w:rFonts w:ascii="Times New Roman" w:hAnsi="Times New Roman" w:cs="Times New Roman"/>
          <w:sz w:val="24"/>
          <w:szCs w:val="24"/>
        </w:rPr>
        <w:t xml:space="preserve"> </w:t>
      </w:r>
      <w:r w:rsidR="008D79FB" w:rsidRPr="00BF4514">
        <w:rPr>
          <w:rFonts w:ascii="Times New Roman" w:hAnsi="Times New Roman" w:cs="Times New Roman"/>
          <w:sz w:val="24"/>
          <w:szCs w:val="24"/>
        </w:rPr>
        <w:t xml:space="preserve">praw </w:t>
      </w:r>
      <w:r w:rsidR="007D4AAD" w:rsidRPr="00BF4514">
        <w:rPr>
          <w:rFonts w:ascii="Times New Roman" w:hAnsi="Times New Roman" w:cs="Times New Roman"/>
          <w:sz w:val="24"/>
          <w:szCs w:val="24"/>
        </w:rPr>
        <w:lastRenderedPageBreak/>
        <w:t>podstawowych</w:t>
      </w:r>
      <w:r w:rsidRPr="00BF4514">
        <w:rPr>
          <w:rFonts w:ascii="Times New Roman" w:hAnsi="Times New Roman" w:cs="Times New Roman"/>
          <w:sz w:val="24"/>
          <w:szCs w:val="24"/>
        </w:rPr>
        <w:t>, takich jak wolność wypowiedzi, pluralizm mediów oraz prawo obywateli do uczestnictwa w życiu publicznym.</w:t>
      </w:r>
    </w:p>
    <w:p w14:paraId="70F6899B" w14:textId="4363A36C" w:rsidR="0006521D" w:rsidRPr="00BF4514" w:rsidRDefault="0028283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Dyrektywa </w:t>
      </w:r>
      <w:r w:rsidR="0044603C" w:rsidRPr="00BF4514">
        <w:rPr>
          <w:rFonts w:ascii="Times New Roman" w:hAnsi="Times New Roman" w:cs="Times New Roman"/>
          <w:sz w:val="24"/>
          <w:szCs w:val="24"/>
        </w:rPr>
        <w:t xml:space="preserve">2024/1069 </w:t>
      </w:r>
      <w:r w:rsidRPr="00BF4514">
        <w:rPr>
          <w:rFonts w:ascii="Times New Roman" w:hAnsi="Times New Roman" w:cs="Times New Roman"/>
          <w:sz w:val="24"/>
          <w:szCs w:val="24"/>
        </w:rPr>
        <w:t xml:space="preserve">zakłada wprowadzenie szerokiego zakresu gwarancji proceduralnych, które mają na celu ochronę osób narażonych na </w:t>
      </w:r>
      <w:r w:rsidR="00A133EF" w:rsidRPr="00BF4514">
        <w:rPr>
          <w:rFonts w:ascii="Times New Roman" w:hAnsi="Times New Roman" w:cs="Times New Roman"/>
          <w:sz w:val="24"/>
          <w:szCs w:val="24"/>
        </w:rPr>
        <w:t>oczywiście bezzasadne roszczenia lub stanowiące nadużycie postępowania sądowe</w:t>
      </w:r>
      <w:r w:rsidRPr="00BF4514">
        <w:rPr>
          <w:rFonts w:ascii="Times New Roman" w:hAnsi="Times New Roman" w:cs="Times New Roman"/>
          <w:sz w:val="24"/>
          <w:szCs w:val="24"/>
        </w:rPr>
        <w:t xml:space="preserve">. </w:t>
      </w:r>
      <w:r w:rsidR="00D04C01" w:rsidRPr="00BF4514">
        <w:rPr>
          <w:rFonts w:ascii="Times New Roman" w:hAnsi="Times New Roman" w:cs="Times New Roman"/>
          <w:sz w:val="24"/>
          <w:szCs w:val="24"/>
        </w:rPr>
        <w:t xml:space="preserve">Zgodnie z </w:t>
      </w:r>
      <w:r w:rsidR="008D5E4E" w:rsidRPr="00BF4514">
        <w:rPr>
          <w:rFonts w:ascii="Times New Roman" w:hAnsi="Times New Roman" w:cs="Times New Roman"/>
          <w:sz w:val="24"/>
          <w:szCs w:val="24"/>
        </w:rPr>
        <w:t>regulacjami p</w:t>
      </w:r>
      <w:r w:rsidR="00CB41B9" w:rsidRPr="00BF4514">
        <w:rPr>
          <w:rFonts w:ascii="Times New Roman" w:hAnsi="Times New Roman" w:cs="Times New Roman"/>
          <w:sz w:val="24"/>
          <w:szCs w:val="24"/>
        </w:rPr>
        <w:t xml:space="preserve">ozwani powinni mieć możliwość złożenia wniosku </w:t>
      </w:r>
      <w:r w:rsidR="008B2649" w:rsidRPr="00BF4514">
        <w:rPr>
          <w:rFonts w:ascii="Times New Roman" w:hAnsi="Times New Roman" w:cs="Times New Roman"/>
          <w:sz w:val="24"/>
          <w:szCs w:val="24"/>
        </w:rPr>
        <w:t xml:space="preserve">(i) </w:t>
      </w:r>
      <w:r w:rsidR="00CB41B9" w:rsidRPr="00BF4514">
        <w:rPr>
          <w:rFonts w:ascii="Times New Roman" w:hAnsi="Times New Roman" w:cs="Times New Roman"/>
          <w:sz w:val="24"/>
          <w:szCs w:val="24"/>
        </w:rPr>
        <w:t>o</w:t>
      </w:r>
      <w:r w:rsidR="00C45E57" w:rsidRPr="00BF4514">
        <w:rPr>
          <w:rFonts w:ascii="Times New Roman" w:hAnsi="Times New Roman" w:cs="Times New Roman"/>
          <w:sz w:val="24"/>
          <w:szCs w:val="24"/>
        </w:rPr>
        <w:t> </w:t>
      </w:r>
      <w:r w:rsidR="005C6112" w:rsidRPr="00BF4514">
        <w:rPr>
          <w:rFonts w:ascii="Times New Roman" w:hAnsi="Times New Roman" w:cs="Times New Roman"/>
          <w:sz w:val="24"/>
          <w:szCs w:val="24"/>
        </w:rPr>
        <w:t>udzieleni</w:t>
      </w:r>
      <w:r w:rsidR="00CB41B9" w:rsidRPr="00BF4514">
        <w:rPr>
          <w:rFonts w:ascii="Times New Roman" w:hAnsi="Times New Roman" w:cs="Times New Roman"/>
          <w:sz w:val="24"/>
          <w:szCs w:val="24"/>
        </w:rPr>
        <w:t>e</w:t>
      </w:r>
      <w:r w:rsidR="005C6112" w:rsidRPr="00BF4514">
        <w:rPr>
          <w:rFonts w:ascii="Times New Roman" w:hAnsi="Times New Roman" w:cs="Times New Roman"/>
          <w:sz w:val="24"/>
          <w:szCs w:val="24"/>
        </w:rPr>
        <w:t xml:space="preserve"> zabezpieczenia </w:t>
      </w:r>
      <w:r w:rsidR="00402B2C" w:rsidRPr="00BF4514">
        <w:rPr>
          <w:rFonts w:ascii="Times New Roman" w:hAnsi="Times New Roman" w:cs="Times New Roman"/>
          <w:sz w:val="24"/>
          <w:szCs w:val="24"/>
        </w:rPr>
        <w:t xml:space="preserve">na pokrycie szacunkowych kosztów postępowania, </w:t>
      </w:r>
      <w:r w:rsidR="008B2649" w:rsidRPr="00BF4514">
        <w:rPr>
          <w:rFonts w:ascii="Times New Roman" w:hAnsi="Times New Roman" w:cs="Times New Roman"/>
          <w:sz w:val="24"/>
          <w:szCs w:val="24"/>
        </w:rPr>
        <w:t xml:space="preserve">(ii) </w:t>
      </w:r>
      <w:r w:rsidR="00CB41B9" w:rsidRPr="00BF4514">
        <w:rPr>
          <w:rFonts w:ascii="Times New Roman" w:hAnsi="Times New Roman" w:cs="Times New Roman"/>
          <w:sz w:val="24"/>
          <w:szCs w:val="24"/>
        </w:rPr>
        <w:t xml:space="preserve">o </w:t>
      </w:r>
      <w:r w:rsidR="006F6994" w:rsidRPr="00BF4514">
        <w:rPr>
          <w:rFonts w:ascii="Times New Roman" w:hAnsi="Times New Roman" w:cs="Times New Roman"/>
          <w:sz w:val="24"/>
          <w:szCs w:val="24"/>
        </w:rPr>
        <w:t>oddaleni</w:t>
      </w:r>
      <w:r w:rsidR="00CB41B9" w:rsidRPr="00BF4514">
        <w:rPr>
          <w:rFonts w:ascii="Times New Roman" w:hAnsi="Times New Roman" w:cs="Times New Roman"/>
          <w:sz w:val="24"/>
          <w:szCs w:val="24"/>
        </w:rPr>
        <w:t>e</w:t>
      </w:r>
      <w:r w:rsidR="006F6994" w:rsidRPr="00BF4514">
        <w:rPr>
          <w:rFonts w:ascii="Times New Roman" w:hAnsi="Times New Roman" w:cs="Times New Roman"/>
          <w:sz w:val="24"/>
          <w:szCs w:val="24"/>
        </w:rPr>
        <w:t xml:space="preserve"> na wczesnym etapie oczywiście bezzasadnego roszczenia </w:t>
      </w:r>
      <w:r w:rsidR="008B2649" w:rsidRPr="00BF4514">
        <w:rPr>
          <w:rFonts w:ascii="Times New Roman" w:hAnsi="Times New Roman" w:cs="Times New Roman"/>
          <w:sz w:val="24"/>
          <w:szCs w:val="24"/>
        </w:rPr>
        <w:t xml:space="preserve">oraz (iii) o </w:t>
      </w:r>
      <w:r w:rsidR="003566EA" w:rsidRPr="00BF4514">
        <w:rPr>
          <w:rFonts w:ascii="Times New Roman" w:hAnsi="Times New Roman" w:cs="Times New Roman"/>
          <w:sz w:val="24"/>
          <w:szCs w:val="24"/>
        </w:rPr>
        <w:t>zastosowani</w:t>
      </w:r>
      <w:r w:rsidR="008B2649" w:rsidRPr="00BF4514">
        <w:rPr>
          <w:rFonts w:ascii="Times New Roman" w:hAnsi="Times New Roman" w:cs="Times New Roman"/>
          <w:sz w:val="24"/>
          <w:szCs w:val="24"/>
        </w:rPr>
        <w:t>e</w:t>
      </w:r>
      <w:r w:rsidR="003566EA" w:rsidRPr="00BF4514">
        <w:rPr>
          <w:rFonts w:ascii="Times New Roman" w:hAnsi="Times New Roman" w:cs="Times New Roman"/>
          <w:sz w:val="24"/>
          <w:szCs w:val="24"/>
        </w:rPr>
        <w:t xml:space="preserve"> środków ochrony prawnej. </w:t>
      </w:r>
      <w:r w:rsidR="00171BD7" w:rsidRPr="00BF4514">
        <w:rPr>
          <w:rFonts w:ascii="Times New Roman" w:hAnsi="Times New Roman" w:cs="Times New Roman"/>
          <w:sz w:val="24"/>
          <w:szCs w:val="24"/>
        </w:rPr>
        <w:t xml:space="preserve">Dyrektywa 2024/1069 przewiduje </w:t>
      </w:r>
      <w:r w:rsidR="00D22806" w:rsidRPr="00BF4514">
        <w:rPr>
          <w:rFonts w:ascii="Times New Roman" w:hAnsi="Times New Roman" w:cs="Times New Roman"/>
          <w:sz w:val="24"/>
          <w:szCs w:val="24"/>
        </w:rPr>
        <w:t>rozpatrywanie wniosków o zastosowanie gwarancji</w:t>
      </w:r>
      <w:r w:rsidR="008B2649" w:rsidRPr="00BF4514">
        <w:rPr>
          <w:rFonts w:ascii="Times New Roman" w:hAnsi="Times New Roman" w:cs="Times New Roman"/>
          <w:sz w:val="24"/>
          <w:szCs w:val="24"/>
        </w:rPr>
        <w:t xml:space="preserve"> proceduralnych</w:t>
      </w:r>
      <w:r w:rsidR="00D22806" w:rsidRPr="00BF4514">
        <w:rPr>
          <w:rFonts w:ascii="Times New Roman" w:hAnsi="Times New Roman" w:cs="Times New Roman"/>
          <w:sz w:val="24"/>
          <w:szCs w:val="24"/>
        </w:rPr>
        <w:t xml:space="preserve"> w trybie przyspieszonym</w:t>
      </w:r>
      <w:r w:rsidR="007033A0" w:rsidRPr="00BF4514">
        <w:rPr>
          <w:rFonts w:ascii="Times New Roman" w:hAnsi="Times New Roman" w:cs="Times New Roman"/>
          <w:sz w:val="24"/>
          <w:szCs w:val="24"/>
        </w:rPr>
        <w:t>, poprzez m.in. wyznaczenie terminu do odbycia posiedzenia lub wydania przez sąd orzeczenia.</w:t>
      </w:r>
    </w:p>
    <w:p w14:paraId="280C3E9F" w14:textId="57CED187" w:rsidR="0006521D" w:rsidRPr="00BF4514" w:rsidRDefault="0008774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Regulacje dyrektywy 2024/1069 zapewniają </w:t>
      </w:r>
      <w:r w:rsidR="00E4573F" w:rsidRPr="00BF4514">
        <w:rPr>
          <w:rFonts w:ascii="Times New Roman" w:hAnsi="Times New Roman" w:cs="Times New Roman"/>
          <w:sz w:val="24"/>
          <w:szCs w:val="24"/>
        </w:rPr>
        <w:t>stowarzyszeni</w:t>
      </w:r>
      <w:r w:rsidR="0021555D" w:rsidRPr="00BF4514">
        <w:rPr>
          <w:rFonts w:ascii="Times New Roman" w:hAnsi="Times New Roman" w:cs="Times New Roman"/>
          <w:sz w:val="24"/>
          <w:szCs w:val="24"/>
        </w:rPr>
        <w:t>om</w:t>
      </w:r>
      <w:r w:rsidR="00E4573F" w:rsidRPr="00BF4514">
        <w:rPr>
          <w:rFonts w:ascii="Times New Roman" w:hAnsi="Times New Roman" w:cs="Times New Roman"/>
          <w:sz w:val="24"/>
          <w:szCs w:val="24"/>
        </w:rPr>
        <w:t>, organizacj</w:t>
      </w:r>
      <w:r w:rsidR="0021555D" w:rsidRPr="00BF4514">
        <w:rPr>
          <w:rFonts w:ascii="Times New Roman" w:hAnsi="Times New Roman" w:cs="Times New Roman"/>
          <w:sz w:val="24"/>
          <w:szCs w:val="24"/>
        </w:rPr>
        <w:t>om</w:t>
      </w:r>
      <w:r w:rsidR="00E4573F" w:rsidRPr="00BF4514">
        <w:rPr>
          <w:rFonts w:ascii="Times New Roman" w:hAnsi="Times New Roman" w:cs="Times New Roman"/>
          <w:sz w:val="24"/>
          <w:szCs w:val="24"/>
        </w:rPr>
        <w:t>, związk</w:t>
      </w:r>
      <w:r w:rsidR="0021555D" w:rsidRPr="00BF4514">
        <w:rPr>
          <w:rFonts w:ascii="Times New Roman" w:hAnsi="Times New Roman" w:cs="Times New Roman"/>
          <w:sz w:val="24"/>
          <w:szCs w:val="24"/>
        </w:rPr>
        <w:t>om</w:t>
      </w:r>
      <w:r w:rsidR="00E4573F" w:rsidRPr="00BF4514">
        <w:rPr>
          <w:rFonts w:ascii="Times New Roman" w:hAnsi="Times New Roman" w:cs="Times New Roman"/>
          <w:sz w:val="24"/>
          <w:szCs w:val="24"/>
        </w:rPr>
        <w:t xml:space="preserve"> zawodow</w:t>
      </w:r>
      <w:r w:rsidR="0021555D" w:rsidRPr="00BF4514">
        <w:rPr>
          <w:rFonts w:ascii="Times New Roman" w:hAnsi="Times New Roman" w:cs="Times New Roman"/>
          <w:sz w:val="24"/>
          <w:szCs w:val="24"/>
        </w:rPr>
        <w:t>ym</w:t>
      </w:r>
      <w:r w:rsidR="00E4573F" w:rsidRPr="00BF4514">
        <w:rPr>
          <w:rFonts w:ascii="Times New Roman" w:hAnsi="Times New Roman" w:cs="Times New Roman"/>
          <w:sz w:val="24"/>
          <w:szCs w:val="24"/>
        </w:rPr>
        <w:t xml:space="preserve"> i</w:t>
      </w:r>
      <w:r w:rsidR="00C45E57" w:rsidRPr="00BF4514">
        <w:rPr>
          <w:rFonts w:ascii="Times New Roman" w:hAnsi="Times New Roman" w:cs="Times New Roman"/>
          <w:sz w:val="24"/>
          <w:szCs w:val="24"/>
        </w:rPr>
        <w:t> </w:t>
      </w:r>
      <w:r w:rsidR="00E4573F" w:rsidRPr="00BF4514">
        <w:rPr>
          <w:rFonts w:ascii="Times New Roman" w:hAnsi="Times New Roman" w:cs="Times New Roman"/>
          <w:sz w:val="24"/>
          <w:szCs w:val="24"/>
        </w:rPr>
        <w:t>inn</w:t>
      </w:r>
      <w:r w:rsidR="0021555D" w:rsidRPr="00BF4514">
        <w:rPr>
          <w:rFonts w:ascii="Times New Roman" w:hAnsi="Times New Roman" w:cs="Times New Roman"/>
          <w:sz w:val="24"/>
          <w:szCs w:val="24"/>
        </w:rPr>
        <w:t>ym</w:t>
      </w:r>
      <w:r w:rsidR="00E4573F" w:rsidRPr="00BF4514">
        <w:rPr>
          <w:rFonts w:ascii="Times New Roman" w:hAnsi="Times New Roman" w:cs="Times New Roman"/>
          <w:sz w:val="24"/>
          <w:szCs w:val="24"/>
        </w:rPr>
        <w:t xml:space="preserve"> podmiot</w:t>
      </w:r>
      <w:r w:rsidR="0021555D" w:rsidRPr="00BF4514">
        <w:rPr>
          <w:rFonts w:ascii="Times New Roman" w:hAnsi="Times New Roman" w:cs="Times New Roman"/>
          <w:sz w:val="24"/>
          <w:szCs w:val="24"/>
        </w:rPr>
        <w:t>om</w:t>
      </w:r>
      <w:r w:rsidR="00E4573F" w:rsidRPr="00BF4514">
        <w:rPr>
          <w:rFonts w:ascii="Times New Roman" w:hAnsi="Times New Roman" w:cs="Times New Roman"/>
          <w:sz w:val="24"/>
          <w:szCs w:val="24"/>
        </w:rPr>
        <w:t>, które mają uzasadniony interes w ochronie lub propagowaniu praw osób zaangażowanych w debatę publiczną</w:t>
      </w:r>
      <w:r w:rsidR="00C4327F" w:rsidRPr="00BF4514">
        <w:rPr>
          <w:rFonts w:ascii="Times New Roman" w:hAnsi="Times New Roman" w:cs="Times New Roman"/>
          <w:sz w:val="24"/>
          <w:szCs w:val="24"/>
        </w:rPr>
        <w:t xml:space="preserve">, </w:t>
      </w:r>
      <w:r w:rsidRPr="00BF4514">
        <w:rPr>
          <w:rFonts w:ascii="Times New Roman" w:hAnsi="Times New Roman" w:cs="Times New Roman"/>
          <w:sz w:val="24"/>
          <w:szCs w:val="24"/>
        </w:rPr>
        <w:t xml:space="preserve">możliwość </w:t>
      </w:r>
      <w:r w:rsidR="000141A1" w:rsidRPr="00BF4514">
        <w:rPr>
          <w:rFonts w:ascii="Times New Roman" w:hAnsi="Times New Roman" w:cs="Times New Roman"/>
          <w:sz w:val="24"/>
          <w:szCs w:val="24"/>
        </w:rPr>
        <w:t xml:space="preserve">udzielenia wsparcia pozwanemu lub przekazania informacji w ramach </w:t>
      </w:r>
      <w:r w:rsidR="00D22806" w:rsidRPr="00BF4514">
        <w:rPr>
          <w:rFonts w:ascii="Times New Roman" w:hAnsi="Times New Roman" w:cs="Times New Roman"/>
          <w:sz w:val="24"/>
          <w:szCs w:val="24"/>
        </w:rPr>
        <w:t>postępowania</w:t>
      </w:r>
      <w:r w:rsidR="000141A1" w:rsidRPr="00BF4514">
        <w:rPr>
          <w:rFonts w:ascii="Times New Roman" w:hAnsi="Times New Roman" w:cs="Times New Roman"/>
          <w:sz w:val="24"/>
          <w:szCs w:val="24"/>
        </w:rPr>
        <w:t>.</w:t>
      </w:r>
    </w:p>
    <w:p w14:paraId="3A9A5C5E" w14:textId="6081465E" w:rsidR="0006521D" w:rsidRPr="00BF4514" w:rsidRDefault="0028283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Dyrektywa </w:t>
      </w:r>
      <w:r w:rsidR="003E01CF" w:rsidRPr="00BF4514">
        <w:rPr>
          <w:rFonts w:ascii="Times New Roman" w:hAnsi="Times New Roman" w:cs="Times New Roman"/>
          <w:sz w:val="24"/>
          <w:szCs w:val="24"/>
        </w:rPr>
        <w:t xml:space="preserve">2024/1069 </w:t>
      </w:r>
      <w:r w:rsidRPr="00BF4514">
        <w:rPr>
          <w:rFonts w:ascii="Times New Roman" w:hAnsi="Times New Roman" w:cs="Times New Roman"/>
          <w:sz w:val="24"/>
          <w:szCs w:val="24"/>
        </w:rPr>
        <w:t>nakłada również obowiązek zapewnienia</w:t>
      </w:r>
      <w:r w:rsidR="00646FFC" w:rsidRPr="00BF4514">
        <w:rPr>
          <w:rFonts w:ascii="Times New Roman" w:hAnsi="Times New Roman" w:cs="Times New Roman"/>
          <w:sz w:val="24"/>
          <w:szCs w:val="24"/>
        </w:rPr>
        <w:t xml:space="preserve"> przez państwa członkowskie</w:t>
      </w:r>
      <w:r w:rsidRPr="00BF4514">
        <w:rPr>
          <w:rFonts w:ascii="Times New Roman" w:hAnsi="Times New Roman" w:cs="Times New Roman"/>
          <w:sz w:val="24"/>
          <w:szCs w:val="24"/>
        </w:rPr>
        <w:t xml:space="preserve">, aby osoby dotknięte </w:t>
      </w:r>
      <w:r w:rsidR="004A109F" w:rsidRPr="00BF4514">
        <w:rPr>
          <w:rFonts w:ascii="Times New Roman" w:hAnsi="Times New Roman" w:cs="Times New Roman"/>
          <w:sz w:val="24"/>
          <w:szCs w:val="24"/>
        </w:rPr>
        <w:t xml:space="preserve">oczywiście bezzasadnym roszczeniem lub stanowiącym nadużycie postępowaniem sądowym </w:t>
      </w:r>
      <w:r w:rsidRPr="00BF4514">
        <w:rPr>
          <w:rFonts w:ascii="Times New Roman" w:hAnsi="Times New Roman" w:cs="Times New Roman"/>
          <w:sz w:val="24"/>
          <w:szCs w:val="24"/>
        </w:rPr>
        <w:t xml:space="preserve">mogły ubiegać się o zwrot kosztów poniesionych w związku </w:t>
      </w:r>
      <w:r w:rsidR="00FD3755">
        <w:rPr>
          <w:rFonts w:ascii="Times New Roman" w:hAnsi="Times New Roman" w:cs="Times New Roman"/>
          <w:sz w:val="24"/>
          <w:szCs w:val="24"/>
        </w:rPr>
        <w:t xml:space="preserve">z </w:t>
      </w:r>
      <w:r w:rsidR="004A109F" w:rsidRPr="00BF4514">
        <w:rPr>
          <w:rFonts w:ascii="Times New Roman" w:hAnsi="Times New Roman" w:cs="Times New Roman"/>
          <w:sz w:val="24"/>
          <w:szCs w:val="24"/>
        </w:rPr>
        <w:t xml:space="preserve">prowadzonym postępowaniem, w tym </w:t>
      </w:r>
      <w:r w:rsidR="009A2513" w:rsidRPr="00BF4514">
        <w:rPr>
          <w:rFonts w:ascii="Times New Roman" w:hAnsi="Times New Roman" w:cs="Times New Roman"/>
          <w:sz w:val="24"/>
          <w:szCs w:val="24"/>
        </w:rPr>
        <w:t>pełny</w:t>
      </w:r>
      <w:r w:rsidR="009C27DF" w:rsidRPr="00BF4514">
        <w:rPr>
          <w:rFonts w:ascii="Times New Roman" w:hAnsi="Times New Roman" w:cs="Times New Roman"/>
          <w:sz w:val="24"/>
          <w:szCs w:val="24"/>
        </w:rPr>
        <w:t>ch</w:t>
      </w:r>
      <w:r w:rsidR="009A2513" w:rsidRPr="00BF4514">
        <w:rPr>
          <w:rFonts w:ascii="Times New Roman" w:hAnsi="Times New Roman" w:cs="Times New Roman"/>
          <w:sz w:val="24"/>
          <w:szCs w:val="24"/>
        </w:rPr>
        <w:t xml:space="preserve"> koszt</w:t>
      </w:r>
      <w:r w:rsidR="009C27DF" w:rsidRPr="00BF4514">
        <w:rPr>
          <w:rFonts w:ascii="Times New Roman" w:hAnsi="Times New Roman" w:cs="Times New Roman"/>
          <w:sz w:val="24"/>
          <w:szCs w:val="24"/>
        </w:rPr>
        <w:t>ów</w:t>
      </w:r>
      <w:r w:rsidRPr="00BF4514">
        <w:rPr>
          <w:rFonts w:ascii="Times New Roman" w:hAnsi="Times New Roman" w:cs="Times New Roman"/>
          <w:sz w:val="24"/>
          <w:szCs w:val="24"/>
        </w:rPr>
        <w:t xml:space="preserve"> </w:t>
      </w:r>
      <w:r w:rsidR="004A109F" w:rsidRPr="00BF4514">
        <w:rPr>
          <w:rFonts w:ascii="Times New Roman" w:hAnsi="Times New Roman" w:cs="Times New Roman"/>
          <w:sz w:val="24"/>
          <w:szCs w:val="24"/>
        </w:rPr>
        <w:t>zastępstw</w:t>
      </w:r>
      <w:r w:rsidR="009A2513" w:rsidRPr="00BF4514">
        <w:rPr>
          <w:rFonts w:ascii="Times New Roman" w:hAnsi="Times New Roman" w:cs="Times New Roman"/>
          <w:sz w:val="24"/>
          <w:szCs w:val="24"/>
        </w:rPr>
        <w:t>a</w:t>
      </w:r>
      <w:r w:rsidR="004A109F" w:rsidRPr="00BF4514">
        <w:rPr>
          <w:rFonts w:ascii="Times New Roman" w:hAnsi="Times New Roman" w:cs="Times New Roman"/>
          <w:sz w:val="24"/>
          <w:szCs w:val="24"/>
        </w:rPr>
        <w:t xml:space="preserve"> procesow</w:t>
      </w:r>
      <w:r w:rsidR="009A2513" w:rsidRPr="00BF4514">
        <w:rPr>
          <w:rFonts w:ascii="Times New Roman" w:hAnsi="Times New Roman" w:cs="Times New Roman"/>
          <w:sz w:val="24"/>
          <w:szCs w:val="24"/>
        </w:rPr>
        <w:t>ego</w:t>
      </w:r>
      <w:r w:rsidRPr="00BF4514">
        <w:rPr>
          <w:rFonts w:ascii="Times New Roman" w:hAnsi="Times New Roman" w:cs="Times New Roman"/>
          <w:sz w:val="24"/>
          <w:szCs w:val="24"/>
        </w:rPr>
        <w:t xml:space="preserve">. Ponadto </w:t>
      </w:r>
      <w:r w:rsidR="00A62289" w:rsidRPr="00BF4514">
        <w:rPr>
          <w:rFonts w:ascii="Times New Roman" w:hAnsi="Times New Roman" w:cs="Times New Roman"/>
          <w:sz w:val="24"/>
          <w:szCs w:val="24"/>
        </w:rPr>
        <w:t>umożliwia</w:t>
      </w:r>
      <w:r w:rsidRPr="00BF4514">
        <w:rPr>
          <w:rFonts w:ascii="Times New Roman" w:hAnsi="Times New Roman" w:cs="Times New Roman"/>
          <w:sz w:val="24"/>
          <w:szCs w:val="24"/>
        </w:rPr>
        <w:t xml:space="preserve"> stosowanie </w:t>
      </w:r>
      <w:r w:rsidR="00A62289" w:rsidRPr="00BF4514">
        <w:rPr>
          <w:rFonts w:ascii="Times New Roman" w:hAnsi="Times New Roman" w:cs="Times New Roman"/>
          <w:sz w:val="24"/>
          <w:szCs w:val="24"/>
        </w:rPr>
        <w:t xml:space="preserve">wobec podmiotów inicjujących takie działania </w:t>
      </w:r>
      <w:r w:rsidRPr="00BF4514">
        <w:rPr>
          <w:rFonts w:ascii="Times New Roman" w:hAnsi="Times New Roman" w:cs="Times New Roman"/>
          <w:sz w:val="24"/>
          <w:szCs w:val="24"/>
        </w:rPr>
        <w:t xml:space="preserve">sankcji lub wprowadzenie innych </w:t>
      </w:r>
      <w:r w:rsidR="004A7DFC" w:rsidRPr="00BF4514">
        <w:rPr>
          <w:rFonts w:ascii="Times New Roman" w:hAnsi="Times New Roman" w:cs="Times New Roman"/>
          <w:sz w:val="24"/>
          <w:szCs w:val="24"/>
        </w:rPr>
        <w:t>skutecznych, proporcjonalnych i</w:t>
      </w:r>
      <w:r w:rsidR="00C45E57" w:rsidRPr="00BF4514">
        <w:rPr>
          <w:rFonts w:ascii="Times New Roman" w:hAnsi="Times New Roman" w:cs="Times New Roman"/>
          <w:sz w:val="24"/>
          <w:szCs w:val="24"/>
        </w:rPr>
        <w:t> </w:t>
      </w:r>
      <w:r w:rsidR="004A7DFC" w:rsidRPr="00BF4514">
        <w:rPr>
          <w:rFonts w:ascii="Times New Roman" w:hAnsi="Times New Roman" w:cs="Times New Roman"/>
          <w:sz w:val="24"/>
          <w:szCs w:val="24"/>
        </w:rPr>
        <w:t>odstraszających kar</w:t>
      </w:r>
      <w:r w:rsidRPr="00BF4514">
        <w:rPr>
          <w:rFonts w:ascii="Times New Roman" w:hAnsi="Times New Roman" w:cs="Times New Roman"/>
          <w:sz w:val="24"/>
          <w:szCs w:val="24"/>
        </w:rPr>
        <w:t>, które będą odstraszać od nadużywania prawa procesowego</w:t>
      </w:r>
      <w:r w:rsidR="00A62289" w:rsidRPr="00BF4514">
        <w:rPr>
          <w:rFonts w:ascii="Times New Roman" w:hAnsi="Times New Roman" w:cs="Times New Roman"/>
          <w:sz w:val="24"/>
          <w:szCs w:val="24"/>
        </w:rPr>
        <w:t>.</w:t>
      </w:r>
    </w:p>
    <w:p w14:paraId="0FF8D8DD" w14:textId="77777777" w:rsidR="0006521D" w:rsidRPr="00BF4514" w:rsidRDefault="00BD68C9"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Dyrektywa </w:t>
      </w:r>
      <w:r w:rsidR="00C665F1" w:rsidRPr="00BF4514">
        <w:rPr>
          <w:rFonts w:ascii="Times New Roman" w:hAnsi="Times New Roman" w:cs="Times New Roman"/>
          <w:sz w:val="24"/>
          <w:szCs w:val="24"/>
        </w:rPr>
        <w:t xml:space="preserve">2024/1069 </w:t>
      </w:r>
      <w:r w:rsidR="003663AC" w:rsidRPr="00BF4514">
        <w:rPr>
          <w:rFonts w:ascii="Times New Roman" w:hAnsi="Times New Roman" w:cs="Times New Roman"/>
          <w:sz w:val="24"/>
          <w:szCs w:val="24"/>
        </w:rPr>
        <w:t xml:space="preserve">ustanawia normy minimalne, </w:t>
      </w:r>
      <w:r w:rsidRPr="00BF4514">
        <w:rPr>
          <w:rFonts w:ascii="Times New Roman" w:hAnsi="Times New Roman" w:cs="Times New Roman"/>
          <w:sz w:val="24"/>
          <w:szCs w:val="24"/>
        </w:rPr>
        <w:t>pozostawia</w:t>
      </w:r>
      <w:r w:rsidR="003663AC" w:rsidRPr="00BF4514">
        <w:rPr>
          <w:rFonts w:ascii="Times New Roman" w:hAnsi="Times New Roman" w:cs="Times New Roman"/>
          <w:sz w:val="24"/>
          <w:szCs w:val="24"/>
        </w:rPr>
        <w:t>jąc</w:t>
      </w:r>
      <w:r w:rsidRPr="00BF4514">
        <w:rPr>
          <w:rFonts w:ascii="Times New Roman" w:hAnsi="Times New Roman" w:cs="Times New Roman"/>
          <w:sz w:val="24"/>
          <w:szCs w:val="24"/>
        </w:rPr>
        <w:t xml:space="preserve"> państwom członkowskim dobór </w:t>
      </w:r>
      <w:r w:rsidR="00916352" w:rsidRPr="00BF4514">
        <w:rPr>
          <w:rFonts w:ascii="Times New Roman" w:hAnsi="Times New Roman" w:cs="Times New Roman"/>
          <w:sz w:val="24"/>
          <w:szCs w:val="24"/>
        </w:rPr>
        <w:t xml:space="preserve">konkretnych </w:t>
      </w:r>
      <w:r w:rsidRPr="00BF4514">
        <w:rPr>
          <w:rFonts w:ascii="Times New Roman" w:hAnsi="Times New Roman" w:cs="Times New Roman"/>
          <w:sz w:val="24"/>
          <w:szCs w:val="24"/>
        </w:rPr>
        <w:t>środków, które zapewnią realizację</w:t>
      </w:r>
      <w:r w:rsidR="00916352" w:rsidRPr="00BF4514">
        <w:rPr>
          <w:rFonts w:ascii="Times New Roman" w:hAnsi="Times New Roman" w:cs="Times New Roman"/>
          <w:sz w:val="24"/>
          <w:szCs w:val="24"/>
        </w:rPr>
        <w:t xml:space="preserve"> zakładanych</w:t>
      </w:r>
      <w:r w:rsidR="00C665F1" w:rsidRPr="00BF4514">
        <w:rPr>
          <w:rFonts w:ascii="Times New Roman" w:hAnsi="Times New Roman" w:cs="Times New Roman"/>
          <w:sz w:val="24"/>
          <w:szCs w:val="24"/>
        </w:rPr>
        <w:t xml:space="preserve"> </w:t>
      </w:r>
      <w:r w:rsidRPr="00BF4514">
        <w:rPr>
          <w:rFonts w:ascii="Times New Roman" w:hAnsi="Times New Roman" w:cs="Times New Roman"/>
          <w:sz w:val="24"/>
          <w:szCs w:val="24"/>
        </w:rPr>
        <w:t>rezultatów</w:t>
      </w:r>
      <w:r w:rsidR="003663AC" w:rsidRPr="00BF4514">
        <w:rPr>
          <w:rFonts w:ascii="Times New Roman" w:hAnsi="Times New Roman" w:cs="Times New Roman"/>
          <w:sz w:val="24"/>
          <w:szCs w:val="24"/>
        </w:rPr>
        <w:t>.</w:t>
      </w:r>
    </w:p>
    <w:p w14:paraId="10D61CCD" w14:textId="5A755FB6" w:rsidR="0006521D" w:rsidRPr="00BF4514" w:rsidRDefault="003A27B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Podejmowanie działań prawnych w celu uciszenia krytyki i tłumienia debaty publicznej nie jest zjawiskiem nowym, lecz coraz bardziej powszechnym. </w:t>
      </w:r>
      <w:r w:rsidR="00DC60CC" w:rsidRPr="00BF4514">
        <w:rPr>
          <w:rFonts w:ascii="Times New Roman" w:hAnsi="Times New Roman" w:cs="Times New Roman"/>
          <w:sz w:val="24"/>
          <w:szCs w:val="24"/>
        </w:rPr>
        <w:t xml:space="preserve">Zgodnie z raportem stworzonym przez </w:t>
      </w:r>
      <w:r w:rsidR="00762107" w:rsidRPr="00BF4514">
        <w:rPr>
          <w:rFonts w:ascii="Times New Roman" w:hAnsi="Times New Roman" w:cs="Times New Roman"/>
          <w:sz w:val="24"/>
          <w:szCs w:val="24"/>
        </w:rPr>
        <w:t xml:space="preserve">CASE </w:t>
      </w:r>
      <w:r w:rsidR="00852136">
        <w:rPr>
          <w:rFonts w:ascii="Times New Roman" w:hAnsi="Times New Roman" w:cs="Times New Roman"/>
          <w:sz w:val="24"/>
          <w:szCs w:val="24"/>
        </w:rPr>
        <w:t>–</w:t>
      </w:r>
      <w:r w:rsidR="00762107" w:rsidRPr="00BF4514">
        <w:rPr>
          <w:rFonts w:ascii="Times New Roman" w:hAnsi="Times New Roman" w:cs="Times New Roman"/>
          <w:sz w:val="24"/>
          <w:szCs w:val="24"/>
        </w:rPr>
        <w:t xml:space="preserve"> koalicję przeciw S</w:t>
      </w:r>
      <w:r w:rsidR="00CA3D3E" w:rsidRPr="00BF4514">
        <w:rPr>
          <w:rFonts w:ascii="Times New Roman" w:hAnsi="Times New Roman" w:cs="Times New Roman"/>
          <w:sz w:val="24"/>
          <w:szCs w:val="24"/>
        </w:rPr>
        <w:t>lapp</w:t>
      </w:r>
      <w:r w:rsidR="00762107" w:rsidRPr="00BF4514">
        <w:rPr>
          <w:rFonts w:ascii="Times New Roman" w:hAnsi="Times New Roman" w:cs="Times New Roman"/>
          <w:sz w:val="24"/>
          <w:szCs w:val="24"/>
        </w:rPr>
        <w:t xml:space="preserve"> w Europie, </w:t>
      </w:r>
      <w:r w:rsidR="008C0A2F" w:rsidRPr="00BF4514">
        <w:rPr>
          <w:rFonts w:ascii="Times New Roman" w:hAnsi="Times New Roman" w:cs="Times New Roman"/>
          <w:sz w:val="24"/>
          <w:szCs w:val="24"/>
        </w:rPr>
        <w:t xml:space="preserve">od 2010 roku </w:t>
      </w:r>
      <w:r w:rsidR="00762107" w:rsidRPr="00BF4514">
        <w:rPr>
          <w:rFonts w:ascii="Times New Roman" w:hAnsi="Times New Roman" w:cs="Times New Roman"/>
          <w:sz w:val="24"/>
          <w:szCs w:val="24"/>
        </w:rPr>
        <w:t xml:space="preserve">Polska </w:t>
      </w:r>
      <w:r w:rsidR="00BF6EEA" w:rsidRPr="00BF4514">
        <w:rPr>
          <w:rFonts w:ascii="Times New Roman" w:hAnsi="Times New Roman" w:cs="Times New Roman"/>
          <w:sz w:val="24"/>
          <w:szCs w:val="24"/>
        </w:rPr>
        <w:t>odno</w:t>
      </w:r>
      <w:r w:rsidR="008C0A2F" w:rsidRPr="00BF4514">
        <w:rPr>
          <w:rFonts w:ascii="Times New Roman" w:hAnsi="Times New Roman" w:cs="Times New Roman"/>
          <w:sz w:val="24"/>
          <w:szCs w:val="24"/>
        </w:rPr>
        <w:t xml:space="preserve">towała 135 spraw </w:t>
      </w:r>
      <w:r w:rsidR="003D7B8E" w:rsidRPr="00BF4514">
        <w:rPr>
          <w:rFonts w:ascii="Times New Roman" w:hAnsi="Times New Roman" w:cs="Times New Roman"/>
          <w:sz w:val="24"/>
          <w:szCs w:val="24"/>
        </w:rPr>
        <w:t xml:space="preserve">uznanych za </w:t>
      </w:r>
      <w:r w:rsidR="00D71DAD" w:rsidRPr="00BF4514">
        <w:rPr>
          <w:rFonts w:ascii="Times New Roman" w:hAnsi="Times New Roman" w:cs="Times New Roman"/>
          <w:sz w:val="24"/>
          <w:szCs w:val="24"/>
        </w:rPr>
        <w:t>strategiczne powództwa zmierzające do stłumienia debaty publicznej</w:t>
      </w:r>
      <w:r w:rsidR="003D7B8E" w:rsidRPr="00BF4514">
        <w:rPr>
          <w:rFonts w:ascii="Times New Roman" w:hAnsi="Times New Roman" w:cs="Times New Roman"/>
          <w:sz w:val="24"/>
          <w:szCs w:val="24"/>
        </w:rPr>
        <w:t>, co daje</w:t>
      </w:r>
      <w:r w:rsidR="00BF6EEA" w:rsidRPr="00BF4514">
        <w:rPr>
          <w:rFonts w:ascii="Times New Roman" w:hAnsi="Times New Roman" w:cs="Times New Roman"/>
          <w:sz w:val="24"/>
          <w:szCs w:val="24"/>
        </w:rPr>
        <w:t xml:space="preserve"> największą liczbę spraw karnych i</w:t>
      </w:r>
      <w:r w:rsidR="00C45E57" w:rsidRPr="00BF4514">
        <w:rPr>
          <w:rFonts w:ascii="Times New Roman" w:hAnsi="Times New Roman" w:cs="Times New Roman"/>
          <w:sz w:val="24"/>
          <w:szCs w:val="24"/>
        </w:rPr>
        <w:t> </w:t>
      </w:r>
      <w:r w:rsidR="00BF6EEA" w:rsidRPr="00BF4514">
        <w:rPr>
          <w:rFonts w:ascii="Times New Roman" w:hAnsi="Times New Roman" w:cs="Times New Roman"/>
          <w:sz w:val="24"/>
          <w:szCs w:val="24"/>
        </w:rPr>
        <w:t>cywilnych mających na celu uciszenie głosów krytyki</w:t>
      </w:r>
      <w:r w:rsidR="003D7B8E" w:rsidRPr="00BF4514">
        <w:rPr>
          <w:rFonts w:ascii="Times New Roman" w:hAnsi="Times New Roman" w:cs="Times New Roman"/>
          <w:sz w:val="24"/>
          <w:szCs w:val="24"/>
        </w:rPr>
        <w:t xml:space="preserve"> na tle </w:t>
      </w:r>
      <w:r w:rsidR="00E47013" w:rsidRPr="00BF4514">
        <w:rPr>
          <w:rFonts w:ascii="Times New Roman" w:hAnsi="Times New Roman" w:cs="Times New Roman"/>
          <w:sz w:val="24"/>
          <w:szCs w:val="24"/>
        </w:rPr>
        <w:t xml:space="preserve">pozostałych </w:t>
      </w:r>
      <w:r w:rsidR="003D7B8E" w:rsidRPr="00BF4514">
        <w:rPr>
          <w:rFonts w:ascii="Times New Roman" w:hAnsi="Times New Roman" w:cs="Times New Roman"/>
          <w:sz w:val="24"/>
          <w:szCs w:val="24"/>
        </w:rPr>
        <w:t>państw Unii Europejskiej.</w:t>
      </w:r>
      <w:r w:rsidR="00D47EC9" w:rsidRPr="00BF4514">
        <w:rPr>
          <w:rFonts w:ascii="Times New Roman" w:hAnsi="Times New Roman" w:cs="Times New Roman"/>
          <w:sz w:val="24"/>
          <w:szCs w:val="24"/>
        </w:rPr>
        <w:t xml:space="preserve"> </w:t>
      </w:r>
      <w:r w:rsidR="004D5A2E" w:rsidRPr="00BF4514">
        <w:rPr>
          <w:rFonts w:ascii="Times New Roman" w:hAnsi="Times New Roman" w:cs="Times New Roman"/>
          <w:sz w:val="24"/>
          <w:szCs w:val="24"/>
        </w:rPr>
        <w:t>Do końca 202</w:t>
      </w:r>
      <w:r w:rsidR="00C20D29" w:rsidRPr="00BF4514">
        <w:rPr>
          <w:rFonts w:ascii="Times New Roman" w:hAnsi="Times New Roman" w:cs="Times New Roman"/>
          <w:sz w:val="24"/>
          <w:szCs w:val="24"/>
        </w:rPr>
        <w:t>3</w:t>
      </w:r>
      <w:r w:rsidR="004D5A2E" w:rsidRPr="00BF4514">
        <w:rPr>
          <w:rFonts w:ascii="Times New Roman" w:hAnsi="Times New Roman" w:cs="Times New Roman"/>
          <w:sz w:val="24"/>
          <w:szCs w:val="24"/>
        </w:rPr>
        <w:t xml:space="preserve"> r. większość wniesionych spraw stanowiły pozwy cywilne (6</w:t>
      </w:r>
      <w:r w:rsidR="00C20D29" w:rsidRPr="00BF4514">
        <w:rPr>
          <w:rFonts w:ascii="Times New Roman" w:hAnsi="Times New Roman" w:cs="Times New Roman"/>
          <w:sz w:val="24"/>
          <w:szCs w:val="24"/>
        </w:rPr>
        <w:t>4,3</w:t>
      </w:r>
      <w:r w:rsidR="004D5A2E" w:rsidRPr="00BF4514">
        <w:rPr>
          <w:rFonts w:ascii="Times New Roman" w:hAnsi="Times New Roman" w:cs="Times New Roman"/>
          <w:sz w:val="24"/>
          <w:szCs w:val="24"/>
        </w:rPr>
        <w:t xml:space="preserve">%), </w:t>
      </w:r>
      <w:r w:rsidR="00BF1271" w:rsidRPr="00BF4514">
        <w:rPr>
          <w:rFonts w:ascii="Times New Roman" w:hAnsi="Times New Roman" w:cs="Times New Roman"/>
          <w:sz w:val="24"/>
          <w:szCs w:val="24"/>
        </w:rPr>
        <w:t>natomiast</w:t>
      </w:r>
      <w:r w:rsidR="004D5A2E" w:rsidRPr="00BF4514">
        <w:rPr>
          <w:rFonts w:ascii="Times New Roman" w:hAnsi="Times New Roman" w:cs="Times New Roman"/>
          <w:sz w:val="24"/>
          <w:szCs w:val="24"/>
        </w:rPr>
        <w:t xml:space="preserve"> </w:t>
      </w:r>
      <w:r w:rsidR="00D47EC9" w:rsidRPr="00BF4514">
        <w:rPr>
          <w:rFonts w:ascii="Times New Roman" w:hAnsi="Times New Roman" w:cs="Times New Roman"/>
          <w:sz w:val="24"/>
          <w:szCs w:val="24"/>
        </w:rPr>
        <w:t>90,</w:t>
      </w:r>
      <w:r w:rsidR="008E776E" w:rsidRPr="00BF4514">
        <w:rPr>
          <w:rFonts w:ascii="Times New Roman" w:hAnsi="Times New Roman" w:cs="Times New Roman"/>
          <w:sz w:val="24"/>
          <w:szCs w:val="24"/>
        </w:rPr>
        <w:t>6</w:t>
      </w:r>
      <w:r w:rsidR="00D47EC9" w:rsidRPr="00BF4514">
        <w:rPr>
          <w:rFonts w:ascii="Times New Roman" w:hAnsi="Times New Roman" w:cs="Times New Roman"/>
          <w:sz w:val="24"/>
          <w:szCs w:val="24"/>
        </w:rPr>
        <w:t xml:space="preserve"> </w:t>
      </w:r>
      <w:r w:rsidR="004D5A2E" w:rsidRPr="00BF4514">
        <w:rPr>
          <w:rFonts w:ascii="Times New Roman" w:hAnsi="Times New Roman" w:cs="Times New Roman"/>
          <w:sz w:val="24"/>
          <w:szCs w:val="24"/>
        </w:rPr>
        <w:t>%</w:t>
      </w:r>
      <w:r w:rsidR="00D47EC9" w:rsidRPr="00BF4514">
        <w:rPr>
          <w:rFonts w:ascii="Times New Roman" w:hAnsi="Times New Roman" w:cs="Times New Roman"/>
          <w:sz w:val="24"/>
          <w:szCs w:val="24"/>
        </w:rPr>
        <w:t xml:space="preserve"> spraw w Europie m</w:t>
      </w:r>
      <w:r w:rsidR="00BF1271" w:rsidRPr="00BF4514">
        <w:rPr>
          <w:rFonts w:ascii="Times New Roman" w:hAnsi="Times New Roman" w:cs="Times New Roman"/>
          <w:sz w:val="24"/>
          <w:szCs w:val="24"/>
        </w:rPr>
        <w:t>iało</w:t>
      </w:r>
      <w:r w:rsidR="00D47EC9" w:rsidRPr="00BF4514">
        <w:rPr>
          <w:rFonts w:ascii="Times New Roman" w:hAnsi="Times New Roman" w:cs="Times New Roman"/>
          <w:sz w:val="24"/>
          <w:szCs w:val="24"/>
        </w:rPr>
        <w:t xml:space="preserve"> wymiar wyłącznie </w:t>
      </w:r>
      <w:r w:rsidR="00D47EC9" w:rsidRPr="00BF4514">
        <w:rPr>
          <w:rFonts w:ascii="Times New Roman" w:hAnsi="Times New Roman" w:cs="Times New Roman"/>
          <w:sz w:val="24"/>
          <w:szCs w:val="24"/>
        </w:rPr>
        <w:lastRenderedPageBreak/>
        <w:t>krajowy</w:t>
      </w:r>
      <w:r w:rsidR="00477EA2" w:rsidRPr="00BF4514">
        <w:rPr>
          <w:rStyle w:val="Odwoanieprzypisudolnego"/>
          <w:rFonts w:ascii="Times New Roman" w:hAnsi="Times New Roman" w:cs="Times New Roman"/>
          <w:sz w:val="24"/>
          <w:szCs w:val="24"/>
        </w:rPr>
        <w:footnoteReference w:id="3"/>
      </w:r>
      <w:r w:rsidR="00BF1271" w:rsidRPr="00BF4514">
        <w:rPr>
          <w:rFonts w:ascii="Times New Roman" w:hAnsi="Times New Roman" w:cs="Times New Roman"/>
          <w:sz w:val="24"/>
          <w:szCs w:val="24"/>
        </w:rPr>
        <w:t>.</w:t>
      </w:r>
      <w:r w:rsidR="00A837B8" w:rsidRPr="00BF4514">
        <w:rPr>
          <w:rFonts w:ascii="Times New Roman" w:hAnsi="Times New Roman" w:cs="Times New Roman"/>
          <w:sz w:val="24"/>
          <w:szCs w:val="24"/>
        </w:rPr>
        <w:t xml:space="preserve"> </w:t>
      </w:r>
      <w:r w:rsidR="0066632C" w:rsidRPr="00BF4514">
        <w:rPr>
          <w:rFonts w:ascii="Times New Roman" w:hAnsi="Times New Roman" w:cs="Times New Roman"/>
          <w:sz w:val="24"/>
          <w:szCs w:val="24"/>
        </w:rPr>
        <w:t>W Polsce </w:t>
      </w:r>
      <w:r w:rsidR="001D4D56" w:rsidRPr="00BF4514">
        <w:rPr>
          <w:rFonts w:ascii="Times New Roman" w:hAnsi="Times New Roman" w:cs="Times New Roman"/>
          <w:sz w:val="24"/>
          <w:szCs w:val="24"/>
        </w:rPr>
        <w:t>tego typu roszczenia</w:t>
      </w:r>
      <w:r w:rsidR="0066632C" w:rsidRPr="00BF4514">
        <w:rPr>
          <w:rFonts w:ascii="Times New Roman" w:hAnsi="Times New Roman" w:cs="Times New Roman"/>
          <w:sz w:val="24"/>
          <w:szCs w:val="24"/>
        </w:rPr>
        <w:t> </w:t>
      </w:r>
      <w:r w:rsidR="001D4D56" w:rsidRPr="00BF4514">
        <w:rPr>
          <w:rFonts w:ascii="Times New Roman" w:hAnsi="Times New Roman" w:cs="Times New Roman"/>
          <w:sz w:val="24"/>
          <w:szCs w:val="24"/>
        </w:rPr>
        <w:t xml:space="preserve">najczęściej </w:t>
      </w:r>
      <w:r w:rsidR="0066632C" w:rsidRPr="00BF4514">
        <w:rPr>
          <w:rFonts w:ascii="Times New Roman" w:hAnsi="Times New Roman" w:cs="Times New Roman"/>
          <w:sz w:val="24"/>
          <w:szCs w:val="24"/>
        </w:rPr>
        <w:t>przyjmują postać pozwów o ochronę dóbr osobistych (art. 23 i art. 24 k.c.)</w:t>
      </w:r>
      <w:r w:rsidR="001D4D56" w:rsidRPr="00BF4514">
        <w:rPr>
          <w:rFonts w:ascii="Times New Roman" w:hAnsi="Times New Roman" w:cs="Times New Roman"/>
          <w:sz w:val="24"/>
          <w:szCs w:val="24"/>
        </w:rPr>
        <w:t xml:space="preserve"> lub </w:t>
      </w:r>
      <w:r w:rsidR="0066632C" w:rsidRPr="00BF4514">
        <w:rPr>
          <w:rFonts w:ascii="Times New Roman" w:hAnsi="Times New Roman" w:cs="Times New Roman"/>
          <w:sz w:val="24"/>
          <w:szCs w:val="24"/>
        </w:rPr>
        <w:t>aktów oskarżenia o przestępstwo zniesławienia (art. 212 k.k.)</w:t>
      </w:r>
      <w:r w:rsidR="7A1368A3" w:rsidRPr="00BF4514">
        <w:rPr>
          <w:rFonts w:ascii="Times New Roman" w:hAnsi="Times New Roman" w:cs="Times New Roman"/>
          <w:sz w:val="24"/>
          <w:szCs w:val="24"/>
        </w:rPr>
        <w:t>,</w:t>
      </w:r>
      <w:r w:rsidR="0066632C" w:rsidRPr="00BF4514">
        <w:rPr>
          <w:rFonts w:ascii="Times New Roman" w:hAnsi="Times New Roman" w:cs="Times New Roman"/>
          <w:sz w:val="24"/>
          <w:szCs w:val="24"/>
        </w:rPr>
        <w:t xml:space="preserve"> lub przestępstwo zniewagi (art. 216 k.k.). </w:t>
      </w:r>
    </w:p>
    <w:p w14:paraId="3980E435" w14:textId="096A094B" w:rsidR="005D7EC5" w:rsidRPr="00BF4514" w:rsidRDefault="006F0B50"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Brak odpowiednich regulacji w polskim systemie prawnym prowadzi do sytuacji, w których osoby i</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organizacje zaangażowane w działania na rzecz demokracji czy praw człowieka są narażone na finansowe obciążenie</w:t>
      </w:r>
      <w:r w:rsidR="00DB4428" w:rsidRPr="00BF4514">
        <w:rPr>
          <w:rFonts w:ascii="Times New Roman" w:hAnsi="Times New Roman" w:cs="Times New Roman"/>
          <w:sz w:val="24"/>
          <w:szCs w:val="24"/>
        </w:rPr>
        <w:t xml:space="preserve"> związane z podjęciem obrony </w:t>
      </w:r>
      <w:r w:rsidR="00130FE9" w:rsidRPr="00BF4514">
        <w:rPr>
          <w:rFonts w:ascii="Times New Roman" w:hAnsi="Times New Roman" w:cs="Times New Roman"/>
          <w:sz w:val="24"/>
          <w:szCs w:val="24"/>
        </w:rPr>
        <w:t>w postępowaniu sądowym</w:t>
      </w:r>
      <w:r w:rsidRPr="00BF4514">
        <w:rPr>
          <w:rFonts w:ascii="Times New Roman" w:hAnsi="Times New Roman" w:cs="Times New Roman"/>
          <w:sz w:val="24"/>
          <w:szCs w:val="24"/>
        </w:rPr>
        <w:t>, co skutecznie ogranicza ich aktywność.</w:t>
      </w:r>
      <w:r w:rsidR="004B62F1" w:rsidRPr="00BF4514">
        <w:rPr>
          <w:rFonts w:ascii="Times New Roman" w:hAnsi="Times New Roman" w:cs="Times New Roman"/>
          <w:sz w:val="24"/>
          <w:szCs w:val="24"/>
        </w:rPr>
        <w:t xml:space="preserve"> </w:t>
      </w:r>
      <w:r w:rsidR="0040614F" w:rsidRPr="00BF4514">
        <w:rPr>
          <w:rFonts w:ascii="Times New Roman" w:hAnsi="Times New Roman" w:cs="Times New Roman"/>
          <w:sz w:val="24"/>
          <w:szCs w:val="24"/>
        </w:rPr>
        <w:t>W świetle powyższego konieczne stało się opracowanie zupełnie nowej regulacji w</w:t>
      </w:r>
      <w:r w:rsidR="00C45E57" w:rsidRPr="00BF4514">
        <w:rPr>
          <w:rFonts w:ascii="Times New Roman" w:hAnsi="Times New Roman" w:cs="Times New Roman"/>
          <w:sz w:val="24"/>
          <w:szCs w:val="24"/>
        </w:rPr>
        <w:t> </w:t>
      </w:r>
      <w:r w:rsidR="0040614F" w:rsidRPr="00BF4514">
        <w:rPr>
          <w:rFonts w:ascii="Times New Roman" w:hAnsi="Times New Roman" w:cs="Times New Roman"/>
          <w:sz w:val="24"/>
          <w:szCs w:val="24"/>
        </w:rPr>
        <w:t>zakresie ochrony osób uczestniczących w debacie publicznej przed oczywiście bezzasadnymi roszczeniami lub stanowiącymi nadużycie postępowaniami sądowymi, która odpowiadałaby przepisom i standardom ochrony przyjętym na poziomie UE.</w:t>
      </w:r>
    </w:p>
    <w:p w14:paraId="70DCFDAF" w14:textId="7FA157E0" w:rsidR="005D7EC5" w:rsidRPr="00BF4514" w:rsidRDefault="00F877F6"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II. Założenia ogólne proponowanych zmian</w:t>
      </w:r>
    </w:p>
    <w:p w14:paraId="06920FC0" w14:textId="7AC793E7" w:rsidR="00C60F16" w:rsidRPr="00BF4514" w:rsidRDefault="000E1858"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W Polsce strategiczne powództwa zmierzające do stłumienia debaty publicznej w przeważającej mierze mają charakter wewnątrzkrajowy,</w:t>
      </w:r>
      <w:r w:rsidR="00220124" w:rsidRPr="00BF4514">
        <w:rPr>
          <w:rFonts w:ascii="Times New Roman" w:hAnsi="Times New Roman" w:cs="Times New Roman"/>
          <w:sz w:val="24"/>
          <w:szCs w:val="24"/>
        </w:rPr>
        <w:t xml:space="preserve"> </w:t>
      </w:r>
      <w:r w:rsidRPr="00BF4514">
        <w:rPr>
          <w:rFonts w:ascii="Times New Roman" w:hAnsi="Times New Roman" w:cs="Times New Roman"/>
          <w:sz w:val="24"/>
          <w:szCs w:val="24"/>
        </w:rPr>
        <w:t>dlatego</w:t>
      </w:r>
      <w:r w:rsidR="00852136">
        <w:rPr>
          <w:rFonts w:ascii="Times New Roman" w:hAnsi="Times New Roman" w:cs="Times New Roman"/>
          <w:sz w:val="24"/>
          <w:szCs w:val="24"/>
        </w:rPr>
        <w:t>,</w:t>
      </w:r>
      <w:r w:rsidRPr="00BF4514">
        <w:rPr>
          <w:rFonts w:ascii="Times New Roman" w:hAnsi="Times New Roman" w:cs="Times New Roman"/>
          <w:sz w:val="24"/>
          <w:szCs w:val="24"/>
        </w:rPr>
        <w:t xml:space="preserve"> </w:t>
      </w:r>
      <w:r w:rsidR="00BC0820" w:rsidRPr="00BF4514">
        <w:rPr>
          <w:rFonts w:ascii="Times New Roman" w:hAnsi="Times New Roman" w:cs="Times New Roman"/>
          <w:sz w:val="24"/>
          <w:szCs w:val="24"/>
        </w:rPr>
        <w:t>implementując dyrektywę 2024/1069</w:t>
      </w:r>
      <w:r w:rsidR="00440647" w:rsidRPr="00BF4514">
        <w:rPr>
          <w:rFonts w:ascii="Times New Roman" w:hAnsi="Times New Roman" w:cs="Times New Roman"/>
          <w:sz w:val="24"/>
          <w:szCs w:val="24"/>
        </w:rPr>
        <w:t>,</w:t>
      </w:r>
      <w:r w:rsidR="00BC0820" w:rsidRPr="00BF4514">
        <w:rPr>
          <w:rFonts w:ascii="Times New Roman" w:hAnsi="Times New Roman" w:cs="Times New Roman"/>
          <w:sz w:val="24"/>
          <w:szCs w:val="24"/>
        </w:rPr>
        <w:t xml:space="preserve"> </w:t>
      </w:r>
      <w:r w:rsidRPr="00BF4514">
        <w:rPr>
          <w:rFonts w:ascii="Times New Roman" w:hAnsi="Times New Roman" w:cs="Times New Roman"/>
          <w:sz w:val="24"/>
          <w:szCs w:val="24"/>
        </w:rPr>
        <w:t xml:space="preserve">konieczne stało się rozszerzenie </w:t>
      </w:r>
      <w:r w:rsidR="00BC0820" w:rsidRPr="00BF4514">
        <w:rPr>
          <w:rFonts w:ascii="Times New Roman" w:hAnsi="Times New Roman" w:cs="Times New Roman"/>
          <w:sz w:val="24"/>
          <w:szCs w:val="24"/>
        </w:rPr>
        <w:t xml:space="preserve">przewidzianej w niej </w:t>
      </w:r>
      <w:r w:rsidRPr="00BF4514">
        <w:rPr>
          <w:rFonts w:ascii="Times New Roman" w:hAnsi="Times New Roman" w:cs="Times New Roman"/>
          <w:sz w:val="24"/>
          <w:szCs w:val="24"/>
        </w:rPr>
        <w:t xml:space="preserve">ochrony, tak aby obejmowała ona także postępowania o </w:t>
      </w:r>
      <w:r w:rsidR="00411404" w:rsidRPr="00BF4514">
        <w:rPr>
          <w:rFonts w:ascii="Times New Roman" w:hAnsi="Times New Roman" w:cs="Times New Roman"/>
          <w:sz w:val="24"/>
          <w:szCs w:val="24"/>
        </w:rPr>
        <w:t>takim</w:t>
      </w:r>
      <w:r w:rsidRPr="00BF4514">
        <w:rPr>
          <w:rFonts w:ascii="Times New Roman" w:hAnsi="Times New Roman" w:cs="Times New Roman"/>
          <w:sz w:val="24"/>
          <w:szCs w:val="24"/>
        </w:rPr>
        <w:t xml:space="preserve"> charakterze. </w:t>
      </w:r>
    </w:p>
    <w:p w14:paraId="1A2246FD" w14:textId="620806E8" w:rsidR="00590811" w:rsidRPr="00BF4514" w:rsidRDefault="0059081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Przyjęte rozwiązania mają na celu przeciwdziałanie nasilaniu się zjawiska powództw zmierzających do stłumienia, ograniczenia</w:t>
      </w:r>
      <w:r w:rsidR="007E1620" w:rsidRPr="00BF4514">
        <w:rPr>
          <w:rFonts w:ascii="Times New Roman" w:hAnsi="Times New Roman" w:cs="Times New Roman"/>
          <w:sz w:val="24"/>
          <w:szCs w:val="24"/>
        </w:rPr>
        <w:t>,</w:t>
      </w:r>
      <w:r w:rsidRPr="00BF4514">
        <w:rPr>
          <w:rFonts w:ascii="Times New Roman" w:hAnsi="Times New Roman" w:cs="Times New Roman"/>
          <w:sz w:val="24"/>
          <w:szCs w:val="24"/>
        </w:rPr>
        <w:t xml:space="preserve"> zakłócenia debaty publicznej</w:t>
      </w:r>
      <w:r w:rsidR="007E1620" w:rsidRPr="00BF4514">
        <w:rPr>
          <w:rFonts w:ascii="Times New Roman" w:hAnsi="Times New Roman" w:cs="Times New Roman"/>
          <w:sz w:val="24"/>
          <w:szCs w:val="24"/>
        </w:rPr>
        <w:t xml:space="preserve"> lub szykanowania za udział w niej</w:t>
      </w:r>
      <w:r w:rsidRPr="00BF4514">
        <w:rPr>
          <w:rFonts w:ascii="Times New Roman" w:hAnsi="Times New Roman" w:cs="Times New Roman"/>
          <w:sz w:val="24"/>
          <w:szCs w:val="24"/>
        </w:rPr>
        <w:t xml:space="preserve">, które stanowią poważne zagrożenie dla wolności słowa i demokratycznych wartości. Kluczowym elementem tych rozwiązań jest realizacja postulatu szybkości postępowań sądowych, co pozwala na minimalizację negatywnych skutków długotrwałego procesu dla pozwanych, którzy często są stroną słabszą. </w:t>
      </w:r>
      <w:r w:rsidR="00AE1DB2" w:rsidRPr="00BF4514">
        <w:rPr>
          <w:rFonts w:ascii="Times New Roman" w:hAnsi="Times New Roman" w:cs="Times New Roman"/>
          <w:sz w:val="24"/>
          <w:szCs w:val="24"/>
        </w:rPr>
        <w:t xml:space="preserve">W celu realizacji tego postulatu wprowadzono rozwiązania umożliwiające oddalenie lub odrzucenie pozwu na wczesnym etapie procesu. Taki mechanizm pozwala na szybkie wyeliminowanie roszczeń, które są oczywiście bezzasadne lub stanowią </w:t>
      </w:r>
      <w:r w:rsidR="00130FE9" w:rsidRPr="00BF4514">
        <w:rPr>
          <w:rFonts w:ascii="Times New Roman" w:hAnsi="Times New Roman" w:cs="Times New Roman"/>
          <w:sz w:val="24"/>
          <w:szCs w:val="24"/>
        </w:rPr>
        <w:t xml:space="preserve">oczywiste </w:t>
      </w:r>
      <w:r w:rsidR="00AE1DB2" w:rsidRPr="00BF4514">
        <w:rPr>
          <w:rFonts w:ascii="Times New Roman" w:hAnsi="Times New Roman" w:cs="Times New Roman"/>
          <w:sz w:val="24"/>
          <w:szCs w:val="24"/>
        </w:rPr>
        <w:t xml:space="preserve">nadużycie prawa procesowego, co znacząco ogranicza czas i koszty związane z rozpoznaniem sprawy. Dodatkowo wprowadzono </w:t>
      </w:r>
      <w:r w:rsidR="002878C2" w:rsidRPr="00BF4514">
        <w:rPr>
          <w:rFonts w:ascii="Times New Roman" w:hAnsi="Times New Roman" w:cs="Times New Roman"/>
          <w:sz w:val="24"/>
          <w:szCs w:val="24"/>
        </w:rPr>
        <w:t>trzy</w:t>
      </w:r>
      <w:r w:rsidR="00AE1DB2" w:rsidRPr="00BF4514">
        <w:rPr>
          <w:rFonts w:ascii="Times New Roman" w:hAnsi="Times New Roman" w:cs="Times New Roman"/>
          <w:sz w:val="24"/>
          <w:szCs w:val="24"/>
        </w:rPr>
        <w:t>miesięczny termin, w</w:t>
      </w:r>
      <w:r w:rsidR="00C45E57" w:rsidRPr="00BF4514">
        <w:rPr>
          <w:rFonts w:ascii="Times New Roman" w:hAnsi="Times New Roman" w:cs="Times New Roman"/>
          <w:sz w:val="24"/>
          <w:szCs w:val="24"/>
        </w:rPr>
        <w:t> </w:t>
      </w:r>
      <w:r w:rsidR="00AE1DB2" w:rsidRPr="00BF4514">
        <w:rPr>
          <w:rFonts w:ascii="Times New Roman" w:hAnsi="Times New Roman" w:cs="Times New Roman"/>
          <w:sz w:val="24"/>
          <w:szCs w:val="24"/>
        </w:rPr>
        <w:t xml:space="preserve">którym sąd powinien rozstrzygnąć o oddaleniu powództwa, jeżeli jego bezzasadność jest oczywista. </w:t>
      </w:r>
    </w:p>
    <w:p w14:paraId="5DB4957F" w14:textId="6E1355D5" w:rsidR="00462B9D" w:rsidRPr="00BF4514" w:rsidRDefault="00462B9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 przewiduje trzy sposoby reakcji sądu na powództwo zmierzające wyłącznie lub głównie do stłumienia, ograniczenia, zakłócenia debaty publicznej lub szykanowania za udział w niej. W każdym z</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 xml:space="preserve">tych wariantów sąd zasądza na rzecz pozwanego zwrot poniesionych przez niego </w:t>
      </w:r>
      <w:r w:rsidRPr="00BF4514">
        <w:rPr>
          <w:rFonts w:ascii="Times New Roman" w:hAnsi="Times New Roman" w:cs="Times New Roman"/>
          <w:sz w:val="24"/>
          <w:szCs w:val="24"/>
        </w:rPr>
        <w:lastRenderedPageBreak/>
        <w:t>kosztów zastępstwa procesowego w pełnej wysokości, chyba że koszty te są nadmierne (art. 14) oraz może nałożyć na powoda grzywnę przewidzianą w art. 13. Uwzględniono w nich, że niektóre powództwa mogą zmierzać wyłącznie, a inne – głównie do stłumienia, ograniczenia, zakłócenia debaty publicznej lub szykanowania za udział w niej.</w:t>
      </w:r>
    </w:p>
    <w:p w14:paraId="73D81734" w14:textId="7A681535" w:rsidR="00462B9D" w:rsidRPr="00BF4514" w:rsidRDefault="00462B9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Po pierwsze, jeżeli w sprawie zmierzającej „wyłącznie lub głównie” do stłumienia, ograniczenia, zakłócenia debaty publicznej lub szykanowania za udział w niej sąd uzna powództwo za oczywiście bezzasadne, będzie mógł je oddalić zgodnie z art. 7</w:t>
      </w:r>
      <w:r w:rsidR="00852136" w:rsidRPr="00852136">
        <w:rPr>
          <w:rFonts w:ascii="Times New Roman" w:hAnsi="Times New Roman" w:cs="Times New Roman"/>
          <w:sz w:val="24"/>
          <w:szCs w:val="24"/>
        </w:rPr>
        <w:t>–</w:t>
      </w:r>
      <w:r w:rsidRPr="00BF4514">
        <w:rPr>
          <w:rFonts w:ascii="Times New Roman" w:hAnsi="Times New Roman" w:cs="Times New Roman"/>
          <w:sz w:val="24"/>
          <w:szCs w:val="24"/>
        </w:rPr>
        <w:t>9. Przepisy te przewidują możliwość zastosowania art. 191</w:t>
      </w:r>
      <w:r w:rsidRPr="00BF4514">
        <w:rPr>
          <w:rFonts w:ascii="Times New Roman" w:hAnsi="Times New Roman" w:cs="Times New Roman"/>
          <w:sz w:val="24"/>
          <w:szCs w:val="24"/>
          <w:vertAlign w:val="superscript"/>
        </w:rPr>
        <w:t>1</w:t>
      </w:r>
      <w:r w:rsidRPr="00BF4514">
        <w:rPr>
          <w:rFonts w:ascii="Times New Roman" w:hAnsi="Times New Roman" w:cs="Times New Roman"/>
          <w:sz w:val="24"/>
          <w:szCs w:val="24"/>
        </w:rPr>
        <w:t xml:space="preserve"> oraz art. 391</w:t>
      </w:r>
      <w:r w:rsidRPr="00BF4514">
        <w:rPr>
          <w:rFonts w:ascii="Times New Roman" w:hAnsi="Times New Roman" w:cs="Times New Roman"/>
          <w:sz w:val="24"/>
          <w:szCs w:val="24"/>
          <w:vertAlign w:val="superscript"/>
        </w:rPr>
        <w:t>1</w:t>
      </w:r>
      <w:r w:rsidRPr="00BF4514">
        <w:rPr>
          <w:rFonts w:ascii="Times New Roman" w:hAnsi="Times New Roman" w:cs="Times New Roman"/>
          <w:sz w:val="24"/>
          <w:szCs w:val="24"/>
        </w:rPr>
        <w:t xml:space="preserve"> k.p.c., jednakże ze zmianami ułatwiającymi stosowanie tej regulacji w sprawach SLAPP. W szczególności powództwo będzie mogło zostać oddalone jako oczywiście bezzasadne także na wniosek pozwanego – po doręczeniu mu odpisu pozwu. Zgodnie z art. 8 ust. 2 wnioski o oddalenie powództwa jako oczywiście bezzasadnego będą rozpoznawane w trybie przyspieszonym w rozumieniu art. 7 ust. 1 w zw. z art. 6 ust. 1 lit. b Dyrektywy.</w:t>
      </w:r>
    </w:p>
    <w:p w14:paraId="43FF1F93" w14:textId="0602813A" w:rsidR="00462B9D" w:rsidRPr="00BF4514" w:rsidRDefault="00462B9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Po drugie, zgodnie z art. 10</w:t>
      </w:r>
      <w:r w:rsidR="00852136" w:rsidRPr="00852136">
        <w:rPr>
          <w:rFonts w:ascii="Times New Roman" w:hAnsi="Times New Roman" w:cs="Times New Roman"/>
          <w:sz w:val="24"/>
          <w:szCs w:val="24"/>
        </w:rPr>
        <w:t>–</w:t>
      </w:r>
      <w:r w:rsidRPr="00BF4514">
        <w:rPr>
          <w:rFonts w:ascii="Times New Roman" w:hAnsi="Times New Roman" w:cs="Times New Roman"/>
          <w:sz w:val="24"/>
          <w:szCs w:val="24"/>
        </w:rPr>
        <w:t>12, jeżeli sąd uzna, że stłumienie, ograniczenie, zakłócenie debaty publicznej lub szykanowanie za udział w niej jest „wyłącznym” (a nie tylko głównym) celem powództwa, będzie mógł uznać je za nadużycie prawa procesowego i odrzucić pozew. Umożliwi to przewidziane w</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art. 1</w:t>
      </w:r>
      <w:r w:rsidR="005E22ED" w:rsidRPr="00BF4514">
        <w:rPr>
          <w:rFonts w:ascii="Times New Roman" w:hAnsi="Times New Roman" w:cs="Times New Roman"/>
          <w:sz w:val="24"/>
          <w:szCs w:val="24"/>
        </w:rPr>
        <w:t>8</w:t>
      </w:r>
      <w:r w:rsidRPr="00BF4514">
        <w:rPr>
          <w:rFonts w:ascii="Times New Roman" w:hAnsi="Times New Roman" w:cs="Times New Roman"/>
          <w:sz w:val="24"/>
          <w:szCs w:val="24"/>
        </w:rPr>
        <w:t xml:space="preserve"> uzupełnienie art. 4</w:t>
      </w:r>
      <w:r w:rsidRPr="00BF4514">
        <w:rPr>
          <w:rFonts w:ascii="Times New Roman" w:hAnsi="Times New Roman" w:cs="Times New Roman"/>
          <w:sz w:val="24"/>
          <w:szCs w:val="24"/>
          <w:vertAlign w:val="superscript"/>
        </w:rPr>
        <w:t>1</w:t>
      </w:r>
      <w:r w:rsidRPr="00BF4514">
        <w:rPr>
          <w:rFonts w:ascii="Times New Roman" w:hAnsi="Times New Roman" w:cs="Times New Roman"/>
          <w:sz w:val="24"/>
          <w:szCs w:val="24"/>
        </w:rPr>
        <w:t xml:space="preserve"> k.p.c. o sankcję.</w:t>
      </w:r>
    </w:p>
    <w:p w14:paraId="1145DCF9" w14:textId="292441FF" w:rsidR="00462B9D" w:rsidRPr="00BF4514" w:rsidRDefault="00462B9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Po trzecie – jeżeli sąd nie znajdzie podstaw do oddalania powództwa jako oczywiście niezasadnego ani do odrzucenia pozwu ze względu na nadużycie prawa – zgodnie z art. 5 może uznać postępowanie za zmierzające „głównie” do stłumienia, ograniczenia, zakłócenia debaty publicznej lub szykanowania za udział w niej i w konsekwencji, w myśl art. 6, stwierdzić to w sentencji wyroku. Będzie to stanowiło podstawę do zastosowania art. 14 (zasądzenie na rzecz pozwanego zwrotu poniesionych przez niego kosztów zastępstwa procesowego w pełnej wysokości) oraz art. 13 (możliwość nałożenia na powoda grzywny). Co istotne, ten trzeci wariant obejmuje nie tylko sytuacje, w których sąd oddali powództwo w całości, ale i w części. Jest to spójne </w:t>
      </w:r>
      <w:r w:rsidR="00852136">
        <w:rPr>
          <w:rFonts w:ascii="Times New Roman" w:hAnsi="Times New Roman" w:cs="Times New Roman"/>
          <w:sz w:val="24"/>
          <w:szCs w:val="24"/>
        </w:rPr>
        <w:t>z</w:t>
      </w:r>
      <w:r w:rsidRPr="00BF4514">
        <w:rPr>
          <w:rFonts w:ascii="Times New Roman" w:hAnsi="Times New Roman" w:cs="Times New Roman"/>
          <w:sz w:val="24"/>
          <w:szCs w:val="24"/>
        </w:rPr>
        <w:t xml:space="preserve"> motywem 29 Dyrektywy, w myśl którego roszczenia wniesione w stanowiącym nadużycie postępowaniu sądowym zmierzającym do stłumienia debaty publicznej mogą być całkowicie lub częściowo bezzasadne. Oznacza to, że aby postępowanie zostało uznane za stanowiące nadużycie, roszczenie nie musi być całkowicie bezzasadne.</w:t>
      </w:r>
    </w:p>
    <w:p w14:paraId="2F11AD5F" w14:textId="6F04A8C1" w:rsidR="002019EB" w:rsidRPr="00BF4514" w:rsidRDefault="00D64D14"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Ponadto n</w:t>
      </w:r>
      <w:r w:rsidR="002019EB" w:rsidRPr="00BF4514">
        <w:rPr>
          <w:rFonts w:ascii="Times New Roman" w:hAnsi="Times New Roman" w:cs="Times New Roman"/>
          <w:sz w:val="24"/>
          <w:szCs w:val="24"/>
        </w:rPr>
        <w:t xml:space="preserve">owe regulacje przewidują mechanizmy mające na celu wyrównanie szans stron w procesie, co jest szczególnie istotne w przypadkach, gdy osoby fizyczne, organizacje pozarządowe, dziennikarze czy aktywiści stają się celem pozwów mających na celu ich zastraszenie lub uciszenie. W takich sytuacjach pozwani często nie dysponują wystarczającymi </w:t>
      </w:r>
      <w:r w:rsidR="002019EB" w:rsidRPr="00BF4514">
        <w:rPr>
          <w:rFonts w:ascii="Times New Roman" w:hAnsi="Times New Roman" w:cs="Times New Roman"/>
          <w:sz w:val="24"/>
          <w:szCs w:val="24"/>
        </w:rPr>
        <w:lastRenderedPageBreak/>
        <w:t>zasobami finansowymi, aby skutecznie bronić się przed silniejszymi przeciwnikami. Aby zapobiec tym nierównościom, nowe przepisy wprowadzają możliwość nałożenia na powoda obowiązku wpłacenia kaucji na zabezpieczenie kosztów procesu. Mechanizm ten pozwala na zminimalizowanie ryzyka finansowego dla pozwanego i</w:t>
      </w:r>
      <w:r w:rsidR="00C45E57" w:rsidRPr="00BF4514">
        <w:rPr>
          <w:rFonts w:ascii="Times New Roman" w:hAnsi="Times New Roman" w:cs="Times New Roman"/>
          <w:sz w:val="24"/>
          <w:szCs w:val="24"/>
        </w:rPr>
        <w:t> </w:t>
      </w:r>
      <w:r w:rsidR="002019EB" w:rsidRPr="00BF4514">
        <w:rPr>
          <w:rFonts w:ascii="Times New Roman" w:hAnsi="Times New Roman" w:cs="Times New Roman"/>
          <w:sz w:val="24"/>
          <w:szCs w:val="24"/>
        </w:rPr>
        <w:t xml:space="preserve">jednocześnie działa odstraszająco na powoda, jeśli jego roszczenie jest nieuzasadnione. Dodatkowo, w przypadku </w:t>
      </w:r>
      <w:r w:rsidR="00A62FBE" w:rsidRPr="00BF4514">
        <w:rPr>
          <w:rFonts w:ascii="Times New Roman" w:hAnsi="Times New Roman" w:cs="Times New Roman"/>
          <w:sz w:val="24"/>
          <w:szCs w:val="24"/>
        </w:rPr>
        <w:t>odrzucenia pozwu</w:t>
      </w:r>
      <w:r w:rsidR="00E75EAC" w:rsidRPr="00BF4514">
        <w:rPr>
          <w:rFonts w:ascii="Times New Roman" w:hAnsi="Times New Roman" w:cs="Times New Roman"/>
          <w:sz w:val="24"/>
          <w:szCs w:val="24"/>
        </w:rPr>
        <w:t>, a także oddalenia powództwa</w:t>
      </w:r>
      <w:r w:rsidR="002019EB" w:rsidRPr="00BF4514">
        <w:rPr>
          <w:rFonts w:ascii="Times New Roman" w:hAnsi="Times New Roman" w:cs="Times New Roman"/>
          <w:sz w:val="24"/>
          <w:szCs w:val="24"/>
        </w:rPr>
        <w:t>, powód będzie zobowiązany do zwrotu wszystkich kosztów procesu poniesionych przez pozwanego, w tym kosztów zastępstwa procesowego w pełnej wysokości.</w:t>
      </w:r>
      <w:r w:rsidR="00500ECF" w:rsidRPr="00BF4514">
        <w:rPr>
          <w:rFonts w:ascii="Times New Roman" w:hAnsi="Times New Roman" w:cs="Times New Roman"/>
          <w:sz w:val="24"/>
          <w:szCs w:val="24"/>
        </w:rPr>
        <w:t xml:space="preserve"> </w:t>
      </w:r>
    </w:p>
    <w:p w14:paraId="500D6619" w14:textId="6B21EAFA" w:rsidR="0081342F" w:rsidRPr="00BF4514" w:rsidRDefault="0059081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Istotnym elementem jest również wprowadzenie środków mających na celu przeciwdziałanie </w:t>
      </w:r>
      <w:r w:rsidR="00C90842" w:rsidRPr="00BF4514">
        <w:rPr>
          <w:rFonts w:ascii="Times New Roman" w:hAnsi="Times New Roman" w:cs="Times New Roman"/>
          <w:sz w:val="24"/>
          <w:szCs w:val="24"/>
        </w:rPr>
        <w:t>inicjowaniu tego typu postępowań</w:t>
      </w:r>
      <w:r w:rsidR="00852136">
        <w:rPr>
          <w:rFonts w:ascii="Times New Roman" w:hAnsi="Times New Roman" w:cs="Times New Roman"/>
          <w:sz w:val="24"/>
          <w:szCs w:val="24"/>
        </w:rPr>
        <w:t>,</w:t>
      </w:r>
      <w:r w:rsidR="001E6158" w:rsidRPr="00BF4514">
        <w:rPr>
          <w:rFonts w:ascii="Times New Roman" w:hAnsi="Times New Roman" w:cs="Times New Roman"/>
          <w:sz w:val="24"/>
          <w:szCs w:val="24"/>
        </w:rPr>
        <w:t xml:space="preserve"> tj. </w:t>
      </w:r>
      <w:r w:rsidR="00AF14A8" w:rsidRPr="00BF4514">
        <w:rPr>
          <w:rFonts w:ascii="Times New Roman" w:hAnsi="Times New Roman" w:cs="Times New Roman"/>
          <w:sz w:val="24"/>
          <w:szCs w:val="24"/>
        </w:rPr>
        <w:t xml:space="preserve">możliwość nałożenia na powoda </w:t>
      </w:r>
      <w:r w:rsidR="006E77E4" w:rsidRPr="00BF4514">
        <w:rPr>
          <w:rFonts w:ascii="Times New Roman" w:hAnsi="Times New Roman" w:cs="Times New Roman"/>
          <w:sz w:val="24"/>
          <w:szCs w:val="24"/>
        </w:rPr>
        <w:t>grzywny</w:t>
      </w:r>
      <w:r w:rsidR="00CC2D96" w:rsidRPr="00BF4514">
        <w:rPr>
          <w:rFonts w:ascii="Times New Roman" w:hAnsi="Times New Roman" w:cs="Times New Roman"/>
          <w:sz w:val="24"/>
          <w:szCs w:val="24"/>
        </w:rPr>
        <w:t>.</w:t>
      </w:r>
      <w:r w:rsidR="0081342F" w:rsidRPr="00BF4514">
        <w:rPr>
          <w:rFonts w:ascii="Times New Roman" w:hAnsi="Times New Roman" w:cs="Times New Roman"/>
          <w:sz w:val="24"/>
          <w:szCs w:val="24"/>
        </w:rPr>
        <w:t xml:space="preserve"> Wprowadzone w</w:t>
      </w:r>
      <w:r w:rsidR="00C45E57" w:rsidRPr="00BF4514">
        <w:rPr>
          <w:rFonts w:ascii="Times New Roman" w:hAnsi="Times New Roman" w:cs="Times New Roman"/>
          <w:sz w:val="24"/>
          <w:szCs w:val="24"/>
        </w:rPr>
        <w:t> </w:t>
      </w:r>
      <w:r w:rsidR="0081342F" w:rsidRPr="00BF4514">
        <w:rPr>
          <w:rFonts w:ascii="Times New Roman" w:hAnsi="Times New Roman" w:cs="Times New Roman"/>
          <w:sz w:val="24"/>
          <w:szCs w:val="24"/>
        </w:rPr>
        <w:t>ustawie rozwiązani</w:t>
      </w:r>
      <w:r w:rsidR="00CC2D96" w:rsidRPr="00BF4514">
        <w:rPr>
          <w:rFonts w:ascii="Times New Roman" w:hAnsi="Times New Roman" w:cs="Times New Roman"/>
          <w:sz w:val="24"/>
          <w:szCs w:val="24"/>
        </w:rPr>
        <w:t>e</w:t>
      </w:r>
      <w:r w:rsidR="0081342F" w:rsidRPr="00BF4514">
        <w:rPr>
          <w:rFonts w:ascii="Times New Roman" w:hAnsi="Times New Roman" w:cs="Times New Roman"/>
          <w:sz w:val="24"/>
          <w:szCs w:val="24"/>
        </w:rPr>
        <w:t xml:space="preserve"> nie tylko zapewnia ochronę osobom uczestniczącym w debacie publicznej, lecz także jasno wskazuj</w:t>
      </w:r>
      <w:r w:rsidR="00433B0E" w:rsidRPr="00BF4514">
        <w:rPr>
          <w:rFonts w:ascii="Times New Roman" w:hAnsi="Times New Roman" w:cs="Times New Roman"/>
          <w:sz w:val="24"/>
          <w:szCs w:val="24"/>
        </w:rPr>
        <w:t>e</w:t>
      </w:r>
      <w:r w:rsidR="0081342F" w:rsidRPr="00BF4514">
        <w:rPr>
          <w:rFonts w:ascii="Times New Roman" w:hAnsi="Times New Roman" w:cs="Times New Roman"/>
          <w:sz w:val="24"/>
          <w:szCs w:val="24"/>
        </w:rPr>
        <w:t>, że wykorzystywanie procedur sądowych jako narzędzia nacisku lub represji nie będzie akceptowane.</w:t>
      </w:r>
    </w:p>
    <w:p w14:paraId="1C790F2E" w14:textId="07A1E1BD" w:rsidR="004B28AB" w:rsidRPr="00BF4514" w:rsidRDefault="004B28AB"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Należy podkreślić, że projektodawca świadomie odstąpił od uregulowania w ustawie kwestii dochodzenia roszczeń w przypadku wystąpienia szkody </w:t>
      </w:r>
      <w:r w:rsidR="00DB0D62" w:rsidRPr="00BF4514">
        <w:rPr>
          <w:rFonts w:ascii="Times New Roman" w:hAnsi="Times New Roman" w:cs="Times New Roman"/>
          <w:sz w:val="24"/>
          <w:szCs w:val="24"/>
        </w:rPr>
        <w:t>na skutek wytoczenia</w:t>
      </w:r>
      <w:r w:rsidRPr="00BF4514">
        <w:rPr>
          <w:rFonts w:ascii="Times New Roman" w:hAnsi="Times New Roman" w:cs="Times New Roman"/>
          <w:sz w:val="24"/>
          <w:szCs w:val="24"/>
        </w:rPr>
        <w:t xml:space="preserve"> </w:t>
      </w:r>
      <w:r w:rsidR="00DB0D62" w:rsidRPr="00BF4514">
        <w:rPr>
          <w:rFonts w:ascii="Times New Roman" w:hAnsi="Times New Roman" w:cs="Times New Roman"/>
          <w:sz w:val="24"/>
          <w:szCs w:val="24"/>
        </w:rPr>
        <w:t>powództwa zmierzającego do stłumienia, ograniczenia, zakłócenia debaty publicznej lub szykanowania za udział w</w:t>
      </w:r>
      <w:r w:rsidR="00C45E57" w:rsidRPr="00BF4514">
        <w:rPr>
          <w:rFonts w:ascii="Times New Roman" w:hAnsi="Times New Roman" w:cs="Times New Roman"/>
          <w:sz w:val="24"/>
          <w:szCs w:val="24"/>
        </w:rPr>
        <w:t> </w:t>
      </w:r>
      <w:r w:rsidR="00DB0D62" w:rsidRPr="00BF4514">
        <w:rPr>
          <w:rFonts w:ascii="Times New Roman" w:hAnsi="Times New Roman" w:cs="Times New Roman"/>
          <w:sz w:val="24"/>
          <w:szCs w:val="24"/>
        </w:rPr>
        <w:t>niej</w:t>
      </w:r>
      <w:r w:rsidRPr="00BF4514">
        <w:rPr>
          <w:rFonts w:ascii="Times New Roman" w:hAnsi="Times New Roman" w:cs="Times New Roman"/>
          <w:sz w:val="24"/>
          <w:szCs w:val="24"/>
        </w:rPr>
        <w:t xml:space="preserve">. Decyzja ta wynika z intencji zapewnienia możliwie największej efektywności oraz szybkości postępowania. Wprowadzenie dodatkowego etapu polegającego na badaniu przez sąd przesłanek odpowiedzialności odszkodowawczej mogłoby znacząco wydłużyć proces decyzyjny w zakresie uznania danego powództwa za mające charakter </w:t>
      </w:r>
      <w:r w:rsidR="00D20790" w:rsidRPr="00BF4514">
        <w:rPr>
          <w:rFonts w:ascii="Times New Roman" w:hAnsi="Times New Roman" w:cs="Times New Roman"/>
          <w:sz w:val="24"/>
          <w:szCs w:val="24"/>
        </w:rPr>
        <w:t>„</w:t>
      </w:r>
      <w:r w:rsidRPr="00BF4514">
        <w:rPr>
          <w:rFonts w:ascii="Times New Roman" w:hAnsi="Times New Roman" w:cs="Times New Roman"/>
          <w:sz w:val="24"/>
          <w:szCs w:val="24"/>
        </w:rPr>
        <w:t>S</w:t>
      </w:r>
      <w:r w:rsidR="00CA3D3E" w:rsidRPr="00BF4514">
        <w:rPr>
          <w:rFonts w:ascii="Times New Roman" w:hAnsi="Times New Roman" w:cs="Times New Roman"/>
          <w:sz w:val="24"/>
          <w:szCs w:val="24"/>
        </w:rPr>
        <w:t>lapp</w:t>
      </w:r>
      <w:r w:rsidR="00D20790" w:rsidRPr="00BF4514">
        <w:rPr>
          <w:rFonts w:ascii="Times New Roman" w:hAnsi="Times New Roman" w:cs="Times New Roman"/>
          <w:sz w:val="24"/>
          <w:szCs w:val="24"/>
        </w:rPr>
        <w:t>”</w:t>
      </w:r>
      <w:r w:rsidRPr="00BF4514">
        <w:rPr>
          <w:rFonts w:ascii="Times New Roman" w:hAnsi="Times New Roman" w:cs="Times New Roman"/>
          <w:sz w:val="24"/>
          <w:szCs w:val="24"/>
        </w:rPr>
        <w:t>.</w:t>
      </w:r>
      <w:r w:rsidR="00D332BF" w:rsidRPr="00BF4514">
        <w:rPr>
          <w:rFonts w:ascii="Times New Roman" w:hAnsi="Times New Roman" w:cs="Times New Roman"/>
          <w:sz w:val="24"/>
          <w:szCs w:val="24"/>
        </w:rPr>
        <w:t xml:space="preserve"> Trzeba też podkreślić, że projekt zakłada </w:t>
      </w:r>
      <w:r w:rsidR="0039408A" w:rsidRPr="00BF4514">
        <w:rPr>
          <w:rFonts w:ascii="Times New Roman" w:hAnsi="Times New Roman" w:cs="Times New Roman"/>
          <w:sz w:val="24"/>
          <w:szCs w:val="24"/>
        </w:rPr>
        <w:t xml:space="preserve">obciążenie </w:t>
      </w:r>
      <w:r w:rsidR="00713F52" w:rsidRPr="00BF4514">
        <w:rPr>
          <w:rFonts w:ascii="Times New Roman" w:hAnsi="Times New Roman" w:cs="Times New Roman"/>
          <w:sz w:val="24"/>
          <w:szCs w:val="24"/>
        </w:rPr>
        <w:t>podmiotu</w:t>
      </w:r>
      <w:r w:rsidR="0039408A" w:rsidRPr="00BF4514">
        <w:rPr>
          <w:rFonts w:ascii="Times New Roman" w:hAnsi="Times New Roman" w:cs="Times New Roman"/>
          <w:sz w:val="24"/>
          <w:szCs w:val="24"/>
        </w:rPr>
        <w:t xml:space="preserve"> realizującego działania Slapp w sferze procesowej </w:t>
      </w:r>
      <w:r w:rsidR="00A12E5A" w:rsidRPr="00BF4514">
        <w:rPr>
          <w:rFonts w:ascii="Times New Roman" w:hAnsi="Times New Roman" w:cs="Times New Roman"/>
          <w:sz w:val="24"/>
          <w:szCs w:val="24"/>
        </w:rPr>
        <w:t xml:space="preserve">obowiązkiem zwrotu pełnych kosztów </w:t>
      </w:r>
      <w:r w:rsidR="00713F52" w:rsidRPr="00BF4514">
        <w:rPr>
          <w:rFonts w:ascii="Times New Roman" w:hAnsi="Times New Roman" w:cs="Times New Roman"/>
          <w:sz w:val="24"/>
          <w:szCs w:val="24"/>
        </w:rPr>
        <w:t>postępowania</w:t>
      </w:r>
      <w:r w:rsidR="00A12E5A" w:rsidRPr="00BF4514">
        <w:rPr>
          <w:rFonts w:ascii="Times New Roman" w:hAnsi="Times New Roman" w:cs="Times New Roman"/>
          <w:sz w:val="24"/>
          <w:szCs w:val="24"/>
        </w:rPr>
        <w:t xml:space="preserve"> poniesionych przez podmiot dotknięty takimi działaniami. </w:t>
      </w:r>
      <w:r w:rsidR="00132E57" w:rsidRPr="00BF4514">
        <w:rPr>
          <w:rFonts w:ascii="Times New Roman" w:hAnsi="Times New Roman" w:cs="Times New Roman"/>
          <w:sz w:val="24"/>
          <w:szCs w:val="24"/>
        </w:rPr>
        <w:t>W sposób wyjątkowy w</w:t>
      </w:r>
      <w:r w:rsidR="00C45E57" w:rsidRPr="00BF4514">
        <w:rPr>
          <w:rFonts w:ascii="Times New Roman" w:hAnsi="Times New Roman" w:cs="Times New Roman"/>
          <w:sz w:val="24"/>
          <w:szCs w:val="24"/>
        </w:rPr>
        <w:t> </w:t>
      </w:r>
      <w:r w:rsidR="00132E57" w:rsidRPr="00BF4514">
        <w:rPr>
          <w:rFonts w:ascii="Times New Roman" w:hAnsi="Times New Roman" w:cs="Times New Roman"/>
          <w:sz w:val="24"/>
          <w:szCs w:val="24"/>
        </w:rPr>
        <w:t xml:space="preserve">polskim systemie prawnym takie koszty mogą obejmować </w:t>
      </w:r>
      <w:r w:rsidR="00713F52" w:rsidRPr="00BF4514">
        <w:rPr>
          <w:rFonts w:ascii="Times New Roman" w:hAnsi="Times New Roman" w:cs="Times New Roman"/>
          <w:sz w:val="24"/>
          <w:szCs w:val="24"/>
        </w:rPr>
        <w:t>konieczną</w:t>
      </w:r>
      <w:r w:rsidR="00132E57" w:rsidRPr="00BF4514">
        <w:rPr>
          <w:rFonts w:ascii="Times New Roman" w:hAnsi="Times New Roman" w:cs="Times New Roman"/>
          <w:sz w:val="24"/>
          <w:szCs w:val="24"/>
        </w:rPr>
        <w:t xml:space="preserve"> liczbę zastępców procesowych, koszty tłumaczeń, opinii, słowem koszty wszystkich możliwych dzia</w:t>
      </w:r>
      <w:r w:rsidR="00B7315A" w:rsidRPr="00BF4514">
        <w:rPr>
          <w:rFonts w:ascii="Times New Roman" w:hAnsi="Times New Roman" w:cs="Times New Roman"/>
          <w:sz w:val="24"/>
          <w:szCs w:val="24"/>
        </w:rPr>
        <w:t xml:space="preserve">łań, których podjęcie było konieczne dla obrony przed Slapp. Zatem w </w:t>
      </w:r>
      <w:r w:rsidR="00713F52" w:rsidRPr="00BF4514">
        <w:rPr>
          <w:rFonts w:ascii="Times New Roman" w:hAnsi="Times New Roman" w:cs="Times New Roman"/>
          <w:sz w:val="24"/>
          <w:szCs w:val="24"/>
        </w:rPr>
        <w:t>zamierzeniu</w:t>
      </w:r>
      <w:r w:rsidR="00B7315A" w:rsidRPr="00BF4514">
        <w:rPr>
          <w:rFonts w:ascii="Times New Roman" w:hAnsi="Times New Roman" w:cs="Times New Roman"/>
          <w:sz w:val="24"/>
          <w:szCs w:val="24"/>
        </w:rPr>
        <w:t xml:space="preserve"> </w:t>
      </w:r>
      <w:r w:rsidR="00713F52" w:rsidRPr="00BF4514">
        <w:rPr>
          <w:rFonts w:ascii="Times New Roman" w:hAnsi="Times New Roman" w:cs="Times New Roman"/>
          <w:sz w:val="24"/>
          <w:szCs w:val="24"/>
        </w:rPr>
        <w:t>ustawodawcy</w:t>
      </w:r>
      <w:r w:rsidR="00B7315A" w:rsidRPr="00BF4514">
        <w:rPr>
          <w:rFonts w:ascii="Times New Roman" w:hAnsi="Times New Roman" w:cs="Times New Roman"/>
          <w:sz w:val="24"/>
          <w:szCs w:val="24"/>
        </w:rPr>
        <w:t xml:space="preserve"> jest, by zwrot pełnych i realnych kosztów </w:t>
      </w:r>
      <w:r w:rsidR="00713F52" w:rsidRPr="00BF4514">
        <w:rPr>
          <w:rFonts w:ascii="Times New Roman" w:hAnsi="Times New Roman" w:cs="Times New Roman"/>
          <w:sz w:val="24"/>
          <w:szCs w:val="24"/>
        </w:rPr>
        <w:t>postępowania</w:t>
      </w:r>
      <w:r w:rsidR="00B7315A" w:rsidRPr="00BF4514">
        <w:rPr>
          <w:rFonts w:ascii="Times New Roman" w:hAnsi="Times New Roman" w:cs="Times New Roman"/>
          <w:sz w:val="24"/>
          <w:szCs w:val="24"/>
        </w:rPr>
        <w:t xml:space="preserve"> </w:t>
      </w:r>
      <w:r w:rsidR="00713F52" w:rsidRPr="00BF4514">
        <w:rPr>
          <w:rFonts w:ascii="Times New Roman" w:hAnsi="Times New Roman" w:cs="Times New Roman"/>
          <w:sz w:val="24"/>
          <w:szCs w:val="24"/>
        </w:rPr>
        <w:t>możliwy</w:t>
      </w:r>
      <w:r w:rsidR="00206F7F" w:rsidRPr="00BF4514">
        <w:rPr>
          <w:rFonts w:ascii="Times New Roman" w:hAnsi="Times New Roman" w:cs="Times New Roman"/>
          <w:sz w:val="24"/>
          <w:szCs w:val="24"/>
        </w:rPr>
        <w:t xml:space="preserve"> był już </w:t>
      </w:r>
      <w:r w:rsidR="00713F52" w:rsidRPr="00BF4514">
        <w:rPr>
          <w:rFonts w:ascii="Times New Roman" w:hAnsi="Times New Roman" w:cs="Times New Roman"/>
          <w:sz w:val="24"/>
          <w:szCs w:val="24"/>
        </w:rPr>
        <w:t>na etapie procesu uznanego przez sąd za działanie Slapp. Jeśli</w:t>
      </w:r>
      <w:r w:rsidR="00206F7F" w:rsidRPr="00BF4514">
        <w:rPr>
          <w:rFonts w:ascii="Times New Roman" w:hAnsi="Times New Roman" w:cs="Times New Roman"/>
          <w:sz w:val="24"/>
          <w:szCs w:val="24"/>
        </w:rPr>
        <w:t xml:space="preserve"> jednak powstaną inne, dalej idące szkody – </w:t>
      </w:r>
      <w:r w:rsidR="00713F52" w:rsidRPr="00BF4514">
        <w:rPr>
          <w:rFonts w:ascii="Times New Roman" w:hAnsi="Times New Roman" w:cs="Times New Roman"/>
          <w:sz w:val="24"/>
          <w:szCs w:val="24"/>
        </w:rPr>
        <w:t>możliwe</w:t>
      </w:r>
      <w:r w:rsidR="00206F7F" w:rsidRPr="00BF4514">
        <w:rPr>
          <w:rFonts w:ascii="Times New Roman" w:hAnsi="Times New Roman" w:cs="Times New Roman"/>
          <w:sz w:val="24"/>
          <w:szCs w:val="24"/>
        </w:rPr>
        <w:t xml:space="preserve"> jest zainicjowanie </w:t>
      </w:r>
      <w:r w:rsidR="002B69E8" w:rsidRPr="00BF4514">
        <w:rPr>
          <w:rFonts w:ascii="Times New Roman" w:hAnsi="Times New Roman" w:cs="Times New Roman"/>
          <w:sz w:val="24"/>
          <w:szCs w:val="24"/>
        </w:rPr>
        <w:t xml:space="preserve">odrębnego </w:t>
      </w:r>
      <w:r w:rsidR="00713F52" w:rsidRPr="00BF4514">
        <w:rPr>
          <w:rFonts w:ascii="Times New Roman" w:hAnsi="Times New Roman" w:cs="Times New Roman"/>
          <w:sz w:val="24"/>
          <w:szCs w:val="24"/>
        </w:rPr>
        <w:t>postępowania</w:t>
      </w:r>
      <w:r w:rsidR="002B69E8" w:rsidRPr="00BF4514">
        <w:rPr>
          <w:rFonts w:ascii="Times New Roman" w:hAnsi="Times New Roman" w:cs="Times New Roman"/>
          <w:sz w:val="24"/>
          <w:szCs w:val="24"/>
        </w:rPr>
        <w:t xml:space="preserve"> w tym celu. </w:t>
      </w:r>
    </w:p>
    <w:p w14:paraId="1E73B2FF" w14:textId="2145C4A1" w:rsidR="005D7EC5" w:rsidRPr="00BF4514" w:rsidRDefault="004B28AB"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Jednocześnie należy wskazać, że roszczenia odszkodowawcze związane z ewentualną szkodą wyrządzoną przez </w:t>
      </w:r>
      <w:r w:rsidR="00554211" w:rsidRPr="00BF4514">
        <w:rPr>
          <w:rFonts w:ascii="Times New Roman" w:hAnsi="Times New Roman" w:cs="Times New Roman"/>
          <w:sz w:val="24"/>
          <w:szCs w:val="24"/>
        </w:rPr>
        <w:t xml:space="preserve">powództwa zmierzające do stłumienia, ograniczenia, zakłócenia debaty publicznej lub szykanowania za udział w niej, </w:t>
      </w:r>
      <w:r w:rsidRPr="00BF4514">
        <w:rPr>
          <w:rFonts w:ascii="Times New Roman" w:hAnsi="Times New Roman" w:cs="Times New Roman"/>
          <w:sz w:val="24"/>
          <w:szCs w:val="24"/>
        </w:rPr>
        <w:t>mogą być dochodzone na zasadach ogólnych, wynikających z</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 xml:space="preserve">przepisów ustawy </w:t>
      </w:r>
      <w:r w:rsidR="00020CE1" w:rsidRPr="00BF4514">
        <w:rPr>
          <w:rFonts w:ascii="Times New Roman" w:hAnsi="Times New Roman" w:cs="Times New Roman"/>
          <w:sz w:val="24"/>
          <w:szCs w:val="24"/>
        </w:rPr>
        <w:t>z dnia 23 kwietnia 1964 r. Kodeks cywilny (</w:t>
      </w:r>
      <w:r w:rsidR="0032666C" w:rsidRPr="00BF4514">
        <w:rPr>
          <w:rFonts w:ascii="Times New Roman" w:hAnsi="Times New Roman" w:cs="Times New Roman"/>
          <w:sz w:val="24"/>
          <w:szCs w:val="24"/>
        </w:rPr>
        <w:t>Dz. U. z 2025 r. poz. 1071</w:t>
      </w:r>
      <w:r w:rsidR="007739A8">
        <w:rPr>
          <w:rFonts w:ascii="Times New Roman" w:hAnsi="Times New Roman" w:cs="Times New Roman"/>
          <w:sz w:val="24"/>
          <w:szCs w:val="24"/>
        </w:rPr>
        <w:t>, 1172</w:t>
      </w:r>
      <w:r w:rsidR="00C40098" w:rsidRPr="00BF4514">
        <w:rPr>
          <w:rFonts w:ascii="Times New Roman" w:hAnsi="Times New Roman" w:cs="Times New Roman"/>
          <w:sz w:val="24"/>
          <w:szCs w:val="24"/>
        </w:rPr>
        <w:t xml:space="preserve"> i 1508</w:t>
      </w:r>
      <w:r w:rsidR="00C4502D">
        <w:rPr>
          <w:rFonts w:ascii="Times New Roman" w:hAnsi="Times New Roman" w:cs="Times New Roman"/>
          <w:sz w:val="24"/>
          <w:szCs w:val="24"/>
        </w:rPr>
        <w:t xml:space="preserve"> oraz z 2026 r. poz. 184 i 507</w:t>
      </w:r>
      <w:r w:rsidR="00020CE1" w:rsidRPr="00BF4514">
        <w:rPr>
          <w:rFonts w:ascii="Times New Roman" w:hAnsi="Times New Roman" w:cs="Times New Roman"/>
          <w:sz w:val="24"/>
          <w:szCs w:val="24"/>
        </w:rPr>
        <w:t>).</w:t>
      </w:r>
      <w:r w:rsidR="00032799" w:rsidRPr="00BF4514">
        <w:rPr>
          <w:rFonts w:ascii="Times New Roman" w:hAnsi="Times New Roman" w:cs="Times New Roman"/>
          <w:sz w:val="24"/>
          <w:szCs w:val="24"/>
        </w:rPr>
        <w:t xml:space="preserve"> </w:t>
      </w:r>
      <w:r w:rsidR="009D6FA1" w:rsidRPr="00BF4514">
        <w:rPr>
          <w:rFonts w:ascii="Times New Roman" w:hAnsi="Times New Roman" w:cs="Times New Roman"/>
          <w:sz w:val="24"/>
          <w:szCs w:val="24"/>
        </w:rPr>
        <w:t xml:space="preserve">Przyjęte rozwiązania mają na celu </w:t>
      </w:r>
      <w:r w:rsidR="009D6FA1" w:rsidRPr="00BF4514">
        <w:rPr>
          <w:rFonts w:ascii="Times New Roman" w:hAnsi="Times New Roman" w:cs="Times New Roman"/>
          <w:sz w:val="24"/>
          <w:szCs w:val="24"/>
        </w:rPr>
        <w:lastRenderedPageBreak/>
        <w:t xml:space="preserve">przeciwdziałanie </w:t>
      </w:r>
      <w:r w:rsidR="00A276C2" w:rsidRPr="00BF4514">
        <w:rPr>
          <w:rFonts w:ascii="Times New Roman" w:hAnsi="Times New Roman" w:cs="Times New Roman"/>
          <w:sz w:val="24"/>
          <w:szCs w:val="24"/>
        </w:rPr>
        <w:t>rozwijającemu się</w:t>
      </w:r>
      <w:r w:rsidR="009D6FA1" w:rsidRPr="00BF4514">
        <w:rPr>
          <w:rFonts w:ascii="Times New Roman" w:hAnsi="Times New Roman" w:cs="Times New Roman"/>
          <w:sz w:val="24"/>
          <w:szCs w:val="24"/>
        </w:rPr>
        <w:t xml:space="preserve"> zjawisk</w:t>
      </w:r>
      <w:r w:rsidR="00A276C2" w:rsidRPr="00BF4514">
        <w:rPr>
          <w:rFonts w:ascii="Times New Roman" w:hAnsi="Times New Roman" w:cs="Times New Roman"/>
          <w:sz w:val="24"/>
          <w:szCs w:val="24"/>
        </w:rPr>
        <w:t>u</w:t>
      </w:r>
      <w:r w:rsidR="009D6FA1" w:rsidRPr="00BF4514">
        <w:rPr>
          <w:rFonts w:ascii="Times New Roman" w:hAnsi="Times New Roman" w:cs="Times New Roman"/>
          <w:sz w:val="24"/>
          <w:szCs w:val="24"/>
        </w:rPr>
        <w:t xml:space="preserve"> powództw zmierzających do stłumienia, ograniczenia</w:t>
      </w:r>
      <w:r w:rsidR="00A276C2" w:rsidRPr="00BF4514">
        <w:rPr>
          <w:rFonts w:ascii="Times New Roman" w:hAnsi="Times New Roman" w:cs="Times New Roman"/>
          <w:sz w:val="24"/>
          <w:szCs w:val="24"/>
        </w:rPr>
        <w:t xml:space="preserve">, </w:t>
      </w:r>
      <w:r w:rsidR="009D6FA1" w:rsidRPr="00BF4514">
        <w:rPr>
          <w:rFonts w:ascii="Times New Roman" w:hAnsi="Times New Roman" w:cs="Times New Roman"/>
          <w:sz w:val="24"/>
          <w:szCs w:val="24"/>
        </w:rPr>
        <w:t>zakłócenia debaty publicznej</w:t>
      </w:r>
      <w:r w:rsidR="00A276C2" w:rsidRPr="00BF4514">
        <w:rPr>
          <w:rFonts w:ascii="Times New Roman" w:hAnsi="Times New Roman" w:cs="Times New Roman"/>
          <w:sz w:val="24"/>
          <w:szCs w:val="24"/>
        </w:rPr>
        <w:t xml:space="preserve"> lub szykanowania za udział w niej</w:t>
      </w:r>
      <w:r w:rsidR="009D6FA1" w:rsidRPr="00BF4514">
        <w:rPr>
          <w:rFonts w:ascii="Times New Roman" w:hAnsi="Times New Roman" w:cs="Times New Roman"/>
          <w:sz w:val="24"/>
          <w:szCs w:val="24"/>
        </w:rPr>
        <w:t>.</w:t>
      </w:r>
    </w:p>
    <w:p w14:paraId="48E8A13C" w14:textId="37AB6D6F" w:rsidR="009B09B6" w:rsidRPr="00BF4514" w:rsidRDefault="00713F52"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Podkreślenia</w:t>
      </w:r>
      <w:r w:rsidR="00726C4E" w:rsidRPr="00BF4514">
        <w:rPr>
          <w:rFonts w:ascii="Times New Roman" w:hAnsi="Times New Roman" w:cs="Times New Roman"/>
          <w:sz w:val="24"/>
          <w:szCs w:val="24"/>
        </w:rPr>
        <w:t xml:space="preserve"> na wstępie wymaga także, że </w:t>
      </w:r>
      <w:r w:rsidRPr="00BF4514">
        <w:rPr>
          <w:rFonts w:ascii="Times New Roman" w:hAnsi="Times New Roman" w:cs="Times New Roman"/>
          <w:sz w:val="24"/>
          <w:szCs w:val="24"/>
        </w:rPr>
        <w:t>projekt</w:t>
      </w:r>
      <w:r w:rsidR="00726C4E" w:rsidRPr="00BF4514">
        <w:rPr>
          <w:rFonts w:ascii="Times New Roman" w:hAnsi="Times New Roman" w:cs="Times New Roman"/>
          <w:sz w:val="24"/>
          <w:szCs w:val="24"/>
        </w:rPr>
        <w:t xml:space="preserve"> ustawy nie </w:t>
      </w:r>
      <w:r w:rsidRPr="00BF4514">
        <w:rPr>
          <w:rFonts w:ascii="Times New Roman" w:hAnsi="Times New Roman" w:cs="Times New Roman"/>
          <w:sz w:val="24"/>
          <w:szCs w:val="24"/>
        </w:rPr>
        <w:t>wkracza</w:t>
      </w:r>
      <w:r w:rsidR="00726C4E" w:rsidRPr="00BF4514">
        <w:rPr>
          <w:rFonts w:ascii="Times New Roman" w:hAnsi="Times New Roman" w:cs="Times New Roman"/>
          <w:sz w:val="24"/>
          <w:szCs w:val="24"/>
        </w:rPr>
        <w:t xml:space="preserve"> w żadnym razie w </w:t>
      </w:r>
      <w:r w:rsidRPr="00BF4514">
        <w:rPr>
          <w:rFonts w:ascii="Times New Roman" w:hAnsi="Times New Roman" w:cs="Times New Roman"/>
          <w:sz w:val="24"/>
          <w:szCs w:val="24"/>
        </w:rPr>
        <w:t>sferę</w:t>
      </w:r>
      <w:r w:rsidR="00726C4E" w:rsidRPr="00BF4514">
        <w:rPr>
          <w:rFonts w:ascii="Times New Roman" w:hAnsi="Times New Roman" w:cs="Times New Roman"/>
          <w:sz w:val="24"/>
          <w:szCs w:val="24"/>
        </w:rPr>
        <w:t xml:space="preserve"> materialnoprawną możliwych roszczeń</w:t>
      </w:r>
      <w:r w:rsidRPr="00BF4514">
        <w:rPr>
          <w:rFonts w:ascii="Times New Roman" w:hAnsi="Times New Roman" w:cs="Times New Roman"/>
          <w:sz w:val="24"/>
          <w:szCs w:val="24"/>
        </w:rPr>
        <w:t>, k</w:t>
      </w:r>
      <w:r w:rsidR="00CC6A58" w:rsidRPr="00BF4514">
        <w:rPr>
          <w:rFonts w:ascii="Times New Roman" w:hAnsi="Times New Roman" w:cs="Times New Roman"/>
          <w:sz w:val="24"/>
          <w:szCs w:val="24"/>
        </w:rPr>
        <w:t xml:space="preserve">tórych podejmowanie może stanowić Slapp. W pierwszym </w:t>
      </w:r>
      <w:r w:rsidRPr="00BF4514">
        <w:rPr>
          <w:rFonts w:ascii="Times New Roman" w:hAnsi="Times New Roman" w:cs="Times New Roman"/>
          <w:sz w:val="24"/>
          <w:szCs w:val="24"/>
        </w:rPr>
        <w:t>rzędzie</w:t>
      </w:r>
      <w:r w:rsidR="00CC6A58" w:rsidRPr="00BF4514">
        <w:rPr>
          <w:rFonts w:ascii="Times New Roman" w:hAnsi="Times New Roman" w:cs="Times New Roman"/>
          <w:sz w:val="24"/>
          <w:szCs w:val="24"/>
        </w:rPr>
        <w:t xml:space="preserve"> wypada wskazać, że </w:t>
      </w:r>
      <w:r w:rsidRPr="00BF4514">
        <w:rPr>
          <w:rFonts w:ascii="Times New Roman" w:hAnsi="Times New Roman" w:cs="Times New Roman"/>
          <w:sz w:val="24"/>
          <w:szCs w:val="24"/>
        </w:rPr>
        <w:t>postępowania</w:t>
      </w:r>
      <w:r w:rsidR="00F42C17" w:rsidRPr="00BF4514">
        <w:rPr>
          <w:rFonts w:ascii="Times New Roman" w:hAnsi="Times New Roman" w:cs="Times New Roman"/>
          <w:sz w:val="24"/>
          <w:szCs w:val="24"/>
        </w:rPr>
        <w:t xml:space="preserve"> </w:t>
      </w:r>
      <w:r w:rsidR="006A387E" w:rsidRPr="00BF4514">
        <w:rPr>
          <w:rFonts w:ascii="Times New Roman" w:hAnsi="Times New Roman" w:cs="Times New Roman"/>
          <w:sz w:val="24"/>
          <w:szCs w:val="24"/>
        </w:rPr>
        <w:t xml:space="preserve">oparte na przepisach chroniących dobra osobiste </w:t>
      </w:r>
      <w:r w:rsidRPr="00BF4514">
        <w:rPr>
          <w:rFonts w:ascii="Times New Roman" w:hAnsi="Times New Roman" w:cs="Times New Roman"/>
          <w:sz w:val="24"/>
          <w:szCs w:val="24"/>
        </w:rPr>
        <w:t>są</w:t>
      </w:r>
      <w:r w:rsidR="006A387E" w:rsidRPr="00BF4514">
        <w:rPr>
          <w:rFonts w:ascii="Times New Roman" w:hAnsi="Times New Roman" w:cs="Times New Roman"/>
          <w:sz w:val="24"/>
          <w:szCs w:val="24"/>
        </w:rPr>
        <w:t xml:space="preserve"> często wykorzystywane do prowadzenia działań o charakterze Slapp</w:t>
      </w:r>
      <w:r w:rsidR="005E1032" w:rsidRPr="00BF4514">
        <w:rPr>
          <w:rFonts w:ascii="Times New Roman" w:hAnsi="Times New Roman" w:cs="Times New Roman"/>
          <w:sz w:val="24"/>
          <w:szCs w:val="24"/>
        </w:rPr>
        <w:t xml:space="preserve">. Przedmiotem prac Komisji </w:t>
      </w:r>
      <w:r w:rsidRPr="00BF4514">
        <w:rPr>
          <w:rFonts w:ascii="Times New Roman" w:hAnsi="Times New Roman" w:cs="Times New Roman"/>
          <w:sz w:val="24"/>
          <w:szCs w:val="24"/>
        </w:rPr>
        <w:t>Kodyfikacyjnej</w:t>
      </w:r>
      <w:r w:rsidR="005E1032" w:rsidRPr="00BF4514">
        <w:rPr>
          <w:rFonts w:ascii="Times New Roman" w:hAnsi="Times New Roman" w:cs="Times New Roman"/>
          <w:sz w:val="24"/>
          <w:szCs w:val="24"/>
        </w:rPr>
        <w:t xml:space="preserve"> Prawa Cywilnego jest </w:t>
      </w:r>
      <w:r w:rsidR="003266D5" w:rsidRPr="00BF4514">
        <w:rPr>
          <w:rFonts w:ascii="Times New Roman" w:hAnsi="Times New Roman" w:cs="Times New Roman"/>
          <w:sz w:val="24"/>
          <w:szCs w:val="24"/>
        </w:rPr>
        <w:t xml:space="preserve">analiza ewentualności koniecznych zmian i modernizacji w tym zakresie. Jednak pozostaje to całkowicie obok projektu ustawy o </w:t>
      </w:r>
      <w:r w:rsidRPr="00BF4514">
        <w:rPr>
          <w:rFonts w:ascii="Times New Roman" w:hAnsi="Times New Roman" w:cs="Times New Roman"/>
          <w:sz w:val="24"/>
          <w:szCs w:val="24"/>
        </w:rPr>
        <w:t>przeciwdziałaniu postępowaniom</w:t>
      </w:r>
      <w:r w:rsidR="003266D5" w:rsidRPr="00BF4514">
        <w:rPr>
          <w:rFonts w:ascii="Times New Roman" w:hAnsi="Times New Roman" w:cs="Times New Roman"/>
          <w:sz w:val="24"/>
          <w:szCs w:val="24"/>
        </w:rPr>
        <w:t xml:space="preserve"> typu Slapp. </w:t>
      </w:r>
    </w:p>
    <w:p w14:paraId="429EE956" w14:textId="69865139" w:rsidR="00F068A8" w:rsidRPr="00BF4514" w:rsidRDefault="00B81E6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Projekt ustawy nie podejmuje zmian w </w:t>
      </w:r>
      <w:r w:rsidR="00713F52" w:rsidRPr="00BF4514">
        <w:rPr>
          <w:rFonts w:ascii="Times New Roman" w:hAnsi="Times New Roman" w:cs="Times New Roman"/>
          <w:sz w:val="24"/>
          <w:szCs w:val="24"/>
        </w:rPr>
        <w:t>przepisach</w:t>
      </w:r>
      <w:r w:rsidRPr="00BF4514">
        <w:rPr>
          <w:rFonts w:ascii="Times New Roman" w:hAnsi="Times New Roman" w:cs="Times New Roman"/>
          <w:sz w:val="24"/>
          <w:szCs w:val="24"/>
        </w:rPr>
        <w:t xml:space="preserve"> dotyczących </w:t>
      </w:r>
      <w:r w:rsidR="00713F52" w:rsidRPr="00BF4514">
        <w:rPr>
          <w:rFonts w:ascii="Times New Roman" w:hAnsi="Times New Roman" w:cs="Times New Roman"/>
          <w:sz w:val="24"/>
          <w:szCs w:val="24"/>
        </w:rPr>
        <w:t>odpowiedzialności</w:t>
      </w:r>
      <w:r w:rsidR="009E60F2" w:rsidRPr="00BF4514">
        <w:rPr>
          <w:rFonts w:ascii="Times New Roman" w:hAnsi="Times New Roman" w:cs="Times New Roman"/>
          <w:sz w:val="24"/>
          <w:szCs w:val="24"/>
        </w:rPr>
        <w:t xml:space="preserve"> karnej i tym bardziej </w:t>
      </w:r>
      <w:r w:rsidR="00713F52" w:rsidRPr="00BF4514">
        <w:rPr>
          <w:rFonts w:ascii="Times New Roman" w:hAnsi="Times New Roman" w:cs="Times New Roman"/>
          <w:sz w:val="24"/>
          <w:szCs w:val="24"/>
        </w:rPr>
        <w:t>postępowania</w:t>
      </w:r>
      <w:r w:rsidR="009E60F2" w:rsidRPr="00BF4514">
        <w:rPr>
          <w:rFonts w:ascii="Times New Roman" w:hAnsi="Times New Roman" w:cs="Times New Roman"/>
          <w:sz w:val="24"/>
          <w:szCs w:val="24"/>
        </w:rPr>
        <w:t xml:space="preserve"> karnego. Wynika to z faktu, iż sama Dyrektywa implementowana tym projektem </w:t>
      </w:r>
      <w:r w:rsidR="00713F52" w:rsidRPr="00BF4514">
        <w:rPr>
          <w:rFonts w:ascii="Times New Roman" w:hAnsi="Times New Roman" w:cs="Times New Roman"/>
          <w:sz w:val="24"/>
          <w:szCs w:val="24"/>
        </w:rPr>
        <w:t>wyraźnie</w:t>
      </w:r>
      <w:r w:rsidR="009E60F2" w:rsidRPr="00BF4514">
        <w:rPr>
          <w:rFonts w:ascii="Times New Roman" w:hAnsi="Times New Roman" w:cs="Times New Roman"/>
          <w:sz w:val="24"/>
          <w:szCs w:val="24"/>
        </w:rPr>
        <w:t xml:space="preserve"> </w:t>
      </w:r>
      <w:r w:rsidR="00F10FC8" w:rsidRPr="00BF4514">
        <w:rPr>
          <w:rFonts w:ascii="Times New Roman" w:hAnsi="Times New Roman" w:cs="Times New Roman"/>
          <w:sz w:val="24"/>
          <w:szCs w:val="24"/>
        </w:rPr>
        <w:t xml:space="preserve">wskazuje na </w:t>
      </w:r>
      <w:r w:rsidR="00713F52" w:rsidRPr="00BF4514">
        <w:rPr>
          <w:rFonts w:ascii="Times New Roman" w:hAnsi="Times New Roman" w:cs="Times New Roman"/>
          <w:sz w:val="24"/>
          <w:szCs w:val="24"/>
        </w:rPr>
        <w:t>regulacje</w:t>
      </w:r>
      <w:r w:rsidR="00F10FC8" w:rsidRPr="00BF4514">
        <w:rPr>
          <w:rFonts w:ascii="Times New Roman" w:hAnsi="Times New Roman" w:cs="Times New Roman"/>
          <w:sz w:val="24"/>
          <w:szCs w:val="24"/>
        </w:rPr>
        <w:t xml:space="preserve"> w zakresie wyłącznie </w:t>
      </w:r>
      <w:r w:rsidR="00713F52" w:rsidRPr="00BF4514">
        <w:rPr>
          <w:rFonts w:ascii="Times New Roman" w:hAnsi="Times New Roman" w:cs="Times New Roman"/>
          <w:sz w:val="24"/>
          <w:szCs w:val="24"/>
        </w:rPr>
        <w:t>postępowań</w:t>
      </w:r>
      <w:r w:rsidR="00F10FC8" w:rsidRPr="00BF4514">
        <w:rPr>
          <w:rFonts w:ascii="Times New Roman" w:hAnsi="Times New Roman" w:cs="Times New Roman"/>
          <w:sz w:val="24"/>
          <w:szCs w:val="24"/>
        </w:rPr>
        <w:t xml:space="preserve"> </w:t>
      </w:r>
      <w:r w:rsidR="00713F52" w:rsidRPr="00BF4514">
        <w:rPr>
          <w:rFonts w:ascii="Times New Roman" w:hAnsi="Times New Roman" w:cs="Times New Roman"/>
          <w:sz w:val="24"/>
          <w:szCs w:val="24"/>
        </w:rPr>
        <w:t>cywilnych</w:t>
      </w:r>
      <w:r w:rsidR="00F10FC8" w:rsidRPr="00BF4514">
        <w:rPr>
          <w:rFonts w:ascii="Times New Roman" w:hAnsi="Times New Roman" w:cs="Times New Roman"/>
          <w:sz w:val="24"/>
          <w:szCs w:val="24"/>
        </w:rPr>
        <w:t xml:space="preserve">. </w:t>
      </w:r>
    </w:p>
    <w:p w14:paraId="7C3764CA" w14:textId="77807BFB" w:rsidR="00CF6304" w:rsidRPr="00BF4514" w:rsidRDefault="00D13C95"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Na koniec ogólnych uwag do założeń projektu ustawy mającego przeciwdziałać </w:t>
      </w:r>
      <w:r w:rsidR="00713F52" w:rsidRPr="00BF4514">
        <w:rPr>
          <w:rFonts w:ascii="Times New Roman" w:hAnsi="Times New Roman" w:cs="Times New Roman"/>
          <w:sz w:val="24"/>
          <w:szCs w:val="24"/>
        </w:rPr>
        <w:t>postępowaniom</w:t>
      </w:r>
      <w:r w:rsidRPr="00BF4514">
        <w:rPr>
          <w:rFonts w:ascii="Times New Roman" w:hAnsi="Times New Roman" w:cs="Times New Roman"/>
          <w:sz w:val="24"/>
          <w:szCs w:val="24"/>
        </w:rPr>
        <w:t xml:space="preserve"> Slapp trzeba wskazać, że </w:t>
      </w:r>
      <w:r w:rsidR="00713F52" w:rsidRPr="00BF4514">
        <w:rPr>
          <w:rFonts w:ascii="Times New Roman" w:hAnsi="Times New Roman" w:cs="Times New Roman"/>
          <w:sz w:val="24"/>
          <w:szCs w:val="24"/>
        </w:rPr>
        <w:t xml:space="preserve">twórcy </w:t>
      </w:r>
      <w:r w:rsidR="008B28C5" w:rsidRPr="00BF4514">
        <w:rPr>
          <w:rFonts w:ascii="Times New Roman" w:hAnsi="Times New Roman" w:cs="Times New Roman"/>
          <w:sz w:val="24"/>
          <w:szCs w:val="24"/>
        </w:rPr>
        <w:t xml:space="preserve">projektu </w:t>
      </w:r>
      <w:r w:rsidR="00C815C9" w:rsidRPr="00BF4514">
        <w:rPr>
          <w:rFonts w:ascii="Times New Roman" w:hAnsi="Times New Roman" w:cs="Times New Roman"/>
          <w:sz w:val="24"/>
          <w:szCs w:val="24"/>
        </w:rPr>
        <w:t>kierowa</w:t>
      </w:r>
      <w:r w:rsidR="008B28C5" w:rsidRPr="00BF4514">
        <w:rPr>
          <w:rFonts w:ascii="Times New Roman" w:hAnsi="Times New Roman" w:cs="Times New Roman"/>
          <w:sz w:val="24"/>
          <w:szCs w:val="24"/>
        </w:rPr>
        <w:t xml:space="preserve">li </w:t>
      </w:r>
      <w:r w:rsidR="00C815C9" w:rsidRPr="00BF4514">
        <w:rPr>
          <w:rFonts w:ascii="Times New Roman" w:hAnsi="Times New Roman" w:cs="Times New Roman"/>
          <w:sz w:val="24"/>
          <w:szCs w:val="24"/>
        </w:rPr>
        <w:t xml:space="preserve">się </w:t>
      </w:r>
      <w:r w:rsidR="008B28C5" w:rsidRPr="00BF4514">
        <w:rPr>
          <w:rFonts w:ascii="Times New Roman" w:hAnsi="Times New Roman" w:cs="Times New Roman"/>
          <w:sz w:val="24"/>
          <w:szCs w:val="24"/>
        </w:rPr>
        <w:t xml:space="preserve">w </w:t>
      </w:r>
      <w:r w:rsidR="00A03D8F" w:rsidRPr="00BF4514">
        <w:rPr>
          <w:rFonts w:ascii="Times New Roman" w:hAnsi="Times New Roman" w:cs="Times New Roman"/>
          <w:sz w:val="24"/>
          <w:szCs w:val="24"/>
        </w:rPr>
        <w:t>pracach</w:t>
      </w:r>
      <w:r w:rsidR="008B28C5" w:rsidRPr="00BF4514">
        <w:rPr>
          <w:rFonts w:ascii="Times New Roman" w:hAnsi="Times New Roman" w:cs="Times New Roman"/>
          <w:sz w:val="24"/>
          <w:szCs w:val="24"/>
        </w:rPr>
        <w:t xml:space="preserve"> </w:t>
      </w:r>
      <w:r w:rsidR="00A03D8F" w:rsidRPr="00BF4514">
        <w:rPr>
          <w:rFonts w:ascii="Times New Roman" w:hAnsi="Times New Roman" w:cs="Times New Roman"/>
          <w:sz w:val="24"/>
          <w:szCs w:val="24"/>
        </w:rPr>
        <w:t>koniecznością</w:t>
      </w:r>
      <w:r w:rsidR="008B28C5" w:rsidRPr="00BF4514">
        <w:rPr>
          <w:rFonts w:ascii="Times New Roman" w:hAnsi="Times New Roman" w:cs="Times New Roman"/>
          <w:sz w:val="24"/>
          <w:szCs w:val="24"/>
        </w:rPr>
        <w:t xml:space="preserve"> zachowania i </w:t>
      </w:r>
      <w:r w:rsidR="00A03D8F" w:rsidRPr="00BF4514">
        <w:rPr>
          <w:rFonts w:ascii="Times New Roman" w:hAnsi="Times New Roman" w:cs="Times New Roman"/>
          <w:sz w:val="24"/>
          <w:szCs w:val="24"/>
        </w:rPr>
        <w:t>przestrzegania</w:t>
      </w:r>
      <w:r w:rsidR="008B28C5" w:rsidRPr="00BF4514">
        <w:rPr>
          <w:rFonts w:ascii="Times New Roman" w:hAnsi="Times New Roman" w:cs="Times New Roman"/>
          <w:sz w:val="24"/>
          <w:szCs w:val="24"/>
        </w:rPr>
        <w:t xml:space="preserve"> </w:t>
      </w:r>
      <w:r w:rsidR="00713F52" w:rsidRPr="00BF4514">
        <w:rPr>
          <w:rFonts w:ascii="Times New Roman" w:hAnsi="Times New Roman" w:cs="Times New Roman"/>
          <w:sz w:val="24"/>
          <w:szCs w:val="24"/>
        </w:rPr>
        <w:t>konstytucyjnego</w:t>
      </w:r>
      <w:r w:rsidR="00C815C9" w:rsidRPr="00BF4514">
        <w:rPr>
          <w:rFonts w:ascii="Times New Roman" w:hAnsi="Times New Roman" w:cs="Times New Roman"/>
          <w:sz w:val="24"/>
          <w:szCs w:val="24"/>
        </w:rPr>
        <w:t xml:space="preserve"> prawa do sądu. W zamierzeniu Komisji </w:t>
      </w:r>
      <w:r w:rsidR="006D1551" w:rsidRPr="00BF4514">
        <w:rPr>
          <w:rFonts w:ascii="Times New Roman" w:hAnsi="Times New Roman" w:cs="Times New Roman"/>
          <w:sz w:val="24"/>
          <w:szCs w:val="24"/>
        </w:rPr>
        <w:t xml:space="preserve">ustawa taka nie może </w:t>
      </w:r>
      <w:r w:rsidR="00A03D8F" w:rsidRPr="00BF4514">
        <w:rPr>
          <w:rFonts w:ascii="Times New Roman" w:hAnsi="Times New Roman" w:cs="Times New Roman"/>
          <w:sz w:val="24"/>
          <w:szCs w:val="24"/>
        </w:rPr>
        <w:t>prowadzić</w:t>
      </w:r>
      <w:r w:rsidR="006D1551" w:rsidRPr="00BF4514">
        <w:rPr>
          <w:rFonts w:ascii="Times New Roman" w:hAnsi="Times New Roman" w:cs="Times New Roman"/>
          <w:sz w:val="24"/>
          <w:szCs w:val="24"/>
        </w:rPr>
        <w:t xml:space="preserve"> do ograniczenia, a tym </w:t>
      </w:r>
      <w:r w:rsidR="00A03D8F" w:rsidRPr="00BF4514">
        <w:rPr>
          <w:rFonts w:ascii="Times New Roman" w:hAnsi="Times New Roman" w:cs="Times New Roman"/>
          <w:sz w:val="24"/>
          <w:szCs w:val="24"/>
        </w:rPr>
        <w:t>bardziej</w:t>
      </w:r>
      <w:r w:rsidR="006D1551" w:rsidRPr="00BF4514">
        <w:rPr>
          <w:rFonts w:ascii="Times New Roman" w:hAnsi="Times New Roman" w:cs="Times New Roman"/>
          <w:sz w:val="24"/>
          <w:szCs w:val="24"/>
        </w:rPr>
        <w:t xml:space="preserve"> wykluczenia </w:t>
      </w:r>
      <w:r w:rsidR="00A03D8F" w:rsidRPr="00BF4514">
        <w:rPr>
          <w:rFonts w:ascii="Times New Roman" w:hAnsi="Times New Roman" w:cs="Times New Roman"/>
          <w:sz w:val="24"/>
          <w:szCs w:val="24"/>
        </w:rPr>
        <w:t>prawa</w:t>
      </w:r>
      <w:r w:rsidR="006D1551" w:rsidRPr="00BF4514">
        <w:rPr>
          <w:rFonts w:ascii="Times New Roman" w:hAnsi="Times New Roman" w:cs="Times New Roman"/>
          <w:sz w:val="24"/>
          <w:szCs w:val="24"/>
        </w:rPr>
        <w:t xml:space="preserve"> do sądu. W tym kontekście ważne jest</w:t>
      </w:r>
      <w:r w:rsidR="00F1363B" w:rsidRPr="00BF4514">
        <w:rPr>
          <w:rFonts w:ascii="Times New Roman" w:hAnsi="Times New Roman" w:cs="Times New Roman"/>
          <w:sz w:val="24"/>
          <w:szCs w:val="24"/>
        </w:rPr>
        <w:t xml:space="preserve"> stwierdzeni</w:t>
      </w:r>
      <w:r w:rsidR="00B74D70" w:rsidRPr="00BF4514">
        <w:rPr>
          <w:rFonts w:ascii="Times New Roman" w:hAnsi="Times New Roman" w:cs="Times New Roman"/>
          <w:sz w:val="24"/>
          <w:szCs w:val="24"/>
        </w:rPr>
        <w:t>e</w:t>
      </w:r>
      <w:r w:rsidR="006D1551" w:rsidRPr="00BF4514">
        <w:rPr>
          <w:rFonts w:ascii="Times New Roman" w:hAnsi="Times New Roman" w:cs="Times New Roman"/>
          <w:sz w:val="24"/>
          <w:szCs w:val="24"/>
        </w:rPr>
        <w:t xml:space="preserve">, że </w:t>
      </w:r>
      <w:r w:rsidR="001F6124" w:rsidRPr="00BF4514">
        <w:rPr>
          <w:rFonts w:ascii="Times New Roman" w:hAnsi="Times New Roman" w:cs="Times New Roman"/>
          <w:sz w:val="24"/>
          <w:szCs w:val="24"/>
        </w:rPr>
        <w:t xml:space="preserve">zbyt silne i daleko idące uprawnienia sądu lub </w:t>
      </w:r>
      <w:r w:rsidR="00A03D8F" w:rsidRPr="00BF4514">
        <w:rPr>
          <w:rFonts w:ascii="Times New Roman" w:hAnsi="Times New Roman" w:cs="Times New Roman"/>
          <w:sz w:val="24"/>
          <w:szCs w:val="24"/>
        </w:rPr>
        <w:t>stron</w:t>
      </w:r>
      <w:r w:rsidR="001F6124" w:rsidRPr="00BF4514">
        <w:rPr>
          <w:rFonts w:ascii="Times New Roman" w:hAnsi="Times New Roman" w:cs="Times New Roman"/>
          <w:sz w:val="24"/>
          <w:szCs w:val="24"/>
        </w:rPr>
        <w:t xml:space="preserve"> związane z ochroną </w:t>
      </w:r>
      <w:r w:rsidR="00A03D8F" w:rsidRPr="00BF4514">
        <w:rPr>
          <w:rFonts w:ascii="Times New Roman" w:hAnsi="Times New Roman" w:cs="Times New Roman"/>
          <w:sz w:val="24"/>
          <w:szCs w:val="24"/>
        </w:rPr>
        <w:t>przed</w:t>
      </w:r>
      <w:r w:rsidR="001F6124" w:rsidRPr="00BF4514">
        <w:rPr>
          <w:rFonts w:ascii="Times New Roman" w:hAnsi="Times New Roman" w:cs="Times New Roman"/>
          <w:sz w:val="24"/>
          <w:szCs w:val="24"/>
        </w:rPr>
        <w:t xml:space="preserve"> </w:t>
      </w:r>
      <w:r w:rsidR="00A03D8F" w:rsidRPr="00BF4514">
        <w:rPr>
          <w:rFonts w:ascii="Times New Roman" w:hAnsi="Times New Roman" w:cs="Times New Roman"/>
          <w:sz w:val="24"/>
          <w:szCs w:val="24"/>
        </w:rPr>
        <w:t>działaniami</w:t>
      </w:r>
      <w:r w:rsidR="001F6124" w:rsidRPr="00BF4514">
        <w:rPr>
          <w:rFonts w:ascii="Times New Roman" w:hAnsi="Times New Roman" w:cs="Times New Roman"/>
          <w:sz w:val="24"/>
          <w:szCs w:val="24"/>
        </w:rPr>
        <w:t xml:space="preserve"> Slapp mogłyby </w:t>
      </w:r>
      <w:r w:rsidR="00A03D8F" w:rsidRPr="00BF4514">
        <w:rPr>
          <w:rFonts w:ascii="Times New Roman" w:hAnsi="Times New Roman" w:cs="Times New Roman"/>
          <w:sz w:val="24"/>
          <w:szCs w:val="24"/>
        </w:rPr>
        <w:t>prowadzić</w:t>
      </w:r>
      <w:r w:rsidR="001F6124" w:rsidRPr="00BF4514">
        <w:rPr>
          <w:rFonts w:ascii="Times New Roman" w:hAnsi="Times New Roman" w:cs="Times New Roman"/>
          <w:sz w:val="24"/>
          <w:szCs w:val="24"/>
        </w:rPr>
        <w:t xml:space="preserve"> do pozbawienia </w:t>
      </w:r>
      <w:r w:rsidR="00B72406" w:rsidRPr="00BF4514">
        <w:rPr>
          <w:rFonts w:ascii="Times New Roman" w:hAnsi="Times New Roman" w:cs="Times New Roman"/>
          <w:sz w:val="24"/>
          <w:szCs w:val="24"/>
        </w:rPr>
        <w:t>osób, w tym podmiotów prawnych</w:t>
      </w:r>
      <w:r w:rsidR="00F1363B" w:rsidRPr="00BF4514">
        <w:rPr>
          <w:rFonts w:ascii="Times New Roman" w:hAnsi="Times New Roman" w:cs="Times New Roman"/>
          <w:sz w:val="24"/>
          <w:szCs w:val="24"/>
        </w:rPr>
        <w:t>,</w:t>
      </w:r>
      <w:r w:rsidR="00B72406" w:rsidRPr="00BF4514">
        <w:rPr>
          <w:rFonts w:ascii="Times New Roman" w:hAnsi="Times New Roman" w:cs="Times New Roman"/>
          <w:sz w:val="24"/>
          <w:szCs w:val="24"/>
        </w:rPr>
        <w:t xml:space="preserve"> prawa do sądu</w:t>
      </w:r>
      <w:r w:rsidR="00224212" w:rsidRPr="00BF4514">
        <w:rPr>
          <w:rFonts w:ascii="Times New Roman" w:hAnsi="Times New Roman" w:cs="Times New Roman"/>
          <w:sz w:val="24"/>
          <w:szCs w:val="24"/>
        </w:rPr>
        <w:t xml:space="preserve"> chronionego </w:t>
      </w:r>
      <w:r w:rsidR="00A03C13" w:rsidRPr="00BF4514">
        <w:rPr>
          <w:rFonts w:ascii="Times New Roman" w:hAnsi="Times New Roman" w:cs="Times New Roman"/>
          <w:sz w:val="24"/>
          <w:szCs w:val="24"/>
        </w:rPr>
        <w:t xml:space="preserve">przez </w:t>
      </w:r>
      <w:r w:rsidR="00224212" w:rsidRPr="00BF4514">
        <w:rPr>
          <w:rFonts w:ascii="Times New Roman" w:hAnsi="Times New Roman" w:cs="Times New Roman"/>
          <w:sz w:val="24"/>
          <w:szCs w:val="24"/>
        </w:rPr>
        <w:t xml:space="preserve">artykuł 45 Konstytucji Rzeczypospolitej Polskiej. </w:t>
      </w:r>
      <w:r w:rsidR="00BF56AE" w:rsidRPr="00BF4514">
        <w:rPr>
          <w:rFonts w:ascii="Times New Roman" w:hAnsi="Times New Roman" w:cs="Times New Roman"/>
          <w:sz w:val="24"/>
          <w:szCs w:val="24"/>
        </w:rPr>
        <w:t>W tym zakresie ustawa nie przesądza ani</w:t>
      </w:r>
      <w:r w:rsidR="00B74D70" w:rsidRPr="00BF4514">
        <w:rPr>
          <w:rFonts w:ascii="Times New Roman" w:hAnsi="Times New Roman" w:cs="Times New Roman"/>
          <w:sz w:val="24"/>
          <w:szCs w:val="24"/>
        </w:rPr>
        <w:t xml:space="preserve"> nie</w:t>
      </w:r>
      <w:r w:rsidR="00BF56AE" w:rsidRPr="00BF4514">
        <w:rPr>
          <w:rFonts w:ascii="Times New Roman" w:hAnsi="Times New Roman" w:cs="Times New Roman"/>
          <w:sz w:val="24"/>
          <w:szCs w:val="24"/>
        </w:rPr>
        <w:t xml:space="preserve"> wprowadza ograniczeń po stronie podmiotów publicznych</w:t>
      </w:r>
      <w:r w:rsidR="003E6C56" w:rsidRPr="00BF4514">
        <w:rPr>
          <w:rFonts w:ascii="Times New Roman" w:hAnsi="Times New Roman" w:cs="Times New Roman"/>
          <w:sz w:val="24"/>
          <w:szCs w:val="24"/>
        </w:rPr>
        <w:t xml:space="preserve">. Jakkolwiek można sobie wyobrazić i </w:t>
      </w:r>
      <w:r w:rsidR="00A03C13" w:rsidRPr="00BF4514">
        <w:rPr>
          <w:rFonts w:ascii="Times New Roman" w:hAnsi="Times New Roman" w:cs="Times New Roman"/>
          <w:sz w:val="24"/>
          <w:szCs w:val="24"/>
        </w:rPr>
        <w:t>historia</w:t>
      </w:r>
      <w:r w:rsidR="003E6C56" w:rsidRPr="00BF4514">
        <w:rPr>
          <w:rFonts w:ascii="Times New Roman" w:hAnsi="Times New Roman" w:cs="Times New Roman"/>
          <w:sz w:val="24"/>
          <w:szCs w:val="24"/>
        </w:rPr>
        <w:t xml:space="preserve"> podpowiada </w:t>
      </w:r>
      <w:r w:rsidR="00A03C13" w:rsidRPr="00BF4514">
        <w:rPr>
          <w:rFonts w:ascii="Times New Roman" w:hAnsi="Times New Roman" w:cs="Times New Roman"/>
          <w:sz w:val="24"/>
          <w:szCs w:val="24"/>
        </w:rPr>
        <w:t>takie</w:t>
      </w:r>
      <w:r w:rsidR="003E6C56"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przykłady</w:t>
      </w:r>
      <w:r w:rsidR="003E6C56" w:rsidRPr="00BF4514">
        <w:rPr>
          <w:rFonts w:ascii="Times New Roman" w:hAnsi="Times New Roman" w:cs="Times New Roman"/>
          <w:sz w:val="24"/>
          <w:szCs w:val="24"/>
        </w:rPr>
        <w:t xml:space="preserve">, gdy podmioty publiczne </w:t>
      </w:r>
      <w:r w:rsidR="00A03C13" w:rsidRPr="00BF4514">
        <w:rPr>
          <w:rFonts w:ascii="Times New Roman" w:hAnsi="Times New Roman" w:cs="Times New Roman"/>
          <w:sz w:val="24"/>
          <w:szCs w:val="24"/>
        </w:rPr>
        <w:t>podejmowały</w:t>
      </w:r>
      <w:r w:rsidR="003E6C56" w:rsidRPr="00BF4514">
        <w:rPr>
          <w:rFonts w:ascii="Times New Roman" w:hAnsi="Times New Roman" w:cs="Times New Roman"/>
          <w:sz w:val="24"/>
          <w:szCs w:val="24"/>
        </w:rPr>
        <w:t xml:space="preserve"> działania </w:t>
      </w:r>
      <w:r w:rsidR="00A03C13" w:rsidRPr="00BF4514">
        <w:rPr>
          <w:rFonts w:ascii="Times New Roman" w:hAnsi="Times New Roman" w:cs="Times New Roman"/>
          <w:sz w:val="24"/>
          <w:szCs w:val="24"/>
        </w:rPr>
        <w:t>zmierzające</w:t>
      </w:r>
      <w:r w:rsidR="003E6C56" w:rsidRPr="00BF4514">
        <w:rPr>
          <w:rFonts w:ascii="Times New Roman" w:hAnsi="Times New Roman" w:cs="Times New Roman"/>
          <w:sz w:val="24"/>
          <w:szCs w:val="24"/>
        </w:rPr>
        <w:t xml:space="preserve"> do tłumienia </w:t>
      </w:r>
      <w:r w:rsidR="00AA1733" w:rsidRPr="00BF4514">
        <w:rPr>
          <w:rFonts w:ascii="Times New Roman" w:hAnsi="Times New Roman" w:cs="Times New Roman"/>
          <w:sz w:val="24"/>
          <w:szCs w:val="24"/>
        </w:rPr>
        <w:t xml:space="preserve">uzasadnionej </w:t>
      </w:r>
      <w:r w:rsidR="003E6C56" w:rsidRPr="00BF4514">
        <w:rPr>
          <w:rFonts w:ascii="Times New Roman" w:hAnsi="Times New Roman" w:cs="Times New Roman"/>
          <w:sz w:val="24"/>
          <w:szCs w:val="24"/>
        </w:rPr>
        <w:t>krytyki</w:t>
      </w:r>
      <w:r w:rsidR="00AA1733" w:rsidRPr="00BF4514">
        <w:rPr>
          <w:rFonts w:ascii="Times New Roman" w:hAnsi="Times New Roman" w:cs="Times New Roman"/>
          <w:sz w:val="24"/>
          <w:szCs w:val="24"/>
        </w:rPr>
        <w:t xml:space="preserve">, to </w:t>
      </w:r>
      <w:r w:rsidR="00A03C13" w:rsidRPr="00BF4514">
        <w:rPr>
          <w:rFonts w:ascii="Times New Roman" w:hAnsi="Times New Roman" w:cs="Times New Roman"/>
          <w:sz w:val="24"/>
          <w:szCs w:val="24"/>
        </w:rPr>
        <w:t>założenia</w:t>
      </w:r>
      <w:r w:rsidR="00AA1733" w:rsidRPr="00BF4514">
        <w:rPr>
          <w:rFonts w:ascii="Times New Roman" w:hAnsi="Times New Roman" w:cs="Times New Roman"/>
          <w:sz w:val="24"/>
          <w:szCs w:val="24"/>
        </w:rPr>
        <w:t xml:space="preserve"> ustawy dają wystarczająco mocne </w:t>
      </w:r>
      <w:r w:rsidR="008C65B9" w:rsidRPr="00BF4514">
        <w:rPr>
          <w:rFonts w:ascii="Times New Roman" w:hAnsi="Times New Roman" w:cs="Times New Roman"/>
          <w:sz w:val="24"/>
          <w:szCs w:val="24"/>
        </w:rPr>
        <w:t>instrumenty prawne do obrony przed takimi działaniami</w:t>
      </w:r>
      <w:r w:rsidR="00A03C13" w:rsidRPr="00BF4514">
        <w:rPr>
          <w:rFonts w:ascii="Times New Roman" w:hAnsi="Times New Roman" w:cs="Times New Roman"/>
          <w:sz w:val="24"/>
          <w:szCs w:val="24"/>
        </w:rPr>
        <w:t xml:space="preserve"> w </w:t>
      </w:r>
      <w:r w:rsidR="00353095" w:rsidRPr="00BF4514">
        <w:rPr>
          <w:rFonts w:ascii="Times New Roman" w:hAnsi="Times New Roman" w:cs="Times New Roman"/>
          <w:sz w:val="24"/>
          <w:szCs w:val="24"/>
        </w:rPr>
        <w:t xml:space="preserve">przyszłości. </w:t>
      </w:r>
    </w:p>
    <w:p w14:paraId="02B3483A" w14:textId="57164BFF" w:rsidR="00191601" w:rsidRPr="00BF4514" w:rsidRDefault="00353095"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Odrębnego</w:t>
      </w:r>
      <w:r w:rsidR="00F94B12"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omówienia</w:t>
      </w:r>
      <w:r w:rsidR="00F94B12" w:rsidRPr="00BF4514">
        <w:rPr>
          <w:rFonts w:ascii="Times New Roman" w:hAnsi="Times New Roman" w:cs="Times New Roman"/>
          <w:sz w:val="24"/>
          <w:szCs w:val="24"/>
        </w:rPr>
        <w:t xml:space="preserve"> wymaga art. 12 Dyrektywy</w:t>
      </w:r>
      <w:r w:rsidR="00C77773" w:rsidRPr="00BF4514">
        <w:rPr>
          <w:rFonts w:ascii="Times New Roman" w:hAnsi="Times New Roman" w:cs="Times New Roman"/>
          <w:sz w:val="24"/>
          <w:szCs w:val="24"/>
        </w:rPr>
        <w:t xml:space="preserve">, który wskazuje, </w:t>
      </w:r>
      <w:r w:rsidR="00A03C13" w:rsidRPr="00BF4514">
        <w:rPr>
          <w:rFonts w:ascii="Times New Roman" w:hAnsi="Times New Roman" w:cs="Times New Roman"/>
          <w:sz w:val="24"/>
          <w:szCs w:val="24"/>
        </w:rPr>
        <w:t>by</w:t>
      </w:r>
      <w:r w:rsidR="00C77773" w:rsidRPr="00BF4514">
        <w:rPr>
          <w:rFonts w:ascii="Times New Roman" w:hAnsi="Times New Roman" w:cs="Times New Roman"/>
          <w:sz w:val="24"/>
          <w:szCs w:val="24"/>
        </w:rPr>
        <w:t xml:space="preserve"> </w:t>
      </w:r>
      <w:r w:rsidR="00177A82" w:rsidRPr="00BF4514">
        <w:rPr>
          <w:rFonts w:ascii="Times New Roman" w:hAnsi="Times New Roman" w:cs="Times New Roman"/>
          <w:sz w:val="24"/>
          <w:szCs w:val="24"/>
        </w:rPr>
        <w:t>ciężar dowodu spoczywał na powodzie, a także</w:t>
      </w:r>
      <w:r w:rsidR="00DD481D">
        <w:rPr>
          <w:rFonts w:ascii="Times New Roman" w:hAnsi="Times New Roman" w:cs="Times New Roman"/>
          <w:sz w:val="24"/>
          <w:szCs w:val="24"/>
        </w:rPr>
        <w:t>,</w:t>
      </w:r>
      <w:r w:rsidR="00177A82" w:rsidRPr="00BF4514">
        <w:rPr>
          <w:rFonts w:ascii="Times New Roman" w:hAnsi="Times New Roman" w:cs="Times New Roman"/>
          <w:sz w:val="24"/>
          <w:szCs w:val="24"/>
        </w:rPr>
        <w:t xml:space="preserve"> by w przypadku złożenia przez pozwanego wniosku </w:t>
      </w:r>
      <w:r w:rsidR="008E2591" w:rsidRPr="00BF4514">
        <w:rPr>
          <w:rFonts w:ascii="Times New Roman" w:hAnsi="Times New Roman" w:cs="Times New Roman"/>
          <w:sz w:val="24"/>
          <w:szCs w:val="24"/>
        </w:rPr>
        <w:t xml:space="preserve">o oddalenie </w:t>
      </w:r>
      <w:r w:rsidR="00A03C13" w:rsidRPr="00BF4514">
        <w:rPr>
          <w:rFonts w:ascii="Times New Roman" w:hAnsi="Times New Roman" w:cs="Times New Roman"/>
          <w:sz w:val="24"/>
          <w:szCs w:val="24"/>
        </w:rPr>
        <w:t>roszczenia</w:t>
      </w:r>
      <w:r w:rsidR="008E2591" w:rsidRPr="00BF4514">
        <w:rPr>
          <w:rFonts w:ascii="Times New Roman" w:hAnsi="Times New Roman" w:cs="Times New Roman"/>
          <w:sz w:val="24"/>
          <w:szCs w:val="24"/>
        </w:rPr>
        <w:t xml:space="preserve"> na wczesnym etapie, to na powodzie spoczywał obowiązek </w:t>
      </w:r>
      <w:r w:rsidR="002D02EF" w:rsidRPr="00BF4514">
        <w:rPr>
          <w:rFonts w:ascii="Times New Roman" w:hAnsi="Times New Roman" w:cs="Times New Roman"/>
          <w:sz w:val="24"/>
          <w:szCs w:val="24"/>
        </w:rPr>
        <w:t xml:space="preserve">uzasadnienia roszczenia. Normy </w:t>
      </w:r>
      <w:r w:rsidR="00A03C13" w:rsidRPr="00BF4514">
        <w:rPr>
          <w:rFonts w:ascii="Times New Roman" w:hAnsi="Times New Roman" w:cs="Times New Roman"/>
          <w:sz w:val="24"/>
          <w:szCs w:val="24"/>
        </w:rPr>
        <w:t>przewidziane</w:t>
      </w:r>
      <w:r w:rsidR="002D02EF" w:rsidRPr="00BF4514">
        <w:rPr>
          <w:rFonts w:ascii="Times New Roman" w:hAnsi="Times New Roman" w:cs="Times New Roman"/>
          <w:sz w:val="24"/>
          <w:szCs w:val="24"/>
        </w:rPr>
        <w:t xml:space="preserve"> przez ten przepis są w obecnym stanie prawnym w pełni realizowane w polskim porządku </w:t>
      </w:r>
      <w:r w:rsidR="00A03C13" w:rsidRPr="00BF4514">
        <w:rPr>
          <w:rFonts w:ascii="Times New Roman" w:hAnsi="Times New Roman" w:cs="Times New Roman"/>
          <w:sz w:val="24"/>
          <w:szCs w:val="24"/>
        </w:rPr>
        <w:t>prawnym</w:t>
      </w:r>
      <w:r w:rsidR="002D02EF"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Przede</w:t>
      </w:r>
      <w:r w:rsidR="002D02EF" w:rsidRPr="00BF4514">
        <w:rPr>
          <w:rFonts w:ascii="Times New Roman" w:hAnsi="Times New Roman" w:cs="Times New Roman"/>
          <w:sz w:val="24"/>
          <w:szCs w:val="24"/>
        </w:rPr>
        <w:t xml:space="preserve"> wszystkim wskazać należy, że </w:t>
      </w:r>
      <w:r w:rsidR="003E14E6" w:rsidRPr="00BF4514">
        <w:rPr>
          <w:rFonts w:ascii="Times New Roman" w:hAnsi="Times New Roman" w:cs="Times New Roman"/>
          <w:sz w:val="24"/>
          <w:szCs w:val="24"/>
        </w:rPr>
        <w:t xml:space="preserve">zgodnie z wymogami </w:t>
      </w:r>
      <w:r w:rsidR="002251F1" w:rsidRPr="00BF4514">
        <w:rPr>
          <w:rFonts w:ascii="Times New Roman" w:hAnsi="Times New Roman" w:cs="Times New Roman"/>
          <w:sz w:val="24"/>
          <w:szCs w:val="24"/>
        </w:rPr>
        <w:t xml:space="preserve">art. 6 </w:t>
      </w:r>
      <w:r w:rsidR="00A03C13" w:rsidRPr="00BF4514">
        <w:rPr>
          <w:rFonts w:ascii="Times New Roman" w:hAnsi="Times New Roman" w:cs="Times New Roman"/>
          <w:sz w:val="24"/>
          <w:szCs w:val="24"/>
        </w:rPr>
        <w:t>Kodeksu</w:t>
      </w:r>
      <w:r w:rsidR="002251F1"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cywilnego</w:t>
      </w:r>
      <w:r w:rsidR="002251F1" w:rsidRPr="00BF4514">
        <w:rPr>
          <w:rFonts w:ascii="Times New Roman" w:hAnsi="Times New Roman" w:cs="Times New Roman"/>
          <w:sz w:val="24"/>
          <w:szCs w:val="24"/>
        </w:rPr>
        <w:t xml:space="preserve"> ciężar </w:t>
      </w:r>
      <w:r w:rsidR="00A03C13" w:rsidRPr="00BF4514">
        <w:rPr>
          <w:rFonts w:ascii="Times New Roman" w:hAnsi="Times New Roman" w:cs="Times New Roman"/>
          <w:sz w:val="24"/>
          <w:szCs w:val="24"/>
        </w:rPr>
        <w:t>udowodnienia</w:t>
      </w:r>
      <w:r w:rsidR="002251F1" w:rsidRPr="00BF4514">
        <w:rPr>
          <w:rFonts w:ascii="Times New Roman" w:hAnsi="Times New Roman" w:cs="Times New Roman"/>
          <w:sz w:val="24"/>
          <w:szCs w:val="24"/>
        </w:rPr>
        <w:t xml:space="preserve"> faktu spoczywa na osobie, która z tego faktu wy</w:t>
      </w:r>
      <w:r w:rsidR="00A72624" w:rsidRPr="00BF4514">
        <w:rPr>
          <w:rFonts w:ascii="Times New Roman" w:hAnsi="Times New Roman" w:cs="Times New Roman"/>
          <w:sz w:val="24"/>
          <w:szCs w:val="24"/>
        </w:rPr>
        <w:t xml:space="preserve">wodzi skutki prawne. Po drugie zgodnie z </w:t>
      </w:r>
      <w:r w:rsidR="00A03C13" w:rsidRPr="00BF4514">
        <w:rPr>
          <w:rFonts w:ascii="Times New Roman" w:hAnsi="Times New Roman" w:cs="Times New Roman"/>
          <w:sz w:val="24"/>
          <w:szCs w:val="24"/>
        </w:rPr>
        <w:t>zasadami</w:t>
      </w:r>
      <w:r w:rsidR="00A72624" w:rsidRPr="00BF4514">
        <w:rPr>
          <w:rFonts w:ascii="Times New Roman" w:hAnsi="Times New Roman" w:cs="Times New Roman"/>
          <w:sz w:val="24"/>
          <w:szCs w:val="24"/>
        </w:rPr>
        <w:t xml:space="preserve"> polskiego procesu cywilnego</w:t>
      </w:r>
      <w:r w:rsidR="00DD481D">
        <w:rPr>
          <w:rFonts w:ascii="Times New Roman" w:hAnsi="Times New Roman" w:cs="Times New Roman"/>
          <w:sz w:val="24"/>
          <w:szCs w:val="24"/>
        </w:rPr>
        <w:t>,</w:t>
      </w:r>
      <w:r w:rsidR="00A72624" w:rsidRPr="00BF4514">
        <w:rPr>
          <w:rFonts w:ascii="Times New Roman" w:hAnsi="Times New Roman" w:cs="Times New Roman"/>
          <w:sz w:val="24"/>
          <w:szCs w:val="24"/>
        </w:rPr>
        <w:t xml:space="preserve"> </w:t>
      </w:r>
      <w:r w:rsidR="003E14E6" w:rsidRPr="00BF4514">
        <w:rPr>
          <w:rFonts w:ascii="Times New Roman" w:hAnsi="Times New Roman" w:cs="Times New Roman"/>
          <w:sz w:val="24"/>
          <w:szCs w:val="24"/>
        </w:rPr>
        <w:t>składając pozew</w:t>
      </w:r>
      <w:r w:rsidR="00DD481D">
        <w:rPr>
          <w:rFonts w:ascii="Times New Roman" w:hAnsi="Times New Roman" w:cs="Times New Roman"/>
          <w:sz w:val="24"/>
          <w:szCs w:val="24"/>
        </w:rPr>
        <w:t>,</w:t>
      </w:r>
      <w:r w:rsidR="003E14E6" w:rsidRPr="00BF4514">
        <w:rPr>
          <w:rFonts w:ascii="Times New Roman" w:hAnsi="Times New Roman" w:cs="Times New Roman"/>
          <w:sz w:val="24"/>
          <w:szCs w:val="24"/>
        </w:rPr>
        <w:t xml:space="preserve"> należy </w:t>
      </w:r>
      <w:r w:rsidR="00A72624" w:rsidRPr="00BF4514">
        <w:rPr>
          <w:rFonts w:ascii="Times New Roman" w:hAnsi="Times New Roman" w:cs="Times New Roman"/>
          <w:sz w:val="24"/>
          <w:szCs w:val="24"/>
        </w:rPr>
        <w:t xml:space="preserve">przedstawić </w:t>
      </w:r>
      <w:r w:rsidR="00626093" w:rsidRPr="00BF4514">
        <w:rPr>
          <w:rFonts w:ascii="Times New Roman" w:hAnsi="Times New Roman" w:cs="Times New Roman"/>
          <w:sz w:val="24"/>
          <w:szCs w:val="24"/>
        </w:rPr>
        <w:t>dokładne żądanie pozwu</w:t>
      </w:r>
      <w:r w:rsidR="00871A64" w:rsidRPr="00BF4514">
        <w:rPr>
          <w:rFonts w:ascii="Times New Roman" w:hAnsi="Times New Roman" w:cs="Times New Roman"/>
          <w:sz w:val="24"/>
          <w:szCs w:val="24"/>
        </w:rPr>
        <w:t xml:space="preserve">, a także wszelkie fakty, na których oparte są </w:t>
      </w:r>
      <w:r w:rsidR="00A03C13" w:rsidRPr="00BF4514">
        <w:rPr>
          <w:rFonts w:ascii="Times New Roman" w:hAnsi="Times New Roman" w:cs="Times New Roman"/>
          <w:sz w:val="24"/>
          <w:szCs w:val="24"/>
        </w:rPr>
        <w:t>żądania</w:t>
      </w:r>
      <w:r w:rsidR="00390E2C"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Tym samym</w:t>
      </w:r>
      <w:r w:rsidR="00390E2C" w:rsidRPr="00BF4514">
        <w:rPr>
          <w:rFonts w:ascii="Times New Roman" w:hAnsi="Times New Roman" w:cs="Times New Roman"/>
          <w:sz w:val="24"/>
          <w:szCs w:val="24"/>
        </w:rPr>
        <w:t xml:space="preserve"> polski porządek zapewnia realizację postulatu </w:t>
      </w:r>
      <w:r w:rsidR="00A03C13" w:rsidRPr="00BF4514">
        <w:rPr>
          <w:rFonts w:ascii="Times New Roman" w:hAnsi="Times New Roman" w:cs="Times New Roman"/>
          <w:sz w:val="24"/>
          <w:szCs w:val="24"/>
        </w:rPr>
        <w:lastRenderedPageBreak/>
        <w:t>Dyrektywy</w:t>
      </w:r>
      <w:r w:rsidR="00390E2C" w:rsidRPr="00BF4514">
        <w:rPr>
          <w:rFonts w:ascii="Times New Roman" w:hAnsi="Times New Roman" w:cs="Times New Roman"/>
          <w:sz w:val="24"/>
          <w:szCs w:val="24"/>
        </w:rPr>
        <w:t xml:space="preserve"> z art. 12</w:t>
      </w:r>
      <w:r w:rsidR="003924E1" w:rsidRPr="00BF4514">
        <w:rPr>
          <w:rFonts w:ascii="Times New Roman" w:hAnsi="Times New Roman" w:cs="Times New Roman"/>
          <w:sz w:val="24"/>
          <w:szCs w:val="24"/>
        </w:rPr>
        <w:t xml:space="preserve"> i </w:t>
      </w:r>
      <w:r w:rsidR="00A03C13" w:rsidRPr="00BF4514">
        <w:rPr>
          <w:rFonts w:ascii="Times New Roman" w:hAnsi="Times New Roman" w:cs="Times New Roman"/>
          <w:sz w:val="24"/>
          <w:szCs w:val="24"/>
        </w:rPr>
        <w:t>zapewnia</w:t>
      </w:r>
      <w:r w:rsidR="003924E1" w:rsidRPr="00BF4514">
        <w:rPr>
          <w:rFonts w:ascii="Times New Roman" w:hAnsi="Times New Roman" w:cs="Times New Roman"/>
          <w:sz w:val="24"/>
          <w:szCs w:val="24"/>
        </w:rPr>
        <w:t xml:space="preserve">, by to powód dowodził jego zasadności. </w:t>
      </w:r>
      <w:r w:rsidR="00AA7BE1" w:rsidRPr="00BF4514">
        <w:rPr>
          <w:rFonts w:ascii="Times New Roman" w:hAnsi="Times New Roman" w:cs="Times New Roman"/>
          <w:sz w:val="24"/>
          <w:szCs w:val="24"/>
        </w:rPr>
        <w:t xml:space="preserve">Co więcej </w:t>
      </w:r>
      <w:r w:rsidR="001E2A09" w:rsidRPr="00BF4514">
        <w:rPr>
          <w:rFonts w:ascii="Times New Roman" w:hAnsi="Times New Roman" w:cs="Times New Roman"/>
          <w:sz w:val="24"/>
          <w:szCs w:val="24"/>
        </w:rPr>
        <w:t>zgodnie z</w:t>
      </w:r>
      <w:r w:rsidR="00C45E57" w:rsidRPr="00BF4514">
        <w:rPr>
          <w:rFonts w:ascii="Times New Roman" w:hAnsi="Times New Roman" w:cs="Times New Roman"/>
          <w:sz w:val="24"/>
          <w:szCs w:val="24"/>
        </w:rPr>
        <w:t> </w:t>
      </w:r>
      <w:r w:rsidR="001E2A09" w:rsidRPr="00BF4514">
        <w:rPr>
          <w:rFonts w:ascii="Times New Roman" w:hAnsi="Times New Roman" w:cs="Times New Roman"/>
          <w:sz w:val="24"/>
          <w:szCs w:val="24"/>
        </w:rPr>
        <w:t xml:space="preserve">art. 8 </w:t>
      </w:r>
      <w:r w:rsidR="00A03C13" w:rsidRPr="00BF4514">
        <w:rPr>
          <w:rFonts w:ascii="Times New Roman" w:hAnsi="Times New Roman" w:cs="Times New Roman"/>
          <w:sz w:val="24"/>
          <w:szCs w:val="24"/>
        </w:rPr>
        <w:t>projektowanej</w:t>
      </w:r>
      <w:r w:rsidR="001E2A09" w:rsidRPr="00BF4514">
        <w:rPr>
          <w:rFonts w:ascii="Times New Roman" w:hAnsi="Times New Roman" w:cs="Times New Roman"/>
          <w:sz w:val="24"/>
          <w:szCs w:val="24"/>
        </w:rPr>
        <w:t xml:space="preserve"> ustawy w przypadku, gdy pozwany </w:t>
      </w:r>
      <w:r w:rsidR="00A03C13" w:rsidRPr="00BF4514">
        <w:rPr>
          <w:rFonts w:ascii="Times New Roman" w:hAnsi="Times New Roman" w:cs="Times New Roman"/>
          <w:sz w:val="24"/>
          <w:szCs w:val="24"/>
        </w:rPr>
        <w:t>złoży</w:t>
      </w:r>
      <w:r w:rsidR="001E2A09" w:rsidRPr="00BF4514">
        <w:rPr>
          <w:rFonts w:ascii="Times New Roman" w:hAnsi="Times New Roman" w:cs="Times New Roman"/>
          <w:sz w:val="24"/>
          <w:szCs w:val="24"/>
        </w:rPr>
        <w:t xml:space="preserve"> wniosek </w:t>
      </w:r>
      <w:r w:rsidR="006960E8" w:rsidRPr="00BF4514">
        <w:rPr>
          <w:rFonts w:ascii="Times New Roman" w:hAnsi="Times New Roman" w:cs="Times New Roman"/>
          <w:sz w:val="24"/>
          <w:szCs w:val="24"/>
        </w:rPr>
        <w:t xml:space="preserve">oddalenie powództwa jako </w:t>
      </w:r>
      <w:r w:rsidR="00A03C13" w:rsidRPr="00BF4514">
        <w:rPr>
          <w:rFonts w:ascii="Times New Roman" w:hAnsi="Times New Roman" w:cs="Times New Roman"/>
          <w:sz w:val="24"/>
          <w:szCs w:val="24"/>
        </w:rPr>
        <w:t>oczywiście</w:t>
      </w:r>
      <w:r w:rsidR="006960E8" w:rsidRPr="00BF4514">
        <w:rPr>
          <w:rFonts w:ascii="Times New Roman" w:hAnsi="Times New Roman" w:cs="Times New Roman"/>
          <w:sz w:val="24"/>
          <w:szCs w:val="24"/>
        </w:rPr>
        <w:t xml:space="preserve"> bezzasadnego – sąd wyznacza termin dla powoda, by ten mógł się ustosunkować i</w:t>
      </w:r>
      <w:r w:rsidR="00C45E57" w:rsidRPr="00BF4514">
        <w:rPr>
          <w:rFonts w:ascii="Times New Roman" w:hAnsi="Times New Roman" w:cs="Times New Roman"/>
          <w:sz w:val="24"/>
          <w:szCs w:val="24"/>
        </w:rPr>
        <w:t> </w:t>
      </w:r>
      <w:r w:rsidR="006960E8" w:rsidRPr="00BF4514">
        <w:rPr>
          <w:rFonts w:ascii="Times New Roman" w:hAnsi="Times New Roman" w:cs="Times New Roman"/>
          <w:sz w:val="24"/>
          <w:szCs w:val="24"/>
        </w:rPr>
        <w:t>ewentualn</w:t>
      </w:r>
      <w:r w:rsidR="00FE0FBB" w:rsidRPr="00BF4514">
        <w:rPr>
          <w:rFonts w:ascii="Times New Roman" w:hAnsi="Times New Roman" w:cs="Times New Roman"/>
          <w:sz w:val="24"/>
          <w:szCs w:val="24"/>
        </w:rPr>
        <w:t xml:space="preserve">ie złożyć </w:t>
      </w:r>
      <w:r w:rsidR="00A03C13" w:rsidRPr="00BF4514">
        <w:rPr>
          <w:rFonts w:ascii="Times New Roman" w:hAnsi="Times New Roman" w:cs="Times New Roman"/>
          <w:sz w:val="24"/>
          <w:szCs w:val="24"/>
        </w:rPr>
        <w:t>dodatkowe</w:t>
      </w:r>
      <w:r w:rsidR="00FE0FBB" w:rsidRPr="00BF4514">
        <w:rPr>
          <w:rFonts w:ascii="Times New Roman" w:hAnsi="Times New Roman" w:cs="Times New Roman"/>
          <w:sz w:val="24"/>
          <w:szCs w:val="24"/>
        </w:rPr>
        <w:t xml:space="preserve"> argumenty. Ale </w:t>
      </w:r>
      <w:r w:rsidR="00191601" w:rsidRPr="00BF4514">
        <w:rPr>
          <w:rFonts w:ascii="Times New Roman" w:hAnsi="Times New Roman" w:cs="Times New Roman"/>
          <w:sz w:val="24"/>
          <w:szCs w:val="24"/>
        </w:rPr>
        <w:t xml:space="preserve">sama konieczność złożenia dowodów wraz z pozwem jest już wystarczająca dla podjęcia przez sąd </w:t>
      </w:r>
      <w:r w:rsidR="00A03C13" w:rsidRPr="00BF4514">
        <w:rPr>
          <w:rFonts w:ascii="Times New Roman" w:hAnsi="Times New Roman" w:cs="Times New Roman"/>
          <w:sz w:val="24"/>
          <w:szCs w:val="24"/>
        </w:rPr>
        <w:t>decyzji</w:t>
      </w:r>
      <w:r w:rsidR="00191601" w:rsidRPr="00BF4514">
        <w:rPr>
          <w:rFonts w:ascii="Times New Roman" w:hAnsi="Times New Roman" w:cs="Times New Roman"/>
          <w:sz w:val="24"/>
          <w:szCs w:val="24"/>
        </w:rPr>
        <w:t xml:space="preserve"> dotyczącej ewentualnej bezzasadności. </w:t>
      </w:r>
    </w:p>
    <w:p w14:paraId="7182BE24" w14:textId="2924000C" w:rsidR="008C65B9" w:rsidRPr="00BF4514" w:rsidRDefault="0019160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W tym </w:t>
      </w:r>
      <w:r w:rsidR="00A03C13" w:rsidRPr="00BF4514">
        <w:rPr>
          <w:rFonts w:ascii="Times New Roman" w:hAnsi="Times New Roman" w:cs="Times New Roman"/>
          <w:sz w:val="24"/>
          <w:szCs w:val="24"/>
        </w:rPr>
        <w:t>miejscu</w:t>
      </w:r>
      <w:r w:rsidRPr="00BF4514">
        <w:rPr>
          <w:rFonts w:ascii="Times New Roman" w:hAnsi="Times New Roman" w:cs="Times New Roman"/>
          <w:sz w:val="24"/>
          <w:szCs w:val="24"/>
        </w:rPr>
        <w:t xml:space="preserve"> należy wskazać, że </w:t>
      </w:r>
      <w:r w:rsidR="00A03C13" w:rsidRPr="00BF4514">
        <w:rPr>
          <w:rFonts w:ascii="Times New Roman" w:hAnsi="Times New Roman" w:cs="Times New Roman"/>
          <w:sz w:val="24"/>
          <w:szCs w:val="24"/>
        </w:rPr>
        <w:t>częstym</w:t>
      </w:r>
      <w:r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przykładem</w:t>
      </w:r>
      <w:r w:rsidRPr="00BF4514">
        <w:rPr>
          <w:rFonts w:ascii="Times New Roman" w:hAnsi="Times New Roman" w:cs="Times New Roman"/>
          <w:sz w:val="24"/>
          <w:szCs w:val="24"/>
        </w:rPr>
        <w:t xml:space="preserve"> spraw typu Slapp</w:t>
      </w:r>
      <w:r w:rsidR="005E3851"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są</w:t>
      </w:r>
      <w:r w:rsidR="005E3851"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spory</w:t>
      </w:r>
      <w:r w:rsidR="005E3851" w:rsidRPr="00BF4514">
        <w:rPr>
          <w:rFonts w:ascii="Times New Roman" w:hAnsi="Times New Roman" w:cs="Times New Roman"/>
          <w:sz w:val="24"/>
          <w:szCs w:val="24"/>
        </w:rPr>
        <w:t xml:space="preserve"> o </w:t>
      </w:r>
      <w:r w:rsidR="00A03C13" w:rsidRPr="00BF4514">
        <w:rPr>
          <w:rFonts w:ascii="Times New Roman" w:hAnsi="Times New Roman" w:cs="Times New Roman"/>
          <w:sz w:val="24"/>
          <w:szCs w:val="24"/>
        </w:rPr>
        <w:t xml:space="preserve">ochronę </w:t>
      </w:r>
      <w:r w:rsidR="005E3851" w:rsidRPr="00BF4514">
        <w:rPr>
          <w:rFonts w:ascii="Times New Roman" w:hAnsi="Times New Roman" w:cs="Times New Roman"/>
          <w:sz w:val="24"/>
          <w:szCs w:val="24"/>
        </w:rPr>
        <w:t xml:space="preserve">dóbr </w:t>
      </w:r>
      <w:r w:rsidR="00A03C13" w:rsidRPr="00BF4514">
        <w:rPr>
          <w:rFonts w:ascii="Times New Roman" w:hAnsi="Times New Roman" w:cs="Times New Roman"/>
          <w:sz w:val="24"/>
          <w:szCs w:val="24"/>
        </w:rPr>
        <w:t>osobistych</w:t>
      </w:r>
      <w:r w:rsidR="005E3851" w:rsidRPr="00BF4514">
        <w:rPr>
          <w:rFonts w:ascii="Times New Roman" w:hAnsi="Times New Roman" w:cs="Times New Roman"/>
          <w:sz w:val="24"/>
          <w:szCs w:val="24"/>
        </w:rPr>
        <w:t xml:space="preserve">. Konstrukcja tego rodzaju spraw </w:t>
      </w:r>
      <w:r w:rsidR="00A03C13" w:rsidRPr="00BF4514">
        <w:rPr>
          <w:rFonts w:ascii="Times New Roman" w:hAnsi="Times New Roman" w:cs="Times New Roman"/>
          <w:sz w:val="24"/>
          <w:szCs w:val="24"/>
        </w:rPr>
        <w:t>przewiduje</w:t>
      </w:r>
      <w:r w:rsidR="005E3851" w:rsidRPr="00BF4514">
        <w:rPr>
          <w:rFonts w:ascii="Times New Roman" w:hAnsi="Times New Roman" w:cs="Times New Roman"/>
          <w:sz w:val="24"/>
          <w:szCs w:val="24"/>
        </w:rPr>
        <w:t xml:space="preserve">, że na powodzie spoczywa konieczność wykazania </w:t>
      </w:r>
      <w:r w:rsidR="00BE1314" w:rsidRPr="00BF4514">
        <w:rPr>
          <w:rFonts w:ascii="Times New Roman" w:hAnsi="Times New Roman" w:cs="Times New Roman"/>
          <w:sz w:val="24"/>
          <w:szCs w:val="24"/>
        </w:rPr>
        <w:t xml:space="preserve">faktu takiego naruszenia, a dopiero </w:t>
      </w:r>
      <w:r w:rsidR="00A03C13" w:rsidRPr="00BF4514">
        <w:rPr>
          <w:rFonts w:ascii="Times New Roman" w:hAnsi="Times New Roman" w:cs="Times New Roman"/>
          <w:sz w:val="24"/>
          <w:szCs w:val="24"/>
        </w:rPr>
        <w:t>pozwany</w:t>
      </w:r>
      <w:r w:rsidR="00BE1314" w:rsidRPr="00BF4514">
        <w:rPr>
          <w:rFonts w:ascii="Times New Roman" w:hAnsi="Times New Roman" w:cs="Times New Roman"/>
          <w:sz w:val="24"/>
          <w:szCs w:val="24"/>
        </w:rPr>
        <w:t xml:space="preserve"> może </w:t>
      </w:r>
      <w:r w:rsidR="00A03C13" w:rsidRPr="00BF4514">
        <w:rPr>
          <w:rFonts w:ascii="Times New Roman" w:hAnsi="Times New Roman" w:cs="Times New Roman"/>
          <w:sz w:val="24"/>
          <w:szCs w:val="24"/>
        </w:rPr>
        <w:t>bronić</w:t>
      </w:r>
      <w:r w:rsidR="00BE1314" w:rsidRPr="00BF4514">
        <w:rPr>
          <w:rFonts w:ascii="Times New Roman" w:hAnsi="Times New Roman" w:cs="Times New Roman"/>
          <w:sz w:val="24"/>
          <w:szCs w:val="24"/>
        </w:rPr>
        <w:t xml:space="preserve"> się wskazując brak bezprawności </w:t>
      </w:r>
      <w:r w:rsidR="00A03C13" w:rsidRPr="00BF4514">
        <w:rPr>
          <w:rFonts w:ascii="Times New Roman" w:hAnsi="Times New Roman" w:cs="Times New Roman"/>
          <w:sz w:val="24"/>
          <w:szCs w:val="24"/>
        </w:rPr>
        <w:t>swojego</w:t>
      </w:r>
      <w:r w:rsidR="00BE1314" w:rsidRPr="00BF4514">
        <w:rPr>
          <w:rFonts w:ascii="Times New Roman" w:hAnsi="Times New Roman" w:cs="Times New Roman"/>
          <w:sz w:val="24"/>
          <w:szCs w:val="24"/>
        </w:rPr>
        <w:t xml:space="preserve"> działania. Jednak nawet ta zasada jako pierwsze wymaga, by powód wykazał zarówno </w:t>
      </w:r>
      <w:r w:rsidR="00A03C13" w:rsidRPr="00BF4514">
        <w:rPr>
          <w:rFonts w:ascii="Times New Roman" w:hAnsi="Times New Roman" w:cs="Times New Roman"/>
          <w:sz w:val="24"/>
          <w:szCs w:val="24"/>
        </w:rPr>
        <w:t>istnienie</w:t>
      </w:r>
      <w:r w:rsidR="00BE1314" w:rsidRPr="00BF4514">
        <w:rPr>
          <w:rFonts w:ascii="Times New Roman" w:hAnsi="Times New Roman" w:cs="Times New Roman"/>
          <w:sz w:val="24"/>
          <w:szCs w:val="24"/>
        </w:rPr>
        <w:t xml:space="preserve"> dobra, którego ochrony dochodzi, jak i faktu jego naruszenia. </w:t>
      </w:r>
      <w:r w:rsidR="005063D5" w:rsidRPr="00BF4514">
        <w:rPr>
          <w:rFonts w:ascii="Times New Roman" w:hAnsi="Times New Roman" w:cs="Times New Roman"/>
          <w:sz w:val="24"/>
          <w:szCs w:val="24"/>
        </w:rPr>
        <w:t>Twierdzenia i dowody tego dotyczące musz</w:t>
      </w:r>
      <w:r w:rsidR="00657E60">
        <w:rPr>
          <w:rFonts w:ascii="Times New Roman" w:hAnsi="Times New Roman" w:cs="Times New Roman"/>
          <w:sz w:val="24"/>
          <w:szCs w:val="24"/>
        </w:rPr>
        <w:t>ą</w:t>
      </w:r>
      <w:r w:rsidR="005063D5"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znaleźć</w:t>
      </w:r>
      <w:r w:rsidR="005063D5" w:rsidRPr="00BF4514">
        <w:rPr>
          <w:rFonts w:ascii="Times New Roman" w:hAnsi="Times New Roman" w:cs="Times New Roman"/>
          <w:sz w:val="24"/>
          <w:szCs w:val="24"/>
        </w:rPr>
        <w:t xml:space="preserve"> się – jak wskazano wyżej – </w:t>
      </w:r>
      <w:r w:rsidR="00A03C13" w:rsidRPr="00BF4514">
        <w:rPr>
          <w:rFonts w:ascii="Times New Roman" w:hAnsi="Times New Roman" w:cs="Times New Roman"/>
          <w:sz w:val="24"/>
          <w:szCs w:val="24"/>
        </w:rPr>
        <w:t>już</w:t>
      </w:r>
      <w:r w:rsidR="005063D5"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w pierwszym</w:t>
      </w:r>
      <w:r w:rsidR="005063D5" w:rsidRPr="00BF4514">
        <w:rPr>
          <w:rFonts w:ascii="Times New Roman" w:hAnsi="Times New Roman" w:cs="Times New Roman"/>
          <w:sz w:val="24"/>
          <w:szCs w:val="24"/>
        </w:rPr>
        <w:t xml:space="preserve"> piś</w:t>
      </w:r>
      <w:r w:rsidR="008B3A34" w:rsidRPr="00BF4514">
        <w:rPr>
          <w:rFonts w:ascii="Times New Roman" w:hAnsi="Times New Roman" w:cs="Times New Roman"/>
          <w:sz w:val="24"/>
          <w:szCs w:val="24"/>
        </w:rPr>
        <w:t>mie procesowym, czyli pozwie.</w:t>
      </w:r>
      <w:r w:rsidR="00AB39D7">
        <w:rPr>
          <w:rFonts w:ascii="Times New Roman" w:hAnsi="Times New Roman" w:cs="Times New Roman"/>
          <w:sz w:val="24"/>
          <w:szCs w:val="24"/>
        </w:rPr>
        <w:t xml:space="preserve"> </w:t>
      </w:r>
    </w:p>
    <w:p w14:paraId="13E9D012" w14:textId="3E553991" w:rsidR="00F877F6" w:rsidRPr="00BF4514" w:rsidRDefault="007F62BD"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III. Korzyści z wprowadzenia</w:t>
      </w:r>
      <w:r w:rsidR="00A655E5" w:rsidRPr="00BF4514">
        <w:rPr>
          <w:rFonts w:ascii="Times New Roman" w:hAnsi="Times New Roman" w:cs="Times New Roman"/>
          <w:b/>
          <w:bCs/>
          <w:sz w:val="24"/>
          <w:szCs w:val="24"/>
        </w:rPr>
        <w:t xml:space="preserve"> ustawy</w:t>
      </w:r>
    </w:p>
    <w:p w14:paraId="0284AF56" w14:textId="3E9F329F" w:rsidR="005D7EC5" w:rsidRPr="00BF4514" w:rsidRDefault="00D4435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Wprowadzenie ustawy przyniesie szereg korzyści, które będą miały znaczący wpływ na funkcjonowanie systemu prawnego oraz ochronę kluczowych wartości demokratycznych. Przede wszystkim </w:t>
      </w:r>
      <w:r w:rsidR="008D5EF8" w:rsidRPr="00BF4514">
        <w:rPr>
          <w:rFonts w:ascii="Times New Roman" w:hAnsi="Times New Roman" w:cs="Times New Roman"/>
          <w:sz w:val="24"/>
          <w:szCs w:val="24"/>
        </w:rPr>
        <w:t xml:space="preserve">zostanie </w:t>
      </w:r>
      <w:r w:rsidRPr="00BF4514">
        <w:rPr>
          <w:rFonts w:ascii="Times New Roman" w:hAnsi="Times New Roman" w:cs="Times New Roman"/>
          <w:sz w:val="24"/>
          <w:szCs w:val="24"/>
        </w:rPr>
        <w:t>wzmocni</w:t>
      </w:r>
      <w:r w:rsidR="008D5EF8" w:rsidRPr="00BF4514">
        <w:rPr>
          <w:rFonts w:ascii="Times New Roman" w:hAnsi="Times New Roman" w:cs="Times New Roman"/>
          <w:sz w:val="24"/>
          <w:szCs w:val="24"/>
        </w:rPr>
        <w:t>ona</w:t>
      </w:r>
      <w:r w:rsidRPr="00BF4514">
        <w:rPr>
          <w:rFonts w:ascii="Times New Roman" w:hAnsi="Times New Roman" w:cs="Times New Roman"/>
          <w:sz w:val="24"/>
          <w:szCs w:val="24"/>
        </w:rPr>
        <w:t xml:space="preserve"> </w:t>
      </w:r>
      <w:r w:rsidR="00CC17D5" w:rsidRPr="00BF4514">
        <w:rPr>
          <w:rFonts w:ascii="Times New Roman" w:hAnsi="Times New Roman" w:cs="Times New Roman"/>
          <w:sz w:val="24"/>
          <w:szCs w:val="24"/>
        </w:rPr>
        <w:t>ochron</w:t>
      </w:r>
      <w:r w:rsidR="008D5EF8" w:rsidRPr="00BF4514">
        <w:rPr>
          <w:rFonts w:ascii="Times New Roman" w:hAnsi="Times New Roman" w:cs="Times New Roman"/>
          <w:sz w:val="24"/>
          <w:szCs w:val="24"/>
        </w:rPr>
        <w:t>a</w:t>
      </w:r>
      <w:r w:rsidR="00CC17D5" w:rsidRPr="00BF4514">
        <w:rPr>
          <w:rFonts w:ascii="Times New Roman" w:hAnsi="Times New Roman" w:cs="Times New Roman"/>
          <w:sz w:val="24"/>
          <w:szCs w:val="24"/>
        </w:rPr>
        <w:t xml:space="preserve"> </w:t>
      </w:r>
      <w:r w:rsidRPr="00BF4514">
        <w:rPr>
          <w:rFonts w:ascii="Times New Roman" w:hAnsi="Times New Roman" w:cs="Times New Roman"/>
          <w:sz w:val="24"/>
          <w:szCs w:val="24"/>
        </w:rPr>
        <w:t>wolnoś</w:t>
      </w:r>
      <w:r w:rsidR="00CC17D5" w:rsidRPr="00BF4514">
        <w:rPr>
          <w:rFonts w:ascii="Times New Roman" w:hAnsi="Times New Roman" w:cs="Times New Roman"/>
          <w:sz w:val="24"/>
          <w:szCs w:val="24"/>
        </w:rPr>
        <w:t>ci</w:t>
      </w:r>
      <w:r w:rsidRPr="00BF4514">
        <w:rPr>
          <w:rFonts w:ascii="Times New Roman" w:hAnsi="Times New Roman" w:cs="Times New Roman"/>
          <w:sz w:val="24"/>
          <w:szCs w:val="24"/>
        </w:rPr>
        <w:t xml:space="preserve"> słowa i praw</w:t>
      </w:r>
      <w:r w:rsidR="00CC17D5" w:rsidRPr="00BF4514">
        <w:rPr>
          <w:rFonts w:ascii="Times New Roman" w:hAnsi="Times New Roman" w:cs="Times New Roman"/>
          <w:sz w:val="24"/>
          <w:szCs w:val="24"/>
        </w:rPr>
        <w:t>a</w:t>
      </w:r>
      <w:r w:rsidRPr="00BF4514">
        <w:rPr>
          <w:rFonts w:ascii="Times New Roman" w:hAnsi="Times New Roman" w:cs="Times New Roman"/>
          <w:sz w:val="24"/>
          <w:szCs w:val="24"/>
        </w:rPr>
        <w:t xml:space="preserve"> do wyrażania opinii, co wpłynie na podniesienie jakości i</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otwartości debaty publicznej.</w:t>
      </w:r>
      <w:r w:rsidR="008D5EF8" w:rsidRPr="00BF4514">
        <w:rPr>
          <w:rFonts w:ascii="Times New Roman" w:hAnsi="Times New Roman" w:cs="Times New Roman"/>
          <w:sz w:val="24"/>
          <w:szCs w:val="24"/>
        </w:rPr>
        <w:t xml:space="preserve"> </w:t>
      </w:r>
      <w:r w:rsidRPr="00BF4514">
        <w:rPr>
          <w:rFonts w:ascii="Times New Roman" w:hAnsi="Times New Roman" w:cs="Times New Roman"/>
          <w:sz w:val="24"/>
          <w:szCs w:val="24"/>
        </w:rPr>
        <w:t>Ograniczenie możliwości wykorzystywania procesów sądowych jako narzędzia represji wzmocni pozycję osób zaangażowanych w działania społeczne, dziennikarskie czy aktywistyczne. W efekcie pozwoli to na bardziej swobodne angażowanie się w sprawy publiczne bez obawy przed kosztownymi i długotrwałymi procesami sądowymi.</w:t>
      </w:r>
      <w:r w:rsidR="006A0AA0" w:rsidRPr="00BF4514">
        <w:rPr>
          <w:rFonts w:ascii="Times New Roman" w:hAnsi="Times New Roman" w:cs="Times New Roman"/>
          <w:sz w:val="24"/>
          <w:szCs w:val="24"/>
        </w:rPr>
        <w:t xml:space="preserve"> </w:t>
      </w:r>
    </w:p>
    <w:p w14:paraId="31E0A992" w14:textId="75D40408" w:rsidR="005D7EC5" w:rsidRPr="00BF4514" w:rsidRDefault="007F62BD"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 xml:space="preserve">IV. Zaproponowane </w:t>
      </w:r>
      <w:r w:rsidR="0030229D" w:rsidRPr="00BF4514">
        <w:rPr>
          <w:rFonts w:ascii="Times New Roman" w:hAnsi="Times New Roman" w:cs="Times New Roman"/>
          <w:b/>
          <w:bCs/>
          <w:sz w:val="24"/>
          <w:szCs w:val="24"/>
        </w:rPr>
        <w:t>regulacje</w:t>
      </w:r>
      <w:r w:rsidRPr="00BF4514">
        <w:rPr>
          <w:rFonts w:ascii="Times New Roman" w:hAnsi="Times New Roman" w:cs="Times New Roman"/>
          <w:b/>
          <w:bCs/>
          <w:sz w:val="24"/>
          <w:szCs w:val="24"/>
        </w:rPr>
        <w:t xml:space="preserve"> szczegółowe</w:t>
      </w:r>
    </w:p>
    <w:p w14:paraId="1A8108E3" w14:textId="17215228" w:rsidR="004B7BA2" w:rsidRPr="00BF4514" w:rsidRDefault="00B40F23"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1 </w:t>
      </w:r>
      <w:r w:rsidR="004B7BA2" w:rsidRPr="00BF4514">
        <w:rPr>
          <w:rFonts w:ascii="Times New Roman" w:hAnsi="Times New Roman" w:cs="Times New Roman"/>
          <w:sz w:val="24"/>
          <w:szCs w:val="24"/>
        </w:rPr>
        <w:t xml:space="preserve">Przepis określa zakres przedmiotowy ustawy, wskazując, że jej celem jest ochrona osób uczestniczących w debacie publicznej przed </w:t>
      </w:r>
      <w:r w:rsidR="00AC2DCD" w:rsidRPr="00BF4514">
        <w:rPr>
          <w:rFonts w:ascii="Times New Roman" w:hAnsi="Times New Roman" w:cs="Times New Roman"/>
          <w:sz w:val="24"/>
          <w:szCs w:val="24"/>
        </w:rPr>
        <w:t xml:space="preserve">oczywiście bezzasadnymi </w:t>
      </w:r>
      <w:r w:rsidR="004B7BA2" w:rsidRPr="00BF4514">
        <w:rPr>
          <w:rFonts w:ascii="Times New Roman" w:hAnsi="Times New Roman" w:cs="Times New Roman"/>
          <w:sz w:val="24"/>
          <w:szCs w:val="24"/>
        </w:rPr>
        <w:t>roszczeniami cywilnymi</w:t>
      </w:r>
      <w:r w:rsidR="00253F87" w:rsidRPr="00BF4514">
        <w:rPr>
          <w:rFonts w:ascii="Times New Roman" w:hAnsi="Times New Roman" w:cs="Times New Roman"/>
          <w:sz w:val="24"/>
          <w:szCs w:val="24"/>
        </w:rPr>
        <w:t>, a także czynnościami procesowymi stanowiącymi nadużycie prawa procesowego</w:t>
      </w:r>
      <w:r w:rsidR="004B7BA2" w:rsidRPr="00BF4514">
        <w:rPr>
          <w:rFonts w:ascii="Times New Roman" w:hAnsi="Times New Roman" w:cs="Times New Roman"/>
          <w:sz w:val="24"/>
          <w:szCs w:val="24"/>
        </w:rPr>
        <w:t xml:space="preserve">, które w swojej istocie </w:t>
      </w:r>
      <w:r w:rsidR="009F0AEE" w:rsidRPr="00BF4514">
        <w:rPr>
          <w:rFonts w:ascii="Times New Roman" w:hAnsi="Times New Roman" w:cs="Times New Roman"/>
          <w:sz w:val="24"/>
          <w:szCs w:val="24"/>
        </w:rPr>
        <w:t xml:space="preserve">wyłącznie lub głównie </w:t>
      </w:r>
      <w:r w:rsidR="004B7BA2" w:rsidRPr="00BF4514">
        <w:rPr>
          <w:rFonts w:ascii="Times New Roman" w:hAnsi="Times New Roman" w:cs="Times New Roman"/>
          <w:sz w:val="24"/>
          <w:szCs w:val="24"/>
        </w:rPr>
        <w:t>zmierzają do ograniczenia, stłumienia</w:t>
      </w:r>
      <w:r w:rsidR="00C06063" w:rsidRPr="00BF4514">
        <w:rPr>
          <w:rFonts w:ascii="Times New Roman" w:hAnsi="Times New Roman" w:cs="Times New Roman"/>
          <w:sz w:val="24"/>
          <w:szCs w:val="24"/>
        </w:rPr>
        <w:t xml:space="preserve">, </w:t>
      </w:r>
      <w:r w:rsidR="004B7BA2" w:rsidRPr="00BF4514">
        <w:rPr>
          <w:rFonts w:ascii="Times New Roman" w:hAnsi="Times New Roman" w:cs="Times New Roman"/>
          <w:sz w:val="24"/>
          <w:szCs w:val="24"/>
        </w:rPr>
        <w:t>zakłócenia tej debaty</w:t>
      </w:r>
      <w:r w:rsidR="00C06063" w:rsidRPr="00BF4514">
        <w:rPr>
          <w:rFonts w:ascii="Times New Roman" w:hAnsi="Times New Roman" w:cs="Times New Roman"/>
          <w:sz w:val="24"/>
          <w:szCs w:val="24"/>
        </w:rPr>
        <w:t xml:space="preserve"> lub szykanowania za udział w niej</w:t>
      </w:r>
      <w:r w:rsidR="004B7BA2" w:rsidRPr="00BF4514">
        <w:rPr>
          <w:rFonts w:ascii="Times New Roman" w:hAnsi="Times New Roman" w:cs="Times New Roman"/>
          <w:sz w:val="24"/>
          <w:szCs w:val="24"/>
        </w:rPr>
        <w:t>. Wprowadzona regulacja nie tylko implementuje przepisy dyrektywy 2024/1069, lecz również znacząco rozszerza jej zakres zastosowania.</w:t>
      </w:r>
      <w:r w:rsidR="00FE7B89" w:rsidRPr="00BF4514">
        <w:rPr>
          <w:rFonts w:ascii="Times New Roman" w:hAnsi="Times New Roman" w:cs="Times New Roman"/>
          <w:sz w:val="24"/>
          <w:szCs w:val="24"/>
        </w:rPr>
        <w:t xml:space="preserve"> </w:t>
      </w:r>
      <w:r w:rsidR="004B7BA2" w:rsidRPr="00BF4514">
        <w:rPr>
          <w:rFonts w:ascii="Times New Roman" w:hAnsi="Times New Roman" w:cs="Times New Roman"/>
          <w:sz w:val="24"/>
          <w:szCs w:val="24"/>
        </w:rPr>
        <w:t>Podczas gdy dyrektywa odnosi się wyłącznie do postępowań transgranicznych, ustawa ma zastosowanie również do spraw krajowych, co zapewnia szerszą ochronę uczestnikom debaty publicznej.</w:t>
      </w:r>
      <w:r w:rsidR="00FE7B89" w:rsidRPr="00BF4514">
        <w:rPr>
          <w:rFonts w:ascii="Times New Roman" w:hAnsi="Times New Roman" w:cs="Times New Roman"/>
          <w:sz w:val="24"/>
          <w:szCs w:val="24"/>
        </w:rPr>
        <w:t xml:space="preserve"> </w:t>
      </w:r>
      <w:r w:rsidR="004B7BA2" w:rsidRPr="00BF4514">
        <w:rPr>
          <w:rFonts w:ascii="Times New Roman" w:hAnsi="Times New Roman" w:cs="Times New Roman"/>
          <w:sz w:val="24"/>
          <w:szCs w:val="24"/>
        </w:rPr>
        <w:t xml:space="preserve">W konsekwencji regulacja ta stanowi istotne wzmocnienie gwarancji prawnych dla </w:t>
      </w:r>
      <w:r w:rsidR="004B7BA2" w:rsidRPr="00BF4514">
        <w:rPr>
          <w:rFonts w:ascii="Times New Roman" w:hAnsi="Times New Roman" w:cs="Times New Roman"/>
          <w:sz w:val="24"/>
          <w:szCs w:val="24"/>
        </w:rPr>
        <w:lastRenderedPageBreak/>
        <w:t>osób angażujących się w debatę publiczną, chroniąc je przed nieuzasadnionymi lub nadmiernymi roszczeniami mogącymi mieć efekt mrożący na swobodę wypowiedzi i działalność społeczną.</w:t>
      </w:r>
    </w:p>
    <w:p w14:paraId="0D493019" w14:textId="3AD51148" w:rsidR="00844A7A" w:rsidRPr="00BF4514" w:rsidRDefault="00844A7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Ze względu na fakt, że przepisy dotyczące postępowań nieprocesowych przewidzianych w art. 111 Kodeksu wyborczego, czyli tzw. procesów wyborczych, nakładają bardzo krótki czas wydania rozstrzygnięcia</w:t>
      </w:r>
      <w:r w:rsidR="005E03AD">
        <w:rPr>
          <w:rFonts w:ascii="Times New Roman" w:hAnsi="Times New Roman" w:cs="Times New Roman"/>
          <w:sz w:val="24"/>
          <w:szCs w:val="24"/>
        </w:rPr>
        <w:t>,</w:t>
      </w:r>
      <w:r w:rsidRPr="00BF4514">
        <w:rPr>
          <w:rFonts w:ascii="Times New Roman" w:hAnsi="Times New Roman" w:cs="Times New Roman"/>
          <w:sz w:val="24"/>
          <w:szCs w:val="24"/>
        </w:rPr>
        <w:t xml:space="preserve"> nie jest konieczne stosowanie gwarancji przewidzianych przez ustawę. Ponadto przepisy te stosuje się do komitetów wyborczych, które z natury rzeczy dysponują fachową pomocą prawną.</w:t>
      </w:r>
    </w:p>
    <w:p w14:paraId="486D422A" w14:textId="6522A6CC" w:rsidR="00844A7A" w:rsidRPr="00BF4514" w:rsidRDefault="00844A7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Projektowany przepis art. </w:t>
      </w:r>
      <w:r w:rsidR="0091436A" w:rsidRPr="00BF4514">
        <w:rPr>
          <w:rFonts w:ascii="Times New Roman" w:hAnsi="Times New Roman" w:cs="Times New Roman"/>
          <w:sz w:val="24"/>
          <w:szCs w:val="24"/>
        </w:rPr>
        <w:t>1 ust. 3</w:t>
      </w:r>
      <w:r w:rsidRPr="00BF4514">
        <w:rPr>
          <w:rFonts w:ascii="Times New Roman" w:hAnsi="Times New Roman" w:cs="Times New Roman"/>
          <w:sz w:val="24"/>
          <w:szCs w:val="24"/>
        </w:rPr>
        <w:t xml:space="preserve"> ma charakter przepisu odsyłającego i wskazuje, że w zakresie nieuregulowanym w projektowanej ustawie zastosowanie znajdą odpowiednie przepisy ustawy z dnia 17 listopada 1964 roku </w:t>
      </w:r>
      <w:r w:rsidR="005E03AD" w:rsidRPr="005E03AD">
        <w:rPr>
          <w:rFonts w:ascii="Times New Roman" w:hAnsi="Times New Roman" w:cs="Times New Roman"/>
          <w:sz w:val="24"/>
          <w:szCs w:val="24"/>
        </w:rPr>
        <w:t>–</w:t>
      </w:r>
      <w:r w:rsidRPr="00BF4514">
        <w:rPr>
          <w:rFonts w:ascii="Times New Roman" w:hAnsi="Times New Roman" w:cs="Times New Roman"/>
          <w:sz w:val="24"/>
          <w:szCs w:val="24"/>
        </w:rPr>
        <w:t xml:space="preserve"> Kodeks postępowania cywilnego.</w:t>
      </w:r>
    </w:p>
    <w:p w14:paraId="050908C1" w14:textId="6A0D009D" w:rsidR="00FD1E88" w:rsidRPr="00BF4514" w:rsidRDefault="00DE0B19"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Art. 2</w:t>
      </w:r>
      <w:r w:rsidRPr="00BF4514">
        <w:rPr>
          <w:rFonts w:ascii="Times New Roman" w:hAnsi="Times New Roman" w:cs="Times New Roman"/>
          <w:sz w:val="24"/>
          <w:szCs w:val="24"/>
        </w:rPr>
        <w:t xml:space="preserve"> </w:t>
      </w:r>
      <w:r w:rsidR="00FD1E88" w:rsidRPr="00BF4514">
        <w:rPr>
          <w:rFonts w:ascii="Times New Roman" w:hAnsi="Times New Roman" w:cs="Times New Roman"/>
          <w:sz w:val="24"/>
          <w:szCs w:val="24"/>
        </w:rPr>
        <w:t xml:space="preserve">Przepis ten wprowadza definicję </w:t>
      </w:r>
      <w:r w:rsidR="007E047F" w:rsidRPr="00BF4514">
        <w:rPr>
          <w:rFonts w:ascii="Times New Roman" w:hAnsi="Times New Roman" w:cs="Times New Roman"/>
          <w:sz w:val="24"/>
          <w:szCs w:val="24"/>
        </w:rPr>
        <w:t xml:space="preserve">legalną </w:t>
      </w:r>
      <w:r w:rsidR="00FD1E88" w:rsidRPr="00BF4514">
        <w:rPr>
          <w:rFonts w:ascii="Times New Roman" w:hAnsi="Times New Roman" w:cs="Times New Roman"/>
          <w:sz w:val="24"/>
          <w:szCs w:val="24"/>
        </w:rPr>
        <w:t xml:space="preserve">pojęcia „debata publiczna”, której treść pozostaje spójna i zgodna z definicją określoną w art. 4 pkt 1 dyrektywy 2024/1069. </w:t>
      </w:r>
      <w:r w:rsidR="00910EEB" w:rsidRPr="00BF4514">
        <w:rPr>
          <w:rFonts w:ascii="Times New Roman" w:hAnsi="Times New Roman" w:cs="Times New Roman"/>
          <w:sz w:val="24"/>
          <w:szCs w:val="24"/>
        </w:rPr>
        <w:t>Projektodawca</w:t>
      </w:r>
      <w:r w:rsidR="00FD1E88" w:rsidRPr="00BF4514">
        <w:rPr>
          <w:rFonts w:ascii="Times New Roman" w:hAnsi="Times New Roman" w:cs="Times New Roman"/>
          <w:sz w:val="24"/>
          <w:szCs w:val="24"/>
        </w:rPr>
        <w:t xml:space="preserve"> świadomie przyjmuje szerokie ujęcie tego terminu, podkreślając, że obejmuje on wszelkie kwestie o istotnym znaczeniu z</w:t>
      </w:r>
      <w:r w:rsidR="00C45E57" w:rsidRPr="00BF4514">
        <w:rPr>
          <w:rFonts w:ascii="Times New Roman" w:hAnsi="Times New Roman" w:cs="Times New Roman"/>
          <w:sz w:val="24"/>
          <w:szCs w:val="24"/>
        </w:rPr>
        <w:t> </w:t>
      </w:r>
      <w:r w:rsidR="00FD1E88" w:rsidRPr="00BF4514">
        <w:rPr>
          <w:rFonts w:ascii="Times New Roman" w:hAnsi="Times New Roman" w:cs="Times New Roman"/>
          <w:sz w:val="24"/>
          <w:szCs w:val="24"/>
        </w:rPr>
        <w:t xml:space="preserve">punktu widzenia interesu publicznego. Takie podejście ma na celu zagwarantowanie, że ochrona przewidziana w ustawie będzie dotyczyła nie tylko tradycyjnych form debaty publicznej, takich jak wypowiedzi polityczne czy medialne, lecz także innych form aktywności obywatelskiej, w tym </w:t>
      </w:r>
      <w:r w:rsidR="00B6322F" w:rsidRPr="00BF4514">
        <w:rPr>
          <w:rFonts w:ascii="Times New Roman" w:hAnsi="Times New Roman" w:cs="Times New Roman"/>
          <w:sz w:val="24"/>
          <w:szCs w:val="24"/>
        </w:rPr>
        <w:t>wolności sztuki, nauki</w:t>
      </w:r>
      <w:r w:rsidR="00F53463" w:rsidRPr="00BF4514">
        <w:rPr>
          <w:rFonts w:ascii="Times New Roman" w:hAnsi="Times New Roman" w:cs="Times New Roman"/>
          <w:sz w:val="24"/>
          <w:szCs w:val="24"/>
        </w:rPr>
        <w:t>, zgromadzeń czy wolności zrzeszania się</w:t>
      </w:r>
      <w:r w:rsidR="00FD1E88" w:rsidRPr="00BF4514">
        <w:rPr>
          <w:rFonts w:ascii="Times New Roman" w:hAnsi="Times New Roman" w:cs="Times New Roman"/>
          <w:sz w:val="24"/>
          <w:szCs w:val="24"/>
        </w:rPr>
        <w:t>. Ponadto przepis ten wskazuje jedynie przykładowy katalog działań, które mogą mieścić się w zakresie pojęcia „debata publiczna”, co umożliwia uwzględnienie dynamicznie zmieniających się form komunikacji i partycypacji społecznej, zapewniając adekwatność regulacji w kontekście rzeczywistych wyzwań związanych z ochroną wolności wypowiedzi i swobody debaty publicznej.</w:t>
      </w:r>
    </w:p>
    <w:p w14:paraId="52B76A82" w14:textId="7983C3AE" w:rsidR="00EC0B54" w:rsidRPr="00BF4514" w:rsidRDefault="0057307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Art. 3</w:t>
      </w:r>
      <w:r w:rsidRPr="00BF4514">
        <w:rPr>
          <w:rFonts w:ascii="Times New Roman" w:hAnsi="Times New Roman" w:cs="Times New Roman"/>
          <w:sz w:val="24"/>
          <w:szCs w:val="24"/>
        </w:rPr>
        <w:t xml:space="preserve"> </w:t>
      </w:r>
      <w:r w:rsidR="00CD7F55" w:rsidRPr="00BF4514">
        <w:rPr>
          <w:rFonts w:ascii="Times New Roman" w:hAnsi="Times New Roman" w:cs="Times New Roman"/>
          <w:sz w:val="24"/>
          <w:szCs w:val="24"/>
        </w:rPr>
        <w:t xml:space="preserve">Artykuł </w:t>
      </w:r>
      <w:r w:rsidR="00FB50E1" w:rsidRPr="00BF4514">
        <w:rPr>
          <w:rFonts w:ascii="Times New Roman" w:hAnsi="Times New Roman" w:cs="Times New Roman"/>
          <w:sz w:val="24"/>
          <w:szCs w:val="24"/>
        </w:rPr>
        <w:t>implem</w:t>
      </w:r>
      <w:r w:rsidR="00D4567F" w:rsidRPr="00BF4514">
        <w:rPr>
          <w:rFonts w:ascii="Times New Roman" w:hAnsi="Times New Roman" w:cs="Times New Roman"/>
          <w:sz w:val="24"/>
          <w:szCs w:val="24"/>
        </w:rPr>
        <w:t>entuje</w:t>
      </w:r>
      <w:r w:rsidR="00CD7F55" w:rsidRPr="00BF4514">
        <w:rPr>
          <w:rFonts w:ascii="Times New Roman" w:hAnsi="Times New Roman" w:cs="Times New Roman"/>
          <w:sz w:val="24"/>
          <w:szCs w:val="24"/>
        </w:rPr>
        <w:t xml:space="preserve"> art. 10 dyrektywy</w:t>
      </w:r>
      <w:r w:rsidR="00EF5A52" w:rsidRPr="00BF4514">
        <w:rPr>
          <w:rFonts w:ascii="Times New Roman" w:hAnsi="Times New Roman" w:cs="Times New Roman"/>
          <w:sz w:val="24"/>
          <w:szCs w:val="24"/>
        </w:rPr>
        <w:t xml:space="preserve"> 2024/1069</w:t>
      </w:r>
      <w:r w:rsidR="00CD7F55" w:rsidRPr="00BF4514">
        <w:rPr>
          <w:rFonts w:ascii="Times New Roman" w:hAnsi="Times New Roman" w:cs="Times New Roman"/>
          <w:sz w:val="24"/>
          <w:szCs w:val="24"/>
        </w:rPr>
        <w:t xml:space="preserve">. Przepis ten przewiduje możliwość złożenia przez pozwanego wniosku o zobowiązanie powoda do złożenia kaucji na zabezpieczenie kosztów procesu, jeżeli pozwany uprawdopodobni, że powództwo zmierza </w:t>
      </w:r>
      <w:r w:rsidR="00EF71B5" w:rsidRPr="00BF4514">
        <w:rPr>
          <w:rFonts w:ascii="Times New Roman" w:hAnsi="Times New Roman" w:cs="Times New Roman"/>
          <w:sz w:val="24"/>
          <w:szCs w:val="24"/>
        </w:rPr>
        <w:t>wyłącznie lub głównie do stłumienia, ograniczenia, zakłócenia debaty publicznej lub szykanowania za udział w niej</w:t>
      </w:r>
      <w:r w:rsidR="00CD7F55" w:rsidRPr="00BF4514">
        <w:rPr>
          <w:rFonts w:ascii="Times New Roman" w:hAnsi="Times New Roman" w:cs="Times New Roman"/>
          <w:sz w:val="24"/>
          <w:szCs w:val="24"/>
        </w:rPr>
        <w:t xml:space="preserve">. </w:t>
      </w:r>
      <w:r w:rsidR="008A2D8F" w:rsidRPr="00BF4514">
        <w:rPr>
          <w:rFonts w:ascii="Times New Roman" w:hAnsi="Times New Roman" w:cs="Times New Roman"/>
          <w:sz w:val="24"/>
          <w:szCs w:val="24"/>
        </w:rPr>
        <w:t>Z uwagi na to, że postępowanie sądowe może wiązać się ze znacznym nakładem organizacyjnym i finansowym, przepis przewiduje dla pozwanego mechanizm zabezpieczenia kosztów postępowania</w:t>
      </w:r>
      <w:r w:rsidR="000030CA" w:rsidRPr="00BF4514">
        <w:rPr>
          <w:rFonts w:ascii="Times New Roman" w:hAnsi="Times New Roman" w:cs="Times New Roman"/>
          <w:sz w:val="24"/>
          <w:szCs w:val="24"/>
        </w:rPr>
        <w:t xml:space="preserve"> w ich pełnej </w:t>
      </w:r>
      <w:r w:rsidR="009642CC" w:rsidRPr="00BF4514">
        <w:rPr>
          <w:rFonts w:ascii="Times New Roman" w:hAnsi="Times New Roman" w:cs="Times New Roman"/>
          <w:sz w:val="24"/>
          <w:szCs w:val="24"/>
        </w:rPr>
        <w:t>wysokości</w:t>
      </w:r>
      <w:r w:rsidR="008A2D8F" w:rsidRPr="00BF4514">
        <w:rPr>
          <w:rFonts w:ascii="Times New Roman" w:hAnsi="Times New Roman" w:cs="Times New Roman"/>
          <w:sz w:val="24"/>
          <w:szCs w:val="24"/>
        </w:rPr>
        <w:t>, co może istotnie wpłynąć na jego zdolność do skorzystania z profesjonalnej pomocy prawnej</w:t>
      </w:r>
      <w:r w:rsidR="00195B1A" w:rsidRPr="00BF4514">
        <w:rPr>
          <w:rFonts w:ascii="Times New Roman" w:hAnsi="Times New Roman" w:cs="Times New Roman"/>
          <w:sz w:val="24"/>
          <w:szCs w:val="24"/>
        </w:rPr>
        <w:t xml:space="preserve"> w takim zakresie, jaki będzie konieczny dla obrony przed </w:t>
      </w:r>
      <w:r w:rsidR="00171A00" w:rsidRPr="00BF4514">
        <w:rPr>
          <w:rFonts w:ascii="Times New Roman" w:hAnsi="Times New Roman" w:cs="Times New Roman"/>
          <w:sz w:val="24"/>
          <w:szCs w:val="24"/>
        </w:rPr>
        <w:t>takim działaniami prawnymi</w:t>
      </w:r>
      <w:r w:rsidR="008A2D8F" w:rsidRPr="00BF4514">
        <w:rPr>
          <w:rFonts w:ascii="Times New Roman" w:hAnsi="Times New Roman" w:cs="Times New Roman"/>
          <w:sz w:val="24"/>
          <w:szCs w:val="24"/>
        </w:rPr>
        <w:t>.</w:t>
      </w:r>
    </w:p>
    <w:p w14:paraId="6F9ED567" w14:textId="7D3E46FA" w:rsidR="0006521D" w:rsidRPr="00BF4514" w:rsidRDefault="00CD7F55"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lastRenderedPageBreak/>
        <w:t>Należy podkreślić, że sąd, wydając postanowienie</w:t>
      </w:r>
      <w:r w:rsidR="00F315F9" w:rsidRPr="00BF4514">
        <w:rPr>
          <w:rFonts w:ascii="Times New Roman" w:hAnsi="Times New Roman" w:cs="Times New Roman"/>
          <w:sz w:val="24"/>
          <w:szCs w:val="24"/>
        </w:rPr>
        <w:t xml:space="preserve"> w przedmiocie zobowiązania po</w:t>
      </w:r>
      <w:r w:rsidR="00FB6917" w:rsidRPr="00BF4514">
        <w:rPr>
          <w:rFonts w:ascii="Times New Roman" w:hAnsi="Times New Roman" w:cs="Times New Roman"/>
          <w:sz w:val="24"/>
          <w:szCs w:val="24"/>
        </w:rPr>
        <w:t>w</w:t>
      </w:r>
      <w:r w:rsidR="00F315F9" w:rsidRPr="00BF4514">
        <w:rPr>
          <w:rFonts w:ascii="Times New Roman" w:hAnsi="Times New Roman" w:cs="Times New Roman"/>
          <w:sz w:val="24"/>
          <w:szCs w:val="24"/>
        </w:rPr>
        <w:t>o</w:t>
      </w:r>
      <w:r w:rsidR="00FB6917" w:rsidRPr="00BF4514">
        <w:rPr>
          <w:rFonts w:ascii="Times New Roman" w:hAnsi="Times New Roman" w:cs="Times New Roman"/>
          <w:sz w:val="24"/>
          <w:szCs w:val="24"/>
        </w:rPr>
        <w:t>d</w:t>
      </w:r>
      <w:r w:rsidR="00F315F9" w:rsidRPr="00BF4514">
        <w:rPr>
          <w:rFonts w:ascii="Times New Roman" w:hAnsi="Times New Roman" w:cs="Times New Roman"/>
          <w:sz w:val="24"/>
          <w:szCs w:val="24"/>
        </w:rPr>
        <w:t xml:space="preserve">a do </w:t>
      </w:r>
      <w:r w:rsidR="00FB6917" w:rsidRPr="00BF4514">
        <w:rPr>
          <w:rFonts w:ascii="Times New Roman" w:hAnsi="Times New Roman" w:cs="Times New Roman"/>
          <w:sz w:val="24"/>
          <w:szCs w:val="24"/>
        </w:rPr>
        <w:t>złożenia takiej kaucji</w:t>
      </w:r>
      <w:r w:rsidRPr="00BF4514">
        <w:rPr>
          <w:rFonts w:ascii="Times New Roman" w:hAnsi="Times New Roman" w:cs="Times New Roman"/>
          <w:sz w:val="24"/>
          <w:szCs w:val="24"/>
        </w:rPr>
        <w:t>, nie przesądza o ostatecznym charakterze powództwa, a jedynie dopuszcza możliwość, iż ma ono na celu stłumienie, ograniczenie</w:t>
      </w:r>
      <w:r w:rsidR="00A12F8C" w:rsidRPr="00BF4514">
        <w:rPr>
          <w:rFonts w:ascii="Times New Roman" w:hAnsi="Times New Roman" w:cs="Times New Roman"/>
          <w:sz w:val="24"/>
          <w:szCs w:val="24"/>
        </w:rPr>
        <w:t>,</w:t>
      </w:r>
      <w:r w:rsidRPr="00BF4514">
        <w:rPr>
          <w:rFonts w:ascii="Times New Roman" w:hAnsi="Times New Roman" w:cs="Times New Roman"/>
          <w:sz w:val="24"/>
          <w:szCs w:val="24"/>
        </w:rPr>
        <w:t xml:space="preserve"> zakłócenie debaty publicznej</w:t>
      </w:r>
      <w:r w:rsidR="00A12F8C" w:rsidRPr="00BF4514">
        <w:rPr>
          <w:rFonts w:ascii="Times New Roman" w:hAnsi="Times New Roman" w:cs="Times New Roman"/>
          <w:sz w:val="24"/>
          <w:szCs w:val="24"/>
        </w:rPr>
        <w:t xml:space="preserve"> lub szykanowanie za udział w</w:t>
      </w:r>
      <w:r w:rsidR="00C45E57" w:rsidRPr="00BF4514">
        <w:rPr>
          <w:rFonts w:ascii="Times New Roman" w:hAnsi="Times New Roman" w:cs="Times New Roman"/>
          <w:sz w:val="24"/>
          <w:szCs w:val="24"/>
        </w:rPr>
        <w:t> </w:t>
      </w:r>
      <w:r w:rsidR="00A12F8C" w:rsidRPr="00BF4514">
        <w:rPr>
          <w:rFonts w:ascii="Times New Roman" w:hAnsi="Times New Roman" w:cs="Times New Roman"/>
          <w:sz w:val="24"/>
          <w:szCs w:val="24"/>
        </w:rPr>
        <w:t>niej</w:t>
      </w:r>
      <w:r w:rsidRPr="00BF4514">
        <w:rPr>
          <w:rFonts w:ascii="Times New Roman" w:hAnsi="Times New Roman" w:cs="Times New Roman"/>
          <w:sz w:val="24"/>
          <w:szCs w:val="24"/>
        </w:rPr>
        <w:t>. Mechanizm ten wynika z faktu, że wniesione powództwo, mimo że może stanowić uzasadnione roszczenie, jednocześnie może cechować się nieproporcjonalnością żądania lub nadmiernym charakterem roszczenia, co uzasadnia konieczność zastosowania dodatkowych środków ochronnych w</w:t>
      </w:r>
      <w:r w:rsidR="00C45E57" w:rsidRPr="00BF4514">
        <w:rPr>
          <w:rFonts w:ascii="Times New Roman" w:hAnsi="Times New Roman" w:cs="Times New Roman"/>
          <w:sz w:val="24"/>
          <w:szCs w:val="24"/>
        </w:rPr>
        <w:t> </w:t>
      </w:r>
      <w:r w:rsidRPr="00BF4514">
        <w:rPr>
          <w:rFonts w:ascii="Times New Roman" w:hAnsi="Times New Roman" w:cs="Times New Roman"/>
          <w:sz w:val="24"/>
          <w:szCs w:val="24"/>
        </w:rPr>
        <w:t>celu zabezpieczenia interesów pozwanego.</w:t>
      </w:r>
      <w:r w:rsidR="0072423C" w:rsidRPr="00BF4514">
        <w:rPr>
          <w:rFonts w:ascii="Times New Roman" w:hAnsi="Times New Roman" w:cs="Times New Roman"/>
          <w:sz w:val="24"/>
          <w:szCs w:val="24"/>
        </w:rPr>
        <w:t xml:space="preserve"> </w:t>
      </w:r>
    </w:p>
    <w:p w14:paraId="75EA35DC" w14:textId="4A963998" w:rsidR="005D7EC5" w:rsidRPr="00BF4514" w:rsidRDefault="00090E96"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Przewidziany w ustawie krótki, 2-tygodniowy termin na rozpoznanie wniosku przez sąd ma na celu realne zabezpieczenie interesów pozwanego, zapewniając mu możliwość niezwłocznego podjęcia obrony w postępowaniu</w:t>
      </w:r>
      <w:r w:rsidR="00091E67" w:rsidRPr="00BF4514">
        <w:rPr>
          <w:rFonts w:ascii="Times New Roman" w:hAnsi="Times New Roman" w:cs="Times New Roman"/>
          <w:sz w:val="24"/>
          <w:szCs w:val="24"/>
        </w:rPr>
        <w:t xml:space="preserve">. </w:t>
      </w:r>
      <w:r w:rsidR="00236DCF" w:rsidRPr="00BF4514">
        <w:rPr>
          <w:rFonts w:ascii="Times New Roman" w:hAnsi="Times New Roman" w:cs="Times New Roman"/>
          <w:sz w:val="24"/>
          <w:szCs w:val="24"/>
        </w:rPr>
        <w:t>Możliwość wniesienia zażalenia na postanowienie w przedmiocie nałożenia na pozwanego kaucji</w:t>
      </w:r>
      <w:r w:rsidR="00091E67" w:rsidRPr="00BF4514">
        <w:rPr>
          <w:rFonts w:ascii="Times New Roman" w:hAnsi="Times New Roman" w:cs="Times New Roman"/>
          <w:sz w:val="24"/>
          <w:szCs w:val="24"/>
        </w:rPr>
        <w:t xml:space="preserve"> ma zapobiegać sytuacji, w której obowiązek wniesienia kaucji mógłby stać się instrumentem o charakterze odstraszającym, skutecznie zniechęcającym powoda do realizacji słusznej ochrony jego praw.</w:t>
      </w:r>
      <w:r w:rsidR="00122E8C" w:rsidRPr="00BF4514">
        <w:rPr>
          <w:rFonts w:ascii="Times New Roman" w:hAnsi="Times New Roman" w:cs="Times New Roman"/>
          <w:sz w:val="24"/>
          <w:szCs w:val="24"/>
        </w:rPr>
        <w:t xml:space="preserve"> </w:t>
      </w:r>
    </w:p>
    <w:p w14:paraId="2755AFC0" w14:textId="242F4846" w:rsidR="00091E67" w:rsidRPr="00BF4514" w:rsidRDefault="00091E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Jednocześnie brak wpłaty kaucji skutkuje odrzuceniem pozwu, </w:t>
      </w:r>
      <w:r w:rsidR="009A3456" w:rsidRPr="00BF4514">
        <w:rPr>
          <w:rFonts w:ascii="Times New Roman" w:hAnsi="Times New Roman" w:cs="Times New Roman"/>
          <w:sz w:val="24"/>
          <w:szCs w:val="24"/>
        </w:rPr>
        <w:t>ponieważ niewywiązanie się przez powoda z tego obowiązku osłabia przewidzianą przez ustawodawcę gwarancję, prowadząc do zachwiania równowagi procesowej i utrudniając słabszej stronie realne skorzystanie z przysługujących jej środków ochrony prawnej</w:t>
      </w:r>
      <w:r w:rsidR="00666270" w:rsidRPr="00BF4514">
        <w:rPr>
          <w:rFonts w:ascii="Times New Roman" w:hAnsi="Times New Roman" w:cs="Times New Roman"/>
          <w:sz w:val="24"/>
          <w:szCs w:val="24"/>
        </w:rPr>
        <w:t xml:space="preserve">. </w:t>
      </w:r>
      <w:r w:rsidR="00A276F6" w:rsidRPr="00BF4514">
        <w:rPr>
          <w:rFonts w:ascii="Times New Roman" w:hAnsi="Times New Roman" w:cs="Times New Roman"/>
          <w:sz w:val="24"/>
          <w:szCs w:val="24"/>
        </w:rPr>
        <w:t>Zabezpieczenie kosztów procesu</w:t>
      </w:r>
      <w:r w:rsidRPr="00BF4514">
        <w:rPr>
          <w:rFonts w:ascii="Times New Roman" w:hAnsi="Times New Roman" w:cs="Times New Roman"/>
          <w:sz w:val="24"/>
          <w:szCs w:val="24"/>
        </w:rPr>
        <w:t xml:space="preserve"> stanowi środek zapobiegający instrumentalnemu wykorzystywaniu postępowań sądowych jako narzędzia </w:t>
      </w:r>
      <w:r w:rsidR="00512905" w:rsidRPr="00BF4514">
        <w:rPr>
          <w:rFonts w:ascii="Times New Roman" w:hAnsi="Times New Roman" w:cs="Times New Roman"/>
          <w:sz w:val="24"/>
          <w:szCs w:val="24"/>
        </w:rPr>
        <w:t xml:space="preserve">do </w:t>
      </w:r>
      <w:r w:rsidRPr="00BF4514">
        <w:rPr>
          <w:rFonts w:ascii="Times New Roman" w:hAnsi="Times New Roman" w:cs="Times New Roman"/>
          <w:sz w:val="24"/>
          <w:szCs w:val="24"/>
        </w:rPr>
        <w:t>ograniczania swobody wypowiedzi i debaty publicznej.</w:t>
      </w:r>
    </w:p>
    <w:p w14:paraId="7F417405" w14:textId="282B428C" w:rsidR="00241DBE" w:rsidRPr="00BF4514" w:rsidRDefault="0018568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Projektodawca przyjął, że </w:t>
      </w:r>
      <w:r w:rsidR="00855BF8" w:rsidRPr="00BF4514">
        <w:rPr>
          <w:rFonts w:ascii="Times New Roman" w:hAnsi="Times New Roman" w:cs="Times New Roman"/>
          <w:sz w:val="24"/>
          <w:szCs w:val="24"/>
        </w:rPr>
        <w:t>dla złożenia wniosku o</w:t>
      </w:r>
      <w:r w:rsidR="00E514A8" w:rsidRPr="00BF4514">
        <w:rPr>
          <w:rFonts w:ascii="Times New Roman" w:hAnsi="Times New Roman" w:cs="Times New Roman"/>
          <w:sz w:val="24"/>
          <w:szCs w:val="24"/>
        </w:rPr>
        <w:t xml:space="preserve"> zobowiązanie powoda do złożenia kaucji na zabezpieczenie kosztów procesu </w:t>
      </w:r>
      <w:r w:rsidRPr="00BF4514">
        <w:rPr>
          <w:rFonts w:ascii="Times New Roman" w:hAnsi="Times New Roman" w:cs="Times New Roman"/>
          <w:sz w:val="24"/>
          <w:szCs w:val="24"/>
        </w:rPr>
        <w:t xml:space="preserve">wystarczające jest, aby pozwany uprawdopodobnił, iż wniesione powództwo ma na celu tłumienie, ograniczanie, zakłócanie debaty publicznej lub szykanowanie za udział w niej. </w:t>
      </w:r>
      <w:r w:rsidR="00452333" w:rsidRPr="00BF4514">
        <w:rPr>
          <w:rFonts w:ascii="Times New Roman" w:hAnsi="Times New Roman" w:cs="Times New Roman"/>
          <w:sz w:val="24"/>
          <w:szCs w:val="24"/>
        </w:rPr>
        <w:t xml:space="preserve">Jest to dodatkowe </w:t>
      </w:r>
      <w:r w:rsidR="00001170" w:rsidRPr="00BF4514">
        <w:rPr>
          <w:rFonts w:ascii="Times New Roman" w:hAnsi="Times New Roman" w:cs="Times New Roman"/>
          <w:sz w:val="24"/>
          <w:szCs w:val="24"/>
        </w:rPr>
        <w:t xml:space="preserve">przeniesienie ciężaru dowodu na powoda, ponieważ wystarczy, że </w:t>
      </w:r>
      <w:r w:rsidRPr="00BF4514">
        <w:rPr>
          <w:rFonts w:ascii="Times New Roman" w:hAnsi="Times New Roman" w:cs="Times New Roman"/>
          <w:sz w:val="24"/>
          <w:szCs w:val="24"/>
        </w:rPr>
        <w:t>pozwany przedstawi okoliczności wskazujące na możliwość zakwalifikowania powództwa jako „SLAPP”,</w:t>
      </w:r>
      <w:r w:rsidR="00001170" w:rsidRPr="00BF4514">
        <w:rPr>
          <w:rFonts w:ascii="Times New Roman" w:hAnsi="Times New Roman" w:cs="Times New Roman"/>
          <w:sz w:val="24"/>
          <w:szCs w:val="24"/>
        </w:rPr>
        <w:t xml:space="preserve"> a po stronie powoda tworzy się obowiązek</w:t>
      </w:r>
      <w:r w:rsidRPr="00BF4514">
        <w:rPr>
          <w:rFonts w:ascii="Times New Roman" w:hAnsi="Times New Roman" w:cs="Times New Roman"/>
          <w:sz w:val="24"/>
          <w:szCs w:val="24"/>
        </w:rPr>
        <w:t xml:space="preserve"> wykaza</w:t>
      </w:r>
      <w:r w:rsidR="00001170" w:rsidRPr="00BF4514">
        <w:rPr>
          <w:rFonts w:ascii="Times New Roman" w:hAnsi="Times New Roman" w:cs="Times New Roman"/>
          <w:sz w:val="24"/>
          <w:szCs w:val="24"/>
        </w:rPr>
        <w:t>nia</w:t>
      </w:r>
      <w:r w:rsidRPr="00BF4514">
        <w:rPr>
          <w:rFonts w:ascii="Times New Roman" w:hAnsi="Times New Roman" w:cs="Times New Roman"/>
          <w:sz w:val="24"/>
          <w:szCs w:val="24"/>
        </w:rPr>
        <w:t>, że jego roszczenie nie stanowi nadużycia prawa procesowego</w:t>
      </w:r>
      <w:r w:rsidR="00452333" w:rsidRPr="00BF4514">
        <w:rPr>
          <w:rFonts w:ascii="Times New Roman" w:hAnsi="Times New Roman" w:cs="Times New Roman"/>
          <w:sz w:val="24"/>
          <w:szCs w:val="24"/>
        </w:rPr>
        <w:t>.</w:t>
      </w:r>
    </w:p>
    <w:p w14:paraId="4A951F36" w14:textId="7D65C329" w:rsidR="007F5997" w:rsidRPr="00BF4514" w:rsidRDefault="00F430A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4 </w:t>
      </w:r>
      <w:r w:rsidR="0094377A" w:rsidRPr="00BF4514">
        <w:rPr>
          <w:rFonts w:ascii="Times New Roman" w:hAnsi="Times New Roman" w:cs="Times New Roman"/>
          <w:sz w:val="24"/>
          <w:szCs w:val="24"/>
        </w:rPr>
        <w:t xml:space="preserve">Zgodnie z przepisami </w:t>
      </w:r>
      <w:r w:rsidR="00B2320D" w:rsidRPr="00BF4514">
        <w:rPr>
          <w:rFonts w:ascii="Times New Roman" w:hAnsi="Times New Roman" w:cs="Times New Roman"/>
          <w:sz w:val="24"/>
          <w:szCs w:val="24"/>
        </w:rPr>
        <w:t>ustawy z dnia 17 listopada 1964 r. Kodeks postępowania cywilnego (</w:t>
      </w:r>
      <w:r w:rsidR="00DF598F" w:rsidRPr="00BF4514">
        <w:rPr>
          <w:rFonts w:ascii="Times New Roman" w:hAnsi="Times New Roman" w:cs="Times New Roman"/>
          <w:sz w:val="24"/>
          <w:szCs w:val="24"/>
        </w:rPr>
        <w:t>Dz. U. z 2026 r. poz. 468 i 473</w:t>
      </w:r>
      <w:r w:rsidR="00B2320D" w:rsidRPr="00BF4514">
        <w:rPr>
          <w:rFonts w:ascii="Times New Roman" w:hAnsi="Times New Roman" w:cs="Times New Roman"/>
          <w:sz w:val="24"/>
          <w:szCs w:val="24"/>
        </w:rPr>
        <w:t>, dalej „KPC”)</w:t>
      </w:r>
      <w:r w:rsidR="0094377A" w:rsidRPr="00BF4514">
        <w:rPr>
          <w:rFonts w:ascii="Times New Roman" w:hAnsi="Times New Roman" w:cs="Times New Roman"/>
          <w:sz w:val="24"/>
          <w:szCs w:val="24"/>
        </w:rPr>
        <w:t>, organizacje pozarządowe mogą uczestniczyć w</w:t>
      </w:r>
      <w:r w:rsidR="004D46F5" w:rsidRPr="00BF4514">
        <w:rPr>
          <w:rFonts w:ascii="Times New Roman" w:hAnsi="Times New Roman" w:cs="Times New Roman"/>
          <w:sz w:val="24"/>
          <w:szCs w:val="24"/>
        </w:rPr>
        <w:t> </w:t>
      </w:r>
      <w:r w:rsidR="0094377A" w:rsidRPr="00BF4514">
        <w:rPr>
          <w:rFonts w:ascii="Times New Roman" w:hAnsi="Times New Roman" w:cs="Times New Roman"/>
          <w:sz w:val="24"/>
          <w:szCs w:val="24"/>
        </w:rPr>
        <w:t xml:space="preserve">postępowaniu wyłącznie w przypadkach przewidzianych w ustawie. Z tego względu kluczowe jest wprowadzenie regulacji </w:t>
      </w:r>
      <w:r w:rsidR="00EF5A52" w:rsidRPr="00BF4514">
        <w:rPr>
          <w:rFonts w:ascii="Times New Roman" w:hAnsi="Times New Roman" w:cs="Times New Roman"/>
          <w:sz w:val="24"/>
          <w:szCs w:val="24"/>
        </w:rPr>
        <w:t>implementującej art. 9 dyrektywy 2024/1069,</w:t>
      </w:r>
      <w:r w:rsidR="009E245E" w:rsidRPr="00BF4514">
        <w:rPr>
          <w:rFonts w:ascii="Times New Roman" w:hAnsi="Times New Roman" w:cs="Times New Roman"/>
          <w:sz w:val="24"/>
          <w:szCs w:val="24"/>
        </w:rPr>
        <w:t xml:space="preserve"> która rozszerzy zakres art. 61 KPC i</w:t>
      </w:r>
      <w:r w:rsidR="00EF5A52" w:rsidRPr="00BF4514">
        <w:rPr>
          <w:rFonts w:ascii="Times New Roman" w:hAnsi="Times New Roman" w:cs="Times New Roman"/>
          <w:sz w:val="24"/>
          <w:szCs w:val="24"/>
        </w:rPr>
        <w:t xml:space="preserve"> </w:t>
      </w:r>
      <w:r w:rsidR="0094377A" w:rsidRPr="00BF4514">
        <w:rPr>
          <w:rFonts w:ascii="Times New Roman" w:hAnsi="Times New Roman" w:cs="Times New Roman"/>
          <w:sz w:val="24"/>
          <w:szCs w:val="24"/>
        </w:rPr>
        <w:t xml:space="preserve">umożliwi udział </w:t>
      </w:r>
      <w:r w:rsidR="00F857B6" w:rsidRPr="00BF4514">
        <w:rPr>
          <w:rFonts w:ascii="Times New Roman" w:hAnsi="Times New Roman" w:cs="Times New Roman"/>
          <w:sz w:val="24"/>
          <w:szCs w:val="24"/>
        </w:rPr>
        <w:t xml:space="preserve">w postępowaniu </w:t>
      </w:r>
      <w:r w:rsidR="0094377A" w:rsidRPr="00BF4514">
        <w:rPr>
          <w:rFonts w:ascii="Times New Roman" w:hAnsi="Times New Roman" w:cs="Times New Roman"/>
          <w:sz w:val="24"/>
          <w:szCs w:val="24"/>
        </w:rPr>
        <w:t xml:space="preserve">organizacji </w:t>
      </w:r>
      <w:r w:rsidR="0094377A" w:rsidRPr="00BF4514">
        <w:rPr>
          <w:rFonts w:ascii="Times New Roman" w:hAnsi="Times New Roman" w:cs="Times New Roman"/>
          <w:sz w:val="24"/>
          <w:szCs w:val="24"/>
        </w:rPr>
        <w:lastRenderedPageBreak/>
        <w:t>pozarządowych, które w ramach swoich statutowych zadań zajmują się ochroną osób uczestniczących w debacie publicznej</w:t>
      </w:r>
      <w:r w:rsidR="00543EC4" w:rsidRPr="00BF4514">
        <w:rPr>
          <w:rFonts w:ascii="Times New Roman" w:hAnsi="Times New Roman" w:cs="Times New Roman"/>
          <w:sz w:val="24"/>
          <w:szCs w:val="24"/>
        </w:rPr>
        <w:t xml:space="preserve"> oraz ochroną wolności słowa</w:t>
      </w:r>
      <w:r w:rsidR="006E5969" w:rsidRPr="00BF4514">
        <w:rPr>
          <w:rFonts w:ascii="Times New Roman" w:hAnsi="Times New Roman" w:cs="Times New Roman"/>
          <w:sz w:val="24"/>
          <w:szCs w:val="24"/>
        </w:rPr>
        <w:t>.</w:t>
      </w:r>
      <w:r w:rsidR="00543EC4" w:rsidRPr="00BF4514">
        <w:rPr>
          <w:rFonts w:ascii="Times New Roman" w:hAnsi="Times New Roman" w:cs="Times New Roman"/>
          <w:sz w:val="24"/>
          <w:szCs w:val="24"/>
        </w:rPr>
        <w:t xml:space="preserve"> </w:t>
      </w:r>
    </w:p>
    <w:p w14:paraId="6D0E6149" w14:textId="5AB5BFA9" w:rsidR="0094377A" w:rsidRPr="00BF4514" w:rsidRDefault="00F40AD3"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Obejmuje to zarówno (i) wszystkie organizacje, w tym te zajmujące się zagadnieniami wolności słowa, </w:t>
      </w:r>
      <w:r w:rsidR="00C32421" w:rsidRPr="00BF4514">
        <w:rPr>
          <w:rFonts w:ascii="Times New Roman" w:hAnsi="Times New Roman" w:cs="Times New Roman"/>
          <w:sz w:val="24"/>
          <w:szCs w:val="24"/>
        </w:rPr>
        <w:t>do których zadań statutowych należy ochrona osób uczestniczących w debacie publicznej</w:t>
      </w:r>
      <w:r w:rsidR="007C4580" w:rsidRPr="00BF4514">
        <w:rPr>
          <w:rFonts w:ascii="Times New Roman" w:hAnsi="Times New Roman" w:cs="Times New Roman"/>
          <w:sz w:val="24"/>
          <w:szCs w:val="24"/>
        </w:rPr>
        <w:t xml:space="preserve"> lub wolności słowa</w:t>
      </w:r>
      <w:r w:rsidR="00C32421" w:rsidRPr="00BF4514">
        <w:rPr>
          <w:rFonts w:ascii="Times New Roman" w:hAnsi="Times New Roman" w:cs="Times New Roman"/>
          <w:sz w:val="24"/>
          <w:szCs w:val="24"/>
        </w:rPr>
        <w:t xml:space="preserve">, </w:t>
      </w:r>
      <w:r w:rsidRPr="00BF4514">
        <w:rPr>
          <w:rFonts w:ascii="Times New Roman" w:hAnsi="Times New Roman" w:cs="Times New Roman"/>
          <w:sz w:val="24"/>
          <w:szCs w:val="24"/>
        </w:rPr>
        <w:t>jak i (ii) organizacje, których działalność jest związana z przedmiotem sprawy. Oznacza to, że jeżeli dana sprawa dotyczy np. ochrony środowiska, do postępowania może przystąpić organizacja zajmująca się tematyką ekologiczną.</w:t>
      </w:r>
      <w:r w:rsidR="008B61C7" w:rsidRPr="00BF4514">
        <w:rPr>
          <w:rFonts w:ascii="Times New Roman" w:hAnsi="Times New Roman" w:cs="Times New Roman"/>
          <w:sz w:val="24"/>
          <w:szCs w:val="24"/>
        </w:rPr>
        <w:t xml:space="preserve"> </w:t>
      </w:r>
      <w:r w:rsidR="00F361AA" w:rsidRPr="00BF4514">
        <w:rPr>
          <w:rFonts w:ascii="Times New Roman" w:hAnsi="Times New Roman" w:cs="Times New Roman"/>
          <w:sz w:val="24"/>
          <w:szCs w:val="24"/>
        </w:rPr>
        <w:t xml:space="preserve">Możliwość </w:t>
      </w:r>
      <w:r w:rsidR="004A4390" w:rsidRPr="00BF4514">
        <w:rPr>
          <w:rFonts w:ascii="Times New Roman" w:hAnsi="Times New Roman" w:cs="Times New Roman"/>
          <w:sz w:val="24"/>
          <w:szCs w:val="24"/>
        </w:rPr>
        <w:t>u</w:t>
      </w:r>
      <w:r w:rsidR="0094377A" w:rsidRPr="00BF4514">
        <w:rPr>
          <w:rFonts w:ascii="Times New Roman" w:hAnsi="Times New Roman" w:cs="Times New Roman"/>
          <w:sz w:val="24"/>
          <w:szCs w:val="24"/>
        </w:rPr>
        <w:t>dział</w:t>
      </w:r>
      <w:r w:rsidR="004A4390" w:rsidRPr="00BF4514">
        <w:rPr>
          <w:rFonts w:ascii="Times New Roman" w:hAnsi="Times New Roman" w:cs="Times New Roman"/>
          <w:sz w:val="24"/>
          <w:szCs w:val="24"/>
        </w:rPr>
        <w:t>u</w:t>
      </w:r>
      <w:r w:rsidR="0094377A" w:rsidRPr="00BF4514">
        <w:rPr>
          <w:rFonts w:ascii="Times New Roman" w:hAnsi="Times New Roman" w:cs="Times New Roman"/>
          <w:sz w:val="24"/>
          <w:szCs w:val="24"/>
        </w:rPr>
        <w:t xml:space="preserve"> </w:t>
      </w:r>
      <w:r w:rsidR="009E245E" w:rsidRPr="00BF4514">
        <w:rPr>
          <w:rFonts w:ascii="Times New Roman" w:hAnsi="Times New Roman" w:cs="Times New Roman"/>
          <w:sz w:val="24"/>
          <w:szCs w:val="24"/>
        </w:rPr>
        <w:t xml:space="preserve">organizacji </w:t>
      </w:r>
      <w:r w:rsidR="00F6006A" w:rsidRPr="00BF4514">
        <w:rPr>
          <w:rFonts w:ascii="Times New Roman" w:hAnsi="Times New Roman" w:cs="Times New Roman"/>
          <w:sz w:val="24"/>
          <w:szCs w:val="24"/>
        </w:rPr>
        <w:t xml:space="preserve">pozarządowych </w:t>
      </w:r>
      <w:r w:rsidR="0094377A" w:rsidRPr="00BF4514">
        <w:rPr>
          <w:rFonts w:ascii="Times New Roman" w:hAnsi="Times New Roman" w:cs="Times New Roman"/>
          <w:sz w:val="24"/>
          <w:szCs w:val="24"/>
        </w:rPr>
        <w:t xml:space="preserve">w postępowaniu zapewnia wsparcie </w:t>
      </w:r>
      <w:r w:rsidR="004A4390" w:rsidRPr="00BF4514">
        <w:rPr>
          <w:rFonts w:ascii="Times New Roman" w:hAnsi="Times New Roman" w:cs="Times New Roman"/>
          <w:sz w:val="24"/>
          <w:szCs w:val="24"/>
        </w:rPr>
        <w:t>pozwanym</w:t>
      </w:r>
      <w:r w:rsidR="00476465" w:rsidRPr="00BF4514">
        <w:rPr>
          <w:rFonts w:ascii="Times New Roman" w:hAnsi="Times New Roman" w:cs="Times New Roman"/>
          <w:sz w:val="24"/>
          <w:szCs w:val="24"/>
        </w:rPr>
        <w:t>, jednocześnie</w:t>
      </w:r>
      <w:r w:rsidR="0069211B" w:rsidRPr="00BF4514">
        <w:rPr>
          <w:rFonts w:ascii="Times New Roman" w:hAnsi="Times New Roman" w:cs="Times New Roman"/>
          <w:sz w:val="24"/>
          <w:szCs w:val="24"/>
        </w:rPr>
        <w:t xml:space="preserve"> </w:t>
      </w:r>
      <w:r w:rsidR="00912614" w:rsidRPr="00BF4514">
        <w:rPr>
          <w:rFonts w:ascii="Times New Roman" w:hAnsi="Times New Roman" w:cs="Times New Roman"/>
          <w:sz w:val="24"/>
          <w:szCs w:val="24"/>
        </w:rPr>
        <w:t>wzmacniając ich pozycję</w:t>
      </w:r>
      <w:r w:rsidR="00E728E4" w:rsidRPr="00BF4514">
        <w:rPr>
          <w:rFonts w:ascii="Times New Roman" w:hAnsi="Times New Roman" w:cs="Times New Roman"/>
          <w:sz w:val="24"/>
          <w:szCs w:val="24"/>
        </w:rPr>
        <w:t>.</w:t>
      </w:r>
      <w:r w:rsidR="00AD6350" w:rsidRPr="00BF4514">
        <w:rPr>
          <w:rFonts w:ascii="Times New Roman" w:hAnsi="Times New Roman" w:cs="Times New Roman"/>
          <w:sz w:val="24"/>
          <w:szCs w:val="24"/>
        </w:rPr>
        <w:t xml:space="preserve"> </w:t>
      </w:r>
    </w:p>
    <w:p w14:paraId="0DCF1BBA" w14:textId="0B9FC75D" w:rsidR="00183737" w:rsidRPr="00BF4514" w:rsidRDefault="001D12E3"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W zakresie </w:t>
      </w:r>
      <w:r w:rsidR="00483F68" w:rsidRPr="00BF4514">
        <w:rPr>
          <w:rFonts w:ascii="Times New Roman" w:hAnsi="Times New Roman" w:cs="Times New Roman"/>
          <w:sz w:val="24"/>
          <w:szCs w:val="24"/>
        </w:rPr>
        <w:t>tego przepisu mieścić się mogą wszelkie organizacje pozarządowe, w tym także wymieniane w Dyrektywie związk</w:t>
      </w:r>
      <w:r w:rsidR="00C155A0" w:rsidRPr="00BF4514">
        <w:rPr>
          <w:rFonts w:ascii="Times New Roman" w:hAnsi="Times New Roman" w:cs="Times New Roman"/>
          <w:sz w:val="24"/>
          <w:szCs w:val="24"/>
        </w:rPr>
        <w:t>i</w:t>
      </w:r>
      <w:r w:rsidR="00483F68" w:rsidRPr="00BF4514">
        <w:rPr>
          <w:rFonts w:ascii="Times New Roman" w:hAnsi="Times New Roman" w:cs="Times New Roman"/>
          <w:sz w:val="24"/>
          <w:szCs w:val="24"/>
        </w:rPr>
        <w:t xml:space="preserve"> zawodowe, </w:t>
      </w:r>
      <w:r w:rsidR="002254B6" w:rsidRPr="00BF4514">
        <w:rPr>
          <w:rFonts w:ascii="Times New Roman" w:hAnsi="Times New Roman" w:cs="Times New Roman"/>
          <w:sz w:val="24"/>
          <w:szCs w:val="24"/>
        </w:rPr>
        <w:t>jeśli</w:t>
      </w:r>
      <w:r w:rsidR="00483F68" w:rsidRPr="00BF4514">
        <w:rPr>
          <w:rFonts w:ascii="Times New Roman" w:hAnsi="Times New Roman" w:cs="Times New Roman"/>
          <w:sz w:val="24"/>
          <w:szCs w:val="24"/>
        </w:rPr>
        <w:t xml:space="preserve"> </w:t>
      </w:r>
      <w:r w:rsidR="00490969" w:rsidRPr="00BF4514">
        <w:rPr>
          <w:rFonts w:ascii="Times New Roman" w:hAnsi="Times New Roman" w:cs="Times New Roman"/>
          <w:sz w:val="24"/>
          <w:szCs w:val="24"/>
        </w:rPr>
        <w:t xml:space="preserve">działanie miałoby np. prowadzić do </w:t>
      </w:r>
      <w:r w:rsidR="002254B6" w:rsidRPr="00BF4514">
        <w:rPr>
          <w:rFonts w:ascii="Times New Roman" w:hAnsi="Times New Roman" w:cs="Times New Roman"/>
          <w:sz w:val="24"/>
          <w:szCs w:val="24"/>
        </w:rPr>
        <w:t>ochrony</w:t>
      </w:r>
      <w:r w:rsidR="00490969" w:rsidRPr="00BF4514">
        <w:rPr>
          <w:rFonts w:ascii="Times New Roman" w:hAnsi="Times New Roman" w:cs="Times New Roman"/>
          <w:sz w:val="24"/>
          <w:szCs w:val="24"/>
        </w:rPr>
        <w:t xml:space="preserve"> pracownika, członka danego związku</w:t>
      </w:r>
      <w:r w:rsidR="00A03C13" w:rsidRPr="00BF4514">
        <w:rPr>
          <w:rFonts w:ascii="Times New Roman" w:hAnsi="Times New Roman" w:cs="Times New Roman"/>
          <w:sz w:val="24"/>
          <w:szCs w:val="24"/>
        </w:rPr>
        <w:t xml:space="preserve">, </w:t>
      </w:r>
      <w:r w:rsidR="002254B6" w:rsidRPr="00BF4514">
        <w:rPr>
          <w:rFonts w:ascii="Times New Roman" w:hAnsi="Times New Roman" w:cs="Times New Roman"/>
          <w:sz w:val="24"/>
          <w:szCs w:val="24"/>
        </w:rPr>
        <w:t>pozywanego</w:t>
      </w:r>
      <w:r w:rsidR="006E5969" w:rsidRPr="00BF4514">
        <w:rPr>
          <w:rFonts w:ascii="Times New Roman" w:hAnsi="Times New Roman" w:cs="Times New Roman"/>
          <w:sz w:val="24"/>
          <w:szCs w:val="24"/>
        </w:rPr>
        <w:t xml:space="preserve"> </w:t>
      </w:r>
      <w:r w:rsidR="00E251F9" w:rsidRPr="00BF4514">
        <w:rPr>
          <w:rFonts w:ascii="Times New Roman" w:hAnsi="Times New Roman" w:cs="Times New Roman"/>
          <w:sz w:val="24"/>
          <w:szCs w:val="24"/>
        </w:rPr>
        <w:t xml:space="preserve">z powodu </w:t>
      </w:r>
      <w:r w:rsidR="001903DA" w:rsidRPr="00BF4514">
        <w:rPr>
          <w:rFonts w:ascii="Times New Roman" w:hAnsi="Times New Roman" w:cs="Times New Roman"/>
          <w:sz w:val="24"/>
          <w:szCs w:val="24"/>
        </w:rPr>
        <w:t>jego udział</w:t>
      </w:r>
      <w:r w:rsidR="00E251F9" w:rsidRPr="00BF4514">
        <w:rPr>
          <w:rFonts w:ascii="Times New Roman" w:hAnsi="Times New Roman" w:cs="Times New Roman"/>
          <w:sz w:val="24"/>
          <w:szCs w:val="24"/>
        </w:rPr>
        <w:t>u</w:t>
      </w:r>
      <w:r w:rsidR="001903DA" w:rsidRPr="00BF4514">
        <w:rPr>
          <w:rFonts w:ascii="Times New Roman" w:hAnsi="Times New Roman" w:cs="Times New Roman"/>
          <w:sz w:val="24"/>
          <w:szCs w:val="24"/>
        </w:rPr>
        <w:t xml:space="preserve"> w debacie publicznej. </w:t>
      </w:r>
      <w:r w:rsidR="00A03C13" w:rsidRPr="00BF4514">
        <w:rPr>
          <w:rFonts w:ascii="Times New Roman" w:hAnsi="Times New Roman" w:cs="Times New Roman"/>
          <w:sz w:val="24"/>
          <w:szCs w:val="24"/>
        </w:rPr>
        <w:t>Przy czym d</w:t>
      </w:r>
      <w:r w:rsidR="00290B41" w:rsidRPr="00BF4514">
        <w:rPr>
          <w:rFonts w:ascii="Times New Roman" w:hAnsi="Times New Roman" w:cs="Times New Roman"/>
          <w:sz w:val="24"/>
          <w:szCs w:val="24"/>
        </w:rPr>
        <w:t xml:space="preserve">ebata publiczna musi </w:t>
      </w:r>
      <w:r w:rsidR="005E03AD">
        <w:rPr>
          <w:rFonts w:ascii="Times New Roman" w:hAnsi="Times New Roman" w:cs="Times New Roman"/>
          <w:sz w:val="24"/>
          <w:szCs w:val="24"/>
        </w:rPr>
        <w:t xml:space="preserve">być </w:t>
      </w:r>
      <w:r w:rsidR="002254B6" w:rsidRPr="00BF4514">
        <w:rPr>
          <w:rFonts w:ascii="Times New Roman" w:hAnsi="Times New Roman" w:cs="Times New Roman"/>
          <w:sz w:val="24"/>
          <w:szCs w:val="24"/>
        </w:rPr>
        <w:t>rozumiana</w:t>
      </w:r>
      <w:r w:rsidR="00290B41" w:rsidRPr="00BF4514">
        <w:rPr>
          <w:rFonts w:ascii="Times New Roman" w:hAnsi="Times New Roman" w:cs="Times New Roman"/>
          <w:sz w:val="24"/>
          <w:szCs w:val="24"/>
        </w:rPr>
        <w:t xml:space="preserve"> szeroko, tak jak </w:t>
      </w:r>
      <w:r w:rsidR="00E43A54" w:rsidRPr="00BF4514">
        <w:rPr>
          <w:rFonts w:ascii="Times New Roman" w:hAnsi="Times New Roman" w:cs="Times New Roman"/>
          <w:sz w:val="24"/>
          <w:szCs w:val="24"/>
        </w:rPr>
        <w:t xml:space="preserve">to </w:t>
      </w:r>
      <w:r w:rsidR="00290B41" w:rsidRPr="00BF4514">
        <w:rPr>
          <w:rFonts w:ascii="Times New Roman" w:hAnsi="Times New Roman" w:cs="Times New Roman"/>
          <w:sz w:val="24"/>
          <w:szCs w:val="24"/>
        </w:rPr>
        <w:t xml:space="preserve">nakazuje art. 2 projektu ustawy. </w:t>
      </w:r>
      <w:r w:rsidR="003C6E0F" w:rsidRPr="00BF4514">
        <w:rPr>
          <w:rFonts w:ascii="Times New Roman" w:hAnsi="Times New Roman" w:cs="Times New Roman"/>
          <w:sz w:val="24"/>
          <w:szCs w:val="24"/>
        </w:rPr>
        <w:t>Pojęcie organizacji pozarządowych powinno się rozumieć na gruncie projektu ustawy w sposób tożsamy z rozumieniem tego terminu na gruncie KPC. Należy zwrócić uwagę, że</w:t>
      </w:r>
      <w:r w:rsidR="005E03AD">
        <w:rPr>
          <w:rFonts w:ascii="Times New Roman" w:hAnsi="Times New Roman" w:cs="Times New Roman"/>
          <w:sz w:val="24"/>
          <w:szCs w:val="24"/>
        </w:rPr>
        <w:t>,</w:t>
      </w:r>
      <w:r w:rsidR="003C6E0F" w:rsidRPr="00BF4514">
        <w:rPr>
          <w:rFonts w:ascii="Times New Roman" w:hAnsi="Times New Roman" w:cs="Times New Roman"/>
          <w:sz w:val="24"/>
          <w:szCs w:val="24"/>
        </w:rPr>
        <w:t xml:space="preserve"> wprowadzając ustawą z dnia 16 września 2011 r. o zmianie ustawy </w:t>
      </w:r>
      <w:r w:rsidR="005E03AD" w:rsidRPr="005E03AD">
        <w:rPr>
          <w:rFonts w:ascii="Times New Roman" w:hAnsi="Times New Roman" w:cs="Times New Roman"/>
          <w:sz w:val="24"/>
          <w:szCs w:val="24"/>
        </w:rPr>
        <w:t>–</w:t>
      </w:r>
      <w:r w:rsidR="003C6E0F" w:rsidRPr="00BF4514">
        <w:rPr>
          <w:rFonts w:ascii="Times New Roman" w:hAnsi="Times New Roman" w:cs="Times New Roman"/>
          <w:sz w:val="24"/>
          <w:szCs w:val="24"/>
        </w:rPr>
        <w:t xml:space="preserve"> Kodeks postępowania cywilnego oraz niektórych innych ustaw (Dz. U. poz. 1381) pojęcie „organizacji pozarządowych” do K</w:t>
      </w:r>
      <w:r w:rsidR="00906491" w:rsidRPr="00BF4514">
        <w:rPr>
          <w:rFonts w:ascii="Times New Roman" w:hAnsi="Times New Roman" w:cs="Times New Roman"/>
          <w:sz w:val="24"/>
          <w:szCs w:val="24"/>
        </w:rPr>
        <w:t>PC</w:t>
      </w:r>
      <w:r w:rsidR="005E03AD">
        <w:rPr>
          <w:rFonts w:ascii="Times New Roman" w:hAnsi="Times New Roman" w:cs="Times New Roman"/>
          <w:sz w:val="24"/>
          <w:szCs w:val="24"/>
        </w:rPr>
        <w:t>,</w:t>
      </w:r>
      <w:r w:rsidR="00906491" w:rsidRPr="00BF4514">
        <w:rPr>
          <w:rFonts w:ascii="Times New Roman" w:hAnsi="Times New Roman" w:cs="Times New Roman"/>
          <w:sz w:val="24"/>
          <w:szCs w:val="24"/>
        </w:rPr>
        <w:t xml:space="preserve"> wyjaśniono </w:t>
      </w:r>
      <w:r w:rsidR="003C6E0F" w:rsidRPr="00BF4514">
        <w:rPr>
          <w:rFonts w:ascii="Times New Roman" w:hAnsi="Times New Roman" w:cs="Times New Roman"/>
          <w:sz w:val="24"/>
          <w:szCs w:val="24"/>
        </w:rPr>
        <w:t>w uzasadnieniu projektu tej ustawy</w:t>
      </w:r>
      <w:r w:rsidR="00D60DCE">
        <w:rPr>
          <w:rFonts w:ascii="Times New Roman" w:hAnsi="Times New Roman" w:cs="Times New Roman"/>
          <w:sz w:val="24"/>
          <w:szCs w:val="24"/>
        </w:rPr>
        <w:t>,</w:t>
      </w:r>
      <w:r w:rsidR="00906491" w:rsidRPr="00BF4514">
        <w:rPr>
          <w:rFonts w:ascii="Times New Roman" w:hAnsi="Times New Roman" w:cs="Times New Roman"/>
          <w:sz w:val="24"/>
          <w:szCs w:val="24"/>
        </w:rPr>
        <w:t xml:space="preserve"> że</w:t>
      </w:r>
      <w:r w:rsidR="003C6E0F" w:rsidRPr="00BF4514">
        <w:rPr>
          <w:rFonts w:ascii="Times New Roman" w:hAnsi="Times New Roman" w:cs="Times New Roman"/>
          <w:sz w:val="24"/>
          <w:szCs w:val="24"/>
        </w:rPr>
        <w:t xml:space="preserve"> </w:t>
      </w:r>
      <w:r w:rsidR="00906491" w:rsidRPr="00BF4514">
        <w:rPr>
          <w:rFonts w:ascii="Times New Roman" w:hAnsi="Times New Roman" w:cs="Times New Roman"/>
          <w:sz w:val="24"/>
          <w:szCs w:val="24"/>
        </w:rPr>
        <w:t>d</w:t>
      </w:r>
      <w:r w:rsidR="003C6E0F" w:rsidRPr="00BF4514">
        <w:rPr>
          <w:rFonts w:ascii="Times New Roman" w:hAnsi="Times New Roman" w:cs="Times New Roman"/>
          <w:sz w:val="24"/>
          <w:szCs w:val="24"/>
        </w:rPr>
        <w:t>otychczasowe pojęcie "organizacje społeczne" zdecydowano się zastąpić określeniem "organizacje pozarządowe". Jego zakres jest dostatecznie szeroki, aby objąć wszystkie jednostki mieszczące się we wcześniej używanym określeniu "organizacje społeczne", w tym związki zawodowe, a zarazem pozwala ono uniknąć dotychczasowych wątpliwości co do przynależności do kręgu organizacji społecznych np. fundacji.</w:t>
      </w:r>
    </w:p>
    <w:p w14:paraId="4E0640C6" w14:textId="656837D0" w:rsidR="006A7755" w:rsidRPr="00BF4514" w:rsidRDefault="002843E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Art. 5</w:t>
      </w:r>
      <w:r w:rsidR="009A1DEF" w:rsidRPr="00BF4514">
        <w:rPr>
          <w:rFonts w:ascii="Times New Roman" w:hAnsi="Times New Roman" w:cs="Times New Roman"/>
          <w:b/>
          <w:bCs/>
          <w:sz w:val="24"/>
          <w:szCs w:val="24"/>
        </w:rPr>
        <w:t xml:space="preserve"> </w:t>
      </w:r>
      <w:r w:rsidR="00CA6D7C" w:rsidRPr="00BF4514">
        <w:rPr>
          <w:rFonts w:ascii="Times New Roman" w:hAnsi="Times New Roman" w:cs="Times New Roman"/>
          <w:sz w:val="24"/>
          <w:szCs w:val="24"/>
        </w:rPr>
        <w:t xml:space="preserve">Projektodawca </w:t>
      </w:r>
      <w:r w:rsidR="00781BD3" w:rsidRPr="00BF4514">
        <w:rPr>
          <w:rFonts w:ascii="Times New Roman" w:hAnsi="Times New Roman" w:cs="Times New Roman"/>
          <w:sz w:val="24"/>
          <w:szCs w:val="24"/>
        </w:rPr>
        <w:t xml:space="preserve">wprowadza przepis określający </w:t>
      </w:r>
      <w:r w:rsidR="00E238D8" w:rsidRPr="00BF4514">
        <w:rPr>
          <w:rFonts w:ascii="Times New Roman" w:hAnsi="Times New Roman" w:cs="Times New Roman"/>
          <w:sz w:val="24"/>
          <w:szCs w:val="24"/>
        </w:rPr>
        <w:t xml:space="preserve">niewyczerpany, otwarty </w:t>
      </w:r>
      <w:r w:rsidR="00781BD3" w:rsidRPr="00BF4514">
        <w:rPr>
          <w:rFonts w:ascii="Times New Roman" w:hAnsi="Times New Roman" w:cs="Times New Roman"/>
          <w:sz w:val="24"/>
          <w:szCs w:val="24"/>
        </w:rPr>
        <w:t xml:space="preserve">katalog przesłanek mogących świadczyć o tym, że dane powództwo zmierza </w:t>
      </w:r>
      <w:r w:rsidR="00EE5567" w:rsidRPr="00BF4514">
        <w:rPr>
          <w:rFonts w:ascii="Times New Roman" w:hAnsi="Times New Roman" w:cs="Times New Roman"/>
          <w:sz w:val="24"/>
          <w:szCs w:val="24"/>
        </w:rPr>
        <w:t xml:space="preserve">wyłącznie lub </w:t>
      </w:r>
      <w:r w:rsidR="00781BD3" w:rsidRPr="00BF4514">
        <w:rPr>
          <w:rFonts w:ascii="Times New Roman" w:hAnsi="Times New Roman" w:cs="Times New Roman"/>
          <w:sz w:val="24"/>
          <w:szCs w:val="24"/>
        </w:rPr>
        <w:t>głównie do ograniczenia, stłumienia, zakłócenia debaty publicznej lub szykanowania osób biorących w niej udział. Rozwiązanie to służy identyfikacji tego typu spraw już na wczesnym etapie postępowania i umożliwia sądowi ocenę rzeczywistego celu działania powoda. Wśród przesłanek wskazano m.in. nieproporcjonalność żądania lub nadmierny bądź nieuzasadniony charakter roszczenia, który może świadczyć o instrumentalnym wykorzystywaniu postępowania sądowego do wyw</w:t>
      </w:r>
      <w:r w:rsidR="00E251F9" w:rsidRPr="00BF4514">
        <w:rPr>
          <w:rFonts w:ascii="Times New Roman" w:hAnsi="Times New Roman" w:cs="Times New Roman"/>
          <w:sz w:val="24"/>
          <w:szCs w:val="24"/>
        </w:rPr>
        <w:t>ierania</w:t>
      </w:r>
      <w:r w:rsidR="00781BD3" w:rsidRPr="00BF4514">
        <w:rPr>
          <w:rFonts w:ascii="Times New Roman" w:hAnsi="Times New Roman" w:cs="Times New Roman"/>
          <w:sz w:val="24"/>
          <w:szCs w:val="24"/>
        </w:rPr>
        <w:t xml:space="preserve"> presji na pozwanego.</w:t>
      </w:r>
      <w:r w:rsidR="00E238D8" w:rsidRPr="00BF4514">
        <w:rPr>
          <w:rFonts w:ascii="Times New Roman" w:hAnsi="Times New Roman" w:cs="Times New Roman"/>
          <w:sz w:val="24"/>
          <w:szCs w:val="24"/>
        </w:rPr>
        <w:t xml:space="preserve"> </w:t>
      </w:r>
      <w:r w:rsidR="001716AC" w:rsidRPr="00BF4514">
        <w:rPr>
          <w:rFonts w:ascii="Times New Roman" w:hAnsi="Times New Roman" w:cs="Times New Roman"/>
          <w:sz w:val="24"/>
          <w:szCs w:val="24"/>
        </w:rPr>
        <w:t xml:space="preserve">Przykładem takiego żądania jest wskazywanie bardzo wysokich kwot zadośćuczynienia </w:t>
      </w:r>
      <w:r w:rsidR="004376C0" w:rsidRPr="00BF4514">
        <w:rPr>
          <w:rFonts w:ascii="Times New Roman" w:hAnsi="Times New Roman" w:cs="Times New Roman"/>
          <w:sz w:val="24"/>
          <w:szCs w:val="24"/>
        </w:rPr>
        <w:t xml:space="preserve">za </w:t>
      </w:r>
      <w:r w:rsidR="005F16AE" w:rsidRPr="00BF4514">
        <w:rPr>
          <w:rFonts w:ascii="Times New Roman" w:hAnsi="Times New Roman" w:cs="Times New Roman"/>
          <w:sz w:val="24"/>
          <w:szCs w:val="24"/>
        </w:rPr>
        <w:t>naruszenie o marginalnym charakterze.</w:t>
      </w:r>
      <w:r w:rsidR="00781BD3" w:rsidRPr="00BF4514">
        <w:rPr>
          <w:rFonts w:ascii="Times New Roman" w:hAnsi="Times New Roman" w:cs="Times New Roman"/>
          <w:sz w:val="24"/>
          <w:szCs w:val="24"/>
        </w:rPr>
        <w:t xml:space="preserve"> Kolejnym sygnałem jest prowadzenie </w:t>
      </w:r>
      <w:r w:rsidR="00507F3A" w:rsidRPr="00BF4514">
        <w:rPr>
          <w:rFonts w:ascii="Times New Roman" w:hAnsi="Times New Roman" w:cs="Times New Roman"/>
          <w:sz w:val="24"/>
          <w:szCs w:val="24"/>
        </w:rPr>
        <w:t xml:space="preserve">przez powoda </w:t>
      </w:r>
      <w:r w:rsidR="00781BD3" w:rsidRPr="00BF4514">
        <w:rPr>
          <w:rFonts w:ascii="Times New Roman" w:hAnsi="Times New Roman" w:cs="Times New Roman"/>
          <w:sz w:val="24"/>
          <w:szCs w:val="24"/>
        </w:rPr>
        <w:t xml:space="preserve">wielu podobnych postępowań </w:t>
      </w:r>
      <w:r w:rsidR="00781BD3" w:rsidRPr="00BF4514">
        <w:rPr>
          <w:rFonts w:ascii="Times New Roman" w:hAnsi="Times New Roman" w:cs="Times New Roman"/>
          <w:sz w:val="24"/>
          <w:szCs w:val="24"/>
        </w:rPr>
        <w:lastRenderedPageBreak/>
        <w:t xml:space="preserve">– zarówno wobec tego samego pozwanego, jak i wobec innych osób uczestniczących w tej samej debacie publicznej – </w:t>
      </w:r>
      <w:r w:rsidR="002956CA" w:rsidRPr="00BF4514">
        <w:rPr>
          <w:rFonts w:ascii="Times New Roman" w:hAnsi="Times New Roman" w:cs="Times New Roman"/>
          <w:sz w:val="24"/>
          <w:szCs w:val="24"/>
        </w:rPr>
        <w:t>które mimo ich formalnej dopuszczalności – w praktyce skutkują ich rozdrobnieniem, co w</w:t>
      </w:r>
      <w:r w:rsidR="004D46F5" w:rsidRPr="00BF4514">
        <w:rPr>
          <w:rFonts w:ascii="Times New Roman" w:hAnsi="Times New Roman" w:cs="Times New Roman"/>
          <w:sz w:val="24"/>
          <w:szCs w:val="24"/>
        </w:rPr>
        <w:t> </w:t>
      </w:r>
      <w:r w:rsidR="002956CA" w:rsidRPr="00BF4514">
        <w:rPr>
          <w:rFonts w:ascii="Times New Roman" w:hAnsi="Times New Roman" w:cs="Times New Roman"/>
          <w:sz w:val="24"/>
          <w:szCs w:val="24"/>
        </w:rPr>
        <w:t>konsekwencji może prowadzić do obciążenia pozwanego nadmierną liczbą równoległych postępowań sądowych.</w:t>
      </w:r>
      <w:r w:rsidR="00781BD3" w:rsidRPr="00BF4514">
        <w:rPr>
          <w:rFonts w:ascii="Times New Roman" w:hAnsi="Times New Roman" w:cs="Times New Roman"/>
          <w:sz w:val="24"/>
          <w:szCs w:val="24"/>
        </w:rPr>
        <w:t xml:space="preserve"> Istotne znaczenie ma również zachowanie powoda lub osób działających w jego imieniu przed wszczęciem oraz w toku postępowania</w:t>
      </w:r>
      <w:r w:rsidR="002F3A6F" w:rsidRPr="00BF4514">
        <w:rPr>
          <w:rFonts w:ascii="Times New Roman" w:hAnsi="Times New Roman" w:cs="Times New Roman"/>
          <w:sz w:val="24"/>
          <w:szCs w:val="24"/>
        </w:rPr>
        <w:t xml:space="preserve">, </w:t>
      </w:r>
      <w:r w:rsidR="00781BD3" w:rsidRPr="00BF4514">
        <w:rPr>
          <w:rFonts w:ascii="Times New Roman" w:hAnsi="Times New Roman" w:cs="Times New Roman"/>
          <w:sz w:val="24"/>
          <w:szCs w:val="24"/>
        </w:rPr>
        <w:t>w szczególności przypadki gróźb, zastraszania lub innych form nacisku</w:t>
      </w:r>
      <w:r w:rsidR="00CC7E79" w:rsidRPr="00BF4514">
        <w:rPr>
          <w:rFonts w:ascii="Times New Roman" w:hAnsi="Times New Roman" w:cs="Times New Roman"/>
          <w:sz w:val="24"/>
          <w:szCs w:val="24"/>
        </w:rPr>
        <w:t>. Sąd powinien każdorazowo bra</w:t>
      </w:r>
      <w:r w:rsidR="002F3A6F" w:rsidRPr="00BF4514">
        <w:rPr>
          <w:rFonts w:ascii="Times New Roman" w:hAnsi="Times New Roman" w:cs="Times New Roman"/>
          <w:sz w:val="24"/>
          <w:szCs w:val="24"/>
        </w:rPr>
        <w:t>ć</w:t>
      </w:r>
      <w:r w:rsidR="00CC7E79" w:rsidRPr="00BF4514">
        <w:rPr>
          <w:rFonts w:ascii="Times New Roman" w:hAnsi="Times New Roman" w:cs="Times New Roman"/>
          <w:sz w:val="24"/>
          <w:szCs w:val="24"/>
        </w:rPr>
        <w:t xml:space="preserve"> pod uwagę tło</w:t>
      </w:r>
      <w:r w:rsidR="002F3A6F" w:rsidRPr="00BF4514">
        <w:rPr>
          <w:rFonts w:ascii="Times New Roman" w:hAnsi="Times New Roman" w:cs="Times New Roman"/>
          <w:sz w:val="24"/>
          <w:szCs w:val="24"/>
        </w:rPr>
        <w:t xml:space="preserve"> zdarzeń, w tym całokształt zachowania powoda i jego prób wpływania na debatę publiczną.</w:t>
      </w:r>
      <w:r w:rsidR="00781BD3" w:rsidRPr="00BF4514">
        <w:rPr>
          <w:rFonts w:ascii="Times New Roman" w:hAnsi="Times New Roman" w:cs="Times New Roman"/>
          <w:sz w:val="24"/>
          <w:szCs w:val="24"/>
        </w:rPr>
        <w:t xml:space="preserve"> Dopełnieniem katalogu są działania procesowe podejmowane </w:t>
      </w:r>
      <w:r w:rsidR="002D2C20" w:rsidRPr="00BF4514">
        <w:rPr>
          <w:rFonts w:ascii="Times New Roman" w:hAnsi="Times New Roman" w:cs="Times New Roman"/>
          <w:sz w:val="24"/>
          <w:szCs w:val="24"/>
        </w:rPr>
        <w:t xml:space="preserve">przez powoda </w:t>
      </w:r>
      <w:r w:rsidR="00781BD3" w:rsidRPr="00BF4514">
        <w:rPr>
          <w:rFonts w:ascii="Times New Roman" w:hAnsi="Times New Roman" w:cs="Times New Roman"/>
          <w:sz w:val="24"/>
          <w:szCs w:val="24"/>
        </w:rPr>
        <w:t>w złej wierze, takie jak wnoszenie wniosków wyłącznie w celu opóźnienia rozpoznania sprawy</w:t>
      </w:r>
      <w:r w:rsidR="00741C9E" w:rsidRPr="00BF4514">
        <w:rPr>
          <w:rFonts w:ascii="Times New Roman" w:hAnsi="Times New Roman" w:cs="Times New Roman"/>
          <w:sz w:val="24"/>
          <w:szCs w:val="24"/>
        </w:rPr>
        <w:t xml:space="preserve">, tzw. </w:t>
      </w:r>
      <w:r w:rsidR="00741C9E" w:rsidRPr="00BF4514">
        <w:rPr>
          <w:rFonts w:ascii="Times New Roman" w:hAnsi="Times New Roman" w:cs="Times New Roman"/>
          <w:i/>
          <w:iCs/>
          <w:sz w:val="24"/>
          <w:szCs w:val="24"/>
        </w:rPr>
        <w:t>forum shopping</w:t>
      </w:r>
      <w:r w:rsidR="00741C9E" w:rsidRPr="00BF4514">
        <w:rPr>
          <w:rFonts w:ascii="Times New Roman" w:hAnsi="Times New Roman" w:cs="Times New Roman"/>
          <w:sz w:val="24"/>
          <w:szCs w:val="24"/>
        </w:rPr>
        <w:t xml:space="preserve">, czyli celowy wybór miejsca wytoczenia powództwa, które jest niekorzystne lub uciążliwe dla pozwanego, działanie, które powoduje konieczność poniesienia nieproporcjonalnego nakładu pracy </w:t>
      </w:r>
      <w:r w:rsidR="002D2C20" w:rsidRPr="00BF4514">
        <w:rPr>
          <w:rFonts w:ascii="Times New Roman" w:hAnsi="Times New Roman" w:cs="Times New Roman"/>
          <w:sz w:val="24"/>
          <w:szCs w:val="24"/>
        </w:rPr>
        <w:t xml:space="preserve">lub kosztów </w:t>
      </w:r>
      <w:r w:rsidR="00741C9E" w:rsidRPr="00BF4514">
        <w:rPr>
          <w:rFonts w:ascii="Times New Roman" w:hAnsi="Times New Roman" w:cs="Times New Roman"/>
          <w:sz w:val="24"/>
          <w:szCs w:val="24"/>
        </w:rPr>
        <w:t>po stronie pozwanego, czy wnoszenie środków odwoławczych, które są oczywiście bezzasadne</w:t>
      </w:r>
      <w:r w:rsidR="000719C3" w:rsidRPr="00BF4514">
        <w:rPr>
          <w:rFonts w:ascii="Times New Roman" w:hAnsi="Times New Roman" w:cs="Times New Roman"/>
          <w:sz w:val="24"/>
          <w:szCs w:val="24"/>
        </w:rPr>
        <w:t>.</w:t>
      </w:r>
      <w:r w:rsidR="00BF6AA4" w:rsidRPr="00BF4514">
        <w:rPr>
          <w:rFonts w:ascii="Times New Roman" w:hAnsi="Times New Roman" w:cs="Times New Roman"/>
          <w:sz w:val="24"/>
          <w:szCs w:val="24"/>
        </w:rPr>
        <w:t xml:space="preserve"> </w:t>
      </w:r>
      <w:r w:rsidR="006B4FDD" w:rsidRPr="00BF4514">
        <w:rPr>
          <w:rFonts w:ascii="Times New Roman" w:hAnsi="Times New Roman" w:cs="Times New Roman"/>
          <w:sz w:val="24"/>
          <w:szCs w:val="24"/>
        </w:rPr>
        <w:t>Jak wskazano wyżej, kryteria wymienione w art. 5, oparte na dyrektywie 2024</w:t>
      </w:r>
      <w:r w:rsidR="009471E8" w:rsidRPr="00BF4514">
        <w:rPr>
          <w:rFonts w:ascii="Times New Roman" w:hAnsi="Times New Roman" w:cs="Times New Roman"/>
          <w:sz w:val="24"/>
          <w:szCs w:val="24"/>
        </w:rPr>
        <w:t>/1069,</w:t>
      </w:r>
      <w:r w:rsidR="006B4FDD" w:rsidRPr="00BF4514">
        <w:rPr>
          <w:rFonts w:ascii="Times New Roman" w:hAnsi="Times New Roman" w:cs="Times New Roman"/>
          <w:sz w:val="24"/>
          <w:szCs w:val="24"/>
        </w:rPr>
        <w:t xml:space="preserve"> mają charakter</w:t>
      </w:r>
      <w:r w:rsidR="009471E8" w:rsidRPr="00BF4514">
        <w:rPr>
          <w:rFonts w:ascii="Times New Roman" w:hAnsi="Times New Roman" w:cs="Times New Roman"/>
          <w:sz w:val="24"/>
          <w:szCs w:val="24"/>
        </w:rPr>
        <w:t xml:space="preserve"> przykładowy. Przy ocenie, czy postępowanie zmierza </w:t>
      </w:r>
      <w:r w:rsidR="00741C9E" w:rsidRPr="00BF4514">
        <w:rPr>
          <w:rFonts w:ascii="Times New Roman" w:hAnsi="Times New Roman" w:cs="Times New Roman"/>
          <w:sz w:val="24"/>
          <w:szCs w:val="24"/>
        </w:rPr>
        <w:t xml:space="preserve">wyłącznie lub </w:t>
      </w:r>
      <w:r w:rsidR="009471E8" w:rsidRPr="00BF4514">
        <w:rPr>
          <w:rFonts w:ascii="Times New Roman" w:hAnsi="Times New Roman" w:cs="Times New Roman"/>
          <w:sz w:val="24"/>
          <w:szCs w:val="24"/>
        </w:rPr>
        <w:t>głównie do stłumienia, ograniczenia, zakłócenia debaty publicznej lub szykanowania za udział w niej,</w:t>
      </w:r>
      <w:r w:rsidR="00C07B28" w:rsidRPr="00BF4514">
        <w:rPr>
          <w:rFonts w:ascii="Times New Roman" w:hAnsi="Times New Roman" w:cs="Times New Roman"/>
          <w:sz w:val="24"/>
          <w:szCs w:val="24"/>
        </w:rPr>
        <w:t xml:space="preserve"> </w:t>
      </w:r>
      <w:r w:rsidR="009471E8" w:rsidRPr="00BF4514">
        <w:rPr>
          <w:rFonts w:ascii="Times New Roman" w:hAnsi="Times New Roman" w:cs="Times New Roman"/>
          <w:sz w:val="24"/>
          <w:szCs w:val="24"/>
        </w:rPr>
        <w:t>pomocne mogą być</w:t>
      </w:r>
      <w:r w:rsidR="00AB39D7">
        <w:rPr>
          <w:rFonts w:ascii="Times New Roman" w:hAnsi="Times New Roman" w:cs="Times New Roman"/>
          <w:sz w:val="24"/>
          <w:szCs w:val="24"/>
        </w:rPr>
        <w:t xml:space="preserve"> </w:t>
      </w:r>
      <w:r w:rsidR="00874894" w:rsidRPr="00BF4514">
        <w:rPr>
          <w:rFonts w:ascii="Times New Roman" w:hAnsi="Times New Roman" w:cs="Times New Roman"/>
          <w:sz w:val="24"/>
          <w:szCs w:val="24"/>
        </w:rPr>
        <w:t xml:space="preserve">również szczegółowe kryteria identyfikujące </w:t>
      </w:r>
      <w:r w:rsidR="0053287A" w:rsidRPr="00BF4514">
        <w:rPr>
          <w:rFonts w:ascii="Times New Roman" w:hAnsi="Times New Roman" w:cs="Times New Roman"/>
          <w:sz w:val="24"/>
          <w:szCs w:val="24"/>
        </w:rPr>
        <w:t>strategiczne pozwy przeciwko udziałowi społeczeństwa</w:t>
      </w:r>
      <w:r w:rsidR="00874894" w:rsidRPr="00BF4514">
        <w:rPr>
          <w:rFonts w:ascii="Times New Roman" w:hAnsi="Times New Roman" w:cs="Times New Roman"/>
          <w:sz w:val="24"/>
          <w:szCs w:val="24"/>
        </w:rPr>
        <w:t>, wskazane w rekomendacji CM/Rec(2024)2 Komitetu Ministrów Rady Europy</w:t>
      </w:r>
      <w:r w:rsidR="009471E8" w:rsidRPr="00BF4514">
        <w:rPr>
          <w:rFonts w:ascii="Times New Roman" w:hAnsi="Times New Roman" w:cs="Times New Roman"/>
          <w:sz w:val="24"/>
          <w:szCs w:val="24"/>
        </w:rPr>
        <w:t>,</w:t>
      </w:r>
      <w:r w:rsidR="00DB7063" w:rsidRPr="00BF4514">
        <w:rPr>
          <w:rFonts w:ascii="Times New Roman" w:hAnsi="Times New Roman" w:cs="Times New Roman"/>
          <w:sz w:val="24"/>
          <w:szCs w:val="24"/>
        </w:rPr>
        <w:t xml:space="preserve"> </w:t>
      </w:r>
      <w:r w:rsidR="006E7619" w:rsidRPr="00BF4514">
        <w:rPr>
          <w:rFonts w:ascii="Times New Roman" w:hAnsi="Times New Roman" w:cs="Times New Roman"/>
          <w:sz w:val="24"/>
          <w:szCs w:val="24"/>
        </w:rPr>
        <w:t xml:space="preserve">które w dużej części znalazły się w projekcie ustawy, by </w:t>
      </w:r>
      <w:r w:rsidR="006E3C83" w:rsidRPr="00BF4514">
        <w:rPr>
          <w:rFonts w:ascii="Times New Roman" w:hAnsi="Times New Roman" w:cs="Times New Roman"/>
          <w:sz w:val="24"/>
          <w:szCs w:val="24"/>
        </w:rPr>
        <w:t xml:space="preserve">pomagać sądom w </w:t>
      </w:r>
      <w:r w:rsidR="00A03C13" w:rsidRPr="00BF4514">
        <w:rPr>
          <w:rFonts w:ascii="Times New Roman" w:hAnsi="Times New Roman" w:cs="Times New Roman"/>
          <w:sz w:val="24"/>
          <w:szCs w:val="24"/>
        </w:rPr>
        <w:t>prawidłowym</w:t>
      </w:r>
      <w:r w:rsidR="006E3C83" w:rsidRPr="00BF4514">
        <w:rPr>
          <w:rFonts w:ascii="Times New Roman" w:hAnsi="Times New Roman" w:cs="Times New Roman"/>
          <w:sz w:val="24"/>
          <w:szCs w:val="24"/>
        </w:rPr>
        <w:t xml:space="preserve"> definiowaniu takich </w:t>
      </w:r>
      <w:r w:rsidR="00A03C13" w:rsidRPr="00BF4514">
        <w:rPr>
          <w:rFonts w:ascii="Times New Roman" w:hAnsi="Times New Roman" w:cs="Times New Roman"/>
          <w:sz w:val="24"/>
          <w:szCs w:val="24"/>
        </w:rPr>
        <w:t>spraw</w:t>
      </w:r>
      <w:r w:rsidR="006E3C83" w:rsidRPr="00BF4514">
        <w:rPr>
          <w:rFonts w:ascii="Times New Roman" w:hAnsi="Times New Roman" w:cs="Times New Roman"/>
          <w:sz w:val="24"/>
          <w:szCs w:val="24"/>
        </w:rPr>
        <w:t xml:space="preserve">. </w:t>
      </w:r>
      <w:r w:rsidR="0096189A" w:rsidRPr="00BF4514">
        <w:rPr>
          <w:rFonts w:ascii="Times New Roman" w:hAnsi="Times New Roman" w:cs="Times New Roman"/>
          <w:sz w:val="24"/>
          <w:szCs w:val="24"/>
        </w:rPr>
        <w:t>A</w:t>
      </w:r>
      <w:r w:rsidR="00741C9E" w:rsidRPr="00BF4514">
        <w:rPr>
          <w:rFonts w:ascii="Times New Roman" w:hAnsi="Times New Roman" w:cs="Times New Roman"/>
          <w:sz w:val="24"/>
          <w:szCs w:val="24"/>
        </w:rPr>
        <w:t>rt. 5</w:t>
      </w:r>
      <w:r w:rsidR="00AB39D7">
        <w:rPr>
          <w:rFonts w:ascii="Times New Roman" w:hAnsi="Times New Roman" w:cs="Times New Roman"/>
          <w:sz w:val="24"/>
          <w:szCs w:val="24"/>
        </w:rPr>
        <w:t xml:space="preserve"> </w:t>
      </w:r>
      <w:r w:rsidR="006E3C83" w:rsidRPr="00BF4514">
        <w:rPr>
          <w:rFonts w:ascii="Times New Roman" w:hAnsi="Times New Roman" w:cs="Times New Roman"/>
          <w:sz w:val="24"/>
          <w:szCs w:val="24"/>
        </w:rPr>
        <w:t>wskaz</w:t>
      </w:r>
      <w:r w:rsidR="00741C9E" w:rsidRPr="00BF4514">
        <w:rPr>
          <w:rFonts w:ascii="Times New Roman" w:hAnsi="Times New Roman" w:cs="Times New Roman"/>
          <w:sz w:val="24"/>
          <w:szCs w:val="24"/>
        </w:rPr>
        <w:t>uje</w:t>
      </w:r>
      <w:r w:rsidR="006E3C83" w:rsidRPr="00BF4514">
        <w:rPr>
          <w:rFonts w:ascii="Times New Roman" w:hAnsi="Times New Roman" w:cs="Times New Roman"/>
          <w:sz w:val="24"/>
          <w:szCs w:val="24"/>
        </w:rPr>
        <w:t xml:space="preserve"> </w:t>
      </w:r>
      <w:r w:rsidR="00741C9E" w:rsidRPr="00BF4514">
        <w:rPr>
          <w:rFonts w:ascii="Times New Roman" w:hAnsi="Times New Roman" w:cs="Times New Roman"/>
          <w:sz w:val="24"/>
          <w:szCs w:val="24"/>
        </w:rPr>
        <w:t xml:space="preserve">na </w:t>
      </w:r>
      <w:r w:rsidR="006B105A" w:rsidRPr="00BF4514">
        <w:rPr>
          <w:rFonts w:ascii="Times New Roman" w:hAnsi="Times New Roman" w:cs="Times New Roman"/>
          <w:sz w:val="24"/>
          <w:szCs w:val="24"/>
        </w:rPr>
        <w:t>sprawy</w:t>
      </w:r>
      <w:r w:rsidR="002D2C20" w:rsidRPr="00BF4514">
        <w:rPr>
          <w:rFonts w:ascii="Times New Roman" w:hAnsi="Times New Roman" w:cs="Times New Roman"/>
          <w:sz w:val="24"/>
          <w:szCs w:val="24"/>
        </w:rPr>
        <w:t>, w których:</w:t>
      </w:r>
      <w:r w:rsidR="006B105A" w:rsidRPr="00BF4514">
        <w:rPr>
          <w:rFonts w:ascii="Times New Roman" w:hAnsi="Times New Roman" w:cs="Times New Roman"/>
          <w:sz w:val="24"/>
          <w:szCs w:val="24"/>
        </w:rPr>
        <w:t xml:space="preserve"> </w:t>
      </w:r>
      <w:bookmarkStart w:id="0" w:name="_Hlk221200292"/>
      <w:r w:rsidR="00B354D5" w:rsidRPr="00BF4514">
        <w:rPr>
          <w:rFonts w:ascii="Times New Roman" w:hAnsi="Times New Roman" w:cs="Times New Roman"/>
          <w:sz w:val="24"/>
          <w:szCs w:val="24"/>
        </w:rPr>
        <w:t>powód próbuje wykorzystać nierównowagę sił, taką jak przewag</w:t>
      </w:r>
      <w:r w:rsidR="00345D55" w:rsidRPr="00BF4514">
        <w:rPr>
          <w:rFonts w:ascii="Times New Roman" w:hAnsi="Times New Roman" w:cs="Times New Roman"/>
          <w:sz w:val="24"/>
          <w:szCs w:val="24"/>
        </w:rPr>
        <w:t>a</w:t>
      </w:r>
      <w:r w:rsidR="00B354D5" w:rsidRPr="00BF4514">
        <w:rPr>
          <w:rFonts w:ascii="Times New Roman" w:hAnsi="Times New Roman" w:cs="Times New Roman"/>
          <w:sz w:val="24"/>
          <w:szCs w:val="24"/>
        </w:rPr>
        <w:t xml:space="preserve"> finansow</w:t>
      </w:r>
      <w:r w:rsidR="005D2923" w:rsidRPr="00BF4514">
        <w:rPr>
          <w:rFonts w:ascii="Times New Roman" w:hAnsi="Times New Roman" w:cs="Times New Roman"/>
          <w:sz w:val="24"/>
          <w:szCs w:val="24"/>
        </w:rPr>
        <w:t>a</w:t>
      </w:r>
      <w:r w:rsidR="00874052" w:rsidRPr="00BF4514">
        <w:rPr>
          <w:rFonts w:ascii="Times New Roman" w:hAnsi="Times New Roman" w:cs="Times New Roman"/>
          <w:sz w:val="24"/>
          <w:szCs w:val="24"/>
        </w:rPr>
        <w:t>,</w:t>
      </w:r>
      <w:r w:rsidR="00B354D5" w:rsidRPr="00BF4514">
        <w:rPr>
          <w:rFonts w:ascii="Times New Roman" w:hAnsi="Times New Roman" w:cs="Times New Roman"/>
          <w:sz w:val="24"/>
          <w:szCs w:val="24"/>
        </w:rPr>
        <w:t xml:space="preserve"> wpływy polityczne lub społeczne, aby wywrzeć presję na pozwan</w:t>
      </w:r>
      <w:r w:rsidR="00741C9E" w:rsidRPr="00BF4514">
        <w:rPr>
          <w:rFonts w:ascii="Times New Roman" w:hAnsi="Times New Roman" w:cs="Times New Roman"/>
          <w:sz w:val="24"/>
          <w:szCs w:val="24"/>
        </w:rPr>
        <w:t>ym</w:t>
      </w:r>
      <w:r w:rsidR="00B354D5" w:rsidRPr="00BF4514">
        <w:rPr>
          <w:rFonts w:ascii="Times New Roman" w:hAnsi="Times New Roman" w:cs="Times New Roman"/>
          <w:sz w:val="24"/>
          <w:szCs w:val="24"/>
        </w:rPr>
        <w:t xml:space="preserve">; </w:t>
      </w:r>
      <w:r w:rsidR="00FC7D6F" w:rsidRPr="00BF4514">
        <w:rPr>
          <w:rFonts w:ascii="Times New Roman" w:hAnsi="Times New Roman" w:cs="Times New Roman"/>
          <w:sz w:val="24"/>
          <w:szCs w:val="24"/>
        </w:rPr>
        <w:t>wytoczenie powództwa przeciwko osobie fizycznej, a nie przeciwko jednostce organizacyjnej, która mogłaby ponosić odpowiedzialność, a w której osoba ta jest zatrudniona lub w której imieniu działa;</w:t>
      </w:r>
      <w:r w:rsidR="00B354D5" w:rsidRPr="00BF4514">
        <w:rPr>
          <w:rFonts w:ascii="Times New Roman" w:hAnsi="Times New Roman" w:cs="Times New Roman"/>
          <w:sz w:val="24"/>
          <w:szCs w:val="24"/>
        </w:rPr>
        <w:t xml:space="preserve"> </w:t>
      </w:r>
      <w:r w:rsidR="00817BD8" w:rsidRPr="00BF4514">
        <w:rPr>
          <w:rFonts w:ascii="Times New Roman" w:hAnsi="Times New Roman" w:cs="Times New Roman"/>
          <w:sz w:val="24"/>
          <w:szCs w:val="24"/>
        </w:rPr>
        <w:t xml:space="preserve">czy </w:t>
      </w:r>
      <w:r w:rsidR="002D2C20" w:rsidRPr="00BF4514">
        <w:rPr>
          <w:rFonts w:ascii="Times New Roman" w:hAnsi="Times New Roman" w:cs="Times New Roman"/>
          <w:sz w:val="24"/>
          <w:szCs w:val="24"/>
        </w:rPr>
        <w:t>uporczywe</w:t>
      </w:r>
      <w:r w:rsidR="000719C3" w:rsidRPr="00BF4514">
        <w:rPr>
          <w:rFonts w:ascii="Times New Roman" w:hAnsi="Times New Roman" w:cs="Times New Roman"/>
          <w:sz w:val="24"/>
          <w:szCs w:val="24"/>
        </w:rPr>
        <w:t xml:space="preserve"> odmawianie przez powoda skorzystania z</w:t>
      </w:r>
      <w:r w:rsidR="004D46F5" w:rsidRPr="00BF4514">
        <w:rPr>
          <w:rFonts w:ascii="Times New Roman" w:hAnsi="Times New Roman" w:cs="Times New Roman"/>
          <w:sz w:val="24"/>
          <w:szCs w:val="24"/>
        </w:rPr>
        <w:t> </w:t>
      </w:r>
      <w:r w:rsidR="000719C3" w:rsidRPr="00BF4514">
        <w:rPr>
          <w:rFonts w:ascii="Times New Roman" w:hAnsi="Times New Roman" w:cs="Times New Roman"/>
          <w:sz w:val="24"/>
          <w:szCs w:val="24"/>
        </w:rPr>
        <w:t xml:space="preserve">pozasądowych </w:t>
      </w:r>
      <w:r w:rsidR="002D2C20" w:rsidRPr="00BF4514">
        <w:rPr>
          <w:rFonts w:ascii="Times New Roman" w:hAnsi="Times New Roman" w:cs="Times New Roman"/>
          <w:sz w:val="24"/>
          <w:szCs w:val="24"/>
        </w:rPr>
        <w:t>sposob</w:t>
      </w:r>
      <w:r w:rsidR="000719C3" w:rsidRPr="00BF4514">
        <w:rPr>
          <w:rFonts w:ascii="Times New Roman" w:hAnsi="Times New Roman" w:cs="Times New Roman"/>
          <w:sz w:val="24"/>
          <w:szCs w:val="24"/>
        </w:rPr>
        <w:t>ów rozstrzygania sporów</w:t>
      </w:r>
      <w:r w:rsidR="002D2C20" w:rsidRPr="00BF4514">
        <w:rPr>
          <w:rFonts w:ascii="Times New Roman" w:hAnsi="Times New Roman" w:cs="Times New Roman"/>
          <w:sz w:val="24"/>
          <w:szCs w:val="24"/>
        </w:rPr>
        <w:t xml:space="preserve"> lub korzystanie z nich w sposób wskazujący na brak woli pozasądowego rozstrzygnięcia sporu</w:t>
      </w:r>
      <w:r w:rsidR="00817BD8" w:rsidRPr="00BF4514">
        <w:rPr>
          <w:rFonts w:ascii="Times New Roman" w:hAnsi="Times New Roman" w:cs="Times New Roman"/>
          <w:sz w:val="24"/>
          <w:szCs w:val="24"/>
        </w:rPr>
        <w:t>.</w:t>
      </w:r>
    </w:p>
    <w:bookmarkEnd w:id="0"/>
    <w:p w14:paraId="25424CD3" w14:textId="0143599A" w:rsidR="00EE248C" w:rsidRPr="00BF4514" w:rsidRDefault="006A7755"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Należy podkreślić,</w:t>
      </w:r>
      <w:r w:rsidR="00F50E84" w:rsidRPr="00BF4514">
        <w:rPr>
          <w:rFonts w:ascii="Times New Roman" w:hAnsi="Times New Roman" w:cs="Times New Roman"/>
          <w:sz w:val="24"/>
          <w:szCs w:val="24"/>
        </w:rPr>
        <w:t xml:space="preserve"> </w:t>
      </w:r>
      <w:r w:rsidRPr="00BF4514">
        <w:rPr>
          <w:rFonts w:ascii="Times New Roman" w:hAnsi="Times New Roman" w:cs="Times New Roman"/>
          <w:sz w:val="24"/>
          <w:szCs w:val="24"/>
        </w:rPr>
        <w:t>że powyżej wskazane przesłanki</w:t>
      </w:r>
      <w:r w:rsidR="00465021" w:rsidRPr="00BF4514">
        <w:rPr>
          <w:rFonts w:ascii="Times New Roman" w:hAnsi="Times New Roman" w:cs="Times New Roman"/>
          <w:sz w:val="24"/>
          <w:szCs w:val="24"/>
        </w:rPr>
        <w:t xml:space="preserve"> niekoniecznie muszą </w:t>
      </w:r>
      <w:r w:rsidRPr="00BF4514">
        <w:rPr>
          <w:rFonts w:ascii="Times New Roman" w:hAnsi="Times New Roman" w:cs="Times New Roman"/>
          <w:sz w:val="24"/>
          <w:szCs w:val="24"/>
        </w:rPr>
        <w:t>występować łącznie</w:t>
      </w:r>
      <w:r w:rsidR="00465021" w:rsidRPr="00BF4514">
        <w:rPr>
          <w:rFonts w:ascii="Times New Roman" w:hAnsi="Times New Roman" w:cs="Times New Roman"/>
          <w:sz w:val="24"/>
          <w:szCs w:val="24"/>
        </w:rPr>
        <w:t>,</w:t>
      </w:r>
      <w:r w:rsidRPr="00BF4514">
        <w:rPr>
          <w:rFonts w:ascii="Times New Roman" w:hAnsi="Times New Roman" w:cs="Times New Roman"/>
          <w:sz w:val="24"/>
          <w:szCs w:val="24"/>
        </w:rPr>
        <w:t xml:space="preserve"> jednak</w:t>
      </w:r>
      <w:r w:rsidR="00465021" w:rsidRPr="00BF4514">
        <w:rPr>
          <w:rFonts w:ascii="Times New Roman" w:hAnsi="Times New Roman" w:cs="Times New Roman"/>
          <w:sz w:val="24"/>
          <w:szCs w:val="24"/>
        </w:rPr>
        <w:t xml:space="preserve"> im więcej z nich występuje lub im bardziej rażące jest dane zachowanie, tym większe prawdopodobieństwo, że dane postępowanie sądowe można uznać za</w:t>
      </w:r>
      <w:r w:rsidR="006C583C" w:rsidRPr="00BF4514">
        <w:rPr>
          <w:rFonts w:ascii="Times New Roman" w:hAnsi="Times New Roman" w:cs="Times New Roman"/>
          <w:sz w:val="24"/>
          <w:szCs w:val="24"/>
        </w:rPr>
        <w:t xml:space="preserve"> powództwo zmierzające do stłumienia, ograniczenia, zakłócenia debaty publicznej lub szykanowania za udział w niej</w:t>
      </w:r>
      <w:r w:rsidR="00465021" w:rsidRPr="00BF4514">
        <w:rPr>
          <w:rFonts w:ascii="Times New Roman" w:hAnsi="Times New Roman" w:cs="Times New Roman"/>
          <w:sz w:val="24"/>
          <w:szCs w:val="24"/>
        </w:rPr>
        <w:t>.</w:t>
      </w:r>
    </w:p>
    <w:p w14:paraId="2ED5C5C2" w14:textId="77BE4838" w:rsidR="006A313F" w:rsidRPr="00BF4514" w:rsidRDefault="003C793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w:t>
      </w:r>
      <w:r w:rsidR="00AD58CC" w:rsidRPr="00BF4514">
        <w:rPr>
          <w:rFonts w:ascii="Times New Roman" w:hAnsi="Times New Roman" w:cs="Times New Roman"/>
          <w:b/>
          <w:bCs/>
          <w:sz w:val="24"/>
          <w:szCs w:val="24"/>
        </w:rPr>
        <w:t>7</w:t>
      </w:r>
      <w:r w:rsidR="002514C5" w:rsidRPr="00BF4514">
        <w:rPr>
          <w:rFonts w:ascii="Times New Roman" w:hAnsi="Times New Roman" w:cs="Times New Roman"/>
          <w:b/>
          <w:bCs/>
          <w:sz w:val="24"/>
          <w:szCs w:val="24"/>
        </w:rPr>
        <w:t xml:space="preserve"> </w:t>
      </w:r>
      <w:r w:rsidR="00FE37B8" w:rsidRPr="00BF4514">
        <w:rPr>
          <w:rFonts w:ascii="Times New Roman" w:hAnsi="Times New Roman" w:cs="Times New Roman"/>
          <w:sz w:val="24"/>
          <w:szCs w:val="24"/>
        </w:rPr>
        <w:t>Przepis przewiduj</w:t>
      </w:r>
      <w:r w:rsidR="00C733B6" w:rsidRPr="00BF4514">
        <w:rPr>
          <w:rFonts w:ascii="Times New Roman" w:hAnsi="Times New Roman" w:cs="Times New Roman"/>
          <w:sz w:val="24"/>
          <w:szCs w:val="24"/>
        </w:rPr>
        <w:t>e</w:t>
      </w:r>
      <w:r w:rsidR="00FE37B8" w:rsidRPr="00BF4514">
        <w:rPr>
          <w:rFonts w:ascii="Times New Roman" w:hAnsi="Times New Roman" w:cs="Times New Roman"/>
          <w:sz w:val="24"/>
          <w:szCs w:val="24"/>
        </w:rPr>
        <w:t xml:space="preserve"> roszczenie, które w swojej istocie nie </w:t>
      </w:r>
      <w:r w:rsidR="00E728E4" w:rsidRPr="00BF4514">
        <w:rPr>
          <w:rFonts w:ascii="Times New Roman" w:hAnsi="Times New Roman" w:cs="Times New Roman"/>
          <w:sz w:val="24"/>
          <w:szCs w:val="24"/>
        </w:rPr>
        <w:t>jest</w:t>
      </w:r>
      <w:r w:rsidR="00FE37B8" w:rsidRPr="00BF4514">
        <w:rPr>
          <w:rFonts w:ascii="Times New Roman" w:hAnsi="Times New Roman" w:cs="Times New Roman"/>
          <w:sz w:val="24"/>
          <w:szCs w:val="24"/>
        </w:rPr>
        <w:t xml:space="preserve"> nowe dla polskiego porządku prawnego, </w:t>
      </w:r>
      <w:r w:rsidR="00B049D6" w:rsidRPr="00BF4514">
        <w:rPr>
          <w:rFonts w:ascii="Times New Roman" w:hAnsi="Times New Roman" w:cs="Times New Roman"/>
          <w:sz w:val="24"/>
          <w:szCs w:val="24"/>
        </w:rPr>
        <w:t>ponieważ</w:t>
      </w:r>
      <w:r w:rsidR="00FE37B8" w:rsidRPr="00BF4514">
        <w:rPr>
          <w:rFonts w:ascii="Times New Roman" w:hAnsi="Times New Roman" w:cs="Times New Roman"/>
          <w:sz w:val="24"/>
          <w:szCs w:val="24"/>
        </w:rPr>
        <w:t xml:space="preserve"> znajduj</w:t>
      </w:r>
      <w:r w:rsidR="00B049D6" w:rsidRPr="00BF4514">
        <w:rPr>
          <w:rFonts w:ascii="Times New Roman" w:hAnsi="Times New Roman" w:cs="Times New Roman"/>
          <w:sz w:val="24"/>
          <w:szCs w:val="24"/>
        </w:rPr>
        <w:t>e</w:t>
      </w:r>
      <w:r w:rsidR="00FE37B8" w:rsidRPr="00BF4514">
        <w:rPr>
          <w:rFonts w:ascii="Times New Roman" w:hAnsi="Times New Roman" w:cs="Times New Roman"/>
          <w:sz w:val="24"/>
          <w:szCs w:val="24"/>
        </w:rPr>
        <w:t xml:space="preserve"> sw</w:t>
      </w:r>
      <w:r w:rsidR="00B049D6" w:rsidRPr="00BF4514">
        <w:rPr>
          <w:rFonts w:ascii="Times New Roman" w:hAnsi="Times New Roman" w:cs="Times New Roman"/>
          <w:sz w:val="24"/>
          <w:szCs w:val="24"/>
        </w:rPr>
        <w:t>ój</w:t>
      </w:r>
      <w:r w:rsidR="00FE37B8" w:rsidRPr="00BF4514">
        <w:rPr>
          <w:rFonts w:ascii="Times New Roman" w:hAnsi="Times New Roman" w:cs="Times New Roman"/>
          <w:sz w:val="24"/>
          <w:szCs w:val="24"/>
        </w:rPr>
        <w:t xml:space="preserve"> odpowiednik w art. </w:t>
      </w:r>
      <w:bookmarkStart w:id="1" w:name="_Hlk218674016"/>
      <w:r w:rsidR="00FE37B8" w:rsidRPr="00BF4514">
        <w:rPr>
          <w:rFonts w:ascii="Times New Roman" w:hAnsi="Times New Roman" w:cs="Times New Roman"/>
          <w:sz w:val="24"/>
          <w:szCs w:val="24"/>
        </w:rPr>
        <w:t>191</w:t>
      </w:r>
      <w:r w:rsidR="00FE37B8" w:rsidRPr="00BF4514">
        <w:rPr>
          <w:rFonts w:ascii="Times New Roman" w:hAnsi="Times New Roman" w:cs="Times New Roman"/>
          <w:sz w:val="24"/>
          <w:szCs w:val="24"/>
          <w:vertAlign w:val="superscript"/>
        </w:rPr>
        <w:t>1</w:t>
      </w:r>
      <w:r w:rsidR="00FE37B8" w:rsidRPr="00BF4514">
        <w:rPr>
          <w:rFonts w:ascii="Times New Roman" w:hAnsi="Times New Roman" w:cs="Times New Roman"/>
          <w:sz w:val="24"/>
          <w:szCs w:val="24"/>
        </w:rPr>
        <w:t xml:space="preserve"> </w:t>
      </w:r>
      <w:r w:rsidR="00B2320D" w:rsidRPr="00BF4514">
        <w:rPr>
          <w:rFonts w:ascii="Times New Roman" w:hAnsi="Times New Roman" w:cs="Times New Roman"/>
          <w:sz w:val="24"/>
          <w:szCs w:val="24"/>
        </w:rPr>
        <w:t>KPC</w:t>
      </w:r>
      <w:r w:rsidR="001445E2" w:rsidRPr="00BF4514">
        <w:rPr>
          <w:rFonts w:ascii="Times New Roman" w:hAnsi="Times New Roman" w:cs="Times New Roman"/>
          <w:sz w:val="24"/>
          <w:szCs w:val="24"/>
        </w:rPr>
        <w:t xml:space="preserve"> </w:t>
      </w:r>
      <w:bookmarkEnd w:id="1"/>
      <w:r w:rsidR="001445E2" w:rsidRPr="00BF4514">
        <w:rPr>
          <w:rFonts w:ascii="Times New Roman" w:hAnsi="Times New Roman" w:cs="Times New Roman"/>
          <w:sz w:val="24"/>
          <w:szCs w:val="24"/>
        </w:rPr>
        <w:t xml:space="preserve">oraz w art. </w:t>
      </w:r>
      <w:r w:rsidR="001A75E0" w:rsidRPr="00BF4514">
        <w:rPr>
          <w:rFonts w:ascii="Times New Roman" w:hAnsi="Times New Roman" w:cs="Times New Roman"/>
          <w:sz w:val="24"/>
          <w:szCs w:val="24"/>
        </w:rPr>
        <w:t>391</w:t>
      </w:r>
      <w:r w:rsidR="001A75E0" w:rsidRPr="00BF4514">
        <w:rPr>
          <w:rFonts w:ascii="Times New Roman" w:hAnsi="Times New Roman" w:cs="Times New Roman"/>
          <w:sz w:val="24"/>
          <w:szCs w:val="24"/>
          <w:vertAlign w:val="superscript"/>
        </w:rPr>
        <w:t xml:space="preserve">1 </w:t>
      </w:r>
      <w:r w:rsidR="006674D7" w:rsidRPr="00BF4514">
        <w:rPr>
          <w:rFonts w:ascii="Times New Roman" w:hAnsi="Times New Roman" w:cs="Times New Roman"/>
          <w:sz w:val="24"/>
          <w:szCs w:val="24"/>
        </w:rPr>
        <w:t>KPC</w:t>
      </w:r>
      <w:r w:rsidR="00FE37B8" w:rsidRPr="00BF4514">
        <w:rPr>
          <w:rFonts w:ascii="Times New Roman" w:hAnsi="Times New Roman" w:cs="Times New Roman"/>
          <w:sz w:val="24"/>
          <w:szCs w:val="24"/>
        </w:rPr>
        <w:t xml:space="preserve">. </w:t>
      </w:r>
      <w:r w:rsidR="00B049D6" w:rsidRPr="00BF4514">
        <w:rPr>
          <w:rFonts w:ascii="Times New Roman" w:hAnsi="Times New Roman" w:cs="Times New Roman"/>
          <w:sz w:val="24"/>
          <w:szCs w:val="24"/>
        </w:rPr>
        <w:t>U</w:t>
      </w:r>
      <w:r w:rsidR="00FE37B8" w:rsidRPr="00BF4514">
        <w:rPr>
          <w:rFonts w:ascii="Times New Roman" w:hAnsi="Times New Roman" w:cs="Times New Roman"/>
          <w:sz w:val="24"/>
          <w:szCs w:val="24"/>
        </w:rPr>
        <w:t xml:space="preserve">stawodawca nie </w:t>
      </w:r>
      <w:r w:rsidR="00950452" w:rsidRPr="00BF4514">
        <w:rPr>
          <w:rFonts w:ascii="Times New Roman" w:hAnsi="Times New Roman" w:cs="Times New Roman"/>
          <w:sz w:val="24"/>
          <w:szCs w:val="24"/>
        </w:rPr>
        <w:t>tworzy</w:t>
      </w:r>
      <w:r w:rsidR="00FE37B8" w:rsidRPr="00BF4514">
        <w:rPr>
          <w:rFonts w:ascii="Times New Roman" w:hAnsi="Times New Roman" w:cs="Times New Roman"/>
          <w:sz w:val="24"/>
          <w:szCs w:val="24"/>
        </w:rPr>
        <w:t xml:space="preserve"> całkowicie nowej instytucji prawnej, lecz rozwija i dostosowuje </w:t>
      </w:r>
      <w:r w:rsidR="00FE37B8" w:rsidRPr="00BF4514">
        <w:rPr>
          <w:rFonts w:ascii="Times New Roman" w:hAnsi="Times New Roman" w:cs="Times New Roman"/>
          <w:sz w:val="24"/>
          <w:szCs w:val="24"/>
        </w:rPr>
        <w:lastRenderedPageBreak/>
        <w:t>istniejące mechanizmy ochrony procesowej do specyfiki postępowań, w których dochodzone roszczenia mogą prowadzić do stłumienia, ograniczenia</w:t>
      </w:r>
      <w:r w:rsidR="00FE443C" w:rsidRPr="00BF4514">
        <w:rPr>
          <w:rFonts w:ascii="Times New Roman" w:hAnsi="Times New Roman" w:cs="Times New Roman"/>
          <w:sz w:val="24"/>
          <w:szCs w:val="24"/>
        </w:rPr>
        <w:t>,</w:t>
      </w:r>
      <w:r w:rsidR="00FE37B8" w:rsidRPr="00BF4514">
        <w:rPr>
          <w:rFonts w:ascii="Times New Roman" w:hAnsi="Times New Roman" w:cs="Times New Roman"/>
          <w:sz w:val="24"/>
          <w:szCs w:val="24"/>
        </w:rPr>
        <w:t xml:space="preserve"> zakłócenia debaty publicznej</w:t>
      </w:r>
      <w:r w:rsidR="00FE443C" w:rsidRPr="00BF4514">
        <w:rPr>
          <w:rFonts w:ascii="Times New Roman" w:hAnsi="Times New Roman" w:cs="Times New Roman"/>
          <w:sz w:val="24"/>
          <w:szCs w:val="24"/>
        </w:rPr>
        <w:t xml:space="preserve"> lub szykanowania za udział w niej</w:t>
      </w:r>
      <w:r w:rsidR="00FE37B8" w:rsidRPr="00BF4514">
        <w:rPr>
          <w:rFonts w:ascii="Times New Roman" w:hAnsi="Times New Roman" w:cs="Times New Roman"/>
          <w:sz w:val="24"/>
          <w:szCs w:val="24"/>
        </w:rPr>
        <w:t>.</w:t>
      </w:r>
    </w:p>
    <w:p w14:paraId="71289B4B" w14:textId="1CDB8EDB" w:rsidR="00ED29D3" w:rsidRPr="00BF4514" w:rsidRDefault="00D53B2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Odniesienie do przepisu art. </w:t>
      </w:r>
      <w:r w:rsidR="007777EB" w:rsidRPr="00BF4514">
        <w:rPr>
          <w:rFonts w:ascii="Times New Roman" w:hAnsi="Times New Roman" w:cs="Times New Roman"/>
          <w:sz w:val="24"/>
          <w:szCs w:val="24"/>
        </w:rPr>
        <w:t>191</w:t>
      </w:r>
      <w:r w:rsidR="007777EB" w:rsidRPr="00BF4514">
        <w:rPr>
          <w:rFonts w:ascii="Times New Roman" w:hAnsi="Times New Roman" w:cs="Times New Roman"/>
          <w:sz w:val="24"/>
          <w:szCs w:val="24"/>
          <w:vertAlign w:val="superscript"/>
        </w:rPr>
        <w:t>1</w:t>
      </w:r>
      <w:r w:rsidR="007777EB" w:rsidRPr="00BF4514">
        <w:rPr>
          <w:rFonts w:ascii="Times New Roman" w:hAnsi="Times New Roman" w:cs="Times New Roman"/>
          <w:sz w:val="24"/>
          <w:szCs w:val="24"/>
        </w:rPr>
        <w:t xml:space="preserve"> KPC </w:t>
      </w:r>
      <w:r w:rsidR="00B30C16" w:rsidRPr="00BF4514">
        <w:rPr>
          <w:rFonts w:ascii="Times New Roman" w:hAnsi="Times New Roman" w:cs="Times New Roman"/>
          <w:sz w:val="24"/>
          <w:szCs w:val="24"/>
        </w:rPr>
        <w:t>pozwoli sądom częściej stosować ten przepis w tego rodzaju sprawach. Dotychczasowa praktyka wykazywała na bardzo wąskie rozumienie przepisu</w:t>
      </w:r>
      <w:r w:rsidR="00E42752" w:rsidRPr="00BF4514">
        <w:rPr>
          <w:rFonts w:ascii="Times New Roman" w:hAnsi="Times New Roman" w:cs="Times New Roman"/>
          <w:sz w:val="24"/>
          <w:szCs w:val="24"/>
        </w:rPr>
        <w:t xml:space="preserve"> o roszczeniach oczywiście bezzasadnych. </w:t>
      </w:r>
      <w:r w:rsidR="00A03C13" w:rsidRPr="00BF4514">
        <w:rPr>
          <w:rFonts w:ascii="Times New Roman" w:hAnsi="Times New Roman" w:cs="Times New Roman"/>
          <w:sz w:val="24"/>
          <w:szCs w:val="24"/>
        </w:rPr>
        <w:t>Niewątpliwie</w:t>
      </w:r>
      <w:r w:rsidR="00E42752" w:rsidRPr="00BF4514">
        <w:rPr>
          <w:rFonts w:ascii="Times New Roman" w:hAnsi="Times New Roman" w:cs="Times New Roman"/>
          <w:sz w:val="24"/>
          <w:szCs w:val="24"/>
        </w:rPr>
        <w:t xml:space="preserve"> jednak </w:t>
      </w:r>
      <w:r w:rsidR="00A03C13" w:rsidRPr="00BF4514">
        <w:rPr>
          <w:rFonts w:ascii="Times New Roman" w:hAnsi="Times New Roman" w:cs="Times New Roman"/>
          <w:sz w:val="24"/>
          <w:szCs w:val="24"/>
        </w:rPr>
        <w:t>ten</w:t>
      </w:r>
      <w:r w:rsidR="00E42752" w:rsidRPr="00BF4514">
        <w:rPr>
          <w:rFonts w:ascii="Times New Roman" w:hAnsi="Times New Roman" w:cs="Times New Roman"/>
          <w:sz w:val="24"/>
          <w:szCs w:val="24"/>
        </w:rPr>
        <w:t xml:space="preserve"> przepis może mieć </w:t>
      </w:r>
      <w:r w:rsidR="00A03C13" w:rsidRPr="00BF4514">
        <w:rPr>
          <w:rFonts w:ascii="Times New Roman" w:hAnsi="Times New Roman" w:cs="Times New Roman"/>
          <w:sz w:val="24"/>
          <w:szCs w:val="24"/>
        </w:rPr>
        <w:t>zastosowanie</w:t>
      </w:r>
      <w:r w:rsidR="00E42752" w:rsidRPr="00BF4514">
        <w:rPr>
          <w:rFonts w:ascii="Times New Roman" w:hAnsi="Times New Roman" w:cs="Times New Roman"/>
          <w:sz w:val="24"/>
          <w:szCs w:val="24"/>
        </w:rPr>
        <w:t xml:space="preserve"> w sprawach </w:t>
      </w:r>
      <w:r w:rsidR="00E251F9" w:rsidRPr="00BF4514">
        <w:rPr>
          <w:rFonts w:ascii="Times New Roman" w:hAnsi="Times New Roman" w:cs="Times New Roman"/>
          <w:sz w:val="24"/>
          <w:szCs w:val="24"/>
        </w:rPr>
        <w:t>kwalifikowanych jako</w:t>
      </w:r>
      <w:r w:rsidR="00E42752" w:rsidRPr="00BF4514">
        <w:rPr>
          <w:rFonts w:ascii="Times New Roman" w:hAnsi="Times New Roman" w:cs="Times New Roman"/>
          <w:sz w:val="24"/>
          <w:szCs w:val="24"/>
        </w:rPr>
        <w:t xml:space="preserve"> Slapp, </w:t>
      </w:r>
      <w:r w:rsidR="00E251F9" w:rsidRPr="00BF4514">
        <w:rPr>
          <w:rFonts w:ascii="Times New Roman" w:hAnsi="Times New Roman" w:cs="Times New Roman"/>
          <w:sz w:val="24"/>
          <w:szCs w:val="24"/>
        </w:rPr>
        <w:t xml:space="preserve">w każdym </w:t>
      </w:r>
      <w:r w:rsidR="0006022E" w:rsidRPr="00BF4514">
        <w:rPr>
          <w:rFonts w:ascii="Times New Roman" w:hAnsi="Times New Roman" w:cs="Times New Roman"/>
          <w:sz w:val="24"/>
          <w:szCs w:val="24"/>
        </w:rPr>
        <w:t>przypadku</w:t>
      </w:r>
      <w:r w:rsidR="00E251F9" w:rsidRPr="00BF4514">
        <w:rPr>
          <w:rFonts w:ascii="Times New Roman" w:hAnsi="Times New Roman" w:cs="Times New Roman"/>
          <w:sz w:val="24"/>
          <w:szCs w:val="24"/>
        </w:rPr>
        <w:t xml:space="preserve">, gdy </w:t>
      </w:r>
      <w:r w:rsidR="002839C1" w:rsidRPr="00BF4514">
        <w:rPr>
          <w:rFonts w:ascii="Times New Roman" w:hAnsi="Times New Roman" w:cs="Times New Roman"/>
          <w:sz w:val="24"/>
          <w:szCs w:val="24"/>
        </w:rPr>
        <w:t xml:space="preserve">już na pierwszy rzut oka brak jest podstaw do </w:t>
      </w:r>
      <w:r w:rsidR="00A03C13" w:rsidRPr="00BF4514">
        <w:rPr>
          <w:rFonts w:ascii="Times New Roman" w:hAnsi="Times New Roman" w:cs="Times New Roman"/>
          <w:sz w:val="24"/>
          <w:szCs w:val="24"/>
        </w:rPr>
        <w:t>uwzględniania</w:t>
      </w:r>
      <w:r w:rsidR="00C77DE2" w:rsidRPr="00BF4514">
        <w:rPr>
          <w:rFonts w:ascii="Times New Roman" w:hAnsi="Times New Roman" w:cs="Times New Roman"/>
          <w:sz w:val="24"/>
          <w:szCs w:val="24"/>
        </w:rPr>
        <w:t xml:space="preserve"> powództwa. </w:t>
      </w:r>
      <w:r w:rsidR="00A03C13" w:rsidRPr="00BF4514">
        <w:rPr>
          <w:rFonts w:ascii="Times New Roman" w:hAnsi="Times New Roman" w:cs="Times New Roman"/>
          <w:sz w:val="24"/>
          <w:szCs w:val="24"/>
        </w:rPr>
        <w:t>Wskazanie</w:t>
      </w:r>
      <w:r w:rsidR="000317B9" w:rsidRPr="00BF4514">
        <w:rPr>
          <w:rFonts w:ascii="Times New Roman" w:hAnsi="Times New Roman" w:cs="Times New Roman"/>
          <w:sz w:val="24"/>
          <w:szCs w:val="24"/>
        </w:rPr>
        <w:t xml:space="preserve"> </w:t>
      </w:r>
      <w:r w:rsidR="003763DD" w:rsidRPr="00BF4514">
        <w:rPr>
          <w:rFonts w:ascii="Times New Roman" w:hAnsi="Times New Roman" w:cs="Times New Roman"/>
          <w:sz w:val="24"/>
          <w:szCs w:val="24"/>
        </w:rPr>
        <w:t xml:space="preserve">bezpośrednio </w:t>
      </w:r>
      <w:r w:rsidR="000317B9" w:rsidRPr="00BF4514">
        <w:rPr>
          <w:rFonts w:ascii="Times New Roman" w:hAnsi="Times New Roman" w:cs="Times New Roman"/>
          <w:sz w:val="24"/>
          <w:szCs w:val="24"/>
        </w:rPr>
        <w:t xml:space="preserve">w ustawie o przeciwdziałaniu Slapp możliwości </w:t>
      </w:r>
      <w:r w:rsidR="00A03C13" w:rsidRPr="00BF4514">
        <w:rPr>
          <w:rFonts w:ascii="Times New Roman" w:hAnsi="Times New Roman" w:cs="Times New Roman"/>
          <w:sz w:val="24"/>
          <w:szCs w:val="24"/>
        </w:rPr>
        <w:t>skorzystania</w:t>
      </w:r>
      <w:r w:rsidR="000317B9" w:rsidRPr="00BF4514">
        <w:rPr>
          <w:rFonts w:ascii="Times New Roman" w:hAnsi="Times New Roman" w:cs="Times New Roman"/>
          <w:sz w:val="24"/>
          <w:szCs w:val="24"/>
        </w:rPr>
        <w:t xml:space="preserve"> z tego przepisu </w:t>
      </w:r>
      <w:r w:rsidR="003763DD" w:rsidRPr="00BF4514">
        <w:rPr>
          <w:rFonts w:ascii="Times New Roman" w:hAnsi="Times New Roman" w:cs="Times New Roman"/>
          <w:sz w:val="24"/>
          <w:szCs w:val="24"/>
        </w:rPr>
        <w:t xml:space="preserve">powinno sprzyjać </w:t>
      </w:r>
      <w:r w:rsidR="000317B9" w:rsidRPr="00BF4514">
        <w:rPr>
          <w:rFonts w:ascii="Times New Roman" w:hAnsi="Times New Roman" w:cs="Times New Roman"/>
          <w:sz w:val="24"/>
          <w:szCs w:val="24"/>
        </w:rPr>
        <w:t>wykształc</w:t>
      </w:r>
      <w:r w:rsidR="003763DD" w:rsidRPr="00BF4514">
        <w:rPr>
          <w:rFonts w:ascii="Times New Roman" w:hAnsi="Times New Roman" w:cs="Times New Roman"/>
          <w:sz w:val="24"/>
          <w:szCs w:val="24"/>
        </w:rPr>
        <w:t xml:space="preserve">eniu </w:t>
      </w:r>
      <w:r w:rsidR="000317B9" w:rsidRPr="00BF4514">
        <w:rPr>
          <w:rFonts w:ascii="Times New Roman" w:hAnsi="Times New Roman" w:cs="Times New Roman"/>
          <w:sz w:val="24"/>
          <w:szCs w:val="24"/>
        </w:rPr>
        <w:t>zasad stosowania przepisu</w:t>
      </w:r>
      <w:r w:rsidR="003763DD" w:rsidRPr="00BF4514">
        <w:rPr>
          <w:rFonts w:ascii="Times New Roman" w:hAnsi="Times New Roman" w:cs="Times New Roman"/>
          <w:sz w:val="24"/>
          <w:szCs w:val="24"/>
        </w:rPr>
        <w:t xml:space="preserve"> i umocnieniu praktyki w tej dziedzinie</w:t>
      </w:r>
      <w:r w:rsidR="000317B9" w:rsidRPr="00BF4514">
        <w:rPr>
          <w:rFonts w:ascii="Times New Roman" w:hAnsi="Times New Roman" w:cs="Times New Roman"/>
          <w:sz w:val="24"/>
          <w:szCs w:val="24"/>
        </w:rPr>
        <w:t xml:space="preserve">. </w:t>
      </w:r>
      <w:r w:rsidR="001E469C" w:rsidRPr="00BF4514">
        <w:rPr>
          <w:rFonts w:ascii="Times New Roman" w:hAnsi="Times New Roman" w:cs="Times New Roman"/>
          <w:sz w:val="24"/>
          <w:szCs w:val="24"/>
        </w:rPr>
        <w:t xml:space="preserve">W tym miejscu wskazać trzeba, </w:t>
      </w:r>
      <w:r w:rsidR="003763DD" w:rsidRPr="00BF4514">
        <w:rPr>
          <w:rFonts w:ascii="Times New Roman" w:hAnsi="Times New Roman" w:cs="Times New Roman"/>
          <w:sz w:val="24"/>
          <w:szCs w:val="24"/>
        </w:rPr>
        <w:t>ż</w:t>
      </w:r>
      <w:r w:rsidR="001E469C" w:rsidRPr="00BF4514">
        <w:rPr>
          <w:rFonts w:ascii="Times New Roman" w:hAnsi="Times New Roman" w:cs="Times New Roman"/>
          <w:sz w:val="24"/>
          <w:szCs w:val="24"/>
        </w:rPr>
        <w:t>e wprowadzani</w:t>
      </w:r>
      <w:r w:rsidR="00C05E08" w:rsidRPr="00BF4514">
        <w:rPr>
          <w:rFonts w:ascii="Times New Roman" w:hAnsi="Times New Roman" w:cs="Times New Roman"/>
          <w:sz w:val="24"/>
          <w:szCs w:val="24"/>
        </w:rPr>
        <w:t>e</w:t>
      </w:r>
      <w:r w:rsidR="001E469C" w:rsidRPr="00BF4514">
        <w:rPr>
          <w:rFonts w:ascii="Times New Roman" w:hAnsi="Times New Roman" w:cs="Times New Roman"/>
          <w:sz w:val="24"/>
          <w:szCs w:val="24"/>
        </w:rPr>
        <w:t xml:space="preserve"> definicji dotycząc</w:t>
      </w:r>
      <w:r w:rsidR="00C05E08" w:rsidRPr="00BF4514">
        <w:rPr>
          <w:rFonts w:ascii="Times New Roman" w:hAnsi="Times New Roman" w:cs="Times New Roman"/>
          <w:sz w:val="24"/>
          <w:szCs w:val="24"/>
        </w:rPr>
        <w:t>ej</w:t>
      </w:r>
      <w:r w:rsidR="001E469C" w:rsidRPr="00BF4514">
        <w:rPr>
          <w:rFonts w:ascii="Times New Roman" w:hAnsi="Times New Roman" w:cs="Times New Roman"/>
          <w:sz w:val="24"/>
          <w:szCs w:val="24"/>
        </w:rPr>
        <w:t xml:space="preserve"> oczywistej bezzasadności </w:t>
      </w:r>
      <w:r w:rsidR="00EB14CE" w:rsidRPr="00BF4514">
        <w:rPr>
          <w:rFonts w:ascii="Times New Roman" w:hAnsi="Times New Roman" w:cs="Times New Roman"/>
          <w:sz w:val="24"/>
          <w:szCs w:val="24"/>
        </w:rPr>
        <w:t xml:space="preserve">nie była konieczna. </w:t>
      </w:r>
      <w:r w:rsidR="00A03C13" w:rsidRPr="00BF4514">
        <w:rPr>
          <w:rFonts w:ascii="Times New Roman" w:hAnsi="Times New Roman" w:cs="Times New Roman"/>
          <w:sz w:val="24"/>
          <w:szCs w:val="24"/>
        </w:rPr>
        <w:t>Pojęcie</w:t>
      </w:r>
      <w:r w:rsidR="00EB14CE" w:rsidRPr="00BF4514">
        <w:rPr>
          <w:rFonts w:ascii="Times New Roman" w:hAnsi="Times New Roman" w:cs="Times New Roman"/>
          <w:sz w:val="24"/>
          <w:szCs w:val="24"/>
        </w:rPr>
        <w:t xml:space="preserve"> znane jest polskiej dok</w:t>
      </w:r>
      <w:r w:rsidR="00F82E54" w:rsidRPr="00BF4514">
        <w:rPr>
          <w:rFonts w:ascii="Times New Roman" w:hAnsi="Times New Roman" w:cs="Times New Roman"/>
          <w:sz w:val="24"/>
          <w:szCs w:val="24"/>
        </w:rPr>
        <w:t>trynie prawa, a</w:t>
      </w:r>
      <w:r w:rsidR="004D46F5" w:rsidRPr="00BF4514">
        <w:rPr>
          <w:rFonts w:ascii="Times New Roman" w:hAnsi="Times New Roman" w:cs="Times New Roman"/>
          <w:sz w:val="24"/>
          <w:szCs w:val="24"/>
        </w:rPr>
        <w:t> </w:t>
      </w:r>
      <w:r w:rsidR="00A03C13" w:rsidRPr="00BF4514">
        <w:rPr>
          <w:rFonts w:ascii="Times New Roman" w:hAnsi="Times New Roman" w:cs="Times New Roman"/>
          <w:sz w:val="24"/>
          <w:szCs w:val="24"/>
        </w:rPr>
        <w:t>w</w:t>
      </w:r>
      <w:r w:rsidR="00F82E54" w:rsidRPr="00BF4514">
        <w:rPr>
          <w:rFonts w:ascii="Times New Roman" w:hAnsi="Times New Roman" w:cs="Times New Roman"/>
          <w:sz w:val="24"/>
          <w:szCs w:val="24"/>
        </w:rPr>
        <w:t xml:space="preserve">prowadzenie </w:t>
      </w:r>
      <w:r w:rsidR="00A03C13" w:rsidRPr="00BF4514">
        <w:rPr>
          <w:rFonts w:ascii="Times New Roman" w:hAnsi="Times New Roman" w:cs="Times New Roman"/>
          <w:sz w:val="24"/>
          <w:szCs w:val="24"/>
        </w:rPr>
        <w:t>w ustawie wyraźnej możliwości</w:t>
      </w:r>
      <w:r w:rsidR="00F82E54" w:rsidRPr="00BF4514">
        <w:rPr>
          <w:rFonts w:ascii="Times New Roman" w:hAnsi="Times New Roman" w:cs="Times New Roman"/>
          <w:sz w:val="24"/>
          <w:szCs w:val="24"/>
        </w:rPr>
        <w:t xml:space="preserve"> zastosowania w takich sp</w:t>
      </w:r>
      <w:r w:rsidR="00A03C13" w:rsidRPr="00BF4514">
        <w:rPr>
          <w:rFonts w:ascii="Times New Roman" w:hAnsi="Times New Roman" w:cs="Times New Roman"/>
          <w:sz w:val="24"/>
          <w:szCs w:val="24"/>
        </w:rPr>
        <w:t>rawach</w:t>
      </w:r>
      <w:r w:rsidR="00F82E54"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powinn</w:t>
      </w:r>
      <w:r w:rsidR="00562FF9">
        <w:rPr>
          <w:rFonts w:ascii="Times New Roman" w:hAnsi="Times New Roman" w:cs="Times New Roman"/>
          <w:sz w:val="24"/>
          <w:szCs w:val="24"/>
        </w:rPr>
        <w:t>o</w:t>
      </w:r>
      <w:r w:rsidR="00F82E54" w:rsidRPr="00BF4514">
        <w:rPr>
          <w:rFonts w:ascii="Times New Roman" w:hAnsi="Times New Roman" w:cs="Times New Roman"/>
          <w:sz w:val="24"/>
          <w:szCs w:val="24"/>
        </w:rPr>
        <w:t xml:space="preserve"> przynieść dodatkowe </w:t>
      </w:r>
      <w:r w:rsidR="00DF4A03" w:rsidRPr="00BF4514">
        <w:rPr>
          <w:rFonts w:ascii="Times New Roman" w:hAnsi="Times New Roman" w:cs="Times New Roman"/>
          <w:sz w:val="24"/>
          <w:szCs w:val="24"/>
        </w:rPr>
        <w:t xml:space="preserve">doprecyzowania co do </w:t>
      </w:r>
      <w:r w:rsidR="00A03C13" w:rsidRPr="00BF4514">
        <w:rPr>
          <w:rFonts w:ascii="Times New Roman" w:hAnsi="Times New Roman" w:cs="Times New Roman"/>
          <w:sz w:val="24"/>
          <w:szCs w:val="24"/>
        </w:rPr>
        <w:t>stosowania</w:t>
      </w:r>
      <w:r w:rsidR="00DF4A03" w:rsidRPr="00BF4514">
        <w:rPr>
          <w:rFonts w:ascii="Times New Roman" w:hAnsi="Times New Roman" w:cs="Times New Roman"/>
          <w:sz w:val="24"/>
          <w:szCs w:val="24"/>
        </w:rPr>
        <w:t xml:space="preserve"> tej instytucji. Wprowadzanie</w:t>
      </w:r>
      <w:r w:rsidR="003763DD" w:rsidRPr="00BF4514">
        <w:rPr>
          <w:rFonts w:ascii="Times New Roman" w:hAnsi="Times New Roman" w:cs="Times New Roman"/>
          <w:sz w:val="24"/>
          <w:szCs w:val="24"/>
        </w:rPr>
        <w:t xml:space="preserve"> szerokiej </w:t>
      </w:r>
      <w:r w:rsidR="00A03C13" w:rsidRPr="00BF4514">
        <w:rPr>
          <w:rFonts w:ascii="Times New Roman" w:hAnsi="Times New Roman" w:cs="Times New Roman"/>
          <w:sz w:val="24"/>
          <w:szCs w:val="24"/>
        </w:rPr>
        <w:t>definicji</w:t>
      </w:r>
      <w:r w:rsidR="00146521" w:rsidRPr="00BF4514">
        <w:rPr>
          <w:rFonts w:ascii="Times New Roman" w:hAnsi="Times New Roman" w:cs="Times New Roman"/>
          <w:sz w:val="24"/>
          <w:szCs w:val="24"/>
        </w:rPr>
        <w:t xml:space="preserve"> ustawow</w:t>
      </w:r>
      <w:r w:rsidR="003763DD" w:rsidRPr="00BF4514">
        <w:rPr>
          <w:rFonts w:ascii="Times New Roman" w:hAnsi="Times New Roman" w:cs="Times New Roman"/>
          <w:sz w:val="24"/>
          <w:szCs w:val="24"/>
        </w:rPr>
        <w:t xml:space="preserve">ej </w:t>
      </w:r>
      <w:r w:rsidR="00146521" w:rsidRPr="00BF4514">
        <w:rPr>
          <w:rFonts w:ascii="Times New Roman" w:hAnsi="Times New Roman" w:cs="Times New Roman"/>
          <w:sz w:val="24"/>
          <w:szCs w:val="24"/>
        </w:rPr>
        <w:t>mogł</w:t>
      </w:r>
      <w:r w:rsidR="00562FF9">
        <w:rPr>
          <w:rFonts w:ascii="Times New Roman" w:hAnsi="Times New Roman" w:cs="Times New Roman"/>
          <w:sz w:val="24"/>
          <w:szCs w:val="24"/>
        </w:rPr>
        <w:t>o</w:t>
      </w:r>
      <w:r w:rsidR="00146521" w:rsidRPr="00BF4514">
        <w:rPr>
          <w:rFonts w:ascii="Times New Roman" w:hAnsi="Times New Roman" w:cs="Times New Roman"/>
          <w:sz w:val="24"/>
          <w:szCs w:val="24"/>
        </w:rPr>
        <w:t>by doprowadzić do poważnego ograniczenia drogi sądowej, co</w:t>
      </w:r>
      <w:r w:rsidR="003763DD" w:rsidRPr="00BF4514">
        <w:rPr>
          <w:rFonts w:ascii="Times New Roman" w:hAnsi="Times New Roman" w:cs="Times New Roman"/>
          <w:sz w:val="24"/>
          <w:szCs w:val="24"/>
        </w:rPr>
        <w:t xml:space="preserve"> pozostawałoby w</w:t>
      </w:r>
      <w:r w:rsidR="004D46F5" w:rsidRPr="00BF4514">
        <w:rPr>
          <w:rFonts w:ascii="Times New Roman" w:hAnsi="Times New Roman" w:cs="Times New Roman"/>
          <w:sz w:val="24"/>
          <w:szCs w:val="24"/>
        </w:rPr>
        <w:t> </w:t>
      </w:r>
      <w:r w:rsidR="003763DD" w:rsidRPr="00BF4514">
        <w:rPr>
          <w:rFonts w:ascii="Times New Roman" w:hAnsi="Times New Roman" w:cs="Times New Roman"/>
          <w:sz w:val="24"/>
          <w:szCs w:val="24"/>
        </w:rPr>
        <w:t>sprzeczności</w:t>
      </w:r>
      <w:r w:rsidR="00146521" w:rsidRPr="00BF4514">
        <w:rPr>
          <w:rFonts w:ascii="Times New Roman" w:hAnsi="Times New Roman" w:cs="Times New Roman"/>
          <w:sz w:val="24"/>
          <w:szCs w:val="24"/>
        </w:rPr>
        <w:t xml:space="preserve"> z </w:t>
      </w:r>
      <w:r w:rsidR="00A03C13" w:rsidRPr="00BF4514">
        <w:rPr>
          <w:rFonts w:ascii="Times New Roman" w:hAnsi="Times New Roman" w:cs="Times New Roman"/>
          <w:sz w:val="24"/>
          <w:szCs w:val="24"/>
        </w:rPr>
        <w:t>konstytucyjną</w:t>
      </w:r>
      <w:r w:rsidR="00146521" w:rsidRPr="00BF4514">
        <w:rPr>
          <w:rFonts w:ascii="Times New Roman" w:hAnsi="Times New Roman" w:cs="Times New Roman"/>
          <w:sz w:val="24"/>
          <w:szCs w:val="24"/>
        </w:rPr>
        <w:t xml:space="preserve"> zasadą </w:t>
      </w:r>
      <w:r w:rsidR="00ED29D3" w:rsidRPr="00BF4514">
        <w:rPr>
          <w:rFonts w:ascii="Times New Roman" w:hAnsi="Times New Roman" w:cs="Times New Roman"/>
          <w:sz w:val="24"/>
          <w:szCs w:val="24"/>
        </w:rPr>
        <w:t xml:space="preserve">prawa do sądu. </w:t>
      </w:r>
    </w:p>
    <w:p w14:paraId="0B219B0C" w14:textId="2E043B54" w:rsidR="004E6DF4" w:rsidRPr="00BF4514" w:rsidRDefault="009D3DA1"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Jak</w:t>
      </w:r>
      <w:r w:rsidR="002453EE" w:rsidRPr="00BF4514">
        <w:rPr>
          <w:rFonts w:ascii="Times New Roman" w:hAnsi="Times New Roman" w:cs="Times New Roman"/>
          <w:sz w:val="24"/>
          <w:szCs w:val="24"/>
        </w:rPr>
        <w:t xml:space="preserve"> wskazuje implementowana Dyrektywa</w:t>
      </w:r>
      <w:r w:rsidR="00BF4514">
        <w:rPr>
          <w:rFonts w:ascii="Times New Roman" w:hAnsi="Times New Roman" w:cs="Times New Roman"/>
          <w:sz w:val="24"/>
          <w:szCs w:val="24"/>
        </w:rPr>
        <w:t>,</w:t>
      </w:r>
      <w:r w:rsidR="002453EE" w:rsidRPr="00BF4514">
        <w:rPr>
          <w:rFonts w:ascii="Times New Roman" w:hAnsi="Times New Roman" w:cs="Times New Roman"/>
          <w:sz w:val="24"/>
          <w:szCs w:val="24"/>
        </w:rPr>
        <w:t xml:space="preserve"> </w:t>
      </w:r>
      <w:r w:rsidR="00A03C13" w:rsidRPr="00BF4514">
        <w:rPr>
          <w:rFonts w:ascii="Times New Roman" w:hAnsi="Times New Roman" w:cs="Times New Roman"/>
          <w:sz w:val="24"/>
          <w:szCs w:val="24"/>
        </w:rPr>
        <w:t xml:space="preserve">inicjowanie postępowań w </w:t>
      </w:r>
      <w:r w:rsidR="00693E6C" w:rsidRPr="00BF4514">
        <w:rPr>
          <w:rFonts w:ascii="Times New Roman" w:hAnsi="Times New Roman" w:cs="Times New Roman"/>
          <w:sz w:val="24"/>
          <w:szCs w:val="24"/>
        </w:rPr>
        <w:t>oparciu</w:t>
      </w:r>
      <w:r w:rsidR="00A03C13" w:rsidRPr="00BF4514">
        <w:rPr>
          <w:rFonts w:ascii="Times New Roman" w:hAnsi="Times New Roman" w:cs="Times New Roman"/>
          <w:sz w:val="24"/>
          <w:szCs w:val="24"/>
        </w:rPr>
        <w:t xml:space="preserve"> </w:t>
      </w:r>
      <w:r w:rsidR="00693E6C" w:rsidRPr="00BF4514">
        <w:rPr>
          <w:rFonts w:ascii="Times New Roman" w:hAnsi="Times New Roman" w:cs="Times New Roman"/>
          <w:sz w:val="24"/>
          <w:szCs w:val="24"/>
        </w:rPr>
        <w:t xml:space="preserve">o </w:t>
      </w:r>
      <w:r w:rsidRPr="00BF4514">
        <w:rPr>
          <w:rFonts w:ascii="Times New Roman" w:hAnsi="Times New Roman" w:cs="Times New Roman"/>
          <w:sz w:val="24"/>
          <w:szCs w:val="24"/>
        </w:rPr>
        <w:t>bezzasadn</w:t>
      </w:r>
      <w:r w:rsidR="00693E6C" w:rsidRPr="00BF4514">
        <w:rPr>
          <w:rFonts w:ascii="Times New Roman" w:hAnsi="Times New Roman" w:cs="Times New Roman"/>
          <w:sz w:val="24"/>
          <w:szCs w:val="24"/>
        </w:rPr>
        <w:t xml:space="preserve">e </w:t>
      </w:r>
      <w:r w:rsidR="002A0D8C" w:rsidRPr="00BF4514">
        <w:rPr>
          <w:rFonts w:ascii="Times New Roman" w:hAnsi="Times New Roman" w:cs="Times New Roman"/>
          <w:sz w:val="24"/>
          <w:szCs w:val="24"/>
        </w:rPr>
        <w:t>roszcze</w:t>
      </w:r>
      <w:r w:rsidR="00693E6C" w:rsidRPr="00BF4514">
        <w:rPr>
          <w:rFonts w:ascii="Times New Roman" w:hAnsi="Times New Roman" w:cs="Times New Roman"/>
          <w:sz w:val="24"/>
          <w:szCs w:val="24"/>
        </w:rPr>
        <w:t xml:space="preserve">nia </w:t>
      </w:r>
      <w:r w:rsidR="002A0D8C" w:rsidRPr="00BF4514">
        <w:rPr>
          <w:rFonts w:ascii="Times New Roman" w:hAnsi="Times New Roman" w:cs="Times New Roman"/>
          <w:sz w:val="24"/>
          <w:szCs w:val="24"/>
        </w:rPr>
        <w:t xml:space="preserve">jest jednym z </w:t>
      </w:r>
      <w:r w:rsidRPr="00BF4514">
        <w:rPr>
          <w:rFonts w:ascii="Times New Roman" w:hAnsi="Times New Roman" w:cs="Times New Roman"/>
          <w:sz w:val="24"/>
          <w:szCs w:val="24"/>
        </w:rPr>
        <w:t>poważnych</w:t>
      </w:r>
      <w:r w:rsidR="001D3D7C" w:rsidRPr="00BF4514">
        <w:rPr>
          <w:rFonts w:ascii="Times New Roman" w:hAnsi="Times New Roman" w:cs="Times New Roman"/>
          <w:sz w:val="24"/>
          <w:szCs w:val="24"/>
        </w:rPr>
        <w:t xml:space="preserve"> </w:t>
      </w:r>
      <w:r w:rsidR="002A0D8C" w:rsidRPr="00BF4514">
        <w:rPr>
          <w:rFonts w:ascii="Times New Roman" w:hAnsi="Times New Roman" w:cs="Times New Roman"/>
          <w:sz w:val="24"/>
          <w:szCs w:val="24"/>
        </w:rPr>
        <w:t>sposobów ograniczania lub tłumienia debaty publicznej</w:t>
      </w:r>
      <w:r w:rsidR="001D3D7C" w:rsidRPr="00BF4514">
        <w:rPr>
          <w:rFonts w:ascii="Times New Roman" w:hAnsi="Times New Roman" w:cs="Times New Roman"/>
          <w:sz w:val="24"/>
          <w:szCs w:val="24"/>
        </w:rPr>
        <w:t xml:space="preserve"> i w tym kontekście wymagane było </w:t>
      </w:r>
      <w:r w:rsidR="009607AC" w:rsidRPr="00BF4514">
        <w:rPr>
          <w:rFonts w:ascii="Times New Roman" w:hAnsi="Times New Roman" w:cs="Times New Roman"/>
          <w:sz w:val="24"/>
          <w:szCs w:val="24"/>
        </w:rPr>
        <w:t xml:space="preserve">jasne wskazanie, że przepis art. </w:t>
      </w:r>
      <w:r w:rsidR="007777EB" w:rsidRPr="00BF4514">
        <w:rPr>
          <w:rFonts w:ascii="Times New Roman" w:hAnsi="Times New Roman" w:cs="Times New Roman"/>
          <w:sz w:val="24"/>
          <w:szCs w:val="24"/>
        </w:rPr>
        <w:t>191</w:t>
      </w:r>
      <w:r w:rsidR="007777EB" w:rsidRPr="00BF4514">
        <w:rPr>
          <w:rFonts w:ascii="Times New Roman" w:hAnsi="Times New Roman" w:cs="Times New Roman"/>
          <w:sz w:val="24"/>
          <w:szCs w:val="24"/>
          <w:vertAlign w:val="superscript"/>
        </w:rPr>
        <w:t>1</w:t>
      </w:r>
      <w:r w:rsidR="007777EB" w:rsidRPr="00BF4514">
        <w:rPr>
          <w:rFonts w:ascii="Times New Roman" w:hAnsi="Times New Roman" w:cs="Times New Roman"/>
          <w:sz w:val="24"/>
          <w:szCs w:val="24"/>
        </w:rPr>
        <w:t xml:space="preserve"> KPC </w:t>
      </w:r>
      <w:r w:rsidR="009607AC" w:rsidRPr="00BF4514">
        <w:rPr>
          <w:rFonts w:ascii="Times New Roman" w:hAnsi="Times New Roman" w:cs="Times New Roman"/>
          <w:sz w:val="24"/>
          <w:szCs w:val="24"/>
        </w:rPr>
        <w:t>może mieć</w:t>
      </w:r>
      <w:r w:rsidR="003763DD" w:rsidRPr="00BF4514">
        <w:rPr>
          <w:rFonts w:ascii="Times New Roman" w:hAnsi="Times New Roman" w:cs="Times New Roman"/>
          <w:sz w:val="24"/>
          <w:szCs w:val="24"/>
        </w:rPr>
        <w:t xml:space="preserve"> w tych </w:t>
      </w:r>
      <w:r w:rsidR="0006022E" w:rsidRPr="00BF4514">
        <w:rPr>
          <w:rFonts w:ascii="Times New Roman" w:hAnsi="Times New Roman" w:cs="Times New Roman"/>
          <w:sz w:val="24"/>
          <w:szCs w:val="24"/>
        </w:rPr>
        <w:t>przypadkach</w:t>
      </w:r>
      <w:r w:rsidR="009607AC" w:rsidRPr="00BF4514">
        <w:rPr>
          <w:rFonts w:ascii="Times New Roman" w:hAnsi="Times New Roman" w:cs="Times New Roman"/>
          <w:sz w:val="24"/>
          <w:szCs w:val="24"/>
        </w:rPr>
        <w:t xml:space="preserve"> zastosowanie</w:t>
      </w:r>
      <w:r w:rsidR="003763DD" w:rsidRPr="00BF4514">
        <w:rPr>
          <w:rFonts w:ascii="Times New Roman" w:hAnsi="Times New Roman" w:cs="Times New Roman"/>
          <w:sz w:val="24"/>
          <w:szCs w:val="24"/>
        </w:rPr>
        <w:t>, z</w:t>
      </w:r>
      <w:r w:rsidR="009607AC" w:rsidRPr="00BF4514">
        <w:rPr>
          <w:rFonts w:ascii="Times New Roman" w:hAnsi="Times New Roman" w:cs="Times New Roman"/>
          <w:sz w:val="24"/>
          <w:szCs w:val="24"/>
        </w:rPr>
        <w:t xml:space="preserve">właszcza że </w:t>
      </w:r>
      <w:r w:rsidR="003763DD" w:rsidRPr="00BF4514">
        <w:rPr>
          <w:rFonts w:ascii="Times New Roman" w:hAnsi="Times New Roman" w:cs="Times New Roman"/>
          <w:sz w:val="24"/>
          <w:szCs w:val="24"/>
        </w:rPr>
        <w:t xml:space="preserve">prezentowane </w:t>
      </w:r>
      <w:r w:rsidR="009607AC" w:rsidRPr="00BF4514">
        <w:rPr>
          <w:rFonts w:ascii="Times New Roman" w:hAnsi="Times New Roman" w:cs="Times New Roman"/>
          <w:sz w:val="24"/>
          <w:szCs w:val="24"/>
        </w:rPr>
        <w:t xml:space="preserve">były </w:t>
      </w:r>
      <w:r w:rsidRPr="00BF4514">
        <w:rPr>
          <w:rFonts w:ascii="Times New Roman" w:hAnsi="Times New Roman" w:cs="Times New Roman"/>
          <w:sz w:val="24"/>
          <w:szCs w:val="24"/>
        </w:rPr>
        <w:t>odmienne</w:t>
      </w:r>
      <w:r w:rsidR="009607AC" w:rsidRPr="00BF4514">
        <w:rPr>
          <w:rFonts w:ascii="Times New Roman" w:hAnsi="Times New Roman" w:cs="Times New Roman"/>
          <w:sz w:val="24"/>
          <w:szCs w:val="24"/>
        </w:rPr>
        <w:t xml:space="preserve"> </w:t>
      </w:r>
      <w:r w:rsidR="003763DD" w:rsidRPr="00BF4514">
        <w:rPr>
          <w:rFonts w:ascii="Times New Roman" w:hAnsi="Times New Roman" w:cs="Times New Roman"/>
          <w:sz w:val="24"/>
          <w:szCs w:val="24"/>
        </w:rPr>
        <w:t xml:space="preserve">poglądy </w:t>
      </w:r>
      <w:r w:rsidR="00693E6C" w:rsidRPr="00BF4514">
        <w:rPr>
          <w:rFonts w:ascii="Times New Roman" w:hAnsi="Times New Roman" w:cs="Times New Roman"/>
          <w:sz w:val="24"/>
          <w:szCs w:val="24"/>
        </w:rPr>
        <w:t xml:space="preserve">co do zakresu stosowania tej instytucji. </w:t>
      </w:r>
      <w:r w:rsidR="00567FAD" w:rsidRPr="00BF4514">
        <w:rPr>
          <w:rFonts w:ascii="Times New Roman" w:hAnsi="Times New Roman" w:cs="Times New Roman"/>
          <w:sz w:val="24"/>
          <w:szCs w:val="24"/>
        </w:rPr>
        <w:t xml:space="preserve">Projekt ustawy to jasno przesądza i nakazuje odpowiednio </w:t>
      </w:r>
      <w:r w:rsidRPr="00BF4514">
        <w:rPr>
          <w:rFonts w:ascii="Times New Roman" w:hAnsi="Times New Roman" w:cs="Times New Roman"/>
          <w:sz w:val="24"/>
          <w:szCs w:val="24"/>
        </w:rPr>
        <w:t>przepisy</w:t>
      </w:r>
      <w:r w:rsidR="00567FAD" w:rsidRPr="00BF4514">
        <w:rPr>
          <w:rFonts w:ascii="Times New Roman" w:hAnsi="Times New Roman" w:cs="Times New Roman"/>
          <w:sz w:val="24"/>
          <w:szCs w:val="24"/>
        </w:rPr>
        <w:t xml:space="preserve"> </w:t>
      </w:r>
      <w:r w:rsidRPr="00BF4514">
        <w:rPr>
          <w:rFonts w:ascii="Times New Roman" w:hAnsi="Times New Roman" w:cs="Times New Roman"/>
          <w:sz w:val="24"/>
          <w:szCs w:val="24"/>
        </w:rPr>
        <w:t>stosować</w:t>
      </w:r>
      <w:r w:rsidR="0065157A" w:rsidRPr="00BF4514">
        <w:rPr>
          <w:rFonts w:ascii="Times New Roman" w:hAnsi="Times New Roman" w:cs="Times New Roman"/>
          <w:sz w:val="24"/>
          <w:szCs w:val="24"/>
        </w:rPr>
        <w:t xml:space="preserve">. </w:t>
      </w:r>
    </w:p>
    <w:p w14:paraId="2F89864E" w14:textId="7364E233" w:rsidR="0065157A" w:rsidRPr="00BF4514" w:rsidRDefault="00487616"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Podkreślenia wymaga, że </w:t>
      </w:r>
      <w:r w:rsidR="003763DD" w:rsidRPr="00BF4514">
        <w:rPr>
          <w:rFonts w:ascii="Times New Roman" w:hAnsi="Times New Roman" w:cs="Times New Roman"/>
          <w:sz w:val="24"/>
          <w:szCs w:val="24"/>
        </w:rPr>
        <w:t>„</w:t>
      </w:r>
      <w:r w:rsidR="009D3DA1" w:rsidRPr="00BF4514">
        <w:rPr>
          <w:rFonts w:ascii="Times New Roman" w:hAnsi="Times New Roman" w:cs="Times New Roman"/>
          <w:sz w:val="24"/>
          <w:szCs w:val="24"/>
        </w:rPr>
        <w:t>bezzasadność</w:t>
      </w:r>
      <w:r w:rsidR="003763DD" w:rsidRPr="00BF4514">
        <w:rPr>
          <w:rFonts w:ascii="Times New Roman" w:hAnsi="Times New Roman" w:cs="Times New Roman"/>
          <w:sz w:val="24"/>
          <w:szCs w:val="24"/>
        </w:rPr>
        <w:t>”</w:t>
      </w:r>
      <w:r w:rsidRPr="00BF4514">
        <w:rPr>
          <w:rFonts w:ascii="Times New Roman" w:hAnsi="Times New Roman" w:cs="Times New Roman"/>
          <w:sz w:val="24"/>
          <w:szCs w:val="24"/>
        </w:rPr>
        <w:t xml:space="preserve"> musi być oceniana w kontekście nie tylko samego sformułowan</w:t>
      </w:r>
      <w:r w:rsidR="00387F21" w:rsidRPr="00BF4514">
        <w:rPr>
          <w:rFonts w:ascii="Times New Roman" w:hAnsi="Times New Roman" w:cs="Times New Roman"/>
          <w:sz w:val="24"/>
          <w:szCs w:val="24"/>
        </w:rPr>
        <w:t xml:space="preserve">ia </w:t>
      </w:r>
      <w:r w:rsidRPr="00BF4514">
        <w:rPr>
          <w:rFonts w:ascii="Times New Roman" w:hAnsi="Times New Roman" w:cs="Times New Roman"/>
          <w:sz w:val="24"/>
          <w:szCs w:val="24"/>
        </w:rPr>
        <w:t xml:space="preserve">roszczenia, ale </w:t>
      </w:r>
      <w:r w:rsidR="003763DD" w:rsidRPr="00BF4514">
        <w:rPr>
          <w:rFonts w:ascii="Times New Roman" w:hAnsi="Times New Roman" w:cs="Times New Roman"/>
          <w:sz w:val="24"/>
          <w:szCs w:val="24"/>
        </w:rPr>
        <w:t xml:space="preserve">powinna </w:t>
      </w:r>
      <w:r w:rsidRPr="00BF4514">
        <w:rPr>
          <w:rFonts w:ascii="Times New Roman" w:hAnsi="Times New Roman" w:cs="Times New Roman"/>
          <w:sz w:val="24"/>
          <w:szCs w:val="24"/>
        </w:rPr>
        <w:t xml:space="preserve">być </w:t>
      </w:r>
      <w:r w:rsidR="009D3DA1" w:rsidRPr="00BF4514">
        <w:rPr>
          <w:rFonts w:ascii="Times New Roman" w:hAnsi="Times New Roman" w:cs="Times New Roman"/>
          <w:sz w:val="24"/>
          <w:szCs w:val="24"/>
        </w:rPr>
        <w:t>rozpatrywana</w:t>
      </w:r>
      <w:r w:rsidR="00307530" w:rsidRPr="00BF4514">
        <w:rPr>
          <w:rFonts w:ascii="Times New Roman" w:hAnsi="Times New Roman" w:cs="Times New Roman"/>
          <w:sz w:val="24"/>
          <w:szCs w:val="24"/>
        </w:rPr>
        <w:t xml:space="preserve"> w kontekście całości pozwu i załączników złożonych przez powoda, a</w:t>
      </w:r>
      <w:r w:rsidR="0006022E" w:rsidRPr="00BF4514">
        <w:rPr>
          <w:rFonts w:ascii="Times New Roman" w:hAnsi="Times New Roman" w:cs="Times New Roman"/>
          <w:sz w:val="24"/>
          <w:szCs w:val="24"/>
        </w:rPr>
        <w:t xml:space="preserve"> </w:t>
      </w:r>
      <w:r w:rsidR="00307530" w:rsidRPr="00BF4514">
        <w:rPr>
          <w:rFonts w:ascii="Times New Roman" w:hAnsi="Times New Roman" w:cs="Times New Roman"/>
          <w:sz w:val="24"/>
          <w:szCs w:val="24"/>
        </w:rPr>
        <w:t xml:space="preserve">także i </w:t>
      </w:r>
      <w:r w:rsidR="009D3DA1" w:rsidRPr="00BF4514">
        <w:rPr>
          <w:rFonts w:ascii="Times New Roman" w:hAnsi="Times New Roman" w:cs="Times New Roman"/>
          <w:sz w:val="24"/>
          <w:szCs w:val="24"/>
        </w:rPr>
        <w:t>okoliczności</w:t>
      </w:r>
      <w:r w:rsidR="00307530" w:rsidRPr="00BF4514">
        <w:rPr>
          <w:rFonts w:ascii="Times New Roman" w:hAnsi="Times New Roman" w:cs="Times New Roman"/>
          <w:sz w:val="24"/>
          <w:szCs w:val="24"/>
        </w:rPr>
        <w:t xml:space="preserve"> towarzyszących.</w:t>
      </w:r>
      <w:r w:rsidR="0006022E" w:rsidRPr="00BF4514">
        <w:rPr>
          <w:rFonts w:ascii="Times New Roman" w:hAnsi="Times New Roman" w:cs="Times New Roman"/>
          <w:sz w:val="24"/>
          <w:szCs w:val="24"/>
        </w:rPr>
        <w:t xml:space="preserve"> </w:t>
      </w:r>
      <w:r w:rsidR="00F427D9" w:rsidRPr="00BF4514">
        <w:rPr>
          <w:rFonts w:ascii="Times New Roman" w:hAnsi="Times New Roman" w:cs="Times New Roman"/>
          <w:sz w:val="24"/>
          <w:szCs w:val="24"/>
        </w:rPr>
        <w:t>Trzeba więc uznać,</w:t>
      </w:r>
      <w:r w:rsidR="00307530" w:rsidRPr="00BF4514">
        <w:rPr>
          <w:rFonts w:ascii="Times New Roman" w:hAnsi="Times New Roman" w:cs="Times New Roman"/>
          <w:sz w:val="24"/>
          <w:szCs w:val="24"/>
        </w:rPr>
        <w:t xml:space="preserve"> </w:t>
      </w:r>
      <w:r w:rsidR="00693E6C" w:rsidRPr="00BF4514">
        <w:rPr>
          <w:rFonts w:ascii="Times New Roman" w:hAnsi="Times New Roman" w:cs="Times New Roman"/>
          <w:sz w:val="24"/>
          <w:szCs w:val="24"/>
        </w:rPr>
        <w:t>ż</w:t>
      </w:r>
      <w:r w:rsidR="005C659D" w:rsidRPr="00BF4514">
        <w:rPr>
          <w:rFonts w:ascii="Times New Roman" w:hAnsi="Times New Roman" w:cs="Times New Roman"/>
          <w:sz w:val="24"/>
          <w:szCs w:val="24"/>
        </w:rPr>
        <w:t xml:space="preserve">e </w:t>
      </w:r>
      <w:r w:rsidR="009D3DA1" w:rsidRPr="00BF4514">
        <w:rPr>
          <w:rFonts w:ascii="Times New Roman" w:hAnsi="Times New Roman" w:cs="Times New Roman"/>
          <w:sz w:val="24"/>
          <w:szCs w:val="24"/>
        </w:rPr>
        <w:t>uzasadnieniem</w:t>
      </w:r>
      <w:r w:rsidR="005C659D" w:rsidRPr="00BF4514">
        <w:rPr>
          <w:rFonts w:ascii="Times New Roman" w:hAnsi="Times New Roman" w:cs="Times New Roman"/>
          <w:sz w:val="24"/>
          <w:szCs w:val="24"/>
        </w:rPr>
        <w:t xml:space="preserve"> d</w:t>
      </w:r>
      <w:r w:rsidR="00562FF9">
        <w:rPr>
          <w:rFonts w:ascii="Times New Roman" w:hAnsi="Times New Roman" w:cs="Times New Roman"/>
          <w:sz w:val="24"/>
          <w:szCs w:val="24"/>
        </w:rPr>
        <w:t>o</w:t>
      </w:r>
      <w:r w:rsidR="005C659D" w:rsidRPr="00BF4514">
        <w:rPr>
          <w:rFonts w:ascii="Times New Roman" w:hAnsi="Times New Roman" w:cs="Times New Roman"/>
          <w:sz w:val="24"/>
          <w:szCs w:val="24"/>
        </w:rPr>
        <w:t xml:space="preserve"> stosowania tego przepisu </w:t>
      </w:r>
      <w:r w:rsidR="009D3DA1" w:rsidRPr="00BF4514">
        <w:rPr>
          <w:rFonts w:ascii="Times New Roman" w:hAnsi="Times New Roman" w:cs="Times New Roman"/>
          <w:sz w:val="24"/>
          <w:szCs w:val="24"/>
        </w:rPr>
        <w:t>będzie</w:t>
      </w:r>
      <w:r w:rsidR="005C659D" w:rsidRPr="00BF4514">
        <w:rPr>
          <w:rFonts w:ascii="Times New Roman" w:hAnsi="Times New Roman" w:cs="Times New Roman"/>
          <w:sz w:val="24"/>
          <w:szCs w:val="24"/>
        </w:rPr>
        <w:t xml:space="preserve"> nie tylko sformułowanie roszczeń nieznanych polskiemu prawu, ale także </w:t>
      </w:r>
      <w:r w:rsidR="009D3DA1" w:rsidRPr="00BF4514">
        <w:rPr>
          <w:rFonts w:ascii="Times New Roman" w:hAnsi="Times New Roman" w:cs="Times New Roman"/>
          <w:sz w:val="24"/>
          <w:szCs w:val="24"/>
        </w:rPr>
        <w:t>niemożliwość</w:t>
      </w:r>
      <w:r w:rsidR="005C659D" w:rsidRPr="00BF4514">
        <w:rPr>
          <w:rFonts w:ascii="Times New Roman" w:hAnsi="Times New Roman" w:cs="Times New Roman"/>
          <w:sz w:val="24"/>
          <w:szCs w:val="24"/>
        </w:rPr>
        <w:t xml:space="preserve"> </w:t>
      </w:r>
      <w:r w:rsidR="009D3DA1" w:rsidRPr="00BF4514">
        <w:rPr>
          <w:rFonts w:ascii="Times New Roman" w:hAnsi="Times New Roman" w:cs="Times New Roman"/>
          <w:sz w:val="24"/>
          <w:szCs w:val="24"/>
        </w:rPr>
        <w:t xml:space="preserve">zastosowania </w:t>
      </w:r>
      <w:r w:rsidR="005C659D" w:rsidRPr="00BF4514">
        <w:rPr>
          <w:rFonts w:ascii="Times New Roman" w:hAnsi="Times New Roman" w:cs="Times New Roman"/>
          <w:sz w:val="24"/>
          <w:szCs w:val="24"/>
        </w:rPr>
        <w:t xml:space="preserve">wskazanych przepisów i roszczeń przy </w:t>
      </w:r>
      <w:r w:rsidR="009D3DA1" w:rsidRPr="00BF4514">
        <w:rPr>
          <w:rFonts w:ascii="Times New Roman" w:hAnsi="Times New Roman" w:cs="Times New Roman"/>
          <w:sz w:val="24"/>
          <w:szCs w:val="24"/>
        </w:rPr>
        <w:t>wskazanym</w:t>
      </w:r>
      <w:r w:rsidR="005C659D" w:rsidRPr="00BF4514">
        <w:rPr>
          <w:rFonts w:ascii="Times New Roman" w:hAnsi="Times New Roman" w:cs="Times New Roman"/>
          <w:sz w:val="24"/>
          <w:szCs w:val="24"/>
        </w:rPr>
        <w:t xml:space="preserve"> stanie faktycznym. </w:t>
      </w:r>
    </w:p>
    <w:p w14:paraId="4C22EAD9" w14:textId="0046B2D2" w:rsidR="0084221F" w:rsidRPr="00BF4514" w:rsidRDefault="00B63DA0"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Przepis art. 7 </w:t>
      </w:r>
      <w:r w:rsidR="00693E6C" w:rsidRPr="00BF4514">
        <w:rPr>
          <w:rFonts w:ascii="Times New Roman" w:hAnsi="Times New Roman" w:cs="Times New Roman"/>
          <w:sz w:val="24"/>
          <w:szCs w:val="24"/>
        </w:rPr>
        <w:t>wskazuje</w:t>
      </w:r>
      <w:r w:rsidRPr="00BF4514">
        <w:rPr>
          <w:rFonts w:ascii="Times New Roman" w:hAnsi="Times New Roman" w:cs="Times New Roman"/>
          <w:sz w:val="24"/>
          <w:szCs w:val="24"/>
        </w:rPr>
        <w:t xml:space="preserve"> na </w:t>
      </w:r>
      <w:r w:rsidR="00693E6C" w:rsidRPr="00BF4514">
        <w:rPr>
          <w:rFonts w:ascii="Times New Roman" w:hAnsi="Times New Roman" w:cs="Times New Roman"/>
          <w:sz w:val="24"/>
          <w:szCs w:val="24"/>
        </w:rPr>
        <w:t>odpowiednie</w:t>
      </w:r>
      <w:r w:rsidRPr="00BF4514">
        <w:rPr>
          <w:rFonts w:ascii="Times New Roman" w:hAnsi="Times New Roman" w:cs="Times New Roman"/>
          <w:sz w:val="24"/>
          <w:szCs w:val="24"/>
        </w:rPr>
        <w:t xml:space="preserve"> </w:t>
      </w:r>
      <w:r w:rsidR="00693E6C" w:rsidRPr="00BF4514">
        <w:rPr>
          <w:rFonts w:ascii="Times New Roman" w:hAnsi="Times New Roman" w:cs="Times New Roman"/>
          <w:sz w:val="24"/>
          <w:szCs w:val="24"/>
        </w:rPr>
        <w:t>stosowanie</w:t>
      </w:r>
      <w:r w:rsidRPr="00BF4514">
        <w:rPr>
          <w:rFonts w:ascii="Times New Roman" w:hAnsi="Times New Roman" w:cs="Times New Roman"/>
          <w:sz w:val="24"/>
          <w:szCs w:val="24"/>
        </w:rPr>
        <w:t xml:space="preserve"> przepisów art. </w:t>
      </w:r>
      <w:r w:rsidR="007777EB" w:rsidRPr="00BF4514">
        <w:rPr>
          <w:rFonts w:ascii="Times New Roman" w:hAnsi="Times New Roman" w:cs="Times New Roman"/>
          <w:sz w:val="24"/>
          <w:szCs w:val="24"/>
        </w:rPr>
        <w:t>191</w:t>
      </w:r>
      <w:r w:rsidR="007777EB" w:rsidRPr="00BF4514">
        <w:rPr>
          <w:rFonts w:ascii="Times New Roman" w:hAnsi="Times New Roman" w:cs="Times New Roman"/>
          <w:sz w:val="24"/>
          <w:szCs w:val="24"/>
          <w:vertAlign w:val="superscript"/>
        </w:rPr>
        <w:t>1</w:t>
      </w:r>
      <w:r w:rsidR="007777EB" w:rsidRPr="00BF4514">
        <w:rPr>
          <w:rFonts w:ascii="Times New Roman" w:hAnsi="Times New Roman" w:cs="Times New Roman"/>
          <w:sz w:val="24"/>
          <w:szCs w:val="24"/>
        </w:rPr>
        <w:t xml:space="preserve"> KPC</w:t>
      </w:r>
      <w:r w:rsidRPr="00BF4514">
        <w:rPr>
          <w:rFonts w:ascii="Times New Roman" w:hAnsi="Times New Roman" w:cs="Times New Roman"/>
          <w:sz w:val="24"/>
          <w:szCs w:val="24"/>
        </w:rPr>
        <w:t xml:space="preserve">. Tym samym </w:t>
      </w:r>
      <w:r w:rsidR="00693E6C" w:rsidRPr="00BF4514">
        <w:rPr>
          <w:rFonts w:ascii="Times New Roman" w:hAnsi="Times New Roman" w:cs="Times New Roman"/>
          <w:sz w:val="24"/>
          <w:szCs w:val="24"/>
        </w:rPr>
        <w:t>konieczne</w:t>
      </w:r>
      <w:r w:rsidRPr="00BF4514">
        <w:rPr>
          <w:rFonts w:ascii="Times New Roman" w:hAnsi="Times New Roman" w:cs="Times New Roman"/>
          <w:sz w:val="24"/>
          <w:szCs w:val="24"/>
        </w:rPr>
        <w:t xml:space="preserve"> jest podkreślenie, że paragraf 4 tegoż przepisu musi być </w:t>
      </w:r>
      <w:r w:rsidR="00693E6C" w:rsidRPr="00BF4514">
        <w:rPr>
          <w:rFonts w:ascii="Times New Roman" w:hAnsi="Times New Roman" w:cs="Times New Roman"/>
          <w:sz w:val="24"/>
          <w:szCs w:val="24"/>
        </w:rPr>
        <w:t>stosowany</w:t>
      </w:r>
      <w:r w:rsidR="00ED4C2B" w:rsidRPr="00BF4514">
        <w:rPr>
          <w:rFonts w:ascii="Times New Roman" w:hAnsi="Times New Roman" w:cs="Times New Roman"/>
          <w:sz w:val="24"/>
          <w:szCs w:val="24"/>
        </w:rPr>
        <w:t xml:space="preserve"> szerzej, tj</w:t>
      </w:r>
      <w:r w:rsidR="00C45E57" w:rsidRPr="00BF4514">
        <w:rPr>
          <w:rFonts w:ascii="Times New Roman" w:hAnsi="Times New Roman" w:cs="Times New Roman"/>
          <w:sz w:val="24"/>
          <w:szCs w:val="24"/>
        </w:rPr>
        <w:t>.</w:t>
      </w:r>
      <w:r w:rsidR="00ED4C2B" w:rsidRPr="00BF4514">
        <w:rPr>
          <w:rFonts w:ascii="Times New Roman" w:hAnsi="Times New Roman" w:cs="Times New Roman"/>
          <w:sz w:val="24"/>
          <w:szCs w:val="24"/>
        </w:rPr>
        <w:t xml:space="preserve"> sąd w </w:t>
      </w:r>
      <w:r w:rsidR="00693E6C" w:rsidRPr="00BF4514">
        <w:rPr>
          <w:rFonts w:ascii="Times New Roman" w:hAnsi="Times New Roman" w:cs="Times New Roman"/>
          <w:sz w:val="24"/>
          <w:szCs w:val="24"/>
        </w:rPr>
        <w:t>uzasadnieniu</w:t>
      </w:r>
      <w:r w:rsidR="00ED4C2B" w:rsidRPr="00BF4514">
        <w:rPr>
          <w:rFonts w:ascii="Times New Roman" w:hAnsi="Times New Roman" w:cs="Times New Roman"/>
          <w:sz w:val="24"/>
          <w:szCs w:val="24"/>
        </w:rPr>
        <w:t xml:space="preserve"> musi </w:t>
      </w:r>
      <w:r w:rsidR="00693E6C" w:rsidRPr="00BF4514">
        <w:rPr>
          <w:rFonts w:ascii="Times New Roman" w:hAnsi="Times New Roman" w:cs="Times New Roman"/>
          <w:sz w:val="24"/>
          <w:szCs w:val="24"/>
        </w:rPr>
        <w:t>wskazać</w:t>
      </w:r>
      <w:r w:rsidR="00ED4C2B" w:rsidRPr="00BF4514">
        <w:rPr>
          <w:rFonts w:ascii="Times New Roman" w:hAnsi="Times New Roman" w:cs="Times New Roman"/>
          <w:sz w:val="24"/>
          <w:szCs w:val="24"/>
        </w:rPr>
        <w:t xml:space="preserve"> na wszystkie wymagane elementy </w:t>
      </w:r>
      <w:r w:rsidR="00693E6C" w:rsidRPr="00BF4514">
        <w:rPr>
          <w:rFonts w:ascii="Times New Roman" w:hAnsi="Times New Roman" w:cs="Times New Roman"/>
          <w:sz w:val="24"/>
          <w:szCs w:val="24"/>
        </w:rPr>
        <w:t>uzasadnienia</w:t>
      </w:r>
      <w:r w:rsidR="00ED4C2B" w:rsidRPr="00BF4514">
        <w:rPr>
          <w:rFonts w:ascii="Times New Roman" w:hAnsi="Times New Roman" w:cs="Times New Roman"/>
          <w:sz w:val="24"/>
          <w:szCs w:val="24"/>
        </w:rPr>
        <w:t xml:space="preserve"> wyroku, oczywiście ze szczególnym </w:t>
      </w:r>
      <w:r w:rsidR="00693E6C" w:rsidRPr="00BF4514">
        <w:rPr>
          <w:rFonts w:ascii="Times New Roman" w:hAnsi="Times New Roman" w:cs="Times New Roman"/>
          <w:sz w:val="24"/>
          <w:szCs w:val="24"/>
        </w:rPr>
        <w:t>uwzględnieniem</w:t>
      </w:r>
      <w:r w:rsidR="00ED4C2B" w:rsidRPr="00BF4514">
        <w:rPr>
          <w:rFonts w:ascii="Times New Roman" w:hAnsi="Times New Roman" w:cs="Times New Roman"/>
          <w:sz w:val="24"/>
          <w:szCs w:val="24"/>
        </w:rPr>
        <w:t xml:space="preserve"> odniesienia </w:t>
      </w:r>
      <w:r w:rsidR="00693E6C" w:rsidRPr="00BF4514">
        <w:rPr>
          <w:rFonts w:ascii="Times New Roman" w:hAnsi="Times New Roman" w:cs="Times New Roman"/>
          <w:sz w:val="24"/>
          <w:szCs w:val="24"/>
        </w:rPr>
        <w:t>się</w:t>
      </w:r>
      <w:r w:rsidR="00ED4C2B" w:rsidRPr="00BF4514">
        <w:rPr>
          <w:rFonts w:ascii="Times New Roman" w:hAnsi="Times New Roman" w:cs="Times New Roman"/>
          <w:sz w:val="24"/>
          <w:szCs w:val="24"/>
        </w:rPr>
        <w:t xml:space="preserve"> do </w:t>
      </w:r>
      <w:r w:rsidR="00693E6C" w:rsidRPr="00BF4514">
        <w:rPr>
          <w:rFonts w:ascii="Times New Roman" w:hAnsi="Times New Roman" w:cs="Times New Roman"/>
          <w:sz w:val="24"/>
          <w:szCs w:val="24"/>
        </w:rPr>
        <w:t>oczywistej</w:t>
      </w:r>
      <w:r w:rsidR="00ED4C2B" w:rsidRPr="00BF4514">
        <w:rPr>
          <w:rFonts w:ascii="Times New Roman" w:hAnsi="Times New Roman" w:cs="Times New Roman"/>
          <w:sz w:val="24"/>
          <w:szCs w:val="24"/>
        </w:rPr>
        <w:t xml:space="preserve"> bezzasadności.</w:t>
      </w:r>
      <w:r w:rsidR="00AB39D7">
        <w:rPr>
          <w:rFonts w:ascii="Times New Roman" w:hAnsi="Times New Roman" w:cs="Times New Roman"/>
          <w:sz w:val="24"/>
          <w:szCs w:val="24"/>
        </w:rPr>
        <w:t xml:space="preserve"> </w:t>
      </w:r>
    </w:p>
    <w:p w14:paraId="65895049" w14:textId="4BF7AC8A" w:rsidR="00FE37B8" w:rsidRPr="00BF4514" w:rsidRDefault="005306C8"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lastRenderedPageBreak/>
        <w:t xml:space="preserve">Art. 8 </w:t>
      </w:r>
      <w:r w:rsidR="00C276B0" w:rsidRPr="00BF4514">
        <w:rPr>
          <w:rFonts w:ascii="Times New Roman" w:hAnsi="Times New Roman" w:cs="Times New Roman"/>
          <w:sz w:val="24"/>
          <w:szCs w:val="24"/>
        </w:rPr>
        <w:t xml:space="preserve">Proponowany przepis jest związany z regulacją przedstawioną w art. 7. </w:t>
      </w:r>
      <w:r w:rsidR="00BD3B5D" w:rsidRPr="00BF4514">
        <w:rPr>
          <w:rFonts w:ascii="Times New Roman" w:hAnsi="Times New Roman" w:cs="Times New Roman"/>
          <w:sz w:val="24"/>
          <w:szCs w:val="24"/>
        </w:rPr>
        <w:t xml:space="preserve">Przepis </w:t>
      </w:r>
      <w:r w:rsidR="004A6C18" w:rsidRPr="00BF4514">
        <w:rPr>
          <w:rFonts w:ascii="Times New Roman" w:hAnsi="Times New Roman" w:cs="Times New Roman"/>
          <w:sz w:val="24"/>
          <w:szCs w:val="24"/>
        </w:rPr>
        <w:t>gwarantuje</w:t>
      </w:r>
      <w:r w:rsidR="00FE37B8" w:rsidRPr="00BF4514">
        <w:rPr>
          <w:rFonts w:ascii="Times New Roman" w:hAnsi="Times New Roman" w:cs="Times New Roman"/>
          <w:sz w:val="24"/>
          <w:szCs w:val="24"/>
        </w:rPr>
        <w:t xml:space="preserve"> powodowi dodatk</w:t>
      </w:r>
      <w:r w:rsidR="004A6C18" w:rsidRPr="00BF4514">
        <w:rPr>
          <w:rFonts w:ascii="Times New Roman" w:hAnsi="Times New Roman" w:cs="Times New Roman"/>
          <w:sz w:val="24"/>
          <w:szCs w:val="24"/>
        </w:rPr>
        <w:t>owy</w:t>
      </w:r>
      <w:r w:rsidR="00163755" w:rsidRPr="00BF4514">
        <w:rPr>
          <w:rFonts w:ascii="Times New Roman" w:hAnsi="Times New Roman" w:cs="Times New Roman"/>
          <w:sz w:val="24"/>
          <w:szCs w:val="24"/>
        </w:rPr>
        <w:t xml:space="preserve"> </w:t>
      </w:r>
      <w:r w:rsidR="00FE37B8" w:rsidRPr="00BF4514">
        <w:rPr>
          <w:rFonts w:ascii="Times New Roman" w:hAnsi="Times New Roman" w:cs="Times New Roman"/>
          <w:sz w:val="24"/>
          <w:szCs w:val="24"/>
        </w:rPr>
        <w:t>termin na ustosunkowanie się do stanowiska wskazanego we wniosku pozwanego</w:t>
      </w:r>
      <w:r w:rsidR="00665396" w:rsidRPr="00BF4514">
        <w:rPr>
          <w:rFonts w:ascii="Times New Roman" w:hAnsi="Times New Roman" w:cs="Times New Roman"/>
          <w:sz w:val="24"/>
          <w:szCs w:val="24"/>
        </w:rPr>
        <w:t xml:space="preserve">, co </w:t>
      </w:r>
      <w:r w:rsidR="00FE37B8" w:rsidRPr="00BF4514">
        <w:rPr>
          <w:rFonts w:ascii="Times New Roman" w:hAnsi="Times New Roman" w:cs="Times New Roman"/>
          <w:sz w:val="24"/>
          <w:szCs w:val="24"/>
        </w:rPr>
        <w:t xml:space="preserve">stanowi istotny element realizacji zasady równości stron procesu. </w:t>
      </w:r>
      <w:r w:rsidR="00A942BA" w:rsidRPr="00BF4514">
        <w:rPr>
          <w:rFonts w:ascii="Times New Roman" w:hAnsi="Times New Roman" w:cs="Times New Roman"/>
          <w:sz w:val="24"/>
          <w:szCs w:val="24"/>
        </w:rPr>
        <w:t>Dodatkowy termin</w:t>
      </w:r>
      <w:r w:rsidR="00FE37B8" w:rsidRPr="00BF4514">
        <w:rPr>
          <w:rFonts w:ascii="Times New Roman" w:hAnsi="Times New Roman" w:cs="Times New Roman"/>
          <w:sz w:val="24"/>
          <w:szCs w:val="24"/>
        </w:rPr>
        <w:t xml:space="preserve"> ma na celu przeciwdziałanie ograniczaniu prawa do sądu, zapewniając powodowi adekwatny czas na przygotowanie stanowiska</w:t>
      </w:r>
      <w:r w:rsidR="009058F6" w:rsidRPr="00BF4514">
        <w:rPr>
          <w:rFonts w:ascii="Times New Roman" w:hAnsi="Times New Roman" w:cs="Times New Roman"/>
          <w:sz w:val="24"/>
          <w:szCs w:val="24"/>
        </w:rPr>
        <w:t xml:space="preserve"> </w:t>
      </w:r>
      <w:r w:rsidR="00FE37B8" w:rsidRPr="00BF4514">
        <w:rPr>
          <w:rFonts w:ascii="Times New Roman" w:hAnsi="Times New Roman" w:cs="Times New Roman"/>
          <w:sz w:val="24"/>
          <w:szCs w:val="24"/>
        </w:rPr>
        <w:t>oraz odniesienie się do argumentacji przedstawionej przez stronę przeciwną. Dzięki temu rozwiązaniu minimalizowane jest ryzyko</w:t>
      </w:r>
      <w:r w:rsidR="00AD4761" w:rsidRPr="00BF4514">
        <w:rPr>
          <w:rFonts w:ascii="Times New Roman" w:hAnsi="Times New Roman" w:cs="Times New Roman"/>
          <w:sz w:val="24"/>
          <w:szCs w:val="24"/>
        </w:rPr>
        <w:t xml:space="preserve"> naruszenia </w:t>
      </w:r>
      <w:r w:rsidR="00FE37B8" w:rsidRPr="00BF4514">
        <w:rPr>
          <w:rFonts w:ascii="Times New Roman" w:hAnsi="Times New Roman" w:cs="Times New Roman"/>
          <w:sz w:val="24"/>
          <w:szCs w:val="24"/>
        </w:rPr>
        <w:t>zasad</w:t>
      </w:r>
      <w:r w:rsidR="00AD4761" w:rsidRPr="00BF4514">
        <w:rPr>
          <w:rFonts w:ascii="Times New Roman" w:hAnsi="Times New Roman" w:cs="Times New Roman"/>
          <w:sz w:val="24"/>
          <w:szCs w:val="24"/>
        </w:rPr>
        <w:t>y</w:t>
      </w:r>
      <w:r w:rsidR="00FE37B8" w:rsidRPr="00BF4514">
        <w:rPr>
          <w:rFonts w:ascii="Times New Roman" w:hAnsi="Times New Roman" w:cs="Times New Roman"/>
          <w:sz w:val="24"/>
          <w:szCs w:val="24"/>
        </w:rPr>
        <w:t xml:space="preserve"> </w:t>
      </w:r>
      <w:r w:rsidR="00CA0D75" w:rsidRPr="00BF4514">
        <w:rPr>
          <w:rFonts w:ascii="Times New Roman" w:hAnsi="Times New Roman" w:cs="Times New Roman"/>
          <w:sz w:val="24"/>
          <w:szCs w:val="24"/>
        </w:rPr>
        <w:t>równości stron</w:t>
      </w:r>
      <w:r w:rsidR="00FE37B8" w:rsidRPr="00BF4514">
        <w:rPr>
          <w:rFonts w:ascii="Times New Roman" w:hAnsi="Times New Roman" w:cs="Times New Roman"/>
          <w:sz w:val="24"/>
          <w:szCs w:val="24"/>
        </w:rPr>
        <w:t>, co mogłoby prowadzić do faktycznego osłabienia pozycji powoda w sporze sądowym.</w:t>
      </w:r>
    </w:p>
    <w:p w14:paraId="69EB6F91" w14:textId="58C23DF9" w:rsidR="00405127" w:rsidRPr="00BF4514" w:rsidRDefault="0059798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Z</w:t>
      </w:r>
      <w:r w:rsidR="00E51625" w:rsidRPr="00BF4514">
        <w:rPr>
          <w:rFonts w:ascii="Times New Roman" w:hAnsi="Times New Roman" w:cs="Times New Roman"/>
          <w:sz w:val="24"/>
          <w:szCs w:val="24"/>
        </w:rPr>
        <w:t xml:space="preserve">obowiązanie przewodniczącego oraz sądu do podejmowania czynności tak, by oddalenie powództwa w razie jego oczywistej bezzasadności nastąpiło nie później niż </w:t>
      </w:r>
      <w:r w:rsidR="00BF1EB0" w:rsidRPr="00BF4514">
        <w:rPr>
          <w:rFonts w:ascii="Times New Roman" w:hAnsi="Times New Roman" w:cs="Times New Roman"/>
          <w:sz w:val="24"/>
          <w:szCs w:val="24"/>
        </w:rPr>
        <w:t>trzy</w:t>
      </w:r>
      <w:r w:rsidR="00AB39D7">
        <w:rPr>
          <w:rFonts w:ascii="Times New Roman" w:hAnsi="Times New Roman" w:cs="Times New Roman"/>
          <w:sz w:val="24"/>
          <w:szCs w:val="24"/>
        </w:rPr>
        <w:t xml:space="preserve"> </w:t>
      </w:r>
      <w:r w:rsidR="00E51625" w:rsidRPr="00BF4514">
        <w:rPr>
          <w:rFonts w:ascii="Times New Roman" w:hAnsi="Times New Roman" w:cs="Times New Roman"/>
          <w:sz w:val="24"/>
          <w:szCs w:val="24"/>
        </w:rPr>
        <w:t>miesi</w:t>
      </w:r>
      <w:r w:rsidR="00BF1EB0" w:rsidRPr="00BF4514">
        <w:rPr>
          <w:rFonts w:ascii="Times New Roman" w:hAnsi="Times New Roman" w:cs="Times New Roman"/>
          <w:sz w:val="24"/>
          <w:szCs w:val="24"/>
        </w:rPr>
        <w:t>ące</w:t>
      </w:r>
      <w:r w:rsidR="00AB39D7">
        <w:rPr>
          <w:rFonts w:ascii="Times New Roman" w:hAnsi="Times New Roman" w:cs="Times New Roman"/>
          <w:sz w:val="24"/>
          <w:szCs w:val="24"/>
        </w:rPr>
        <w:t xml:space="preserve"> </w:t>
      </w:r>
      <w:r w:rsidR="00E51625" w:rsidRPr="00BF4514">
        <w:rPr>
          <w:rFonts w:ascii="Times New Roman" w:hAnsi="Times New Roman" w:cs="Times New Roman"/>
          <w:sz w:val="24"/>
          <w:szCs w:val="24"/>
        </w:rPr>
        <w:t xml:space="preserve">od dnia wniesienia pozwu, a jeżeli wniosek o oddalenie powództwa jako oczywiście bezzasadnego złożył pozwany – nie później niż </w:t>
      </w:r>
      <w:r w:rsidR="0096420F" w:rsidRPr="00BF4514">
        <w:rPr>
          <w:rFonts w:ascii="Times New Roman" w:hAnsi="Times New Roman" w:cs="Times New Roman"/>
          <w:sz w:val="24"/>
          <w:szCs w:val="24"/>
        </w:rPr>
        <w:t>trzy</w:t>
      </w:r>
      <w:r w:rsidR="00AB39D7">
        <w:rPr>
          <w:rFonts w:ascii="Times New Roman" w:hAnsi="Times New Roman" w:cs="Times New Roman"/>
          <w:sz w:val="24"/>
          <w:szCs w:val="24"/>
        </w:rPr>
        <w:t xml:space="preserve"> </w:t>
      </w:r>
      <w:r w:rsidR="00E51625" w:rsidRPr="00BF4514">
        <w:rPr>
          <w:rFonts w:ascii="Times New Roman" w:hAnsi="Times New Roman" w:cs="Times New Roman"/>
          <w:sz w:val="24"/>
          <w:szCs w:val="24"/>
        </w:rPr>
        <w:t>miesi</w:t>
      </w:r>
      <w:r w:rsidR="0096420F" w:rsidRPr="00BF4514">
        <w:rPr>
          <w:rFonts w:ascii="Times New Roman" w:hAnsi="Times New Roman" w:cs="Times New Roman"/>
          <w:sz w:val="24"/>
          <w:szCs w:val="24"/>
        </w:rPr>
        <w:t>ące</w:t>
      </w:r>
      <w:r w:rsidR="00AB39D7">
        <w:rPr>
          <w:rFonts w:ascii="Times New Roman" w:hAnsi="Times New Roman" w:cs="Times New Roman"/>
          <w:sz w:val="24"/>
          <w:szCs w:val="24"/>
        </w:rPr>
        <w:t xml:space="preserve"> </w:t>
      </w:r>
      <w:r w:rsidR="00E51625" w:rsidRPr="00BF4514">
        <w:rPr>
          <w:rFonts w:ascii="Times New Roman" w:hAnsi="Times New Roman" w:cs="Times New Roman"/>
          <w:sz w:val="24"/>
          <w:szCs w:val="24"/>
        </w:rPr>
        <w:t>od dnia złożenia tego wniosku</w:t>
      </w:r>
      <w:r w:rsidR="00250F66" w:rsidRPr="00BF4514">
        <w:rPr>
          <w:rFonts w:ascii="Times New Roman" w:hAnsi="Times New Roman" w:cs="Times New Roman"/>
          <w:sz w:val="24"/>
          <w:szCs w:val="24"/>
        </w:rPr>
        <w:t>,</w:t>
      </w:r>
      <w:r w:rsidR="00F168E7" w:rsidRPr="00BF4514">
        <w:rPr>
          <w:rFonts w:ascii="Times New Roman" w:hAnsi="Times New Roman" w:cs="Times New Roman"/>
          <w:sz w:val="24"/>
          <w:szCs w:val="24"/>
        </w:rPr>
        <w:t xml:space="preserve"> ma na celu </w:t>
      </w:r>
      <w:r w:rsidR="00BB6F43" w:rsidRPr="00BF4514">
        <w:rPr>
          <w:rFonts w:ascii="Times New Roman" w:hAnsi="Times New Roman" w:cs="Times New Roman"/>
          <w:sz w:val="24"/>
          <w:szCs w:val="24"/>
        </w:rPr>
        <w:t>zapewnienie szybkości postępowania, co jest szczególnie istotne w</w:t>
      </w:r>
      <w:r w:rsidR="00A33016" w:rsidRPr="00BF4514">
        <w:rPr>
          <w:rFonts w:ascii="Times New Roman" w:hAnsi="Times New Roman" w:cs="Times New Roman"/>
          <w:sz w:val="24"/>
          <w:szCs w:val="24"/>
        </w:rPr>
        <w:t xml:space="preserve"> sprawach,</w:t>
      </w:r>
      <w:r w:rsidR="00BB6F43" w:rsidRPr="00BF4514">
        <w:rPr>
          <w:rFonts w:ascii="Times New Roman" w:hAnsi="Times New Roman" w:cs="Times New Roman"/>
          <w:sz w:val="24"/>
          <w:szCs w:val="24"/>
        </w:rPr>
        <w:t xml:space="preserve"> </w:t>
      </w:r>
      <w:r w:rsidR="00A33016" w:rsidRPr="00BF4514">
        <w:rPr>
          <w:rFonts w:ascii="Times New Roman" w:hAnsi="Times New Roman" w:cs="Times New Roman"/>
          <w:sz w:val="24"/>
          <w:szCs w:val="24"/>
        </w:rPr>
        <w:t xml:space="preserve">w których </w:t>
      </w:r>
      <w:r w:rsidR="003955BB" w:rsidRPr="00BF4514">
        <w:rPr>
          <w:rFonts w:ascii="Times New Roman" w:hAnsi="Times New Roman" w:cs="Times New Roman"/>
          <w:sz w:val="24"/>
          <w:szCs w:val="24"/>
        </w:rPr>
        <w:t>powództwo jest oczywiście bezzasadne</w:t>
      </w:r>
      <w:r w:rsidR="00562FF9">
        <w:rPr>
          <w:rFonts w:ascii="Times New Roman" w:hAnsi="Times New Roman" w:cs="Times New Roman"/>
          <w:sz w:val="24"/>
          <w:szCs w:val="24"/>
        </w:rPr>
        <w:t>,</w:t>
      </w:r>
      <w:r w:rsidR="003955BB" w:rsidRPr="00BF4514">
        <w:rPr>
          <w:rFonts w:ascii="Times New Roman" w:hAnsi="Times New Roman" w:cs="Times New Roman"/>
          <w:sz w:val="24"/>
          <w:szCs w:val="24"/>
        </w:rPr>
        <w:t xml:space="preserve"> a</w:t>
      </w:r>
      <w:r w:rsidR="00A33016" w:rsidRPr="00BF4514">
        <w:rPr>
          <w:rFonts w:ascii="Times New Roman" w:hAnsi="Times New Roman" w:cs="Times New Roman"/>
          <w:sz w:val="24"/>
          <w:szCs w:val="24"/>
        </w:rPr>
        <w:t xml:space="preserve"> roszczenia mogą prowadzić do stłumienia, ograniczenia, zakłócenia debaty publicznej lub szykanowania za udział w niej</w:t>
      </w:r>
      <w:r w:rsidR="00BB6F43" w:rsidRPr="00BF4514">
        <w:rPr>
          <w:rFonts w:ascii="Times New Roman" w:hAnsi="Times New Roman" w:cs="Times New Roman"/>
          <w:sz w:val="24"/>
          <w:szCs w:val="24"/>
        </w:rPr>
        <w:t xml:space="preserve">. Sprawy te z założenia mają charakter instrumentalny – </w:t>
      </w:r>
      <w:r w:rsidR="003955BB" w:rsidRPr="00BF4514">
        <w:rPr>
          <w:rFonts w:ascii="Times New Roman" w:hAnsi="Times New Roman" w:cs="Times New Roman"/>
          <w:sz w:val="24"/>
          <w:szCs w:val="24"/>
        </w:rPr>
        <w:t xml:space="preserve">nie </w:t>
      </w:r>
      <w:r w:rsidR="00BB6F43" w:rsidRPr="00BF4514">
        <w:rPr>
          <w:rFonts w:ascii="Times New Roman" w:hAnsi="Times New Roman" w:cs="Times New Roman"/>
          <w:sz w:val="24"/>
          <w:szCs w:val="24"/>
        </w:rPr>
        <w:t>są wykorzystywane w celu realnej ochrony dóbr prawnych powoda, lecz w celu zastraszenia, uciszenia lub zniechęcenia pozwanych do udziału w</w:t>
      </w:r>
      <w:r w:rsidR="004D46F5" w:rsidRPr="00BF4514">
        <w:rPr>
          <w:rFonts w:ascii="Times New Roman" w:hAnsi="Times New Roman" w:cs="Times New Roman"/>
          <w:sz w:val="24"/>
          <w:szCs w:val="24"/>
        </w:rPr>
        <w:t> </w:t>
      </w:r>
      <w:r w:rsidR="00BB6F43" w:rsidRPr="00BF4514">
        <w:rPr>
          <w:rFonts w:ascii="Times New Roman" w:hAnsi="Times New Roman" w:cs="Times New Roman"/>
          <w:sz w:val="24"/>
          <w:szCs w:val="24"/>
        </w:rPr>
        <w:t>debacie publicznej.</w:t>
      </w:r>
      <w:r w:rsidR="003955BB" w:rsidRPr="00BF4514">
        <w:rPr>
          <w:rFonts w:ascii="Times New Roman" w:hAnsi="Times New Roman" w:cs="Times New Roman"/>
          <w:sz w:val="24"/>
          <w:szCs w:val="24"/>
        </w:rPr>
        <w:t xml:space="preserve"> </w:t>
      </w:r>
      <w:r w:rsidR="00BB6F43" w:rsidRPr="00BF4514">
        <w:rPr>
          <w:rFonts w:ascii="Times New Roman" w:hAnsi="Times New Roman" w:cs="Times New Roman"/>
          <w:sz w:val="24"/>
          <w:szCs w:val="24"/>
        </w:rPr>
        <w:t>Z tego względu kluczowe jest, aby postępowanie w takich sprawach było prowadzone sprawnie i bez zbędnej zwłoki. Przewlekłość postępowania prowadzi bowiem do pogłębienia efektu mrożącego, skutkującego autocenzurą i rezygnacją z udziału w debacie publicznej przez osoby, wobec których wytoczono takie powództwa.</w:t>
      </w:r>
    </w:p>
    <w:p w14:paraId="05C6625E" w14:textId="2ED05625" w:rsidR="007A180B" w:rsidRPr="00BF4514" w:rsidRDefault="004920B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w:t>
      </w:r>
      <w:r w:rsidR="008442CC" w:rsidRPr="00BF4514">
        <w:rPr>
          <w:rFonts w:ascii="Times New Roman" w:hAnsi="Times New Roman" w:cs="Times New Roman"/>
          <w:b/>
          <w:bCs/>
          <w:sz w:val="24"/>
          <w:szCs w:val="24"/>
        </w:rPr>
        <w:t>10</w:t>
      </w:r>
      <w:r w:rsidR="00A92E06" w:rsidRPr="00BF4514">
        <w:rPr>
          <w:rFonts w:ascii="Times New Roman" w:hAnsi="Times New Roman" w:cs="Times New Roman"/>
          <w:b/>
          <w:bCs/>
          <w:sz w:val="24"/>
          <w:szCs w:val="24"/>
        </w:rPr>
        <w:t xml:space="preserve">, </w:t>
      </w:r>
      <w:r w:rsidR="00BF4514">
        <w:rPr>
          <w:rFonts w:ascii="Times New Roman" w:hAnsi="Times New Roman" w:cs="Times New Roman"/>
          <w:b/>
          <w:bCs/>
          <w:sz w:val="24"/>
          <w:szCs w:val="24"/>
        </w:rPr>
        <w:t xml:space="preserve">art. </w:t>
      </w:r>
      <w:r w:rsidR="00A92E06" w:rsidRPr="00BF4514">
        <w:rPr>
          <w:rFonts w:ascii="Times New Roman" w:hAnsi="Times New Roman" w:cs="Times New Roman"/>
          <w:b/>
          <w:bCs/>
          <w:sz w:val="24"/>
          <w:szCs w:val="24"/>
        </w:rPr>
        <w:t>11</w:t>
      </w:r>
      <w:r w:rsidR="00DC62EC" w:rsidRPr="00BF4514">
        <w:rPr>
          <w:rFonts w:ascii="Times New Roman" w:hAnsi="Times New Roman" w:cs="Times New Roman"/>
          <w:b/>
          <w:bCs/>
          <w:sz w:val="24"/>
          <w:szCs w:val="24"/>
        </w:rPr>
        <w:t xml:space="preserve">, </w:t>
      </w:r>
      <w:r w:rsidR="00BF4514">
        <w:rPr>
          <w:rFonts w:ascii="Times New Roman" w:hAnsi="Times New Roman" w:cs="Times New Roman"/>
          <w:b/>
          <w:bCs/>
          <w:sz w:val="24"/>
          <w:szCs w:val="24"/>
        </w:rPr>
        <w:t xml:space="preserve">art. </w:t>
      </w:r>
      <w:r w:rsidR="00DC62EC" w:rsidRPr="00BF4514">
        <w:rPr>
          <w:rFonts w:ascii="Times New Roman" w:hAnsi="Times New Roman" w:cs="Times New Roman"/>
          <w:b/>
          <w:bCs/>
          <w:sz w:val="24"/>
          <w:szCs w:val="24"/>
        </w:rPr>
        <w:t>12 oraz</w:t>
      </w:r>
      <w:r w:rsidR="00F50E84" w:rsidRPr="00BF4514">
        <w:rPr>
          <w:rFonts w:ascii="Times New Roman" w:hAnsi="Times New Roman" w:cs="Times New Roman"/>
          <w:b/>
          <w:bCs/>
          <w:sz w:val="24"/>
          <w:szCs w:val="24"/>
        </w:rPr>
        <w:t xml:space="preserve"> </w:t>
      </w:r>
      <w:r w:rsidR="00BF4514">
        <w:rPr>
          <w:rFonts w:ascii="Times New Roman" w:hAnsi="Times New Roman" w:cs="Times New Roman"/>
          <w:b/>
          <w:bCs/>
          <w:sz w:val="24"/>
          <w:szCs w:val="24"/>
        </w:rPr>
        <w:t xml:space="preserve">art. </w:t>
      </w:r>
      <w:r w:rsidR="000719C3" w:rsidRPr="00BF4514">
        <w:rPr>
          <w:rFonts w:ascii="Times New Roman" w:hAnsi="Times New Roman" w:cs="Times New Roman"/>
          <w:b/>
          <w:bCs/>
          <w:sz w:val="24"/>
          <w:szCs w:val="24"/>
        </w:rPr>
        <w:t>18</w:t>
      </w:r>
      <w:r w:rsidR="00DC62EC" w:rsidRPr="00BF4514">
        <w:rPr>
          <w:rFonts w:ascii="Times New Roman" w:hAnsi="Times New Roman" w:cs="Times New Roman"/>
          <w:b/>
          <w:bCs/>
          <w:sz w:val="24"/>
          <w:szCs w:val="24"/>
        </w:rPr>
        <w:t xml:space="preserve"> </w:t>
      </w:r>
      <w:r w:rsidR="00AC3C3F" w:rsidRPr="00BF4514">
        <w:rPr>
          <w:rFonts w:ascii="Times New Roman" w:hAnsi="Times New Roman" w:cs="Times New Roman"/>
          <w:sz w:val="24"/>
          <w:szCs w:val="24"/>
        </w:rPr>
        <w:t>Przepisy zawarte w ustawie odwołują się do instytucji nadużycia prawa procesowego, znanej już polskiemu porządkowi prawnemu, a uregulowanej w art. 4</w:t>
      </w:r>
      <w:r w:rsidR="00AC3C3F" w:rsidRPr="00BF4514">
        <w:rPr>
          <w:rFonts w:ascii="Times New Roman" w:hAnsi="Times New Roman" w:cs="Times New Roman"/>
          <w:sz w:val="24"/>
          <w:szCs w:val="24"/>
          <w:vertAlign w:val="superscript"/>
        </w:rPr>
        <w:t>1</w:t>
      </w:r>
      <w:r w:rsidR="00AC3C3F" w:rsidRPr="00BF4514">
        <w:rPr>
          <w:rFonts w:ascii="Times New Roman" w:hAnsi="Times New Roman" w:cs="Times New Roman"/>
          <w:sz w:val="24"/>
          <w:szCs w:val="24"/>
        </w:rPr>
        <w:t xml:space="preserve"> </w:t>
      </w:r>
      <w:r w:rsidR="00B2320D" w:rsidRPr="00BF4514">
        <w:rPr>
          <w:rFonts w:ascii="Times New Roman" w:hAnsi="Times New Roman" w:cs="Times New Roman"/>
          <w:sz w:val="24"/>
          <w:szCs w:val="24"/>
        </w:rPr>
        <w:t>KPC</w:t>
      </w:r>
      <w:r w:rsidR="00AC3C3F" w:rsidRPr="00BF4514">
        <w:rPr>
          <w:rFonts w:ascii="Times New Roman" w:hAnsi="Times New Roman" w:cs="Times New Roman"/>
          <w:sz w:val="24"/>
          <w:szCs w:val="24"/>
        </w:rPr>
        <w:t>. Wprowadzenie procedury odrzucenia powództwa w sytuacji, gdy sąd uzna, iż jego wyłącznym celem jest stłumienie, ograniczenie</w:t>
      </w:r>
      <w:r w:rsidR="008442CC" w:rsidRPr="00BF4514">
        <w:rPr>
          <w:rFonts w:ascii="Times New Roman" w:hAnsi="Times New Roman" w:cs="Times New Roman"/>
          <w:sz w:val="24"/>
          <w:szCs w:val="24"/>
        </w:rPr>
        <w:t xml:space="preserve">, </w:t>
      </w:r>
      <w:r w:rsidR="00AC3C3F" w:rsidRPr="00BF4514">
        <w:rPr>
          <w:rFonts w:ascii="Times New Roman" w:hAnsi="Times New Roman" w:cs="Times New Roman"/>
          <w:sz w:val="24"/>
          <w:szCs w:val="24"/>
        </w:rPr>
        <w:t>zakłócenie debaty publicznej</w:t>
      </w:r>
      <w:r w:rsidR="00C029CF" w:rsidRPr="00BF4514">
        <w:rPr>
          <w:rFonts w:ascii="Times New Roman" w:hAnsi="Times New Roman" w:cs="Times New Roman"/>
          <w:sz w:val="24"/>
          <w:szCs w:val="24"/>
        </w:rPr>
        <w:t xml:space="preserve"> lub </w:t>
      </w:r>
      <w:r w:rsidR="001A381D" w:rsidRPr="00BF4514">
        <w:rPr>
          <w:rFonts w:ascii="Times New Roman" w:hAnsi="Times New Roman" w:cs="Times New Roman"/>
          <w:sz w:val="24"/>
          <w:szCs w:val="24"/>
        </w:rPr>
        <w:t>szykanowanie za udział w niej,</w:t>
      </w:r>
      <w:r w:rsidR="00AC3C3F" w:rsidRPr="00BF4514">
        <w:rPr>
          <w:rFonts w:ascii="Times New Roman" w:hAnsi="Times New Roman" w:cs="Times New Roman"/>
          <w:sz w:val="24"/>
          <w:szCs w:val="24"/>
        </w:rPr>
        <w:t xml:space="preserve"> stanowi rozwinięcie istniejących mechanizmów ochrony przed instrumentalnym wykorzystywaniem postępowania cywilnego.</w:t>
      </w:r>
      <w:r w:rsidR="004E5536" w:rsidRPr="00BF4514">
        <w:rPr>
          <w:rFonts w:ascii="Times New Roman" w:hAnsi="Times New Roman" w:cs="Times New Roman"/>
          <w:sz w:val="24"/>
          <w:szCs w:val="24"/>
        </w:rPr>
        <w:t xml:space="preserve"> W</w:t>
      </w:r>
      <w:r w:rsidR="00AC3C3F" w:rsidRPr="00BF4514">
        <w:rPr>
          <w:rFonts w:ascii="Times New Roman" w:hAnsi="Times New Roman" w:cs="Times New Roman"/>
          <w:sz w:val="24"/>
          <w:szCs w:val="24"/>
        </w:rPr>
        <w:t xml:space="preserve"> celu zachowania zasady równości stron ustawodawca przewidział obowiązek uprzedzenia stron przez sąd o zamiarze odrzucenia powództwa. Przed wydaniem stosownego postanowienia sąd wyznacz</w:t>
      </w:r>
      <w:r w:rsidR="00790E4A" w:rsidRPr="00BF4514">
        <w:rPr>
          <w:rFonts w:ascii="Times New Roman" w:hAnsi="Times New Roman" w:cs="Times New Roman"/>
          <w:sz w:val="24"/>
          <w:szCs w:val="24"/>
        </w:rPr>
        <w:t>a</w:t>
      </w:r>
      <w:r w:rsidR="00AC3C3F" w:rsidRPr="00BF4514">
        <w:rPr>
          <w:rFonts w:ascii="Times New Roman" w:hAnsi="Times New Roman" w:cs="Times New Roman"/>
          <w:sz w:val="24"/>
          <w:szCs w:val="24"/>
        </w:rPr>
        <w:t xml:space="preserve"> dodatkowy termin na złożenie pism przygotowawczych, umożliwiając stronom przedstawienie swojego stanowiska</w:t>
      </w:r>
      <w:r w:rsidR="006E6CD8" w:rsidRPr="00BF4514">
        <w:rPr>
          <w:rFonts w:ascii="Times New Roman" w:hAnsi="Times New Roman" w:cs="Times New Roman"/>
          <w:sz w:val="24"/>
          <w:szCs w:val="24"/>
        </w:rPr>
        <w:t>.</w:t>
      </w:r>
    </w:p>
    <w:p w14:paraId="201FB25D" w14:textId="2A8DFBC1" w:rsidR="00C16F5C" w:rsidRPr="00BF4514" w:rsidRDefault="00AC3C3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Istotnym elementem przewidzianej procedury jest również możliwość zażądania przez pozwanego wydania wyroku zamiast </w:t>
      </w:r>
      <w:r w:rsidR="00E52BBA" w:rsidRPr="00BF4514">
        <w:rPr>
          <w:rFonts w:ascii="Times New Roman" w:hAnsi="Times New Roman" w:cs="Times New Roman"/>
          <w:sz w:val="24"/>
          <w:szCs w:val="24"/>
        </w:rPr>
        <w:t xml:space="preserve">postanowienia o </w:t>
      </w:r>
      <w:r w:rsidRPr="00BF4514">
        <w:rPr>
          <w:rFonts w:ascii="Times New Roman" w:hAnsi="Times New Roman" w:cs="Times New Roman"/>
          <w:sz w:val="24"/>
          <w:szCs w:val="24"/>
        </w:rPr>
        <w:t>odrzuceni</w:t>
      </w:r>
      <w:r w:rsidR="00E52BBA" w:rsidRPr="00BF4514">
        <w:rPr>
          <w:rFonts w:ascii="Times New Roman" w:hAnsi="Times New Roman" w:cs="Times New Roman"/>
          <w:sz w:val="24"/>
          <w:szCs w:val="24"/>
        </w:rPr>
        <w:t>u</w:t>
      </w:r>
      <w:r w:rsidRPr="00BF4514">
        <w:rPr>
          <w:rFonts w:ascii="Times New Roman" w:hAnsi="Times New Roman" w:cs="Times New Roman"/>
          <w:sz w:val="24"/>
          <w:szCs w:val="24"/>
        </w:rPr>
        <w:t xml:space="preserve"> powództwa. Mechanizm ten </w:t>
      </w:r>
      <w:r w:rsidRPr="00BF4514">
        <w:rPr>
          <w:rFonts w:ascii="Times New Roman" w:hAnsi="Times New Roman" w:cs="Times New Roman"/>
          <w:sz w:val="24"/>
          <w:szCs w:val="24"/>
        </w:rPr>
        <w:lastRenderedPageBreak/>
        <w:t>ma kluczowe znaczenie dla ochrony interesów pozwanego, ponieważ uzyskanie merytorycznego rozstrzygnięcia uniemożliwia ponowne wniesienie identycznego powództwa ze względu na wystąpienie powagi rzeczy osądzonej (</w:t>
      </w:r>
      <w:r w:rsidRPr="00BF4514">
        <w:rPr>
          <w:rFonts w:ascii="Times New Roman" w:hAnsi="Times New Roman" w:cs="Times New Roman"/>
          <w:i/>
          <w:iCs/>
          <w:sz w:val="24"/>
          <w:szCs w:val="24"/>
        </w:rPr>
        <w:t>res iudicata</w:t>
      </w:r>
      <w:r w:rsidRPr="00BF4514">
        <w:rPr>
          <w:rFonts w:ascii="Times New Roman" w:hAnsi="Times New Roman" w:cs="Times New Roman"/>
          <w:sz w:val="24"/>
          <w:szCs w:val="24"/>
        </w:rPr>
        <w:t xml:space="preserve">). </w:t>
      </w:r>
      <w:r w:rsidR="00A616AC" w:rsidRPr="00BF4514">
        <w:rPr>
          <w:rFonts w:ascii="Times New Roman" w:hAnsi="Times New Roman" w:cs="Times New Roman"/>
          <w:sz w:val="24"/>
          <w:szCs w:val="24"/>
        </w:rPr>
        <w:t>R</w:t>
      </w:r>
      <w:r w:rsidRPr="00BF4514">
        <w:rPr>
          <w:rFonts w:ascii="Times New Roman" w:hAnsi="Times New Roman" w:cs="Times New Roman"/>
          <w:sz w:val="24"/>
          <w:szCs w:val="24"/>
        </w:rPr>
        <w:t>egulacja ta pozwala nie tylko na ochronę przed bezzasadnymi postępowaniami sądowymi, ale również na trwałe rozstrzygnięcie sporu, eliminując ryzyko wielokrotnego angażowania pozwanego w postępowania o tożsamym charakterze.</w:t>
      </w:r>
    </w:p>
    <w:p w14:paraId="52CC25FE" w14:textId="46583585" w:rsidR="00FE3964" w:rsidRPr="00BF4514" w:rsidRDefault="00FE3964"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W projektowanym art. 12 przewiduje się, że</w:t>
      </w:r>
      <w:r w:rsidR="006622EB">
        <w:rPr>
          <w:rFonts w:ascii="Times New Roman" w:hAnsi="Times New Roman" w:cs="Times New Roman"/>
          <w:sz w:val="24"/>
          <w:szCs w:val="24"/>
        </w:rPr>
        <w:t>,</w:t>
      </w:r>
      <w:r w:rsidR="001F6780" w:rsidRPr="00BF4514">
        <w:rPr>
          <w:rFonts w:ascii="Times New Roman" w:hAnsi="Times New Roman" w:cs="Times New Roman"/>
          <w:sz w:val="24"/>
          <w:szCs w:val="24"/>
        </w:rPr>
        <w:t xml:space="preserve"> odrzucając pozew z przyczyn, o których mowa w art. 10</w:t>
      </w:r>
      <w:r w:rsidR="006622EB">
        <w:rPr>
          <w:rFonts w:ascii="Times New Roman" w:hAnsi="Times New Roman" w:cs="Times New Roman"/>
          <w:sz w:val="24"/>
          <w:szCs w:val="24"/>
        </w:rPr>
        <w:t>,</w:t>
      </w:r>
      <w:r w:rsidR="001F6780" w:rsidRPr="00BF4514">
        <w:rPr>
          <w:rFonts w:ascii="Times New Roman" w:hAnsi="Times New Roman" w:cs="Times New Roman"/>
          <w:sz w:val="24"/>
          <w:szCs w:val="24"/>
        </w:rPr>
        <w:t xml:space="preserve"> albo oddalając powództwo w przypadku, o którym mowa w art. 11 ust. 2</w:t>
      </w:r>
      <w:r w:rsidRPr="00BF4514">
        <w:rPr>
          <w:rFonts w:ascii="Times New Roman" w:hAnsi="Times New Roman" w:cs="Times New Roman"/>
          <w:sz w:val="24"/>
          <w:szCs w:val="24"/>
        </w:rPr>
        <w:t xml:space="preserve">, sąd stwierdza w sentencji </w:t>
      </w:r>
      <w:r w:rsidR="00FC7D6F" w:rsidRPr="00BF4514">
        <w:rPr>
          <w:rFonts w:ascii="Times New Roman" w:hAnsi="Times New Roman" w:cs="Times New Roman"/>
          <w:sz w:val="24"/>
          <w:szCs w:val="24"/>
        </w:rPr>
        <w:t>orzeczenia</w:t>
      </w:r>
      <w:r w:rsidRPr="00BF4514">
        <w:rPr>
          <w:rFonts w:ascii="Times New Roman" w:hAnsi="Times New Roman" w:cs="Times New Roman"/>
          <w:sz w:val="24"/>
          <w:szCs w:val="24"/>
        </w:rPr>
        <w:t>, że zmierzało ono wyłącznie do stłumienia, ograniczenia, zakłócenia debaty publicznej lub szykanowania za udział w niej.</w:t>
      </w:r>
    </w:p>
    <w:p w14:paraId="408AD586" w14:textId="364A23CA" w:rsidR="00DC62EC" w:rsidRPr="00BF4514" w:rsidRDefault="00DC62EC" w:rsidP="00BF4514">
      <w:pPr>
        <w:spacing w:after="120" w:line="360" w:lineRule="auto"/>
        <w:jc w:val="both"/>
        <w:rPr>
          <w:rFonts w:ascii="Times New Roman" w:eastAsia="Times New Roman" w:hAnsi="Times New Roman" w:cs="Times New Roman"/>
          <w:kern w:val="0"/>
          <w:sz w:val="24"/>
          <w:szCs w:val="24"/>
          <w:lang w:eastAsia="pl-PL"/>
          <w14:ligatures w14:val="none"/>
        </w:rPr>
      </w:pPr>
      <w:r w:rsidRPr="00BF4514">
        <w:rPr>
          <w:rFonts w:ascii="Times New Roman" w:eastAsia="Times New Roman" w:hAnsi="Times New Roman" w:cs="Times New Roman"/>
          <w:kern w:val="0"/>
          <w:sz w:val="24"/>
          <w:szCs w:val="24"/>
          <w:lang w:eastAsia="pl-PL"/>
          <w14:ligatures w14:val="none"/>
        </w:rPr>
        <w:t xml:space="preserve">Z tymi rozwiązaniami powiązana jest proponowana w art. </w:t>
      </w:r>
      <w:r w:rsidR="000719C3" w:rsidRPr="00BF4514">
        <w:rPr>
          <w:rFonts w:ascii="Times New Roman" w:eastAsia="Times New Roman" w:hAnsi="Times New Roman" w:cs="Times New Roman"/>
          <w:kern w:val="0"/>
          <w:sz w:val="24"/>
          <w:szCs w:val="24"/>
          <w:lang w:eastAsia="pl-PL"/>
          <w14:ligatures w14:val="none"/>
        </w:rPr>
        <w:t>18</w:t>
      </w:r>
      <w:r w:rsidRPr="00BF4514">
        <w:rPr>
          <w:rFonts w:ascii="Times New Roman" w:eastAsia="Times New Roman" w:hAnsi="Times New Roman" w:cs="Times New Roman"/>
          <w:kern w:val="0"/>
          <w:sz w:val="24"/>
          <w:szCs w:val="24"/>
          <w:lang w:eastAsia="pl-PL"/>
          <w14:ligatures w14:val="none"/>
        </w:rPr>
        <w:t xml:space="preserve"> zmiana w</w:t>
      </w:r>
      <w:r w:rsidR="00F50E84" w:rsidRPr="00BF4514">
        <w:rPr>
          <w:rFonts w:ascii="Times New Roman" w:eastAsia="Times New Roman" w:hAnsi="Times New Roman" w:cs="Times New Roman"/>
          <w:kern w:val="0"/>
          <w:sz w:val="24"/>
          <w:szCs w:val="24"/>
          <w:lang w:eastAsia="pl-PL"/>
          <w14:ligatures w14:val="none"/>
        </w:rPr>
        <w:t xml:space="preserve"> </w:t>
      </w:r>
      <w:r w:rsidRPr="00BF4514">
        <w:rPr>
          <w:rFonts w:ascii="Times New Roman" w:eastAsia="Times New Roman" w:hAnsi="Times New Roman" w:cs="Times New Roman"/>
          <w:kern w:val="0"/>
          <w:sz w:val="24"/>
          <w:szCs w:val="24"/>
          <w:lang w:eastAsia="pl-PL"/>
          <w14:ligatures w14:val="none"/>
        </w:rPr>
        <w:t>art. 4</w:t>
      </w:r>
      <w:r w:rsidRPr="00BF4514">
        <w:rPr>
          <w:rFonts w:ascii="Times New Roman" w:eastAsia="Times New Roman" w:hAnsi="Times New Roman" w:cs="Times New Roman"/>
          <w:kern w:val="0"/>
          <w:sz w:val="24"/>
          <w:szCs w:val="24"/>
          <w:vertAlign w:val="superscript"/>
          <w:lang w:eastAsia="pl-PL"/>
          <w14:ligatures w14:val="none"/>
        </w:rPr>
        <w:t>1</w:t>
      </w:r>
      <w:r w:rsidRPr="00BF4514">
        <w:rPr>
          <w:rFonts w:ascii="Times New Roman" w:eastAsia="Times New Roman" w:hAnsi="Times New Roman" w:cs="Times New Roman"/>
          <w:kern w:val="0"/>
          <w:sz w:val="24"/>
          <w:szCs w:val="24"/>
          <w:lang w:eastAsia="pl-PL"/>
          <w14:ligatures w14:val="none"/>
        </w:rPr>
        <w:t xml:space="preserve"> Kodeksu postępowania cywilnego polegająca na dodaniu zdania drugiego „Czynność procesowa strony lub uczestnika postępowania stanowiąca nadużycie prawa procesowego jest niedopuszczalna, chyba że przepis</w:t>
      </w:r>
      <w:r w:rsidR="00892E73" w:rsidRPr="00BF4514">
        <w:rPr>
          <w:rFonts w:ascii="Times New Roman" w:eastAsia="Times New Roman" w:hAnsi="Times New Roman" w:cs="Times New Roman"/>
          <w:kern w:val="0"/>
          <w:sz w:val="24"/>
          <w:szCs w:val="24"/>
          <w:lang w:eastAsia="pl-PL"/>
          <w14:ligatures w14:val="none"/>
        </w:rPr>
        <w:t xml:space="preserve"> </w:t>
      </w:r>
      <w:r w:rsidR="000719C3" w:rsidRPr="00BF4514">
        <w:rPr>
          <w:rFonts w:ascii="Times New Roman" w:eastAsia="Times New Roman" w:hAnsi="Times New Roman" w:cs="Times New Roman"/>
          <w:kern w:val="0"/>
          <w:sz w:val="24"/>
          <w:szCs w:val="24"/>
          <w:lang w:eastAsia="pl-PL"/>
          <w14:ligatures w14:val="none"/>
        </w:rPr>
        <w:t>szczególny stanowi inaczej</w:t>
      </w:r>
      <w:r w:rsidRPr="00BF4514">
        <w:rPr>
          <w:rFonts w:ascii="Times New Roman" w:eastAsia="Times New Roman" w:hAnsi="Times New Roman" w:cs="Times New Roman"/>
          <w:kern w:val="0"/>
          <w:sz w:val="24"/>
          <w:szCs w:val="24"/>
          <w:lang w:eastAsia="pl-PL"/>
          <w14:ligatures w14:val="none"/>
        </w:rPr>
        <w:t>.”</w:t>
      </w:r>
      <w:r w:rsidR="006622EB">
        <w:rPr>
          <w:rFonts w:ascii="Times New Roman" w:eastAsia="Times New Roman" w:hAnsi="Times New Roman" w:cs="Times New Roman"/>
          <w:kern w:val="0"/>
          <w:sz w:val="24"/>
          <w:szCs w:val="24"/>
          <w:lang w:eastAsia="pl-PL"/>
          <w14:ligatures w14:val="none"/>
        </w:rPr>
        <w:t>.</w:t>
      </w:r>
      <w:r w:rsidRPr="00BF4514">
        <w:rPr>
          <w:rFonts w:ascii="Times New Roman" w:eastAsia="Times New Roman" w:hAnsi="Times New Roman" w:cs="Times New Roman"/>
          <w:kern w:val="0"/>
          <w:sz w:val="24"/>
          <w:szCs w:val="24"/>
          <w:lang w:eastAsia="pl-PL"/>
          <w14:ligatures w14:val="none"/>
        </w:rPr>
        <w:t xml:space="preserve"> Stanowi to doprecyzowanie skutków wniesienia powództwa stanowiącego nadużycie prawa procesowego i – co jest istotne w kontekście niniejszego projektu –</w:t>
      </w:r>
      <w:r w:rsidR="00F50E84" w:rsidRPr="00BF4514">
        <w:rPr>
          <w:rFonts w:ascii="Times New Roman" w:eastAsia="Times New Roman" w:hAnsi="Times New Roman" w:cs="Times New Roman"/>
          <w:kern w:val="0"/>
          <w:sz w:val="24"/>
          <w:szCs w:val="24"/>
          <w:lang w:eastAsia="pl-PL"/>
          <w14:ligatures w14:val="none"/>
        </w:rPr>
        <w:t xml:space="preserve"> </w:t>
      </w:r>
      <w:r w:rsidRPr="00BF4514">
        <w:rPr>
          <w:rFonts w:ascii="Times New Roman" w:eastAsia="Times New Roman" w:hAnsi="Times New Roman" w:cs="Times New Roman"/>
          <w:kern w:val="0"/>
          <w:sz w:val="24"/>
          <w:szCs w:val="24"/>
          <w:lang w:eastAsia="pl-PL"/>
          <w14:ligatures w14:val="none"/>
        </w:rPr>
        <w:t>umożliwia przesądzenie, że sankcją w takim przypadku jest odrzucenie pozwu.</w:t>
      </w:r>
      <w:r w:rsidR="00AB39D7">
        <w:rPr>
          <w:rFonts w:ascii="Times New Roman" w:eastAsia="Times New Roman" w:hAnsi="Times New Roman" w:cs="Times New Roman"/>
          <w:kern w:val="0"/>
          <w:sz w:val="24"/>
          <w:szCs w:val="24"/>
          <w:lang w:eastAsia="pl-PL"/>
          <w14:ligatures w14:val="none"/>
        </w:rPr>
        <w:t xml:space="preserve"> </w:t>
      </w:r>
      <w:r w:rsidR="005D37C7" w:rsidRPr="00BF4514">
        <w:rPr>
          <w:rFonts w:ascii="Times New Roman" w:eastAsia="Times New Roman" w:hAnsi="Times New Roman" w:cs="Times New Roman"/>
          <w:kern w:val="0"/>
          <w:sz w:val="24"/>
          <w:szCs w:val="24"/>
          <w:lang w:eastAsia="pl-PL"/>
          <w14:ligatures w14:val="none"/>
        </w:rPr>
        <w:t xml:space="preserve">Zmianę tę należy uznać za trafną i pożądaną, ponieważ, mimo że niedopuszczalność tego rodzaju czynności można już </w:t>
      </w:r>
      <w:r w:rsidR="005D37C7" w:rsidRPr="00BF4514">
        <w:rPr>
          <w:rFonts w:ascii="Times New Roman" w:eastAsia="Times New Roman" w:hAnsi="Times New Roman" w:cs="Times New Roman"/>
          <w:i/>
          <w:iCs/>
          <w:kern w:val="0"/>
          <w:sz w:val="24"/>
          <w:szCs w:val="24"/>
          <w:lang w:eastAsia="pl-PL"/>
          <w14:ligatures w14:val="none"/>
        </w:rPr>
        <w:t>de lege lata</w:t>
      </w:r>
      <w:r w:rsidR="005D37C7" w:rsidRPr="00BF4514">
        <w:rPr>
          <w:rFonts w:ascii="Times New Roman" w:eastAsia="Times New Roman" w:hAnsi="Times New Roman" w:cs="Times New Roman"/>
          <w:kern w:val="0"/>
          <w:sz w:val="24"/>
          <w:szCs w:val="24"/>
          <w:lang w:eastAsia="pl-PL"/>
          <w14:ligatures w14:val="none"/>
        </w:rPr>
        <w:t xml:space="preserve"> wyprowadzać z art. 4</w:t>
      </w:r>
      <w:r w:rsidR="005D37C7" w:rsidRPr="00BF4514">
        <w:rPr>
          <w:rFonts w:ascii="Times New Roman" w:eastAsia="Times New Roman" w:hAnsi="Times New Roman" w:cs="Times New Roman"/>
          <w:kern w:val="0"/>
          <w:sz w:val="24"/>
          <w:szCs w:val="24"/>
          <w:vertAlign w:val="superscript"/>
          <w:lang w:eastAsia="pl-PL"/>
          <w14:ligatures w14:val="none"/>
        </w:rPr>
        <w:t>1</w:t>
      </w:r>
      <w:r w:rsidR="005D37C7" w:rsidRPr="00BF4514">
        <w:rPr>
          <w:rFonts w:ascii="Times New Roman" w:eastAsia="Times New Roman" w:hAnsi="Times New Roman" w:cs="Times New Roman"/>
          <w:kern w:val="0"/>
          <w:sz w:val="24"/>
          <w:szCs w:val="24"/>
          <w:lang w:eastAsia="pl-PL"/>
          <w14:ligatures w14:val="none"/>
        </w:rPr>
        <w:t xml:space="preserve"> k.p.c. (teoretycznie było to już możliwe na tle art. 3 k.p.c.</w:t>
      </w:r>
      <w:r w:rsidR="00AB39D7">
        <w:rPr>
          <w:rFonts w:ascii="Times New Roman" w:eastAsia="Times New Roman" w:hAnsi="Times New Roman" w:cs="Times New Roman"/>
          <w:kern w:val="0"/>
          <w:sz w:val="24"/>
          <w:szCs w:val="24"/>
          <w:lang w:eastAsia="pl-PL"/>
          <w14:ligatures w14:val="none"/>
        </w:rPr>
        <w:t xml:space="preserve"> </w:t>
      </w:r>
      <w:r w:rsidR="005D37C7" w:rsidRPr="00BF4514">
        <w:rPr>
          <w:rFonts w:ascii="Times New Roman" w:eastAsia="Times New Roman" w:hAnsi="Times New Roman" w:cs="Times New Roman"/>
          <w:kern w:val="0"/>
          <w:sz w:val="24"/>
          <w:szCs w:val="24"/>
          <w:lang w:eastAsia="pl-PL"/>
          <w14:ligatures w14:val="none"/>
        </w:rPr>
        <w:t>np. przez sięganie do analogii), to wobec wrażliwości rozważanej materii i obaw judykatury przesądzenie tej kwestii wprost stanowi przysłowiową "kropkę nad i", eliminuje potencjalne wątpliwości i domyka koncepcję nadużycia prawa procesowego, czyniąc zadość postulatom nauki.</w:t>
      </w:r>
      <w:r w:rsidR="00C13318" w:rsidRPr="00BF4514">
        <w:rPr>
          <w:rFonts w:ascii="Times New Roman" w:hAnsi="Times New Roman" w:cs="Times New Roman"/>
          <w:sz w:val="24"/>
          <w:szCs w:val="24"/>
        </w:rPr>
        <w:t xml:space="preserve"> </w:t>
      </w:r>
      <w:r w:rsidR="00C13318" w:rsidRPr="00BF4514">
        <w:rPr>
          <w:rFonts w:ascii="Times New Roman" w:eastAsia="Times New Roman" w:hAnsi="Times New Roman" w:cs="Times New Roman"/>
          <w:kern w:val="0"/>
          <w:sz w:val="24"/>
          <w:szCs w:val="24"/>
          <w:lang w:eastAsia="pl-PL"/>
          <w14:ligatures w14:val="none"/>
        </w:rPr>
        <w:t>Konieczne jest wyraźne zadeklarowanie, że czynność procesowa, której dokonanie stanowi wyraz wykonywania uprawnienia procesowego w warunkach nadużycia, jest niedopuszczalna, chyba że ustawa stanowi inaczej. Wskazanie "niedopuszczalności" jako konsekwencji działania w sprzeczności ze zdaniem pierwszym art. 4</w:t>
      </w:r>
      <w:r w:rsidR="00C13318" w:rsidRPr="00BF4514">
        <w:rPr>
          <w:rFonts w:ascii="Times New Roman" w:eastAsia="Times New Roman" w:hAnsi="Times New Roman" w:cs="Times New Roman"/>
          <w:kern w:val="0"/>
          <w:sz w:val="24"/>
          <w:szCs w:val="24"/>
          <w:vertAlign w:val="superscript"/>
          <w:lang w:eastAsia="pl-PL"/>
          <w14:ligatures w14:val="none"/>
        </w:rPr>
        <w:t>1</w:t>
      </w:r>
      <w:r w:rsidR="00C13318" w:rsidRPr="00BF4514">
        <w:rPr>
          <w:rFonts w:ascii="Times New Roman" w:eastAsia="Times New Roman" w:hAnsi="Times New Roman" w:cs="Times New Roman"/>
          <w:kern w:val="0"/>
          <w:sz w:val="24"/>
          <w:szCs w:val="24"/>
          <w:lang w:eastAsia="pl-PL"/>
          <w14:ligatures w14:val="none"/>
        </w:rPr>
        <w:t xml:space="preserve"> k.p.c. wpisuje się w siatkę pojęciową, w ramach której kodeks ustanawia sankcje w związku z</w:t>
      </w:r>
      <w:r w:rsidR="004D46F5" w:rsidRPr="00BF4514">
        <w:rPr>
          <w:rFonts w:ascii="Times New Roman" w:eastAsia="Times New Roman" w:hAnsi="Times New Roman" w:cs="Times New Roman"/>
          <w:kern w:val="0"/>
          <w:sz w:val="24"/>
          <w:szCs w:val="24"/>
          <w:lang w:eastAsia="pl-PL"/>
          <w14:ligatures w14:val="none"/>
        </w:rPr>
        <w:t> </w:t>
      </w:r>
      <w:r w:rsidR="00C13318" w:rsidRPr="00BF4514">
        <w:rPr>
          <w:rFonts w:ascii="Times New Roman" w:eastAsia="Times New Roman" w:hAnsi="Times New Roman" w:cs="Times New Roman"/>
          <w:kern w:val="0"/>
          <w:sz w:val="24"/>
          <w:szCs w:val="24"/>
          <w:lang w:eastAsia="pl-PL"/>
          <w14:ligatures w14:val="none"/>
        </w:rPr>
        <w:t>niezachowaniem wymagań czynności procesowych.</w:t>
      </w:r>
    </w:p>
    <w:p w14:paraId="023BD4C2" w14:textId="1619903E" w:rsidR="000F512C" w:rsidRPr="00BF4514" w:rsidRDefault="004920B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w:t>
      </w:r>
      <w:r w:rsidR="000B1B0F" w:rsidRPr="00BF4514">
        <w:rPr>
          <w:rFonts w:ascii="Times New Roman" w:hAnsi="Times New Roman" w:cs="Times New Roman"/>
          <w:b/>
          <w:bCs/>
          <w:sz w:val="24"/>
          <w:szCs w:val="24"/>
        </w:rPr>
        <w:t>13</w:t>
      </w:r>
      <w:r w:rsidR="00965801" w:rsidRPr="00BF4514">
        <w:rPr>
          <w:rFonts w:ascii="Times New Roman" w:hAnsi="Times New Roman" w:cs="Times New Roman"/>
          <w:sz w:val="24"/>
          <w:szCs w:val="24"/>
        </w:rPr>
        <w:t xml:space="preserve"> </w:t>
      </w:r>
      <w:r w:rsidR="009448B5" w:rsidRPr="00BF4514">
        <w:rPr>
          <w:rFonts w:ascii="Times New Roman" w:hAnsi="Times New Roman" w:cs="Times New Roman"/>
          <w:sz w:val="24"/>
          <w:szCs w:val="24"/>
        </w:rPr>
        <w:t xml:space="preserve">Projektowany przepis </w:t>
      </w:r>
      <w:r w:rsidR="00287AE9" w:rsidRPr="00BF4514">
        <w:rPr>
          <w:rFonts w:ascii="Times New Roman" w:hAnsi="Times New Roman" w:cs="Times New Roman"/>
          <w:sz w:val="24"/>
          <w:szCs w:val="24"/>
        </w:rPr>
        <w:t>znajduje swoją podstawę w art. 15 dyrektywy 2024/1069 i wprowadza możliwość zastosowania sankcji</w:t>
      </w:r>
      <w:r w:rsidR="0008540D" w:rsidRPr="00BF4514">
        <w:rPr>
          <w:rFonts w:ascii="Times New Roman" w:hAnsi="Times New Roman" w:cs="Times New Roman"/>
          <w:sz w:val="24"/>
          <w:szCs w:val="24"/>
        </w:rPr>
        <w:t>,</w:t>
      </w:r>
      <w:r w:rsidR="00F639E4" w:rsidRPr="00BF4514">
        <w:rPr>
          <w:rFonts w:ascii="Times New Roman" w:hAnsi="Times New Roman" w:cs="Times New Roman"/>
          <w:sz w:val="24"/>
          <w:szCs w:val="24"/>
        </w:rPr>
        <w:t xml:space="preserve"> w postaci nałożenia na powoda </w:t>
      </w:r>
      <w:r w:rsidR="005E55E4" w:rsidRPr="00BF4514">
        <w:rPr>
          <w:rFonts w:ascii="Times New Roman" w:hAnsi="Times New Roman" w:cs="Times New Roman"/>
          <w:sz w:val="24"/>
          <w:szCs w:val="24"/>
        </w:rPr>
        <w:t>grzywny</w:t>
      </w:r>
      <w:r w:rsidR="00F639E4" w:rsidRPr="00BF4514">
        <w:rPr>
          <w:rFonts w:ascii="Times New Roman" w:hAnsi="Times New Roman" w:cs="Times New Roman"/>
          <w:sz w:val="24"/>
          <w:szCs w:val="24"/>
        </w:rPr>
        <w:t>, jeżeli sąd odrzuci pozew, stwierdzając, że zmierzał on wyłącznie lub głównie do stłumienia, ograniczenia</w:t>
      </w:r>
      <w:r w:rsidR="005E55E4" w:rsidRPr="00BF4514">
        <w:rPr>
          <w:rFonts w:ascii="Times New Roman" w:hAnsi="Times New Roman" w:cs="Times New Roman"/>
          <w:sz w:val="24"/>
          <w:szCs w:val="24"/>
        </w:rPr>
        <w:t xml:space="preserve">, </w:t>
      </w:r>
      <w:r w:rsidR="00F639E4" w:rsidRPr="00BF4514">
        <w:rPr>
          <w:rFonts w:ascii="Times New Roman" w:hAnsi="Times New Roman" w:cs="Times New Roman"/>
          <w:sz w:val="24"/>
          <w:szCs w:val="24"/>
        </w:rPr>
        <w:t>zakłócenia debaty publicznej</w:t>
      </w:r>
      <w:r w:rsidR="005E55E4" w:rsidRPr="00BF4514">
        <w:rPr>
          <w:rFonts w:ascii="Times New Roman" w:hAnsi="Times New Roman" w:cs="Times New Roman"/>
          <w:sz w:val="24"/>
          <w:szCs w:val="24"/>
        </w:rPr>
        <w:t xml:space="preserve"> lub szykanowania za udział w niej</w:t>
      </w:r>
      <w:r w:rsidR="009448B5" w:rsidRPr="00BF4514">
        <w:rPr>
          <w:rFonts w:ascii="Times New Roman" w:hAnsi="Times New Roman" w:cs="Times New Roman"/>
          <w:sz w:val="24"/>
          <w:szCs w:val="24"/>
        </w:rPr>
        <w:t xml:space="preserve"> lub w razie oddalenia powództwa w całości lub w części i</w:t>
      </w:r>
      <w:r w:rsidR="004D46F5" w:rsidRPr="00BF4514">
        <w:rPr>
          <w:rFonts w:ascii="Times New Roman" w:hAnsi="Times New Roman" w:cs="Times New Roman"/>
          <w:sz w:val="24"/>
          <w:szCs w:val="24"/>
        </w:rPr>
        <w:t> </w:t>
      </w:r>
      <w:r w:rsidR="009448B5" w:rsidRPr="00BF4514">
        <w:rPr>
          <w:rFonts w:ascii="Times New Roman" w:hAnsi="Times New Roman" w:cs="Times New Roman"/>
          <w:sz w:val="24"/>
          <w:szCs w:val="24"/>
        </w:rPr>
        <w:t xml:space="preserve">stwierdzenia, że postępowanie zmierzało wyłącznie lub głównie do stłumienia, ograniczenia, zakłócenia debaty publicznej lub </w:t>
      </w:r>
      <w:r w:rsidR="009448B5" w:rsidRPr="00BF4514">
        <w:rPr>
          <w:rFonts w:ascii="Times New Roman" w:hAnsi="Times New Roman" w:cs="Times New Roman"/>
          <w:sz w:val="24"/>
          <w:szCs w:val="24"/>
        </w:rPr>
        <w:lastRenderedPageBreak/>
        <w:t>szykanowania za udział w niej</w:t>
      </w:r>
      <w:r w:rsidR="00F639E4" w:rsidRPr="00BF4514">
        <w:rPr>
          <w:rFonts w:ascii="Times New Roman" w:hAnsi="Times New Roman" w:cs="Times New Roman"/>
          <w:sz w:val="24"/>
          <w:szCs w:val="24"/>
        </w:rPr>
        <w:t>. Wysokość nałożonej kary powinna być dotkliwa, aby pełniła funkcję skutecznego zniechęcenia do nadużywania prawa procesowego, a</w:t>
      </w:r>
      <w:r w:rsidR="004D46F5" w:rsidRPr="00BF4514">
        <w:rPr>
          <w:rFonts w:ascii="Times New Roman" w:hAnsi="Times New Roman" w:cs="Times New Roman"/>
          <w:sz w:val="24"/>
          <w:szCs w:val="24"/>
        </w:rPr>
        <w:t> </w:t>
      </w:r>
      <w:r w:rsidR="00057FAF" w:rsidRPr="00BF4514">
        <w:rPr>
          <w:rFonts w:ascii="Times New Roman" w:hAnsi="Times New Roman" w:cs="Times New Roman"/>
          <w:sz w:val="24"/>
          <w:szCs w:val="24"/>
        </w:rPr>
        <w:t>w</w:t>
      </w:r>
      <w:r w:rsidR="004D46F5" w:rsidRPr="00BF4514">
        <w:rPr>
          <w:rFonts w:ascii="Times New Roman" w:hAnsi="Times New Roman" w:cs="Times New Roman"/>
          <w:sz w:val="24"/>
          <w:szCs w:val="24"/>
        </w:rPr>
        <w:t> </w:t>
      </w:r>
      <w:r w:rsidR="00F639E4" w:rsidRPr="00BF4514">
        <w:rPr>
          <w:rFonts w:ascii="Times New Roman" w:hAnsi="Times New Roman" w:cs="Times New Roman"/>
          <w:sz w:val="24"/>
          <w:szCs w:val="24"/>
        </w:rPr>
        <w:t xml:space="preserve">szczególnie </w:t>
      </w:r>
      <w:r w:rsidR="00057FAF" w:rsidRPr="00BF4514">
        <w:rPr>
          <w:rFonts w:ascii="Times New Roman" w:hAnsi="Times New Roman" w:cs="Times New Roman"/>
          <w:sz w:val="24"/>
          <w:szCs w:val="24"/>
        </w:rPr>
        <w:t xml:space="preserve">uzasadnionych </w:t>
      </w:r>
      <w:r w:rsidR="00F639E4" w:rsidRPr="00BF4514">
        <w:rPr>
          <w:rFonts w:ascii="Times New Roman" w:hAnsi="Times New Roman" w:cs="Times New Roman"/>
          <w:sz w:val="24"/>
          <w:szCs w:val="24"/>
        </w:rPr>
        <w:t>przypadkach, w których</w:t>
      </w:r>
      <w:r w:rsidR="0070111E" w:rsidRPr="00BF4514">
        <w:rPr>
          <w:rFonts w:ascii="Times New Roman" w:hAnsi="Times New Roman" w:cs="Times New Roman"/>
          <w:sz w:val="24"/>
          <w:szCs w:val="24"/>
        </w:rPr>
        <w:t xml:space="preserve"> powód wykorzystuje znaczącą przewagę, w tym ekonomiczną, nad pozwanym lub gdy z okoliczności wynika, że zamiarem powoda było, aby wytoczenie powództwa wiązało się dla pozwanego ze szczególnie dotkliwymi skutkami</w:t>
      </w:r>
      <w:r w:rsidR="00057FAF" w:rsidRPr="00BF4514">
        <w:rPr>
          <w:rFonts w:ascii="Times New Roman" w:hAnsi="Times New Roman" w:cs="Times New Roman"/>
          <w:sz w:val="24"/>
          <w:szCs w:val="24"/>
        </w:rPr>
        <w:t xml:space="preserve"> nawet do 100-krotności</w:t>
      </w:r>
      <w:r w:rsidR="00982218" w:rsidRPr="00BF4514">
        <w:rPr>
          <w:rFonts w:ascii="Times New Roman" w:hAnsi="Times New Roman" w:cs="Times New Roman"/>
          <w:sz w:val="24"/>
          <w:szCs w:val="24"/>
        </w:rPr>
        <w:t xml:space="preserve"> minimalnego wynagrodzenia za pracę</w:t>
      </w:r>
      <w:r w:rsidR="00F639E4" w:rsidRPr="00BF4514">
        <w:rPr>
          <w:rFonts w:ascii="Times New Roman" w:hAnsi="Times New Roman" w:cs="Times New Roman"/>
          <w:sz w:val="24"/>
          <w:szCs w:val="24"/>
        </w:rPr>
        <w:t xml:space="preserve">. </w:t>
      </w:r>
      <w:r w:rsidR="006079E0" w:rsidRPr="00BF4514">
        <w:rPr>
          <w:rFonts w:ascii="Times New Roman" w:hAnsi="Times New Roman" w:cs="Times New Roman"/>
          <w:sz w:val="24"/>
          <w:szCs w:val="24"/>
        </w:rPr>
        <w:t>Sąd</w:t>
      </w:r>
      <w:r w:rsidR="006622EB">
        <w:rPr>
          <w:rFonts w:ascii="Times New Roman" w:hAnsi="Times New Roman" w:cs="Times New Roman"/>
          <w:sz w:val="24"/>
          <w:szCs w:val="24"/>
        </w:rPr>
        <w:t>,</w:t>
      </w:r>
      <w:r w:rsidR="006079E0" w:rsidRPr="00BF4514">
        <w:rPr>
          <w:rFonts w:ascii="Times New Roman" w:hAnsi="Times New Roman" w:cs="Times New Roman"/>
          <w:sz w:val="24"/>
          <w:szCs w:val="24"/>
        </w:rPr>
        <w:t xml:space="preserve"> nakładając grzywnę musi </w:t>
      </w:r>
      <w:r w:rsidR="00693E6C" w:rsidRPr="00BF4514">
        <w:rPr>
          <w:rFonts w:ascii="Times New Roman" w:hAnsi="Times New Roman" w:cs="Times New Roman"/>
          <w:sz w:val="24"/>
          <w:szCs w:val="24"/>
        </w:rPr>
        <w:t>brać</w:t>
      </w:r>
      <w:r w:rsidR="006079E0" w:rsidRPr="00BF4514">
        <w:rPr>
          <w:rFonts w:ascii="Times New Roman" w:hAnsi="Times New Roman" w:cs="Times New Roman"/>
          <w:sz w:val="24"/>
          <w:szCs w:val="24"/>
        </w:rPr>
        <w:t xml:space="preserve"> pod uwagę </w:t>
      </w:r>
      <w:r w:rsidR="00693E6C" w:rsidRPr="00BF4514">
        <w:rPr>
          <w:rFonts w:ascii="Times New Roman" w:hAnsi="Times New Roman" w:cs="Times New Roman"/>
          <w:sz w:val="24"/>
          <w:szCs w:val="24"/>
        </w:rPr>
        <w:t>okoliczności</w:t>
      </w:r>
      <w:r w:rsidR="006079E0" w:rsidRPr="00BF4514">
        <w:rPr>
          <w:rFonts w:ascii="Times New Roman" w:hAnsi="Times New Roman" w:cs="Times New Roman"/>
          <w:sz w:val="24"/>
          <w:szCs w:val="24"/>
        </w:rPr>
        <w:t xml:space="preserve"> </w:t>
      </w:r>
      <w:r w:rsidR="00693E6C" w:rsidRPr="00BF4514">
        <w:rPr>
          <w:rFonts w:ascii="Times New Roman" w:hAnsi="Times New Roman" w:cs="Times New Roman"/>
          <w:sz w:val="24"/>
          <w:szCs w:val="24"/>
        </w:rPr>
        <w:t>sprawy</w:t>
      </w:r>
      <w:r w:rsidR="006079E0" w:rsidRPr="00BF4514">
        <w:rPr>
          <w:rFonts w:ascii="Times New Roman" w:hAnsi="Times New Roman" w:cs="Times New Roman"/>
          <w:sz w:val="24"/>
          <w:szCs w:val="24"/>
        </w:rPr>
        <w:t xml:space="preserve">, w tym </w:t>
      </w:r>
      <w:r w:rsidR="00693E6C" w:rsidRPr="00BF4514">
        <w:rPr>
          <w:rFonts w:ascii="Times New Roman" w:hAnsi="Times New Roman" w:cs="Times New Roman"/>
          <w:sz w:val="24"/>
          <w:szCs w:val="24"/>
        </w:rPr>
        <w:t>sytuację</w:t>
      </w:r>
      <w:r w:rsidR="006079E0" w:rsidRPr="00BF4514">
        <w:rPr>
          <w:rFonts w:ascii="Times New Roman" w:hAnsi="Times New Roman" w:cs="Times New Roman"/>
          <w:sz w:val="24"/>
          <w:szCs w:val="24"/>
        </w:rPr>
        <w:t xml:space="preserve"> </w:t>
      </w:r>
      <w:r w:rsidR="00F2567F" w:rsidRPr="00BF4514">
        <w:rPr>
          <w:rFonts w:ascii="Times New Roman" w:hAnsi="Times New Roman" w:cs="Times New Roman"/>
          <w:sz w:val="24"/>
          <w:szCs w:val="24"/>
        </w:rPr>
        <w:t xml:space="preserve">majątkową powoda, </w:t>
      </w:r>
      <w:r w:rsidR="00693E6C" w:rsidRPr="00BF4514">
        <w:rPr>
          <w:rFonts w:ascii="Times New Roman" w:hAnsi="Times New Roman" w:cs="Times New Roman"/>
          <w:sz w:val="24"/>
          <w:szCs w:val="24"/>
        </w:rPr>
        <w:t>istotność</w:t>
      </w:r>
      <w:r w:rsidR="00F2567F" w:rsidRPr="00BF4514">
        <w:rPr>
          <w:rFonts w:ascii="Times New Roman" w:hAnsi="Times New Roman" w:cs="Times New Roman"/>
          <w:sz w:val="24"/>
          <w:szCs w:val="24"/>
        </w:rPr>
        <w:t xml:space="preserve"> sprawy, która była </w:t>
      </w:r>
      <w:r w:rsidR="00693E6C" w:rsidRPr="00BF4514">
        <w:rPr>
          <w:rFonts w:ascii="Times New Roman" w:hAnsi="Times New Roman" w:cs="Times New Roman"/>
          <w:sz w:val="24"/>
          <w:szCs w:val="24"/>
        </w:rPr>
        <w:t>przedmiotem</w:t>
      </w:r>
      <w:r w:rsidR="00F2567F" w:rsidRPr="00BF4514">
        <w:rPr>
          <w:rFonts w:ascii="Times New Roman" w:hAnsi="Times New Roman" w:cs="Times New Roman"/>
          <w:sz w:val="24"/>
          <w:szCs w:val="24"/>
        </w:rPr>
        <w:t xml:space="preserve"> debaty </w:t>
      </w:r>
      <w:r w:rsidR="00693E6C" w:rsidRPr="00BF4514">
        <w:rPr>
          <w:rFonts w:ascii="Times New Roman" w:hAnsi="Times New Roman" w:cs="Times New Roman"/>
          <w:sz w:val="24"/>
          <w:szCs w:val="24"/>
        </w:rPr>
        <w:t>publicznej</w:t>
      </w:r>
      <w:r w:rsidR="00933F71" w:rsidRPr="00BF4514">
        <w:rPr>
          <w:rFonts w:ascii="Times New Roman" w:hAnsi="Times New Roman" w:cs="Times New Roman"/>
          <w:sz w:val="24"/>
          <w:szCs w:val="24"/>
        </w:rPr>
        <w:t xml:space="preserve">. </w:t>
      </w:r>
      <w:r w:rsidR="005A204A" w:rsidRPr="00BF4514">
        <w:rPr>
          <w:rFonts w:ascii="Times New Roman" w:hAnsi="Times New Roman" w:cs="Times New Roman"/>
          <w:sz w:val="24"/>
          <w:szCs w:val="24"/>
        </w:rPr>
        <w:t>Drugą z przewidzianych przez ustawodawcę sankcji jest możliwość zobowiązania powoda do opublikowania na własny koszt sentencji wyroku, z jednoczesnym wskazaniem przez sąd miejsca i</w:t>
      </w:r>
      <w:r w:rsidR="004D46F5" w:rsidRPr="00BF4514">
        <w:rPr>
          <w:rFonts w:ascii="Times New Roman" w:hAnsi="Times New Roman" w:cs="Times New Roman"/>
          <w:sz w:val="24"/>
          <w:szCs w:val="24"/>
        </w:rPr>
        <w:t> </w:t>
      </w:r>
      <w:r w:rsidR="005A204A" w:rsidRPr="00BF4514">
        <w:rPr>
          <w:rFonts w:ascii="Times New Roman" w:hAnsi="Times New Roman" w:cs="Times New Roman"/>
          <w:sz w:val="24"/>
          <w:szCs w:val="24"/>
        </w:rPr>
        <w:t>terminu tej publikacji.</w:t>
      </w:r>
    </w:p>
    <w:p w14:paraId="4CBA17B6" w14:textId="27133A6A" w:rsidR="000F512C" w:rsidRPr="00BF4514" w:rsidRDefault="004D07C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Ustawodawca przewidział możliwość odpowiedniego </w:t>
      </w:r>
      <w:r w:rsidR="004E1DE3" w:rsidRPr="00BF4514">
        <w:rPr>
          <w:rFonts w:ascii="Times New Roman" w:hAnsi="Times New Roman" w:cs="Times New Roman"/>
          <w:sz w:val="24"/>
          <w:szCs w:val="24"/>
        </w:rPr>
        <w:t>zastosowania</w:t>
      </w:r>
      <w:r w:rsidRPr="00BF4514">
        <w:rPr>
          <w:rFonts w:ascii="Times New Roman" w:hAnsi="Times New Roman" w:cs="Times New Roman"/>
          <w:sz w:val="24"/>
          <w:szCs w:val="24"/>
        </w:rPr>
        <w:t xml:space="preserve"> przepisu dotyczącego </w:t>
      </w:r>
      <w:r w:rsidR="00933F71" w:rsidRPr="00BF4514">
        <w:rPr>
          <w:rFonts w:ascii="Times New Roman" w:hAnsi="Times New Roman" w:cs="Times New Roman"/>
          <w:sz w:val="24"/>
          <w:szCs w:val="24"/>
        </w:rPr>
        <w:t>n</w:t>
      </w:r>
      <w:r w:rsidRPr="00BF4514">
        <w:rPr>
          <w:rFonts w:ascii="Times New Roman" w:hAnsi="Times New Roman" w:cs="Times New Roman"/>
          <w:sz w:val="24"/>
          <w:szCs w:val="24"/>
        </w:rPr>
        <w:t xml:space="preserve">ałożenia grzywny w sytuacji, gdy </w:t>
      </w:r>
      <w:r w:rsidR="004E1DE3" w:rsidRPr="00BF4514">
        <w:rPr>
          <w:rFonts w:ascii="Times New Roman" w:hAnsi="Times New Roman" w:cs="Times New Roman"/>
          <w:sz w:val="24"/>
          <w:szCs w:val="24"/>
        </w:rPr>
        <w:t>powód ze skutkiem prawnym cofną</w:t>
      </w:r>
      <w:r w:rsidR="00514082" w:rsidRPr="00BF4514">
        <w:rPr>
          <w:rFonts w:ascii="Times New Roman" w:hAnsi="Times New Roman" w:cs="Times New Roman"/>
          <w:sz w:val="24"/>
          <w:szCs w:val="24"/>
        </w:rPr>
        <w:t>ł</w:t>
      </w:r>
      <w:r w:rsidR="004E1DE3" w:rsidRPr="00BF4514">
        <w:rPr>
          <w:rFonts w:ascii="Times New Roman" w:hAnsi="Times New Roman" w:cs="Times New Roman"/>
          <w:sz w:val="24"/>
          <w:szCs w:val="24"/>
        </w:rPr>
        <w:t xml:space="preserve"> pozew.</w:t>
      </w:r>
      <w:r w:rsidR="000F512C" w:rsidRPr="00BF4514">
        <w:rPr>
          <w:rFonts w:ascii="Times New Roman" w:hAnsi="Times New Roman" w:cs="Times New Roman"/>
          <w:sz w:val="24"/>
          <w:szCs w:val="24"/>
        </w:rPr>
        <w:t xml:space="preserve"> Rozwiązanie</w:t>
      </w:r>
      <w:r w:rsidR="00412CC2" w:rsidRPr="00BF4514">
        <w:rPr>
          <w:rFonts w:ascii="Times New Roman" w:hAnsi="Times New Roman" w:cs="Times New Roman"/>
          <w:sz w:val="24"/>
          <w:szCs w:val="24"/>
        </w:rPr>
        <w:t xml:space="preserve"> to zostało przewidziane w art. 8 dyrektywy 2024/1069</w:t>
      </w:r>
      <w:r w:rsidR="000F512C" w:rsidRPr="00BF4514">
        <w:rPr>
          <w:rFonts w:ascii="Times New Roman" w:hAnsi="Times New Roman" w:cs="Times New Roman"/>
          <w:sz w:val="24"/>
          <w:szCs w:val="24"/>
        </w:rPr>
        <w:t xml:space="preserve"> i ma na celu zapobieżenie obchodzeniu przepisów poprzez </w:t>
      </w:r>
      <w:r w:rsidR="00DC522B" w:rsidRPr="00BF4514">
        <w:rPr>
          <w:rFonts w:ascii="Times New Roman" w:hAnsi="Times New Roman" w:cs="Times New Roman"/>
          <w:sz w:val="24"/>
          <w:szCs w:val="24"/>
        </w:rPr>
        <w:t>cofnięcia pozwu</w:t>
      </w:r>
      <w:r w:rsidR="00412CC2" w:rsidRPr="00BF4514">
        <w:rPr>
          <w:rFonts w:ascii="Times New Roman" w:hAnsi="Times New Roman" w:cs="Times New Roman"/>
          <w:sz w:val="24"/>
          <w:szCs w:val="24"/>
        </w:rPr>
        <w:t xml:space="preserve">. </w:t>
      </w:r>
      <w:r w:rsidR="0080051A" w:rsidRPr="00BF4514">
        <w:rPr>
          <w:rFonts w:ascii="Times New Roman" w:hAnsi="Times New Roman" w:cs="Times New Roman"/>
          <w:sz w:val="24"/>
          <w:szCs w:val="24"/>
        </w:rPr>
        <w:t>Zamiarem ustawodawcy jest niedopuszczenie do sytuacji, w której powód, obawiając się zakwalifikowania wniesionego po</w:t>
      </w:r>
      <w:r w:rsidR="00DC522B" w:rsidRPr="00BF4514">
        <w:rPr>
          <w:rFonts w:ascii="Times New Roman" w:hAnsi="Times New Roman" w:cs="Times New Roman"/>
          <w:sz w:val="24"/>
          <w:szCs w:val="24"/>
        </w:rPr>
        <w:t>zwu</w:t>
      </w:r>
      <w:r w:rsidR="0080051A" w:rsidRPr="00BF4514">
        <w:rPr>
          <w:rFonts w:ascii="Times New Roman" w:hAnsi="Times New Roman" w:cs="Times New Roman"/>
          <w:sz w:val="24"/>
          <w:szCs w:val="24"/>
        </w:rPr>
        <w:t xml:space="preserve"> jako nadużycia prawa procesowego, podejmuje decyzję o jego cofnięciu wyłącznie w celu uniknięcia konsekwencji przewidzianych w ustawie.</w:t>
      </w:r>
    </w:p>
    <w:p w14:paraId="62442DF3" w14:textId="4A0CAE8C" w:rsidR="004920BF" w:rsidRPr="00BF4514" w:rsidRDefault="009E3880"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Na postanowienie sądu dotyczące nałożenia </w:t>
      </w:r>
      <w:r w:rsidR="005A6CE4" w:rsidRPr="00BF4514">
        <w:rPr>
          <w:rFonts w:ascii="Times New Roman" w:hAnsi="Times New Roman" w:cs="Times New Roman"/>
          <w:sz w:val="24"/>
          <w:szCs w:val="24"/>
        </w:rPr>
        <w:t xml:space="preserve">grzywny </w:t>
      </w:r>
      <w:r w:rsidR="0056416B" w:rsidRPr="00BF4514">
        <w:rPr>
          <w:rFonts w:ascii="Times New Roman" w:hAnsi="Times New Roman" w:cs="Times New Roman"/>
          <w:sz w:val="24"/>
          <w:szCs w:val="24"/>
        </w:rPr>
        <w:t xml:space="preserve">lub obowiązku publikacji </w:t>
      </w:r>
      <w:r w:rsidR="00AC1C90" w:rsidRPr="00BF4514">
        <w:rPr>
          <w:rFonts w:ascii="Times New Roman" w:hAnsi="Times New Roman" w:cs="Times New Roman"/>
          <w:sz w:val="24"/>
          <w:szCs w:val="24"/>
        </w:rPr>
        <w:t>wyroku</w:t>
      </w:r>
      <w:r w:rsidRPr="00BF4514">
        <w:rPr>
          <w:rFonts w:ascii="Times New Roman" w:hAnsi="Times New Roman" w:cs="Times New Roman"/>
          <w:sz w:val="24"/>
          <w:szCs w:val="24"/>
        </w:rPr>
        <w:t xml:space="preserve"> przysługuje </w:t>
      </w:r>
      <w:r w:rsidR="00AC1C90" w:rsidRPr="00BF4514">
        <w:rPr>
          <w:rFonts w:ascii="Times New Roman" w:hAnsi="Times New Roman" w:cs="Times New Roman"/>
          <w:sz w:val="24"/>
          <w:szCs w:val="24"/>
        </w:rPr>
        <w:t>powodowi</w:t>
      </w:r>
      <w:r w:rsidRPr="00BF4514">
        <w:rPr>
          <w:rFonts w:ascii="Times New Roman" w:hAnsi="Times New Roman" w:cs="Times New Roman"/>
          <w:sz w:val="24"/>
          <w:szCs w:val="24"/>
        </w:rPr>
        <w:t xml:space="preserve"> zażalenie</w:t>
      </w:r>
      <w:r w:rsidR="005A204A" w:rsidRPr="00BF4514">
        <w:rPr>
          <w:rFonts w:ascii="Times New Roman" w:hAnsi="Times New Roman" w:cs="Times New Roman"/>
          <w:sz w:val="24"/>
          <w:szCs w:val="24"/>
        </w:rPr>
        <w:t>,</w:t>
      </w:r>
      <w:r w:rsidR="008501C4" w:rsidRPr="00BF4514">
        <w:rPr>
          <w:rFonts w:ascii="Times New Roman" w:hAnsi="Times New Roman" w:cs="Times New Roman"/>
          <w:sz w:val="24"/>
          <w:szCs w:val="24"/>
        </w:rPr>
        <w:t xml:space="preserve"> o ile nie składa środka zaskarżenia co do istoty sprawy</w:t>
      </w:r>
      <w:r w:rsidR="00DC522B" w:rsidRPr="00BF4514">
        <w:rPr>
          <w:rFonts w:ascii="Times New Roman" w:hAnsi="Times New Roman" w:cs="Times New Roman"/>
          <w:sz w:val="24"/>
          <w:szCs w:val="24"/>
        </w:rPr>
        <w:t>.</w:t>
      </w:r>
      <w:r w:rsidR="006F2068" w:rsidRPr="00BF4514">
        <w:rPr>
          <w:rFonts w:ascii="Times New Roman" w:hAnsi="Times New Roman" w:cs="Times New Roman"/>
          <w:sz w:val="24"/>
          <w:szCs w:val="24"/>
        </w:rPr>
        <w:t xml:space="preserve"> </w:t>
      </w:r>
      <w:r w:rsidR="00DC522B" w:rsidRPr="00BF4514">
        <w:rPr>
          <w:rFonts w:ascii="Times New Roman" w:hAnsi="Times New Roman" w:cs="Times New Roman"/>
          <w:sz w:val="24"/>
          <w:szCs w:val="24"/>
        </w:rPr>
        <w:t>M</w:t>
      </w:r>
      <w:r w:rsidRPr="00BF4514">
        <w:rPr>
          <w:rFonts w:ascii="Times New Roman" w:hAnsi="Times New Roman" w:cs="Times New Roman"/>
          <w:sz w:val="24"/>
          <w:szCs w:val="24"/>
        </w:rPr>
        <w:t>ożliwoś</w:t>
      </w:r>
      <w:r w:rsidR="006F2068" w:rsidRPr="00BF4514">
        <w:rPr>
          <w:rFonts w:ascii="Times New Roman" w:hAnsi="Times New Roman" w:cs="Times New Roman"/>
          <w:sz w:val="24"/>
          <w:szCs w:val="24"/>
        </w:rPr>
        <w:t>ć</w:t>
      </w:r>
      <w:r w:rsidRPr="00BF4514">
        <w:rPr>
          <w:rFonts w:ascii="Times New Roman" w:hAnsi="Times New Roman" w:cs="Times New Roman"/>
          <w:sz w:val="24"/>
          <w:szCs w:val="24"/>
        </w:rPr>
        <w:t xml:space="preserve"> kontroli instancyjnej jest niezbędn</w:t>
      </w:r>
      <w:r w:rsidR="006F2068" w:rsidRPr="00BF4514">
        <w:rPr>
          <w:rFonts w:ascii="Times New Roman" w:hAnsi="Times New Roman" w:cs="Times New Roman"/>
          <w:sz w:val="24"/>
          <w:szCs w:val="24"/>
        </w:rPr>
        <w:t>a</w:t>
      </w:r>
      <w:r w:rsidRPr="00BF4514">
        <w:rPr>
          <w:rFonts w:ascii="Times New Roman" w:hAnsi="Times New Roman" w:cs="Times New Roman"/>
          <w:sz w:val="24"/>
          <w:szCs w:val="24"/>
        </w:rPr>
        <w:t>, aby nie ograniczać prawa do sądu oraz zapewnić pełną ochronę procesową</w:t>
      </w:r>
      <w:r w:rsidR="00DC522B" w:rsidRPr="00BF4514">
        <w:rPr>
          <w:rFonts w:ascii="Times New Roman" w:hAnsi="Times New Roman" w:cs="Times New Roman"/>
          <w:sz w:val="24"/>
          <w:szCs w:val="24"/>
        </w:rPr>
        <w:t>.</w:t>
      </w:r>
      <w:r w:rsidRPr="00BF4514">
        <w:rPr>
          <w:rFonts w:ascii="Times New Roman" w:hAnsi="Times New Roman" w:cs="Times New Roman"/>
          <w:sz w:val="24"/>
          <w:szCs w:val="24"/>
        </w:rPr>
        <w:t xml:space="preserve"> </w:t>
      </w:r>
    </w:p>
    <w:p w14:paraId="67675ED3" w14:textId="4CF98D29" w:rsidR="000C4F73" w:rsidRPr="00BF4514" w:rsidRDefault="0058603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Nałożenie</w:t>
      </w:r>
      <w:r w:rsidR="0035748A" w:rsidRPr="00BF4514">
        <w:rPr>
          <w:rFonts w:ascii="Times New Roman" w:hAnsi="Times New Roman" w:cs="Times New Roman"/>
          <w:sz w:val="24"/>
          <w:szCs w:val="24"/>
        </w:rPr>
        <w:t xml:space="preserve"> grzywny lub obowiązku publikacji </w:t>
      </w:r>
      <w:r w:rsidR="00916A36" w:rsidRPr="00BF4514">
        <w:rPr>
          <w:rFonts w:ascii="Times New Roman" w:hAnsi="Times New Roman" w:cs="Times New Roman"/>
          <w:sz w:val="24"/>
          <w:szCs w:val="24"/>
        </w:rPr>
        <w:t xml:space="preserve">wyroku może </w:t>
      </w:r>
      <w:r w:rsidRPr="00BF4514">
        <w:rPr>
          <w:rFonts w:ascii="Times New Roman" w:hAnsi="Times New Roman" w:cs="Times New Roman"/>
          <w:sz w:val="24"/>
          <w:szCs w:val="24"/>
        </w:rPr>
        <w:t>odbywać</w:t>
      </w:r>
      <w:r w:rsidR="00916A36" w:rsidRPr="00BF4514">
        <w:rPr>
          <w:rFonts w:ascii="Times New Roman" w:hAnsi="Times New Roman" w:cs="Times New Roman"/>
          <w:sz w:val="24"/>
          <w:szCs w:val="24"/>
        </w:rPr>
        <w:t xml:space="preserve"> się z urzędu lub na wniosek. Należy </w:t>
      </w:r>
      <w:r w:rsidRPr="00BF4514">
        <w:rPr>
          <w:rFonts w:ascii="Times New Roman" w:hAnsi="Times New Roman" w:cs="Times New Roman"/>
          <w:sz w:val="24"/>
          <w:szCs w:val="24"/>
        </w:rPr>
        <w:t>założyć</w:t>
      </w:r>
      <w:r w:rsidR="00916A36" w:rsidRPr="00BF4514">
        <w:rPr>
          <w:rFonts w:ascii="Times New Roman" w:hAnsi="Times New Roman" w:cs="Times New Roman"/>
          <w:sz w:val="24"/>
          <w:szCs w:val="24"/>
        </w:rPr>
        <w:t xml:space="preserve">, że osobie dotkniętej </w:t>
      </w:r>
      <w:r w:rsidRPr="00BF4514">
        <w:rPr>
          <w:rFonts w:ascii="Times New Roman" w:hAnsi="Times New Roman" w:cs="Times New Roman"/>
          <w:sz w:val="24"/>
          <w:szCs w:val="24"/>
        </w:rPr>
        <w:t xml:space="preserve">prowadzeniem </w:t>
      </w:r>
      <w:r w:rsidR="00855248" w:rsidRPr="00BF4514">
        <w:rPr>
          <w:rFonts w:ascii="Times New Roman" w:hAnsi="Times New Roman" w:cs="Times New Roman"/>
          <w:sz w:val="24"/>
          <w:szCs w:val="24"/>
        </w:rPr>
        <w:t xml:space="preserve">postępowania typu Slapp może zależeć na uzyskaniu pewnego rodzaju </w:t>
      </w:r>
      <w:r w:rsidRPr="00BF4514">
        <w:rPr>
          <w:rFonts w:ascii="Times New Roman" w:hAnsi="Times New Roman" w:cs="Times New Roman"/>
          <w:sz w:val="24"/>
          <w:szCs w:val="24"/>
        </w:rPr>
        <w:t>zadośćuczynienia</w:t>
      </w:r>
      <w:r w:rsidR="00855248" w:rsidRPr="00BF4514">
        <w:rPr>
          <w:rFonts w:ascii="Times New Roman" w:hAnsi="Times New Roman" w:cs="Times New Roman"/>
          <w:sz w:val="24"/>
          <w:szCs w:val="24"/>
        </w:rPr>
        <w:t xml:space="preserve"> w postaci </w:t>
      </w:r>
      <w:r w:rsidRPr="00BF4514">
        <w:rPr>
          <w:rFonts w:ascii="Times New Roman" w:hAnsi="Times New Roman" w:cs="Times New Roman"/>
          <w:sz w:val="24"/>
          <w:szCs w:val="24"/>
        </w:rPr>
        <w:t>sankcji</w:t>
      </w:r>
      <w:r w:rsidR="00855248" w:rsidRPr="00BF4514">
        <w:rPr>
          <w:rFonts w:ascii="Times New Roman" w:hAnsi="Times New Roman" w:cs="Times New Roman"/>
          <w:sz w:val="24"/>
          <w:szCs w:val="24"/>
        </w:rPr>
        <w:t xml:space="preserve"> na powodzie. </w:t>
      </w:r>
      <w:r w:rsidR="0017508F" w:rsidRPr="00BF4514">
        <w:rPr>
          <w:rFonts w:ascii="Times New Roman" w:hAnsi="Times New Roman" w:cs="Times New Roman"/>
          <w:sz w:val="24"/>
          <w:szCs w:val="24"/>
        </w:rPr>
        <w:t xml:space="preserve">Pozwanemu może także </w:t>
      </w:r>
      <w:r w:rsidRPr="00BF4514">
        <w:rPr>
          <w:rFonts w:ascii="Times New Roman" w:hAnsi="Times New Roman" w:cs="Times New Roman"/>
          <w:sz w:val="24"/>
          <w:szCs w:val="24"/>
        </w:rPr>
        <w:t>zależeć</w:t>
      </w:r>
      <w:r w:rsidR="0017508F" w:rsidRPr="00BF4514">
        <w:rPr>
          <w:rFonts w:ascii="Times New Roman" w:hAnsi="Times New Roman" w:cs="Times New Roman"/>
          <w:sz w:val="24"/>
          <w:szCs w:val="24"/>
        </w:rPr>
        <w:t xml:space="preserve"> na </w:t>
      </w:r>
      <w:r w:rsidRPr="00BF4514">
        <w:rPr>
          <w:rFonts w:ascii="Times New Roman" w:hAnsi="Times New Roman" w:cs="Times New Roman"/>
          <w:sz w:val="24"/>
          <w:szCs w:val="24"/>
        </w:rPr>
        <w:t>orzeczeniu</w:t>
      </w:r>
      <w:r w:rsidR="0017508F" w:rsidRPr="00BF4514">
        <w:rPr>
          <w:rFonts w:ascii="Times New Roman" w:hAnsi="Times New Roman" w:cs="Times New Roman"/>
          <w:sz w:val="24"/>
          <w:szCs w:val="24"/>
        </w:rPr>
        <w:t xml:space="preserve"> </w:t>
      </w:r>
      <w:r w:rsidRPr="00BF4514">
        <w:rPr>
          <w:rFonts w:ascii="Times New Roman" w:hAnsi="Times New Roman" w:cs="Times New Roman"/>
          <w:sz w:val="24"/>
          <w:szCs w:val="24"/>
        </w:rPr>
        <w:t>sankcji</w:t>
      </w:r>
      <w:r w:rsidR="0017508F" w:rsidRPr="00BF4514">
        <w:rPr>
          <w:rFonts w:ascii="Times New Roman" w:hAnsi="Times New Roman" w:cs="Times New Roman"/>
          <w:sz w:val="24"/>
          <w:szCs w:val="24"/>
        </w:rPr>
        <w:t xml:space="preserve">, które będą stanowić tamę na </w:t>
      </w:r>
      <w:r w:rsidRPr="00BF4514">
        <w:rPr>
          <w:rFonts w:ascii="Times New Roman" w:hAnsi="Times New Roman" w:cs="Times New Roman"/>
          <w:sz w:val="24"/>
          <w:szCs w:val="24"/>
        </w:rPr>
        <w:t>przyszłość</w:t>
      </w:r>
      <w:r w:rsidR="0017508F" w:rsidRPr="00BF4514">
        <w:rPr>
          <w:rFonts w:ascii="Times New Roman" w:hAnsi="Times New Roman" w:cs="Times New Roman"/>
          <w:sz w:val="24"/>
          <w:szCs w:val="24"/>
        </w:rPr>
        <w:t xml:space="preserve"> przed takimi postepowaniami. Tak wobec niego</w:t>
      </w:r>
      <w:r w:rsidR="006622EB">
        <w:rPr>
          <w:rFonts w:ascii="Times New Roman" w:hAnsi="Times New Roman" w:cs="Times New Roman"/>
          <w:sz w:val="24"/>
          <w:szCs w:val="24"/>
        </w:rPr>
        <w:t>,</w:t>
      </w:r>
      <w:r w:rsidR="0017508F" w:rsidRPr="00BF4514">
        <w:rPr>
          <w:rFonts w:ascii="Times New Roman" w:hAnsi="Times New Roman" w:cs="Times New Roman"/>
          <w:sz w:val="24"/>
          <w:szCs w:val="24"/>
        </w:rPr>
        <w:t xml:space="preserve"> jak i innych </w:t>
      </w:r>
      <w:r w:rsidRPr="00BF4514">
        <w:rPr>
          <w:rFonts w:ascii="Times New Roman" w:hAnsi="Times New Roman" w:cs="Times New Roman"/>
          <w:sz w:val="24"/>
          <w:szCs w:val="24"/>
        </w:rPr>
        <w:t>uczestników</w:t>
      </w:r>
      <w:r w:rsidR="0017508F" w:rsidRPr="00BF4514">
        <w:rPr>
          <w:rFonts w:ascii="Times New Roman" w:hAnsi="Times New Roman" w:cs="Times New Roman"/>
          <w:sz w:val="24"/>
          <w:szCs w:val="24"/>
        </w:rPr>
        <w:t xml:space="preserve"> debaty publicznej. </w:t>
      </w:r>
    </w:p>
    <w:p w14:paraId="70CEDB46" w14:textId="554BDBC4" w:rsidR="006A48FA" w:rsidRPr="00BF4514" w:rsidRDefault="004920B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w:t>
      </w:r>
      <w:r w:rsidR="00452522" w:rsidRPr="00BF4514">
        <w:rPr>
          <w:rFonts w:ascii="Times New Roman" w:hAnsi="Times New Roman" w:cs="Times New Roman"/>
          <w:b/>
          <w:bCs/>
          <w:sz w:val="24"/>
          <w:szCs w:val="24"/>
        </w:rPr>
        <w:t>14</w:t>
      </w:r>
      <w:r w:rsidR="00965801" w:rsidRPr="00BF4514">
        <w:rPr>
          <w:rFonts w:ascii="Times New Roman" w:hAnsi="Times New Roman" w:cs="Times New Roman"/>
          <w:b/>
          <w:bCs/>
          <w:sz w:val="24"/>
          <w:szCs w:val="24"/>
        </w:rPr>
        <w:t xml:space="preserve"> </w:t>
      </w:r>
      <w:r w:rsidR="006A48FA" w:rsidRPr="00BF4514">
        <w:rPr>
          <w:rFonts w:ascii="Times New Roman" w:hAnsi="Times New Roman" w:cs="Times New Roman"/>
          <w:sz w:val="24"/>
          <w:szCs w:val="24"/>
        </w:rPr>
        <w:t xml:space="preserve">Artykuł </w:t>
      </w:r>
      <w:r w:rsidR="00452522" w:rsidRPr="00BF4514">
        <w:rPr>
          <w:rFonts w:ascii="Times New Roman" w:hAnsi="Times New Roman" w:cs="Times New Roman"/>
          <w:sz w:val="24"/>
          <w:szCs w:val="24"/>
        </w:rPr>
        <w:t>14</w:t>
      </w:r>
      <w:r w:rsidR="00C00CC8" w:rsidRPr="00BF4514">
        <w:rPr>
          <w:rFonts w:ascii="Times New Roman" w:hAnsi="Times New Roman" w:cs="Times New Roman"/>
          <w:sz w:val="24"/>
          <w:szCs w:val="24"/>
        </w:rPr>
        <w:t xml:space="preserve"> – implementujący do polskiego porządku prawnego art. 14 dyrektywy 2024/1069 –</w:t>
      </w:r>
      <w:r w:rsidR="006A48FA" w:rsidRPr="00BF4514">
        <w:rPr>
          <w:rFonts w:ascii="Times New Roman" w:hAnsi="Times New Roman" w:cs="Times New Roman"/>
          <w:sz w:val="24"/>
          <w:szCs w:val="24"/>
        </w:rPr>
        <w:t xml:space="preserve"> został wprowadzony w odpowiedzi na potrzebę pełniejszego zabezpieczenia</w:t>
      </w:r>
      <w:r w:rsidR="005A5513" w:rsidRPr="00BF4514">
        <w:rPr>
          <w:rFonts w:ascii="Times New Roman" w:hAnsi="Times New Roman" w:cs="Times New Roman"/>
          <w:sz w:val="24"/>
          <w:szCs w:val="24"/>
        </w:rPr>
        <w:t xml:space="preserve"> sytuacji</w:t>
      </w:r>
      <w:r w:rsidR="006A48FA" w:rsidRPr="00BF4514">
        <w:rPr>
          <w:rFonts w:ascii="Times New Roman" w:hAnsi="Times New Roman" w:cs="Times New Roman"/>
          <w:sz w:val="24"/>
          <w:szCs w:val="24"/>
        </w:rPr>
        <w:t xml:space="preserve"> pozwanego w</w:t>
      </w:r>
      <w:r w:rsidR="004D46F5" w:rsidRPr="00BF4514">
        <w:rPr>
          <w:rFonts w:ascii="Times New Roman" w:hAnsi="Times New Roman" w:cs="Times New Roman"/>
          <w:sz w:val="24"/>
          <w:szCs w:val="24"/>
        </w:rPr>
        <w:t> </w:t>
      </w:r>
      <w:r w:rsidR="006A48FA" w:rsidRPr="00BF4514">
        <w:rPr>
          <w:rFonts w:ascii="Times New Roman" w:hAnsi="Times New Roman" w:cs="Times New Roman"/>
          <w:sz w:val="24"/>
          <w:szCs w:val="24"/>
        </w:rPr>
        <w:t xml:space="preserve">zakresie </w:t>
      </w:r>
      <w:r w:rsidR="00203207" w:rsidRPr="00BF4514">
        <w:rPr>
          <w:rFonts w:ascii="Times New Roman" w:hAnsi="Times New Roman" w:cs="Times New Roman"/>
          <w:sz w:val="24"/>
          <w:szCs w:val="24"/>
        </w:rPr>
        <w:t xml:space="preserve">otrzymania </w:t>
      </w:r>
      <w:r w:rsidR="006A48FA" w:rsidRPr="00BF4514">
        <w:rPr>
          <w:rFonts w:ascii="Times New Roman" w:hAnsi="Times New Roman" w:cs="Times New Roman"/>
          <w:sz w:val="24"/>
          <w:szCs w:val="24"/>
        </w:rPr>
        <w:t xml:space="preserve">zwrotu kosztów postępowania. Podstawowe zasady dotyczące zwrotu kosztów wynikają z ogólnych regulacji </w:t>
      </w:r>
      <w:r w:rsidR="00B2320D" w:rsidRPr="00BF4514">
        <w:rPr>
          <w:rFonts w:ascii="Times New Roman" w:hAnsi="Times New Roman" w:cs="Times New Roman"/>
          <w:sz w:val="24"/>
          <w:szCs w:val="24"/>
        </w:rPr>
        <w:t>KPC</w:t>
      </w:r>
      <w:r w:rsidR="009C0455" w:rsidRPr="00BF4514">
        <w:rPr>
          <w:rFonts w:ascii="Times New Roman" w:hAnsi="Times New Roman" w:cs="Times New Roman"/>
          <w:sz w:val="24"/>
          <w:szCs w:val="24"/>
        </w:rPr>
        <w:t>, w którym d</w:t>
      </w:r>
      <w:r w:rsidR="006A48FA" w:rsidRPr="00BF4514">
        <w:rPr>
          <w:rFonts w:ascii="Times New Roman" w:hAnsi="Times New Roman" w:cs="Times New Roman"/>
          <w:sz w:val="24"/>
          <w:szCs w:val="24"/>
        </w:rPr>
        <w:t xml:space="preserve">o katalogu kosztów </w:t>
      </w:r>
      <w:r w:rsidR="00DB7849" w:rsidRPr="00BF4514">
        <w:rPr>
          <w:rFonts w:ascii="Times New Roman" w:hAnsi="Times New Roman" w:cs="Times New Roman"/>
          <w:sz w:val="24"/>
          <w:szCs w:val="24"/>
        </w:rPr>
        <w:t xml:space="preserve">podlegających zwrotowi, </w:t>
      </w:r>
      <w:r w:rsidR="006A48FA" w:rsidRPr="00BF4514">
        <w:rPr>
          <w:rFonts w:ascii="Times New Roman" w:hAnsi="Times New Roman" w:cs="Times New Roman"/>
          <w:sz w:val="24"/>
          <w:szCs w:val="24"/>
        </w:rPr>
        <w:t>w przypadku strony reprezentowanej przez adwokata</w:t>
      </w:r>
      <w:r w:rsidR="00DB7849" w:rsidRPr="00BF4514">
        <w:rPr>
          <w:rFonts w:ascii="Times New Roman" w:hAnsi="Times New Roman" w:cs="Times New Roman"/>
          <w:sz w:val="24"/>
          <w:szCs w:val="24"/>
        </w:rPr>
        <w:t>,</w:t>
      </w:r>
      <w:r w:rsidR="006A48FA" w:rsidRPr="00BF4514">
        <w:rPr>
          <w:rFonts w:ascii="Times New Roman" w:hAnsi="Times New Roman" w:cs="Times New Roman"/>
          <w:sz w:val="24"/>
          <w:szCs w:val="24"/>
        </w:rPr>
        <w:t xml:space="preserve"> zalicza się wynagrodzenie pełnomocnika, przy czym jego wysokość nie może przekroczyć stawek opłat określonych w odrębnych przepisach. W sprawach o</w:t>
      </w:r>
      <w:r w:rsidR="004D46F5" w:rsidRPr="00BF4514">
        <w:rPr>
          <w:rFonts w:ascii="Times New Roman" w:hAnsi="Times New Roman" w:cs="Times New Roman"/>
          <w:sz w:val="24"/>
          <w:szCs w:val="24"/>
        </w:rPr>
        <w:t> </w:t>
      </w:r>
      <w:r w:rsidR="008C5B46" w:rsidRPr="00BF4514">
        <w:rPr>
          <w:rFonts w:ascii="Times New Roman" w:hAnsi="Times New Roman" w:cs="Times New Roman"/>
          <w:sz w:val="24"/>
          <w:szCs w:val="24"/>
        </w:rPr>
        <w:t xml:space="preserve">ochronę </w:t>
      </w:r>
      <w:r w:rsidR="006A48FA" w:rsidRPr="00BF4514">
        <w:rPr>
          <w:rFonts w:ascii="Times New Roman" w:hAnsi="Times New Roman" w:cs="Times New Roman"/>
          <w:sz w:val="24"/>
          <w:szCs w:val="24"/>
        </w:rPr>
        <w:t xml:space="preserve">dóbr osobistych stawki te </w:t>
      </w:r>
      <w:r w:rsidR="006A48FA" w:rsidRPr="00BF4514">
        <w:rPr>
          <w:rFonts w:ascii="Times New Roman" w:hAnsi="Times New Roman" w:cs="Times New Roman"/>
          <w:sz w:val="24"/>
          <w:szCs w:val="24"/>
        </w:rPr>
        <w:lastRenderedPageBreak/>
        <w:t xml:space="preserve">wynoszą 720 zł, a </w:t>
      </w:r>
      <w:r w:rsidR="00C5586D" w:rsidRPr="00BF4514">
        <w:rPr>
          <w:rFonts w:ascii="Times New Roman" w:hAnsi="Times New Roman" w:cs="Times New Roman"/>
          <w:sz w:val="24"/>
          <w:szCs w:val="24"/>
        </w:rPr>
        <w:t xml:space="preserve">jeżeli nakład pracy pełnomocnika to uzasadnia, </w:t>
      </w:r>
      <w:r w:rsidR="0006521D" w:rsidRPr="00BF4514">
        <w:rPr>
          <w:rFonts w:ascii="Times New Roman" w:hAnsi="Times New Roman" w:cs="Times New Roman"/>
          <w:sz w:val="24"/>
          <w:szCs w:val="24"/>
        </w:rPr>
        <w:t xml:space="preserve">zwrot kosztów </w:t>
      </w:r>
      <w:r w:rsidR="00C5586D" w:rsidRPr="00BF4514">
        <w:rPr>
          <w:rFonts w:ascii="Times New Roman" w:hAnsi="Times New Roman" w:cs="Times New Roman"/>
          <w:sz w:val="24"/>
          <w:szCs w:val="24"/>
        </w:rPr>
        <w:t>nie może przekroczyć sześciokrotności tej stawki.</w:t>
      </w:r>
      <w:r w:rsidR="006A48FA" w:rsidRPr="00BF4514">
        <w:rPr>
          <w:rFonts w:ascii="Times New Roman" w:hAnsi="Times New Roman" w:cs="Times New Roman"/>
          <w:sz w:val="24"/>
          <w:szCs w:val="24"/>
        </w:rPr>
        <w:t xml:space="preserve"> Należy jednak podkreślić, że w</w:t>
      </w:r>
      <w:r w:rsidR="004D46F5" w:rsidRPr="00BF4514">
        <w:rPr>
          <w:rFonts w:ascii="Times New Roman" w:hAnsi="Times New Roman" w:cs="Times New Roman"/>
          <w:sz w:val="24"/>
          <w:szCs w:val="24"/>
        </w:rPr>
        <w:t> </w:t>
      </w:r>
      <w:r w:rsidR="006A48FA" w:rsidRPr="00BF4514">
        <w:rPr>
          <w:rFonts w:ascii="Times New Roman" w:hAnsi="Times New Roman" w:cs="Times New Roman"/>
          <w:sz w:val="24"/>
          <w:szCs w:val="24"/>
        </w:rPr>
        <w:t>rzeczywistości skuteczna obrona w sprawach dotyczących ograniczenia, tłumienia</w:t>
      </w:r>
      <w:r w:rsidR="001817CA" w:rsidRPr="00BF4514">
        <w:rPr>
          <w:rFonts w:ascii="Times New Roman" w:hAnsi="Times New Roman" w:cs="Times New Roman"/>
          <w:sz w:val="24"/>
          <w:szCs w:val="24"/>
        </w:rPr>
        <w:t xml:space="preserve">, </w:t>
      </w:r>
      <w:r w:rsidR="006A48FA" w:rsidRPr="00BF4514">
        <w:rPr>
          <w:rFonts w:ascii="Times New Roman" w:hAnsi="Times New Roman" w:cs="Times New Roman"/>
          <w:sz w:val="24"/>
          <w:szCs w:val="24"/>
        </w:rPr>
        <w:t xml:space="preserve">zakłócenia debaty publicznej </w:t>
      </w:r>
      <w:r w:rsidR="001817CA" w:rsidRPr="00BF4514">
        <w:rPr>
          <w:rFonts w:ascii="Times New Roman" w:hAnsi="Times New Roman" w:cs="Times New Roman"/>
          <w:sz w:val="24"/>
          <w:szCs w:val="24"/>
        </w:rPr>
        <w:t xml:space="preserve">lub szykanowania za udział w niej </w:t>
      </w:r>
      <w:r w:rsidR="006A48FA" w:rsidRPr="00BF4514">
        <w:rPr>
          <w:rFonts w:ascii="Times New Roman" w:hAnsi="Times New Roman" w:cs="Times New Roman"/>
          <w:sz w:val="24"/>
          <w:szCs w:val="24"/>
        </w:rPr>
        <w:t>może wymagać znacznych nakładów finansowych</w:t>
      </w:r>
      <w:r w:rsidR="00C5586D" w:rsidRPr="00BF4514">
        <w:rPr>
          <w:rFonts w:ascii="Times New Roman" w:hAnsi="Times New Roman" w:cs="Times New Roman"/>
          <w:sz w:val="24"/>
          <w:szCs w:val="24"/>
        </w:rPr>
        <w:t xml:space="preserve"> na </w:t>
      </w:r>
      <w:r w:rsidR="00E43A0A" w:rsidRPr="00BF4514">
        <w:rPr>
          <w:rFonts w:ascii="Times New Roman" w:hAnsi="Times New Roman" w:cs="Times New Roman"/>
          <w:sz w:val="24"/>
          <w:szCs w:val="24"/>
        </w:rPr>
        <w:t xml:space="preserve">uzyskanie </w:t>
      </w:r>
      <w:r w:rsidR="0062482F" w:rsidRPr="00BF4514">
        <w:rPr>
          <w:rFonts w:ascii="Times New Roman" w:hAnsi="Times New Roman" w:cs="Times New Roman"/>
          <w:sz w:val="24"/>
          <w:szCs w:val="24"/>
        </w:rPr>
        <w:t xml:space="preserve">odpowiedniej </w:t>
      </w:r>
      <w:r w:rsidR="00E43A0A" w:rsidRPr="00BF4514">
        <w:rPr>
          <w:rFonts w:ascii="Times New Roman" w:hAnsi="Times New Roman" w:cs="Times New Roman"/>
          <w:sz w:val="24"/>
          <w:szCs w:val="24"/>
        </w:rPr>
        <w:t>pomocy prawnej</w:t>
      </w:r>
      <w:r w:rsidR="006A48FA" w:rsidRPr="00BF4514">
        <w:rPr>
          <w:rFonts w:ascii="Times New Roman" w:hAnsi="Times New Roman" w:cs="Times New Roman"/>
          <w:sz w:val="24"/>
          <w:szCs w:val="24"/>
        </w:rPr>
        <w:t>, a także zaangażowania większej liczby prawników. W</w:t>
      </w:r>
      <w:r w:rsidR="004D46F5" w:rsidRPr="00BF4514">
        <w:rPr>
          <w:rFonts w:ascii="Times New Roman" w:hAnsi="Times New Roman" w:cs="Times New Roman"/>
          <w:sz w:val="24"/>
          <w:szCs w:val="24"/>
        </w:rPr>
        <w:t> </w:t>
      </w:r>
      <w:r w:rsidR="006A48FA" w:rsidRPr="00BF4514">
        <w:rPr>
          <w:rFonts w:ascii="Times New Roman" w:hAnsi="Times New Roman" w:cs="Times New Roman"/>
          <w:sz w:val="24"/>
          <w:szCs w:val="24"/>
        </w:rPr>
        <w:t>konsekwencji limit zwrotu kosztów na poziomie 4320 zł, nawet w swojej maksymalnej wysokości, nie stanowiłby rzeczywistego zwrotu poniesionych kosztów prawnych, co mogłoby zniechęcać pozwanych do podejmowania skutecznej obrony przed bezzasadnymi roszczeniami.</w:t>
      </w:r>
    </w:p>
    <w:p w14:paraId="1DB4D4D7" w14:textId="5A3AD0CF" w:rsidR="00807447" w:rsidRPr="00BF4514" w:rsidRDefault="006A48F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Z tych względów ustawodawca zdecydował się na wprowadzenie szczególnej regulacji, umożliwiającej pozwanemu przedstawienie spisu wszystkich kosztów oraz rachunków dokumentujących faktycznie poniesione wydatki na pomoc prawną. </w:t>
      </w:r>
      <w:bookmarkStart w:id="2" w:name="_Hlk197964218"/>
      <w:r w:rsidR="004B6E24" w:rsidRPr="00BF4514">
        <w:rPr>
          <w:rFonts w:ascii="Times New Roman" w:hAnsi="Times New Roman" w:cs="Times New Roman"/>
          <w:sz w:val="24"/>
          <w:szCs w:val="24"/>
        </w:rPr>
        <w:t xml:space="preserve">W razie odrzucenia pozwu lub oddalenia </w:t>
      </w:r>
      <w:r w:rsidR="000C2255" w:rsidRPr="00BF4514">
        <w:rPr>
          <w:rFonts w:ascii="Times New Roman" w:hAnsi="Times New Roman" w:cs="Times New Roman"/>
          <w:sz w:val="24"/>
          <w:szCs w:val="24"/>
        </w:rPr>
        <w:t xml:space="preserve">powództwa </w:t>
      </w:r>
      <w:r w:rsidR="004B6E24" w:rsidRPr="00BF4514">
        <w:rPr>
          <w:rFonts w:ascii="Times New Roman" w:hAnsi="Times New Roman" w:cs="Times New Roman"/>
          <w:sz w:val="24"/>
          <w:szCs w:val="24"/>
        </w:rPr>
        <w:t xml:space="preserve">w całości lub w części i </w:t>
      </w:r>
      <w:r w:rsidR="000C2255" w:rsidRPr="00BF4514">
        <w:rPr>
          <w:rFonts w:ascii="Times New Roman" w:hAnsi="Times New Roman" w:cs="Times New Roman"/>
          <w:sz w:val="24"/>
          <w:szCs w:val="24"/>
        </w:rPr>
        <w:t>s</w:t>
      </w:r>
      <w:r w:rsidR="004B6E24" w:rsidRPr="00BF4514">
        <w:rPr>
          <w:rFonts w:ascii="Times New Roman" w:hAnsi="Times New Roman" w:cs="Times New Roman"/>
          <w:sz w:val="24"/>
          <w:szCs w:val="24"/>
        </w:rPr>
        <w:t>twierdzenia, że postepowanie zmierzało wyłącznie lub głównie do stłumienia, ograniczenia, zakłócenia debaty publicznej lub szykanowania za udział w niej</w:t>
      </w:r>
      <w:bookmarkEnd w:id="2"/>
      <w:r w:rsidR="004B6E24" w:rsidRPr="00BF4514">
        <w:rPr>
          <w:rFonts w:ascii="Times New Roman" w:hAnsi="Times New Roman" w:cs="Times New Roman"/>
          <w:sz w:val="24"/>
          <w:szCs w:val="24"/>
        </w:rPr>
        <w:t>, s</w:t>
      </w:r>
      <w:r w:rsidRPr="00BF4514">
        <w:rPr>
          <w:rFonts w:ascii="Times New Roman" w:hAnsi="Times New Roman" w:cs="Times New Roman"/>
          <w:sz w:val="24"/>
          <w:szCs w:val="24"/>
        </w:rPr>
        <w:t>ąd, analizując te wydatki, zasądz</w:t>
      </w:r>
      <w:r w:rsidR="000C2255" w:rsidRPr="00BF4514">
        <w:rPr>
          <w:rFonts w:ascii="Times New Roman" w:hAnsi="Times New Roman" w:cs="Times New Roman"/>
          <w:sz w:val="24"/>
          <w:szCs w:val="24"/>
        </w:rPr>
        <w:t>a</w:t>
      </w:r>
      <w:r w:rsidRPr="00BF4514">
        <w:rPr>
          <w:rFonts w:ascii="Times New Roman" w:hAnsi="Times New Roman" w:cs="Times New Roman"/>
          <w:sz w:val="24"/>
          <w:szCs w:val="24"/>
        </w:rPr>
        <w:t xml:space="preserve"> zwrot kosztów w </w:t>
      </w:r>
      <w:r w:rsidR="0066185C" w:rsidRPr="00BF4514">
        <w:rPr>
          <w:rFonts w:ascii="Times New Roman" w:hAnsi="Times New Roman" w:cs="Times New Roman"/>
          <w:sz w:val="24"/>
          <w:szCs w:val="24"/>
        </w:rPr>
        <w:t xml:space="preserve">pełnej </w:t>
      </w:r>
      <w:r w:rsidRPr="00BF4514">
        <w:rPr>
          <w:rFonts w:ascii="Times New Roman" w:hAnsi="Times New Roman" w:cs="Times New Roman"/>
          <w:sz w:val="24"/>
          <w:szCs w:val="24"/>
        </w:rPr>
        <w:t xml:space="preserve">wysokości, pod </w:t>
      </w:r>
      <w:r w:rsidR="007268E7" w:rsidRPr="00BF4514">
        <w:rPr>
          <w:rFonts w:ascii="Times New Roman" w:hAnsi="Times New Roman" w:cs="Times New Roman"/>
          <w:sz w:val="24"/>
          <w:szCs w:val="24"/>
        </w:rPr>
        <w:t>warunkiem</w:t>
      </w:r>
      <w:r w:rsidRPr="00BF4514">
        <w:rPr>
          <w:rFonts w:ascii="Times New Roman" w:hAnsi="Times New Roman" w:cs="Times New Roman"/>
          <w:sz w:val="24"/>
          <w:szCs w:val="24"/>
        </w:rPr>
        <w:t xml:space="preserve"> że koszty te nie są nadmierne</w:t>
      </w:r>
      <w:r w:rsidR="00F211AE" w:rsidRPr="00BF4514">
        <w:rPr>
          <w:rFonts w:ascii="Times New Roman" w:hAnsi="Times New Roman" w:cs="Times New Roman"/>
          <w:sz w:val="24"/>
          <w:szCs w:val="24"/>
        </w:rPr>
        <w:t xml:space="preserve"> </w:t>
      </w:r>
      <w:r w:rsidR="00C25B7A" w:rsidRPr="00BF4514">
        <w:rPr>
          <w:rFonts w:ascii="Times New Roman" w:hAnsi="Times New Roman" w:cs="Times New Roman"/>
          <w:sz w:val="24"/>
          <w:szCs w:val="24"/>
        </w:rPr>
        <w:t>–</w:t>
      </w:r>
      <w:r w:rsidR="008C5B46" w:rsidRPr="00BF4514">
        <w:rPr>
          <w:rFonts w:ascii="Times New Roman" w:hAnsi="Times New Roman" w:cs="Times New Roman"/>
          <w:sz w:val="24"/>
          <w:szCs w:val="24"/>
        </w:rPr>
        <w:t xml:space="preserve"> to jest</w:t>
      </w:r>
      <w:r w:rsidR="00F211AE" w:rsidRPr="00BF4514">
        <w:rPr>
          <w:rFonts w:ascii="Times New Roman" w:hAnsi="Times New Roman" w:cs="Times New Roman"/>
          <w:sz w:val="24"/>
          <w:szCs w:val="24"/>
        </w:rPr>
        <w:t xml:space="preserve"> </w:t>
      </w:r>
      <w:r w:rsidRPr="00BF4514">
        <w:rPr>
          <w:rFonts w:ascii="Times New Roman" w:hAnsi="Times New Roman" w:cs="Times New Roman"/>
          <w:sz w:val="24"/>
          <w:szCs w:val="24"/>
        </w:rPr>
        <w:t xml:space="preserve">kwoty wykazane w rachunkach </w:t>
      </w:r>
      <w:r w:rsidR="00F211AE" w:rsidRPr="00BF4514">
        <w:rPr>
          <w:rFonts w:ascii="Times New Roman" w:hAnsi="Times New Roman" w:cs="Times New Roman"/>
          <w:sz w:val="24"/>
          <w:szCs w:val="24"/>
        </w:rPr>
        <w:t xml:space="preserve">nie </w:t>
      </w:r>
      <w:r w:rsidRPr="00BF4514">
        <w:rPr>
          <w:rFonts w:ascii="Times New Roman" w:hAnsi="Times New Roman" w:cs="Times New Roman"/>
          <w:sz w:val="24"/>
          <w:szCs w:val="24"/>
        </w:rPr>
        <w:t>są rażąco wygórowane i korelują ze standardowymi stawkami obowiązującymi na rynku usług prawnych.</w:t>
      </w:r>
      <w:r w:rsidR="00F211AE" w:rsidRPr="00BF4514">
        <w:rPr>
          <w:rFonts w:ascii="Times New Roman" w:hAnsi="Times New Roman" w:cs="Times New Roman"/>
          <w:sz w:val="24"/>
          <w:szCs w:val="24"/>
        </w:rPr>
        <w:t xml:space="preserve"> </w:t>
      </w:r>
      <w:r w:rsidRPr="00BF4514">
        <w:rPr>
          <w:rFonts w:ascii="Times New Roman" w:hAnsi="Times New Roman" w:cs="Times New Roman"/>
          <w:sz w:val="24"/>
          <w:szCs w:val="24"/>
        </w:rPr>
        <w:t>Regulacja ta ma na celu zapewnienie rzeczywistej i</w:t>
      </w:r>
      <w:r w:rsidR="004D46F5" w:rsidRPr="00BF4514">
        <w:rPr>
          <w:rFonts w:ascii="Times New Roman" w:hAnsi="Times New Roman" w:cs="Times New Roman"/>
          <w:sz w:val="24"/>
          <w:szCs w:val="24"/>
        </w:rPr>
        <w:t> </w:t>
      </w:r>
      <w:r w:rsidRPr="00BF4514">
        <w:rPr>
          <w:rFonts w:ascii="Times New Roman" w:hAnsi="Times New Roman" w:cs="Times New Roman"/>
          <w:sz w:val="24"/>
          <w:szCs w:val="24"/>
        </w:rPr>
        <w:t>efektywnej ochrony pozwany</w:t>
      </w:r>
      <w:r w:rsidR="0066185C" w:rsidRPr="00BF4514">
        <w:rPr>
          <w:rFonts w:ascii="Times New Roman" w:hAnsi="Times New Roman" w:cs="Times New Roman"/>
          <w:sz w:val="24"/>
          <w:szCs w:val="24"/>
        </w:rPr>
        <w:t>ch</w:t>
      </w:r>
      <w:r w:rsidRPr="00BF4514">
        <w:rPr>
          <w:rFonts w:ascii="Times New Roman" w:hAnsi="Times New Roman" w:cs="Times New Roman"/>
          <w:sz w:val="24"/>
          <w:szCs w:val="24"/>
        </w:rPr>
        <w:t>, którzy często znajdują się w sytuacji wymagającej rozległej i</w:t>
      </w:r>
      <w:r w:rsidR="004D46F5" w:rsidRPr="00BF4514">
        <w:rPr>
          <w:rFonts w:ascii="Times New Roman" w:hAnsi="Times New Roman" w:cs="Times New Roman"/>
          <w:sz w:val="24"/>
          <w:szCs w:val="24"/>
        </w:rPr>
        <w:t> </w:t>
      </w:r>
      <w:r w:rsidRPr="00BF4514">
        <w:rPr>
          <w:rFonts w:ascii="Times New Roman" w:hAnsi="Times New Roman" w:cs="Times New Roman"/>
          <w:sz w:val="24"/>
          <w:szCs w:val="24"/>
        </w:rPr>
        <w:t xml:space="preserve">intensywnej obrony prawnej, a standardowe zasady zwrotu kosztów mogłyby prowadzić do obciążenia </w:t>
      </w:r>
      <w:r w:rsidR="00811A40" w:rsidRPr="00BF4514">
        <w:rPr>
          <w:rFonts w:ascii="Times New Roman" w:hAnsi="Times New Roman" w:cs="Times New Roman"/>
          <w:sz w:val="24"/>
          <w:szCs w:val="24"/>
        </w:rPr>
        <w:t xml:space="preserve">ich </w:t>
      </w:r>
      <w:r w:rsidRPr="00BF4514">
        <w:rPr>
          <w:rFonts w:ascii="Times New Roman" w:hAnsi="Times New Roman" w:cs="Times New Roman"/>
          <w:sz w:val="24"/>
          <w:szCs w:val="24"/>
        </w:rPr>
        <w:t>nieproporcjonalnymi kosztami postępowania.</w:t>
      </w:r>
      <w:r w:rsidR="00E84633" w:rsidRPr="00BF4514">
        <w:rPr>
          <w:rFonts w:ascii="Times New Roman" w:hAnsi="Times New Roman" w:cs="Times New Roman"/>
          <w:sz w:val="24"/>
          <w:szCs w:val="24"/>
        </w:rPr>
        <w:t xml:space="preserve"> Powyższe regulacje mają odpowiednie zastosowanie w sytuacji, gdy powód ze skutkiem prawnym cofną</w:t>
      </w:r>
      <w:r w:rsidR="006622EB">
        <w:rPr>
          <w:rFonts w:ascii="Times New Roman" w:hAnsi="Times New Roman" w:cs="Times New Roman"/>
          <w:sz w:val="24"/>
          <w:szCs w:val="24"/>
        </w:rPr>
        <w:t>ł</w:t>
      </w:r>
      <w:r w:rsidR="00E84633" w:rsidRPr="00BF4514">
        <w:rPr>
          <w:rFonts w:ascii="Times New Roman" w:hAnsi="Times New Roman" w:cs="Times New Roman"/>
          <w:sz w:val="24"/>
          <w:szCs w:val="24"/>
        </w:rPr>
        <w:t xml:space="preserve"> pozew.</w:t>
      </w:r>
    </w:p>
    <w:p w14:paraId="72F1469A" w14:textId="1D69708A" w:rsidR="00FB2C8A" w:rsidRPr="00BF4514" w:rsidRDefault="00944B3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Art. 15</w:t>
      </w:r>
      <w:r w:rsidR="007B3B9F" w:rsidRPr="00BF4514">
        <w:rPr>
          <w:rFonts w:ascii="Times New Roman" w:hAnsi="Times New Roman" w:cs="Times New Roman"/>
          <w:sz w:val="24"/>
          <w:szCs w:val="24"/>
        </w:rPr>
        <w:t xml:space="preserve"> </w:t>
      </w:r>
      <w:r w:rsidR="006511AF" w:rsidRPr="00BF4514">
        <w:rPr>
          <w:rFonts w:ascii="Times New Roman" w:hAnsi="Times New Roman" w:cs="Times New Roman"/>
          <w:sz w:val="24"/>
          <w:szCs w:val="24"/>
        </w:rPr>
        <w:t xml:space="preserve">Przepis stanowi implementację artykułu 17 dyrektywy 2024/1069. </w:t>
      </w:r>
      <w:r w:rsidR="001F4FC0" w:rsidRPr="00BF4514">
        <w:rPr>
          <w:rFonts w:ascii="Times New Roman" w:hAnsi="Times New Roman" w:cs="Times New Roman"/>
          <w:sz w:val="24"/>
          <w:szCs w:val="24"/>
        </w:rPr>
        <w:t>R</w:t>
      </w:r>
      <w:r w:rsidR="00FB2C8A" w:rsidRPr="00BF4514">
        <w:rPr>
          <w:rFonts w:ascii="Times New Roman" w:hAnsi="Times New Roman" w:cs="Times New Roman"/>
          <w:sz w:val="24"/>
          <w:szCs w:val="24"/>
        </w:rPr>
        <w:t xml:space="preserve">egulacja ma na celu zapewnienie realnej i skutecznej ochrony </w:t>
      </w:r>
      <w:r w:rsidR="000050FA" w:rsidRPr="00BF4514">
        <w:rPr>
          <w:rFonts w:ascii="Times New Roman" w:hAnsi="Times New Roman" w:cs="Times New Roman"/>
          <w:sz w:val="24"/>
          <w:szCs w:val="24"/>
        </w:rPr>
        <w:t>osó</w:t>
      </w:r>
      <w:r w:rsidR="00062A82" w:rsidRPr="00BF4514">
        <w:rPr>
          <w:rFonts w:ascii="Times New Roman" w:hAnsi="Times New Roman" w:cs="Times New Roman"/>
          <w:sz w:val="24"/>
          <w:szCs w:val="24"/>
        </w:rPr>
        <w:t>b zaangażowanych w debatę publiczną</w:t>
      </w:r>
      <w:r w:rsidR="00FB2C8A" w:rsidRPr="00BF4514">
        <w:rPr>
          <w:rFonts w:ascii="Times New Roman" w:hAnsi="Times New Roman" w:cs="Times New Roman"/>
          <w:sz w:val="24"/>
          <w:szCs w:val="24"/>
        </w:rPr>
        <w:t xml:space="preserve"> przed nadużywaniem prawa procesowego </w:t>
      </w:r>
      <w:r w:rsidR="00062A82" w:rsidRPr="00BF4514">
        <w:rPr>
          <w:rFonts w:ascii="Times New Roman" w:hAnsi="Times New Roman" w:cs="Times New Roman"/>
          <w:sz w:val="24"/>
          <w:szCs w:val="24"/>
        </w:rPr>
        <w:t xml:space="preserve">przez powodów </w:t>
      </w:r>
      <w:r w:rsidR="00FB2C8A" w:rsidRPr="00BF4514">
        <w:rPr>
          <w:rFonts w:ascii="Times New Roman" w:hAnsi="Times New Roman" w:cs="Times New Roman"/>
          <w:sz w:val="24"/>
          <w:szCs w:val="24"/>
        </w:rPr>
        <w:t>za granicą</w:t>
      </w:r>
      <w:r w:rsidR="002F3D0C" w:rsidRPr="00BF4514">
        <w:rPr>
          <w:rFonts w:ascii="Times New Roman" w:hAnsi="Times New Roman" w:cs="Times New Roman"/>
          <w:sz w:val="24"/>
          <w:szCs w:val="24"/>
        </w:rPr>
        <w:t xml:space="preserve"> – p</w:t>
      </w:r>
      <w:r w:rsidR="00062A82" w:rsidRPr="00BF4514">
        <w:rPr>
          <w:rFonts w:ascii="Times New Roman" w:hAnsi="Times New Roman" w:cs="Times New Roman"/>
          <w:sz w:val="24"/>
          <w:szCs w:val="24"/>
        </w:rPr>
        <w:t xml:space="preserve">ozwy </w:t>
      </w:r>
      <w:r w:rsidR="00FB2C8A" w:rsidRPr="00BF4514">
        <w:rPr>
          <w:rFonts w:ascii="Times New Roman" w:hAnsi="Times New Roman" w:cs="Times New Roman"/>
          <w:sz w:val="24"/>
          <w:szCs w:val="24"/>
        </w:rPr>
        <w:t>wytaczan</w:t>
      </w:r>
      <w:r w:rsidR="00062A82" w:rsidRPr="00BF4514">
        <w:rPr>
          <w:rFonts w:ascii="Times New Roman" w:hAnsi="Times New Roman" w:cs="Times New Roman"/>
          <w:sz w:val="24"/>
          <w:szCs w:val="24"/>
        </w:rPr>
        <w:t>e</w:t>
      </w:r>
      <w:r w:rsidR="00FB2C8A" w:rsidRPr="00BF4514">
        <w:rPr>
          <w:rFonts w:ascii="Times New Roman" w:hAnsi="Times New Roman" w:cs="Times New Roman"/>
          <w:sz w:val="24"/>
          <w:szCs w:val="24"/>
        </w:rPr>
        <w:t xml:space="preserve"> w państwach trzecich często </w:t>
      </w:r>
      <w:r w:rsidR="00062A82" w:rsidRPr="00BF4514">
        <w:rPr>
          <w:rFonts w:ascii="Times New Roman" w:hAnsi="Times New Roman" w:cs="Times New Roman"/>
          <w:sz w:val="24"/>
          <w:szCs w:val="24"/>
        </w:rPr>
        <w:t>stanowią</w:t>
      </w:r>
      <w:r w:rsidR="00FB2C8A" w:rsidRPr="00BF4514">
        <w:rPr>
          <w:rFonts w:ascii="Times New Roman" w:hAnsi="Times New Roman" w:cs="Times New Roman"/>
          <w:sz w:val="24"/>
          <w:szCs w:val="24"/>
        </w:rPr>
        <w:t xml:space="preserve"> prób</w:t>
      </w:r>
      <w:r w:rsidR="00062A82" w:rsidRPr="00BF4514">
        <w:rPr>
          <w:rFonts w:ascii="Times New Roman" w:hAnsi="Times New Roman" w:cs="Times New Roman"/>
          <w:sz w:val="24"/>
          <w:szCs w:val="24"/>
        </w:rPr>
        <w:t>ę</w:t>
      </w:r>
      <w:r w:rsidR="00FB2C8A" w:rsidRPr="00BF4514">
        <w:rPr>
          <w:rFonts w:ascii="Times New Roman" w:hAnsi="Times New Roman" w:cs="Times New Roman"/>
          <w:sz w:val="24"/>
          <w:szCs w:val="24"/>
        </w:rPr>
        <w:t xml:space="preserve"> obejścia standardów ochrony praw podstawowych obowiązujących w</w:t>
      </w:r>
      <w:r w:rsidR="004D46F5" w:rsidRPr="00BF4514">
        <w:rPr>
          <w:rFonts w:ascii="Times New Roman" w:hAnsi="Times New Roman" w:cs="Times New Roman"/>
          <w:sz w:val="24"/>
          <w:szCs w:val="24"/>
        </w:rPr>
        <w:t> </w:t>
      </w:r>
      <w:r w:rsidR="00FB2C8A" w:rsidRPr="00BF4514">
        <w:rPr>
          <w:rFonts w:ascii="Times New Roman" w:hAnsi="Times New Roman" w:cs="Times New Roman"/>
          <w:sz w:val="24"/>
          <w:szCs w:val="24"/>
        </w:rPr>
        <w:t xml:space="preserve">Unii Europejskiej, w szczególności prawa do wolności wypowiedzi i udziału w debacie publicznej. </w:t>
      </w:r>
    </w:p>
    <w:p w14:paraId="65798D42" w14:textId="27B4B626" w:rsidR="00F934E6" w:rsidRPr="00BF4514" w:rsidRDefault="00F934E6"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Celem </w:t>
      </w:r>
      <w:r w:rsidR="0058603D" w:rsidRPr="00BF4514">
        <w:rPr>
          <w:rFonts w:ascii="Times New Roman" w:hAnsi="Times New Roman" w:cs="Times New Roman"/>
          <w:sz w:val="24"/>
          <w:szCs w:val="24"/>
        </w:rPr>
        <w:t>implementowanej</w:t>
      </w:r>
      <w:r w:rsidR="007A0047" w:rsidRPr="00BF4514">
        <w:rPr>
          <w:rFonts w:ascii="Times New Roman" w:hAnsi="Times New Roman" w:cs="Times New Roman"/>
          <w:sz w:val="24"/>
          <w:szCs w:val="24"/>
        </w:rPr>
        <w:t xml:space="preserve"> Dyrektywy i celem samej ustawy jest </w:t>
      </w:r>
      <w:r w:rsidR="0058603D" w:rsidRPr="00BF4514">
        <w:rPr>
          <w:rFonts w:ascii="Times New Roman" w:hAnsi="Times New Roman" w:cs="Times New Roman"/>
          <w:sz w:val="24"/>
          <w:szCs w:val="24"/>
        </w:rPr>
        <w:t>zapewnienie</w:t>
      </w:r>
      <w:r w:rsidR="007A0047" w:rsidRPr="00BF4514">
        <w:rPr>
          <w:rFonts w:ascii="Times New Roman" w:hAnsi="Times New Roman" w:cs="Times New Roman"/>
          <w:sz w:val="24"/>
          <w:szCs w:val="24"/>
        </w:rPr>
        <w:t xml:space="preserve"> ochrony przed działaniami procesowymi, które </w:t>
      </w:r>
      <w:r w:rsidR="00E70236" w:rsidRPr="00BF4514">
        <w:rPr>
          <w:rFonts w:ascii="Times New Roman" w:hAnsi="Times New Roman" w:cs="Times New Roman"/>
          <w:sz w:val="24"/>
          <w:szCs w:val="24"/>
        </w:rPr>
        <w:t>zmierzają do tłum</w:t>
      </w:r>
      <w:r w:rsidR="0058603D" w:rsidRPr="00BF4514">
        <w:rPr>
          <w:rFonts w:ascii="Times New Roman" w:hAnsi="Times New Roman" w:cs="Times New Roman"/>
          <w:sz w:val="24"/>
          <w:szCs w:val="24"/>
        </w:rPr>
        <w:t xml:space="preserve">ienia </w:t>
      </w:r>
      <w:r w:rsidR="00E70236" w:rsidRPr="00BF4514">
        <w:rPr>
          <w:rFonts w:ascii="Times New Roman" w:hAnsi="Times New Roman" w:cs="Times New Roman"/>
          <w:sz w:val="24"/>
          <w:szCs w:val="24"/>
        </w:rPr>
        <w:t>deb</w:t>
      </w:r>
      <w:r w:rsidR="0058603D" w:rsidRPr="00BF4514">
        <w:rPr>
          <w:rFonts w:ascii="Times New Roman" w:hAnsi="Times New Roman" w:cs="Times New Roman"/>
          <w:sz w:val="24"/>
          <w:szCs w:val="24"/>
        </w:rPr>
        <w:t>aty publicznej</w:t>
      </w:r>
      <w:r w:rsidR="00E70236" w:rsidRPr="00BF4514">
        <w:rPr>
          <w:rFonts w:ascii="Times New Roman" w:hAnsi="Times New Roman" w:cs="Times New Roman"/>
          <w:sz w:val="24"/>
          <w:szCs w:val="24"/>
        </w:rPr>
        <w:t xml:space="preserve">. Przepis art. 15 w ślad za przepisem art. </w:t>
      </w:r>
      <w:r w:rsidR="00CF3393" w:rsidRPr="00BF4514">
        <w:rPr>
          <w:rFonts w:ascii="Times New Roman" w:hAnsi="Times New Roman" w:cs="Times New Roman"/>
          <w:sz w:val="24"/>
          <w:szCs w:val="24"/>
        </w:rPr>
        <w:t xml:space="preserve">17 Dyrektywy zapewnia realną ochronę także, gdyby </w:t>
      </w:r>
      <w:r w:rsidR="0058603D" w:rsidRPr="00BF4514">
        <w:rPr>
          <w:rFonts w:ascii="Times New Roman" w:hAnsi="Times New Roman" w:cs="Times New Roman"/>
          <w:sz w:val="24"/>
          <w:szCs w:val="24"/>
        </w:rPr>
        <w:t>powód</w:t>
      </w:r>
      <w:r w:rsidR="00CF3393" w:rsidRPr="00BF4514">
        <w:rPr>
          <w:rFonts w:ascii="Times New Roman" w:hAnsi="Times New Roman" w:cs="Times New Roman"/>
          <w:sz w:val="24"/>
          <w:szCs w:val="24"/>
        </w:rPr>
        <w:t xml:space="preserve"> wytoczył proces w państwie trzecim. </w:t>
      </w:r>
      <w:r w:rsidR="00FB6B6F" w:rsidRPr="00BF4514">
        <w:rPr>
          <w:rFonts w:ascii="Times New Roman" w:hAnsi="Times New Roman" w:cs="Times New Roman"/>
          <w:sz w:val="24"/>
          <w:szCs w:val="24"/>
        </w:rPr>
        <w:t>Wprowadzana regulacja zapewnia bowiem, że w s</w:t>
      </w:r>
      <w:r w:rsidR="00514082" w:rsidRPr="00BF4514">
        <w:rPr>
          <w:rFonts w:ascii="Times New Roman" w:hAnsi="Times New Roman" w:cs="Times New Roman"/>
          <w:sz w:val="24"/>
          <w:szCs w:val="24"/>
        </w:rPr>
        <w:t>ą</w:t>
      </w:r>
      <w:r w:rsidR="00FB6B6F" w:rsidRPr="00BF4514">
        <w:rPr>
          <w:rFonts w:ascii="Times New Roman" w:hAnsi="Times New Roman" w:cs="Times New Roman"/>
          <w:sz w:val="24"/>
          <w:szCs w:val="24"/>
        </w:rPr>
        <w:t xml:space="preserve">dzie krajowym będzie można dochodzić </w:t>
      </w:r>
      <w:r w:rsidR="00514082" w:rsidRPr="00BF4514">
        <w:rPr>
          <w:rFonts w:ascii="Times New Roman" w:hAnsi="Times New Roman" w:cs="Times New Roman"/>
          <w:sz w:val="24"/>
          <w:szCs w:val="24"/>
        </w:rPr>
        <w:t xml:space="preserve">naprawienia </w:t>
      </w:r>
      <w:r w:rsidR="00FB6B6F" w:rsidRPr="00BF4514">
        <w:rPr>
          <w:rFonts w:ascii="Times New Roman" w:hAnsi="Times New Roman" w:cs="Times New Roman"/>
          <w:sz w:val="24"/>
          <w:szCs w:val="24"/>
        </w:rPr>
        <w:t xml:space="preserve">wszelkich szkód i kosztów z tego </w:t>
      </w:r>
      <w:r w:rsidR="0058603D" w:rsidRPr="00BF4514">
        <w:rPr>
          <w:rFonts w:ascii="Times New Roman" w:hAnsi="Times New Roman" w:cs="Times New Roman"/>
          <w:sz w:val="24"/>
          <w:szCs w:val="24"/>
        </w:rPr>
        <w:t>wynikających</w:t>
      </w:r>
      <w:r w:rsidR="006666AC" w:rsidRPr="00BF4514">
        <w:rPr>
          <w:rFonts w:ascii="Times New Roman" w:hAnsi="Times New Roman" w:cs="Times New Roman"/>
          <w:sz w:val="24"/>
          <w:szCs w:val="24"/>
        </w:rPr>
        <w:t xml:space="preserve">, </w:t>
      </w:r>
      <w:r w:rsidR="00186595" w:rsidRPr="00BF4514">
        <w:rPr>
          <w:rFonts w:ascii="Times New Roman" w:hAnsi="Times New Roman" w:cs="Times New Roman"/>
          <w:sz w:val="24"/>
          <w:szCs w:val="24"/>
        </w:rPr>
        <w:t xml:space="preserve">nawet </w:t>
      </w:r>
      <w:r w:rsidR="0058603D" w:rsidRPr="00BF4514">
        <w:rPr>
          <w:rFonts w:ascii="Times New Roman" w:hAnsi="Times New Roman" w:cs="Times New Roman"/>
          <w:sz w:val="24"/>
          <w:szCs w:val="24"/>
        </w:rPr>
        <w:lastRenderedPageBreak/>
        <w:t>jeśli</w:t>
      </w:r>
      <w:r w:rsidR="00186595" w:rsidRPr="00BF4514">
        <w:rPr>
          <w:rFonts w:ascii="Times New Roman" w:hAnsi="Times New Roman" w:cs="Times New Roman"/>
          <w:sz w:val="24"/>
          <w:szCs w:val="24"/>
        </w:rPr>
        <w:t xml:space="preserve"> proces </w:t>
      </w:r>
      <w:r w:rsidR="0058603D" w:rsidRPr="00BF4514">
        <w:rPr>
          <w:rFonts w:ascii="Times New Roman" w:hAnsi="Times New Roman" w:cs="Times New Roman"/>
          <w:sz w:val="24"/>
          <w:szCs w:val="24"/>
        </w:rPr>
        <w:t>uznany</w:t>
      </w:r>
      <w:r w:rsidR="00186595" w:rsidRPr="00BF4514">
        <w:rPr>
          <w:rFonts w:ascii="Times New Roman" w:hAnsi="Times New Roman" w:cs="Times New Roman"/>
          <w:sz w:val="24"/>
          <w:szCs w:val="24"/>
        </w:rPr>
        <w:t xml:space="preserve"> za Slapp odbywał się w państwie trzecim niebędącym państwem członkowskim Unii Europejskiej. </w:t>
      </w:r>
    </w:p>
    <w:p w14:paraId="5B50D91D" w14:textId="6992515C" w:rsidR="00C2138C" w:rsidRPr="00BF4514" w:rsidRDefault="00FB2C8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Taki mechanizm jurysdykcyjny służy nie tylko zapewnieniu dostępu do sądu, ale także pełni funkcję prewencyjną – zniechęca do formułowania pozwów o charakterze represyjnym w jurysdykcjach zagranicznych wobec osób uczestniczących w debacie publicznej w Polsce. Działa to na rzecz ochrony wolności słowa i przeciwdziałania efektowi mrożącemu, który mógłby wynikać z </w:t>
      </w:r>
      <w:r w:rsidR="008C5B46" w:rsidRPr="00BF4514">
        <w:rPr>
          <w:rFonts w:ascii="Times New Roman" w:hAnsi="Times New Roman" w:cs="Times New Roman"/>
          <w:sz w:val="24"/>
          <w:szCs w:val="24"/>
        </w:rPr>
        <w:t xml:space="preserve">transgranicznych </w:t>
      </w:r>
      <w:r w:rsidRPr="00BF4514">
        <w:rPr>
          <w:rFonts w:ascii="Times New Roman" w:hAnsi="Times New Roman" w:cs="Times New Roman"/>
          <w:sz w:val="24"/>
          <w:szCs w:val="24"/>
        </w:rPr>
        <w:t xml:space="preserve">postępowań </w:t>
      </w:r>
      <w:r w:rsidR="008B175E" w:rsidRPr="00BF4514">
        <w:rPr>
          <w:rFonts w:ascii="Times New Roman" w:hAnsi="Times New Roman" w:cs="Times New Roman"/>
          <w:sz w:val="24"/>
          <w:szCs w:val="24"/>
        </w:rPr>
        <w:t xml:space="preserve">sądowych </w:t>
      </w:r>
      <w:bookmarkStart w:id="3" w:name="_Hlk187339159"/>
      <w:r w:rsidR="008B175E" w:rsidRPr="00BF4514">
        <w:rPr>
          <w:rFonts w:ascii="Times New Roman" w:hAnsi="Times New Roman" w:cs="Times New Roman"/>
          <w:sz w:val="24"/>
          <w:szCs w:val="24"/>
        </w:rPr>
        <w:t xml:space="preserve">zmierzających wyłącznie lub głównie </w:t>
      </w:r>
      <w:bookmarkStart w:id="4" w:name="_Hlk187321687"/>
      <w:r w:rsidR="008B175E" w:rsidRPr="00BF4514">
        <w:rPr>
          <w:rFonts w:ascii="Times New Roman" w:hAnsi="Times New Roman" w:cs="Times New Roman"/>
          <w:sz w:val="24"/>
          <w:szCs w:val="24"/>
        </w:rPr>
        <w:t>do stłumienia, ograniczenia, zakłócenia debaty publicznej</w:t>
      </w:r>
      <w:bookmarkEnd w:id="3"/>
      <w:bookmarkEnd w:id="4"/>
      <w:r w:rsidR="008B175E" w:rsidRPr="00BF4514">
        <w:rPr>
          <w:rFonts w:ascii="Times New Roman" w:hAnsi="Times New Roman" w:cs="Times New Roman"/>
          <w:sz w:val="24"/>
          <w:szCs w:val="24"/>
        </w:rPr>
        <w:t xml:space="preserve"> lub szykanowania za udział w niej</w:t>
      </w:r>
      <w:r w:rsidRPr="00BF4514">
        <w:rPr>
          <w:rFonts w:ascii="Times New Roman" w:hAnsi="Times New Roman" w:cs="Times New Roman"/>
          <w:sz w:val="24"/>
          <w:szCs w:val="24"/>
        </w:rPr>
        <w:t>.</w:t>
      </w:r>
    </w:p>
    <w:p w14:paraId="6EA18F37" w14:textId="4CD0FBF8" w:rsidR="00027DFC" w:rsidRPr="00BF4514" w:rsidRDefault="00944B3F"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Art. 16</w:t>
      </w:r>
      <w:r w:rsidR="0065410E" w:rsidRPr="00BF4514">
        <w:rPr>
          <w:rFonts w:ascii="Times New Roman" w:hAnsi="Times New Roman" w:cs="Times New Roman"/>
          <w:sz w:val="24"/>
          <w:szCs w:val="24"/>
        </w:rPr>
        <w:t xml:space="preserve"> </w:t>
      </w:r>
      <w:r w:rsidR="00FB2C8A" w:rsidRPr="00BF4514">
        <w:rPr>
          <w:rFonts w:ascii="Times New Roman" w:hAnsi="Times New Roman" w:cs="Times New Roman"/>
          <w:b/>
          <w:bCs/>
          <w:sz w:val="24"/>
          <w:szCs w:val="24"/>
        </w:rPr>
        <w:t>oraz art. 17</w:t>
      </w:r>
      <w:r w:rsidR="00FB2C8A" w:rsidRPr="00BF4514">
        <w:rPr>
          <w:rFonts w:ascii="Times New Roman" w:hAnsi="Times New Roman" w:cs="Times New Roman"/>
          <w:sz w:val="24"/>
          <w:szCs w:val="24"/>
        </w:rPr>
        <w:t xml:space="preserve"> </w:t>
      </w:r>
      <w:r w:rsidR="008040D6" w:rsidRPr="00BF4514">
        <w:rPr>
          <w:rFonts w:ascii="Times New Roman" w:hAnsi="Times New Roman" w:cs="Times New Roman"/>
          <w:sz w:val="24"/>
          <w:szCs w:val="24"/>
        </w:rPr>
        <w:t xml:space="preserve">Przepisy </w:t>
      </w:r>
      <w:r w:rsidR="00FB2C8A" w:rsidRPr="00BF4514">
        <w:rPr>
          <w:rFonts w:ascii="Times New Roman" w:hAnsi="Times New Roman" w:cs="Times New Roman"/>
          <w:sz w:val="24"/>
          <w:szCs w:val="24"/>
        </w:rPr>
        <w:t>stanowią implementację art. 19</w:t>
      </w:r>
      <w:r w:rsidR="00390C31" w:rsidRPr="00BF4514">
        <w:rPr>
          <w:rFonts w:ascii="Times New Roman" w:hAnsi="Times New Roman" w:cs="Times New Roman"/>
          <w:sz w:val="24"/>
          <w:szCs w:val="24"/>
        </w:rPr>
        <w:t xml:space="preserve"> </w:t>
      </w:r>
      <w:r w:rsidR="00FB2C8A" w:rsidRPr="00BF4514">
        <w:rPr>
          <w:rFonts w:ascii="Times New Roman" w:hAnsi="Times New Roman" w:cs="Times New Roman"/>
          <w:sz w:val="24"/>
          <w:szCs w:val="24"/>
        </w:rPr>
        <w:t>dyrektywy 2024/1069</w:t>
      </w:r>
      <w:r w:rsidR="0031561E">
        <w:rPr>
          <w:rFonts w:ascii="Times New Roman" w:hAnsi="Times New Roman" w:cs="Times New Roman"/>
          <w:sz w:val="24"/>
          <w:szCs w:val="24"/>
        </w:rPr>
        <w:t>,</w:t>
      </w:r>
      <w:r w:rsidR="00712B7E" w:rsidRPr="00BF4514">
        <w:rPr>
          <w:rFonts w:ascii="Times New Roman" w:hAnsi="Times New Roman" w:cs="Times New Roman"/>
          <w:sz w:val="24"/>
          <w:szCs w:val="24"/>
        </w:rPr>
        <w:t xml:space="preserve"> wypełniając zobowiązanie państw członkowskich do </w:t>
      </w:r>
      <w:r w:rsidR="00BE7597" w:rsidRPr="00BF4514">
        <w:rPr>
          <w:rFonts w:ascii="Times New Roman" w:hAnsi="Times New Roman" w:cs="Times New Roman"/>
          <w:sz w:val="24"/>
          <w:szCs w:val="24"/>
        </w:rPr>
        <w:t>zapewnienia</w:t>
      </w:r>
      <w:r w:rsidR="00666E26" w:rsidRPr="00BF4514">
        <w:rPr>
          <w:rFonts w:ascii="Times New Roman" w:hAnsi="Times New Roman" w:cs="Times New Roman"/>
          <w:sz w:val="24"/>
          <w:szCs w:val="24"/>
        </w:rPr>
        <w:t xml:space="preserve"> </w:t>
      </w:r>
      <w:r w:rsidR="005343CE" w:rsidRPr="00BF4514">
        <w:rPr>
          <w:rFonts w:ascii="Times New Roman" w:hAnsi="Times New Roman" w:cs="Times New Roman"/>
          <w:sz w:val="24"/>
          <w:szCs w:val="24"/>
        </w:rPr>
        <w:t xml:space="preserve">dostępu do informacji dotyczących dostępnych gwarancji proceduralnych i środków ochrony prawnej oraz istniejących środków wsparcia, takich jak </w:t>
      </w:r>
      <w:r w:rsidR="000E665C" w:rsidRPr="00BF4514">
        <w:rPr>
          <w:rFonts w:ascii="Times New Roman" w:hAnsi="Times New Roman" w:cs="Times New Roman"/>
          <w:sz w:val="24"/>
          <w:szCs w:val="24"/>
        </w:rPr>
        <w:t xml:space="preserve">możliwość uzyskania </w:t>
      </w:r>
      <w:r w:rsidR="005343CE" w:rsidRPr="00BF4514">
        <w:rPr>
          <w:rFonts w:ascii="Times New Roman" w:hAnsi="Times New Roman" w:cs="Times New Roman"/>
          <w:sz w:val="24"/>
          <w:szCs w:val="24"/>
        </w:rPr>
        <w:t>pomoc</w:t>
      </w:r>
      <w:r w:rsidR="000E665C" w:rsidRPr="00BF4514">
        <w:rPr>
          <w:rFonts w:ascii="Times New Roman" w:hAnsi="Times New Roman" w:cs="Times New Roman"/>
          <w:sz w:val="24"/>
          <w:szCs w:val="24"/>
        </w:rPr>
        <w:t>y</w:t>
      </w:r>
      <w:r w:rsidR="005343CE" w:rsidRPr="00BF4514">
        <w:rPr>
          <w:rFonts w:ascii="Times New Roman" w:hAnsi="Times New Roman" w:cs="Times New Roman"/>
          <w:sz w:val="24"/>
          <w:szCs w:val="24"/>
        </w:rPr>
        <w:t xml:space="preserve"> prawn</w:t>
      </w:r>
      <w:r w:rsidR="000E665C" w:rsidRPr="00BF4514">
        <w:rPr>
          <w:rFonts w:ascii="Times New Roman" w:hAnsi="Times New Roman" w:cs="Times New Roman"/>
          <w:sz w:val="24"/>
          <w:szCs w:val="24"/>
        </w:rPr>
        <w:t>ej</w:t>
      </w:r>
      <w:r w:rsidR="009A1AA8" w:rsidRPr="00BF4514">
        <w:rPr>
          <w:rFonts w:ascii="Times New Roman" w:hAnsi="Times New Roman" w:cs="Times New Roman"/>
          <w:sz w:val="24"/>
          <w:szCs w:val="24"/>
        </w:rPr>
        <w:t xml:space="preserve"> i</w:t>
      </w:r>
      <w:r w:rsidR="000E665C" w:rsidRPr="00BF4514">
        <w:rPr>
          <w:rFonts w:ascii="Times New Roman" w:hAnsi="Times New Roman" w:cs="Times New Roman"/>
          <w:sz w:val="24"/>
          <w:szCs w:val="24"/>
        </w:rPr>
        <w:t xml:space="preserve"> zwolnienia od kosztów sądowych</w:t>
      </w:r>
      <w:r w:rsidR="005343CE" w:rsidRPr="00BF4514">
        <w:rPr>
          <w:rFonts w:ascii="Times New Roman" w:hAnsi="Times New Roman" w:cs="Times New Roman"/>
          <w:sz w:val="24"/>
          <w:szCs w:val="24"/>
        </w:rPr>
        <w:t xml:space="preserve"> </w:t>
      </w:r>
      <w:r w:rsidR="00666E26" w:rsidRPr="00BF4514">
        <w:rPr>
          <w:rFonts w:ascii="Times New Roman" w:hAnsi="Times New Roman" w:cs="Times New Roman"/>
          <w:sz w:val="24"/>
          <w:szCs w:val="24"/>
        </w:rPr>
        <w:t>oraz do publikacji w łatwo dostępnym formacie elektronicznym prawomocnych orzeczeń wydanych przez krajowe sądy apelacyjne lub krajowe sądy najwyższej instancji w postępowaniach objętych zakresem stosowania dyrektywy 2024/1069.</w:t>
      </w:r>
    </w:p>
    <w:p w14:paraId="4D0ECABD" w14:textId="710F21B7" w:rsidR="001F1D78" w:rsidRPr="00BF4514" w:rsidRDefault="005359E3"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b/>
          <w:bCs/>
          <w:sz w:val="24"/>
          <w:szCs w:val="24"/>
        </w:rPr>
        <w:t xml:space="preserve">Art. </w:t>
      </w:r>
      <w:r w:rsidR="001F1D78" w:rsidRPr="00BF4514">
        <w:rPr>
          <w:rFonts w:ascii="Times New Roman" w:hAnsi="Times New Roman" w:cs="Times New Roman"/>
          <w:b/>
          <w:bCs/>
          <w:sz w:val="24"/>
          <w:szCs w:val="24"/>
        </w:rPr>
        <w:t xml:space="preserve">18, </w:t>
      </w:r>
      <w:r w:rsidR="00BF4514">
        <w:rPr>
          <w:rFonts w:ascii="Times New Roman" w:hAnsi="Times New Roman" w:cs="Times New Roman"/>
          <w:b/>
          <w:bCs/>
          <w:sz w:val="24"/>
          <w:szCs w:val="24"/>
        </w:rPr>
        <w:t xml:space="preserve">art. </w:t>
      </w:r>
      <w:r w:rsidR="00844A7A" w:rsidRPr="00BF4514">
        <w:rPr>
          <w:rFonts w:ascii="Times New Roman" w:hAnsi="Times New Roman" w:cs="Times New Roman"/>
          <w:b/>
          <w:bCs/>
          <w:sz w:val="24"/>
          <w:szCs w:val="24"/>
        </w:rPr>
        <w:t>19</w:t>
      </w:r>
      <w:r w:rsidRPr="00BF4514">
        <w:rPr>
          <w:rFonts w:ascii="Times New Roman" w:hAnsi="Times New Roman" w:cs="Times New Roman"/>
          <w:b/>
          <w:bCs/>
          <w:sz w:val="24"/>
          <w:szCs w:val="24"/>
        </w:rPr>
        <w:t xml:space="preserve"> </w:t>
      </w:r>
      <w:r w:rsidR="00A92E06" w:rsidRPr="00BF4514">
        <w:rPr>
          <w:rFonts w:ascii="Times New Roman" w:hAnsi="Times New Roman" w:cs="Times New Roman"/>
          <w:b/>
          <w:bCs/>
          <w:sz w:val="24"/>
          <w:szCs w:val="24"/>
        </w:rPr>
        <w:t>oraz</w:t>
      </w:r>
      <w:r w:rsidRPr="00BF4514">
        <w:rPr>
          <w:rFonts w:ascii="Times New Roman" w:hAnsi="Times New Roman" w:cs="Times New Roman"/>
          <w:b/>
          <w:bCs/>
          <w:sz w:val="24"/>
          <w:szCs w:val="24"/>
        </w:rPr>
        <w:t xml:space="preserve"> </w:t>
      </w:r>
      <w:r w:rsidR="00BF4514">
        <w:rPr>
          <w:rFonts w:ascii="Times New Roman" w:hAnsi="Times New Roman" w:cs="Times New Roman"/>
          <w:b/>
          <w:bCs/>
          <w:sz w:val="24"/>
          <w:szCs w:val="24"/>
        </w:rPr>
        <w:t xml:space="preserve">art. </w:t>
      </w:r>
      <w:r w:rsidRPr="00BF4514">
        <w:rPr>
          <w:rFonts w:ascii="Times New Roman" w:hAnsi="Times New Roman" w:cs="Times New Roman"/>
          <w:b/>
          <w:bCs/>
          <w:sz w:val="24"/>
          <w:szCs w:val="24"/>
        </w:rPr>
        <w:t>2</w:t>
      </w:r>
      <w:r w:rsidR="00844A7A" w:rsidRPr="00BF4514">
        <w:rPr>
          <w:rFonts w:ascii="Times New Roman" w:hAnsi="Times New Roman" w:cs="Times New Roman"/>
          <w:b/>
          <w:bCs/>
          <w:sz w:val="24"/>
          <w:szCs w:val="24"/>
        </w:rPr>
        <w:t>0</w:t>
      </w:r>
      <w:r w:rsidRPr="00BF4514">
        <w:rPr>
          <w:rFonts w:ascii="Times New Roman" w:hAnsi="Times New Roman" w:cs="Times New Roman"/>
          <w:b/>
          <w:bCs/>
          <w:sz w:val="24"/>
          <w:szCs w:val="24"/>
        </w:rPr>
        <w:t xml:space="preserve"> </w:t>
      </w:r>
      <w:r w:rsidRPr="00BF4514">
        <w:rPr>
          <w:rFonts w:ascii="Times New Roman" w:hAnsi="Times New Roman" w:cs="Times New Roman"/>
          <w:sz w:val="24"/>
          <w:szCs w:val="24"/>
        </w:rPr>
        <w:t xml:space="preserve">Projekt przewiduje </w:t>
      </w:r>
      <w:r w:rsidR="00870A97" w:rsidRPr="00BF4514">
        <w:rPr>
          <w:rFonts w:ascii="Times New Roman" w:hAnsi="Times New Roman" w:cs="Times New Roman"/>
          <w:sz w:val="24"/>
          <w:szCs w:val="24"/>
        </w:rPr>
        <w:t xml:space="preserve">dwutygodniowy </w:t>
      </w:r>
      <w:r w:rsidRPr="00BF4514">
        <w:rPr>
          <w:rFonts w:ascii="Times New Roman" w:hAnsi="Times New Roman" w:cs="Times New Roman"/>
          <w:sz w:val="24"/>
          <w:szCs w:val="24"/>
        </w:rPr>
        <w:t xml:space="preserve">termin vacatio legis pozwalający na przygotowanie się jej adresatów do jej stosowania, w szczególności uczestników debaty publicznej oraz organizacji pozarządowych, których celem jest ochrona tej debaty. Jednocześnie proponuje się, aby ustawa była </w:t>
      </w:r>
      <w:r w:rsidR="001D4D8F" w:rsidRPr="00BF4514">
        <w:rPr>
          <w:rFonts w:ascii="Times New Roman" w:hAnsi="Times New Roman" w:cs="Times New Roman"/>
          <w:sz w:val="24"/>
          <w:szCs w:val="24"/>
        </w:rPr>
        <w:t>stosowana do</w:t>
      </w:r>
      <w:r w:rsidRPr="00BF4514">
        <w:rPr>
          <w:rFonts w:ascii="Times New Roman" w:hAnsi="Times New Roman" w:cs="Times New Roman"/>
          <w:sz w:val="24"/>
          <w:szCs w:val="24"/>
        </w:rPr>
        <w:t xml:space="preserve"> postępowań </w:t>
      </w:r>
      <w:r w:rsidR="002415FC" w:rsidRPr="00BF4514">
        <w:rPr>
          <w:rFonts w:ascii="Times New Roman" w:hAnsi="Times New Roman" w:cs="Times New Roman"/>
          <w:sz w:val="24"/>
          <w:szCs w:val="24"/>
        </w:rPr>
        <w:t xml:space="preserve">wszczętych </w:t>
      </w:r>
      <w:r w:rsidR="00137F15" w:rsidRPr="00BF4514">
        <w:rPr>
          <w:rFonts w:ascii="Times New Roman" w:hAnsi="Times New Roman" w:cs="Times New Roman"/>
          <w:sz w:val="24"/>
          <w:szCs w:val="24"/>
        </w:rPr>
        <w:t xml:space="preserve">po </w:t>
      </w:r>
      <w:r w:rsidRPr="00BF4514">
        <w:rPr>
          <w:rFonts w:ascii="Times New Roman" w:hAnsi="Times New Roman" w:cs="Times New Roman"/>
          <w:sz w:val="24"/>
          <w:szCs w:val="24"/>
        </w:rPr>
        <w:t>jej wejści</w:t>
      </w:r>
      <w:r w:rsidR="00137F15" w:rsidRPr="00BF4514">
        <w:rPr>
          <w:rFonts w:ascii="Times New Roman" w:hAnsi="Times New Roman" w:cs="Times New Roman"/>
          <w:sz w:val="24"/>
          <w:szCs w:val="24"/>
        </w:rPr>
        <w:t>u</w:t>
      </w:r>
      <w:r w:rsidRPr="00BF4514">
        <w:rPr>
          <w:rFonts w:ascii="Times New Roman" w:hAnsi="Times New Roman" w:cs="Times New Roman"/>
          <w:sz w:val="24"/>
          <w:szCs w:val="24"/>
        </w:rPr>
        <w:t xml:space="preserve"> w życie</w:t>
      </w:r>
      <w:r w:rsidR="00137F15" w:rsidRPr="00BF4514">
        <w:rPr>
          <w:rFonts w:ascii="Times New Roman" w:hAnsi="Times New Roman" w:cs="Times New Roman"/>
          <w:sz w:val="24"/>
          <w:szCs w:val="24"/>
        </w:rPr>
        <w:t xml:space="preserve"> ze względu na </w:t>
      </w:r>
      <w:r w:rsidR="00B14976" w:rsidRPr="00BF4514">
        <w:rPr>
          <w:rFonts w:ascii="Times New Roman" w:hAnsi="Times New Roman" w:cs="Times New Roman"/>
          <w:sz w:val="24"/>
          <w:szCs w:val="24"/>
        </w:rPr>
        <w:t>stosowanie</w:t>
      </w:r>
      <w:r w:rsidR="00137F15" w:rsidRPr="00BF4514">
        <w:rPr>
          <w:rFonts w:ascii="Times New Roman" w:hAnsi="Times New Roman" w:cs="Times New Roman"/>
          <w:sz w:val="24"/>
          <w:szCs w:val="24"/>
        </w:rPr>
        <w:t xml:space="preserve"> instytucji procesowych nieznanych </w:t>
      </w:r>
      <w:r w:rsidR="00530C4A" w:rsidRPr="00BF4514">
        <w:rPr>
          <w:rFonts w:ascii="Times New Roman" w:hAnsi="Times New Roman" w:cs="Times New Roman"/>
          <w:sz w:val="24"/>
          <w:szCs w:val="24"/>
        </w:rPr>
        <w:t xml:space="preserve">w </w:t>
      </w:r>
      <w:r w:rsidR="00B14976" w:rsidRPr="00BF4514">
        <w:rPr>
          <w:rFonts w:ascii="Times New Roman" w:hAnsi="Times New Roman" w:cs="Times New Roman"/>
          <w:sz w:val="24"/>
          <w:szCs w:val="24"/>
        </w:rPr>
        <w:t>większości</w:t>
      </w:r>
      <w:r w:rsidR="00530C4A" w:rsidRPr="00BF4514">
        <w:rPr>
          <w:rFonts w:ascii="Times New Roman" w:hAnsi="Times New Roman" w:cs="Times New Roman"/>
          <w:sz w:val="24"/>
          <w:szCs w:val="24"/>
        </w:rPr>
        <w:t xml:space="preserve"> </w:t>
      </w:r>
      <w:r w:rsidR="00B14976" w:rsidRPr="00BF4514">
        <w:rPr>
          <w:rFonts w:ascii="Times New Roman" w:hAnsi="Times New Roman" w:cs="Times New Roman"/>
          <w:sz w:val="24"/>
          <w:szCs w:val="24"/>
        </w:rPr>
        <w:t>wcześniejszej</w:t>
      </w:r>
      <w:r w:rsidR="00530C4A" w:rsidRPr="00BF4514">
        <w:rPr>
          <w:rFonts w:ascii="Times New Roman" w:hAnsi="Times New Roman" w:cs="Times New Roman"/>
          <w:sz w:val="24"/>
          <w:szCs w:val="24"/>
        </w:rPr>
        <w:t xml:space="preserve"> procedurze. </w:t>
      </w:r>
    </w:p>
    <w:p w14:paraId="28877C42" w14:textId="786EE10A" w:rsidR="005359E3" w:rsidRPr="00BF4514" w:rsidRDefault="001F1D78"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Natomiast art. 18 projektowanej ustawy nie został objęty przepisem przejściowym zawartym w art. 19, z tego względu, że intencją Projektodawcy jest</w:t>
      </w:r>
      <w:r w:rsidR="0031561E">
        <w:rPr>
          <w:rFonts w:ascii="Times New Roman" w:hAnsi="Times New Roman" w:cs="Times New Roman"/>
          <w:sz w:val="24"/>
          <w:szCs w:val="24"/>
        </w:rPr>
        <w:t>,</w:t>
      </w:r>
      <w:r w:rsidRPr="00BF4514">
        <w:rPr>
          <w:rFonts w:ascii="Times New Roman" w:hAnsi="Times New Roman" w:cs="Times New Roman"/>
          <w:sz w:val="24"/>
          <w:szCs w:val="24"/>
        </w:rPr>
        <w:t xml:space="preserve"> aby zastosowanie do niego znalazła zasada bezpośredniego stosowania przepisów procesowych, w myśl której nowe przepisy procesowe powinny być stosowane po ich wejściu w życie we wszystkich sprawach będących w toku, bez względu na chwilę ich wszczęcia.</w:t>
      </w:r>
    </w:p>
    <w:p w14:paraId="6B044CB3" w14:textId="77777777" w:rsidR="006C5CDF" w:rsidRPr="00BF4514" w:rsidRDefault="00F647C5"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V. Termin implementacji dyrektywy 2024/1069 oraz obowiązki sprawozdawcze</w:t>
      </w:r>
    </w:p>
    <w:p w14:paraId="4E470C89" w14:textId="6FEF0569" w:rsidR="00EE591A" w:rsidRPr="00BF4514" w:rsidRDefault="00EE591A"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Państwa członkowskie są zobowiązane przyjąć i opublikować, najpóźniej do</w:t>
      </w:r>
      <w:r w:rsidR="00391999" w:rsidRPr="00BF4514">
        <w:rPr>
          <w:rFonts w:ascii="Times New Roman" w:hAnsi="Times New Roman" w:cs="Times New Roman"/>
          <w:sz w:val="24"/>
          <w:szCs w:val="24"/>
        </w:rPr>
        <w:t xml:space="preserve"> dnia 7 maja 2026 r</w:t>
      </w:r>
      <w:r w:rsidRPr="00BF4514">
        <w:rPr>
          <w:rFonts w:ascii="Times New Roman" w:hAnsi="Times New Roman" w:cs="Times New Roman"/>
          <w:sz w:val="24"/>
          <w:szCs w:val="24"/>
        </w:rPr>
        <w:t xml:space="preserve">., przepisy ustawowe, wykonawcze i administracyjne niezbędne do wykonania dyrektywy </w:t>
      </w:r>
      <w:r w:rsidR="00391999" w:rsidRPr="00BF4514">
        <w:rPr>
          <w:rFonts w:ascii="Times New Roman" w:hAnsi="Times New Roman" w:cs="Times New Roman"/>
          <w:sz w:val="24"/>
          <w:szCs w:val="24"/>
        </w:rPr>
        <w:t>2024/1069</w:t>
      </w:r>
      <w:r w:rsidRPr="00BF4514">
        <w:rPr>
          <w:rFonts w:ascii="Times New Roman" w:hAnsi="Times New Roman" w:cs="Times New Roman"/>
          <w:sz w:val="24"/>
          <w:szCs w:val="24"/>
        </w:rPr>
        <w:t xml:space="preserve">. Państwa członkowskie mają </w:t>
      </w:r>
      <w:r w:rsidR="002E137F" w:rsidRPr="00BF4514">
        <w:rPr>
          <w:rFonts w:ascii="Times New Roman" w:hAnsi="Times New Roman" w:cs="Times New Roman"/>
          <w:sz w:val="24"/>
          <w:szCs w:val="24"/>
        </w:rPr>
        <w:t xml:space="preserve">również </w:t>
      </w:r>
      <w:r w:rsidRPr="00BF4514">
        <w:rPr>
          <w:rFonts w:ascii="Times New Roman" w:hAnsi="Times New Roman" w:cs="Times New Roman"/>
          <w:sz w:val="24"/>
          <w:szCs w:val="24"/>
        </w:rPr>
        <w:t>obowiązek niezwłocznego przekazania Komisji tekstu tych przepisów</w:t>
      </w:r>
      <w:r w:rsidR="00391999" w:rsidRPr="00BF4514">
        <w:rPr>
          <w:rFonts w:ascii="Times New Roman" w:hAnsi="Times New Roman" w:cs="Times New Roman"/>
          <w:sz w:val="24"/>
          <w:szCs w:val="24"/>
        </w:rPr>
        <w:t xml:space="preserve"> oraz tekstów najważniejszych przepisów prawa krajowego w </w:t>
      </w:r>
      <w:r w:rsidR="00391999" w:rsidRPr="00BF4514">
        <w:rPr>
          <w:rFonts w:ascii="Times New Roman" w:hAnsi="Times New Roman" w:cs="Times New Roman"/>
          <w:sz w:val="24"/>
          <w:szCs w:val="24"/>
        </w:rPr>
        <w:lastRenderedPageBreak/>
        <w:t>dziedzinie objętej zakresem stosowania dyrektywy 2024/1069</w:t>
      </w:r>
      <w:r w:rsidRPr="00BF4514">
        <w:rPr>
          <w:rFonts w:ascii="Times New Roman" w:hAnsi="Times New Roman" w:cs="Times New Roman"/>
          <w:sz w:val="24"/>
          <w:szCs w:val="24"/>
        </w:rPr>
        <w:t xml:space="preserve">. </w:t>
      </w:r>
      <w:r w:rsidR="00391999" w:rsidRPr="00BF4514">
        <w:rPr>
          <w:rFonts w:ascii="Times New Roman" w:hAnsi="Times New Roman" w:cs="Times New Roman"/>
          <w:sz w:val="24"/>
          <w:szCs w:val="24"/>
        </w:rPr>
        <w:t>Do dnia 7 maja 2030 r. państwa członkowskie zostały zobowiązane do przekazania Komisji dostępnych danych dotyczących stosowania dyrektywy 2024/1069, w</w:t>
      </w:r>
      <w:r w:rsidR="004D46F5" w:rsidRPr="00BF4514">
        <w:rPr>
          <w:rFonts w:ascii="Times New Roman" w:hAnsi="Times New Roman" w:cs="Times New Roman"/>
          <w:sz w:val="24"/>
          <w:szCs w:val="24"/>
        </w:rPr>
        <w:t> </w:t>
      </w:r>
      <w:r w:rsidR="00391999" w:rsidRPr="00BF4514">
        <w:rPr>
          <w:rFonts w:ascii="Times New Roman" w:hAnsi="Times New Roman" w:cs="Times New Roman"/>
          <w:sz w:val="24"/>
          <w:szCs w:val="24"/>
        </w:rPr>
        <w:t xml:space="preserve">szczególności dostępnych danych pokazujących, w jaki sposób osoby, przeciwko którym toczą się postępowania sądowe zmierzające do stłumienia debaty publicznej, wykorzystują gwarancje przewidziane w niniejszej dyrektywie. </w:t>
      </w:r>
    </w:p>
    <w:p w14:paraId="758E5193" w14:textId="6C8D6389" w:rsidR="00B32808" w:rsidRPr="00BF4514" w:rsidRDefault="00391999"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Ponadto p</w:t>
      </w:r>
      <w:r w:rsidR="00B32808" w:rsidRPr="00BF4514">
        <w:rPr>
          <w:rFonts w:ascii="Times New Roman" w:hAnsi="Times New Roman" w:cs="Times New Roman"/>
          <w:sz w:val="24"/>
          <w:szCs w:val="24"/>
        </w:rPr>
        <w:t xml:space="preserve">aństwa członkowskie </w:t>
      </w:r>
      <w:r w:rsidR="00516AD1" w:rsidRPr="00BF4514">
        <w:rPr>
          <w:rFonts w:ascii="Times New Roman" w:hAnsi="Times New Roman" w:cs="Times New Roman"/>
          <w:sz w:val="24"/>
          <w:szCs w:val="24"/>
        </w:rPr>
        <w:t xml:space="preserve">powinny </w:t>
      </w:r>
      <w:r w:rsidR="00B32808" w:rsidRPr="00BF4514">
        <w:rPr>
          <w:rFonts w:ascii="Times New Roman" w:hAnsi="Times New Roman" w:cs="Times New Roman"/>
          <w:sz w:val="24"/>
          <w:szCs w:val="24"/>
        </w:rPr>
        <w:t>co roku przekaz</w:t>
      </w:r>
      <w:r w:rsidR="00516AD1" w:rsidRPr="00BF4514">
        <w:rPr>
          <w:rFonts w:ascii="Times New Roman" w:hAnsi="Times New Roman" w:cs="Times New Roman"/>
          <w:sz w:val="24"/>
          <w:szCs w:val="24"/>
        </w:rPr>
        <w:t>ywać</w:t>
      </w:r>
      <w:r w:rsidR="00B32808" w:rsidRPr="00BF4514">
        <w:rPr>
          <w:rFonts w:ascii="Times New Roman" w:hAnsi="Times New Roman" w:cs="Times New Roman"/>
          <w:sz w:val="24"/>
          <w:szCs w:val="24"/>
        </w:rPr>
        <w:t xml:space="preserve"> Komisji dane dotyczące wniosków i</w:t>
      </w:r>
      <w:r w:rsidR="004D46F5" w:rsidRPr="00BF4514">
        <w:rPr>
          <w:rFonts w:ascii="Times New Roman" w:hAnsi="Times New Roman" w:cs="Times New Roman"/>
          <w:sz w:val="24"/>
          <w:szCs w:val="24"/>
        </w:rPr>
        <w:t> </w:t>
      </w:r>
      <w:r w:rsidR="00B32808" w:rsidRPr="00BF4514">
        <w:rPr>
          <w:rFonts w:ascii="Times New Roman" w:hAnsi="Times New Roman" w:cs="Times New Roman"/>
          <w:sz w:val="24"/>
          <w:szCs w:val="24"/>
        </w:rPr>
        <w:t xml:space="preserve">orzeczeń, </w:t>
      </w:r>
      <w:r w:rsidR="00C77A8F" w:rsidRPr="00BF4514">
        <w:rPr>
          <w:rFonts w:ascii="Times New Roman" w:hAnsi="Times New Roman" w:cs="Times New Roman"/>
          <w:sz w:val="24"/>
          <w:szCs w:val="24"/>
        </w:rPr>
        <w:t xml:space="preserve">a w szczególności </w:t>
      </w:r>
      <w:r w:rsidR="00B32808" w:rsidRPr="00BF4514">
        <w:rPr>
          <w:rFonts w:ascii="Times New Roman" w:hAnsi="Times New Roman" w:cs="Times New Roman"/>
          <w:sz w:val="24"/>
          <w:szCs w:val="24"/>
        </w:rPr>
        <w:t>liczby stanowiących nadużycie postępowań sądowych zmierzających do stłumienia debaty publicznej wszczętych w danym roku</w:t>
      </w:r>
      <w:r w:rsidR="00C77A8F" w:rsidRPr="00BF4514">
        <w:rPr>
          <w:rFonts w:ascii="Times New Roman" w:hAnsi="Times New Roman" w:cs="Times New Roman"/>
          <w:sz w:val="24"/>
          <w:szCs w:val="24"/>
        </w:rPr>
        <w:t>,</w:t>
      </w:r>
      <w:r w:rsidR="00B32808" w:rsidRPr="00BF4514">
        <w:rPr>
          <w:rFonts w:ascii="Times New Roman" w:hAnsi="Times New Roman" w:cs="Times New Roman"/>
          <w:sz w:val="24"/>
          <w:szCs w:val="24"/>
        </w:rPr>
        <w:t xml:space="preserve"> liczby postępowań sądowych, w podziale na rodzaj pozwanego i powoda</w:t>
      </w:r>
      <w:r w:rsidR="00C77A8F" w:rsidRPr="00BF4514">
        <w:rPr>
          <w:rFonts w:ascii="Times New Roman" w:hAnsi="Times New Roman" w:cs="Times New Roman"/>
          <w:sz w:val="24"/>
          <w:szCs w:val="24"/>
        </w:rPr>
        <w:t xml:space="preserve"> oraz </w:t>
      </w:r>
      <w:r w:rsidR="00B32808" w:rsidRPr="00BF4514">
        <w:rPr>
          <w:rFonts w:ascii="Times New Roman" w:hAnsi="Times New Roman" w:cs="Times New Roman"/>
          <w:sz w:val="24"/>
          <w:szCs w:val="24"/>
        </w:rPr>
        <w:t>rodzaju roszczeń wniesionych na podstawie niniejszej dyrektywy.</w:t>
      </w:r>
    </w:p>
    <w:p w14:paraId="3620B15B" w14:textId="6F10893E" w:rsidR="002C7B73" w:rsidRPr="00BF4514" w:rsidRDefault="007954DC"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 jest zgodny z prawem Unii Europejskie</w:t>
      </w:r>
      <w:r w:rsidR="005F0013" w:rsidRPr="00BF4514">
        <w:rPr>
          <w:rFonts w:ascii="Times New Roman" w:hAnsi="Times New Roman" w:cs="Times New Roman"/>
          <w:sz w:val="24"/>
          <w:szCs w:val="24"/>
        </w:rPr>
        <w:t>j</w:t>
      </w:r>
      <w:r w:rsidRPr="00BF4514">
        <w:rPr>
          <w:rFonts w:ascii="Times New Roman" w:hAnsi="Times New Roman" w:cs="Times New Roman"/>
          <w:sz w:val="24"/>
          <w:szCs w:val="24"/>
        </w:rPr>
        <w:t>.</w:t>
      </w:r>
      <w:r w:rsidR="00C900D9" w:rsidRPr="00BF4514">
        <w:rPr>
          <w:rFonts w:ascii="Times New Roman" w:hAnsi="Times New Roman" w:cs="Times New Roman"/>
          <w:sz w:val="24"/>
          <w:szCs w:val="24"/>
        </w:rPr>
        <w:t xml:space="preserve"> </w:t>
      </w:r>
    </w:p>
    <w:p w14:paraId="36A60F26" w14:textId="2D489926" w:rsidR="00FA6167" w:rsidRPr="00BF4514" w:rsidRDefault="00FA6167" w:rsidP="00BF4514">
      <w:pPr>
        <w:spacing w:after="120" w:line="360" w:lineRule="auto"/>
        <w:jc w:val="both"/>
        <w:rPr>
          <w:rFonts w:ascii="Times New Roman" w:hAnsi="Times New Roman" w:cs="Times New Roman"/>
          <w:b/>
          <w:bCs/>
          <w:sz w:val="24"/>
          <w:szCs w:val="24"/>
        </w:rPr>
      </w:pPr>
      <w:r w:rsidRPr="00BF4514">
        <w:rPr>
          <w:rFonts w:ascii="Times New Roman" w:hAnsi="Times New Roman" w:cs="Times New Roman"/>
          <w:b/>
          <w:bCs/>
          <w:sz w:val="24"/>
          <w:szCs w:val="24"/>
        </w:rPr>
        <w:t>VI. Pozostałe informacje</w:t>
      </w:r>
      <w:r w:rsidR="007304DB" w:rsidRPr="00BF4514">
        <w:rPr>
          <w:rFonts w:ascii="Times New Roman" w:hAnsi="Times New Roman" w:cs="Times New Roman"/>
          <w:b/>
          <w:bCs/>
          <w:sz w:val="24"/>
          <w:szCs w:val="24"/>
        </w:rPr>
        <w:t xml:space="preserve"> </w:t>
      </w:r>
    </w:p>
    <w:p w14:paraId="6849E21F" w14:textId="16F9B6E9" w:rsidR="00B473ED" w:rsidRPr="00BF4514" w:rsidRDefault="00B473ED"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Projektowana ustawa została wpisana do Wykazu prac legislacyjnych i programowych Rady Ministrów pod numerem UC94.</w:t>
      </w:r>
    </w:p>
    <w:p w14:paraId="6DC14E3F" w14:textId="119163BA"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Stosownie do postanowień art. 5 ustawy z dnia 7 lipca 2005 r. o działalności lobbingowej w procesie stanowienia prawa (Dz. U. z 2025 r. poz. 677</w:t>
      </w:r>
      <w:r w:rsidR="00871EB9" w:rsidRPr="00BF4514">
        <w:rPr>
          <w:rFonts w:ascii="Times New Roman" w:hAnsi="Times New Roman" w:cs="Times New Roman"/>
          <w:sz w:val="24"/>
          <w:szCs w:val="24"/>
        </w:rPr>
        <w:t xml:space="preserve"> oraz z 2026</w:t>
      </w:r>
      <w:r w:rsidR="0031561E">
        <w:rPr>
          <w:rFonts w:ascii="Times New Roman" w:hAnsi="Times New Roman" w:cs="Times New Roman"/>
          <w:sz w:val="24"/>
          <w:szCs w:val="24"/>
        </w:rPr>
        <w:t xml:space="preserve"> r.</w:t>
      </w:r>
      <w:r w:rsidR="00871EB9" w:rsidRPr="00BF4514">
        <w:rPr>
          <w:rFonts w:ascii="Times New Roman" w:hAnsi="Times New Roman" w:cs="Times New Roman"/>
          <w:sz w:val="24"/>
          <w:szCs w:val="24"/>
        </w:rPr>
        <w:t xml:space="preserve"> poz. 160</w:t>
      </w:r>
      <w:r w:rsidRPr="00BF4514">
        <w:rPr>
          <w:rFonts w:ascii="Times New Roman" w:hAnsi="Times New Roman" w:cs="Times New Roman"/>
          <w:sz w:val="24"/>
          <w:szCs w:val="24"/>
        </w:rPr>
        <w:t>) projekt ustawy został udostępniony w Biuletynie Informacji Publicznej na stronie podmiotowej Rządowego Centrum Legislacji, w serwisie Rządowy Proces Legislacyjny.</w:t>
      </w:r>
      <w:r w:rsidR="00B473ED" w:rsidRPr="00BF4514">
        <w:rPr>
          <w:rFonts w:ascii="Times New Roman" w:hAnsi="Times New Roman" w:cs="Times New Roman"/>
          <w:sz w:val="24"/>
          <w:szCs w:val="24"/>
        </w:rPr>
        <w:t xml:space="preserve"> Nikt nie zgłosił zainteresowania pracami nad projektem ustawy w trybie przepisów o działalności lobbingowej w procesie stanowienia prawa.</w:t>
      </w:r>
    </w:p>
    <w:p w14:paraId="1B9FFB59" w14:textId="7088CBE6"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Projektowana ustawa nie będzie miała wpływu na działalność mikroprzedsiębiorców, małych i średnich przedsiębiorców. Wejście w życie ustawy nie będzie miało negatywnego wpływu na konkurencyjność gospodarki i przedsiębiorczość, w tym na funkcjonowanie przedsiębiorstw, jak również nie będzie miało negatywnego wpływu na sytuację i rozwój regionalny.</w:t>
      </w:r>
    </w:p>
    <w:p w14:paraId="637A574D" w14:textId="77777777"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 ustawy nie jest sprzeczny z prawem Unii Europejskiej.</w:t>
      </w:r>
    </w:p>
    <w:p w14:paraId="67741A3C" w14:textId="55AE5AF3"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 ustawy nie zawiera przepisów technicznych, w związku z czym nie podlega procedurze notyfikacji na zasadach przewidzianych w rozporządzeniu Rady Ministrów z dnia 23 grudnia 2002 r. w</w:t>
      </w:r>
      <w:r w:rsidR="004D46F5" w:rsidRPr="00BF4514">
        <w:rPr>
          <w:rFonts w:ascii="Times New Roman" w:hAnsi="Times New Roman" w:cs="Times New Roman"/>
          <w:sz w:val="24"/>
          <w:szCs w:val="24"/>
        </w:rPr>
        <w:t> </w:t>
      </w:r>
      <w:r w:rsidRPr="00BF4514">
        <w:rPr>
          <w:rFonts w:ascii="Times New Roman" w:hAnsi="Times New Roman" w:cs="Times New Roman"/>
          <w:sz w:val="24"/>
          <w:szCs w:val="24"/>
        </w:rPr>
        <w:t>sprawie sposobu funkcjonowania krajowego systemu notyfikacji norm i aktów prawnych (Dz. U. poz. 2039, z późn. zm.).</w:t>
      </w:r>
    </w:p>
    <w:p w14:paraId="6C1F53E6" w14:textId="77777777"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 xml:space="preserve">Projekt ustawy nie wymaga przedstawienia właściwym instytucjom i organom Unii Europejskiej lub Europejskiemu Bankowi Centralnemu celem uzyskania opinii, dokonania </w:t>
      </w:r>
      <w:r w:rsidRPr="00BF4514">
        <w:rPr>
          <w:rFonts w:ascii="Times New Roman" w:hAnsi="Times New Roman" w:cs="Times New Roman"/>
          <w:sz w:val="24"/>
          <w:szCs w:val="24"/>
        </w:rPr>
        <w:lastRenderedPageBreak/>
        <w:t xml:space="preserve">konsultacji albo uzgodnienia, w przypadkach określonych w obowiązujących na terytorium Rzeczypospolitej Polskiej przepisach Unii Europejskiej. </w:t>
      </w:r>
    </w:p>
    <w:p w14:paraId="08E2922C" w14:textId="77777777"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 nie dotyczy problematyki samorządu terytorialnego, dlatego nie został przekazany do zaopiniowania Komisji Wspólnej Rządu i Samorządu Terytorialnego.</w:t>
      </w:r>
    </w:p>
    <w:p w14:paraId="7D83CF6E" w14:textId="77777777" w:rsidR="00FA6167" w:rsidRPr="00BF4514" w:rsidRDefault="00FA6167" w:rsidP="00BF4514">
      <w:pPr>
        <w:spacing w:after="120" w:line="360" w:lineRule="auto"/>
        <w:jc w:val="both"/>
        <w:rPr>
          <w:rFonts w:ascii="Times New Roman" w:hAnsi="Times New Roman" w:cs="Times New Roman"/>
          <w:sz w:val="24"/>
          <w:szCs w:val="24"/>
        </w:rPr>
      </w:pPr>
      <w:r w:rsidRPr="00BF4514">
        <w:rPr>
          <w:rFonts w:ascii="Times New Roman" w:hAnsi="Times New Roman" w:cs="Times New Roman"/>
          <w:sz w:val="24"/>
          <w:szCs w:val="24"/>
        </w:rPr>
        <w:t>Projektowane rozwiązania nie stwarzają zagrożeń korupcyjnych.</w:t>
      </w:r>
    </w:p>
    <w:p w14:paraId="3B70CC97" w14:textId="53010942" w:rsidR="005D63FB" w:rsidRPr="00BF4514" w:rsidRDefault="005D63FB" w:rsidP="00DD2922">
      <w:pPr>
        <w:spacing w:after="120" w:line="360" w:lineRule="auto"/>
        <w:jc w:val="both"/>
        <w:rPr>
          <w:rFonts w:ascii="Times New Roman" w:hAnsi="Times New Roman" w:cs="Times New Roman"/>
          <w:i/>
          <w:iCs/>
          <w:sz w:val="24"/>
          <w:szCs w:val="24"/>
        </w:rPr>
      </w:pPr>
    </w:p>
    <w:sectPr w:rsidR="005D63FB" w:rsidRPr="00BF4514" w:rsidSect="00BF451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73D8" w14:textId="77777777" w:rsidR="00833F11" w:rsidRDefault="00833F11" w:rsidP="008F1B30">
      <w:pPr>
        <w:spacing w:after="0" w:line="240" w:lineRule="auto"/>
      </w:pPr>
      <w:r>
        <w:separator/>
      </w:r>
    </w:p>
  </w:endnote>
  <w:endnote w:type="continuationSeparator" w:id="0">
    <w:p w14:paraId="5A8391F3" w14:textId="77777777" w:rsidR="00833F11" w:rsidRDefault="00833F11" w:rsidP="008F1B30">
      <w:pPr>
        <w:spacing w:after="0" w:line="240" w:lineRule="auto"/>
      </w:pPr>
      <w:r>
        <w:continuationSeparator/>
      </w:r>
    </w:p>
  </w:endnote>
  <w:endnote w:type="continuationNotice" w:id="1">
    <w:p w14:paraId="30180A2C" w14:textId="77777777" w:rsidR="00833F11" w:rsidRDefault="00833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65254"/>
      <w:docPartObj>
        <w:docPartGallery w:val="Page Numbers (Bottom of Page)"/>
        <w:docPartUnique/>
      </w:docPartObj>
    </w:sdtPr>
    <w:sdtEndPr/>
    <w:sdtContent>
      <w:p w14:paraId="58A65D8E" w14:textId="7288C1DA" w:rsidR="00462B9D" w:rsidRDefault="00462B9D">
        <w:pPr>
          <w:pStyle w:val="Stopka"/>
          <w:jc w:val="center"/>
        </w:pPr>
        <w:r w:rsidRPr="00BF4514">
          <w:rPr>
            <w:rFonts w:ascii="Times New Roman" w:hAnsi="Times New Roman" w:cs="Times New Roman"/>
            <w:sz w:val="24"/>
            <w:szCs w:val="24"/>
          </w:rPr>
          <w:fldChar w:fldCharType="begin"/>
        </w:r>
        <w:r w:rsidRPr="00BF4514">
          <w:rPr>
            <w:rFonts w:ascii="Times New Roman" w:hAnsi="Times New Roman" w:cs="Times New Roman"/>
            <w:sz w:val="24"/>
            <w:szCs w:val="24"/>
          </w:rPr>
          <w:instrText>PAGE   \* MERGEFORMAT</w:instrText>
        </w:r>
        <w:r w:rsidRPr="00BF4514">
          <w:rPr>
            <w:rFonts w:ascii="Times New Roman" w:hAnsi="Times New Roman" w:cs="Times New Roman"/>
            <w:sz w:val="24"/>
            <w:szCs w:val="24"/>
          </w:rPr>
          <w:fldChar w:fldCharType="separate"/>
        </w:r>
        <w:r w:rsidRPr="00BF4514">
          <w:rPr>
            <w:rFonts w:ascii="Times New Roman" w:hAnsi="Times New Roman" w:cs="Times New Roman"/>
            <w:sz w:val="24"/>
            <w:szCs w:val="24"/>
          </w:rPr>
          <w:t>2</w:t>
        </w:r>
        <w:r w:rsidRPr="00BF4514">
          <w:rPr>
            <w:rFonts w:ascii="Times New Roman" w:hAnsi="Times New Roman" w:cs="Times New Roman"/>
            <w:sz w:val="24"/>
            <w:szCs w:val="24"/>
          </w:rPr>
          <w:fldChar w:fldCharType="end"/>
        </w:r>
      </w:p>
    </w:sdtContent>
  </w:sdt>
  <w:p w14:paraId="0782DFDC" w14:textId="77777777" w:rsidR="00462B9D" w:rsidRDefault="00462B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58EF" w14:textId="77777777" w:rsidR="00833F11" w:rsidRDefault="00833F11" w:rsidP="008F1B30">
      <w:pPr>
        <w:spacing w:after="0" w:line="240" w:lineRule="auto"/>
      </w:pPr>
      <w:r>
        <w:separator/>
      </w:r>
    </w:p>
  </w:footnote>
  <w:footnote w:type="continuationSeparator" w:id="0">
    <w:p w14:paraId="2A335946" w14:textId="77777777" w:rsidR="00833F11" w:rsidRDefault="00833F11" w:rsidP="008F1B30">
      <w:pPr>
        <w:spacing w:after="0" w:line="240" w:lineRule="auto"/>
      </w:pPr>
      <w:r>
        <w:continuationSeparator/>
      </w:r>
    </w:p>
  </w:footnote>
  <w:footnote w:type="continuationNotice" w:id="1">
    <w:p w14:paraId="5AE0B77B" w14:textId="77777777" w:rsidR="00833F11" w:rsidRDefault="00833F11">
      <w:pPr>
        <w:spacing w:after="0" w:line="240" w:lineRule="auto"/>
      </w:pPr>
    </w:p>
  </w:footnote>
  <w:footnote w:id="2">
    <w:p w14:paraId="6BEF32EA" w14:textId="584D8B57" w:rsidR="00BA4885" w:rsidRPr="00BF4514" w:rsidRDefault="00BA4885" w:rsidP="00BA4885">
      <w:pPr>
        <w:pStyle w:val="Tekstprzypisudolnego"/>
        <w:rPr>
          <w:rFonts w:ascii="Times New Roman" w:hAnsi="Times New Roman" w:cs="Times New Roman"/>
        </w:rPr>
      </w:pPr>
      <w:r w:rsidRPr="00BF4514">
        <w:rPr>
          <w:rStyle w:val="Odwoanieprzypisudolnego"/>
          <w:rFonts w:ascii="Times New Roman" w:hAnsi="Times New Roman" w:cs="Times New Roman"/>
        </w:rPr>
        <w:footnoteRef/>
      </w:r>
      <w:r w:rsidRPr="00BF4514">
        <w:rPr>
          <w:rFonts w:ascii="Times New Roman" w:hAnsi="Times New Roman" w:cs="Times New Roman"/>
        </w:rPr>
        <w:t xml:space="preserve"> Dz. U</w:t>
      </w:r>
      <w:r w:rsidR="00E64531">
        <w:rPr>
          <w:rFonts w:ascii="Times New Roman" w:hAnsi="Times New Roman" w:cs="Times New Roman"/>
        </w:rPr>
        <w:t>rz</w:t>
      </w:r>
      <w:r w:rsidRPr="00BF4514">
        <w:rPr>
          <w:rFonts w:ascii="Times New Roman" w:hAnsi="Times New Roman" w:cs="Times New Roman"/>
        </w:rPr>
        <w:t>. UE L 1069</w:t>
      </w:r>
      <w:r w:rsidR="00E64531">
        <w:rPr>
          <w:rFonts w:ascii="Times New Roman" w:hAnsi="Times New Roman" w:cs="Times New Roman"/>
        </w:rPr>
        <w:t xml:space="preserve"> z </w:t>
      </w:r>
      <w:r w:rsidR="00E64531" w:rsidRPr="00E64531">
        <w:rPr>
          <w:rFonts w:ascii="Times New Roman" w:hAnsi="Times New Roman" w:cs="Times New Roman"/>
        </w:rPr>
        <w:t>16.04.2024</w:t>
      </w:r>
      <w:r w:rsidRPr="00BF4514">
        <w:rPr>
          <w:rFonts w:ascii="Times New Roman" w:hAnsi="Times New Roman" w:cs="Times New Roman"/>
        </w:rPr>
        <w:t>.</w:t>
      </w:r>
    </w:p>
  </w:footnote>
  <w:footnote w:id="3">
    <w:p w14:paraId="5CF84EB0" w14:textId="387005E3" w:rsidR="00477EA2" w:rsidRPr="00BF4514" w:rsidRDefault="00477EA2">
      <w:pPr>
        <w:pStyle w:val="Tekstprzypisudolnego"/>
        <w:rPr>
          <w:rFonts w:ascii="Times New Roman" w:hAnsi="Times New Roman" w:cs="Times New Roman"/>
          <w:lang w:val="en-US"/>
        </w:rPr>
      </w:pPr>
      <w:r w:rsidRPr="00BF4514">
        <w:rPr>
          <w:rStyle w:val="Odwoanieprzypisudolnego"/>
          <w:rFonts w:ascii="Times New Roman" w:hAnsi="Times New Roman" w:cs="Times New Roman"/>
        </w:rPr>
        <w:footnoteRef/>
      </w:r>
      <w:r w:rsidRPr="00BF4514">
        <w:rPr>
          <w:rFonts w:ascii="Times New Roman" w:hAnsi="Times New Roman" w:cs="Times New Roman"/>
          <w:lang w:val="en-US"/>
        </w:rPr>
        <w:t xml:space="preserve"> </w:t>
      </w:r>
      <w:r w:rsidR="00F91C1D" w:rsidRPr="00BF4514">
        <w:rPr>
          <w:rFonts w:ascii="Times New Roman" w:hAnsi="Times New Roman" w:cs="Times New Roman"/>
          <w:lang w:val="en-US"/>
        </w:rPr>
        <w:t xml:space="preserve">A 2024 Report on SLAPPs in Europe: Mapping Trends and Cases, </w:t>
      </w:r>
      <w:r w:rsidR="00A837B8" w:rsidRPr="00BF4514">
        <w:rPr>
          <w:rFonts w:ascii="Times New Roman" w:hAnsi="Times New Roman" w:cs="Times New Roman"/>
          <w:lang w:val="en-US"/>
        </w:rPr>
        <w:t xml:space="preserve">https://www.the-case.eu/resources/a-2024-report-on-slapps-in-europe-mapping-trends-and-cases/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76303"/>
    <w:multiLevelType w:val="multilevel"/>
    <w:tmpl w:val="74EC1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FB37C7"/>
    <w:multiLevelType w:val="multilevel"/>
    <w:tmpl w:val="F2D2F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EB7AE9"/>
    <w:multiLevelType w:val="multilevel"/>
    <w:tmpl w:val="04162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55D28"/>
    <w:multiLevelType w:val="multilevel"/>
    <w:tmpl w:val="18C6E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660C96"/>
    <w:multiLevelType w:val="multilevel"/>
    <w:tmpl w:val="FCAE59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436871">
    <w:abstractNumId w:val="4"/>
  </w:num>
  <w:num w:numId="2" w16cid:durableId="1696467434">
    <w:abstractNumId w:val="3"/>
  </w:num>
  <w:num w:numId="3" w16cid:durableId="637882539">
    <w:abstractNumId w:val="2"/>
  </w:num>
  <w:num w:numId="4" w16cid:durableId="1510487390">
    <w:abstractNumId w:val="0"/>
  </w:num>
  <w:num w:numId="5" w16cid:durableId="1381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B3E"/>
    <w:rsid w:val="00001170"/>
    <w:rsid w:val="000030CA"/>
    <w:rsid w:val="000050FA"/>
    <w:rsid w:val="00005BDE"/>
    <w:rsid w:val="0000709D"/>
    <w:rsid w:val="000141A1"/>
    <w:rsid w:val="00016CBF"/>
    <w:rsid w:val="00020CE1"/>
    <w:rsid w:val="00023D7B"/>
    <w:rsid w:val="00027DFC"/>
    <w:rsid w:val="0003071D"/>
    <w:rsid w:val="000317B9"/>
    <w:rsid w:val="00032799"/>
    <w:rsid w:val="0004682B"/>
    <w:rsid w:val="000473BF"/>
    <w:rsid w:val="00052699"/>
    <w:rsid w:val="00055877"/>
    <w:rsid w:val="00057FAF"/>
    <w:rsid w:val="0006022E"/>
    <w:rsid w:val="00062A82"/>
    <w:rsid w:val="0006521D"/>
    <w:rsid w:val="000719C3"/>
    <w:rsid w:val="00077412"/>
    <w:rsid w:val="00081BF5"/>
    <w:rsid w:val="00084189"/>
    <w:rsid w:val="0008540D"/>
    <w:rsid w:val="00087741"/>
    <w:rsid w:val="00090E96"/>
    <w:rsid w:val="00091E67"/>
    <w:rsid w:val="000A58C8"/>
    <w:rsid w:val="000B1B0F"/>
    <w:rsid w:val="000B312B"/>
    <w:rsid w:val="000C2255"/>
    <w:rsid w:val="000C3D55"/>
    <w:rsid w:val="000C4F73"/>
    <w:rsid w:val="000C54D4"/>
    <w:rsid w:val="000C55C5"/>
    <w:rsid w:val="000D0ECA"/>
    <w:rsid w:val="000D0FA9"/>
    <w:rsid w:val="000E1858"/>
    <w:rsid w:val="000E665C"/>
    <w:rsid w:val="000E6F50"/>
    <w:rsid w:val="000F05D9"/>
    <w:rsid w:val="000F512C"/>
    <w:rsid w:val="000F6224"/>
    <w:rsid w:val="0010492E"/>
    <w:rsid w:val="00104EA8"/>
    <w:rsid w:val="0010786D"/>
    <w:rsid w:val="001151B1"/>
    <w:rsid w:val="00116F88"/>
    <w:rsid w:val="00122E8C"/>
    <w:rsid w:val="00126EAD"/>
    <w:rsid w:val="00130FE9"/>
    <w:rsid w:val="00132E57"/>
    <w:rsid w:val="00136D7A"/>
    <w:rsid w:val="00137F15"/>
    <w:rsid w:val="00142C80"/>
    <w:rsid w:val="001445E2"/>
    <w:rsid w:val="00146521"/>
    <w:rsid w:val="0015640A"/>
    <w:rsid w:val="00163755"/>
    <w:rsid w:val="001716AC"/>
    <w:rsid w:val="00171A00"/>
    <w:rsid w:val="00171BD7"/>
    <w:rsid w:val="00172D02"/>
    <w:rsid w:val="00174BD4"/>
    <w:rsid w:val="0017508F"/>
    <w:rsid w:val="00177A82"/>
    <w:rsid w:val="001817CA"/>
    <w:rsid w:val="001828B1"/>
    <w:rsid w:val="00183152"/>
    <w:rsid w:val="00183737"/>
    <w:rsid w:val="00184F1A"/>
    <w:rsid w:val="00185681"/>
    <w:rsid w:val="00186595"/>
    <w:rsid w:val="001868F2"/>
    <w:rsid w:val="001903DA"/>
    <w:rsid w:val="00191601"/>
    <w:rsid w:val="00195B1A"/>
    <w:rsid w:val="00196480"/>
    <w:rsid w:val="0019787B"/>
    <w:rsid w:val="001A381D"/>
    <w:rsid w:val="001A75E0"/>
    <w:rsid w:val="001B1515"/>
    <w:rsid w:val="001B2719"/>
    <w:rsid w:val="001B5D50"/>
    <w:rsid w:val="001C194A"/>
    <w:rsid w:val="001C5D5F"/>
    <w:rsid w:val="001D12E3"/>
    <w:rsid w:val="001D3D7C"/>
    <w:rsid w:val="001D4D56"/>
    <w:rsid w:val="001D4D8F"/>
    <w:rsid w:val="001D58CF"/>
    <w:rsid w:val="001D5C2E"/>
    <w:rsid w:val="001E1A7B"/>
    <w:rsid w:val="001E26F2"/>
    <w:rsid w:val="001E2A09"/>
    <w:rsid w:val="001E469C"/>
    <w:rsid w:val="001E6158"/>
    <w:rsid w:val="001F1D78"/>
    <w:rsid w:val="001F4011"/>
    <w:rsid w:val="001F4FC0"/>
    <w:rsid w:val="001F6124"/>
    <w:rsid w:val="001F6780"/>
    <w:rsid w:val="00200596"/>
    <w:rsid w:val="002019EB"/>
    <w:rsid w:val="00203207"/>
    <w:rsid w:val="00206F7F"/>
    <w:rsid w:val="0021330E"/>
    <w:rsid w:val="0021555D"/>
    <w:rsid w:val="00220124"/>
    <w:rsid w:val="00223697"/>
    <w:rsid w:val="00224212"/>
    <w:rsid w:val="00224563"/>
    <w:rsid w:val="00224A74"/>
    <w:rsid w:val="002251F1"/>
    <w:rsid w:val="002254B6"/>
    <w:rsid w:val="00231006"/>
    <w:rsid w:val="00233082"/>
    <w:rsid w:val="00236DCF"/>
    <w:rsid w:val="002415FC"/>
    <w:rsid w:val="00241DBE"/>
    <w:rsid w:val="002453EE"/>
    <w:rsid w:val="00245B1D"/>
    <w:rsid w:val="00246D36"/>
    <w:rsid w:val="00247D0D"/>
    <w:rsid w:val="00250F66"/>
    <w:rsid w:val="002514C5"/>
    <w:rsid w:val="00251770"/>
    <w:rsid w:val="00253F87"/>
    <w:rsid w:val="00257C23"/>
    <w:rsid w:val="00281B38"/>
    <w:rsid w:val="002826E0"/>
    <w:rsid w:val="0028283D"/>
    <w:rsid w:val="002839C1"/>
    <w:rsid w:val="002843ED"/>
    <w:rsid w:val="002871E8"/>
    <w:rsid w:val="002878C2"/>
    <w:rsid w:val="00287AE9"/>
    <w:rsid w:val="00290B41"/>
    <w:rsid w:val="00292A03"/>
    <w:rsid w:val="00294292"/>
    <w:rsid w:val="002955E7"/>
    <w:rsid w:val="002956CA"/>
    <w:rsid w:val="002A0D8C"/>
    <w:rsid w:val="002A26E3"/>
    <w:rsid w:val="002A35A5"/>
    <w:rsid w:val="002B4440"/>
    <w:rsid w:val="002B69E8"/>
    <w:rsid w:val="002C7B73"/>
    <w:rsid w:val="002D0199"/>
    <w:rsid w:val="002D02EF"/>
    <w:rsid w:val="002D1A8B"/>
    <w:rsid w:val="002D2C20"/>
    <w:rsid w:val="002D408A"/>
    <w:rsid w:val="002E137F"/>
    <w:rsid w:val="002F32AF"/>
    <w:rsid w:val="002F3A6F"/>
    <w:rsid w:val="002F3D0C"/>
    <w:rsid w:val="00302067"/>
    <w:rsid w:val="0030229D"/>
    <w:rsid w:val="0030246C"/>
    <w:rsid w:val="00302D31"/>
    <w:rsid w:val="00304B49"/>
    <w:rsid w:val="00305A54"/>
    <w:rsid w:val="0030728D"/>
    <w:rsid w:val="00307530"/>
    <w:rsid w:val="00314261"/>
    <w:rsid w:val="0031561E"/>
    <w:rsid w:val="00315C3D"/>
    <w:rsid w:val="00321B55"/>
    <w:rsid w:val="0032213D"/>
    <w:rsid w:val="00322B1E"/>
    <w:rsid w:val="0032666C"/>
    <w:rsid w:val="003266D5"/>
    <w:rsid w:val="00326A2E"/>
    <w:rsid w:val="003300F5"/>
    <w:rsid w:val="00332661"/>
    <w:rsid w:val="0033501E"/>
    <w:rsid w:val="00343CEF"/>
    <w:rsid w:val="00345D55"/>
    <w:rsid w:val="00347C65"/>
    <w:rsid w:val="0035261B"/>
    <w:rsid w:val="00353095"/>
    <w:rsid w:val="003566EA"/>
    <w:rsid w:val="0035748A"/>
    <w:rsid w:val="003663AC"/>
    <w:rsid w:val="00370793"/>
    <w:rsid w:val="00375309"/>
    <w:rsid w:val="003763DD"/>
    <w:rsid w:val="0037689C"/>
    <w:rsid w:val="00387F21"/>
    <w:rsid w:val="00390C31"/>
    <w:rsid w:val="00390E2C"/>
    <w:rsid w:val="00391999"/>
    <w:rsid w:val="003924E1"/>
    <w:rsid w:val="0039408A"/>
    <w:rsid w:val="003955BB"/>
    <w:rsid w:val="0039675A"/>
    <w:rsid w:val="003A1565"/>
    <w:rsid w:val="003A17DB"/>
    <w:rsid w:val="003A27BD"/>
    <w:rsid w:val="003B32DE"/>
    <w:rsid w:val="003B3D4B"/>
    <w:rsid w:val="003C0E96"/>
    <w:rsid w:val="003C5446"/>
    <w:rsid w:val="003C6E0F"/>
    <w:rsid w:val="003C793F"/>
    <w:rsid w:val="003D0274"/>
    <w:rsid w:val="003D0D09"/>
    <w:rsid w:val="003D1C02"/>
    <w:rsid w:val="003D7B8E"/>
    <w:rsid w:val="003E01CF"/>
    <w:rsid w:val="003E14E6"/>
    <w:rsid w:val="003E22F6"/>
    <w:rsid w:val="003E24F7"/>
    <w:rsid w:val="003E6860"/>
    <w:rsid w:val="003E6C00"/>
    <w:rsid w:val="003E6C56"/>
    <w:rsid w:val="00400AF3"/>
    <w:rsid w:val="00402B2C"/>
    <w:rsid w:val="00405127"/>
    <w:rsid w:val="0040614F"/>
    <w:rsid w:val="0040776F"/>
    <w:rsid w:val="00411404"/>
    <w:rsid w:val="00412CC2"/>
    <w:rsid w:val="00415542"/>
    <w:rsid w:val="00420139"/>
    <w:rsid w:val="00420388"/>
    <w:rsid w:val="00433B0E"/>
    <w:rsid w:val="00435FD8"/>
    <w:rsid w:val="00437044"/>
    <w:rsid w:val="004376C0"/>
    <w:rsid w:val="00440647"/>
    <w:rsid w:val="004432BA"/>
    <w:rsid w:val="00444D9B"/>
    <w:rsid w:val="0044603C"/>
    <w:rsid w:val="00450D89"/>
    <w:rsid w:val="00452102"/>
    <w:rsid w:val="00452333"/>
    <w:rsid w:val="00452476"/>
    <w:rsid w:val="00452522"/>
    <w:rsid w:val="00452676"/>
    <w:rsid w:val="00452988"/>
    <w:rsid w:val="004529AE"/>
    <w:rsid w:val="00462B9D"/>
    <w:rsid w:val="00463A48"/>
    <w:rsid w:val="00465021"/>
    <w:rsid w:val="00475C9F"/>
    <w:rsid w:val="00476465"/>
    <w:rsid w:val="00477EA2"/>
    <w:rsid w:val="00483F68"/>
    <w:rsid w:val="00485050"/>
    <w:rsid w:val="00487616"/>
    <w:rsid w:val="00490969"/>
    <w:rsid w:val="004920BF"/>
    <w:rsid w:val="004A109F"/>
    <w:rsid w:val="004A4390"/>
    <w:rsid w:val="004A6C18"/>
    <w:rsid w:val="004A7DFC"/>
    <w:rsid w:val="004B0644"/>
    <w:rsid w:val="004B15E6"/>
    <w:rsid w:val="004B28AB"/>
    <w:rsid w:val="004B5710"/>
    <w:rsid w:val="004B62F1"/>
    <w:rsid w:val="004B6E24"/>
    <w:rsid w:val="004B7BA2"/>
    <w:rsid w:val="004C49A7"/>
    <w:rsid w:val="004C5475"/>
    <w:rsid w:val="004D07CD"/>
    <w:rsid w:val="004D0EF4"/>
    <w:rsid w:val="004D2A8F"/>
    <w:rsid w:val="004D46F5"/>
    <w:rsid w:val="004D5A2E"/>
    <w:rsid w:val="004D5BBF"/>
    <w:rsid w:val="004E1DE3"/>
    <w:rsid w:val="004E5536"/>
    <w:rsid w:val="004E66D7"/>
    <w:rsid w:val="004E6DF4"/>
    <w:rsid w:val="004E7C36"/>
    <w:rsid w:val="004F5D61"/>
    <w:rsid w:val="00500ECF"/>
    <w:rsid w:val="0050387C"/>
    <w:rsid w:val="005063D5"/>
    <w:rsid w:val="00507F3A"/>
    <w:rsid w:val="00511F89"/>
    <w:rsid w:val="00512905"/>
    <w:rsid w:val="00512D6B"/>
    <w:rsid w:val="00514082"/>
    <w:rsid w:val="005159EA"/>
    <w:rsid w:val="00516AD1"/>
    <w:rsid w:val="00516BA7"/>
    <w:rsid w:val="00523A74"/>
    <w:rsid w:val="005279B9"/>
    <w:rsid w:val="00527F7D"/>
    <w:rsid w:val="005306C8"/>
    <w:rsid w:val="00530C4A"/>
    <w:rsid w:val="00531585"/>
    <w:rsid w:val="0053287A"/>
    <w:rsid w:val="005343CE"/>
    <w:rsid w:val="005359E3"/>
    <w:rsid w:val="00536145"/>
    <w:rsid w:val="00543EC4"/>
    <w:rsid w:val="00544EDA"/>
    <w:rsid w:val="005460D1"/>
    <w:rsid w:val="00546955"/>
    <w:rsid w:val="00554211"/>
    <w:rsid w:val="005558BE"/>
    <w:rsid w:val="0055689C"/>
    <w:rsid w:val="00562FF9"/>
    <w:rsid w:val="00563614"/>
    <w:rsid w:val="0056416B"/>
    <w:rsid w:val="0056601E"/>
    <w:rsid w:val="0056674D"/>
    <w:rsid w:val="00567FAD"/>
    <w:rsid w:val="00572A61"/>
    <w:rsid w:val="0057307A"/>
    <w:rsid w:val="00573EF8"/>
    <w:rsid w:val="005801F9"/>
    <w:rsid w:val="005814BB"/>
    <w:rsid w:val="00585BE9"/>
    <w:rsid w:val="0058603D"/>
    <w:rsid w:val="005902E3"/>
    <w:rsid w:val="00590811"/>
    <w:rsid w:val="005935D2"/>
    <w:rsid w:val="0059798A"/>
    <w:rsid w:val="005A204A"/>
    <w:rsid w:val="005A2F1B"/>
    <w:rsid w:val="005A5513"/>
    <w:rsid w:val="005A6456"/>
    <w:rsid w:val="005A6CE4"/>
    <w:rsid w:val="005A7933"/>
    <w:rsid w:val="005A7A72"/>
    <w:rsid w:val="005B2F07"/>
    <w:rsid w:val="005B3CD9"/>
    <w:rsid w:val="005B561F"/>
    <w:rsid w:val="005C53A8"/>
    <w:rsid w:val="005C6112"/>
    <w:rsid w:val="005C659D"/>
    <w:rsid w:val="005C7D4E"/>
    <w:rsid w:val="005D0C11"/>
    <w:rsid w:val="005D2923"/>
    <w:rsid w:val="005D37C7"/>
    <w:rsid w:val="005D63FB"/>
    <w:rsid w:val="005D6692"/>
    <w:rsid w:val="005D7EC5"/>
    <w:rsid w:val="005E03AD"/>
    <w:rsid w:val="005E1032"/>
    <w:rsid w:val="005E152A"/>
    <w:rsid w:val="005E22ED"/>
    <w:rsid w:val="005E3851"/>
    <w:rsid w:val="005E55CE"/>
    <w:rsid w:val="005E55E4"/>
    <w:rsid w:val="005F0013"/>
    <w:rsid w:val="005F1227"/>
    <w:rsid w:val="005F16AE"/>
    <w:rsid w:val="005F5E2D"/>
    <w:rsid w:val="00600B85"/>
    <w:rsid w:val="00603C96"/>
    <w:rsid w:val="00606201"/>
    <w:rsid w:val="0060729B"/>
    <w:rsid w:val="006079E0"/>
    <w:rsid w:val="006129B1"/>
    <w:rsid w:val="00613D51"/>
    <w:rsid w:val="00615EAF"/>
    <w:rsid w:val="0062482F"/>
    <w:rsid w:val="00625D0A"/>
    <w:rsid w:val="00626093"/>
    <w:rsid w:val="0063186A"/>
    <w:rsid w:val="00634BCD"/>
    <w:rsid w:val="006375C9"/>
    <w:rsid w:val="00644FC9"/>
    <w:rsid w:val="00645243"/>
    <w:rsid w:val="0064635D"/>
    <w:rsid w:val="00646FFC"/>
    <w:rsid w:val="006511AF"/>
    <w:rsid w:val="0065157A"/>
    <w:rsid w:val="0065410E"/>
    <w:rsid w:val="00657E60"/>
    <w:rsid w:val="0066185C"/>
    <w:rsid w:val="006622EB"/>
    <w:rsid w:val="00664B4E"/>
    <w:rsid w:val="00665396"/>
    <w:rsid w:val="0066607C"/>
    <w:rsid w:val="00666270"/>
    <w:rsid w:val="0066632C"/>
    <w:rsid w:val="006666AC"/>
    <w:rsid w:val="00666E26"/>
    <w:rsid w:val="006674D7"/>
    <w:rsid w:val="00672C04"/>
    <w:rsid w:val="00672DCB"/>
    <w:rsid w:val="00672E6B"/>
    <w:rsid w:val="006847C3"/>
    <w:rsid w:val="00687346"/>
    <w:rsid w:val="00690F54"/>
    <w:rsid w:val="006920AD"/>
    <w:rsid w:val="0069211B"/>
    <w:rsid w:val="0069289D"/>
    <w:rsid w:val="006932F1"/>
    <w:rsid w:val="00693E6C"/>
    <w:rsid w:val="006960E8"/>
    <w:rsid w:val="006A0AA0"/>
    <w:rsid w:val="006A18AC"/>
    <w:rsid w:val="006A1F2E"/>
    <w:rsid w:val="006A2C8A"/>
    <w:rsid w:val="006A313F"/>
    <w:rsid w:val="006A387E"/>
    <w:rsid w:val="006A48FA"/>
    <w:rsid w:val="006A7755"/>
    <w:rsid w:val="006B105A"/>
    <w:rsid w:val="006B4915"/>
    <w:rsid w:val="006B4FDD"/>
    <w:rsid w:val="006B5F80"/>
    <w:rsid w:val="006B659F"/>
    <w:rsid w:val="006B6859"/>
    <w:rsid w:val="006B7947"/>
    <w:rsid w:val="006C17A4"/>
    <w:rsid w:val="006C38CC"/>
    <w:rsid w:val="006C3FBE"/>
    <w:rsid w:val="006C43EF"/>
    <w:rsid w:val="006C583C"/>
    <w:rsid w:val="006C5CDF"/>
    <w:rsid w:val="006D09EE"/>
    <w:rsid w:val="006D1551"/>
    <w:rsid w:val="006D3D46"/>
    <w:rsid w:val="006D5969"/>
    <w:rsid w:val="006E2D98"/>
    <w:rsid w:val="006E2EE8"/>
    <w:rsid w:val="006E3C83"/>
    <w:rsid w:val="006E5969"/>
    <w:rsid w:val="006E6CD8"/>
    <w:rsid w:val="006E7619"/>
    <w:rsid w:val="006E77E4"/>
    <w:rsid w:val="006F0070"/>
    <w:rsid w:val="006F0B50"/>
    <w:rsid w:val="006F2068"/>
    <w:rsid w:val="006F6729"/>
    <w:rsid w:val="006F67E0"/>
    <w:rsid w:val="006F6994"/>
    <w:rsid w:val="0070111E"/>
    <w:rsid w:val="0070119B"/>
    <w:rsid w:val="00702F58"/>
    <w:rsid w:val="007033A0"/>
    <w:rsid w:val="00712B7E"/>
    <w:rsid w:val="00713F52"/>
    <w:rsid w:val="00714949"/>
    <w:rsid w:val="00715545"/>
    <w:rsid w:val="0072423C"/>
    <w:rsid w:val="007268E7"/>
    <w:rsid w:val="00726A71"/>
    <w:rsid w:val="00726C4E"/>
    <w:rsid w:val="007304DB"/>
    <w:rsid w:val="00731512"/>
    <w:rsid w:val="00732EB9"/>
    <w:rsid w:val="007333A1"/>
    <w:rsid w:val="00733966"/>
    <w:rsid w:val="00734EDB"/>
    <w:rsid w:val="00737A44"/>
    <w:rsid w:val="00741C9E"/>
    <w:rsid w:val="0074248D"/>
    <w:rsid w:val="00743DFE"/>
    <w:rsid w:val="00746D93"/>
    <w:rsid w:val="00762107"/>
    <w:rsid w:val="00767005"/>
    <w:rsid w:val="00767041"/>
    <w:rsid w:val="007705E3"/>
    <w:rsid w:val="007739A8"/>
    <w:rsid w:val="00773AD6"/>
    <w:rsid w:val="007771D3"/>
    <w:rsid w:val="007777EB"/>
    <w:rsid w:val="00781BD3"/>
    <w:rsid w:val="0078226C"/>
    <w:rsid w:val="00790DEF"/>
    <w:rsid w:val="00790E4A"/>
    <w:rsid w:val="00792755"/>
    <w:rsid w:val="007942E9"/>
    <w:rsid w:val="007954DC"/>
    <w:rsid w:val="00796C2C"/>
    <w:rsid w:val="007A0047"/>
    <w:rsid w:val="007A180B"/>
    <w:rsid w:val="007B06FF"/>
    <w:rsid w:val="007B0D69"/>
    <w:rsid w:val="007B3B9F"/>
    <w:rsid w:val="007C0348"/>
    <w:rsid w:val="007C4580"/>
    <w:rsid w:val="007C562D"/>
    <w:rsid w:val="007C7A03"/>
    <w:rsid w:val="007D2527"/>
    <w:rsid w:val="007D4117"/>
    <w:rsid w:val="007D4AAD"/>
    <w:rsid w:val="007E047F"/>
    <w:rsid w:val="007E1620"/>
    <w:rsid w:val="007E6ED1"/>
    <w:rsid w:val="007F03A4"/>
    <w:rsid w:val="007F34A2"/>
    <w:rsid w:val="007F4BF9"/>
    <w:rsid w:val="007F5997"/>
    <w:rsid w:val="007F62BD"/>
    <w:rsid w:val="007F6624"/>
    <w:rsid w:val="007F6BCB"/>
    <w:rsid w:val="007F6DA7"/>
    <w:rsid w:val="0080051A"/>
    <w:rsid w:val="0080082E"/>
    <w:rsid w:val="00801250"/>
    <w:rsid w:val="008040D6"/>
    <w:rsid w:val="00807447"/>
    <w:rsid w:val="00810096"/>
    <w:rsid w:val="00811A40"/>
    <w:rsid w:val="0081342F"/>
    <w:rsid w:val="008150E5"/>
    <w:rsid w:val="008154F5"/>
    <w:rsid w:val="00817BD8"/>
    <w:rsid w:val="0083112B"/>
    <w:rsid w:val="00833F11"/>
    <w:rsid w:val="0084221F"/>
    <w:rsid w:val="008442CC"/>
    <w:rsid w:val="0084476E"/>
    <w:rsid w:val="00844A7A"/>
    <w:rsid w:val="0084531A"/>
    <w:rsid w:val="00846CBB"/>
    <w:rsid w:val="00847D88"/>
    <w:rsid w:val="008501C4"/>
    <w:rsid w:val="008517CC"/>
    <w:rsid w:val="00852136"/>
    <w:rsid w:val="00855248"/>
    <w:rsid w:val="00855BF8"/>
    <w:rsid w:val="0085612B"/>
    <w:rsid w:val="008569CF"/>
    <w:rsid w:val="0086142F"/>
    <w:rsid w:val="00865705"/>
    <w:rsid w:val="00867D90"/>
    <w:rsid w:val="00870A97"/>
    <w:rsid w:val="00871A64"/>
    <w:rsid w:val="00871EB9"/>
    <w:rsid w:val="00874052"/>
    <w:rsid w:val="00874894"/>
    <w:rsid w:val="008772EF"/>
    <w:rsid w:val="00880B29"/>
    <w:rsid w:val="00884C89"/>
    <w:rsid w:val="00890B7D"/>
    <w:rsid w:val="00892E73"/>
    <w:rsid w:val="00893B6E"/>
    <w:rsid w:val="008A2D8F"/>
    <w:rsid w:val="008A5D07"/>
    <w:rsid w:val="008B175E"/>
    <w:rsid w:val="008B2649"/>
    <w:rsid w:val="008B28C5"/>
    <w:rsid w:val="008B3A34"/>
    <w:rsid w:val="008B61C7"/>
    <w:rsid w:val="008C0A2F"/>
    <w:rsid w:val="008C5B46"/>
    <w:rsid w:val="008C5F11"/>
    <w:rsid w:val="008C65B9"/>
    <w:rsid w:val="008D1FEE"/>
    <w:rsid w:val="008D5E4E"/>
    <w:rsid w:val="008D5EF8"/>
    <w:rsid w:val="008D73CC"/>
    <w:rsid w:val="008D79FB"/>
    <w:rsid w:val="008D7AA4"/>
    <w:rsid w:val="008E2591"/>
    <w:rsid w:val="008E776E"/>
    <w:rsid w:val="008F0D78"/>
    <w:rsid w:val="008F17BF"/>
    <w:rsid w:val="008F1B30"/>
    <w:rsid w:val="009058F6"/>
    <w:rsid w:val="00906491"/>
    <w:rsid w:val="00907B5E"/>
    <w:rsid w:val="00910EEB"/>
    <w:rsid w:val="00912614"/>
    <w:rsid w:val="0091436A"/>
    <w:rsid w:val="00916352"/>
    <w:rsid w:val="00916A36"/>
    <w:rsid w:val="00922954"/>
    <w:rsid w:val="00933F71"/>
    <w:rsid w:val="0094377A"/>
    <w:rsid w:val="009448B5"/>
    <w:rsid w:val="00944B3F"/>
    <w:rsid w:val="009458E5"/>
    <w:rsid w:val="009471E8"/>
    <w:rsid w:val="00950452"/>
    <w:rsid w:val="009607AC"/>
    <w:rsid w:val="0096189A"/>
    <w:rsid w:val="0096420F"/>
    <w:rsid w:val="009642CC"/>
    <w:rsid w:val="00965801"/>
    <w:rsid w:val="00972498"/>
    <w:rsid w:val="0097607D"/>
    <w:rsid w:val="00976738"/>
    <w:rsid w:val="0097715E"/>
    <w:rsid w:val="0097784C"/>
    <w:rsid w:val="00982218"/>
    <w:rsid w:val="00993495"/>
    <w:rsid w:val="009943AD"/>
    <w:rsid w:val="00995A80"/>
    <w:rsid w:val="00996381"/>
    <w:rsid w:val="009A1AA8"/>
    <w:rsid w:val="009A1DEF"/>
    <w:rsid w:val="009A2513"/>
    <w:rsid w:val="009A3456"/>
    <w:rsid w:val="009A602D"/>
    <w:rsid w:val="009B09B6"/>
    <w:rsid w:val="009B1940"/>
    <w:rsid w:val="009B41B2"/>
    <w:rsid w:val="009B4731"/>
    <w:rsid w:val="009C0455"/>
    <w:rsid w:val="009C27DF"/>
    <w:rsid w:val="009C2CA1"/>
    <w:rsid w:val="009C2F9A"/>
    <w:rsid w:val="009C68AF"/>
    <w:rsid w:val="009D3B99"/>
    <w:rsid w:val="009D3DA1"/>
    <w:rsid w:val="009D6FA1"/>
    <w:rsid w:val="009D718F"/>
    <w:rsid w:val="009E245E"/>
    <w:rsid w:val="009E3880"/>
    <w:rsid w:val="009E41EA"/>
    <w:rsid w:val="009E441B"/>
    <w:rsid w:val="009E50EE"/>
    <w:rsid w:val="009E60F2"/>
    <w:rsid w:val="009F09C2"/>
    <w:rsid w:val="009F0AEE"/>
    <w:rsid w:val="009F5811"/>
    <w:rsid w:val="00A03050"/>
    <w:rsid w:val="00A03C13"/>
    <w:rsid w:val="00A03D8F"/>
    <w:rsid w:val="00A04AD4"/>
    <w:rsid w:val="00A053D6"/>
    <w:rsid w:val="00A10F78"/>
    <w:rsid w:val="00A12E5A"/>
    <w:rsid w:val="00A12F8C"/>
    <w:rsid w:val="00A133EF"/>
    <w:rsid w:val="00A17DBD"/>
    <w:rsid w:val="00A17F9C"/>
    <w:rsid w:val="00A21B36"/>
    <w:rsid w:val="00A2237F"/>
    <w:rsid w:val="00A22F4B"/>
    <w:rsid w:val="00A27377"/>
    <w:rsid w:val="00A276C2"/>
    <w:rsid w:val="00A276F6"/>
    <w:rsid w:val="00A33016"/>
    <w:rsid w:val="00A35C0A"/>
    <w:rsid w:val="00A40AD5"/>
    <w:rsid w:val="00A45068"/>
    <w:rsid w:val="00A506F2"/>
    <w:rsid w:val="00A57BF5"/>
    <w:rsid w:val="00A616AC"/>
    <w:rsid w:val="00A61B90"/>
    <w:rsid w:val="00A61D11"/>
    <w:rsid w:val="00A62289"/>
    <w:rsid w:val="00A62FBE"/>
    <w:rsid w:val="00A655E5"/>
    <w:rsid w:val="00A72624"/>
    <w:rsid w:val="00A7267C"/>
    <w:rsid w:val="00A81796"/>
    <w:rsid w:val="00A837B8"/>
    <w:rsid w:val="00A84809"/>
    <w:rsid w:val="00A91650"/>
    <w:rsid w:val="00A92E06"/>
    <w:rsid w:val="00A9327E"/>
    <w:rsid w:val="00A942BA"/>
    <w:rsid w:val="00A94677"/>
    <w:rsid w:val="00AA1733"/>
    <w:rsid w:val="00AA64AD"/>
    <w:rsid w:val="00AA7BE1"/>
    <w:rsid w:val="00AB39D7"/>
    <w:rsid w:val="00AB3CBF"/>
    <w:rsid w:val="00AB5379"/>
    <w:rsid w:val="00AC1C90"/>
    <w:rsid w:val="00AC2DCD"/>
    <w:rsid w:val="00AC327E"/>
    <w:rsid w:val="00AC3C3F"/>
    <w:rsid w:val="00AC7A3F"/>
    <w:rsid w:val="00AC7DFE"/>
    <w:rsid w:val="00AD4761"/>
    <w:rsid w:val="00AD58CC"/>
    <w:rsid w:val="00AD6350"/>
    <w:rsid w:val="00AD7C3C"/>
    <w:rsid w:val="00AE0DE4"/>
    <w:rsid w:val="00AE17E3"/>
    <w:rsid w:val="00AE19DE"/>
    <w:rsid w:val="00AE1DB2"/>
    <w:rsid w:val="00AE20C1"/>
    <w:rsid w:val="00AE6F00"/>
    <w:rsid w:val="00AF14A8"/>
    <w:rsid w:val="00AF3D6C"/>
    <w:rsid w:val="00AF3DD6"/>
    <w:rsid w:val="00AF7606"/>
    <w:rsid w:val="00B0015D"/>
    <w:rsid w:val="00B03355"/>
    <w:rsid w:val="00B049D6"/>
    <w:rsid w:val="00B04DE0"/>
    <w:rsid w:val="00B118E6"/>
    <w:rsid w:val="00B12404"/>
    <w:rsid w:val="00B14976"/>
    <w:rsid w:val="00B2320D"/>
    <w:rsid w:val="00B27286"/>
    <w:rsid w:val="00B30274"/>
    <w:rsid w:val="00B30C16"/>
    <w:rsid w:val="00B32808"/>
    <w:rsid w:val="00B354D5"/>
    <w:rsid w:val="00B40F23"/>
    <w:rsid w:val="00B4252B"/>
    <w:rsid w:val="00B473ED"/>
    <w:rsid w:val="00B55A62"/>
    <w:rsid w:val="00B62FBE"/>
    <w:rsid w:val="00B6322F"/>
    <w:rsid w:val="00B63DA0"/>
    <w:rsid w:val="00B652CC"/>
    <w:rsid w:val="00B72406"/>
    <w:rsid w:val="00B7315A"/>
    <w:rsid w:val="00B74D70"/>
    <w:rsid w:val="00B76B3D"/>
    <w:rsid w:val="00B77669"/>
    <w:rsid w:val="00B81BA7"/>
    <w:rsid w:val="00B81E6A"/>
    <w:rsid w:val="00B90B3C"/>
    <w:rsid w:val="00B913F4"/>
    <w:rsid w:val="00B928D3"/>
    <w:rsid w:val="00B93DBD"/>
    <w:rsid w:val="00B9634E"/>
    <w:rsid w:val="00B97EA7"/>
    <w:rsid w:val="00BA4885"/>
    <w:rsid w:val="00BA58B3"/>
    <w:rsid w:val="00BB1469"/>
    <w:rsid w:val="00BB3944"/>
    <w:rsid w:val="00BB4A56"/>
    <w:rsid w:val="00BB6F43"/>
    <w:rsid w:val="00BB7D20"/>
    <w:rsid w:val="00BC0820"/>
    <w:rsid w:val="00BC76C9"/>
    <w:rsid w:val="00BD2B19"/>
    <w:rsid w:val="00BD2ED4"/>
    <w:rsid w:val="00BD3B5D"/>
    <w:rsid w:val="00BD3DE8"/>
    <w:rsid w:val="00BD4D3C"/>
    <w:rsid w:val="00BD68C9"/>
    <w:rsid w:val="00BE0182"/>
    <w:rsid w:val="00BE1314"/>
    <w:rsid w:val="00BE1658"/>
    <w:rsid w:val="00BE1940"/>
    <w:rsid w:val="00BE2B16"/>
    <w:rsid w:val="00BE7597"/>
    <w:rsid w:val="00BF1271"/>
    <w:rsid w:val="00BF1636"/>
    <w:rsid w:val="00BF1EB0"/>
    <w:rsid w:val="00BF2E8F"/>
    <w:rsid w:val="00BF4514"/>
    <w:rsid w:val="00BF56AE"/>
    <w:rsid w:val="00BF59DD"/>
    <w:rsid w:val="00BF6AA4"/>
    <w:rsid w:val="00BF6EEA"/>
    <w:rsid w:val="00BF7F19"/>
    <w:rsid w:val="00C00CC8"/>
    <w:rsid w:val="00C00D7D"/>
    <w:rsid w:val="00C02460"/>
    <w:rsid w:val="00C029CF"/>
    <w:rsid w:val="00C04492"/>
    <w:rsid w:val="00C05E08"/>
    <w:rsid w:val="00C06063"/>
    <w:rsid w:val="00C07B28"/>
    <w:rsid w:val="00C13318"/>
    <w:rsid w:val="00C155A0"/>
    <w:rsid w:val="00C16F5C"/>
    <w:rsid w:val="00C2019F"/>
    <w:rsid w:val="00C20D29"/>
    <w:rsid w:val="00C2138C"/>
    <w:rsid w:val="00C21B64"/>
    <w:rsid w:val="00C25B7A"/>
    <w:rsid w:val="00C276B0"/>
    <w:rsid w:val="00C32421"/>
    <w:rsid w:val="00C32D6B"/>
    <w:rsid w:val="00C330F1"/>
    <w:rsid w:val="00C40098"/>
    <w:rsid w:val="00C40A11"/>
    <w:rsid w:val="00C4327F"/>
    <w:rsid w:val="00C43E8B"/>
    <w:rsid w:val="00C4502D"/>
    <w:rsid w:val="00C45E57"/>
    <w:rsid w:val="00C5176B"/>
    <w:rsid w:val="00C51C83"/>
    <w:rsid w:val="00C525F8"/>
    <w:rsid w:val="00C53C23"/>
    <w:rsid w:val="00C5586D"/>
    <w:rsid w:val="00C5596F"/>
    <w:rsid w:val="00C60F16"/>
    <w:rsid w:val="00C61746"/>
    <w:rsid w:val="00C665F1"/>
    <w:rsid w:val="00C67AEF"/>
    <w:rsid w:val="00C733B6"/>
    <w:rsid w:val="00C73AD3"/>
    <w:rsid w:val="00C7425A"/>
    <w:rsid w:val="00C77773"/>
    <w:rsid w:val="00C77A8F"/>
    <w:rsid w:val="00C77DE2"/>
    <w:rsid w:val="00C815C9"/>
    <w:rsid w:val="00C900D9"/>
    <w:rsid w:val="00C90842"/>
    <w:rsid w:val="00C955C8"/>
    <w:rsid w:val="00CA0D75"/>
    <w:rsid w:val="00CA3D3E"/>
    <w:rsid w:val="00CA48BD"/>
    <w:rsid w:val="00CA6D7C"/>
    <w:rsid w:val="00CB1274"/>
    <w:rsid w:val="00CB41B9"/>
    <w:rsid w:val="00CB548F"/>
    <w:rsid w:val="00CB6C12"/>
    <w:rsid w:val="00CC07C1"/>
    <w:rsid w:val="00CC0917"/>
    <w:rsid w:val="00CC17D5"/>
    <w:rsid w:val="00CC2D96"/>
    <w:rsid w:val="00CC318F"/>
    <w:rsid w:val="00CC4560"/>
    <w:rsid w:val="00CC5094"/>
    <w:rsid w:val="00CC6A58"/>
    <w:rsid w:val="00CC6B71"/>
    <w:rsid w:val="00CC7E79"/>
    <w:rsid w:val="00CD48AE"/>
    <w:rsid w:val="00CD7F55"/>
    <w:rsid w:val="00CE3E63"/>
    <w:rsid w:val="00CE582D"/>
    <w:rsid w:val="00CF0638"/>
    <w:rsid w:val="00CF1AC4"/>
    <w:rsid w:val="00CF2558"/>
    <w:rsid w:val="00CF3393"/>
    <w:rsid w:val="00CF3AC0"/>
    <w:rsid w:val="00CF6304"/>
    <w:rsid w:val="00CF6931"/>
    <w:rsid w:val="00CF7A4A"/>
    <w:rsid w:val="00D04C01"/>
    <w:rsid w:val="00D13ACE"/>
    <w:rsid w:val="00D13C95"/>
    <w:rsid w:val="00D1553D"/>
    <w:rsid w:val="00D2040A"/>
    <w:rsid w:val="00D20790"/>
    <w:rsid w:val="00D22806"/>
    <w:rsid w:val="00D2463C"/>
    <w:rsid w:val="00D25B23"/>
    <w:rsid w:val="00D26E95"/>
    <w:rsid w:val="00D332BF"/>
    <w:rsid w:val="00D34697"/>
    <w:rsid w:val="00D4435D"/>
    <w:rsid w:val="00D449B0"/>
    <w:rsid w:val="00D44DA6"/>
    <w:rsid w:val="00D4567F"/>
    <w:rsid w:val="00D47526"/>
    <w:rsid w:val="00D47EC9"/>
    <w:rsid w:val="00D50D53"/>
    <w:rsid w:val="00D53B21"/>
    <w:rsid w:val="00D60215"/>
    <w:rsid w:val="00D604FA"/>
    <w:rsid w:val="00D60DCE"/>
    <w:rsid w:val="00D61B7C"/>
    <w:rsid w:val="00D61D9E"/>
    <w:rsid w:val="00D63E8B"/>
    <w:rsid w:val="00D64D14"/>
    <w:rsid w:val="00D717E7"/>
    <w:rsid w:val="00D71DAD"/>
    <w:rsid w:val="00D77297"/>
    <w:rsid w:val="00D8228B"/>
    <w:rsid w:val="00D854AE"/>
    <w:rsid w:val="00D92DFF"/>
    <w:rsid w:val="00D94A38"/>
    <w:rsid w:val="00DA0B83"/>
    <w:rsid w:val="00DA238A"/>
    <w:rsid w:val="00DB05E5"/>
    <w:rsid w:val="00DB0D62"/>
    <w:rsid w:val="00DB1A5B"/>
    <w:rsid w:val="00DB3ACB"/>
    <w:rsid w:val="00DB4428"/>
    <w:rsid w:val="00DB7063"/>
    <w:rsid w:val="00DB7849"/>
    <w:rsid w:val="00DC258F"/>
    <w:rsid w:val="00DC522B"/>
    <w:rsid w:val="00DC60CC"/>
    <w:rsid w:val="00DC62EC"/>
    <w:rsid w:val="00DD0A86"/>
    <w:rsid w:val="00DD2922"/>
    <w:rsid w:val="00DD32DD"/>
    <w:rsid w:val="00DD3E69"/>
    <w:rsid w:val="00DD481D"/>
    <w:rsid w:val="00DE0B19"/>
    <w:rsid w:val="00DE2E4D"/>
    <w:rsid w:val="00DE3A4A"/>
    <w:rsid w:val="00DE3F74"/>
    <w:rsid w:val="00DE4E80"/>
    <w:rsid w:val="00DF2176"/>
    <w:rsid w:val="00DF2966"/>
    <w:rsid w:val="00DF4A03"/>
    <w:rsid w:val="00DF598F"/>
    <w:rsid w:val="00DF7464"/>
    <w:rsid w:val="00E00F42"/>
    <w:rsid w:val="00E01CB0"/>
    <w:rsid w:val="00E238D8"/>
    <w:rsid w:val="00E251F9"/>
    <w:rsid w:val="00E26101"/>
    <w:rsid w:val="00E27B5F"/>
    <w:rsid w:val="00E30D92"/>
    <w:rsid w:val="00E32CE5"/>
    <w:rsid w:val="00E36C69"/>
    <w:rsid w:val="00E42752"/>
    <w:rsid w:val="00E42E00"/>
    <w:rsid w:val="00E43A0A"/>
    <w:rsid w:val="00E43A54"/>
    <w:rsid w:val="00E4573F"/>
    <w:rsid w:val="00E47013"/>
    <w:rsid w:val="00E514A8"/>
    <w:rsid w:val="00E51625"/>
    <w:rsid w:val="00E52BBA"/>
    <w:rsid w:val="00E53CE8"/>
    <w:rsid w:val="00E56F8E"/>
    <w:rsid w:val="00E64531"/>
    <w:rsid w:val="00E70236"/>
    <w:rsid w:val="00E703A6"/>
    <w:rsid w:val="00E728E4"/>
    <w:rsid w:val="00E75EAC"/>
    <w:rsid w:val="00E84633"/>
    <w:rsid w:val="00E977EF"/>
    <w:rsid w:val="00EB14CE"/>
    <w:rsid w:val="00EB40B5"/>
    <w:rsid w:val="00EB4E08"/>
    <w:rsid w:val="00EB549A"/>
    <w:rsid w:val="00EC0388"/>
    <w:rsid w:val="00EC0B54"/>
    <w:rsid w:val="00EC372A"/>
    <w:rsid w:val="00EC3BC3"/>
    <w:rsid w:val="00ED0F84"/>
    <w:rsid w:val="00ED10CB"/>
    <w:rsid w:val="00ED29D3"/>
    <w:rsid w:val="00ED4C2B"/>
    <w:rsid w:val="00ED5502"/>
    <w:rsid w:val="00ED70F1"/>
    <w:rsid w:val="00EE248C"/>
    <w:rsid w:val="00EE5567"/>
    <w:rsid w:val="00EE591A"/>
    <w:rsid w:val="00EF5A52"/>
    <w:rsid w:val="00EF5B3E"/>
    <w:rsid w:val="00EF68EE"/>
    <w:rsid w:val="00EF71B5"/>
    <w:rsid w:val="00F049A7"/>
    <w:rsid w:val="00F067C0"/>
    <w:rsid w:val="00F068A8"/>
    <w:rsid w:val="00F06F9C"/>
    <w:rsid w:val="00F10FC8"/>
    <w:rsid w:val="00F12F50"/>
    <w:rsid w:val="00F1363B"/>
    <w:rsid w:val="00F168E7"/>
    <w:rsid w:val="00F2078B"/>
    <w:rsid w:val="00F211AE"/>
    <w:rsid w:val="00F255DE"/>
    <w:rsid w:val="00F2567F"/>
    <w:rsid w:val="00F26596"/>
    <w:rsid w:val="00F268F9"/>
    <w:rsid w:val="00F30A22"/>
    <w:rsid w:val="00F315F9"/>
    <w:rsid w:val="00F32DC5"/>
    <w:rsid w:val="00F361AA"/>
    <w:rsid w:val="00F36B0A"/>
    <w:rsid w:val="00F3730E"/>
    <w:rsid w:val="00F40AD3"/>
    <w:rsid w:val="00F427D9"/>
    <w:rsid w:val="00F42B10"/>
    <w:rsid w:val="00F42C17"/>
    <w:rsid w:val="00F430A1"/>
    <w:rsid w:val="00F50190"/>
    <w:rsid w:val="00F50E84"/>
    <w:rsid w:val="00F52199"/>
    <w:rsid w:val="00F53138"/>
    <w:rsid w:val="00F53463"/>
    <w:rsid w:val="00F5662D"/>
    <w:rsid w:val="00F6006A"/>
    <w:rsid w:val="00F639E4"/>
    <w:rsid w:val="00F647C5"/>
    <w:rsid w:val="00F70B3A"/>
    <w:rsid w:val="00F71A9A"/>
    <w:rsid w:val="00F81E18"/>
    <w:rsid w:val="00F8216C"/>
    <w:rsid w:val="00F82E54"/>
    <w:rsid w:val="00F857B6"/>
    <w:rsid w:val="00F873AA"/>
    <w:rsid w:val="00F877F6"/>
    <w:rsid w:val="00F91C1D"/>
    <w:rsid w:val="00F934E6"/>
    <w:rsid w:val="00F94B12"/>
    <w:rsid w:val="00F97256"/>
    <w:rsid w:val="00FA6167"/>
    <w:rsid w:val="00FA6527"/>
    <w:rsid w:val="00FB2C8A"/>
    <w:rsid w:val="00FB2FD8"/>
    <w:rsid w:val="00FB50E1"/>
    <w:rsid w:val="00FB6917"/>
    <w:rsid w:val="00FB6B6F"/>
    <w:rsid w:val="00FC7340"/>
    <w:rsid w:val="00FC7D6F"/>
    <w:rsid w:val="00FD1E88"/>
    <w:rsid w:val="00FD3755"/>
    <w:rsid w:val="00FE0FBB"/>
    <w:rsid w:val="00FE37B8"/>
    <w:rsid w:val="00FE3964"/>
    <w:rsid w:val="00FE443C"/>
    <w:rsid w:val="00FE7B89"/>
    <w:rsid w:val="00FF3FC6"/>
    <w:rsid w:val="00FF4BA8"/>
    <w:rsid w:val="00FF7065"/>
    <w:rsid w:val="0EF3D797"/>
    <w:rsid w:val="0EFF864B"/>
    <w:rsid w:val="1D199129"/>
    <w:rsid w:val="1F063AFC"/>
    <w:rsid w:val="215D1FAF"/>
    <w:rsid w:val="27CBD188"/>
    <w:rsid w:val="3384DBAB"/>
    <w:rsid w:val="46D43A13"/>
    <w:rsid w:val="4A022051"/>
    <w:rsid w:val="4C21D528"/>
    <w:rsid w:val="4E9EB16C"/>
    <w:rsid w:val="5DDF04DC"/>
    <w:rsid w:val="633A3484"/>
    <w:rsid w:val="699C6162"/>
    <w:rsid w:val="7A1368A3"/>
    <w:rsid w:val="7E353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0C2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F5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F5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F5B3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F5B3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F5B3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F5B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F5B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F5B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F5B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5B3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F5B3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F5B3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F5B3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F5B3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F5B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F5B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F5B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F5B3E"/>
    <w:rPr>
      <w:rFonts w:eastAsiaTheme="majorEastAsia" w:cstheme="majorBidi"/>
      <w:color w:val="272727" w:themeColor="text1" w:themeTint="D8"/>
    </w:rPr>
  </w:style>
  <w:style w:type="paragraph" w:styleId="Tytu">
    <w:name w:val="Title"/>
    <w:basedOn w:val="Normalny"/>
    <w:next w:val="Normalny"/>
    <w:link w:val="TytuZnak"/>
    <w:uiPriority w:val="10"/>
    <w:qFormat/>
    <w:rsid w:val="00EF5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F5B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F5B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F5B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F5B3E"/>
    <w:pPr>
      <w:spacing w:before="160"/>
      <w:jc w:val="center"/>
    </w:pPr>
    <w:rPr>
      <w:i/>
      <w:iCs/>
      <w:color w:val="404040" w:themeColor="text1" w:themeTint="BF"/>
    </w:rPr>
  </w:style>
  <w:style w:type="character" w:customStyle="1" w:styleId="CytatZnak">
    <w:name w:val="Cytat Znak"/>
    <w:basedOn w:val="Domylnaczcionkaakapitu"/>
    <w:link w:val="Cytat"/>
    <w:uiPriority w:val="29"/>
    <w:rsid w:val="00EF5B3E"/>
    <w:rPr>
      <w:i/>
      <w:iCs/>
      <w:color w:val="404040" w:themeColor="text1" w:themeTint="BF"/>
    </w:rPr>
  </w:style>
  <w:style w:type="paragraph" w:styleId="Akapitzlist">
    <w:name w:val="List Paragraph"/>
    <w:basedOn w:val="Normalny"/>
    <w:uiPriority w:val="34"/>
    <w:qFormat/>
    <w:rsid w:val="00EF5B3E"/>
    <w:pPr>
      <w:ind w:left="720"/>
      <w:contextualSpacing/>
    </w:pPr>
  </w:style>
  <w:style w:type="character" w:styleId="Wyrnienieintensywne">
    <w:name w:val="Intense Emphasis"/>
    <w:basedOn w:val="Domylnaczcionkaakapitu"/>
    <w:uiPriority w:val="21"/>
    <w:qFormat/>
    <w:rsid w:val="00EF5B3E"/>
    <w:rPr>
      <w:i/>
      <w:iCs/>
      <w:color w:val="0F4761" w:themeColor="accent1" w:themeShade="BF"/>
    </w:rPr>
  </w:style>
  <w:style w:type="paragraph" w:styleId="Cytatintensywny">
    <w:name w:val="Intense Quote"/>
    <w:basedOn w:val="Normalny"/>
    <w:next w:val="Normalny"/>
    <w:link w:val="CytatintensywnyZnak"/>
    <w:uiPriority w:val="30"/>
    <w:qFormat/>
    <w:rsid w:val="00EF5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F5B3E"/>
    <w:rPr>
      <w:i/>
      <w:iCs/>
      <w:color w:val="0F4761" w:themeColor="accent1" w:themeShade="BF"/>
    </w:rPr>
  </w:style>
  <w:style w:type="character" w:styleId="Odwoanieintensywne">
    <w:name w:val="Intense Reference"/>
    <w:basedOn w:val="Domylnaczcionkaakapitu"/>
    <w:uiPriority w:val="32"/>
    <w:qFormat/>
    <w:rsid w:val="00EF5B3E"/>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8F1B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1B30"/>
    <w:rPr>
      <w:sz w:val="20"/>
      <w:szCs w:val="20"/>
    </w:rPr>
  </w:style>
  <w:style w:type="character" w:styleId="Odwoanieprzypisudolnego">
    <w:name w:val="footnote reference"/>
    <w:basedOn w:val="Domylnaczcionkaakapitu"/>
    <w:uiPriority w:val="99"/>
    <w:semiHidden/>
    <w:unhideWhenUsed/>
    <w:rsid w:val="008F1B30"/>
    <w:rPr>
      <w:vertAlign w:val="superscript"/>
    </w:rPr>
  </w:style>
  <w:style w:type="character" w:styleId="Hipercze">
    <w:name w:val="Hyperlink"/>
    <w:basedOn w:val="Domylnaczcionkaakapitu"/>
    <w:uiPriority w:val="99"/>
    <w:unhideWhenUsed/>
    <w:rsid w:val="0066632C"/>
    <w:rPr>
      <w:color w:val="467886" w:themeColor="hyperlink"/>
      <w:u w:val="single"/>
    </w:rPr>
  </w:style>
  <w:style w:type="character" w:styleId="Nierozpoznanawzmianka">
    <w:name w:val="Unresolved Mention"/>
    <w:basedOn w:val="Domylnaczcionkaakapitu"/>
    <w:uiPriority w:val="99"/>
    <w:semiHidden/>
    <w:unhideWhenUsed/>
    <w:rsid w:val="0066632C"/>
    <w:rPr>
      <w:color w:val="605E5C"/>
      <w:shd w:val="clear" w:color="auto" w:fill="E1DFDD"/>
    </w:rPr>
  </w:style>
  <w:style w:type="paragraph" w:styleId="Nagwek">
    <w:name w:val="header"/>
    <w:basedOn w:val="Normalny"/>
    <w:link w:val="NagwekZnak"/>
    <w:uiPriority w:val="99"/>
    <w:unhideWhenUsed/>
    <w:rsid w:val="000D0F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D0FA9"/>
  </w:style>
  <w:style w:type="paragraph" w:styleId="Stopka">
    <w:name w:val="footer"/>
    <w:basedOn w:val="Normalny"/>
    <w:link w:val="StopkaZnak"/>
    <w:uiPriority w:val="99"/>
    <w:unhideWhenUsed/>
    <w:rsid w:val="000D0F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D0FA9"/>
  </w:style>
  <w:style w:type="paragraph" w:styleId="NormalnyWeb">
    <w:name w:val="Normal (Web)"/>
    <w:basedOn w:val="Normalny"/>
    <w:uiPriority w:val="99"/>
    <w:semiHidden/>
    <w:unhideWhenUsed/>
    <w:rsid w:val="00AE1DB2"/>
    <w:rPr>
      <w:rFonts w:ascii="Times New Roman" w:hAnsi="Times New Roman" w:cs="Times New Roman"/>
      <w:sz w:val="24"/>
      <w:szCs w:val="24"/>
    </w:rPr>
  </w:style>
  <w:style w:type="paragraph" w:styleId="Tekstkomentarza">
    <w:name w:val="annotation text"/>
    <w:basedOn w:val="Normalny"/>
    <w:link w:val="TekstkomentarzaZnak"/>
    <w:uiPriority w:val="99"/>
    <w:unhideWhenUsed/>
    <w:rsid w:val="00672C04"/>
    <w:pPr>
      <w:spacing w:line="240" w:lineRule="auto"/>
    </w:pPr>
    <w:rPr>
      <w:sz w:val="20"/>
      <w:szCs w:val="20"/>
    </w:rPr>
  </w:style>
  <w:style w:type="character" w:customStyle="1" w:styleId="TekstkomentarzaZnak">
    <w:name w:val="Tekst komentarza Znak"/>
    <w:basedOn w:val="Domylnaczcionkaakapitu"/>
    <w:link w:val="Tekstkomentarza"/>
    <w:uiPriority w:val="99"/>
    <w:rsid w:val="00672C04"/>
    <w:rPr>
      <w:sz w:val="20"/>
      <w:szCs w:val="20"/>
    </w:rPr>
  </w:style>
  <w:style w:type="character" w:styleId="Odwoaniedokomentarza">
    <w:name w:val="annotation reference"/>
    <w:basedOn w:val="Domylnaczcionkaakapitu"/>
    <w:uiPriority w:val="99"/>
    <w:semiHidden/>
    <w:unhideWhenUsed/>
    <w:rsid w:val="00672C04"/>
    <w:rPr>
      <w:sz w:val="16"/>
      <w:szCs w:val="16"/>
    </w:rPr>
  </w:style>
  <w:style w:type="paragraph" w:styleId="Poprawka">
    <w:name w:val="Revision"/>
    <w:hidden/>
    <w:uiPriority w:val="99"/>
    <w:semiHidden/>
    <w:rsid w:val="00EE248C"/>
    <w:pPr>
      <w:spacing w:after="0" w:line="240" w:lineRule="auto"/>
    </w:pPr>
  </w:style>
  <w:style w:type="paragraph" w:styleId="Tematkomentarza">
    <w:name w:val="annotation subject"/>
    <w:basedOn w:val="Tekstkomentarza"/>
    <w:next w:val="Tekstkomentarza"/>
    <w:link w:val="TematkomentarzaZnak"/>
    <w:uiPriority w:val="99"/>
    <w:semiHidden/>
    <w:unhideWhenUsed/>
    <w:rsid w:val="00DB7063"/>
    <w:rPr>
      <w:b/>
      <w:bCs/>
    </w:rPr>
  </w:style>
  <w:style w:type="character" w:customStyle="1" w:styleId="TematkomentarzaZnak">
    <w:name w:val="Temat komentarza Znak"/>
    <w:basedOn w:val="TekstkomentarzaZnak"/>
    <w:link w:val="Tematkomentarza"/>
    <w:uiPriority w:val="99"/>
    <w:semiHidden/>
    <w:rsid w:val="00DB70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13">
      <w:bodyDiv w:val="1"/>
      <w:marLeft w:val="0"/>
      <w:marRight w:val="0"/>
      <w:marTop w:val="0"/>
      <w:marBottom w:val="0"/>
      <w:divBdr>
        <w:top w:val="none" w:sz="0" w:space="0" w:color="auto"/>
        <w:left w:val="none" w:sz="0" w:space="0" w:color="auto"/>
        <w:bottom w:val="none" w:sz="0" w:space="0" w:color="auto"/>
        <w:right w:val="none" w:sz="0" w:space="0" w:color="auto"/>
      </w:divBdr>
    </w:div>
    <w:div w:id="15812953">
      <w:bodyDiv w:val="1"/>
      <w:marLeft w:val="0"/>
      <w:marRight w:val="0"/>
      <w:marTop w:val="0"/>
      <w:marBottom w:val="0"/>
      <w:divBdr>
        <w:top w:val="none" w:sz="0" w:space="0" w:color="auto"/>
        <w:left w:val="none" w:sz="0" w:space="0" w:color="auto"/>
        <w:bottom w:val="none" w:sz="0" w:space="0" w:color="auto"/>
        <w:right w:val="none" w:sz="0" w:space="0" w:color="auto"/>
      </w:divBdr>
    </w:div>
    <w:div w:id="56393618">
      <w:bodyDiv w:val="1"/>
      <w:marLeft w:val="0"/>
      <w:marRight w:val="0"/>
      <w:marTop w:val="0"/>
      <w:marBottom w:val="0"/>
      <w:divBdr>
        <w:top w:val="none" w:sz="0" w:space="0" w:color="auto"/>
        <w:left w:val="none" w:sz="0" w:space="0" w:color="auto"/>
        <w:bottom w:val="none" w:sz="0" w:space="0" w:color="auto"/>
        <w:right w:val="none" w:sz="0" w:space="0" w:color="auto"/>
      </w:divBdr>
    </w:div>
    <w:div w:id="92287628">
      <w:bodyDiv w:val="1"/>
      <w:marLeft w:val="0"/>
      <w:marRight w:val="0"/>
      <w:marTop w:val="0"/>
      <w:marBottom w:val="0"/>
      <w:divBdr>
        <w:top w:val="none" w:sz="0" w:space="0" w:color="auto"/>
        <w:left w:val="none" w:sz="0" w:space="0" w:color="auto"/>
        <w:bottom w:val="none" w:sz="0" w:space="0" w:color="auto"/>
        <w:right w:val="none" w:sz="0" w:space="0" w:color="auto"/>
      </w:divBdr>
    </w:div>
    <w:div w:id="136731456">
      <w:bodyDiv w:val="1"/>
      <w:marLeft w:val="0"/>
      <w:marRight w:val="0"/>
      <w:marTop w:val="0"/>
      <w:marBottom w:val="0"/>
      <w:divBdr>
        <w:top w:val="none" w:sz="0" w:space="0" w:color="auto"/>
        <w:left w:val="none" w:sz="0" w:space="0" w:color="auto"/>
        <w:bottom w:val="none" w:sz="0" w:space="0" w:color="auto"/>
        <w:right w:val="none" w:sz="0" w:space="0" w:color="auto"/>
      </w:divBdr>
    </w:div>
    <w:div w:id="205652343">
      <w:bodyDiv w:val="1"/>
      <w:marLeft w:val="0"/>
      <w:marRight w:val="0"/>
      <w:marTop w:val="0"/>
      <w:marBottom w:val="0"/>
      <w:divBdr>
        <w:top w:val="none" w:sz="0" w:space="0" w:color="auto"/>
        <w:left w:val="none" w:sz="0" w:space="0" w:color="auto"/>
        <w:bottom w:val="none" w:sz="0" w:space="0" w:color="auto"/>
        <w:right w:val="none" w:sz="0" w:space="0" w:color="auto"/>
      </w:divBdr>
    </w:div>
    <w:div w:id="258872600">
      <w:bodyDiv w:val="1"/>
      <w:marLeft w:val="0"/>
      <w:marRight w:val="0"/>
      <w:marTop w:val="0"/>
      <w:marBottom w:val="0"/>
      <w:divBdr>
        <w:top w:val="none" w:sz="0" w:space="0" w:color="auto"/>
        <w:left w:val="none" w:sz="0" w:space="0" w:color="auto"/>
        <w:bottom w:val="none" w:sz="0" w:space="0" w:color="auto"/>
        <w:right w:val="none" w:sz="0" w:space="0" w:color="auto"/>
      </w:divBdr>
    </w:div>
    <w:div w:id="278145620">
      <w:bodyDiv w:val="1"/>
      <w:marLeft w:val="0"/>
      <w:marRight w:val="0"/>
      <w:marTop w:val="0"/>
      <w:marBottom w:val="0"/>
      <w:divBdr>
        <w:top w:val="none" w:sz="0" w:space="0" w:color="auto"/>
        <w:left w:val="none" w:sz="0" w:space="0" w:color="auto"/>
        <w:bottom w:val="none" w:sz="0" w:space="0" w:color="auto"/>
        <w:right w:val="none" w:sz="0" w:space="0" w:color="auto"/>
      </w:divBdr>
    </w:div>
    <w:div w:id="327443962">
      <w:bodyDiv w:val="1"/>
      <w:marLeft w:val="0"/>
      <w:marRight w:val="0"/>
      <w:marTop w:val="0"/>
      <w:marBottom w:val="0"/>
      <w:divBdr>
        <w:top w:val="none" w:sz="0" w:space="0" w:color="auto"/>
        <w:left w:val="none" w:sz="0" w:space="0" w:color="auto"/>
        <w:bottom w:val="none" w:sz="0" w:space="0" w:color="auto"/>
        <w:right w:val="none" w:sz="0" w:space="0" w:color="auto"/>
      </w:divBdr>
    </w:div>
    <w:div w:id="344288124">
      <w:bodyDiv w:val="1"/>
      <w:marLeft w:val="0"/>
      <w:marRight w:val="0"/>
      <w:marTop w:val="0"/>
      <w:marBottom w:val="0"/>
      <w:divBdr>
        <w:top w:val="none" w:sz="0" w:space="0" w:color="auto"/>
        <w:left w:val="none" w:sz="0" w:space="0" w:color="auto"/>
        <w:bottom w:val="none" w:sz="0" w:space="0" w:color="auto"/>
        <w:right w:val="none" w:sz="0" w:space="0" w:color="auto"/>
      </w:divBdr>
    </w:div>
    <w:div w:id="459109626">
      <w:bodyDiv w:val="1"/>
      <w:marLeft w:val="0"/>
      <w:marRight w:val="0"/>
      <w:marTop w:val="0"/>
      <w:marBottom w:val="0"/>
      <w:divBdr>
        <w:top w:val="none" w:sz="0" w:space="0" w:color="auto"/>
        <w:left w:val="none" w:sz="0" w:space="0" w:color="auto"/>
        <w:bottom w:val="none" w:sz="0" w:space="0" w:color="auto"/>
        <w:right w:val="none" w:sz="0" w:space="0" w:color="auto"/>
      </w:divBdr>
    </w:div>
    <w:div w:id="492112353">
      <w:bodyDiv w:val="1"/>
      <w:marLeft w:val="0"/>
      <w:marRight w:val="0"/>
      <w:marTop w:val="0"/>
      <w:marBottom w:val="0"/>
      <w:divBdr>
        <w:top w:val="none" w:sz="0" w:space="0" w:color="auto"/>
        <w:left w:val="none" w:sz="0" w:space="0" w:color="auto"/>
        <w:bottom w:val="none" w:sz="0" w:space="0" w:color="auto"/>
        <w:right w:val="none" w:sz="0" w:space="0" w:color="auto"/>
      </w:divBdr>
    </w:div>
    <w:div w:id="532039145">
      <w:bodyDiv w:val="1"/>
      <w:marLeft w:val="0"/>
      <w:marRight w:val="0"/>
      <w:marTop w:val="0"/>
      <w:marBottom w:val="0"/>
      <w:divBdr>
        <w:top w:val="none" w:sz="0" w:space="0" w:color="auto"/>
        <w:left w:val="none" w:sz="0" w:space="0" w:color="auto"/>
        <w:bottom w:val="none" w:sz="0" w:space="0" w:color="auto"/>
        <w:right w:val="none" w:sz="0" w:space="0" w:color="auto"/>
      </w:divBdr>
    </w:div>
    <w:div w:id="544371384">
      <w:bodyDiv w:val="1"/>
      <w:marLeft w:val="0"/>
      <w:marRight w:val="0"/>
      <w:marTop w:val="0"/>
      <w:marBottom w:val="0"/>
      <w:divBdr>
        <w:top w:val="none" w:sz="0" w:space="0" w:color="auto"/>
        <w:left w:val="none" w:sz="0" w:space="0" w:color="auto"/>
        <w:bottom w:val="none" w:sz="0" w:space="0" w:color="auto"/>
        <w:right w:val="none" w:sz="0" w:space="0" w:color="auto"/>
      </w:divBdr>
    </w:div>
    <w:div w:id="547303502">
      <w:bodyDiv w:val="1"/>
      <w:marLeft w:val="0"/>
      <w:marRight w:val="0"/>
      <w:marTop w:val="0"/>
      <w:marBottom w:val="0"/>
      <w:divBdr>
        <w:top w:val="none" w:sz="0" w:space="0" w:color="auto"/>
        <w:left w:val="none" w:sz="0" w:space="0" w:color="auto"/>
        <w:bottom w:val="none" w:sz="0" w:space="0" w:color="auto"/>
        <w:right w:val="none" w:sz="0" w:space="0" w:color="auto"/>
      </w:divBdr>
    </w:div>
    <w:div w:id="559438522">
      <w:bodyDiv w:val="1"/>
      <w:marLeft w:val="0"/>
      <w:marRight w:val="0"/>
      <w:marTop w:val="0"/>
      <w:marBottom w:val="0"/>
      <w:divBdr>
        <w:top w:val="none" w:sz="0" w:space="0" w:color="auto"/>
        <w:left w:val="none" w:sz="0" w:space="0" w:color="auto"/>
        <w:bottom w:val="none" w:sz="0" w:space="0" w:color="auto"/>
        <w:right w:val="none" w:sz="0" w:space="0" w:color="auto"/>
      </w:divBdr>
    </w:div>
    <w:div w:id="587151800">
      <w:bodyDiv w:val="1"/>
      <w:marLeft w:val="0"/>
      <w:marRight w:val="0"/>
      <w:marTop w:val="0"/>
      <w:marBottom w:val="0"/>
      <w:divBdr>
        <w:top w:val="none" w:sz="0" w:space="0" w:color="auto"/>
        <w:left w:val="none" w:sz="0" w:space="0" w:color="auto"/>
        <w:bottom w:val="none" w:sz="0" w:space="0" w:color="auto"/>
        <w:right w:val="none" w:sz="0" w:space="0" w:color="auto"/>
      </w:divBdr>
      <w:divsChild>
        <w:div w:id="1060983588">
          <w:marLeft w:val="360"/>
          <w:marRight w:val="0"/>
          <w:marTop w:val="0"/>
          <w:marBottom w:val="0"/>
          <w:divBdr>
            <w:top w:val="none" w:sz="0" w:space="0" w:color="auto"/>
            <w:left w:val="none" w:sz="0" w:space="0" w:color="auto"/>
            <w:bottom w:val="none" w:sz="0" w:space="0" w:color="auto"/>
            <w:right w:val="none" w:sz="0" w:space="0" w:color="auto"/>
          </w:divBdr>
          <w:divsChild>
            <w:div w:id="21126482">
              <w:marLeft w:val="0"/>
              <w:marRight w:val="0"/>
              <w:marTop w:val="0"/>
              <w:marBottom w:val="0"/>
              <w:divBdr>
                <w:top w:val="none" w:sz="0" w:space="0" w:color="auto"/>
                <w:left w:val="none" w:sz="0" w:space="0" w:color="auto"/>
                <w:bottom w:val="none" w:sz="0" w:space="0" w:color="auto"/>
                <w:right w:val="none" w:sz="0" w:space="0" w:color="auto"/>
              </w:divBdr>
            </w:div>
          </w:divsChild>
        </w:div>
        <w:div w:id="1600874551">
          <w:marLeft w:val="360"/>
          <w:marRight w:val="0"/>
          <w:marTop w:val="0"/>
          <w:marBottom w:val="0"/>
          <w:divBdr>
            <w:top w:val="none" w:sz="0" w:space="0" w:color="auto"/>
            <w:left w:val="none" w:sz="0" w:space="0" w:color="auto"/>
            <w:bottom w:val="none" w:sz="0" w:space="0" w:color="auto"/>
            <w:right w:val="none" w:sz="0" w:space="0" w:color="auto"/>
          </w:divBdr>
          <w:divsChild>
            <w:div w:id="816144760">
              <w:marLeft w:val="0"/>
              <w:marRight w:val="0"/>
              <w:marTop w:val="0"/>
              <w:marBottom w:val="0"/>
              <w:divBdr>
                <w:top w:val="none" w:sz="0" w:space="0" w:color="auto"/>
                <w:left w:val="none" w:sz="0" w:space="0" w:color="auto"/>
                <w:bottom w:val="none" w:sz="0" w:space="0" w:color="auto"/>
                <w:right w:val="none" w:sz="0" w:space="0" w:color="auto"/>
              </w:divBdr>
            </w:div>
          </w:divsChild>
        </w:div>
        <w:div w:id="2068141767">
          <w:marLeft w:val="360"/>
          <w:marRight w:val="0"/>
          <w:marTop w:val="0"/>
          <w:marBottom w:val="0"/>
          <w:divBdr>
            <w:top w:val="none" w:sz="0" w:space="0" w:color="auto"/>
            <w:left w:val="none" w:sz="0" w:space="0" w:color="auto"/>
            <w:bottom w:val="none" w:sz="0" w:space="0" w:color="auto"/>
            <w:right w:val="none" w:sz="0" w:space="0" w:color="auto"/>
          </w:divBdr>
          <w:divsChild>
            <w:div w:id="10531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4529">
      <w:bodyDiv w:val="1"/>
      <w:marLeft w:val="0"/>
      <w:marRight w:val="0"/>
      <w:marTop w:val="0"/>
      <w:marBottom w:val="0"/>
      <w:divBdr>
        <w:top w:val="none" w:sz="0" w:space="0" w:color="auto"/>
        <w:left w:val="none" w:sz="0" w:space="0" w:color="auto"/>
        <w:bottom w:val="none" w:sz="0" w:space="0" w:color="auto"/>
        <w:right w:val="none" w:sz="0" w:space="0" w:color="auto"/>
      </w:divBdr>
    </w:div>
    <w:div w:id="595090498">
      <w:bodyDiv w:val="1"/>
      <w:marLeft w:val="0"/>
      <w:marRight w:val="0"/>
      <w:marTop w:val="0"/>
      <w:marBottom w:val="0"/>
      <w:divBdr>
        <w:top w:val="none" w:sz="0" w:space="0" w:color="auto"/>
        <w:left w:val="none" w:sz="0" w:space="0" w:color="auto"/>
        <w:bottom w:val="none" w:sz="0" w:space="0" w:color="auto"/>
        <w:right w:val="none" w:sz="0" w:space="0" w:color="auto"/>
      </w:divBdr>
    </w:div>
    <w:div w:id="611086648">
      <w:bodyDiv w:val="1"/>
      <w:marLeft w:val="0"/>
      <w:marRight w:val="0"/>
      <w:marTop w:val="0"/>
      <w:marBottom w:val="0"/>
      <w:divBdr>
        <w:top w:val="none" w:sz="0" w:space="0" w:color="auto"/>
        <w:left w:val="none" w:sz="0" w:space="0" w:color="auto"/>
        <w:bottom w:val="none" w:sz="0" w:space="0" w:color="auto"/>
        <w:right w:val="none" w:sz="0" w:space="0" w:color="auto"/>
      </w:divBdr>
    </w:div>
    <w:div w:id="620845577">
      <w:bodyDiv w:val="1"/>
      <w:marLeft w:val="0"/>
      <w:marRight w:val="0"/>
      <w:marTop w:val="0"/>
      <w:marBottom w:val="0"/>
      <w:divBdr>
        <w:top w:val="none" w:sz="0" w:space="0" w:color="auto"/>
        <w:left w:val="none" w:sz="0" w:space="0" w:color="auto"/>
        <w:bottom w:val="none" w:sz="0" w:space="0" w:color="auto"/>
        <w:right w:val="none" w:sz="0" w:space="0" w:color="auto"/>
      </w:divBdr>
    </w:div>
    <w:div w:id="638918158">
      <w:bodyDiv w:val="1"/>
      <w:marLeft w:val="0"/>
      <w:marRight w:val="0"/>
      <w:marTop w:val="0"/>
      <w:marBottom w:val="0"/>
      <w:divBdr>
        <w:top w:val="none" w:sz="0" w:space="0" w:color="auto"/>
        <w:left w:val="none" w:sz="0" w:space="0" w:color="auto"/>
        <w:bottom w:val="none" w:sz="0" w:space="0" w:color="auto"/>
        <w:right w:val="none" w:sz="0" w:space="0" w:color="auto"/>
      </w:divBdr>
    </w:div>
    <w:div w:id="722754519">
      <w:bodyDiv w:val="1"/>
      <w:marLeft w:val="0"/>
      <w:marRight w:val="0"/>
      <w:marTop w:val="0"/>
      <w:marBottom w:val="0"/>
      <w:divBdr>
        <w:top w:val="none" w:sz="0" w:space="0" w:color="auto"/>
        <w:left w:val="none" w:sz="0" w:space="0" w:color="auto"/>
        <w:bottom w:val="none" w:sz="0" w:space="0" w:color="auto"/>
        <w:right w:val="none" w:sz="0" w:space="0" w:color="auto"/>
      </w:divBdr>
    </w:div>
    <w:div w:id="767310406">
      <w:bodyDiv w:val="1"/>
      <w:marLeft w:val="0"/>
      <w:marRight w:val="0"/>
      <w:marTop w:val="0"/>
      <w:marBottom w:val="0"/>
      <w:divBdr>
        <w:top w:val="none" w:sz="0" w:space="0" w:color="auto"/>
        <w:left w:val="none" w:sz="0" w:space="0" w:color="auto"/>
        <w:bottom w:val="none" w:sz="0" w:space="0" w:color="auto"/>
        <w:right w:val="none" w:sz="0" w:space="0" w:color="auto"/>
      </w:divBdr>
    </w:div>
    <w:div w:id="785077780">
      <w:bodyDiv w:val="1"/>
      <w:marLeft w:val="0"/>
      <w:marRight w:val="0"/>
      <w:marTop w:val="0"/>
      <w:marBottom w:val="0"/>
      <w:divBdr>
        <w:top w:val="none" w:sz="0" w:space="0" w:color="auto"/>
        <w:left w:val="none" w:sz="0" w:space="0" w:color="auto"/>
        <w:bottom w:val="none" w:sz="0" w:space="0" w:color="auto"/>
        <w:right w:val="none" w:sz="0" w:space="0" w:color="auto"/>
      </w:divBdr>
    </w:div>
    <w:div w:id="788011851">
      <w:bodyDiv w:val="1"/>
      <w:marLeft w:val="0"/>
      <w:marRight w:val="0"/>
      <w:marTop w:val="0"/>
      <w:marBottom w:val="0"/>
      <w:divBdr>
        <w:top w:val="none" w:sz="0" w:space="0" w:color="auto"/>
        <w:left w:val="none" w:sz="0" w:space="0" w:color="auto"/>
        <w:bottom w:val="none" w:sz="0" w:space="0" w:color="auto"/>
        <w:right w:val="none" w:sz="0" w:space="0" w:color="auto"/>
      </w:divBdr>
    </w:div>
    <w:div w:id="881329198">
      <w:bodyDiv w:val="1"/>
      <w:marLeft w:val="0"/>
      <w:marRight w:val="0"/>
      <w:marTop w:val="0"/>
      <w:marBottom w:val="0"/>
      <w:divBdr>
        <w:top w:val="none" w:sz="0" w:space="0" w:color="auto"/>
        <w:left w:val="none" w:sz="0" w:space="0" w:color="auto"/>
        <w:bottom w:val="none" w:sz="0" w:space="0" w:color="auto"/>
        <w:right w:val="none" w:sz="0" w:space="0" w:color="auto"/>
      </w:divBdr>
    </w:div>
    <w:div w:id="885290815">
      <w:bodyDiv w:val="1"/>
      <w:marLeft w:val="0"/>
      <w:marRight w:val="0"/>
      <w:marTop w:val="0"/>
      <w:marBottom w:val="0"/>
      <w:divBdr>
        <w:top w:val="none" w:sz="0" w:space="0" w:color="auto"/>
        <w:left w:val="none" w:sz="0" w:space="0" w:color="auto"/>
        <w:bottom w:val="none" w:sz="0" w:space="0" w:color="auto"/>
        <w:right w:val="none" w:sz="0" w:space="0" w:color="auto"/>
      </w:divBdr>
      <w:divsChild>
        <w:div w:id="944774608">
          <w:marLeft w:val="0"/>
          <w:marRight w:val="0"/>
          <w:marTop w:val="72"/>
          <w:marBottom w:val="0"/>
          <w:divBdr>
            <w:top w:val="none" w:sz="0" w:space="0" w:color="auto"/>
            <w:left w:val="none" w:sz="0" w:space="0" w:color="auto"/>
            <w:bottom w:val="none" w:sz="0" w:space="0" w:color="auto"/>
            <w:right w:val="none" w:sz="0" w:space="0" w:color="auto"/>
          </w:divBdr>
          <w:divsChild>
            <w:div w:id="1602180687">
              <w:marLeft w:val="0"/>
              <w:marRight w:val="0"/>
              <w:marTop w:val="0"/>
              <w:marBottom w:val="0"/>
              <w:divBdr>
                <w:top w:val="none" w:sz="0" w:space="0" w:color="auto"/>
                <w:left w:val="none" w:sz="0" w:space="0" w:color="auto"/>
                <w:bottom w:val="none" w:sz="0" w:space="0" w:color="auto"/>
                <w:right w:val="none" w:sz="0" w:space="0" w:color="auto"/>
              </w:divBdr>
            </w:div>
          </w:divsChild>
        </w:div>
        <w:div w:id="1591739728">
          <w:marLeft w:val="0"/>
          <w:marRight w:val="0"/>
          <w:marTop w:val="72"/>
          <w:marBottom w:val="0"/>
          <w:divBdr>
            <w:top w:val="none" w:sz="0" w:space="0" w:color="auto"/>
            <w:left w:val="none" w:sz="0" w:space="0" w:color="auto"/>
            <w:bottom w:val="none" w:sz="0" w:space="0" w:color="auto"/>
            <w:right w:val="none" w:sz="0" w:space="0" w:color="auto"/>
          </w:divBdr>
        </w:div>
      </w:divsChild>
    </w:div>
    <w:div w:id="925653311">
      <w:bodyDiv w:val="1"/>
      <w:marLeft w:val="0"/>
      <w:marRight w:val="0"/>
      <w:marTop w:val="0"/>
      <w:marBottom w:val="0"/>
      <w:divBdr>
        <w:top w:val="none" w:sz="0" w:space="0" w:color="auto"/>
        <w:left w:val="none" w:sz="0" w:space="0" w:color="auto"/>
        <w:bottom w:val="none" w:sz="0" w:space="0" w:color="auto"/>
        <w:right w:val="none" w:sz="0" w:space="0" w:color="auto"/>
      </w:divBdr>
    </w:div>
    <w:div w:id="971208117">
      <w:bodyDiv w:val="1"/>
      <w:marLeft w:val="0"/>
      <w:marRight w:val="0"/>
      <w:marTop w:val="0"/>
      <w:marBottom w:val="0"/>
      <w:divBdr>
        <w:top w:val="none" w:sz="0" w:space="0" w:color="auto"/>
        <w:left w:val="none" w:sz="0" w:space="0" w:color="auto"/>
        <w:bottom w:val="none" w:sz="0" w:space="0" w:color="auto"/>
        <w:right w:val="none" w:sz="0" w:space="0" w:color="auto"/>
      </w:divBdr>
    </w:div>
    <w:div w:id="983973235">
      <w:bodyDiv w:val="1"/>
      <w:marLeft w:val="0"/>
      <w:marRight w:val="0"/>
      <w:marTop w:val="0"/>
      <w:marBottom w:val="0"/>
      <w:divBdr>
        <w:top w:val="none" w:sz="0" w:space="0" w:color="auto"/>
        <w:left w:val="none" w:sz="0" w:space="0" w:color="auto"/>
        <w:bottom w:val="none" w:sz="0" w:space="0" w:color="auto"/>
        <w:right w:val="none" w:sz="0" w:space="0" w:color="auto"/>
      </w:divBdr>
    </w:div>
    <w:div w:id="989480263">
      <w:bodyDiv w:val="1"/>
      <w:marLeft w:val="0"/>
      <w:marRight w:val="0"/>
      <w:marTop w:val="0"/>
      <w:marBottom w:val="0"/>
      <w:divBdr>
        <w:top w:val="none" w:sz="0" w:space="0" w:color="auto"/>
        <w:left w:val="none" w:sz="0" w:space="0" w:color="auto"/>
        <w:bottom w:val="none" w:sz="0" w:space="0" w:color="auto"/>
        <w:right w:val="none" w:sz="0" w:space="0" w:color="auto"/>
      </w:divBdr>
    </w:div>
    <w:div w:id="1007827466">
      <w:bodyDiv w:val="1"/>
      <w:marLeft w:val="0"/>
      <w:marRight w:val="0"/>
      <w:marTop w:val="0"/>
      <w:marBottom w:val="0"/>
      <w:divBdr>
        <w:top w:val="none" w:sz="0" w:space="0" w:color="auto"/>
        <w:left w:val="none" w:sz="0" w:space="0" w:color="auto"/>
        <w:bottom w:val="none" w:sz="0" w:space="0" w:color="auto"/>
        <w:right w:val="none" w:sz="0" w:space="0" w:color="auto"/>
      </w:divBdr>
    </w:div>
    <w:div w:id="1054541218">
      <w:bodyDiv w:val="1"/>
      <w:marLeft w:val="0"/>
      <w:marRight w:val="0"/>
      <w:marTop w:val="0"/>
      <w:marBottom w:val="0"/>
      <w:divBdr>
        <w:top w:val="none" w:sz="0" w:space="0" w:color="auto"/>
        <w:left w:val="none" w:sz="0" w:space="0" w:color="auto"/>
        <w:bottom w:val="none" w:sz="0" w:space="0" w:color="auto"/>
        <w:right w:val="none" w:sz="0" w:space="0" w:color="auto"/>
      </w:divBdr>
    </w:div>
    <w:div w:id="1063716964">
      <w:bodyDiv w:val="1"/>
      <w:marLeft w:val="0"/>
      <w:marRight w:val="0"/>
      <w:marTop w:val="0"/>
      <w:marBottom w:val="0"/>
      <w:divBdr>
        <w:top w:val="none" w:sz="0" w:space="0" w:color="auto"/>
        <w:left w:val="none" w:sz="0" w:space="0" w:color="auto"/>
        <w:bottom w:val="none" w:sz="0" w:space="0" w:color="auto"/>
        <w:right w:val="none" w:sz="0" w:space="0" w:color="auto"/>
      </w:divBdr>
      <w:divsChild>
        <w:div w:id="384454620">
          <w:marLeft w:val="0"/>
          <w:marRight w:val="0"/>
          <w:marTop w:val="0"/>
          <w:marBottom w:val="0"/>
          <w:divBdr>
            <w:top w:val="none" w:sz="0" w:space="0" w:color="auto"/>
            <w:left w:val="none" w:sz="0" w:space="0" w:color="auto"/>
            <w:bottom w:val="none" w:sz="0" w:space="0" w:color="auto"/>
            <w:right w:val="none" w:sz="0" w:space="0" w:color="auto"/>
          </w:divBdr>
          <w:divsChild>
            <w:div w:id="160853714">
              <w:marLeft w:val="0"/>
              <w:marRight w:val="0"/>
              <w:marTop w:val="0"/>
              <w:marBottom w:val="0"/>
              <w:divBdr>
                <w:top w:val="none" w:sz="0" w:space="0" w:color="auto"/>
                <w:left w:val="none" w:sz="0" w:space="0" w:color="auto"/>
                <w:bottom w:val="none" w:sz="0" w:space="0" w:color="auto"/>
                <w:right w:val="none" w:sz="0" w:space="0" w:color="auto"/>
              </w:divBdr>
              <w:divsChild>
                <w:div w:id="128981161">
                  <w:marLeft w:val="0"/>
                  <w:marRight w:val="0"/>
                  <w:marTop w:val="0"/>
                  <w:marBottom w:val="0"/>
                  <w:divBdr>
                    <w:top w:val="none" w:sz="0" w:space="0" w:color="auto"/>
                    <w:left w:val="none" w:sz="0" w:space="0" w:color="auto"/>
                    <w:bottom w:val="none" w:sz="0" w:space="0" w:color="auto"/>
                    <w:right w:val="none" w:sz="0" w:space="0" w:color="auto"/>
                  </w:divBdr>
                  <w:divsChild>
                    <w:div w:id="1926258408">
                      <w:marLeft w:val="0"/>
                      <w:marRight w:val="0"/>
                      <w:marTop w:val="0"/>
                      <w:marBottom w:val="0"/>
                      <w:divBdr>
                        <w:top w:val="none" w:sz="0" w:space="0" w:color="auto"/>
                        <w:left w:val="none" w:sz="0" w:space="0" w:color="auto"/>
                        <w:bottom w:val="none" w:sz="0" w:space="0" w:color="auto"/>
                        <w:right w:val="none" w:sz="0" w:space="0" w:color="auto"/>
                      </w:divBdr>
                      <w:divsChild>
                        <w:div w:id="570458064">
                          <w:marLeft w:val="0"/>
                          <w:marRight w:val="0"/>
                          <w:marTop w:val="0"/>
                          <w:marBottom w:val="0"/>
                          <w:divBdr>
                            <w:top w:val="none" w:sz="0" w:space="0" w:color="auto"/>
                            <w:left w:val="none" w:sz="0" w:space="0" w:color="auto"/>
                            <w:bottom w:val="none" w:sz="0" w:space="0" w:color="auto"/>
                            <w:right w:val="none" w:sz="0" w:space="0" w:color="auto"/>
                          </w:divBdr>
                          <w:divsChild>
                            <w:div w:id="10647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528588">
      <w:bodyDiv w:val="1"/>
      <w:marLeft w:val="0"/>
      <w:marRight w:val="0"/>
      <w:marTop w:val="0"/>
      <w:marBottom w:val="0"/>
      <w:divBdr>
        <w:top w:val="none" w:sz="0" w:space="0" w:color="auto"/>
        <w:left w:val="none" w:sz="0" w:space="0" w:color="auto"/>
        <w:bottom w:val="none" w:sz="0" w:space="0" w:color="auto"/>
        <w:right w:val="none" w:sz="0" w:space="0" w:color="auto"/>
      </w:divBdr>
    </w:div>
    <w:div w:id="1121999309">
      <w:bodyDiv w:val="1"/>
      <w:marLeft w:val="0"/>
      <w:marRight w:val="0"/>
      <w:marTop w:val="0"/>
      <w:marBottom w:val="0"/>
      <w:divBdr>
        <w:top w:val="none" w:sz="0" w:space="0" w:color="auto"/>
        <w:left w:val="none" w:sz="0" w:space="0" w:color="auto"/>
        <w:bottom w:val="none" w:sz="0" w:space="0" w:color="auto"/>
        <w:right w:val="none" w:sz="0" w:space="0" w:color="auto"/>
      </w:divBdr>
    </w:div>
    <w:div w:id="1138453715">
      <w:bodyDiv w:val="1"/>
      <w:marLeft w:val="0"/>
      <w:marRight w:val="0"/>
      <w:marTop w:val="0"/>
      <w:marBottom w:val="0"/>
      <w:divBdr>
        <w:top w:val="none" w:sz="0" w:space="0" w:color="auto"/>
        <w:left w:val="none" w:sz="0" w:space="0" w:color="auto"/>
        <w:bottom w:val="none" w:sz="0" w:space="0" w:color="auto"/>
        <w:right w:val="none" w:sz="0" w:space="0" w:color="auto"/>
      </w:divBdr>
    </w:div>
    <w:div w:id="1139693074">
      <w:bodyDiv w:val="1"/>
      <w:marLeft w:val="0"/>
      <w:marRight w:val="0"/>
      <w:marTop w:val="0"/>
      <w:marBottom w:val="0"/>
      <w:divBdr>
        <w:top w:val="none" w:sz="0" w:space="0" w:color="auto"/>
        <w:left w:val="none" w:sz="0" w:space="0" w:color="auto"/>
        <w:bottom w:val="none" w:sz="0" w:space="0" w:color="auto"/>
        <w:right w:val="none" w:sz="0" w:space="0" w:color="auto"/>
      </w:divBdr>
      <w:divsChild>
        <w:div w:id="1607344957">
          <w:marLeft w:val="0"/>
          <w:marRight w:val="0"/>
          <w:marTop w:val="72"/>
          <w:marBottom w:val="0"/>
          <w:divBdr>
            <w:top w:val="none" w:sz="0" w:space="0" w:color="auto"/>
            <w:left w:val="none" w:sz="0" w:space="0" w:color="auto"/>
            <w:bottom w:val="none" w:sz="0" w:space="0" w:color="auto"/>
            <w:right w:val="none" w:sz="0" w:space="0" w:color="auto"/>
          </w:divBdr>
        </w:div>
        <w:div w:id="1819805915">
          <w:marLeft w:val="0"/>
          <w:marRight w:val="0"/>
          <w:marTop w:val="72"/>
          <w:marBottom w:val="0"/>
          <w:divBdr>
            <w:top w:val="none" w:sz="0" w:space="0" w:color="auto"/>
            <w:left w:val="none" w:sz="0" w:space="0" w:color="auto"/>
            <w:bottom w:val="none" w:sz="0" w:space="0" w:color="auto"/>
            <w:right w:val="none" w:sz="0" w:space="0" w:color="auto"/>
          </w:divBdr>
          <w:divsChild>
            <w:div w:id="20983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89978">
      <w:bodyDiv w:val="1"/>
      <w:marLeft w:val="0"/>
      <w:marRight w:val="0"/>
      <w:marTop w:val="0"/>
      <w:marBottom w:val="0"/>
      <w:divBdr>
        <w:top w:val="none" w:sz="0" w:space="0" w:color="auto"/>
        <w:left w:val="none" w:sz="0" w:space="0" w:color="auto"/>
        <w:bottom w:val="none" w:sz="0" w:space="0" w:color="auto"/>
        <w:right w:val="none" w:sz="0" w:space="0" w:color="auto"/>
      </w:divBdr>
    </w:div>
    <w:div w:id="1265380088">
      <w:bodyDiv w:val="1"/>
      <w:marLeft w:val="0"/>
      <w:marRight w:val="0"/>
      <w:marTop w:val="0"/>
      <w:marBottom w:val="0"/>
      <w:divBdr>
        <w:top w:val="none" w:sz="0" w:space="0" w:color="auto"/>
        <w:left w:val="none" w:sz="0" w:space="0" w:color="auto"/>
        <w:bottom w:val="none" w:sz="0" w:space="0" w:color="auto"/>
        <w:right w:val="none" w:sz="0" w:space="0" w:color="auto"/>
      </w:divBdr>
    </w:div>
    <w:div w:id="1278488850">
      <w:bodyDiv w:val="1"/>
      <w:marLeft w:val="0"/>
      <w:marRight w:val="0"/>
      <w:marTop w:val="0"/>
      <w:marBottom w:val="0"/>
      <w:divBdr>
        <w:top w:val="none" w:sz="0" w:space="0" w:color="auto"/>
        <w:left w:val="none" w:sz="0" w:space="0" w:color="auto"/>
        <w:bottom w:val="none" w:sz="0" w:space="0" w:color="auto"/>
        <w:right w:val="none" w:sz="0" w:space="0" w:color="auto"/>
      </w:divBdr>
    </w:div>
    <w:div w:id="1320232142">
      <w:bodyDiv w:val="1"/>
      <w:marLeft w:val="0"/>
      <w:marRight w:val="0"/>
      <w:marTop w:val="0"/>
      <w:marBottom w:val="0"/>
      <w:divBdr>
        <w:top w:val="none" w:sz="0" w:space="0" w:color="auto"/>
        <w:left w:val="none" w:sz="0" w:space="0" w:color="auto"/>
        <w:bottom w:val="none" w:sz="0" w:space="0" w:color="auto"/>
        <w:right w:val="none" w:sz="0" w:space="0" w:color="auto"/>
      </w:divBdr>
      <w:divsChild>
        <w:div w:id="954481346">
          <w:marLeft w:val="360"/>
          <w:marRight w:val="0"/>
          <w:marTop w:val="0"/>
          <w:marBottom w:val="0"/>
          <w:divBdr>
            <w:top w:val="none" w:sz="0" w:space="0" w:color="auto"/>
            <w:left w:val="none" w:sz="0" w:space="0" w:color="auto"/>
            <w:bottom w:val="none" w:sz="0" w:space="0" w:color="auto"/>
            <w:right w:val="none" w:sz="0" w:space="0" w:color="auto"/>
          </w:divBdr>
          <w:divsChild>
            <w:div w:id="2093234525">
              <w:marLeft w:val="0"/>
              <w:marRight w:val="0"/>
              <w:marTop w:val="0"/>
              <w:marBottom w:val="0"/>
              <w:divBdr>
                <w:top w:val="none" w:sz="0" w:space="0" w:color="auto"/>
                <w:left w:val="none" w:sz="0" w:space="0" w:color="auto"/>
                <w:bottom w:val="none" w:sz="0" w:space="0" w:color="auto"/>
                <w:right w:val="none" w:sz="0" w:space="0" w:color="auto"/>
              </w:divBdr>
            </w:div>
          </w:divsChild>
        </w:div>
        <w:div w:id="1604338229">
          <w:marLeft w:val="360"/>
          <w:marRight w:val="0"/>
          <w:marTop w:val="0"/>
          <w:marBottom w:val="0"/>
          <w:divBdr>
            <w:top w:val="none" w:sz="0" w:space="0" w:color="auto"/>
            <w:left w:val="none" w:sz="0" w:space="0" w:color="auto"/>
            <w:bottom w:val="none" w:sz="0" w:space="0" w:color="auto"/>
            <w:right w:val="none" w:sz="0" w:space="0" w:color="auto"/>
          </w:divBdr>
          <w:divsChild>
            <w:div w:id="1673294945">
              <w:marLeft w:val="0"/>
              <w:marRight w:val="0"/>
              <w:marTop w:val="0"/>
              <w:marBottom w:val="0"/>
              <w:divBdr>
                <w:top w:val="none" w:sz="0" w:space="0" w:color="auto"/>
                <w:left w:val="none" w:sz="0" w:space="0" w:color="auto"/>
                <w:bottom w:val="none" w:sz="0" w:space="0" w:color="auto"/>
                <w:right w:val="none" w:sz="0" w:space="0" w:color="auto"/>
              </w:divBdr>
            </w:div>
          </w:divsChild>
        </w:div>
        <w:div w:id="1722287150">
          <w:marLeft w:val="360"/>
          <w:marRight w:val="0"/>
          <w:marTop w:val="0"/>
          <w:marBottom w:val="0"/>
          <w:divBdr>
            <w:top w:val="none" w:sz="0" w:space="0" w:color="auto"/>
            <w:left w:val="none" w:sz="0" w:space="0" w:color="auto"/>
            <w:bottom w:val="none" w:sz="0" w:space="0" w:color="auto"/>
            <w:right w:val="none" w:sz="0" w:space="0" w:color="auto"/>
          </w:divBdr>
          <w:divsChild>
            <w:div w:id="131237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2230">
      <w:bodyDiv w:val="1"/>
      <w:marLeft w:val="0"/>
      <w:marRight w:val="0"/>
      <w:marTop w:val="0"/>
      <w:marBottom w:val="0"/>
      <w:divBdr>
        <w:top w:val="none" w:sz="0" w:space="0" w:color="auto"/>
        <w:left w:val="none" w:sz="0" w:space="0" w:color="auto"/>
        <w:bottom w:val="none" w:sz="0" w:space="0" w:color="auto"/>
        <w:right w:val="none" w:sz="0" w:space="0" w:color="auto"/>
      </w:divBdr>
    </w:div>
    <w:div w:id="1381903328">
      <w:bodyDiv w:val="1"/>
      <w:marLeft w:val="0"/>
      <w:marRight w:val="0"/>
      <w:marTop w:val="0"/>
      <w:marBottom w:val="0"/>
      <w:divBdr>
        <w:top w:val="none" w:sz="0" w:space="0" w:color="auto"/>
        <w:left w:val="none" w:sz="0" w:space="0" w:color="auto"/>
        <w:bottom w:val="none" w:sz="0" w:space="0" w:color="auto"/>
        <w:right w:val="none" w:sz="0" w:space="0" w:color="auto"/>
      </w:divBdr>
    </w:div>
    <w:div w:id="1386488985">
      <w:bodyDiv w:val="1"/>
      <w:marLeft w:val="0"/>
      <w:marRight w:val="0"/>
      <w:marTop w:val="0"/>
      <w:marBottom w:val="0"/>
      <w:divBdr>
        <w:top w:val="none" w:sz="0" w:space="0" w:color="auto"/>
        <w:left w:val="none" w:sz="0" w:space="0" w:color="auto"/>
        <w:bottom w:val="none" w:sz="0" w:space="0" w:color="auto"/>
        <w:right w:val="none" w:sz="0" w:space="0" w:color="auto"/>
      </w:divBdr>
    </w:div>
    <w:div w:id="1431469565">
      <w:bodyDiv w:val="1"/>
      <w:marLeft w:val="0"/>
      <w:marRight w:val="0"/>
      <w:marTop w:val="0"/>
      <w:marBottom w:val="0"/>
      <w:divBdr>
        <w:top w:val="none" w:sz="0" w:space="0" w:color="auto"/>
        <w:left w:val="none" w:sz="0" w:space="0" w:color="auto"/>
        <w:bottom w:val="none" w:sz="0" w:space="0" w:color="auto"/>
        <w:right w:val="none" w:sz="0" w:space="0" w:color="auto"/>
      </w:divBdr>
    </w:div>
    <w:div w:id="1460420577">
      <w:bodyDiv w:val="1"/>
      <w:marLeft w:val="0"/>
      <w:marRight w:val="0"/>
      <w:marTop w:val="0"/>
      <w:marBottom w:val="0"/>
      <w:divBdr>
        <w:top w:val="none" w:sz="0" w:space="0" w:color="auto"/>
        <w:left w:val="none" w:sz="0" w:space="0" w:color="auto"/>
        <w:bottom w:val="none" w:sz="0" w:space="0" w:color="auto"/>
        <w:right w:val="none" w:sz="0" w:space="0" w:color="auto"/>
      </w:divBdr>
      <w:divsChild>
        <w:div w:id="45179473">
          <w:marLeft w:val="0"/>
          <w:marRight w:val="0"/>
          <w:marTop w:val="0"/>
          <w:marBottom w:val="0"/>
          <w:divBdr>
            <w:top w:val="none" w:sz="0" w:space="0" w:color="auto"/>
            <w:left w:val="none" w:sz="0" w:space="0" w:color="auto"/>
            <w:bottom w:val="none" w:sz="0" w:space="0" w:color="auto"/>
            <w:right w:val="none" w:sz="0" w:space="0" w:color="auto"/>
          </w:divBdr>
          <w:divsChild>
            <w:div w:id="313222094">
              <w:marLeft w:val="0"/>
              <w:marRight w:val="0"/>
              <w:marTop w:val="0"/>
              <w:marBottom w:val="0"/>
              <w:divBdr>
                <w:top w:val="none" w:sz="0" w:space="0" w:color="auto"/>
                <w:left w:val="none" w:sz="0" w:space="0" w:color="auto"/>
                <w:bottom w:val="none" w:sz="0" w:space="0" w:color="auto"/>
                <w:right w:val="none" w:sz="0" w:space="0" w:color="auto"/>
              </w:divBdr>
              <w:divsChild>
                <w:div w:id="756288280">
                  <w:marLeft w:val="0"/>
                  <w:marRight w:val="0"/>
                  <w:marTop w:val="0"/>
                  <w:marBottom w:val="0"/>
                  <w:divBdr>
                    <w:top w:val="none" w:sz="0" w:space="0" w:color="auto"/>
                    <w:left w:val="none" w:sz="0" w:space="0" w:color="auto"/>
                    <w:bottom w:val="none" w:sz="0" w:space="0" w:color="auto"/>
                    <w:right w:val="none" w:sz="0" w:space="0" w:color="auto"/>
                  </w:divBdr>
                  <w:divsChild>
                    <w:div w:id="339164739">
                      <w:marLeft w:val="0"/>
                      <w:marRight w:val="0"/>
                      <w:marTop w:val="0"/>
                      <w:marBottom w:val="0"/>
                      <w:divBdr>
                        <w:top w:val="none" w:sz="0" w:space="0" w:color="auto"/>
                        <w:left w:val="none" w:sz="0" w:space="0" w:color="auto"/>
                        <w:bottom w:val="none" w:sz="0" w:space="0" w:color="auto"/>
                        <w:right w:val="none" w:sz="0" w:space="0" w:color="auto"/>
                      </w:divBdr>
                      <w:divsChild>
                        <w:div w:id="2084447498">
                          <w:marLeft w:val="0"/>
                          <w:marRight w:val="0"/>
                          <w:marTop w:val="0"/>
                          <w:marBottom w:val="0"/>
                          <w:divBdr>
                            <w:top w:val="none" w:sz="0" w:space="0" w:color="auto"/>
                            <w:left w:val="none" w:sz="0" w:space="0" w:color="auto"/>
                            <w:bottom w:val="none" w:sz="0" w:space="0" w:color="auto"/>
                            <w:right w:val="none" w:sz="0" w:space="0" w:color="auto"/>
                          </w:divBdr>
                          <w:divsChild>
                            <w:div w:id="186601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0491015">
      <w:bodyDiv w:val="1"/>
      <w:marLeft w:val="0"/>
      <w:marRight w:val="0"/>
      <w:marTop w:val="0"/>
      <w:marBottom w:val="0"/>
      <w:divBdr>
        <w:top w:val="none" w:sz="0" w:space="0" w:color="auto"/>
        <w:left w:val="none" w:sz="0" w:space="0" w:color="auto"/>
        <w:bottom w:val="none" w:sz="0" w:space="0" w:color="auto"/>
        <w:right w:val="none" w:sz="0" w:space="0" w:color="auto"/>
      </w:divBdr>
    </w:div>
    <w:div w:id="1472207016">
      <w:bodyDiv w:val="1"/>
      <w:marLeft w:val="0"/>
      <w:marRight w:val="0"/>
      <w:marTop w:val="0"/>
      <w:marBottom w:val="0"/>
      <w:divBdr>
        <w:top w:val="none" w:sz="0" w:space="0" w:color="auto"/>
        <w:left w:val="none" w:sz="0" w:space="0" w:color="auto"/>
        <w:bottom w:val="none" w:sz="0" w:space="0" w:color="auto"/>
        <w:right w:val="none" w:sz="0" w:space="0" w:color="auto"/>
      </w:divBdr>
    </w:div>
    <w:div w:id="1497577978">
      <w:bodyDiv w:val="1"/>
      <w:marLeft w:val="0"/>
      <w:marRight w:val="0"/>
      <w:marTop w:val="0"/>
      <w:marBottom w:val="0"/>
      <w:divBdr>
        <w:top w:val="none" w:sz="0" w:space="0" w:color="auto"/>
        <w:left w:val="none" w:sz="0" w:space="0" w:color="auto"/>
        <w:bottom w:val="none" w:sz="0" w:space="0" w:color="auto"/>
        <w:right w:val="none" w:sz="0" w:space="0" w:color="auto"/>
      </w:divBdr>
    </w:div>
    <w:div w:id="1585338439">
      <w:bodyDiv w:val="1"/>
      <w:marLeft w:val="0"/>
      <w:marRight w:val="0"/>
      <w:marTop w:val="0"/>
      <w:marBottom w:val="0"/>
      <w:divBdr>
        <w:top w:val="none" w:sz="0" w:space="0" w:color="auto"/>
        <w:left w:val="none" w:sz="0" w:space="0" w:color="auto"/>
        <w:bottom w:val="none" w:sz="0" w:space="0" w:color="auto"/>
        <w:right w:val="none" w:sz="0" w:space="0" w:color="auto"/>
      </w:divBdr>
    </w:div>
    <w:div w:id="1606499621">
      <w:bodyDiv w:val="1"/>
      <w:marLeft w:val="0"/>
      <w:marRight w:val="0"/>
      <w:marTop w:val="0"/>
      <w:marBottom w:val="0"/>
      <w:divBdr>
        <w:top w:val="none" w:sz="0" w:space="0" w:color="auto"/>
        <w:left w:val="none" w:sz="0" w:space="0" w:color="auto"/>
        <w:bottom w:val="none" w:sz="0" w:space="0" w:color="auto"/>
        <w:right w:val="none" w:sz="0" w:space="0" w:color="auto"/>
      </w:divBdr>
    </w:div>
    <w:div w:id="1609966219">
      <w:bodyDiv w:val="1"/>
      <w:marLeft w:val="0"/>
      <w:marRight w:val="0"/>
      <w:marTop w:val="0"/>
      <w:marBottom w:val="0"/>
      <w:divBdr>
        <w:top w:val="none" w:sz="0" w:space="0" w:color="auto"/>
        <w:left w:val="none" w:sz="0" w:space="0" w:color="auto"/>
        <w:bottom w:val="none" w:sz="0" w:space="0" w:color="auto"/>
        <w:right w:val="none" w:sz="0" w:space="0" w:color="auto"/>
      </w:divBdr>
    </w:div>
    <w:div w:id="1639333425">
      <w:bodyDiv w:val="1"/>
      <w:marLeft w:val="0"/>
      <w:marRight w:val="0"/>
      <w:marTop w:val="0"/>
      <w:marBottom w:val="0"/>
      <w:divBdr>
        <w:top w:val="none" w:sz="0" w:space="0" w:color="auto"/>
        <w:left w:val="none" w:sz="0" w:space="0" w:color="auto"/>
        <w:bottom w:val="none" w:sz="0" w:space="0" w:color="auto"/>
        <w:right w:val="none" w:sz="0" w:space="0" w:color="auto"/>
      </w:divBdr>
    </w:div>
    <w:div w:id="1678924983">
      <w:bodyDiv w:val="1"/>
      <w:marLeft w:val="0"/>
      <w:marRight w:val="0"/>
      <w:marTop w:val="0"/>
      <w:marBottom w:val="0"/>
      <w:divBdr>
        <w:top w:val="none" w:sz="0" w:space="0" w:color="auto"/>
        <w:left w:val="none" w:sz="0" w:space="0" w:color="auto"/>
        <w:bottom w:val="none" w:sz="0" w:space="0" w:color="auto"/>
        <w:right w:val="none" w:sz="0" w:space="0" w:color="auto"/>
      </w:divBdr>
    </w:div>
    <w:div w:id="1718967575">
      <w:bodyDiv w:val="1"/>
      <w:marLeft w:val="0"/>
      <w:marRight w:val="0"/>
      <w:marTop w:val="0"/>
      <w:marBottom w:val="0"/>
      <w:divBdr>
        <w:top w:val="none" w:sz="0" w:space="0" w:color="auto"/>
        <w:left w:val="none" w:sz="0" w:space="0" w:color="auto"/>
        <w:bottom w:val="none" w:sz="0" w:space="0" w:color="auto"/>
        <w:right w:val="none" w:sz="0" w:space="0" w:color="auto"/>
      </w:divBdr>
    </w:div>
    <w:div w:id="1780251152">
      <w:bodyDiv w:val="1"/>
      <w:marLeft w:val="0"/>
      <w:marRight w:val="0"/>
      <w:marTop w:val="0"/>
      <w:marBottom w:val="0"/>
      <w:divBdr>
        <w:top w:val="none" w:sz="0" w:space="0" w:color="auto"/>
        <w:left w:val="none" w:sz="0" w:space="0" w:color="auto"/>
        <w:bottom w:val="none" w:sz="0" w:space="0" w:color="auto"/>
        <w:right w:val="none" w:sz="0" w:space="0" w:color="auto"/>
      </w:divBdr>
    </w:div>
    <w:div w:id="1782065936">
      <w:bodyDiv w:val="1"/>
      <w:marLeft w:val="0"/>
      <w:marRight w:val="0"/>
      <w:marTop w:val="0"/>
      <w:marBottom w:val="0"/>
      <w:divBdr>
        <w:top w:val="none" w:sz="0" w:space="0" w:color="auto"/>
        <w:left w:val="none" w:sz="0" w:space="0" w:color="auto"/>
        <w:bottom w:val="none" w:sz="0" w:space="0" w:color="auto"/>
        <w:right w:val="none" w:sz="0" w:space="0" w:color="auto"/>
      </w:divBdr>
    </w:div>
    <w:div w:id="1838156830">
      <w:bodyDiv w:val="1"/>
      <w:marLeft w:val="0"/>
      <w:marRight w:val="0"/>
      <w:marTop w:val="0"/>
      <w:marBottom w:val="0"/>
      <w:divBdr>
        <w:top w:val="none" w:sz="0" w:space="0" w:color="auto"/>
        <w:left w:val="none" w:sz="0" w:space="0" w:color="auto"/>
        <w:bottom w:val="none" w:sz="0" w:space="0" w:color="auto"/>
        <w:right w:val="none" w:sz="0" w:space="0" w:color="auto"/>
      </w:divBdr>
    </w:div>
    <w:div w:id="1842819148">
      <w:bodyDiv w:val="1"/>
      <w:marLeft w:val="0"/>
      <w:marRight w:val="0"/>
      <w:marTop w:val="0"/>
      <w:marBottom w:val="0"/>
      <w:divBdr>
        <w:top w:val="none" w:sz="0" w:space="0" w:color="auto"/>
        <w:left w:val="none" w:sz="0" w:space="0" w:color="auto"/>
        <w:bottom w:val="none" w:sz="0" w:space="0" w:color="auto"/>
        <w:right w:val="none" w:sz="0" w:space="0" w:color="auto"/>
      </w:divBdr>
    </w:div>
    <w:div w:id="1886795313">
      <w:bodyDiv w:val="1"/>
      <w:marLeft w:val="0"/>
      <w:marRight w:val="0"/>
      <w:marTop w:val="0"/>
      <w:marBottom w:val="0"/>
      <w:divBdr>
        <w:top w:val="none" w:sz="0" w:space="0" w:color="auto"/>
        <w:left w:val="none" w:sz="0" w:space="0" w:color="auto"/>
        <w:bottom w:val="none" w:sz="0" w:space="0" w:color="auto"/>
        <w:right w:val="none" w:sz="0" w:space="0" w:color="auto"/>
      </w:divBdr>
    </w:div>
    <w:div w:id="1898128669">
      <w:bodyDiv w:val="1"/>
      <w:marLeft w:val="0"/>
      <w:marRight w:val="0"/>
      <w:marTop w:val="0"/>
      <w:marBottom w:val="0"/>
      <w:divBdr>
        <w:top w:val="none" w:sz="0" w:space="0" w:color="auto"/>
        <w:left w:val="none" w:sz="0" w:space="0" w:color="auto"/>
        <w:bottom w:val="none" w:sz="0" w:space="0" w:color="auto"/>
        <w:right w:val="none" w:sz="0" w:space="0" w:color="auto"/>
      </w:divBdr>
    </w:div>
    <w:div w:id="1989552725">
      <w:bodyDiv w:val="1"/>
      <w:marLeft w:val="0"/>
      <w:marRight w:val="0"/>
      <w:marTop w:val="0"/>
      <w:marBottom w:val="0"/>
      <w:divBdr>
        <w:top w:val="none" w:sz="0" w:space="0" w:color="auto"/>
        <w:left w:val="none" w:sz="0" w:space="0" w:color="auto"/>
        <w:bottom w:val="none" w:sz="0" w:space="0" w:color="auto"/>
        <w:right w:val="none" w:sz="0" w:space="0" w:color="auto"/>
      </w:divBdr>
    </w:div>
    <w:div w:id="2004432532">
      <w:bodyDiv w:val="1"/>
      <w:marLeft w:val="0"/>
      <w:marRight w:val="0"/>
      <w:marTop w:val="0"/>
      <w:marBottom w:val="0"/>
      <w:divBdr>
        <w:top w:val="none" w:sz="0" w:space="0" w:color="auto"/>
        <w:left w:val="none" w:sz="0" w:space="0" w:color="auto"/>
        <w:bottom w:val="none" w:sz="0" w:space="0" w:color="auto"/>
        <w:right w:val="none" w:sz="0" w:space="0" w:color="auto"/>
      </w:divBdr>
    </w:div>
    <w:div w:id="204590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A4A12-5374-444F-BD7B-93C2E288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6200</Words>
  <Characters>41479</Characters>
  <Application>Microsoft Office Word</Application>
  <DocSecurity>0</DocSecurity>
  <Lines>345</Lines>
  <Paragraphs>95</Paragraphs>
  <ScaleCrop>false</ScaleCrop>
  <Company/>
  <LinksUpToDate>false</LinksUpToDate>
  <CharactersWithSpaces>47584</CharactersWithSpaces>
  <SharedDoc>false</SharedDoc>
  <HLinks>
    <vt:vector size="6" baseType="variant">
      <vt:variant>
        <vt:i4>5963862</vt:i4>
      </vt:variant>
      <vt:variant>
        <vt:i4>0</vt:i4>
      </vt:variant>
      <vt:variant>
        <vt:i4>0</vt:i4>
      </vt:variant>
      <vt:variant>
        <vt:i4>5</vt:i4>
      </vt:variant>
      <vt:variant>
        <vt:lpwstr>https://www.the-case.eu/resources/a-2024-report-on-slapps-in-europe-mapping-trends-and-cases/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2026-04-30T09:22:00Z</dcterms:created>
  <dcterms:modified xsi:type="dcterms:W3CDTF">2026-04-30T09:22:00Z</dcterms:modified>
</cp:coreProperties>
</file>