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BB99B" w14:textId="77777777" w:rsidR="00185BE9" w:rsidRPr="00F85D6D" w:rsidRDefault="00185BE9" w:rsidP="00F85D6D">
      <w:pPr>
        <w:pStyle w:val="TYTUAKTUprzedmiotregulacjiustawylubrozporzdzenia"/>
        <w:spacing w:before="0" w:after="120"/>
        <w:rPr>
          <w:b w:val="0"/>
          <w:bCs w:val="0"/>
        </w:rPr>
      </w:pPr>
      <w:r w:rsidRPr="00F85D6D">
        <w:rPr>
          <w:b w:val="0"/>
          <w:bCs w:val="0"/>
        </w:rPr>
        <w:t>UZASADNIENIE</w:t>
      </w:r>
    </w:p>
    <w:p w14:paraId="56DC4B9F" w14:textId="77777777" w:rsidR="00185BE9" w:rsidRDefault="00185BE9" w:rsidP="00F85D6D">
      <w:pPr>
        <w:pStyle w:val="NIEARTTEKSTtekstnieartykuowanynppodstprawnarozplubpreambua"/>
        <w:spacing w:before="0" w:after="120"/>
      </w:pPr>
      <w:bookmarkStart w:id="0" w:name="_Hlk158716782"/>
      <w:r w:rsidRPr="00015C25">
        <w:t>Projekt ustaw</w:t>
      </w:r>
      <w:r>
        <w:t>y</w:t>
      </w:r>
      <w:r w:rsidRPr="00015C25">
        <w:t xml:space="preserve"> o zmianie ustawy o przeciwdziałaniu narkomanii oraz niektórych innych ustaw</w:t>
      </w:r>
      <w:r>
        <w:t xml:space="preserve">, zwany dalej </w:t>
      </w:r>
      <w:r w:rsidRPr="003146E8">
        <w:t>„</w:t>
      </w:r>
      <w:r>
        <w:t xml:space="preserve">projektem </w:t>
      </w:r>
      <w:r w:rsidRPr="003146E8">
        <w:t>ustaw</w:t>
      </w:r>
      <w:r>
        <w:t>y</w:t>
      </w:r>
      <w:r w:rsidRPr="003146E8">
        <w:t>”</w:t>
      </w:r>
      <w:r>
        <w:t>,</w:t>
      </w:r>
      <w:r w:rsidRPr="003146E8">
        <w:t xml:space="preserve"> </w:t>
      </w:r>
      <w:r w:rsidRPr="00015C25">
        <w:t>został opracowan</w:t>
      </w:r>
      <w:r>
        <w:t>y</w:t>
      </w:r>
      <w:r w:rsidRPr="00015C25">
        <w:t xml:space="preserve"> ze względu na potrzebę </w:t>
      </w:r>
      <w:r>
        <w:t xml:space="preserve">zmiany </w:t>
      </w:r>
      <w:r w:rsidRPr="00015C25">
        <w:t>przepisów ustawy z dnia 29 lipca 2005 r. o przeciwdziałaniu narkomanii (Dz. U. z 20</w:t>
      </w:r>
      <w:r>
        <w:t>23</w:t>
      </w:r>
      <w:r w:rsidRPr="00015C25">
        <w:t xml:space="preserve"> r. poz. </w:t>
      </w:r>
      <w:r>
        <w:t>1939</w:t>
      </w:r>
      <w:r w:rsidRPr="00015C25">
        <w:t>), zwanej dalej „u</w:t>
      </w:r>
      <w:r>
        <w:t>stawą o przeciwdziałaniu narkomanii</w:t>
      </w:r>
      <w:bookmarkStart w:id="1" w:name="_Hlk208559674"/>
      <w:r w:rsidRPr="00015C25">
        <w:t>”</w:t>
      </w:r>
      <w:bookmarkEnd w:id="1"/>
      <w:r w:rsidRPr="00015C25">
        <w:t xml:space="preserve">, </w:t>
      </w:r>
      <w:r>
        <w:t>w zakresie:</w:t>
      </w:r>
    </w:p>
    <w:p w14:paraId="5C4DE435" w14:textId="77777777" w:rsidR="00185BE9" w:rsidRPr="009A4155" w:rsidRDefault="00185BE9" w:rsidP="00F85D6D">
      <w:pPr>
        <w:pStyle w:val="PKTpunkt"/>
        <w:spacing w:after="120"/>
      </w:pPr>
      <w:r>
        <w:t>1)</w:t>
      </w:r>
      <w:r>
        <w:tab/>
        <w:t xml:space="preserve">posiadania przez </w:t>
      </w:r>
      <w:r w:rsidRPr="009A4155">
        <w:t>upoważnione jednostki nowych substancji psychoaktywnych;</w:t>
      </w:r>
    </w:p>
    <w:p w14:paraId="3338B01A" w14:textId="77777777" w:rsidR="00185BE9" w:rsidRPr="009A4155" w:rsidRDefault="00185BE9" w:rsidP="00F85D6D">
      <w:pPr>
        <w:pStyle w:val="PKTpunkt"/>
        <w:spacing w:after="120"/>
      </w:pPr>
      <w:r w:rsidRPr="009A4155">
        <w:t>2)</w:t>
      </w:r>
      <w:r w:rsidRPr="009A4155">
        <w:tab/>
        <w:t>umożliwienia spełnienia międzynarodowych wymogów przez medyczne zespoły ratunkowe niosące pomoc osobom poszkodowanym w wyniku klęsk żywiołowych lub katastrof;</w:t>
      </w:r>
    </w:p>
    <w:p w14:paraId="20C8B009" w14:textId="07DF6BB8" w:rsidR="00185BE9" w:rsidRPr="009A4155" w:rsidRDefault="00185BE9" w:rsidP="00F85D6D">
      <w:pPr>
        <w:pStyle w:val="PKTpunkt"/>
        <w:spacing w:after="120"/>
      </w:pPr>
      <w:r w:rsidRPr="009A4155">
        <w:t>3)</w:t>
      </w:r>
      <w:r w:rsidRPr="009A4155">
        <w:tab/>
        <w:t xml:space="preserve">dostosowania odpowiednich przepisów do postanowień Konwencji Narodów Zjednoczonych o zwalczaniu nielegalnego obrotu środkami odurzającymi i substancjami psychotropowymi, </w:t>
      </w:r>
      <w:r w:rsidR="0044740B" w:rsidRPr="009A4155">
        <w:t>sporządzon</w:t>
      </w:r>
      <w:r w:rsidR="0044740B">
        <w:t>ej</w:t>
      </w:r>
      <w:r w:rsidR="0044740B" w:rsidRPr="009A4155">
        <w:t xml:space="preserve"> </w:t>
      </w:r>
      <w:r w:rsidRPr="009A4155">
        <w:t>w Wiedniu dnia 20 grudnia 1988 r. (Dz. U. z 1995 r. poz. 69), która została ratyfikowana przez Rzeczpospolitą Polską;</w:t>
      </w:r>
    </w:p>
    <w:p w14:paraId="4E1613E6" w14:textId="67FF3DAE" w:rsidR="00185BE9" w:rsidRPr="009A4155" w:rsidRDefault="00185BE9" w:rsidP="00F85D6D">
      <w:pPr>
        <w:pStyle w:val="PKTpunkt"/>
        <w:spacing w:after="120"/>
      </w:pPr>
      <w:r w:rsidRPr="009A4155">
        <w:t>4)</w:t>
      </w:r>
      <w:r w:rsidRPr="009A4155">
        <w:tab/>
        <w:t xml:space="preserve">zmiany nazwy Europejskiego Centrum Monitorowania Narkotyków i Narkomanii na Agencję Unii Europejskiej do spraw Narkotyków w związku z wejściem w życie z dniem 2 lipca 2024 r. rozporządzenia Parlamentu Europejskiego i Rady (UE) 2023/1322 z dnia 27 czerwca 2023 r. w </w:t>
      </w:r>
      <w:bookmarkStart w:id="2" w:name="_Hlk175912168"/>
      <w:r w:rsidRPr="009A4155">
        <w:t xml:space="preserve">sprawie Agencji Unii Europejskiej ds. Narkotyków </w:t>
      </w:r>
      <w:bookmarkEnd w:id="2"/>
      <w:r w:rsidRPr="009A4155">
        <w:t>(EUDA) i uchylenia rozporządzenia (UE) nr 1920/2006 (Dz. Urz. UE L 166 z 30.06.2023, str. 6);</w:t>
      </w:r>
    </w:p>
    <w:p w14:paraId="40063519" w14:textId="77777777" w:rsidR="00185BE9" w:rsidRDefault="00185BE9" w:rsidP="00F85D6D">
      <w:pPr>
        <w:pStyle w:val="PKTpunkt"/>
        <w:spacing w:after="120"/>
      </w:pPr>
      <w:r w:rsidRPr="009A4155">
        <w:t>5)</w:t>
      </w:r>
      <w:r w:rsidRPr="009A4155">
        <w:tab/>
        <w:t>organizacji leczenia</w:t>
      </w:r>
      <w:r>
        <w:t xml:space="preserve"> substytucyjnego.</w:t>
      </w:r>
    </w:p>
    <w:p w14:paraId="492FD20E" w14:textId="77DF09EE" w:rsidR="00185BE9" w:rsidRDefault="00185BE9" w:rsidP="00F85D6D">
      <w:pPr>
        <w:pStyle w:val="NIEARTTEKSTtekstnieartykuowanynppodstprawnarozplubpreambua"/>
        <w:spacing w:before="0" w:after="120"/>
      </w:pPr>
      <w:r>
        <w:t xml:space="preserve">Zmiany wprowadzone do </w:t>
      </w:r>
      <w:r w:rsidRPr="003146E8">
        <w:t>ustaw</w:t>
      </w:r>
      <w:r>
        <w:t>y</w:t>
      </w:r>
      <w:r w:rsidRPr="003146E8">
        <w:t xml:space="preserve"> o przeciwdziałaniu narkomanii </w:t>
      </w:r>
      <w:r>
        <w:t>w art. 1 pkt 2, 6 i 7 projektu ustawy dotyczą zmiany w organizacji leczenia substytucyjnego. Leczenie substytucyjne jest prowadzone w Rzeczypospolitej Polskiej od 1992 r. Głównym środkiem stosowanym w leczeniu substytucyjnym w Rzeczypospolitej Polskiej jest metadon. Zgodnie z treścią art. 28 ust. 2 ustawy o przeciwdziałaniu narkomanii leczenie substytucyjne w ramach leczenia substytucyjnego może prowadzić podmiot leczniczy po uzyskaniu zezwolenia marszałka województwa wydanego po uzyskaniu pozytywnej opinii Dyrektora Krajowego Centrum Przeciwdziałania Uzależnieniom odnośnie do spełnienia wymagań określonych w przepisach</w:t>
      </w:r>
      <w:r w:rsidR="002A66AE">
        <w:t xml:space="preserve"> wykonawczych do</w:t>
      </w:r>
      <w:r>
        <w:t xml:space="preserve"> ustawy o przeciwdziałaniu narkomanii. </w:t>
      </w:r>
    </w:p>
    <w:p w14:paraId="4A9A31FC" w14:textId="77777777" w:rsidR="00185BE9" w:rsidRDefault="00185BE9" w:rsidP="00F85D6D">
      <w:pPr>
        <w:pStyle w:val="NIEARTTEKSTtekstnieartykuowanynppodstprawnarozplubpreambua"/>
        <w:spacing w:before="0" w:after="120"/>
      </w:pPr>
      <w:r>
        <w:t xml:space="preserve">Warto również nadmienić, że leczenie substytucyjne znajduje się w katalogu świadczeń gwarantowanych, a obowiązek ogłaszania konkursu na leczenie substytucyjne wynika z przepisów ustawy z dnia 27 sierpnia 2004 r. o świadczeniach opieki zdrowotnej finansowanych </w:t>
      </w:r>
      <w:r>
        <w:lastRenderedPageBreak/>
        <w:t xml:space="preserve">ze środków publicznych (Dz. U. z 2025 r. poz. 1461, z późn. zm.), w szczególności z art. 6 tej ustawy określającego zadania władz publicznych w zakresie zapewnienia równego dostępu do świadczeń zdrowotnych oraz art. 65 tej ustawy wskazującego, że ubezpieczenie zdrowotne jest oparte na zasadzie zapewnienia ubezpieczonemu równego dostępu do świadczeń opieki zdrowotnej. </w:t>
      </w:r>
    </w:p>
    <w:p w14:paraId="6B863529" w14:textId="2EA0703A" w:rsidR="003511CE" w:rsidRDefault="00185BE9" w:rsidP="00F85D6D">
      <w:pPr>
        <w:spacing w:after="120"/>
        <w:ind w:firstLine="510"/>
        <w:jc w:val="both"/>
      </w:pPr>
      <w:r w:rsidRPr="00572120">
        <w:t xml:space="preserve">W ostatnich latach obserwuje się pewne zwiększenie dostępności programów leczenia substytucyjnego, jednak rozwój tej formy leczenia pozostaje ograniczony i nie w pełni odpowiada potrzebom osób uzależnionych od </w:t>
      </w:r>
      <w:proofErr w:type="spellStart"/>
      <w:r w:rsidRPr="00572120">
        <w:t>opioidów</w:t>
      </w:r>
      <w:proofErr w:type="spellEnd"/>
      <w:r w:rsidRPr="00572120">
        <w:t xml:space="preserve">. </w:t>
      </w:r>
      <w:r w:rsidR="00BC7A2C">
        <w:t>M</w:t>
      </w:r>
      <w:r w:rsidRPr="00572120">
        <w:t>imo funkcjonowania programów leczenia substytucyjnego w większości województw ich rozmieszczenie terytorialne nadal jest nierównomierne. W 2025 r. program leczenia substytucyjnego nie funkcjonował</w:t>
      </w:r>
      <w:r w:rsidR="00D51CB2">
        <w:t xml:space="preserve"> </w:t>
      </w:r>
      <w:r w:rsidRPr="00572120">
        <w:t>w województwie podkarpackim.</w:t>
      </w:r>
    </w:p>
    <w:p w14:paraId="0A68A0F3" w14:textId="2477B181" w:rsidR="00185BE9" w:rsidRPr="00572120" w:rsidRDefault="00185BE9" w:rsidP="00F85D6D">
      <w:pPr>
        <w:spacing w:after="120"/>
        <w:ind w:firstLine="510"/>
        <w:jc w:val="both"/>
      </w:pPr>
      <w:r w:rsidRPr="00572120">
        <w:t xml:space="preserve">Istotnym problemem pozostaje także dostępność geograficzna świadczeń. W wielu przypadkach pacjenci, aby uczestniczyć w leczeniu substytucyjnym, są zmuszeni </w:t>
      </w:r>
      <w:r w:rsidR="00100A7A">
        <w:br/>
      </w:r>
      <w:r w:rsidRPr="00572120">
        <w:t>do regularnych dojazdów na znaczne odległości do podmiotów prowadzących programy leczenia substytucyjnego. Konieczność częstych, a niekiedy codziennych dojazdów stanowi poważną barierę w podejmowaniu oraz utrzymaniu leczenia, zwłaszcza dla osób znajdujących się w trudnej sytuacji życiowej lub społecznej.</w:t>
      </w:r>
    </w:p>
    <w:p w14:paraId="1E1CE45D" w14:textId="7A9E7F1A" w:rsidR="001F4313" w:rsidRDefault="00185BE9" w:rsidP="00F85D6D">
      <w:pPr>
        <w:spacing w:after="120"/>
        <w:ind w:firstLine="708"/>
        <w:jc w:val="both"/>
      </w:pPr>
      <w:r w:rsidRPr="00572120">
        <w:t xml:space="preserve">W związku z powyższym </w:t>
      </w:r>
      <w:r w:rsidR="0044740B" w:rsidRPr="0044740B">
        <w:t xml:space="preserve">jest </w:t>
      </w:r>
      <w:r w:rsidRPr="00572120">
        <w:t xml:space="preserve">zasadne </w:t>
      </w:r>
      <w:r w:rsidR="004A16DC">
        <w:t>rozszerzenie</w:t>
      </w:r>
      <w:r w:rsidRPr="00572120">
        <w:t xml:space="preserve"> dotychczasowego modelu organizacji leczenia substytucyjnego o rozwiązania umożliwiające zwiększenie </w:t>
      </w:r>
      <w:r w:rsidR="002A66AE">
        <w:t xml:space="preserve">jego </w:t>
      </w:r>
      <w:r w:rsidRPr="00572120">
        <w:t>dostępności</w:t>
      </w:r>
      <w:r w:rsidR="0044740B">
        <w:t>.</w:t>
      </w:r>
      <w:r w:rsidRPr="00572120">
        <w:t xml:space="preserve"> Jednym z takich rozwiązań jest wprowadzenie możliwości prowadzenia leczenia substytucyjnego</w:t>
      </w:r>
      <w:r w:rsidR="00E56425">
        <w:t xml:space="preserve"> z zastosowaniem</w:t>
      </w:r>
      <w:r w:rsidR="009A4155">
        <w:t xml:space="preserve"> </w:t>
      </w:r>
      <w:r w:rsidR="00E56425">
        <w:t xml:space="preserve">produktów leczniczych </w:t>
      </w:r>
      <w:r w:rsidR="001F4313" w:rsidRPr="001F4313">
        <w:t xml:space="preserve">zawierających substancję czynną </w:t>
      </w:r>
      <w:proofErr w:type="spellStart"/>
      <w:r w:rsidR="001F4313" w:rsidRPr="001F4313">
        <w:t>buprenorfinę</w:t>
      </w:r>
      <w:proofErr w:type="spellEnd"/>
      <w:r w:rsidR="001F4313" w:rsidRPr="001F4313">
        <w:t xml:space="preserve"> </w:t>
      </w:r>
      <w:r w:rsidRPr="00572120">
        <w:t>w ramach ordynacji lekarskiej</w:t>
      </w:r>
      <w:r w:rsidR="001E0692">
        <w:t>.</w:t>
      </w:r>
      <w:r w:rsidR="009A4155">
        <w:t xml:space="preserve"> </w:t>
      </w:r>
    </w:p>
    <w:p w14:paraId="6AF34BD6" w14:textId="10A12445" w:rsidR="00185BE9" w:rsidRDefault="00185BE9" w:rsidP="00F85D6D">
      <w:pPr>
        <w:spacing w:after="120"/>
        <w:ind w:firstLine="708"/>
        <w:jc w:val="both"/>
      </w:pPr>
      <w:r w:rsidRPr="00572120">
        <w:t>Rozwiązanie</w:t>
      </w:r>
      <w:r w:rsidR="008A37B6">
        <w:t xml:space="preserve"> </w:t>
      </w:r>
      <w:r w:rsidRPr="00572120">
        <w:t>to pozwoli na zwiększenie dostępności leczenia substytucyjnego, uzupełniając dotychczasowy model oparty na programach leczenia substytucyjnego i umożliwiając objęcie leczeniem większej liczby pacjentów.</w:t>
      </w:r>
    </w:p>
    <w:p w14:paraId="47220C9E" w14:textId="6E5095FC" w:rsidR="006C7949" w:rsidRDefault="001F4313" w:rsidP="00F85D6D">
      <w:pPr>
        <w:spacing w:after="120"/>
        <w:ind w:firstLine="708"/>
        <w:jc w:val="both"/>
      </w:pPr>
      <w:r>
        <w:t xml:space="preserve">Tym samym </w:t>
      </w:r>
      <w:r w:rsidR="006C7949">
        <w:t>zmianie ulegnie brzmienie art. 4 pkt 7 ustawy o przeciwdziałaniu narkomanii przez wskazanie, że leczenie substytucyjne to stosowanie produktów leczniczych:</w:t>
      </w:r>
    </w:p>
    <w:p w14:paraId="004ADED2" w14:textId="5A467099" w:rsidR="006C7949" w:rsidRDefault="009A4155" w:rsidP="00F85D6D">
      <w:pPr>
        <w:pStyle w:val="PKTpunkt"/>
        <w:spacing w:after="120"/>
      </w:pPr>
      <w:r>
        <w:t>1)</w:t>
      </w:r>
      <w:r>
        <w:tab/>
      </w:r>
      <w:r w:rsidR="006C7949">
        <w:t>o działaniu agonistycznym na receptor opioidowy w ramach programu leczenia substytucyjnego,</w:t>
      </w:r>
    </w:p>
    <w:p w14:paraId="5352DFED" w14:textId="4BE2A509" w:rsidR="006C7949" w:rsidRDefault="009A4155" w:rsidP="00F85D6D">
      <w:pPr>
        <w:pStyle w:val="PKTpunkt"/>
        <w:spacing w:after="120"/>
      </w:pPr>
      <w:r>
        <w:t>2)</w:t>
      </w:r>
      <w:r>
        <w:tab/>
      </w:r>
      <w:r w:rsidR="006C7949">
        <w:t xml:space="preserve">zawierających substancję czynną </w:t>
      </w:r>
      <w:proofErr w:type="spellStart"/>
      <w:r w:rsidR="006C7949">
        <w:t>buprenorfinę</w:t>
      </w:r>
      <w:proofErr w:type="spellEnd"/>
      <w:r w:rsidR="006C7949">
        <w:t xml:space="preserve"> w ramach ordynacji lekarskiej prowadzonej przez lekarza:</w:t>
      </w:r>
    </w:p>
    <w:p w14:paraId="2D65656F" w14:textId="5A09D643" w:rsidR="006C7949" w:rsidRDefault="009A4155" w:rsidP="00F85D6D">
      <w:pPr>
        <w:spacing w:after="120"/>
        <w:ind w:left="993" w:hanging="567"/>
        <w:jc w:val="both"/>
      </w:pPr>
      <w:r>
        <w:lastRenderedPageBreak/>
        <w:t>a)</w:t>
      </w:r>
      <w:r w:rsidR="006C7949">
        <w:tab/>
        <w:t>będącego świadczeniodawcą, z którym Narodowy Fundusz Zdrowia zawarł umowę o udzielanie świadczeń opieki zdrowotnej w rodzaju opieka psychiatryczna i leczenie uzależnień, albo</w:t>
      </w:r>
    </w:p>
    <w:p w14:paraId="25F12F7D" w14:textId="174F3142" w:rsidR="006C7949" w:rsidRDefault="009A4155" w:rsidP="00F85D6D">
      <w:pPr>
        <w:spacing w:after="120"/>
        <w:ind w:left="993" w:hanging="567"/>
        <w:jc w:val="both"/>
      </w:pPr>
      <w:r>
        <w:t>b)</w:t>
      </w:r>
      <w:r>
        <w:tab/>
      </w:r>
      <w:r w:rsidR="006C7949">
        <w:t xml:space="preserve"> zatrudnionego lub wykonującego zawód u świadczeniodawcy, z którym Narodowy Fundusz Zdrowia zawarł umowę o udzielanie świadczeń opieki zdrowotnej w rodzaju opieka psychiatryczna i leczenie uzależnień,</w:t>
      </w:r>
      <w:r>
        <w:t xml:space="preserve"> </w:t>
      </w:r>
      <w:r w:rsidR="006C7949">
        <w:t>albo</w:t>
      </w:r>
    </w:p>
    <w:p w14:paraId="224FA246" w14:textId="09DEF964" w:rsidR="001F4313" w:rsidRPr="00BE253C" w:rsidRDefault="009A4155" w:rsidP="00F85D6D">
      <w:pPr>
        <w:spacing w:after="120"/>
        <w:ind w:left="993" w:hanging="567"/>
        <w:jc w:val="both"/>
      </w:pPr>
      <w:r>
        <w:t>c)</w:t>
      </w:r>
      <w:r>
        <w:tab/>
      </w:r>
      <w:r w:rsidR="006C7949">
        <w:t>zatrudnionego lub wykonującego zawód w podmiocie leczniczym dla osób pozbawionych wolności, udzielającego świadczeń opieki zdrowotnej na podstawie art. 102 pkt 1 i art. 115 § 1 ustawy z dnia 6 czerwca 1997 r. – Kodeks karny wykonawczy (Dz. U. z 2025 r. poz. 911 i 1423)</w:t>
      </w:r>
      <w:r w:rsidR="0044740B">
        <w:t>.</w:t>
      </w:r>
    </w:p>
    <w:p w14:paraId="7EA84012" w14:textId="5BFE3F41" w:rsidR="00185BE9" w:rsidRDefault="005502EF" w:rsidP="00F85D6D">
      <w:pPr>
        <w:pStyle w:val="NIEARTTEKSTtekstnieartykuowanynppodstprawnarozplubpreambua"/>
        <w:spacing w:before="0" w:after="120"/>
        <w:ind w:firstLine="0"/>
      </w:pPr>
      <w:r>
        <w:tab/>
      </w:r>
      <w:r w:rsidR="00185BE9">
        <w:t>Przepis projektowanego a</w:t>
      </w:r>
      <w:r w:rsidR="00185BE9" w:rsidRPr="005E52F5">
        <w:t xml:space="preserve">rt. 28 </w:t>
      </w:r>
      <w:r w:rsidR="00185BE9" w:rsidRPr="003146E8">
        <w:t>ustaw</w:t>
      </w:r>
      <w:r w:rsidR="00185BE9">
        <w:t>y</w:t>
      </w:r>
      <w:r w:rsidR="00185BE9" w:rsidRPr="003146E8">
        <w:t xml:space="preserve"> o przeciwdziałaniu narkomanii </w:t>
      </w:r>
      <w:r w:rsidR="00185BE9" w:rsidRPr="005E52F5">
        <w:t>zawiera szczegółową procedurę prowadzącą do uzyskania zezwolenia</w:t>
      </w:r>
      <w:r w:rsidR="00185BE9">
        <w:t xml:space="preserve"> na prowadzenie leczenia substytucyjnego w ramach programu leczenia substytucyjnego,</w:t>
      </w:r>
      <w:r w:rsidR="00185BE9" w:rsidRPr="005E52F5">
        <w:t xml:space="preserve"> wraz z informacjami, które podmiot ubiegający się o przystąpienie do programu jest obowiązany do ujęcia we wniosku, stanowiącym podstawę do wydania zezwolenia. </w:t>
      </w:r>
      <w:r w:rsidR="00185BE9">
        <w:t>Ponadto projektowane przepisy regulują</w:t>
      </w:r>
      <w:r w:rsidR="00185BE9" w:rsidRPr="005E52F5">
        <w:t xml:space="preserve"> procedury w przypadku przekroczenia liczby pacjentów oszacowanej przez podmiot leczniczy do objęcia leczeniem</w:t>
      </w:r>
      <w:r w:rsidR="00185BE9">
        <w:t xml:space="preserve"> substytucyjnym</w:t>
      </w:r>
      <w:r w:rsidR="00185BE9" w:rsidRPr="005E52F5">
        <w:t xml:space="preserve"> bądź cofnięcia zezwolenia. Wskazane regulacje mają na celu zapewnienie dostępu do leczenia substytucyjnego na odpowiednim poziomie. Istotny element we wskazanym obszarze stanowi współpraca z Narodowym Funduszem Zdrowia, który w przypadku wydania przez marszałka województwa </w:t>
      </w:r>
      <w:r w:rsidR="0044740B">
        <w:t>albo</w:t>
      </w:r>
      <w:r w:rsidR="0044740B" w:rsidRPr="005E52F5">
        <w:t xml:space="preserve"> </w:t>
      </w:r>
      <w:r w:rsidR="00185BE9" w:rsidRPr="005E52F5">
        <w:t>Dyrektora Generalnego Służby Więziennej decyzji o odmowie zmiany zezwolenia, bądź cofnięcia zezwolenia, jest obowiązany do wskazania innego podmiotu odpowiedzialnego za leczenie substytucyjne tychże pacjentów.</w:t>
      </w:r>
      <w:r w:rsidR="009A4155">
        <w:t xml:space="preserve"> </w:t>
      </w:r>
    </w:p>
    <w:p w14:paraId="17AEF4D8" w14:textId="1414E028" w:rsidR="00185BE9" w:rsidRDefault="00185BE9" w:rsidP="00F85D6D">
      <w:pPr>
        <w:pStyle w:val="NIEARTTEKSTtekstnieartykuowanynppodstprawnarozplubpreambua"/>
        <w:spacing w:before="0" w:after="120"/>
      </w:pPr>
      <w:r>
        <w:t>Ponadto w powyższym zakresie projekt ustawy wprowadza nowe przepisy art. 28a–</w:t>
      </w:r>
      <w:r w:rsidR="00774EF6">
        <w:t xml:space="preserve">art. </w:t>
      </w:r>
      <w:r>
        <w:t>28</w:t>
      </w:r>
      <w:r w:rsidR="001E0692">
        <w:t>i</w:t>
      </w:r>
      <w:r>
        <w:t xml:space="preserve"> ustawy o przeciwdziałaniu narkomanii (art. 1 pkt 7). </w:t>
      </w:r>
    </w:p>
    <w:p w14:paraId="2DF3B127" w14:textId="3EB9D079" w:rsidR="00185BE9" w:rsidRDefault="00185BE9" w:rsidP="00F85D6D">
      <w:pPr>
        <w:pStyle w:val="NIEARTTEKSTtekstnieartykuowanynppodstprawnarozplubpreambua"/>
        <w:spacing w:before="0" w:after="120"/>
      </w:pPr>
      <w:r>
        <w:t xml:space="preserve">Przepis projektowanego art. 28a </w:t>
      </w:r>
      <w:r w:rsidR="0044740B">
        <w:t xml:space="preserve">ust. 1 </w:t>
      </w:r>
      <w:r>
        <w:t>zawiera regulacje dotyczące warunków kadrowych, jakie powinny spełniać podmioty lecznicze prowadzące program leczenia substytucyjnego. Zmiana jest spowodowana wyodrębnieniem § 16 rozporządzenia Ministra Zdrowia z dnia 1 marca 2013 r. w sprawie leczenia substytucyjnego</w:t>
      </w:r>
      <w:r w:rsidR="00FD5C1B">
        <w:t xml:space="preserve"> (Dz. U. poz. 368)</w:t>
      </w:r>
      <w:r>
        <w:t>, który określa wymogi kadrowe nakładane na podmiot prowadzący leczenie substytucyjne i przeniesienia go do projektu ustawy jako materii ustawowej. K</w:t>
      </w:r>
      <w:r w:rsidRPr="00702DEB">
        <w:t>ierownik</w:t>
      </w:r>
      <w:r>
        <w:t>iem</w:t>
      </w:r>
      <w:r w:rsidRPr="00702DEB">
        <w:t xml:space="preserve"> programu leczenia substytucyjnego</w:t>
      </w:r>
      <w:r>
        <w:t xml:space="preserve"> może być</w:t>
      </w:r>
      <w:r w:rsidRPr="00702DEB">
        <w:t xml:space="preserve"> lekarz</w:t>
      </w:r>
      <w:r>
        <w:t xml:space="preserve"> </w:t>
      </w:r>
      <w:r w:rsidRPr="00702DEB">
        <w:t>posiadający co najmniej pierwszy stopień specjalizacji w dziedzinie psychiatrii lub będąc</w:t>
      </w:r>
      <w:r>
        <w:t>y</w:t>
      </w:r>
      <w:r w:rsidRPr="00702DEB">
        <w:t xml:space="preserve"> w trakcie specjalizacji w dziedzinie psychiatrii oraz posiadając</w:t>
      </w:r>
      <w:r>
        <w:t>y</w:t>
      </w:r>
      <w:r w:rsidRPr="00702DEB">
        <w:t xml:space="preserve"> co najmniej 3-</w:t>
      </w:r>
      <w:r w:rsidRPr="00702DEB">
        <w:lastRenderedPageBreak/>
        <w:t xml:space="preserve">miesięczny staż pracy w podmiotach leczniczych prowadzących leczenie osób uzależnionych, albo </w:t>
      </w:r>
      <w:bookmarkStart w:id="3" w:name="_Hlk185504941"/>
      <w:r w:rsidRPr="00702DEB">
        <w:t>lekarz</w:t>
      </w:r>
      <w:r>
        <w:t xml:space="preserve"> </w:t>
      </w:r>
      <w:r w:rsidRPr="00702DEB">
        <w:t>posiadający</w:t>
      </w:r>
      <w:r>
        <w:t xml:space="preserve"> </w:t>
      </w:r>
      <w:r w:rsidRPr="00702DEB">
        <w:t xml:space="preserve">co najmniej pierwszy stopień specjalizacji w innej dziedzinie niż psychiatria </w:t>
      </w:r>
      <w:bookmarkEnd w:id="3"/>
      <w:r w:rsidRPr="00702DEB">
        <w:t>oraz co najmniej roczny staż pracy w podmiotach leczniczych prowadzących leczenie osób uzależnionych</w:t>
      </w:r>
      <w:r>
        <w:t xml:space="preserve">. W przypadku zatrudnienia jako kierownika </w:t>
      </w:r>
      <w:r w:rsidRPr="006B5111">
        <w:t>lekar</w:t>
      </w:r>
      <w:r>
        <w:t>za</w:t>
      </w:r>
      <w:r w:rsidRPr="006B5111">
        <w:t xml:space="preserve"> posiadając</w:t>
      </w:r>
      <w:r>
        <w:t>ego</w:t>
      </w:r>
      <w:r w:rsidRPr="006B5111">
        <w:t xml:space="preserve"> specjalizacj</w:t>
      </w:r>
      <w:r>
        <w:t>ę</w:t>
      </w:r>
      <w:r w:rsidRPr="006B5111">
        <w:t xml:space="preserve"> w innej dziedzinie niż psychiatria</w:t>
      </w:r>
      <w:r>
        <w:t xml:space="preserve">, podmiot leczniczy jest </w:t>
      </w:r>
      <w:r w:rsidRPr="00702DEB">
        <w:t>obowiązany zatrudnić lekarza posiadającego co najmniej pierwszy stopień specjalizacji w dziedzinie psychiatrii lub będącego w trakcie specjalizacji w dziedzinie psychiatrii</w:t>
      </w:r>
      <w:r>
        <w:t xml:space="preserve">. Ponadto proponuje się, </w:t>
      </w:r>
      <w:r w:rsidR="0044740B">
        <w:t xml:space="preserve">aby </w:t>
      </w:r>
      <w:r>
        <w:t>podmiot prowadzący program leczenia substytucyjnego zatrudniał na każd</w:t>
      </w:r>
      <w:r w:rsidR="00CD5D44">
        <w:t>ą rozpoczętą liczbę</w:t>
      </w:r>
      <w:r>
        <w:t xml:space="preserve"> </w:t>
      </w:r>
      <w:r w:rsidR="00CD5D44">
        <w:t>5</w:t>
      </w:r>
      <w:r>
        <w:t xml:space="preserve">0 pacjentów </w:t>
      </w:r>
      <w:r w:rsidRPr="002814FE">
        <w:t xml:space="preserve">równoważnik </w:t>
      </w:r>
      <w:r w:rsidR="00CD5D44">
        <w:t xml:space="preserve">0,25 </w:t>
      </w:r>
      <w:r w:rsidRPr="002814FE">
        <w:t>etatu</w:t>
      </w:r>
      <w:r w:rsidR="00CD5D44">
        <w:t xml:space="preserve"> przeliczeniowego</w:t>
      </w:r>
      <w:r w:rsidRPr="002814FE">
        <w:t xml:space="preserve"> lekarza </w:t>
      </w:r>
      <w:r w:rsidR="00CD5D44">
        <w:t xml:space="preserve">specjalisty w dziedzinie </w:t>
      </w:r>
      <w:r w:rsidRPr="002814FE">
        <w:t>psychiatrii</w:t>
      </w:r>
      <w:r>
        <w:t xml:space="preserve">, </w:t>
      </w:r>
      <w:r w:rsidRPr="002814FE">
        <w:t>specjalist</w:t>
      </w:r>
      <w:r w:rsidR="00CD5D44">
        <w:t>y</w:t>
      </w:r>
      <w:r w:rsidRPr="002814FE">
        <w:t xml:space="preserve"> psychoterapii uzależnień </w:t>
      </w:r>
      <w:r>
        <w:t>oraz</w:t>
      </w:r>
      <w:r w:rsidRPr="002814FE">
        <w:t xml:space="preserve"> </w:t>
      </w:r>
      <w:r w:rsidR="00CD5D44">
        <w:t xml:space="preserve">równoważnik </w:t>
      </w:r>
      <w:r w:rsidRPr="002814FE">
        <w:t xml:space="preserve">co najmniej </w:t>
      </w:r>
      <w:r w:rsidR="00CD5D44">
        <w:t>0,75 etatu przeliczeniowego</w:t>
      </w:r>
      <w:r w:rsidRPr="002814FE">
        <w:t xml:space="preserve"> co najmniej </w:t>
      </w:r>
      <w:r w:rsidR="00CD5D44">
        <w:t xml:space="preserve">jednej </w:t>
      </w:r>
      <w:r w:rsidRPr="002814FE">
        <w:t>pielęgniar</w:t>
      </w:r>
      <w:r w:rsidR="00CD5D44">
        <w:t>ki</w:t>
      </w:r>
      <w:r>
        <w:t xml:space="preserve">. </w:t>
      </w:r>
      <w:r w:rsidR="0041393D">
        <w:t xml:space="preserve">Podmiot leczniczy będzie również zobligowany do zatrudnienia </w:t>
      </w:r>
      <w:r w:rsidR="0041393D" w:rsidRPr="0041393D">
        <w:t>farmaceut</w:t>
      </w:r>
      <w:r w:rsidR="001E0692">
        <w:t>y</w:t>
      </w:r>
      <w:r w:rsidR="0041393D" w:rsidRPr="0041393D">
        <w:t xml:space="preserve"> </w:t>
      </w:r>
      <w:r w:rsidR="0041393D">
        <w:t>odpowiedzialnego za</w:t>
      </w:r>
      <w:r w:rsidR="009A4155">
        <w:t xml:space="preserve"> </w:t>
      </w:r>
      <w:r w:rsidR="0041393D" w:rsidRPr="0041393D">
        <w:t>przygotowywania indywidualnych dawek dobowych</w:t>
      </w:r>
      <w:r w:rsidR="0041393D">
        <w:t xml:space="preserve"> </w:t>
      </w:r>
      <w:r w:rsidR="0041393D" w:rsidRPr="0041393D">
        <w:t>produktu leczniczego stosowanego w leczeniu substytucyjnym</w:t>
      </w:r>
      <w:r w:rsidR="0041393D">
        <w:t>, ale tylko</w:t>
      </w:r>
      <w:r w:rsidR="0041393D" w:rsidRPr="0041393D">
        <w:t xml:space="preserve"> w przypadku, gdy ten podmiot leczniczy zaopatruje się w produkt leczniczy w opakowaniach zbiorczych i nie posiada dozownika elektronicznego.</w:t>
      </w:r>
    </w:p>
    <w:p w14:paraId="78DFDEDC" w14:textId="04BB23AA" w:rsidR="00185BE9" w:rsidRDefault="00185BE9" w:rsidP="00F85D6D">
      <w:pPr>
        <w:pStyle w:val="NIEARTTEKSTtekstnieartykuowanynppodstprawnarozplubpreambua"/>
        <w:spacing w:before="0" w:after="120"/>
      </w:pPr>
      <w:r w:rsidRPr="003E2B0C">
        <w:t>Z</w:t>
      </w:r>
      <w:r>
        <w:t xml:space="preserve"> kolei z</w:t>
      </w:r>
      <w:r w:rsidRPr="003E2B0C">
        <w:t xml:space="preserve">aproponowany </w:t>
      </w:r>
      <w:r>
        <w:t xml:space="preserve">w </w:t>
      </w:r>
      <w:r w:rsidRPr="003146E8">
        <w:t>ustaw</w:t>
      </w:r>
      <w:r>
        <w:t>ie</w:t>
      </w:r>
      <w:r w:rsidRPr="003146E8">
        <w:t xml:space="preserve"> o przeciwdziałaniu narkomanii </w:t>
      </w:r>
      <w:r w:rsidRPr="003E2B0C">
        <w:t>art. 28</w:t>
      </w:r>
      <w:r>
        <w:t>a ust. 2</w:t>
      </w:r>
      <w:r w:rsidRPr="003E2B0C">
        <w:t xml:space="preserve"> zawiera regulacje dotyczące warunków kadrowych, jakie powinny spełniać więzienne podmioty lecznicze prowadzące program leczenia substytucyjnego.</w:t>
      </w:r>
      <w:r>
        <w:t xml:space="preserve"> </w:t>
      </w:r>
      <w:r w:rsidRPr="003E2B0C">
        <w:t xml:space="preserve">Projektowany </w:t>
      </w:r>
      <w:r>
        <w:t xml:space="preserve">przepis </w:t>
      </w:r>
      <w:r w:rsidRPr="003E2B0C">
        <w:t>ma</w:t>
      </w:r>
      <w:r>
        <w:t xml:space="preserve"> </w:t>
      </w:r>
      <w:r w:rsidRPr="003E2B0C">
        <w:t>związek ze specyficznymi uwarunkowaniami w jakich funkcjonuje program substytucyjny realizowany w jednostkach penitencjarnych. Statystyczna liczba osób objętych programem to od kilku do kilkudziesięciu osób w poszczególnych zakładach karnych i aresztach śledczych</w:t>
      </w:r>
      <w:r w:rsidR="0044740B">
        <w:t>;</w:t>
      </w:r>
      <w:r w:rsidRPr="003E2B0C">
        <w:t xml:space="preserve"> łącznie w pierwszym kwartale 2025 r. we wszystkich jednostkach penitencjarnych było objętych leczeniem 376 pacjentów, w tym aktualnie leczonych na dzień 31 marca 2025 r. – 241 pacjentów. Liczba ta na przestrzeni kilku lat pozostaje na zbliżonym poziomie. W związku z powyższym ośrodki, które prowadzą terapię, zostały dostosowane do potrzeb realizacji celów wykonywania kary pozbawienia wolności, z uwzględnieniem potrzeb zapewnienia prawidłowego toku realizacji czynności wynikających z zastosowania tymczasowego aresztowania</w:t>
      </w:r>
      <w:r>
        <w:t xml:space="preserve"> i nie ma zasadności nakładania na nich wymagań przewidzianych w projektowanym art. 28a ust. 1. </w:t>
      </w:r>
    </w:p>
    <w:p w14:paraId="3F7598E1" w14:textId="73E554E3" w:rsidR="00185BE9" w:rsidRDefault="00185BE9" w:rsidP="00F85D6D">
      <w:pPr>
        <w:pStyle w:val="NIEARTTEKSTtekstnieartykuowanynppodstprawnarozplubpreambua"/>
        <w:spacing w:before="0" w:after="120"/>
      </w:pPr>
      <w:r>
        <w:t xml:space="preserve">Natomiast projektowany przepis art. 28b </w:t>
      </w:r>
      <w:r w:rsidRPr="003146E8">
        <w:t>ustaw</w:t>
      </w:r>
      <w:r>
        <w:t>y</w:t>
      </w:r>
      <w:r w:rsidRPr="003146E8">
        <w:t xml:space="preserve"> o przeciwdziałaniu narkomanii </w:t>
      </w:r>
      <w:r>
        <w:t>określa kwestie związane z prowadzeniem leczenia substytucyjnego, w szczególności</w:t>
      </w:r>
      <w:r w:rsidR="00681F05">
        <w:t>:</w:t>
      </w:r>
      <w:r>
        <w:t xml:space="preserve"> warunki kwalifikacji pacjenta do leczenia substytucyjnego, obowiązki lekarza prowadzącego leczenie substytucyjne, warunki wyłączenia pacjenta z leczenia substytucyjnego, zadania kierownika </w:t>
      </w:r>
      <w:r>
        <w:lastRenderedPageBreak/>
        <w:t>programu leczenia substytucyjnego</w:t>
      </w:r>
      <w:r w:rsidR="00681F05">
        <w:t xml:space="preserve">, kwestie związane z badaniem </w:t>
      </w:r>
      <w:r w:rsidR="00681F05" w:rsidRPr="00681F05">
        <w:t>na występowanie w moczu lub w innych płynach ustrojowych środków odurzających i substancji psychotropowych</w:t>
      </w:r>
      <w:r w:rsidR="009A4155">
        <w:t xml:space="preserve"> </w:t>
      </w:r>
      <w:r w:rsidR="00681F05" w:rsidRPr="00681F05">
        <w:t>innych niż stosowane w ramach programu lub nowych substancji psychoaktywnych</w:t>
      </w:r>
      <w:r>
        <w:t xml:space="preserve"> oraz informacje na temat karty identyfikacyjnej wydawanej pacjentowi uczestniczącemu w leczeniu substytucyjnym. Karta będzie zawierać następujące dane: imię i nazwisko pacjenta, numer PESEL, a w przypadku jego braku – </w:t>
      </w:r>
      <w:r w:rsidR="0044740B">
        <w:t xml:space="preserve">serię, </w:t>
      </w:r>
      <w:r>
        <w:t xml:space="preserve">numer </w:t>
      </w:r>
      <w:r w:rsidR="0044740B">
        <w:t xml:space="preserve">i rodzaj </w:t>
      </w:r>
      <w:r>
        <w:t xml:space="preserve">dokumentu </w:t>
      </w:r>
      <w:r w:rsidR="0044740B">
        <w:t xml:space="preserve">stwierdzającego </w:t>
      </w:r>
      <w:r>
        <w:t>tożsamość i datę urodzenia, nazwę (firmę), adres oraz numer telefonu podmiotu leczniczego albo imię i nazwisko, adres i numer telefonu udostępnionego do kontaktu przez lekarza, o którym mowa w art. 4 pkt 7 lit. b, informację zawierającą nazwę zastosowanego u pacjenta produktu leczniczego stosowanego w leczeniu substytucyjnym i jego dawkę dobową, termin</w:t>
      </w:r>
      <w:r w:rsidR="0044740B">
        <w:t>y</w:t>
      </w:r>
      <w:r>
        <w:t xml:space="preserve"> </w:t>
      </w:r>
      <w:r w:rsidR="0044740B">
        <w:t xml:space="preserve">kolejnych </w:t>
      </w:r>
      <w:r>
        <w:t xml:space="preserve">wizyt, </w:t>
      </w:r>
      <w:r w:rsidR="00A374C3">
        <w:t xml:space="preserve">daty </w:t>
      </w:r>
      <w:r>
        <w:t xml:space="preserve">wypisania recept na produkty lecznicze zawierające substancję czynną </w:t>
      </w:r>
      <w:proofErr w:type="spellStart"/>
      <w:r>
        <w:t>buprenorfinę</w:t>
      </w:r>
      <w:proofErr w:type="spellEnd"/>
      <w:r>
        <w:t xml:space="preserve"> oraz termin ważności karty identyfikacyjnej. Zgodnie z projektem ustawy karta będzie niezwłocznie uaktualniana przez podmiot leczniczy. Należy zauważyć, że przepisy dotyczące karty identyfikacyjnej są określone w § 8 obecnie obowiązującego rozporządzenia Ministra Zdrowia z dnia 1 marca 2013 r. w sprawie leczenia substytucyjnego. Ten przepis również został przeniesiony do projektu ustawy, zatem nie będzie się to wiązało z dodatkowymi kosztami dla budżetu państwa. </w:t>
      </w:r>
    </w:p>
    <w:p w14:paraId="1D76CC6D" w14:textId="797F95E8" w:rsidR="00185BE9" w:rsidRDefault="00185BE9" w:rsidP="00F85D6D">
      <w:pPr>
        <w:pStyle w:val="NIEARTTEKSTtekstnieartykuowanynppodstprawnarozplubpreambua"/>
        <w:spacing w:before="0" w:after="120"/>
      </w:pPr>
      <w:r>
        <w:t xml:space="preserve">Natomiast przepis projektowanego art. 28c określa kwestie związane z rozpoczęciem i zakończeniem leczenia substytucyjnego prowadzonego zarówno w ramach programu leczenia substytucyjnego, jak i w ramach ordynacji lekarskiej. W przypadku programu leczenia substytucyjnego rozpoczęcie leczenia będzie następowało z dniem zakwalifikowania pacjenta do udziału w leczeniu. W ramach ordynacji lekarskiej leczenie substytucyjne będzie się rozpoczynało z dniem wystawienia pierwszej recepty na produkt leczniczy zawierający substancję czynną </w:t>
      </w:r>
      <w:proofErr w:type="spellStart"/>
      <w:r>
        <w:t>buprenorfinę</w:t>
      </w:r>
      <w:proofErr w:type="spellEnd"/>
      <w:r>
        <w:t>. Zakończenie leczenia substytucyjnego będzie następowało w przypadku programu leczenia substytucyjnego z dniem zakończenia uczestnictwa pacjenta w tym programie, również w sytuacji gdy pacjent, nie przedstawiając uzasadnienia, nie stawi się w danym podmiocie prowadzącym leczenie w wyznaczonym terminie lub w ciągu 4 kolejnych dni od dnia upływu tego terminu. W przypadku ordynacji lekarskiej zakończenie leczenia będzie następowało z dniem ostatniej wyznaczonej wizyty, w tym także w przypadku niestawiennictwa pacjenta w danym podmiocie prowadzącym leczenie na kolejną wizytę w ciągu 7 dni od dnia upływu terminu tej wizyty.</w:t>
      </w:r>
    </w:p>
    <w:p w14:paraId="718D3F85" w14:textId="5584C35C" w:rsidR="00185BE9" w:rsidRDefault="00185BE9" w:rsidP="00F85D6D">
      <w:pPr>
        <w:pStyle w:val="NIEARTTEKSTtekstnieartykuowanynppodstprawnarozplubpreambua"/>
        <w:spacing w:before="0" w:after="120"/>
      </w:pPr>
      <w:r>
        <w:t xml:space="preserve">Wprowadzone zmiany będą skutkowały koniecznością dokonania odpowiednich zmian w rozporządzeniu Ministra Zdrowia z dnia 19 czerwca 2019 r. w sprawie świadczeń </w:t>
      </w:r>
      <w:r>
        <w:lastRenderedPageBreak/>
        <w:t xml:space="preserve">gwarantowanych z zakresu opieki psychiatrycznej i leczenia uzależnień (Dz. U. </w:t>
      </w:r>
      <w:r w:rsidR="0077300A">
        <w:t xml:space="preserve">z 2026 r. </w:t>
      </w:r>
      <w:r>
        <w:t xml:space="preserve">poz. </w:t>
      </w:r>
      <w:r w:rsidR="0077300A">
        <w:t>383</w:t>
      </w:r>
      <w:r>
        <w:t>) wydawanym na podstawie art. 31d ustawy z dnia 27 sierpnia 2004 r. o świadczeniach opieki zdrowotnej finansowanych ze środków publicznych w celu doprecyzowania warunków realizacji świadczenia gwarantowanego</w:t>
      </w:r>
      <w:r w:rsidR="00A374C3">
        <w:t>,</w:t>
      </w:r>
      <w:r>
        <w:t xml:space="preserve"> jakim jest leczenie substytucyjne, przez określenie, że jest ono realizowane zgodnie z ustawą o przeciwdziałaniu narkomanii. </w:t>
      </w:r>
    </w:p>
    <w:p w14:paraId="52CACDEC" w14:textId="16ED413C" w:rsidR="00185BE9" w:rsidRDefault="00185BE9" w:rsidP="00F85D6D">
      <w:pPr>
        <w:pStyle w:val="NIEARTTEKSTtekstnieartykuowanynppodstprawnarozplubpreambua"/>
        <w:spacing w:before="0" w:after="120"/>
      </w:pPr>
      <w:r>
        <w:t>W przypadku możliwości wprowadzenia leczenia substytucyjnego innym produktem leczniczym niż metadon</w:t>
      </w:r>
      <w:r w:rsidR="002A2E8B">
        <w:t xml:space="preserve"> w ramach ordynacji lekarskiej</w:t>
      </w:r>
      <w:r>
        <w:t>, recepty te będą nierefundowane. Jednak z uwagi na fakt, że zgodnie z projektowanym art. 28</w:t>
      </w:r>
      <w:r w:rsidR="00681F05">
        <w:t>g</w:t>
      </w:r>
      <w:r>
        <w:t xml:space="preserve"> ust. </w:t>
      </w:r>
      <w:r w:rsidR="00655C0B">
        <w:t>12</w:t>
      </w:r>
      <w:r w:rsidR="00A374C3">
        <w:t xml:space="preserve"> </w:t>
      </w:r>
      <w:r w:rsidRPr="003146E8">
        <w:t>ustaw</w:t>
      </w:r>
      <w:r>
        <w:t>y</w:t>
      </w:r>
      <w:r w:rsidRPr="003146E8">
        <w:t xml:space="preserve"> o przeciwdziałaniu narkomanii</w:t>
      </w:r>
      <w:r>
        <w:t xml:space="preserve">, informacje o zakwalifikowaniu pacjenta do ordynacji lekarskiej, będą podlegały sprawozdawczości do Krajowego Centrum Przeciwdziałania Uzależnieniom, to w powiązaniu ze sprawozdawczością świadczeń gwarantowanych z zakresu leczenia substytucyjnego do Narodowego Funduszu Zdrowia, pozwoli na pełną kontrolę leczenia substytucyjnego. Termin realizacji recepty wystawionej w ramach ordynacji lekarskiej na produkty zawierające substancję czynną </w:t>
      </w:r>
      <w:proofErr w:type="spellStart"/>
      <w:r>
        <w:t>buprenorfinę</w:t>
      </w:r>
      <w:proofErr w:type="spellEnd"/>
      <w:r>
        <w:t xml:space="preserve"> nie będzie mógł przekroczyć terminu 30 dni od dnia jej wystawienia.</w:t>
      </w:r>
    </w:p>
    <w:p w14:paraId="087ADDC5" w14:textId="38B08618" w:rsidR="002B6249" w:rsidRDefault="001E0692" w:rsidP="00F85D6D">
      <w:pPr>
        <w:pStyle w:val="NIEARTTEKSTtekstnieartykuowanynppodstprawnarozplubpreambua"/>
        <w:spacing w:before="0" w:after="120"/>
      </w:pPr>
      <w:r>
        <w:t xml:space="preserve">W </w:t>
      </w:r>
      <w:r w:rsidR="00396BE6">
        <w:t>a</w:t>
      </w:r>
      <w:r w:rsidR="00185BE9">
        <w:t xml:space="preserve">rt. </w:t>
      </w:r>
      <w:r w:rsidR="00681F05">
        <w:t>2</w:t>
      </w:r>
      <w:r w:rsidR="00D06ECB">
        <w:t>8</w:t>
      </w:r>
      <w:r w:rsidR="00681F05">
        <w:t>d</w:t>
      </w:r>
      <w:r w:rsidR="008722F1">
        <w:t xml:space="preserve"> </w:t>
      </w:r>
      <w:r w:rsidR="00AB25D3">
        <w:t>ust. 3</w:t>
      </w:r>
      <w:r w:rsidR="009A4155">
        <w:t>–</w:t>
      </w:r>
      <w:r w:rsidR="00AB25D3">
        <w:t xml:space="preserve">7 </w:t>
      </w:r>
      <w:r>
        <w:t>doprecyzowano kwestie wydawania produktu leczniczego w przypadku wystąpienia przeszkody uniemożliwiającej przybycie pacjenta do podmiotu leczniczego</w:t>
      </w:r>
      <w:r w:rsidR="00AB25D3">
        <w:t>, w tym określ</w:t>
      </w:r>
      <w:r w:rsidR="00C26CB5">
        <w:t>ono:</w:t>
      </w:r>
      <w:r w:rsidR="00AB25D3">
        <w:t xml:space="preserve"> </w:t>
      </w:r>
      <w:r w:rsidR="00AB25D3" w:rsidRPr="00AB25D3">
        <w:t>przesz</w:t>
      </w:r>
      <w:r w:rsidR="00C26CB5">
        <w:t xml:space="preserve">kody </w:t>
      </w:r>
      <w:r w:rsidR="00AB25D3" w:rsidRPr="00AB25D3">
        <w:t>uniemożliwiając</w:t>
      </w:r>
      <w:r w:rsidR="00C26CB5">
        <w:t>e</w:t>
      </w:r>
      <w:r w:rsidR="00AB25D3" w:rsidRPr="00AB25D3">
        <w:t xml:space="preserve"> przybycie pacjenta do podmiotu leczniczego prowadzącego leczenie substytucyjne</w:t>
      </w:r>
      <w:r w:rsidR="00AB25D3">
        <w:t xml:space="preserve">, okres na jaki może być wydawany </w:t>
      </w:r>
      <w:r w:rsidR="00AB25D3" w:rsidRPr="00AB25D3">
        <w:t>produkt leczniczy</w:t>
      </w:r>
      <w:r w:rsidR="00C26CB5">
        <w:t xml:space="preserve"> oraz osobę odpowiedzialną za podejmowanie </w:t>
      </w:r>
      <w:r w:rsidR="00C26CB5" w:rsidRPr="00C26CB5">
        <w:t>decyz</w:t>
      </w:r>
      <w:r w:rsidR="00C26CB5">
        <w:t>ji</w:t>
      </w:r>
      <w:r w:rsidR="00C26CB5" w:rsidRPr="00C26CB5">
        <w:t xml:space="preserve"> o wydaniu pacjentowi produktu leczniczego stosowanego w leczeniu substytucyjnym w ramach programu leczenia substytucyjnego do osobistego stosowania</w:t>
      </w:r>
      <w:r w:rsidR="00C26CB5">
        <w:t xml:space="preserve"> </w:t>
      </w:r>
      <w:r w:rsidR="002B6249">
        <w:t xml:space="preserve">Przy czym </w:t>
      </w:r>
      <w:r w:rsidR="00A374C3" w:rsidRPr="00A374C3">
        <w:t xml:space="preserve">jest </w:t>
      </w:r>
      <w:r w:rsidR="002B6249">
        <w:t>zasadą, określoną w art. 28d ust. 1, że p</w:t>
      </w:r>
      <w:r w:rsidR="002B6249" w:rsidRPr="002B6249">
        <w:t>rodukt leczniczy stosowany w leczeniu substytucyjnym w ramach programu leczenia substytucyjnego jest podawany pacjentowi w podmiocie leczniczym przez lekarza, pielęgniarkę lub wydawany przez farmaceutę w jednorazowych dawkach dobowych</w:t>
      </w:r>
      <w:r w:rsidR="002B6249">
        <w:t xml:space="preserve"> </w:t>
      </w:r>
      <w:r w:rsidR="002B6249" w:rsidRPr="002B6249">
        <w:t>i przyjmowany przez pacjenta w obecności</w:t>
      </w:r>
      <w:r w:rsidR="002B6249">
        <w:t xml:space="preserve"> jednej z ww. osób. </w:t>
      </w:r>
    </w:p>
    <w:p w14:paraId="732D032B" w14:textId="3AEFC0E3" w:rsidR="00093434" w:rsidRPr="00093434" w:rsidRDefault="00093434" w:rsidP="00F85D6D">
      <w:pPr>
        <w:pStyle w:val="ARTartustawynprozporzdzenia"/>
        <w:spacing w:before="0" w:after="120"/>
      </w:pPr>
    </w:p>
    <w:p w14:paraId="7D74C5A4" w14:textId="04FBC971" w:rsidR="001E0692" w:rsidRDefault="00C26CB5" w:rsidP="00F85D6D">
      <w:pPr>
        <w:pStyle w:val="NIEARTTEKSTtekstnieartykuowanynppodstprawnarozplubpreambua"/>
        <w:spacing w:before="0" w:after="120"/>
      </w:pPr>
      <w:r>
        <w:t>Dodatkowo przewidziano w art. 28d ust. 8</w:t>
      </w:r>
      <w:r w:rsidR="00A374C3">
        <w:t xml:space="preserve"> i </w:t>
      </w:r>
      <w:r w:rsidR="00CF2A0B">
        <w:t>9 sytuację wydawania na okres do 14 dni produktu leczniczego</w:t>
      </w:r>
      <w:r w:rsidR="00CF2A0B" w:rsidRPr="00CF2A0B">
        <w:t xml:space="preserve"> stosowan</w:t>
      </w:r>
      <w:r w:rsidR="00CF2A0B">
        <w:t>ego</w:t>
      </w:r>
      <w:r w:rsidR="00CF2A0B" w:rsidRPr="00CF2A0B">
        <w:t xml:space="preserve"> w leczeniu substytucyjnym w ramach programu leczenia substytucyjnego</w:t>
      </w:r>
      <w:r w:rsidR="00CF2A0B">
        <w:t xml:space="preserve">. Powyższe dotyczy wyłącznie </w:t>
      </w:r>
      <w:r w:rsidR="00AB25D3">
        <w:t>pacjentów</w:t>
      </w:r>
      <w:r w:rsidR="00CF2A0B">
        <w:t>, którzy są</w:t>
      </w:r>
      <w:r w:rsidR="00AB25D3">
        <w:t xml:space="preserve"> nieprzerwanie lecz</w:t>
      </w:r>
      <w:r w:rsidR="00CF2A0B">
        <w:t>e</w:t>
      </w:r>
      <w:r w:rsidR="00AB25D3">
        <w:t>n</w:t>
      </w:r>
      <w:r w:rsidR="00CF2A0B">
        <w:t>i s</w:t>
      </w:r>
      <w:r w:rsidR="00AB25D3">
        <w:t>ubstytucyjnie przez co najmniej dwa lata</w:t>
      </w:r>
      <w:r w:rsidR="00CF2A0B">
        <w:t xml:space="preserve"> i </w:t>
      </w:r>
      <w:r w:rsidR="00AB25D3">
        <w:t xml:space="preserve">o ile pozwala na to </w:t>
      </w:r>
      <w:r w:rsidR="009C01BB">
        <w:t xml:space="preserve">ich </w:t>
      </w:r>
      <w:r w:rsidR="00AB25D3">
        <w:t xml:space="preserve">stan psychofizyczny, w szczególności gdy taki tryb wydawania produktu leczniczego stosowanego w leczeniu </w:t>
      </w:r>
      <w:r w:rsidR="00AB25D3">
        <w:lastRenderedPageBreak/>
        <w:t>substytucyjnym w ramach programu leczenia substytucyjnego będzie pomocny w realizacji celów leczenia.</w:t>
      </w:r>
      <w:r w:rsidR="00CF2A0B">
        <w:t xml:space="preserve"> </w:t>
      </w:r>
      <w:r w:rsidR="00AB25D3">
        <w:t>Kierownik programu lub upoważniony przez niego lekarz odnotowuje fakt zmiany trybu wydawania produktu leczniczego stosowanego w leczeniu substytucyjnym w ramach programu leczenia substytucyjnego albo odmowę zmiany wraz z uzasadnieniem w dokumentacji medycznej pa</w:t>
      </w:r>
      <w:r w:rsidR="00CF2A0B">
        <w:t xml:space="preserve">cjenta. Przy czym, zmiana trybu wydawania leku następuje na wniosek pacjenta lub z samej inicjatywy kierownika programu </w:t>
      </w:r>
      <w:r w:rsidR="00A374C3">
        <w:t xml:space="preserve">albo </w:t>
      </w:r>
      <w:r w:rsidR="00CF2A0B">
        <w:t>upoważnionego</w:t>
      </w:r>
      <w:r w:rsidR="003F2BA7">
        <w:t xml:space="preserve"> przez niego lekarza.</w:t>
      </w:r>
    </w:p>
    <w:p w14:paraId="05EE282C" w14:textId="01029E27" w:rsidR="001E0692" w:rsidRDefault="003F2BA7" w:rsidP="00F85D6D">
      <w:pPr>
        <w:pStyle w:val="NIEARTTEKSTtekstnieartykuowanynppodstprawnarozplubpreambua"/>
        <w:spacing w:before="0" w:after="120"/>
      </w:pPr>
      <w:r>
        <w:t xml:space="preserve">Z kolei pacjenci, którzy </w:t>
      </w:r>
      <w:r w:rsidR="00C26CB5" w:rsidRPr="00C26CB5">
        <w:t>wyjeżdżają</w:t>
      </w:r>
      <w:r>
        <w:t xml:space="preserve"> </w:t>
      </w:r>
      <w:r w:rsidR="00C26CB5" w:rsidRPr="00C26CB5">
        <w:t>za granicę</w:t>
      </w:r>
      <w:r>
        <w:t xml:space="preserve"> i spełniają warunki określone w art. 28d ust. 8</w:t>
      </w:r>
      <w:r w:rsidR="00A374C3">
        <w:t>,</w:t>
      </w:r>
      <w:r>
        <w:t xml:space="preserve"> mogą otrzymać produkt leczniczy </w:t>
      </w:r>
      <w:r w:rsidR="00C26CB5" w:rsidRPr="00C26CB5">
        <w:t xml:space="preserve">stosowany w leczeniu substytucyjnym w ramach programu leczenia substytucyjnego na czas trwania wyjazdu, </w:t>
      </w:r>
      <w:proofErr w:type="spellStart"/>
      <w:r w:rsidR="00C26CB5" w:rsidRPr="00C26CB5">
        <w:t>niedłuższy</w:t>
      </w:r>
      <w:proofErr w:type="spellEnd"/>
      <w:r w:rsidR="00C26CB5" w:rsidRPr="00C26CB5">
        <w:t xml:space="preserve"> jednak niż 30 dni</w:t>
      </w:r>
      <w:r>
        <w:t>. Fakt wydania produktu leczniczego</w:t>
      </w:r>
      <w:r w:rsidR="009A4155">
        <w:t xml:space="preserve"> </w:t>
      </w:r>
      <w:r w:rsidR="004C528C">
        <w:t xml:space="preserve">dla </w:t>
      </w:r>
      <w:r>
        <w:t>pacjenta wyjeżdzającego za granicę jest odnot</w:t>
      </w:r>
      <w:r w:rsidR="00A374C3">
        <w:t>ow</w:t>
      </w:r>
      <w:r>
        <w:t>ywany w dokumentacji medycznej</w:t>
      </w:r>
      <w:r w:rsidR="004C528C">
        <w:t>.</w:t>
      </w:r>
      <w:r>
        <w:t xml:space="preserve"> </w:t>
      </w:r>
      <w:r w:rsidR="004C528C">
        <w:t>Kwestie związane z przewozem</w:t>
      </w:r>
      <w:r w:rsidR="004C528C" w:rsidRPr="004C528C">
        <w:t xml:space="preserve"> </w:t>
      </w:r>
      <w:r w:rsidR="004C528C">
        <w:t>l</w:t>
      </w:r>
      <w:r w:rsidR="004C528C" w:rsidRPr="004C528C">
        <w:t>eków kontrolowanych</w:t>
      </w:r>
      <w:r w:rsidR="0062330C">
        <w:t xml:space="preserve">, </w:t>
      </w:r>
      <w:r w:rsidR="0062330C" w:rsidRPr="0062330C">
        <w:t>do których zalicza się m.in. metadon</w:t>
      </w:r>
      <w:r w:rsidR="0062330C">
        <w:t>,</w:t>
      </w:r>
      <w:r w:rsidR="004C528C" w:rsidRPr="004C528C">
        <w:t xml:space="preserve"> za granicę</w:t>
      </w:r>
      <w:r w:rsidR="004C528C">
        <w:t xml:space="preserve">, </w:t>
      </w:r>
      <w:r w:rsidR="00341EF2">
        <w:t>podlegają ogólnym zasadom</w:t>
      </w:r>
      <w:r w:rsidR="00D20666">
        <w:t xml:space="preserve"> określonym w ustawie o przeciwdziałaniu narkomanii</w:t>
      </w:r>
      <w:r w:rsidR="0062330C">
        <w:t>,</w:t>
      </w:r>
      <w:r w:rsidR="00D20666">
        <w:t xml:space="preserve"> </w:t>
      </w:r>
      <w:r w:rsidR="0062330C">
        <w:t xml:space="preserve">na podstawie </w:t>
      </w:r>
      <w:r w:rsidR="00D20666">
        <w:t>art. 37 ust. 10.</w:t>
      </w:r>
    </w:p>
    <w:p w14:paraId="3D868E8D" w14:textId="4A6B9B63" w:rsidR="00093434" w:rsidRDefault="00093434" w:rsidP="00F85D6D">
      <w:pPr>
        <w:pStyle w:val="NIEARTTEKSTtekstnieartykuowanynppodstprawnarozplubpreambua"/>
        <w:spacing w:before="0" w:after="120"/>
      </w:pPr>
      <w:r>
        <w:t xml:space="preserve">W art. 28d ust. 10 doprecyzowano kwestię wydawania produktu leczniczego w odniesieniu do </w:t>
      </w:r>
      <w:r w:rsidRPr="00951E9C">
        <w:t>osób pozbawionych wolności</w:t>
      </w:r>
      <w:r>
        <w:t xml:space="preserve"> przez wskazanie, że </w:t>
      </w:r>
      <w:r w:rsidRPr="00951E9C">
        <w:t>produkt leczniczy stosowany w leczeniu substytucyjnym w ramach programu leczenia substytucyjnego może być wydany funkcjonariuszowi Służby Więziennej lub innemu pracownikowi Służby Więziennej, upoważnionym przez kierownika podmiotu leczniczego dla osób pozbawionych wolności</w:t>
      </w:r>
      <w:r>
        <w:t>.</w:t>
      </w:r>
      <w:r w:rsidRPr="002B6249">
        <w:t xml:space="preserve"> </w:t>
      </w:r>
    </w:p>
    <w:p w14:paraId="2E827424" w14:textId="77777777" w:rsidR="00093434" w:rsidRPr="00093434" w:rsidRDefault="00093434" w:rsidP="00F85D6D">
      <w:pPr>
        <w:pStyle w:val="ARTartustawynprozporzdzenia"/>
        <w:spacing w:before="0" w:after="120"/>
      </w:pPr>
    </w:p>
    <w:p w14:paraId="67E43B5E" w14:textId="52FA66DE" w:rsidR="00681F05" w:rsidRDefault="00A374C3" w:rsidP="00F85D6D">
      <w:pPr>
        <w:pStyle w:val="NIEARTTEKSTtekstnieartykuowanynppodstprawnarozplubpreambua"/>
        <w:spacing w:before="0" w:after="120"/>
      </w:pPr>
      <w:r>
        <w:t>Przepis art</w:t>
      </w:r>
      <w:r w:rsidR="00F6237B">
        <w:t xml:space="preserve">. 28e przewiduje możliwość wydawania produktu leczniczego </w:t>
      </w:r>
      <w:r w:rsidR="00F6237B" w:rsidRPr="00F6237B">
        <w:t xml:space="preserve">w ramach programu leczenia substytucyjnego </w:t>
      </w:r>
      <w:r w:rsidR="00F6237B">
        <w:t xml:space="preserve">osobie </w:t>
      </w:r>
      <w:r w:rsidR="00F6237B" w:rsidRPr="00F6237B">
        <w:t>upoważnionej przez pacjenta</w:t>
      </w:r>
      <w:r w:rsidR="00F6237B">
        <w:t xml:space="preserve">. Upoważnienie to musi zawierać </w:t>
      </w:r>
      <w:r w:rsidR="00F6237B" w:rsidRPr="00F6237B">
        <w:t>imię i nazwisko oraz serię, numer i rodzaj dokumentu stwierdzającego tożsamość upoważnionej osoby.</w:t>
      </w:r>
      <w:r w:rsidR="00F6237B">
        <w:t xml:space="preserve"> Przy czym wydanie leku osobie upoważnionej może nastąpić tylko w</w:t>
      </w:r>
      <w:r w:rsidR="00F6237B" w:rsidRPr="00F6237B">
        <w:t xml:space="preserve"> przypadku wystąpienia udokumentowanej przeszkody o charakterze zdrowotnym, uniemożliwiającej przybycie pacjenta do podmiotu leczniczego</w:t>
      </w:r>
      <w:r w:rsidR="00F6237B">
        <w:t xml:space="preserve">. </w:t>
      </w:r>
    </w:p>
    <w:p w14:paraId="7BD28DC9" w14:textId="6331FD8B" w:rsidR="009A4155" w:rsidRDefault="00951E9C" w:rsidP="00F85D6D">
      <w:pPr>
        <w:pStyle w:val="NIEARTTEKSTtekstnieartykuowanynppodstprawnarozplubpreambua"/>
        <w:spacing w:before="0" w:after="120"/>
      </w:pPr>
      <w:r>
        <w:t>Z kolei art. 28f wprowadza obowiązek dla p</w:t>
      </w:r>
      <w:r w:rsidRPr="00951E9C">
        <w:t>odmiot</w:t>
      </w:r>
      <w:r>
        <w:t>ów</w:t>
      </w:r>
      <w:r w:rsidRPr="00951E9C">
        <w:t xml:space="preserve"> leczniczy</w:t>
      </w:r>
      <w:r>
        <w:t>ch</w:t>
      </w:r>
      <w:r w:rsidRPr="00951E9C">
        <w:t xml:space="preserve"> lub inn</w:t>
      </w:r>
      <w:r>
        <w:t>ych</w:t>
      </w:r>
      <w:r w:rsidRPr="00951E9C">
        <w:t xml:space="preserve"> placów</w:t>
      </w:r>
      <w:r>
        <w:t>ek</w:t>
      </w:r>
      <w:r w:rsidRPr="00951E9C">
        <w:t>, w któr</w:t>
      </w:r>
      <w:r>
        <w:t>ych</w:t>
      </w:r>
      <w:r w:rsidRPr="00951E9C">
        <w:t xml:space="preserve"> przebywa </w:t>
      </w:r>
      <w:r>
        <w:t xml:space="preserve">pacjent objęty leczeniem substytucyjnym, </w:t>
      </w:r>
      <w:r w:rsidRPr="00951E9C">
        <w:t>ze względu na stan zdrowia, w szczególności dom</w:t>
      </w:r>
      <w:r w:rsidR="00A374C3">
        <w:t>ów</w:t>
      </w:r>
      <w:r w:rsidRPr="00951E9C">
        <w:t xml:space="preserve"> pomocy społecznej lub </w:t>
      </w:r>
      <w:r w:rsidR="00A374C3" w:rsidRPr="00951E9C">
        <w:t>placów</w:t>
      </w:r>
      <w:r w:rsidR="00A374C3">
        <w:t>ek</w:t>
      </w:r>
      <w:r w:rsidR="00A374C3" w:rsidRPr="00951E9C">
        <w:t xml:space="preserve"> zapewniając</w:t>
      </w:r>
      <w:r w:rsidR="00A374C3">
        <w:t>ych</w:t>
      </w:r>
      <w:r w:rsidR="00A374C3" w:rsidRPr="00951E9C">
        <w:t xml:space="preserve"> </w:t>
      </w:r>
      <w:r w:rsidRPr="00951E9C">
        <w:t>całodobową opiekę osobom niepełnosprawnym, osobom przewlekle chorym lub osobom w podeszłym wieku, do zapewnienia</w:t>
      </w:r>
      <w:r>
        <w:t xml:space="preserve"> temu pacjentowi ciągłości leczenie substytucyjnego w zakresie wynikającym z </w:t>
      </w:r>
      <w:r>
        <w:lastRenderedPageBreak/>
        <w:t xml:space="preserve">posiadanych warunków organizacyjnych i kadrowych, w szczególności przez umożliwienie realizacji świadczeń zdrowotnych we współpracy z: </w:t>
      </w:r>
    </w:p>
    <w:p w14:paraId="3EBA8955" w14:textId="250ECF40" w:rsidR="009A4155" w:rsidRDefault="00951E9C" w:rsidP="00F85D6D">
      <w:pPr>
        <w:pStyle w:val="PKTpunkt"/>
        <w:spacing w:after="120"/>
      </w:pPr>
      <w:r>
        <w:t>1)</w:t>
      </w:r>
      <w:r w:rsidR="009A4155">
        <w:tab/>
      </w:r>
      <w:r>
        <w:t>podmiotem leczniczym prowadzącym leczenie substytucyjne w ramach programu leczenia substytucyjnego albo</w:t>
      </w:r>
      <w:r w:rsidR="009A4155">
        <w:t xml:space="preserve"> </w:t>
      </w:r>
    </w:p>
    <w:p w14:paraId="6DEDD80A" w14:textId="3AE4AC68" w:rsidR="009A4155" w:rsidRDefault="00951E9C" w:rsidP="00F85D6D">
      <w:pPr>
        <w:pStyle w:val="PKTpunkt"/>
        <w:spacing w:after="120"/>
      </w:pPr>
      <w:r>
        <w:t>2)</w:t>
      </w:r>
      <w:r w:rsidR="009A4155">
        <w:tab/>
      </w:r>
      <w:r>
        <w:t xml:space="preserve">lekarzem, o którym mowa w art. 4 pkt 7 lit. b, prowadzącym leczenie w ramach ordynacji lekarskiej. </w:t>
      </w:r>
    </w:p>
    <w:p w14:paraId="628E8D31" w14:textId="781DA87B" w:rsidR="00C26DAB" w:rsidRDefault="00951E9C" w:rsidP="00F85D6D">
      <w:pPr>
        <w:pStyle w:val="NIEARTTEKSTtekstnieartykuowanynppodstprawnarozplubpreambua"/>
        <w:spacing w:before="0" w:after="120"/>
        <w:ind w:firstLine="0"/>
      </w:pPr>
      <w:r>
        <w:t xml:space="preserve">Obowiązek ten jest wyłączony w sytuacji gdy </w:t>
      </w:r>
      <w:r w:rsidRPr="00951E9C">
        <w:t>placó</w:t>
      </w:r>
      <w:r>
        <w:t xml:space="preserve">wki </w:t>
      </w:r>
      <w:r w:rsidRPr="00951E9C">
        <w:t>ze względu na swoją specyfikę organizacyjną lub brak personelu medycznego nie są w stanie zapewnić bezpiecznego prowadzenia leczenia substytucyjnego</w:t>
      </w:r>
      <w:r>
        <w:t>. Co istotne</w:t>
      </w:r>
      <w:r w:rsidR="00C26DAB">
        <w:t>,</w:t>
      </w:r>
      <w:r>
        <w:t xml:space="preserve"> placówki te nie są zobligowane do spełniania warunków lokalowych ani kadrowych określonych w art. 28 ust. 2</w:t>
      </w:r>
      <w:r w:rsidR="00F6237B">
        <w:t xml:space="preserve">. </w:t>
      </w:r>
    </w:p>
    <w:p w14:paraId="7DE19C46" w14:textId="6B69AF91" w:rsidR="00951E9C" w:rsidRDefault="00093434" w:rsidP="00F85D6D">
      <w:pPr>
        <w:pStyle w:val="NIEARTTEKSTtekstnieartykuowanynppodstprawnarozplubpreambua"/>
        <w:spacing w:before="0" w:after="120"/>
      </w:pPr>
      <w:r>
        <w:t>Ciągłość</w:t>
      </w:r>
      <w:r w:rsidRPr="00F6237B">
        <w:t xml:space="preserve"> </w:t>
      </w:r>
      <w:r w:rsidR="00F6237B" w:rsidRPr="00F6237B">
        <w:t>leczenia substytucyjnego może zostać wstrzymana</w:t>
      </w:r>
      <w:r w:rsidR="00F6237B">
        <w:t xml:space="preserve"> </w:t>
      </w:r>
      <w:r w:rsidR="00A374C3">
        <w:t xml:space="preserve">w </w:t>
      </w:r>
      <w:r w:rsidR="00F6237B">
        <w:t>ww. placówkach</w:t>
      </w:r>
      <w:r w:rsidR="00F6237B" w:rsidRPr="00F6237B">
        <w:t xml:space="preserve"> przez lekarza w przypadku wystąpienia udokumentowanych przeciwwskazań zdrowotnych lub innych okoliczności zagrażających bezpieczeństwu pacjenta.</w:t>
      </w:r>
      <w:r w:rsidR="005D4746">
        <w:t xml:space="preserve"> </w:t>
      </w:r>
      <w:r w:rsidR="00F6237B" w:rsidRPr="00F6237B">
        <w:t>Informację o wstrzymaniu leczenia wraz z uzasadnieniem odnotowuje się w dokumentacji medycznej pacjenta.</w:t>
      </w:r>
      <w:r w:rsidR="00C26DAB">
        <w:t xml:space="preserve"> </w:t>
      </w:r>
      <w:r w:rsidR="00C26DAB" w:rsidRPr="00C26DAB">
        <w:t xml:space="preserve">Decyzja ta może być podjęta w każdym przypadku, gdy lekarz uzna, że jest to konieczne dla zapewnienia bezpieczeństwa pacjenta podczas udzielanych świadczeń zdrowotnych, np. gdy planowany jest zabieg wymagający sedacji lub istnieją inne ryzyka medyczne. </w:t>
      </w:r>
    </w:p>
    <w:p w14:paraId="0C747629" w14:textId="000F60DB" w:rsidR="009A4155" w:rsidRDefault="000F4E5C" w:rsidP="00F85D6D">
      <w:pPr>
        <w:pStyle w:val="NIEARTTEKSTtekstnieartykuowanynppodstprawnarozplubpreambua"/>
        <w:spacing w:before="0" w:after="120"/>
      </w:pPr>
      <w:r>
        <w:t xml:space="preserve">Przepisy art. </w:t>
      </w:r>
      <w:r w:rsidR="00185BE9">
        <w:t>28</w:t>
      </w:r>
      <w:r>
        <w:t xml:space="preserve">g </w:t>
      </w:r>
      <w:r w:rsidR="00F879ED">
        <w:t xml:space="preserve">dotyczą prowadzenia </w:t>
      </w:r>
      <w:r w:rsidR="00F879ED" w:rsidRPr="00F879ED">
        <w:t>Centraln</w:t>
      </w:r>
      <w:r w:rsidR="00F879ED">
        <w:t>ego</w:t>
      </w:r>
      <w:r w:rsidR="00F879ED" w:rsidRPr="00F879ED">
        <w:t xml:space="preserve"> Wykaz</w:t>
      </w:r>
      <w:r w:rsidR="00F879ED">
        <w:t>u</w:t>
      </w:r>
      <w:r w:rsidR="00F879ED" w:rsidRPr="00F879ED">
        <w:t xml:space="preserve"> Osób Objętych Leczeniem Substytucyjnym</w:t>
      </w:r>
      <w:r w:rsidR="00F879ED">
        <w:t xml:space="preserve">, </w:t>
      </w:r>
      <w:r w:rsidR="00066095">
        <w:t xml:space="preserve">w tym: </w:t>
      </w:r>
      <w:r w:rsidR="00F879ED">
        <w:t>udzielania</w:t>
      </w:r>
      <w:r w:rsidR="00066095">
        <w:t xml:space="preserve"> </w:t>
      </w:r>
      <w:r w:rsidR="00222BAB">
        <w:t xml:space="preserve">albo odmowy </w:t>
      </w:r>
      <w:r w:rsidR="00066095">
        <w:t>udzielania</w:t>
      </w:r>
      <w:r w:rsidR="00F879ED">
        <w:t xml:space="preserve"> dostępu</w:t>
      </w:r>
      <w:r w:rsidR="00066095">
        <w:t xml:space="preserve">, </w:t>
      </w:r>
      <w:r w:rsidR="00222BAB">
        <w:t xml:space="preserve">treści </w:t>
      </w:r>
      <w:r w:rsidR="00F879ED">
        <w:t>wniosków</w:t>
      </w:r>
      <w:r w:rsidR="00066095">
        <w:t xml:space="preserve"> o udzielenie dostępu do wykazu, </w:t>
      </w:r>
      <w:r w:rsidR="00222BAB">
        <w:t xml:space="preserve">formy </w:t>
      </w:r>
      <w:r w:rsidR="00066095">
        <w:t>skład</w:t>
      </w:r>
      <w:r w:rsidR="00222BAB">
        <w:t>a</w:t>
      </w:r>
      <w:r w:rsidR="00066095">
        <w:t xml:space="preserve">nia wniosków, treści </w:t>
      </w:r>
      <w:r w:rsidR="00222BAB">
        <w:t xml:space="preserve">zawartych </w:t>
      </w:r>
      <w:r w:rsidR="00066095">
        <w:t xml:space="preserve">w </w:t>
      </w:r>
      <w:r w:rsidR="00222BAB">
        <w:t>Wykazie</w:t>
      </w:r>
      <w:r w:rsidR="002A2E8B">
        <w:t>.</w:t>
      </w:r>
      <w:r w:rsidR="00F879ED">
        <w:t xml:space="preserve"> Przyjęto, że wniosek będzie składany</w:t>
      </w:r>
      <w:r w:rsidR="009A4155">
        <w:t xml:space="preserve"> </w:t>
      </w:r>
      <w:r w:rsidR="00F879ED">
        <w:t xml:space="preserve">w formie elektronicznej za pośrednictwem: </w:t>
      </w:r>
    </w:p>
    <w:p w14:paraId="3C26E23D" w14:textId="1733BE96" w:rsidR="009A4155" w:rsidRDefault="00F879ED" w:rsidP="00F85D6D">
      <w:pPr>
        <w:pStyle w:val="PKTpunkt"/>
        <w:spacing w:after="120"/>
      </w:pPr>
      <w:r>
        <w:t>1)</w:t>
      </w:r>
      <w:r w:rsidR="00FE37BD">
        <w:tab/>
      </w:r>
      <w:r>
        <w:t xml:space="preserve">elektronicznej skrzynki podawczej w rozumieniu art. 3 pkt 17 ustawy z dnia 17 lutego 2005 r. o informatyzacji działalności podmiotów realizujących zadania publiczne </w:t>
      </w:r>
      <w:r w:rsidR="0062330C" w:rsidRPr="0062330C">
        <w:t>(Dz.</w:t>
      </w:r>
      <w:r w:rsidR="00A01641">
        <w:t xml:space="preserve"> </w:t>
      </w:r>
      <w:r w:rsidR="0062330C" w:rsidRPr="0062330C">
        <w:t>U. z 2025 r. 1703 oraz z 2026 r. poz. 160)</w:t>
      </w:r>
      <w:r>
        <w:t xml:space="preserve"> albo </w:t>
      </w:r>
    </w:p>
    <w:p w14:paraId="1B582DFB" w14:textId="70DD2681" w:rsidR="000F4E5C" w:rsidRDefault="00F879ED" w:rsidP="00F85D6D">
      <w:pPr>
        <w:pStyle w:val="PKTpunkt"/>
        <w:spacing w:after="120"/>
      </w:pPr>
      <w:r>
        <w:t>2)</w:t>
      </w:r>
      <w:r w:rsidR="009A4155">
        <w:tab/>
      </w:r>
      <w:r w:rsidR="0062330C" w:rsidRPr="0062330C">
        <w:t>adresu elektronicznego, o którym mowa w art. 2 pkt 1 ustawy z dnia 18 lipca 2002 r. o świadczeniu usług drogą elektroniczną (Dz.</w:t>
      </w:r>
      <w:r w:rsidR="009C01BB">
        <w:t xml:space="preserve"> </w:t>
      </w:r>
      <w:r w:rsidR="0062330C" w:rsidRPr="0062330C">
        <w:t>U. z 2024 r. poz. 1513).</w:t>
      </w:r>
    </w:p>
    <w:p w14:paraId="096389DC" w14:textId="3FDBB50C" w:rsidR="00066095" w:rsidRPr="00066095" w:rsidRDefault="00066095" w:rsidP="00F85D6D">
      <w:pPr>
        <w:pStyle w:val="ARTartustawynprozporzdzenia"/>
        <w:spacing w:before="0" w:after="120"/>
      </w:pPr>
      <w:r>
        <w:t xml:space="preserve">Ponadto wskazano, że ww. </w:t>
      </w:r>
      <w:r w:rsidR="00222BAB">
        <w:t xml:space="preserve">Wykaz </w:t>
      </w:r>
      <w:r w:rsidRPr="00066095">
        <w:t>nie jest rejestrem medycznym w rozumieniu ustawy z dnia 28 kwietnia 2011 r. o systemie informacji w ochronie zdrowia</w:t>
      </w:r>
      <w:r w:rsidR="00222BAB">
        <w:t xml:space="preserve"> (Dz. U. z 2026 r. poz. 208 i 252)</w:t>
      </w:r>
      <w:r>
        <w:t>.</w:t>
      </w:r>
    </w:p>
    <w:p w14:paraId="2F8CBAA1" w14:textId="37233864" w:rsidR="00F879ED" w:rsidRDefault="0062330C" w:rsidP="00F85D6D">
      <w:pPr>
        <w:pStyle w:val="ARTartustawynprozporzdzenia"/>
        <w:spacing w:before="0" w:after="120"/>
      </w:pPr>
      <w:r>
        <w:t>Do</w:t>
      </w:r>
      <w:r w:rsidR="00F879ED">
        <w:t xml:space="preserve">tychczas obowiązujący Centralny Wykaz Osób Objętych Leczeniem Substytucyjnym służy wykluczeniu udziału pacjenta w tym samym czasie w więcej niż jednym programie </w:t>
      </w:r>
      <w:r w:rsidR="00F879ED">
        <w:lastRenderedPageBreak/>
        <w:t xml:space="preserve">leczenia substytucyjnego. Projektowane rozwiązania zakładają rozszerzenie funkcji tego </w:t>
      </w:r>
      <w:r w:rsidR="00222BAB">
        <w:t xml:space="preserve">Wykazu </w:t>
      </w:r>
      <w:r w:rsidR="00F879ED">
        <w:t xml:space="preserve">również na leczenie substytucyjne prowadzone w ramach ordynacji lekarskiej. Głównym celem funkcjonowania ww. </w:t>
      </w:r>
      <w:r w:rsidR="00222BAB">
        <w:t xml:space="preserve">Wykazu </w:t>
      </w:r>
      <w:r w:rsidR="00F879ED">
        <w:t xml:space="preserve">jest wykluczenie udziału pacjenta w tym samym czasie w więcej niż jednym programie leczenia substytucyjnego oraz w leczeniu substytucyjnym w ramach ordynacji lekarskiej. Jednocześnie projektowane przepisy zakładają, że Krajowe Centrum Przeciwdziałania Uzależnieniom nie będzie gromadziło danych pozwalających na bezpośrednią identyfikację pacjenta. Dane umożliwiające ustalenie tożsamości pacjenta pozostaną po stronie podmiotu udzielającego świadczeń zdrowotnych albo lekarza prowadzącego leczenie, natomiast do </w:t>
      </w:r>
      <w:r w:rsidR="00222BAB">
        <w:t xml:space="preserve">Wykazu </w:t>
      </w:r>
      <w:r w:rsidR="00F879ED">
        <w:t>będą przekazywane wyłącznie informacje w postaci zaszyfrowanej lub zanonimizowanej, w zakresie niezbędnym do realizacji celu ustawowego. Przyjęte rozwiązanie pozwoli z jednej strony zapewnić kontrolę, czy pacjent nie korzysta z leczenia substytucyjnego w więcej niż jednym miejscu w tym samym czasie</w:t>
      </w:r>
      <w:r w:rsidR="00222BAB">
        <w:t>,</w:t>
      </w:r>
      <w:r w:rsidR="008A37B6">
        <w:t xml:space="preserve"> </w:t>
      </w:r>
      <w:r w:rsidR="00F879ED">
        <w:t xml:space="preserve">z drugiej zaś ograniczy zakres przetwarzanych danych do </w:t>
      </w:r>
      <w:r w:rsidR="00222BAB" w:rsidRPr="00222BAB">
        <w:t xml:space="preserve">koniecznego </w:t>
      </w:r>
      <w:r w:rsidR="00F879ED">
        <w:t xml:space="preserve">minimum. Ponadto informacje przekazywane za pośrednictwem </w:t>
      </w:r>
      <w:r w:rsidR="00222BAB">
        <w:t xml:space="preserve">Wykazu </w:t>
      </w:r>
      <w:r w:rsidR="00F879ED">
        <w:t>będą mogły być wykorzystywane przez Krajowe Centrum Przeciwdziałania Uzależnieniom do sporządzania analiz statystycznych i opracowań epidemiologicznych dotyczących leczenia substytucyjnego</w:t>
      </w:r>
      <w:r w:rsidR="00FE37BD">
        <w:t>.</w:t>
      </w:r>
    </w:p>
    <w:p w14:paraId="1BCD812D" w14:textId="719B0C74" w:rsidR="000F4E5C" w:rsidRDefault="00222BAB" w:rsidP="00F85D6D">
      <w:pPr>
        <w:pStyle w:val="NIEARTTEKSTtekstnieartykuowanynppodstprawnarozplubpreambua"/>
        <w:spacing w:before="0" w:after="120"/>
      </w:pPr>
      <w:r>
        <w:t>Przepis art</w:t>
      </w:r>
      <w:r w:rsidR="00066095">
        <w:t>. 28h</w:t>
      </w:r>
      <w:r w:rsidR="000C2AAB">
        <w:t xml:space="preserve"> określa kwestie dotyczące</w:t>
      </w:r>
      <w:r w:rsidR="00066095">
        <w:t xml:space="preserve"> dostępu p</w:t>
      </w:r>
      <w:r w:rsidR="00066095" w:rsidRPr="00066095">
        <w:t>acjen</w:t>
      </w:r>
      <w:r w:rsidR="00066095">
        <w:t>tów</w:t>
      </w:r>
      <w:r w:rsidR="00066095" w:rsidRPr="00066095">
        <w:t xml:space="preserve"> korzystający</w:t>
      </w:r>
      <w:r>
        <w:t>ch</w:t>
      </w:r>
      <w:r w:rsidR="00066095" w:rsidRPr="00066095">
        <w:t xml:space="preserve"> z leczenia substytucyjnego do terapii i rehabilitacji</w:t>
      </w:r>
      <w:r w:rsidR="00066095">
        <w:t xml:space="preserve">. Przy czym </w:t>
      </w:r>
      <w:r w:rsidRPr="00222BAB">
        <w:t xml:space="preserve">również </w:t>
      </w:r>
      <w:r>
        <w:t>zapewniono możliwość korzystania przez p</w:t>
      </w:r>
      <w:r w:rsidRPr="00066095">
        <w:t>acjen</w:t>
      </w:r>
      <w:r>
        <w:t>tów</w:t>
      </w:r>
      <w:r w:rsidRPr="00066095">
        <w:t xml:space="preserve"> obję</w:t>
      </w:r>
      <w:r>
        <w:t>tych</w:t>
      </w:r>
      <w:r w:rsidRPr="00066095">
        <w:t xml:space="preserve"> </w:t>
      </w:r>
      <w:r w:rsidR="00066095" w:rsidRPr="00066095">
        <w:t>leczeniem substytucyjnym w ramach ordynacji lekarskiej z terapii i rehabilitacji w podmiotach leczniczych prowadzących leczenie lub rehabilitację osób uzależnionych</w:t>
      </w:r>
      <w:r w:rsidR="008A37B6">
        <w:t xml:space="preserve"> na zasadach ogólnych w ramach opieki dla osób uzależnionych. Zgodnie z art. 26 ust. 5 ustawy o przeciwdziałaniu narkomanii świadczenia w zakresie leczenia, rehabilitacji i reintegracji są udzielane osobie uzależnionej bezpłatnie – nie ma konieczności posiadania ubezpieczenia zdrowotnego, niezależnie od jej miejsca zamieszkania w kraju. </w:t>
      </w:r>
    </w:p>
    <w:p w14:paraId="39025504" w14:textId="0F4483C5" w:rsidR="00066095" w:rsidRDefault="00066095" w:rsidP="00F85D6D">
      <w:pPr>
        <w:pStyle w:val="NIEARTTEKSTtekstnieartykuowanynppodstprawnarozplubpreambua"/>
        <w:spacing w:before="0" w:after="120"/>
      </w:pPr>
      <w:r>
        <w:t>W art. 28i</w:t>
      </w:r>
      <w:r w:rsidR="00185BE9">
        <w:t xml:space="preserve"> wprowadzono dla ministra właściwego do spraw zdrowia upoważnienie ustawowe do wydania rozporządzenia, które będzie </w:t>
      </w:r>
      <w:r w:rsidR="00222BAB">
        <w:t>określać</w:t>
      </w:r>
      <w:r w:rsidR="00185BE9">
        <w:t xml:space="preserve"> </w:t>
      </w:r>
      <w:r w:rsidR="00222BAB">
        <w:t>sposób wydawania, transportu, przechowywania i dokumentowania przychodu i rozchodu produktów leczniczych stosowanych w programie leczenia substytucyjnego</w:t>
      </w:r>
      <w:r w:rsidR="003C7EC4">
        <w:t xml:space="preserve"> oraz</w:t>
      </w:r>
      <w:r w:rsidR="00222BAB">
        <w:t xml:space="preserve"> warunki i metody przeprowadzania badania na występowanie środków odurzających i substancji psychotropowych innych niż stosowane w leczeniu substytucyjnym lub nowych substancji psychoaktywnych</w:t>
      </w:r>
      <w:r w:rsidR="002A2E8B">
        <w:t>.</w:t>
      </w:r>
    </w:p>
    <w:p w14:paraId="494AB345" w14:textId="16CC5B02" w:rsidR="00185BE9" w:rsidRDefault="00185BE9" w:rsidP="00F85D6D">
      <w:pPr>
        <w:pStyle w:val="NIEARTTEKSTtekstnieartykuowanynppodstprawnarozplubpreambua"/>
        <w:spacing w:before="0" w:after="120"/>
      </w:pPr>
      <w:r>
        <w:t xml:space="preserve">Rozporządzenie wydawane na tej podstawie będzie również określało </w:t>
      </w:r>
      <w:r w:rsidR="008A37B6">
        <w:t xml:space="preserve">wzory </w:t>
      </w:r>
      <w:r>
        <w:t xml:space="preserve">kart </w:t>
      </w:r>
      <w:r w:rsidR="008A37B6">
        <w:t xml:space="preserve">identyfikacyjnych </w:t>
      </w:r>
      <w:r w:rsidR="0072534B">
        <w:t>oraz wz</w:t>
      </w:r>
      <w:r w:rsidR="008A37B6">
        <w:t xml:space="preserve">ory </w:t>
      </w:r>
      <w:r w:rsidR="0072534B">
        <w:t>wniosk</w:t>
      </w:r>
      <w:r w:rsidR="008A37B6">
        <w:t>ów</w:t>
      </w:r>
      <w:r w:rsidR="0072534B">
        <w:t xml:space="preserve"> o dostęp do </w:t>
      </w:r>
      <w:r w:rsidR="0072534B" w:rsidRPr="0072534B">
        <w:t>Centralnego Wykazu Osób Objętych Leczeniem Substytucyjnym</w:t>
      </w:r>
      <w:r w:rsidR="0072534B">
        <w:t>.</w:t>
      </w:r>
    </w:p>
    <w:p w14:paraId="24699B5C" w14:textId="77777777" w:rsidR="00185BE9" w:rsidRDefault="00185BE9" w:rsidP="00F85D6D">
      <w:pPr>
        <w:pStyle w:val="NIEARTTEKSTtekstnieartykuowanynppodstprawnarozplubpreambua"/>
        <w:spacing w:before="0" w:after="120"/>
      </w:pPr>
      <w:r>
        <w:lastRenderedPageBreak/>
        <w:t xml:space="preserve">Zmiany w art. 1 pkt 3 projektu ustawy dotyczą nowego </w:t>
      </w:r>
      <w:r w:rsidRPr="005D42BF">
        <w:t>brzmieni</w:t>
      </w:r>
      <w:r>
        <w:t>a</w:t>
      </w:r>
      <w:r w:rsidRPr="005D42BF">
        <w:t xml:space="preserve"> </w:t>
      </w:r>
      <w:r>
        <w:t>art</w:t>
      </w:r>
      <w:r w:rsidRPr="005D42BF">
        <w:t>.</w:t>
      </w:r>
      <w:r>
        <w:t xml:space="preserve"> </w:t>
      </w:r>
      <w:r w:rsidRPr="005D42BF">
        <w:t xml:space="preserve">24 </w:t>
      </w:r>
      <w:r>
        <w:t xml:space="preserve">ust. 4 </w:t>
      </w:r>
      <w:r w:rsidRPr="005D42BF">
        <w:t xml:space="preserve">ustawy o przeciwdziałaniu narkomanii przez rozszerzenie zakresu czynności dokonywanych przez wskazane w tym przepisie jednostki i podmioty. </w:t>
      </w:r>
      <w:r w:rsidRPr="00F642B7">
        <w:t xml:space="preserve">Mając </w:t>
      </w:r>
      <w:r>
        <w:t>na uwadze</w:t>
      </w:r>
      <w:r w:rsidRPr="00F642B7">
        <w:t xml:space="preserve"> czynności w zakresie postępowania ze środkami odurzającymi, substancjami psychotropowymi, ich preparatami, prekursorami kategorii 1, środkami zastępczymi lub nowymi substancjami psychoaktywnymi przez jednostki naukowe i określone podmioty, które przeprowadzają ich badania w celu identyfikacji i potwierdzenia popełnienia przestępstwa, wykroczenia lub w związku z postępowaniami, o których mowa w art. 44c i art. 44d</w:t>
      </w:r>
      <w:r>
        <w:t xml:space="preserve"> </w:t>
      </w:r>
      <w:r w:rsidRPr="003146E8">
        <w:t>ustaw</w:t>
      </w:r>
      <w:r>
        <w:t>y</w:t>
      </w:r>
      <w:r w:rsidRPr="003146E8">
        <w:t xml:space="preserve"> o przeciwdziałaniu narkomanii</w:t>
      </w:r>
      <w:r w:rsidRPr="00F642B7">
        <w:t>, uzupełniono art. 24 ust. 4 ustawy o przeciwdziałaniu narkomanii o czynności takie jak przetwarzanie i przerabianie.</w:t>
      </w:r>
    </w:p>
    <w:p w14:paraId="0279CDC6" w14:textId="100C26F1" w:rsidR="00185BE9" w:rsidRDefault="00185BE9" w:rsidP="00F85D6D">
      <w:pPr>
        <w:pStyle w:val="NIEARTTEKSTtekstnieartykuowanynppodstprawnarozplubpreambua"/>
        <w:spacing w:before="0" w:after="120"/>
      </w:pPr>
      <w:r>
        <w:t>Polskie Laboratorium Antydopingowe jako jednostka naukowa jest wymieniona w pkt 12 załącznika do rozporządzenia Ministra Zdrowia z dnia 6 marca 2019 r. w sprawie wykazu podmiotów uprawnionych do przeprowadzania badań mających na celu ustalenie</w:t>
      </w:r>
      <w:r w:rsidR="00FD5C1B">
        <w:t>,</w:t>
      </w:r>
      <w:r>
        <w:t xml:space="preserve"> czy dany produkt jest środkiem zastępczym (Dz. U. </w:t>
      </w:r>
      <w:r w:rsidR="00FD5C1B">
        <w:t xml:space="preserve">z 2026 r. </w:t>
      </w:r>
      <w:r>
        <w:t xml:space="preserve">poz. </w:t>
      </w:r>
      <w:r w:rsidR="00FD5C1B">
        <w:t>541</w:t>
      </w:r>
      <w:r>
        <w:t xml:space="preserve">). W związku z tym, mając na uwadze brzmienie art. 24 ust. 4 ustawy o przeciwdziałaniu narkomanii, jest już ona uprawniona posiadać, przechowywać oraz nabywać środki, substancje i preparaty, określone w tym przepisie do przeprowadzania czynności w celu identyfikacji i potwierdzenia popełnienia przestępstwa, wykroczenia lub w związku z postępowaniami, o których mowa w art. 44c i </w:t>
      </w:r>
      <w:r w:rsidR="002723C9">
        <w:t xml:space="preserve">art. </w:t>
      </w:r>
      <w:r>
        <w:t>44d ustawy. Jednakże Polskie Laboratorium Antydopingowe</w:t>
      </w:r>
      <w:r w:rsidR="002723C9">
        <w:t>,</w:t>
      </w:r>
      <w:r>
        <w:t xml:space="preserve"> realizując pozostałe zadania, o których mowa w art. 47b ustawy z dnia 24 kwietnia 2017 r. o zwalczaniu dopingu w sporcie (Dz. U. </w:t>
      </w:r>
      <w:r w:rsidR="009A7441">
        <w:t xml:space="preserve">z </w:t>
      </w:r>
      <w:r>
        <w:t>2022 r. poz. 1258), w szczególności w związku z art. 47r ust. 2 pkt 4 i ust. 3 tej ustawy, które nie mieszczą się w zakresie, o którym mowa w art. 24 ust. 4 ustawy o przeciwdziałaniu narkomanii – działa jako przedsiębiorca prowadzący działalność gospodarczą, co wiąże się z koniecznością uzyskania zezwolenia właściwych organów</w:t>
      </w:r>
      <w:r w:rsidR="002723C9">
        <w:t>,</w:t>
      </w:r>
      <w:r>
        <w:t xml:space="preserve"> tj. Prezesa Biura do spraw Substancji Chemicznych lub Głównego Inspektora Farmaceutycznego.</w:t>
      </w:r>
    </w:p>
    <w:p w14:paraId="15D7E4FF" w14:textId="3D3E9D14" w:rsidR="00185BE9" w:rsidRDefault="00185BE9" w:rsidP="00F85D6D">
      <w:pPr>
        <w:pStyle w:val="NIEARTTEKSTtekstnieartykuowanynppodstprawnarozplubpreambua"/>
        <w:spacing w:before="0" w:after="120"/>
      </w:pPr>
      <w:r>
        <w:t>W związku z tym w zakresie realizowania zadań ustawowych przez Polskie Laboratorium Antydopingowe związanych ze zwalczaniem dopingu w sporcie jest zasadn</w:t>
      </w:r>
      <w:r w:rsidR="002723C9">
        <w:t>e</w:t>
      </w:r>
      <w:r>
        <w:t xml:space="preserve"> dodanie art. 24 ust. 4a w brzmieniu zaproponowanym w projekcie ustawy</w:t>
      </w:r>
      <w:r w:rsidR="002723C9">
        <w:t>,</w:t>
      </w:r>
      <w:r>
        <w:t xml:space="preserve"> rozszerzając istniejące zwolnienie podmiotowe dla tej jednostki. </w:t>
      </w:r>
    </w:p>
    <w:p w14:paraId="1678C9BB" w14:textId="124240CF" w:rsidR="00185BE9" w:rsidRDefault="00185BE9" w:rsidP="00F85D6D">
      <w:pPr>
        <w:pStyle w:val="NIEARTTEKSTtekstnieartykuowanynppodstprawnarozplubpreambua"/>
        <w:spacing w:before="0" w:after="120"/>
      </w:pPr>
      <w:r>
        <w:t xml:space="preserve">Proponowane brzmienie przepisu koresponduje z delegacją zawartą w art. 44c ust. 13 ustawy o przeciwdziałaniu narkomanii, na podstawie której Minister Zdrowia wydał w dniu 6 marca 2019 r. rozporządzenie w sprawie wykazu podmiotów uprawnionych do przeprowadzania badań mających na celu ustalenie czy dany produkt jest środkiem zastępczym </w:t>
      </w:r>
      <w:r>
        <w:lastRenderedPageBreak/>
        <w:t xml:space="preserve">i które to w pkt 12 uwzględnia Polskie Laboratorium Antydopingowe jako podmiot uprawiony do przeprowadzenia badań mających na celu ustalenie czy dany produkt jest środkiem zastępczym, a zatem do przeprowadzenia w tym zakresie analiz toksykologicznych. W związku z czym na podstawie art. 24 ust. 4 ustawy o przeciwdziałaniu narkomanii Polskie Laboratorium Antydopingowe może posiadać, przechowywać oraz nabywać środki, substancje i preparaty, o których mowa w </w:t>
      </w:r>
      <w:r w:rsidR="003C7EC4">
        <w:t xml:space="preserve">art. 24 </w:t>
      </w:r>
      <w:r>
        <w:t>ust. 2</w:t>
      </w:r>
      <w:r w:rsidR="003C7EC4">
        <w:t>,</w:t>
      </w:r>
      <w:r>
        <w:t xml:space="preserve"> jeżeli przeprowadza badania w związku z postępowaniami, o których mowa w art. 44c i art. 44d ustawy o przeciwdziałaniu narkomanii. </w:t>
      </w:r>
    </w:p>
    <w:p w14:paraId="32DFD32A" w14:textId="261CE494" w:rsidR="00185BE9" w:rsidRDefault="00185BE9" w:rsidP="00F85D6D">
      <w:pPr>
        <w:pStyle w:val="NIEARTTEKSTtekstnieartykuowanynppodstprawnarozplubpreambua"/>
        <w:spacing w:before="0" w:after="120"/>
      </w:pPr>
      <w:r>
        <w:t xml:space="preserve">Mając jednak na uwadze, że na postawie art. 47b ust. 2 ustawy </w:t>
      </w:r>
      <w:r w:rsidRPr="00497F11">
        <w:t xml:space="preserve">z dnia 24 kwietnia 2017 r. </w:t>
      </w:r>
      <w:r>
        <w:t>o zwalczaniu dopingu w sporcie, poza działalnością, o której mowa w art. 47b ust. 1 tej ustawy, Polskie Laboratorium Antydopingowe może prowadzić analizy toksykologiczne, w tym w ramach współpracy z Policją, sądami, prokuratorem, Służbą Celno-Skarbową, Głównym Inspektorem Sanitarnym, Głównym Inspektorem Farmaceutycznym, szpitalami, instytutami badawczymi, uczelniami medycznymi oraz Żandarmerią Wojskową zasadn</w:t>
      </w:r>
      <w:r w:rsidR="002723C9">
        <w:t>e</w:t>
      </w:r>
      <w:r>
        <w:t xml:space="preserve"> wydaje się uwzględnienie zwolnienia podmiotowego dla Polskiego Laboratorium Antydopingowego dla prowadzenia analiz toksykologicznych, o których mowa w art. 47b ust. 2 ustawy </w:t>
      </w:r>
      <w:r w:rsidRPr="00497F11">
        <w:t xml:space="preserve">z dnia 24 kwietnia 2017 r. </w:t>
      </w:r>
      <w:r>
        <w:t>o zwalczaniu dopingu w sporcie.</w:t>
      </w:r>
    </w:p>
    <w:p w14:paraId="4FB4CFFE" w14:textId="3D79D337" w:rsidR="00185BE9" w:rsidRDefault="00185BE9" w:rsidP="00F85D6D">
      <w:pPr>
        <w:pStyle w:val="NIEARTTEKSTtekstnieartykuowanynppodstprawnarozplubpreambua"/>
        <w:spacing w:before="0" w:after="120"/>
      </w:pPr>
      <w:r>
        <w:t>Narodowy Instytut Leków,</w:t>
      </w:r>
      <w:r w:rsidRPr="00E34C44">
        <w:t xml:space="preserve"> </w:t>
      </w:r>
      <w:r>
        <w:t xml:space="preserve">zwany dalej „NIL”, podobnie jak Polskie Laboratorium Antydopingowe, jest jednym z podmiotów wskazanych w rozporządzeniu Ministra Zdrowia z dnia 6 marca 2019 r. w sprawie wykazu podmiotów uprawnionych do przeprowadzania badań, umożliwiających ustalenie, czy dany produkt jest środkiem zastępczym. W związku z tym, a także mając na uwadze art. 24 ust. 4 ustawy o przeciwdziałaniu narkomanii, w tym zakresie, nie jest konieczne uzyskanie zezwolenia Prezesa Biura do spraw Substancji Chemicznych na posiadanie, przechowywanie oraz nabywanie nowych substancji psychoaktywnych do przeprowadzania czynności w celu identyfikacji i potwierdzenia popełnienia przestępstwa, wykroczenia lub w związku z postępowaniami, o których mowa w art. 44c i </w:t>
      </w:r>
      <w:r w:rsidR="00E44BD9">
        <w:t xml:space="preserve">art. </w:t>
      </w:r>
      <w:r>
        <w:t xml:space="preserve">44d tej ustawy. Ponadto NIL jest powoływany jako biegły instytucjonalny w trybie art. 193 § 2 Kodeksu postępowania karnego na okoliczność badania zabezpieczonego materiału dowodowego w celu identyfikacji i potwierdzenia popełnienia przestępstwa albo wykroczenia. </w:t>
      </w:r>
    </w:p>
    <w:p w14:paraId="669C2607" w14:textId="651DD0E3" w:rsidR="00185BE9" w:rsidRDefault="00185BE9" w:rsidP="00F85D6D">
      <w:pPr>
        <w:pStyle w:val="NIEARTTEKSTtekstnieartykuowanynppodstprawnarozplubpreambua"/>
        <w:spacing w:before="0" w:after="120"/>
      </w:pPr>
      <w:r>
        <w:t>NIL</w:t>
      </w:r>
      <w:r w:rsidR="00E44BD9">
        <w:t>,</w:t>
      </w:r>
      <w:r>
        <w:t xml:space="preserve"> realizując pozostałe zadania jest traktowany jako przedsiębiorca prowadzący działalność gospodarczą, co wiąże się z koniecznością uzyskania zezwoleń Prezesa Biura do spraw Substancji Chemicznych oraz Głównego Inspektora Farmaceutycznego. </w:t>
      </w:r>
    </w:p>
    <w:p w14:paraId="0F6BC3D2" w14:textId="05A8A978" w:rsidR="00185BE9" w:rsidRDefault="00185BE9" w:rsidP="00F85D6D">
      <w:pPr>
        <w:pStyle w:val="NIEARTTEKSTtekstnieartykuowanynppodstprawnarozplubpreambua"/>
        <w:spacing w:before="0" w:after="120"/>
      </w:pPr>
      <w:r>
        <w:lastRenderedPageBreak/>
        <w:t>W państwach Unii Europejskiej rejestracja i dopuszczanie do obrotu produktów leczniczych i wyrobów medycznych są związane bezpośrednio z ich jakością, bezpieczeństwem i skutecznością terapeutyczną. NIL jest instytutem badawczym powołanym do służby państwowej w systemie ochrony zdrowia publicznego, wyspecjalizowan</w:t>
      </w:r>
      <w:r w:rsidR="00E44BD9">
        <w:t>ym</w:t>
      </w:r>
      <w:r>
        <w:t xml:space="preserve"> w zakresie badania jakości substancji czynnych, produktów leczniczych i wyrobów medycznych. NIL należy do sieci laboratoriów zrzeszonych w ramach Europejskiego Dyrektoriatu ds. Jakości Leków i Opieki Zdrowotnej (</w:t>
      </w:r>
      <w:proofErr w:type="spellStart"/>
      <w:r>
        <w:t>European</w:t>
      </w:r>
      <w:proofErr w:type="spellEnd"/>
      <w:r>
        <w:t xml:space="preserve"> </w:t>
      </w:r>
      <w:proofErr w:type="spellStart"/>
      <w:r>
        <w:t>Directorate</w:t>
      </w:r>
      <w:proofErr w:type="spellEnd"/>
      <w:r>
        <w:t xml:space="preserve"> for the </w:t>
      </w:r>
      <w:proofErr w:type="spellStart"/>
      <w:r>
        <w:t>Quality</w:t>
      </w:r>
      <w:proofErr w:type="spellEnd"/>
      <w:r>
        <w:t xml:space="preserve"> of </w:t>
      </w:r>
      <w:proofErr w:type="spellStart"/>
      <w:r>
        <w:t>Medicines</w:t>
      </w:r>
      <w:proofErr w:type="spellEnd"/>
      <w:r>
        <w:t xml:space="preserve"> and Healthcare, EDQM), agendy Rady Europy, pełniąc w naszym kraju funkcję Państwowego Laboratorium Kontroli Produktów Leczniczych, jako </w:t>
      </w:r>
      <w:proofErr w:type="spellStart"/>
      <w:r>
        <w:t>Official</w:t>
      </w:r>
      <w:proofErr w:type="spellEnd"/>
      <w:r>
        <w:t xml:space="preserve"> </w:t>
      </w:r>
      <w:proofErr w:type="spellStart"/>
      <w:r>
        <w:t>Medicines</w:t>
      </w:r>
      <w:proofErr w:type="spellEnd"/>
      <w:r>
        <w:t xml:space="preserve"> Control </w:t>
      </w:r>
      <w:proofErr w:type="spellStart"/>
      <w:r>
        <w:t>Laboratory</w:t>
      </w:r>
      <w:proofErr w:type="spellEnd"/>
      <w:r>
        <w:t xml:space="preserve"> (OMCL), w pełnym zakresie badań w odniesieniu do wszystkich kategorii produktów leczniczych i produktów leczniczych weterynaryjnych, na podstawie rozporządzenia Ministra Zdrowia z dnia 1 sierpnia 2016 r. w sprawie jednostek organizacyjnych, które prowadzą badania jakościowe produktów leczniczych i produktów leczniczych weterynaryjnych</w:t>
      </w:r>
      <w:r w:rsidR="00481456">
        <w:t>,</w:t>
      </w:r>
      <w:r>
        <w:t xml:space="preserve"> oraz opłat pobieranych za te badania (Dz. U. z 2023 r. poz. 1074</w:t>
      </w:r>
      <w:r w:rsidR="00E44BD9">
        <w:t>, z późn. zm.</w:t>
      </w:r>
      <w:r>
        <w:t>). NIL jako OMCL prowadzi badania kontrolne w zakresie służącym poprawie i bezpieczeństwu zdrowia publicznego. Jako podmiot wyznaczony ww. rozporządzeniem Ministra Zdrowia, NIL jest uprawniony do wykonywania szeregu badań kontrolnych przewidzianych ustawą z dnia 6 września 2001 r. – Prawo farmaceutyczne (Dz. U. z 2025 r. poz. 750, z późn. zm.), zwanej dalej „</w:t>
      </w:r>
      <w:bookmarkStart w:id="4" w:name="_Hlk178238170"/>
      <w:r>
        <w:t>ustawą Prawo farmaceutyczne</w:t>
      </w:r>
      <w:bookmarkEnd w:id="4"/>
      <w:r>
        <w:t xml:space="preserve">”, w szczególności: </w:t>
      </w:r>
    </w:p>
    <w:p w14:paraId="34440AA2" w14:textId="75C1A9B2" w:rsidR="00185BE9" w:rsidRDefault="00185BE9" w:rsidP="00F85D6D">
      <w:pPr>
        <w:pStyle w:val="PKTpunkt"/>
        <w:spacing w:after="120"/>
      </w:pPr>
      <w:r>
        <w:t>1)</w:t>
      </w:r>
      <w:r>
        <w:tab/>
        <w:t xml:space="preserve">badań jakościowych produktów leczniczych, produktów leczniczych weterynaryjnych, materiałów wyjściowych i produktów pośrednich lub innych składników produktu leczniczego lub produktu leczniczego weterynaryjnego w toku postępowania o udzielenie pozwolenia na dopuszczenie do obrotu (art. 8 ust. 1 pkt 3 </w:t>
      </w:r>
      <w:bookmarkStart w:id="5" w:name="_Hlk178238192"/>
      <w:r w:rsidRPr="00C51F26">
        <w:t>ustaw</w:t>
      </w:r>
      <w:r>
        <w:t xml:space="preserve">y </w:t>
      </w:r>
      <w:r w:rsidRPr="00C51F26">
        <w:t>Prawo farmaceutyczne</w:t>
      </w:r>
      <w:bookmarkEnd w:id="5"/>
      <w:r>
        <w:t xml:space="preserve">); </w:t>
      </w:r>
    </w:p>
    <w:p w14:paraId="3158BD4C" w14:textId="77777777" w:rsidR="00185BE9" w:rsidRDefault="00185BE9" w:rsidP="00F85D6D">
      <w:pPr>
        <w:pStyle w:val="PKTpunkt"/>
        <w:spacing w:after="120"/>
      </w:pPr>
      <w:r>
        <w:t>2)</w:t>
      </w:r>
      <w:r>
        <w:tab/>
        <w:t>w razie odstąpienia od utworzenia laboratorium kontroli jakości leków przy wojewódzkim inspektoracie farmaceutycznym – badania kontrolne jakości leków wykonywane na podstawie umowy zlecenia (art. 116 ust. 3</w:t>
      </w:r>
      <w:r w:rsidRPr="00C51F26">
        <w:t xml:space="preserve"> ustawy Prawo farmaceutyczne</w:t>
      </w:r>
      <w:r>
        <w:t xml:space="preserve">) lub zlecone badania, których wykonanie nie jest możliwe w laboratoriach kontroli jakości leków, z uwagi na brak odpowiedniego wyposażenia (art. 116 ust. 4 </w:t>
      </w:r>
      <w:r w:rsidRPr="00C51F26">
        <w:t>ustawy Prawo farmaceutyczne</w:t>
      </w:r>
      <w:r>
        <w:t xml:space="preserve">); </w:t>
      </w:r>
    </w:p>
    <w:p w14:paraId="3462DB49" w14:textId="77777777" w:rsidR="00185BE9" w:rsidRDefault="00185BE9" w:rsidP="00F85D6D">
      <w:pPr>
        <w:pStyle w:val="PKTpunkt"/>
        <w:spacing w:after="120"/>
      </w:pPr>
      <w:r>
        <w:t>3)</w:t>
      </w:r>
      <w:r>
        <w:tab/>
        <w:t xml:space="preserve">badań jakościowych produktów leczniczych dopuszczonych po raz pierwszy na podstawie </w:t>
      </w:r>
      <w:r w:rsidRPr="00C51F26">
        <w:t>ustawy Prawo farmaceutyczne</w:t>
      </w:r>
      <w:r>
        <w:t xml:space="preserve"> do obrotu na terenie Rzeczypospolitej Polskiej, wykonywanych na podstawie decyzji wydanej przez Głównego Inspektora Farmaceutycznego (art. 119a ust. 1 </w:t>
      </w:r>
      <w:r w:rsidRPr="00C51F26">
        <w:t>ustawy Prawo farmaceutyczne</w:t>
      </w:r>
      <w:r>
        <w:t xml:space="preserve">); </w:t>
      </w:r>
    </w:p>
    <w:p w14:paraId="4F834EB8" w14:textId="77777777" w:rsidR="00185BE9" w:rsidRDefault="00185BE9" w:rsidP="00F85D6D">
      <w:pPr>
        <w:pStyle w:val="PKTpunkt"/>
        <w:spacing w:after="120"/>
      </w:pPr>
      <w:r>
        <w:lastRenderedPageBreak/>
        <w:t>4)</w:t>
      </w:r>
      <w:r>
        <w:tab/>
        <w:t xml:space="preserve">badań jakościowych określonej serii substancji czynnej, wykonywanych na podstawie decyzji wydanej przez Głównego Inspektora Farmaceutycznego (art. 121 ust. 1b </w:t>
      </w:r>
      <w:r w:rsidRPr="00C51F26">
        <w:t>ustawy Prawo farmaceutyczne</w:t>
      </w:r>
      <w:r>
        <w:t xml:space="preserve">). </w:t>
      </w:r>
    </w:p>
    <w:p w14:paraId="7B6FC274" w14:textId="77777777" w:rsidR="00185BE9" w:rsidRDefault="00185BE9" w:rsidP="00F85D6D">
      <w:pPr>
        <w:pStyle w:val="NIEARTTEKSTtekstnieartykuowanynppodstprawnarozplubpreambua"/>
        <w:spacing w:before="0" w:after="120"/>
      </w:pPr>
      <w:r>
        <w:t xml:space="preserve">NIL wykonuje także planowe badania w ramach nadzoru nad jakością oraz badania produktów leczniczych dopuszczonych do obrotu na terytorium Rzeczypospolitej Polskiej, skierowanych na podstawie decyzji Głównego Inspektora Farmaceutycznego do badań jakościowych w ramach wykonywania przez Państwową Inspekcję Farmaceutyczną nadzoru nad jakością, obrotem i pośrednictwem w obrocie produktami leczniczymi (art. 108 ust. 1 pkt 2 i ust. 4 pkt 5 </w:t>
      </w:r>
      <w:r w:rsidRPr="00C51F26">
        <w:t>ustawy Prawo farmaceutyczne</w:t>
      </w:r>
      <w:r>
        <w:t xml:space="preserve">). </w:t>
      </w:r>
    </w:p>
    <w:p w14:paraId="0983E5A3" w14:textId="0DD820C2" w:rsidR="00185BE9" w:rsidRDefault="00185BE9" w:rsidP="00F85D6D">
      <w:pPr>
        <w:pStyle w:val="NIEARTTEKSTtekstnieartykuowanynppodstprawnarozplubpreambua"/>
        <w:spacing w:before="0" w:after="120"/>
      </w:pPr>
      <w:r>
        <w:t xml:space="preserve">Zgodnie z art. 40a ustawy o przeciwdziałaniu narkomanii NIL prowadzący badania produktów leczniczych jest traktowany jak każdy inny przedsiębiorca i musi każdorazowo ubiegać się o uzyskanie </w:t>
      </w:r>
      <w:r w:rsidR="003C7EC4">
        <w:t xml:space="preserve">zezwolenia </w:t>
      </w:r>
      <w:r>
        <w:t xml:space="preserve">wydawanego przez Prezesa Biura do spraw Substancji Chemicznych na podjęcie działalności w zakresie wytwarzania, przetwarzania, przerabiania, przywozu, wywozu, wewnątrzwspólnotowej dostawy lub wewnątrzwspólnotowego nabycia oraz wprowadzenia do obrotu substancji z grupy nowych substancji psychoaktywnych. </w:t>
      </w:r>
    </w:p>
    <w:p w14:paraId="240D5DAE" w14:textId="4404FF5C" w:rsidR="00185BE9" w:rsidRDefault="00185BE9" w:rsidP="00F85D6D">
      <w:pPr>
        <w:pStyle w:val="NIEARTTEKSTtekstnieartykuowanynppodstprawnarozplubpreambua"/>
        <w:spacing w:before="0" w:after="120"/>
      </w:pPr>
      <w:r>
        <w:t xml:space="preserve">NIL, prowadząc na zlecenie Głównego Inspektora Farmaceutycznego czy Głównego Lekarza Weterynarii badania jakościowe produktów leczniczych pobranych z rynku, spotyka się z dużym problemem pozyskania wzorców, które spełniają definicję generyczną nowych substancji psychoaktywnych, co często stanowi przyczynę opóźnienia lub braku możliwości wykonania tych badań, a w konsekwencji nieprzeprowadzenia badań może stanowić zagrożenie dla życia lub zdrowia. </w:t>
      </w:r>
    </w:p>
    <w:p w14:paraId="2FCFB048" w14:textId="0223F3B3" w:rsidR="00185BE9" w:rsidRDefault="00185BE9" w:rsidP="00F85D6D">
      <w:pPr>
        <w:pStyle w:val="NIEARTTEKSTtekstnieartykuowanynppodstprawnarozplubpreambua"/>
        <w:spacing w:before="0" w:after="120"/>
      </w:pPr>
      <w:r>
        <w:t xml:space="preserve">Powyższe daje asumpt do nadania NIL uprawnienia do posiadania, przetwarzania, przerabiania, przechowywania oraz nabywania środków, substancji i preparatów, o których mowa w </w:t>
      </w:r>
      <w:r w:rsidR="00CE4AB6">
        <w:t xml:space="preserve">art. </w:t>
      </w:r>
      <w:r>
        <w:t>24 ust. 2 ustawy o przeciwdziałaniu narkomanii w zakresie wykonywania zadań Państwowego Laboratorium Kontroli Produktów Leczniczych w pełnym zakresie badań w odniesieniu do wszystkich kategorii substancji czynnych, produktów leczniczych i produktów leczniczych weterynaryjnych, materiałów wyjściowych i produktów pośrednich lub innych składników produktu leczniczego lub produktu leczniczego weterynaryjnego, w ilości niezbędnej do przeprowadzenia tych badań.</w:t>
      </w:r>
    </w:p>
    <w:p w14:paraId="4DAA8C5A" w14:textId="77777777" w:rsidR="00185BE9" w:rsidRPr="00F642B7" w:rsidRDefault="00185BE9" w:rsidP="00F85D6D">
      <w:pPr>
        <w:pStyle w:val="NIEARTTEKSTtekstnieartykuowanynppodstprawnarozplubpreambua"/>
        <w:spacing w:before="0" w:after="120"/>
      </w:pPr>
      <w:r>
        <w:t xml:space="preserve">Mając na uwadze powyższe, art. 24 ustawy o przeciwdziałaniu narkomanii został odpowiednio uzupełniony o regulację dotyczącą NIL. W konsekwencji dodania w art. 24 </w:t>
      </w:r>
      <w:r>
        <w:lastRenderedPageBreak/>
        <w:t>ustawy o przeciwdziałaniu narkomanii nowych ust. 4a i 4b dokonano odpowiedniej zmiany w art. 24</w:t>
      </w:r>
      <w:r w:rsidRPr="00E34C44">
        <w:rPr>
          <w:rStyle w:val="IGindeksgrny"/>
        </w:rPr>
        <w:t>1</w:t>
      </w:r>
      <w:r>
        <w:rPr>
          <w:rStyle w:val="IGindeksgrny"/>
        </w:rPr>
        <w:t xml:space="preserve"> </w:t>
      </w:r>
      <w:r>
        <w:t>przez uwzględnienie nowych podmiotów (art. 1 pkt 4).</w:t>
      </w:r>
    </w:p>
    <w:p w14:paraId="22D73C80" w14:textId="77777777" w:rsidR="00185BE9" w:rsidRDefault="00185BE9" w:rsidP="00F85D6D">
      <w:pPr>
        <w:pStyle w:val="NIEARTTEKSTtekstnieartykuowanynppodstprawnarozplubpreambua"/>
        <w:spacing w:before="0" w:after="120"/>
      </w:pPr>
      <w:bookmarkStart w:id="6" w:name="_Hlk158716232"/>
      <w:bookmarkEnd w:id="0"/>
      <w:r>
        <w:t>Celem zmian wprowadzonych w art. 1 pkt 8, 10, 11 i 12 projektu ustawy jest umożliwienie świadczenia usług opieki zdrowotnej osobom poszkodowanym w wyniku klęsk żywiołowych lub katastrof przez działania podejmowane przez medyczne zespoły ratunkowe w ramach międzynarodowych mechanizmów koordynujących niesienie pomocy.</w:t>
      </w:r>
    </w:p>
    <w:p w14:paraId="3638D23E" w14:textId="77777777" w:rsidR="00185BE9" w:rsidRDefault="00185BE9" w:rsidP="00F85D6D">
      <w:pPr>
        <w:pStyle w:val="NIEARTTEKSTtekstnieartykuowanynppodstprawnarozplubpreambua"/>
        <w:spacing w:before="0" w:after="120"/>
      </w:pPr>
      <w:r>
        <w:t xml:space="preserve">Świadczenie pomocy medycznej w ramach międzynarodowych mechanizmów niesienia pomocy osobom poszkodowanym w wyniku klęsk żywiołowych lub katastrof wymaga zorganizowania medycznych zespołów ratunkowych spełniających określone warunki dotyczące udziału w nich osób odpowiednio przygotowanych do świadczenia pomocy, posiadających odpowiednią infrastrukturę i narzędzia, a także wdrożenia odpowiednich procedur. Międzynarodowe wymogi dotyczą również wyposażenia zespołów ratunkowych w niezbędne produkty lecznicze, w tym produkty lecznicze będące środkami odurzającymi, substancjami psychotropowymi lub prekursorami. </w:t>
      </w:r>
      <w:bookmarkStart w:id="7" w:name="_Hlk158717492"/>
      <w:r>
        <w:t xml:space="preserve">Obecne regulacje prawne w zakresie obrotu produktami leczniczymi określone w ustawie Prawo farmaceutyczne oraz ustawie o przeciwdziałaniu narkomanii stanowią jednak barierę dla wykorzystania produktów leczniczych w działaniach pomocowych realizowanych przez zespoły medyczne, w szczególności w zakresie wywozu silnie znieczulających </w:t>
      </w:r>
      <w:r w:rsidRPr="0005541D">
        <w:t>produkt</w:t>
      </w:r>
      <w:r>
        <w:t>ów</w:t>
      </w:r>
      <w:r w:rsidRPr="0005541D">
        <w:t xml:space="preserve"> leczniczy</w:t>
      </w:r>
      <w:r>
        <w:t>ch niezbędnych do zapewnienia minimalnych standardów opieki. Projektowana zmiana ustawy ma na celu usunięcie tych barier</w:t>
      </w:r>
      <w:bookmarkEnd w:id="7"/>
      <w:r>
        <w:t>. Przewiduje ona możliwość obrotu (przyjmowanie i wydawanie, w tym przywóz z zagranicy i wywóz za granicę) produktami leczniczymi, w tym zawierającymi w swym składzie środki odurzające, substancje psychotropowe lub prekursory, przez medyczne zespoły ratunkowe w celu:</w:t>
      </w:r>
    </w:p>
    <w:p w14:paraId="3CE662E6" w14:textId="77777777" w:rsidR="00185BE9" w:rsidRDefault="00185BE9" w:rsidP="00F85D6D">
      <w:pPr>
        <w:pStyle w:val="PKTpunkt"/>
        <w:spacing w:after="120"/>
      </w:pPr>
      <w:r>
        <w:t>1)</w:t>
      </w:r>
      <w:r>
        <w:tab/>
        <w:t>udzielania świadczeń opieki zdrowotnej osobie poszkodowanej w wyniku klęski żywiołowej lub katastrofy, w ramach działań ratowniczych koordynowanych przez Organizację Narodów Zjednoczonych lub Światową Organizację Zdrowia;</w:t>
      </w:r>
    </w:p>
    <w:p w14:paraId="6D6CEB3E" w14:textId="77777777" w:rsidR="00185BE9" w:rsidRDefault="00185BE9" w:rsidP="00F85D6D">
      <w:pPr>
        <w:pStyle w:val="PKTpunkt"/>
        <w:spacing w:after="120"/>
      </w:pPr>
      <w:r>
        <w:t>2)</w:t>
      </w:r>
      <w:r>
        <w:tab/>
        <w:t>zastosowania w ramach Unijnego Mechanizmu Ochrony Ludności, ustanowionego decyzją Parlamentu Europejskiego i Rady nr 1313/2013/UE z dnia 17 grudnia 2013 r. w sprawie Unijnego Mechanizmu Ochrony Ludności (</w:t>
      </w:r>
      <w:r w:rsidRPr="000546A7">
        <w:t>Dz. Urz. UE L 347 z 20.12.2013, str. 924</w:t>
      </w:r>
      <w:r>
        <w:t>, z późn. zm.).</w:t>
      </w:r>
    </w:p>
    <w:p w14:paraId="068993A0" w14:textId="327A14D2" w:rsidR="00185BE9" w:rsidRDefault="00185BE9" w:rsidP="00F85D6D">
      <w:pPr>
        <w:pStyle w:val="NIEARTTEKSTtekstnieartykuowanynppodstprawnarozplubpreambua"/>
        <w:spacing w:before="0" w:after="120"/>
      </w:pPr>
      <w:bookmarkStart w:id="8" w:name="_Hlk158717552"/>
      <w:r>
        <w:t xml:space="preserve">Obecnie jedynym w kraju zespołem medycznym certyfikowanym przez Światową Organizację Zdrowia oraz zgłoszonym do puli dobrowolnej Unijnego Mechanizmu Ochrony </w:t>
      </w:r>
      <w:r>
        <w:lastRenderedPageBreak/>
        <w:t xml:space="preserve">Ludności jest medyczny zespół ratunkowy prowadzony przez Fundację Polskie Centrum Pomocy Międzynarodowej (PCPM), </w:t>
      </w:r>
      <w:r w:rsidR="003C7EC4">
        <w:t xml:space="preserve">będącą </w:t>
      </w:r>
      <w:r>
        <w:t xml:space="preserve">organizacją pozarządową. Zespół ten jest zdolny do wyjazdu do strefy dotkniętej klęskami żywiołowymi (np. trzęsieniem ziemi) lub kryzysami humanitarnymi w ciągu 24 godzin. W jego skład wchodzi ponad 120 lekarzy, ratowników medycznych, pielęgniarek, ratowników Górskiego Ochotniczego Pogotowia Ratunkowego i wspierających ich specjalistów od pomocy humanitarnej, którzy realizują misje pod auspicjami </w:t>
      </w:r>
      <w:r w:rsidRPr="00BD4939">
        <w:t>Światowej Organizacji Zdrowia (WHO)</w:t>
      </w:r>
      <w:r>
        <w:t xml:space="preserve"> lub Unii Europejskiej. Potencjał ludzki, którym dysponuje zespół, posiadana infrastruktura (wyposażenie w sprzęt medyczny, namioty szpitalne, zapasy materiałów medycznych, żywności oraz autonomiczne systemy oczyszczania wody i produkcji energii elektrycznej), która częściowo została sfinansowana ze środków publicznych (dotacja z Kancelarii Prezesa Rady Ministrów w 2018 r.), a także wdrożone procedury sprawiły, iż zespół ratunkowy działający w ramach PCPM uzyskał certyfikację WHO. Jest to tym samym 27. na świecie zespół ratunkowy, w tym 7. prowadzony przez organizację pozarządową, klasyfikowany i spełniający standardy określone przez WHO, co jest potwierdzone dokumentem podpisanym przez Dyrektora Generalnego WHO. Certyfikacja ta ma jednak charakter warunkowy, gdyż PCPM musi przedstawić na potrzeby WHO potwierdzenie, iż nie ma przeszkód prawnych, aby medyczny zespół ratunkowy uczestniczący w akcjach ratunkowych mógł dysponować określonymi środkami znieczulającymi i innymi substancjami kontrolowanymi, wymaganymi przez WHO i potrzebnymi m.in. w transporcie rannych do szpitala</w:t>
      </w:r>
      <w:bookmarkEnd w:id="8"/>
      <w:r>
        <w:t xml:space="preserve">. Działając w ramach systemu WHO, medyczny zespół ratunkowy bez dostępu do substancji kontrolowanych może nie być dopuszczony do działań w strefach klęsk żywiołowych, gdzie takie </w:t>
      </w:r>
      <w:r w:rsidRPr="0005541D">
        <w:t>produkt</w:t>
      </w:r>
      <w:r>
        <w:t>y</w:t>
      </w:r>
      <w:r w:rsidRPr="0005541D">
        <w:t xml:space="preserve"> lecznicz</w:t>
      </w:r>
      <w:r>
        <w:t>e są szczególnie potrzebne, co może uniemożliwić stronie polskiej niesienia pomocy ofiarom trzęsień ziemi i innych kataklizmów poza kraja</w:t>
      </w:r>
      <w:r w:rsidR="009779A0">
        <w:t>mi</w:t>
      </w:r>
      <w:r>
        <w:t xml:space="preserve"> </w:t>
      </w:r>
      <w:r w:rsidRPr="0005541D">
        <w:t>Unii Europejskiej</w:t>
      </w:r>
      <w:r>
        <w:t>. Dodatkowo brak dostępu Medycznego Zespołu Ratunkowego PCPM do legalnego wywozu substancji kontrolowanych uniemożliwia mu otrzymanie pełnej certyfikacji w ramach Unijnego Mechanizmu Ochrony Ludności</w:t>
      </w:r>
      <w:bookmarkEnd w:id="6"/>
      <w:r>
        <w:t>.</w:t>
      </w:r>
    </w:p>
    <w:p w14:paraId="66F11C64" w14:textId="77777777" w:rsidR="00185BE9" w:rsidRDefault="00185BE9" w:rsidP="00F85D6D">
      <w:pPr>
        <w:pStyle w:val="NIEARTTEKSTtekstnieartykuowanynppodstprawnarozplubpreambua"/>
        <w:spacing w:before="0" w:after="120"/>
      </w:pPr>
      <w:r>
        <w:t xml:space="preserve">W latach 2020–2022 Medyczny Zespół Ratunkowy PCPM zrealizował 10 misji medycznych, w tym 8 w odpowiedzi na pandemię COVID-19: wystawił połowę personelu polskiej misji medycznej do Brescii we Włoszech (marzec 2020 r.), działał pod auspicjami WHO w Kirgistanie, Tadżykistanie i Ugandzie oraz dzięki wsparciu </w:t>
      </w:r>
      <w:r w:rsidRPr="0005541D">
        <w:t>Kancelarii Prezesa Rady Ministrów</w:t>
      </w:r>
      <w:r>
        <w:t xml:space="preserve"> w Etiopii i Libanie. W lutym 2022 r. Medyczny Zespół Ratunkowy PCPM został wysłany w ramach Unijnego Mechanizmu Ochrony Ludności do niesienia pomocy medycznej ofiarom cyklonów na Madagaskarze.</w:t>
      </w:r>
    </w:p>
    <w:p w14:paraId="4ADB1C2B" w14:textId="77777777" w:rsidR="00185BE9" w:rsidRDefault="00185BE9" w:rsidP="00F85D6D">
      <w:pPr>
        <w:pStyle w:val="NIEARTTEKSTtekstnieartykuowanynppodstprawnarozplubpreambua"/>
        <w:spacing w:before="0" w:after="120"/>
      </w:pPr>
      <w:r>
        <w:lastRenderedPageBreak/>
        <w:t>Ponadto w projekcie przewidziano możliwość obrotu (przyjmowanie i wydawanie, w tym przywóz z zagranicy i wywóz za granicę) produktami leczniczymi, w tym zawierającymi w swym składzie środki odurzające, substancje psychotropowe lub prekursory, przez medyczne zespoły ratunkowe i Zespół Pomocy Humanitarno-Medycznej.</w:t>
      </w:r>
    </w:p>
    <w:p w14:paraId="52D4706B" w14:textId="360ED1FB" w:rsidR="00185BE9" w:rsidRDefault="00185BE9" w:rsidP="00F85D6D">
      <w:pPr>
        <w:pStyle w:val="NIEARTTEKSTtekstnieartykuowanynppodstprawnarozplubpreambua"/>
        <w:spacing w:before="0" w:after="120"/>
      </w:pPr>
      <w:r>
        <w:t xml:space="preserve">Ze względu na specyfikę działań </w:t>
      </w:r>
      <w:bookmarkStart w:id="9" w:name="_Hlk167796866"/>
      <w:r>
        <w:t xml:space="preserve">Zespołu Pomocy Humanitarno-Medycznej </w:t>
      </w:r>
      <w:bookmarkEnd w:id="9"/>
      <w:r>
        <w:t>polegającą na zapewnieniu natychmiastowej i niezbędnej pomocy osobom w przypadku zagrożenia ich zdrowia lub życia poza granicami naszego kraju (akcje ratunkowo-ewakuacyjn</w:t>
      </w:r>
      <w:r w:rsidR="009779A0">
        <w:t>e</w:t>
      </w:r>
      <w:r>
        <w:t xml:space="preserve"> ofiar wypadków i innych zdarzeń nagłych, wsparcie państw trzecich w działaniach ratunkowych, zabezpieczenie medyczne akcji związanych z zapewnieniem pomocy polskim obywatelom) jest konieczn</w:t>
      </w:r>
      <w:r w:rsidR="009779A0">
        <w:t>e</w:t>
      </w:r>
      <w:r>
        <w:t xml:space="preserve"> wyposażenie Zespołu w niezbędne produkty lecznicze, w tym produkty lecznicze będące środkami odurzającymi, substancjami psychotropowymi lub prekursorami. Celem projektowanych zmian jest zwiększenie efektywności działań </w:t>
      </w:r>
      <w:r w:rsidRPr="005833A0">
        <w:t>Zespołu Pomocy Humanitarno</w:t>
      </w:r>
      <w:r w:rsidR="009779A0">
        <w:noBreakHyphen/>
      </w:r>
      <w:r w:rsidRPr="005833A0">
        <w:t>Medycznej</w:t>
      </w:r>
      <w:r>
        <w:t xml:space="preserve">. </w:t>
      </w:r>
    </w:p>
    <w:p w14:paraId="3AE987B2" w14:textId="0D7B08D4" w:rsidR="00185BE9" w:rsidRDefault="00185BE9" w:rsidP="00F85D6D">
      <w:pPr>
        <w:pStyle w:val="NIEARTTEKSTtekstnieartykuowanynppodstprawnarozplubpreambua"/>
        <w:spacing w:before="0" w:after="120"/>
      </w:pPr>
      <w:r>
        <w:t xml:space="preserve">Analogiczna sytuacja dotyczy </w:t>
      </w:r>
      <w:r w:rsidRPr="00A77CD0">
        <w:t>żołnierza skierowanego do wykonywania zadań poza granicami państwa w celu, o którym mowa w art. 2 pkt 2 lit. b ustawy z dnia 17 grudnia 1998 r. o zasadach użycia lub pobytu Sił Zbrojnych Rzeczypospolitej Polskiej poza granicami państwa (Dz. U.</w:t>
      </w:r>
      <w:r>
        <w:t xml:space="preserve"> </w:t>
      </w:r>
      <w:r w:rsidRPr="00A77CD0">
        <w:t>z 2023 r. poz. 755</w:t>
      </w:r>
      <w:r w:rsidR="009779A0">
        <w:t>, z późn. zm.</w:t>
      </w:r>
      <w:r w:rsidRPr="00A77CD0">
        <w:t>), jak również w celu udziału w akcjach ratowniczych regulowanych przepisami o ratownictwie na morzu lub prowadzonych przez wojskowe lotnicze zespoły poszukiwawczo-ratownicze lub do wykonywania zadań w ramach sił szybkiego reagowania określonych w wiążących Rzeczpospolitą Polską ratyfikowanych umowach międzynarodowych, przekraczających tę granicę w ramach wykonywania swoich obowiązków służbowych wymagających zastosowanie takiego produktu leczniczego.</w:t>
      </w:r>
    </w:p>
    <w:p w14:paraId="2C0794CD" w14:textId="49585EBC" w:rsidR="00185BE9" w:rsidRPr="00D94220" w:rsidRDefault="00185BE9" w:rsidP="00F85D6D">
      <w:pPr>
        <w:pStyle w:val="NIEARTTEKSTtekstnieartykuowanynppodstprawnarozplubpreambua"/>
        <w:spacing w:before="0" w:after="120"/>
      </w:pPr>
      <w:r w:rsidRPr="00D94220">
        <w:t xml:space="preserve">Propozycja brzmienia art. 37 ma na celu zapewnienie możliwości wyposażenia oraz przywozu i wywozu niezbędnych produktów leczniczych przez określone podmioty. Cywilny przywóz, wywóz itp. środków odurzających lub substancji psychotropowych, dokonywany na podstawie pozwolenia właściwego organu przez przedsiębiorców, a uwzględniając projektowaną zmianę także przez Zespół Pomocy Humanitarno-Medycznej, medyczne zespoły ratunkowe oraz grupy ratownicze są regulowane w art. 31 ust. 1 ww. ustawy. Te same czynności dokonywane pod kątem zapewnienia zapasów jednostek organizacyjnych Ministerstwa Obrony Narodowej biorących udział w misjach, ćwiczeniach lub szkoleniach są dokonywane na podstawie przepisu szczególnego (art. 37 ust. 11 ustawy o przeciwdziałaniu narkomanii). Analogiczny charakter jak ww. czynności mają również przywóz, wywóz, wewnątrzwspólnotowa dostawa lub wewnątrzwspólnotowe nabycie dokonywane przez Służbę </w:t>
      </w:r>
      <w:r w:rsidRPr="00D94220">
        <w:lastRenderedPageBreak/>
        <w:t xml:space="preserve">Ochrony Państwa i będą one służyć realizacji zadań ustawowych, zawężonych jednak do zadań związanych z ochroną (vide art. 3 pkt 1 </w:t>
      </w:r>
      <w:bookmarkStart w:id="10" w:name="_Hlk178237108"/>
      <w:r w:rsidRPr="00D94220">
        <w:t xml:space="preserve">ustawy z dnia 8 grudnia 2017 r. o Służbie Ochrony Państwa </w:t>
      </w:r>
      <w:bookmarkEnd w:id="10"/>
      <w:r w:rsidRPr="00D94220">
        <w:t>(Dz. U. z 202</w:t>
      </w:r>
      <w:r>
        <w:t>5</w:t>
      </w:r>
      <w:r w:rsidRPr="00D94220">
        <w:t xml:space="preserve"> r. poz. 3</w:t>
      </w:r>
      <w:r>
        <w:t>4</w:t>
      </w:r>
      <w:r w:rsidR="00B07BFB">
        <w:t>, z późn. zm.</w:t>
      </w:r>
      <w:r w:rsidRPr="00D94220">
        <w:t>)</w:t>
      </w:r>
      <w:r w:rsidR="009C01BB">
        <w:t>)</w:t>
      </w:r>
      <w:r w:rsidRPr="00D94220">
        <w:t xml:space="preserve">, w tym realizowaną w odniesieniu do placówek zagranicznych Rzeczypospolitej Polskiej (vide art. 3 pkt 1 lit. f w zw. z art. 4 ust. 8 ustawy z dnia 8 grudnia 2017 r. o Służbie Ochrony Państwa) oraz osób pełniących najwyższe urzędy państwowe, którym zapewnia się ochronę za granicą. Powyższe uzasadnia ujęcie podstawy prawnej do dokonywania przez Służbę Ochrony Państwa wspomnianych czynności w oddzielnym przepisie, co zapewni możliwość nabycia i wywozu przedmiotowych środków i substancji zarówno dokonywanych w związku z realizacją ustawowych zadań Służby Ochrony Państwa, jak i dokonywanych przez formację w ramach ewentualnej współpracy z Zespołem Pomocy Humanitarno-Medycznej działającym przy Prezesie Rady Ministrów itp. </w:t>
      </w:r>
    </w:p>
    <w:p w14:paraId="39E44DD8" w14:textId="2B42B4B2" w:rsidR="00185BE9" w:rsidRPr="00D94220" w:rsidRDefault="00185BE9" w:rsidP="00F85D6D">
      <w:pPr>
        <w:pStyle w:val="NIEARTTEKSTtekstnieartykuowanynppodstprawnarozplubpreambua"/>
        <w:spacing w:before="0" w:after="120"/>
      </w:pPr>
      <w:r w:rsidRPr="00D94220">
        <w:t xml:space="preserve">W art. 1 pkt </w:t>
      </w:r>
      <w:r>
        <w:t>8</w:t>
      </w:r>
      <w:r w:rsidRPr="00D94220">
        <w:t xml:space="preserve"> lit</w:t>
      </w:r>
      <w:r>
        <w:t>.</w:t>
      </w:r>
      <w:r w:rsidRPr="00D94220">
        <w:t xml:space="preserve"> b dookreślono, że nie wymaga uzyskania pozwolenia Głównego Inspektora Farmaceutycznego przemieszczenie przez granicę państwową produktu leczniczego zawierającego w swoim składzie środek odurzający lub substancję psychotropową znajdującego się w posiadaniu funkcjonariusza Służby Ochrony Państwa, członka Zespołu Pomocy Humanitarno-Medycznej, medycznego zespołu ratunkowego lub grupy ratowniczej. Dodatkowo przepis ten został uzupełniony o żołnierzy skierowanych do pełnienia służby poza granicami państwa jako obserwatorzy wojskowi lub do wykonywania zadań w ramach sił szybkiego reagowania a także żołnierzy Wojsk Specjalnych w toku operacji specjalnych bądź </w:t>
      </w:r>
      <w:proofErr w:type="spellStart"/>
      <w:r w:rsidRPr="00D94220">
        <w:t>przeciwterrorystycznych</w:t>
      </w:r>
      <w:proofErr w:type="spellEnd"/>
      <w:r w:rsidRPr="00D94220">
        <w:t>. Na wypadek bólu spowodowanego powszechnymi na polu walki rozległymi urazami ciała lub w celu łagodzenia objawów i przeciwdziałania skutkom zatrucia bojowymi środkami trującymi warto, aby żołnierze posiadali indywidualne wyposażenie medyczne</w:t>
      </w:r>
      <w:r w:rsidR="002E1F59">
        <w:t>,</w:t>
      </w:r>
      <w:r w:rsidRPr="00D94220">
        <w:t xml:space="preserve"> w skład którego wchodzą produkty lecznicze zawierające w swoim składzie środek odurzający lub substancję psychotropową. Leczenie na polu walki za pomocą tych leków stanowi niezbędny dla ratowania życia etap, który jest następnie kontynuowany przez służby medyczne na kolejnych poziomach zabezpieczenia medycznego.</w:t>
      </w:r>
    </w:p>
    <w:p w14:paraId="068B3B5A" w14:textId="7F103413" w:rsidR="00185BE9" w:rsidRDefault="00185BE9" w:rsidP="00F85D6D">
      <w:pPr>
        <w:pStyle w:val="NIEARTTEKSTtekstnieartykuowanynppodstprawnarozplubpreambua"/>
        <w:spacing w:before="0" w:after="120"/>
      </w:pPr>
      <w:r>
        <w:t xml:space="preserve">Propozycja brzmienia art. 42a ust. 2 ustawy o przeciwdziałaniu narkomanii, która umożliwia wskazanym w tym przepisie podmiotom na nabywanie produktów leczniczych zawierających środki kontrolowane w oparciu o pozwolenie Głównego Inspektora Farmaceutycznego, </w:t>
      </w:r>
      <w:r w:rsidR="003C7EC4" w:rsidRPr="003C7EC4">
        <w:t xml:space="preserve">jest </w:t>
      </w:r>
      <w:r>
        <w:t xml:space="preserve">uzasadniona koniecznością zapewnienia tym podmiotom możliwości nabywania takich produktów leczniczych od uprawnionych dostawców zlokalizowanych poza granicami Rzeczypospolitej Polskiej. Takich dostawców obowiązuje prawo międzynarodowe (przede wszystkim </w:t>
      </w:r>
      <w:r w:rsidR="003C7EC4" w:rsidRPr="00726673">
        <w:t>Konwencj</w:t>
      </w:r>
      <w:r w:rsidR="003C7EC4">
        <w:t>a</w:t>
      </w:r>
      <w:r w:rsidR="003C7EC4" w:rsidRPr="00726673">
        <w:t xml:space="preserve"> </w:t>
      </w:r>
      <w:r w:rsidRPr="00726673">
        <w:t xml:space="preserve">Narodów Zjednoczonych </w:t>
      </w:r>
      <w:r>
        <w:t xml:space="preserve">z dnia 20 grudnia 1988 r. </w:t>
      </w:r>
      <w:r w:rsidRPr="00726673">
        <w:t xml:space="preserve">o zwalczaniu </w:t>
      </w:r>
      <w:r w:rsidRPr="00726673">
        <w:lastRenderedPageBreak/>
        <w:t>nielegalnego obrotu środkami odurzającymi i substancjami psychotropowymi</w:t>
      </w:r>
      <w:r>
        <w:t>), a w przypadku prekursorów narkotykowych również na poziomie przepisów unijnych. W ramach tej harmonizacji każda transakcja międzynarodowa jest objęta dwustronną weryfikacją organów państwowych, w tym koniecznością uzyskania pozwolenia/licencji zarówno w państwie wywozu, jak i przywozu. W polskim systemie prawnym takie pozwolenia/licencje są wydawane na podstawie art. 37 ustawy o przeciwdziałaniu narkomanii. Konieczność uzyskania takiego pozwolenia pojawia się zatem wyłącznie w przypadku transakcji międzynarodowych.</w:t>
      </w:r>
    </w:p>
    <w:p w14:paraId="2670A40B" w14:textId="49A38DB9" w:rsidR="00185BE9" w:rsidRPr="00D94220" w:rsidRDefault="00185BE9" w:rsidP="00F85D6D">
      <w:pPr>
        <w:pStyle w:val="NIEARTTEKSTtekstnieartykuowanynppodstprawnarozplubpreambua"/>
        <w:spacing w:before="0" w:after="120"/>
      </w:pPr>
      <w:r>
        <w:t>Proponuje się</w:t>
      </w:r>
      <w:r w:rsidRPr="00D94220">
        <w:t>, aby wykorzystanie produktów leczniczych zawierających w sw</w:t>
      </w:r>
      <w:r w:rsidR="008A3C85">
        <w:t>oi</w:t>
      </w:r>
      <w:r w:rsidRPr="00D94220">
        <w:t>m składzie substancje kontrolowane odnosiło się do wyznaczonej komórki organizacyjnej. Podmiotem występującym jako strona transakcji nabycia tych substancji, jak również podmiotem raportującym ich wykorzystanie w ramach realizacji swoich zadań ustawowych, będzie zatem komórka organizacyjna. W ramach tych komórek będą natomiast wyznaczeni konkretni funkcjonariusze, których uprawnienia związane z substancjami kontrolowanymi będą ograniczone do posiadania i stosowania tych substancji – w ramach wykonywanych obowiązków. Funkcjonariusze nie będą zatem uprawnieni do nabywania substancji kontrolowanych i będą mogli je uzyskać wyłącznie w ramach swojej komórki organizacyjnej, po uprzednim wyznaczeniu ich przez kierownika tej jednostki. Obowiązek raportowania do Głównego Inspektora Farmaceutycznego jest podyktowany uwarunkowaniami prawa międzynarodowego oraz przepis</w:t>
      </w:r>
      <w:r w:rsidR="008A3C85">
        <w:t>ami</w:t>
      </w:r>
      <w:r w:rsidRPr="00D94220">
        <w:t xml:space="preserve"> prawa unijnego, które nakładają na organ wyznaczony obowiązek raportowania wykorzystania i zużycia substancji kontrolowanych. </w:t>
      </w:r>
      <w:r>
        <w:t>Z</w:t>
      </w:r>
      <w:r w:rsidRPr="00FA202A">
        <w:t>mian</w:t>
      </w:r>
      <w:r>
        <w:t xml:space="preserve">a </w:t>
      </w:r>
      <w:r w:rsidRPr="00FA202A">
        <w:t>brzmienia art. 43 ust. 1</w:t>
      </w:r>
      <w:r>
        <w:t>a</w:t>
      </w:r>
      <w:r w:rsidRPr="00FA202A">
        <w:t xml:space="preserve"> ustawy o przeciwdziałaniu narkomanii</w:t>
      </w:r>
      <w:r>
        <w:t xml:space="preserve"> dotyczy</w:t>
      </w:r>
      <w:r w:rsidRPr="00FA202A">
        <w:t xml:space="preserve"> wyłączeni</w:t>
      </w:r>
      <w:r>
        <w:t xml:space="preserve">a </w:t>
      </w:r>
      <w:r>
        <w:br/>
      </w:r>
      <w:r w:rsidRPr="00FA202A">
        <w:t xml:space="preserve">z obowiązku składania do Głównego Inspektora Farmaceutycznego rocznych sprawozdań </w:t>
      </w:r>
      <w:r>
        <w:br/>
      </w:r>
      <w:r w:rsidRPr="00FA202A">
        <w:t xml:space="preserve">z działalności określonej w zezwoleniu lub pozwoleniu dla produktów podlegających raportowaniu do Zintegrowanego Systemu Monitorowania Obrotu Produktami Leczniczymi przez podmioty, które obligatoryjnie są podłączone do ww. systemu. </w:t>
      </w:r>
      <w:r w:rsidRPr="00D94220">
        <w:t>Ponadto zmiana wprowadzona w projektowanym art. 43 ust. 1</w:t>
      </w:r>
      <w:r>
        <w:t>b</w:t>
      </w:r>
      <w:r w:rsidRPr="00D94220">
        <w:t xml:space="preserve"> ma na celu zapewnienie Wojskowej Inspekcji Farmaceutycznej nadzoru nad wywożonymi przez żołnierzy produktami leczniczymi zawierającymi w swoim składzie środek odurzający lub substancję psychotropową.</w:t>
      </w:r>
    </w:p>
    <w:p w14:paraId="4A520440" w14:textId="2280CE39" w:rsidR="00185BE9" w:rsidRDefault="00185BE9" w:rsidP="00F85D6D">
      <w:pPr>
        <w:pStyle w:val="NIEARTTEKSTtekstnieartykuowanynppodstprawnarozplubpreambua"/>
        <w:spacing w:before="0" w:after="120"/>
      </w:pPr>
      <w:r>
        <w:t xml:space="preserve">W obecnym stanie prawnym, zgodnie z art. 40a ust. 1 </w:t>
      </w:r>
      <w:bookmarkStart w:id="11" w:name="_Hlk184729578"/>
      <w:r>
        <w:t>ustawy o przeciwdziałaniu narkomanii</w:t>
      </w:r>
      <w:bookmarkEnd w:id="11"/>
      <w:r>
        <w:t xml:space="preserve">, prowadzenie przez przedsiębiorcę działalności w zakresie wytwarzania, przetwarzania, przerabiania, przywozu, wywozu, wewnątrzwspólnotowej dostawy lub wewnątrzwspólnotowego nabycia oraz wprowadzenia do obrotu nowej substancji psychoaktywnej wymaga zezwolenia Prezesa Biura do spraw Substancji Chemicznych na tę </w:t>
      </w:r>
      <w:r>
        <w:lastRenderedPageBreak/>
        <w:t>substancję, z wyjątkiem prowadzenia takiej działalności przez jednostki i podmioty, o których mowa w art. 23, art. 24 i art. 24a ustawy o przeciwdziałaniu narkomanii, w zakresie określonym w tych przepisach. Zmiana zawarta w art. 1 pkt 10 lit. a projektowanej ustawy dodaje ust. 1a w art. 40a, w którym wprowadzono zwolnienie dla jednostek organizacyjnych Państwowej Inspekcji Sanitarnej z obowiązku uzyskania zezwolenia, o którym mowa w ust. 1 tego przepisu. Państwowa Inspekcja Sanitarna realizuje zadania wynikające z ustawy z dnia 14 marca 1985 r. o Państwowej Inspekcji Sanitarnej (Dz. U. z 2024 r. poz. 416), w tym prowadzi operacje z wykorzystaniem nowych substancji psychoaktywnych zgodnie z zakresem działań przyznanych jej w wyżej wymienionych przepisach w obszarze zapobiegania negatywnym wpływom czynników i zjawisk fizycznych, chemicznych i biologicznych na zdrowie ludzi. Ponadto do obowiązków Państwowej Inspekcji Sanitarnej</w:t>
      </w:r>
      <w:r w:rsidR="008A3C85">
        <w:t>,</w:t>
      </w:r>
      <w:r>
        <w:t xml:space="preserve"> zgodnie z art. 4 ust. 2 pkt 1a ustawy</w:t>
      </w:r>
      <w:r w:rsidRPr="00BD4939">
        <w:t xml:space="preserve"> z dnia 14 marca 1985 r. </w:t>
      </w:r>
      <w:r>
        <w:t>o Państwowej Inspekcji Sanitarnej</w:t>
      </w:r>
      <w:r w:rsidR="008A3C85">
        <w:t>,</w:t>
      </w:r>
      <w:r>
        <w:t xml:space="preserve"> należy kontrola przestrzegania przepisów określających wymagania higieniczne i zdrowotne dotyczące kontroli przestrzegania przepisów ustawy o przeciwdziałaniu narkomanii, w tym kontroli prowadzenia przez przedsiębiorców działalności w zakresie wytwarzania, przetwarzania, przerabiania, przywozu, wywozu, wewnątrzwspólnotowej dostawy lub wewnątrzwspólnotowego nabycia oraz wprowadzania do obrotu nowej substancji psychoaktywnej, w tym w postaci mieszaniny lub w wyrobie. Mając na uwadze zakres działań podejmowanych przez inspekcję sanitarną w obszarze nowych substancji psychoaktywnych</w:t>
      </w:r>
      <w:r w:rsidR="008A3C85">
        <w:t>,</w:t>
      </w:r>
      <w:r>
        <w:t xml:space="preserve"> zaproponowane zwolnienie z obowiązku uzyskania zezwolenia jest uzasadnione. </w:t>
      </w:r>
    </w:p>
    <w:p w14:paraId="4779E550" w14:textId="7A879D1F" w:rsidR="00185BE9" w:rsidRPr="00D94220" w:rsidRDefault="00185BE9" w:rsidP="00F85D6D">
      <w:pPr>
        <w:pStyle w:val="NIEARTTEKSTtekstnieartykuowanynppodstprawnarozplubpreambua"/>
        <w:spacing w:before="0" w:after="120"/>
      </w:pPr>
      <w:r>
        <w:t xml:space="preserve">W </w:t>
      </w:r>
      <w:r w:rsidRPr="00D94220">
        <w:t>ustawie o przeciwdziałaniu narkomanii istnieje rozbieżność między treścią art. 40a ust. 1 i ust. 7 w zakresie oznaczenia Prezesa Biura do spraw Substancji Chemicznych jako organu właściwego dla wydawania zezwoleń na prowadzenie działalności przez przedsiębiorcę w zakresie wytwarzania, przetwarzania, przerabiania, przywozu, wywozu, wewnątrzwspólnotowej dostawy lub wewnątrzwspólnotowego nabycia oraz wprowadzenia do obrotu nowej substancji psychoaktywnej. Niespójność w zakresie określenia organu właściwego wynika z faktu, że ustawa z dnia 19 lipca 2019 r. o zmianie ustawy – Kodeks spółek handlowych oraz niektórych innych ustaw (Dz. U. poz. 1655</w:t>
      </w:r>
      <w:r w:rsidR="00473FC7">
        <w:t>, z późn. zm.</w:t>
      </w:r>
      <w:r w:rsidRPr="00D94220">
        <w:t>) wprowadziła zmiany w art. 40a ust. 7 dotyczące prostej spółki akcyjnej. Ustawa ta miała prawie dwuletni</w:t>
      </w:r>
      <w:r>
        <w:t>ą</w:t>
      </w:r>
      <w:r w:rsidRPr="00D94220">
        <w:t xml:space="preserve"> </w:t>
      </w:r>
      <w:r w:rsidRPr="00F85D6D">
        <w:rPr>
          <w:i/>
          <w:iCs/>
        </w:rPr>
        <w:t>vacatio legis</w:t>
      </w:r>
      <w:r w:rsidR="00473FC7" w:rsidRPr="00F85D6D">
        <w:t>,</w:t>
      </w:r>
      <w:r w:rsidRPr="00D94220">
        <w:t xml:space="preserve"> tj. do dnia 1 lipca 2021 r. W okresie te</w:t>
      </w:r>
      <w:r w:rsidR="00473FC7">
        <w:t>j</w:t>
      </w:r>
      <w:r w:rsidRPr="00D94220">
        <w:t xml:space="preserve"> </w:t>
      </w:r>
      <w:r w:rsidRPr="00F85D6D">
        <w:rPr>
          <w:i/>
          <w:iCs/>
        </w:rPr>
        <w:t>vacatio legis</w:t>
      </w:r>
      <w:r w:rsidRPr="00D94220">
        <w:t xml:space="preserve"> ustawą z dnia 28 maja 2020 r. o zmianie ustawy o substancjach chemicznych i ich mieszaninach oraz niektórych innych ustaw (Dz. U. poz. 1337), dokonano zmiany nazwy organu administracji z Inspektora do spraw Substancji Chemicznych na Prezesa Biura do spraw Substancji Chemicznych. Zmiana ta weszła </w:t>
      </w:r>
      <w:r w:rsidRPr="00D94220">
        <w:lastRenderedPageBreak/>
        <w:t>w życie w dniu 19 sierpnia 2020 r.</w:t>
      </w:r>
      <w:r w:rsidR="00473FC7">
        <w:t>,</w:t>
      </w:r>
      <w:r w:rsidRPr="00D94220">
        <w:t xml:space="preserve"> tj. jeszcze w okresie </w:t>
      </w:r>
      <w:r w:rsidRPr="00F85D6D">
        <w:rPr>
          <w:i/>
          <w:iCs/>
        </w:rPr>
        <w:t>vacatio legis</w:t>
      </w:r>
      <w:r w:rsidRPr="00D94220">
        <w:t xml:space="preserve"> ustawy z dnia 19 lipca 2019 r. o zmianie ustawy – Kodeks spółek handlowych oraz niektórych innych ustaw</w:t>
      </w:r>
      <w:r w:rsidR="00433A97">
        <w:t>,</w:t>
      </w:r>
      <w:r w:rsidRPr="00D94220">
        <w:t xml:space="preserve"> wobec czego art. 40a ust. 7 wskazywał jako organ właściwy Prezesa Biura do spraw Substancji Chemicznych. Ten stan prawny obowiązywał do dnia 1 lipca 2021 r., kiedy to zaczęła obowiązywać ustawa z dnia 19 lipca 2019 r. o zmianie ustawy – Kodeks spółek handlowych oraz niektórych innych ustaw odwołująca się do poprzedniej nazwy organu. Dlatego obecnie art. 40a ust. 7 zawiera nieaktualną nazwę organu właściwego, co wymaga zmiany w niniejszej ustawie.</w:t>
      </w:r>
    </w:p>
    <w:p w14:paraId="2A5F14A4" w14:textId="77777777" w:rsidR="00185BE9" w:rsidRDefault="00185BE9" w:rsidP="00F85D6D">
      <w:pPr>
        <w:pStyle w:val="NIEARTTEKSTtekstnieartykuowanynppodstprawnarozplubpreambua"/>
        <w:spacing w:before="0" w:after="120"/>
      </w:pPr>
      <w:r>
        <w:t>Projektowany art. 4</w:t>
      </w:r>
      <w:r w:rsidRPr="00D94220">
        <w:t>0a ust. 1</w:t>
      </w:r>
      <w:r>
        <w:t>b</w:t>
      </w:r>
      <w:r w:rsidRPr="00D94220">
        <w:t xml:space="preserve"> ma na celu wyeliminowanie obciążenia administracyjnego dla przedsiębiorców, którzy w aktualnym stanie prawnym na prowadzenie działalności z wykorzystaniem nowych substancji psychoaktywnych będącymi jednocześnie prekursor</w:t>
      </w:r>
      <w:r>
        <w:t>ami</w:t>
      </w:r>
      <w:r w:rsidRPr="00D94220">
        <w:t xml:space="preserve"> kategorii 1 musieli uzyskać zarówno zezwolenie wydawane przez Głównego Inspektora Farmaceutycznego jak i Prezesa Biura do spraw Substancji Chemicznych. Dotyczy to substancji </w:t>
      </w:r>
      <w:r>
        <w:t xml:space="preserve">tj. </w:t>
      </w:r>
      <w:r w:rsidRPr="00D94220">
        <w:t xml:space="preserve">pseudoefedryna, efedryna, </w:t>
      </w:r>
      <w:proofErr w:type="spellStart"/>
      <w:r w:rsidRPr="00D94220">
        <w:t>norefedryna</w:t>
      </w:r>
      <w:proofErr w:type="spellEnd"/>
      <w:r w:rsidRPr="00D94220">
        <w:t xml:space="preserve"> i ich sol</w:t>
      </w:r>
      <w:r>
        <w:t>e</w:t>
      </w:r>
      <w:r w:rsidRPr="00D94220">
        <w:t xml:space="preserve">. Projektowany przepis dereguluje istniejący obowiązek uzyskania zezwolenia od Prezesa </w:t>
      </w:r>
      <w:r>
        <w:t xml:space="preserve">Biura </w:t>
      </w:r>
      <w:r w:rsidRPr="00D94220">
        <w:t>do spraw Substancji Chemicznych.</w:t>
      </w:r>
    </w:p>
    <w:p w14:paraId="1CA7A49B" w14:textId="220CE3CA" w:rsidR="00185BE9" w:rsidRPr="00117C98" w:rsidRDefault="00185BE9" w:rsidP="00F85D6D">
      <w:pPr>
        <w:pStyle w:val="ARTartustawynprozporzdzenia"/>
        <w:spacing w:before="0" w:after="120"/>
      </w:pPr>
      <w:r>
        <w:t>W</w:t>
      </w:r>
      <w:r w:rsidRPr="00117C98">
        <w:t xml:space="preserve"> przepisach karnych przedmiotowej ustawy </w:t>
      </w:r>
      <w:r>
        <w:t xml:space="preserve">proponuje się ująć </w:t>
      </w:r>
      <w:r w:rsidRPr="00117C98">
        <w:t>karalnoś</w:t>
      </w:r>
      <w:r>
        <w:t xml:space="preserve">ć </w:t>
      </w:r>
      <w:r w:rsidRPr="00117C98">
        <w:t>przygotowania do przestępstwa określonego w art. 53 ust. 2 (wytwarzani</w:t>
      </w:r>
      <w:r>
        <w:t>e</w:t>
      </w:r>
      <w:r w:rsidRPr="00117C98">
        <w:t>, przetwarzani</w:t>
      </w:r>
      <w:r>
        <w:t>e</w:t>
      </w:r>
      <w:r w:rsidRPr="00117C98">
        <w:t xml:space="preserve"> albo przerabiani</w:t>
      </w:r>
      <w:r>
        <w:t>e</w:t>
      </w:r>
      <w:r w:rsidRPr="00117C98">
        <w:t xml:space="preserve"> znacznych ilości środków odurzających, substancji psychotropowych lub nowych substancji psychoaktywnych). Należy zauważyć, że w ostatnich latach z każdym rokiem zwiększa się ilość zabezpieczanych przez funkcjonariuszy Policji narkotyków w postaci środków odurzających, substancji psychotropowych oraz nowych substancji psychoaktywnych, z których najliczniejszą grupę stanowią narkotyki syntetyczne wyprodukowane w nielegalnych laboratoriach. Nielegalna produkcja narkotyków syntetycznych jest jednym z głównych problemów przestępczości narkotykowej w Europie. Od lat dziewięćdziesiątych narkotyki syntetyczne wytwarza się również w nielegalnych laboratoriach na ter</w:t>
      </w:r>
      <w:r>
        <w:t xml:space="preserve">ytorium Rzeczypospolitej </w:t>
      </w:r>
      <w:r w:rsidRPr="00117C98">
        <w:t>Polski</w:t>
      </w:r>
      <w:r>
        <w:t>ej</w:t>
      </w:r>
      <w:r w:rsidRPr="00117C98">
        <w:t>. Nielegalna produkcja narkotyków syntetycznych w</w:t>
      </w:r>
      <w:r>
        <w:t xml:space="preserve"> kraju</w:t>
      </w:r>
      <w:r w:rsidRPr="00117C98">
        <w:t xml:space="preserve"> narasta i staje się coraz większym problemem. W ostatnich latach na terenie </w:t>
      </w:r>
      <w:r>
        <w:t xml:space="preserve">naszego państwa </w:t>
      </w:r>
      <w:r w:rsidRPr="00117C98">
        <w:t>likwiduje się rekordowe ilości nielegalnych laboratoriów narkotykowych i jest zauważalna wyraźna tendencja wzrostowa. Podczas gdy do 2016 r</w:t>
      </w:r>
      <w:r>
        <w:t xml:space="preserve">. </w:t>
      </w:r>
      <w:r w:rsidRPr="00117C98">
        <w:t>liczba zlikwidowanych laboratoriów nie przekraczała 20 rocznie, to w 2024 r</w:t>
      </w:r>
      <w:r>
        <w:t>.</w:t>
      </w:r>
      <w:r w:rsidRPr="00117C98">
        <w:t xml:space="preserve"> zlikwidowano ich 85</w:t>
      </w:r>
      <w:r w:rsidR="00D32B18">
        <w:t>,</w:t>
      </w:r>
      <w:r w:rsidRPr="00117C98">
        <w:t xml:space="preserve"> co stanowi dotychczas rekordową liczbę (w 2023</w:t>
      </w:r>
      <w:r>
        <w:t xml:space="preserve"> r.</w:t>
      </w:r>
      <w:r w:rsidRPr="00117C98">
        <w:t xml:space="preserve"> zlikwidowano 83 laboratoria, w 2022 r</w:t>
      </w:r>
      <w:r>
        <w:t>.</w:t>
      </w:r>
      <w:r w:rsidRPr="00DF7349">
        <w:t xml:space="preserve"> –</w:t>
      </w:r>
      <w:r>
        <w:t xml:space="preserve"> </w:t>
      </w:r>
      <w:r w:rsidRPr="00117C98">
        <w:t>62</w:t>
      </w:r>
      <w:r>
        <w:t xml:space="preserve">, </w:t>
      </w:r>
      <w:r w:rsidRPr="00117C98">
        <w:t>a w 2021 r</w:t>
      </w:r>
      <w:r>
        <w:t>.</w:t>
      </w:r>
      <w:r w:rsidRPr="00DF7349">
        <w:t xml:space="preserve"> –</w:t>
      </w:r>
      <w:r>
        <w:t xml:space="preserve"> </w:t>
      </w:r>
      <w:r w:rsidRPr="00117C98">
        <w:t xml:space="preserve">57). Zmienia się również specyfika produkcji, kiedyś w Polsce najczęściej produkowano amfetaminę, natomiast w ostatnich latach </w:t>
      </w:r>
      <w:r w:rsidRPr="00117C98">
        <w:lastRenderedPageBreak/>
        <w:t xml:space="preserve">na terenie </w:t>
      </w:r>
      <w:r>
        <w:t xml:space="preserve">naszego kraju </w:t>
      </w:r>
      <w:r w:rsidRPr="00117C98">
        <w:t xml:space="preserve">wzrasta </w:t>
      </w:r>
      <w:r w:rsidR="00D32B18">
        <w:t>liczba</w:t>
      </w:r>
      <w:r w:rsidRPr="00117C98">
        <w:t xml:space="preserve"> ujawnianych nielegalnych miejsc produkcji </w:t>
      </w:r>
      <w:proofErr w:type="spellStart"/>
      <w:r w:rsidRPr="00117C98">
        <w:t>katynonów</w:t>
      </w:r>
      <w:proofErr w:type="spellEnd"/>
      <w:r w:rsidR="003C7EC4">
        <w:t>, które</w:t>
      </w:r>
      <w:r w:rsidRPr="00117C98">
        <w:t xml:space="preserve"> </w:t>
      </w:r>
      <w:r w:rsidR="003C7EC4" w:rsidRPr="00117C98">
        <w:t>sta</w:t>
      </w:r>
      <w:r w:rsidR="003C7EC4">
        <w:t>ły</w:t>
      </w:r>
      <w:r w:rsidR="003C7EC4" w:rsidRPr="00117C98">
        <w:t xml:space="preserve"> </w:t>
      </w:r>
      <w:r w:rsidRPr="00117C98">
        <w:t>się od 2023 r</w:t>
      </w:r>
      <w:r>
        <w:t>.</w:t>
      </w:r>
      <w:r w:rsidRPr="00117C98">
        <w:t xml:space="preserve"> grupą najczęściej produkowanych narkotyków. Wzrost liczby nielegalnych laboratoriów narkotykowych powoduje, iż pochodne </w:t>
      </w:r>
      <w:proofErr w:type="spellStart"/>
      <w:r w:rsidRPr="00117C98">
        <w:t>katynonu</w:t>
      </w:r>
      <w:proofErr w:type="spellEnd"/>
      <w:r w:rsidRPr="00117C98">
        <w:t xml:space="preserve"> dominują rynek narkotyków w naszym kraju. W 2021 </w:t>
      </w:r>
      <w:r>
        <w:t xml:space="preserve">r. </w:t>
      </w:r>
      <w:r w:rsidRPr="00117C98">
        <w:t xml:space="preserve">Policja skonfiskowała łącznie 1827 kg </w:t>
      </w:r>
      <w:proofErr w:type="spellStart"/>
      <w:r w:rsidRPr="00117C98">
        <w:t>mefedronu</w:t>
      </w:r>
      <w:proofErr w:type="spellEnd"/>
      <w:r w:rsidRPr="00117C98">
        <w:t xml:space="preserve">, </w:t>
      </w:r>
      <w:proofErr w:type="spellStart"/>
      <w:r w:rsidRPr="00117C98">
        <w:t>klefedronu</w:t>
      </w:r>
      <w:proofErr w:type="spellEnd"/>
      <w:r w:rsidRPr="00117C98">
        <w:t xml:space="preserve"> i </w:t>
      </w:r>
      <w:proofErr w:type="spellStart"/>
      <w:r w:rsidRPr="00117C98">
        <w:t>klofedronu</w:t>
      </w:r>
      <w:proofErr w:type="spellEnd"/>
      <w:r w:rsidRPr="00117C98">
        <w:t>. W latach 2022, 2023 i 2024 skonfiskowano tych substancji odpowiednio 5837,4 kg, 12 189,5 kg i 18 362 kg.</w:t>
      </w:r>
      <w:r w:rsidR="009A4155">
        <w:t xml:space="preserve"> </w:t>
      </w:r>
      <w:r w:rsidRPr="00117C98">
        <w:t xml:space="preserve">Jednym z głównych powodów tak znacznego wzrostu produkcji </w:t>
      </w:r>
      <w:proofErr w:type="spellStart"/>
      <w:r w:rsidRPr="00117C98">
        <w:t>katynonów</w:t>
      </w:r>
      <w:proofErr w:type="spellEnd"/>
      <w:r w:rsidRPr="00117C98">
        <w:t xml:space="preserve"> w </w:t>
      </w:r>
      <w:r>
        <w:t xml:space="preserve">Rzeczypospolitej </w:t>
      </w:r>
      <w:r w:rsidRPr="00117C98">
        <w:t>Pols</w:t>
      </w:r>
      <w:r>
        <w:t>kiej</w:t>
      </w:r>
      <w:r w:rsidRPr="00117C98">
        <w:t xml:space="preserve"> jest fakt, że do ich wytwarzania nie jest wymagane zastosowanie prekursorów kategorii 1 i 2, których obrót na terenie </w:t>
      </w:r>
      <w:r w:rsidRPr="00512E25">
        <w:t>Unii Europejskiej</w:t>
      </w:r>
      <w:r w:rsidRPr="00117C98">
        <w:t xml:space="preserve"> jest kontrolowany przepisami, w tym karnymi w ustawie o przeciwdziałaniu narkomanii. Co się z tym wiąże, działanie polegające na przygotowaniu do produkcji narkotyków w postaci </w:t>
      </w:r>
      <w:proofErr w:type="spellStart"/>
      <w:r w:rsidRPr="00117C98">
        <w:t>katynonów</w:t>
      </w:r>
      <w:proofErr w:type="spellEnd"/>
      <w:r w:rsidRPr="00117C98">
        <w:t xml:space="preserve">, przez gromadzenie wszystkich niezbędnych chemikaliów do ich wytwarzania pozostaje w </w:t>
      </w:r>
      <w:r>
        <w:t xml:space="preserve">Rzeczypospolitej </w:t>
      </w:r>
      <w:r w:rsidRPr="00117C98">
        <w:t>Pols</w:t>
      </w:r>
      <w:r>
        <w:t>kiej</w:t>
      </w:r>
      <w:r w:rsidRPr="00117C98">
        <w:t xml:space="preserve"> niepenalizowane. Nadmienić należy, że wytwarzanie tych narkotyków w znacznych ilościach jest możliwe również bez zastosowania specjalistycznych przyrządów. W związku z powyższym celem możliwości skutecznego zwalczania produkcji środków odurzających, substancji psychotropowych oraz nowych substancji psychoaktywnych na terenie </w:t>
      </w:r>
      <w:r>
        <w:t>naszego państwa</w:t>
      </w:r>
      <w:r w:rsidRPr="00117C98">
        <w:t>, również na etapie przygotowania, proponuje się zmianę brzmienia art. 57 ustawy o przeciwdziałaniu narkomani</w:t>
      </w:r>
      <w:r>
        <w:t>.</w:t>
      </w:r>
    </w:p>
    <w:p w14:paraId="66629DA8" w14:textId="77777777" w:rsidR="00185BE9" w:rsidRPr="00FF5B0D" w:rsidRDefault="00185BE9" w:rsidP="00F85D6D">
      <w:pPr>
        <w:pStyle w:val="NIEARTTEKSTtekstnieartykuowanynppodstprawnarozplubpreambua"/>
        <w:spacing w:before="0" w:after="120"/>
      </w:pPr>
      <w:r>
        <w:t>W związku z p</w:t>
      </w:r>
      <w:r w:rsidRPr="005E207D">
        <w:t>otrzeb</w:t>
      </w:r>
      <w:r>
        <w:t>ą</w:t>
      </w:r>
      <w:r w:rsidRPr="005E207D">
        <w:t xml:space="preserve"> </w:t>
      </w:r>
      <w:r>
        <w:t xml:space="preserve">doprecyzowania przepisów dotyczących prowadzenia upraw oraz przetwarzania maku </w:t>
      </w:r>
      <w:proofErr w:type="spellStart"/>
      <w:r>
        <w:t>niskomorfinowego</w:t>
      </w:r>
      <w:proofErr w:type="spellEnd"/>
      <w:r>
        <w:t xml:space="preserve"> i konopi włóknistych na własne potrzeby,</w:t>
      </w:r>
      <w:r w:rsidRPr="005E207D">
        <w:t xml:space="preserve"> </w:t>
      </w:r>
      <w:r>
        <w:t xml:space="preserve">spowodowaną niejasnością dla </w:t>
      </w:r>
      <w:r w:rsidRPr="005E207D">
        <w:t>producen</w:t>
      </w:r>
      <w:r>
        <w:t xml:space="preserve">tów kwestii dot. </w:t>
      </w:r>
      <w:r w:rsidRPr="005E207D">
        <w:t>upraw</w:t>
      </w:r>
      <w:r>
        <w:t xml:space="preserve">y </w:t>
      </w:r>
      <w:r w:rsidRPr="005E207D">
        <w:t>na potrzeby własne z przetwarzaniem we własnym zakresie, co prowadzi</w:t>
      </w:r>
      <w:r>
        <w:t xml:space="preserve"> </w:t>
      </w:r>
      <w:r w:rsidRPr="005E207D">
        <w:t>do przekazywania przez nich do Krajowego Ośrodka Wsparcia Rolnictwa</w:t>
      </w:r>
      <w:r>
        <w:t xml:space="preserve"> </w:t>
      </w:r>
      <w:r w:rsidRPr="005E207D">
        <w:t xml:space="preserve">błędnych informacji lub danych </w:t>
      </w:r>
      <w:r>
        <w:t xml:space="preserve">niezbędnych do </w:t>
      </w:r>
      <w:r w:rsidRPr="005E207D">
        <w:t>monitorowania upraw maku</w:t>
      </w:r>
      <w:r>
        <w:t xml:space="preserve"> </w:t>
      </w:r>
      <w:proofErr w:type="spellStart"/>
      <w:r>
        <w:t>nieskomorfinowego</w:t>
      </w:r>
      <w:proofErr w:type="spellEnd"/>
      <w:r>
        <w:t xml:space="preserve"> </w:t>
      </w:r>
      <w:r w:rsidRPr="005E207D">
        <w:t>i konopi włóknistych oraz przeciwdziałania narkomanii</w:t>
      </w:r>
      <w:r>
        <w:t xml:space="preserve">, proponuje się zmianę art. 45 przez dodanie ust. 8 i 9. </w:t>
      </w:r>
    </w:p>
    <w:p w14:paraId="70471D94" w14:textId="638B855C" w:rsidR="00185BE9" w:rsidRPr="004B6BC6" w:rsidRDefault="00185BE9" w:rsidP="00F85D6D">
      <w:pPr>
        <w:pStyle w:val="ARTartustawynprozporzdzenia"/>
        <w:spacing w:before="0" w:after="120"/>
      </w:pPr>
      <w:r>
        <w:t xml:space="preserve">Zmiany zawarte w art. 1 pkt 9 projektu dotyczą kontroli </w:t>
      </w:r>
      <w:r w:rsidRPr="004B6BC6">
        <w:t>oddzia</w:t>
      </w:r>
      <w:r>
        <w:t>łu</w:t>
      </w:r>
      <w:r w:rsidRPr="004B6BC6">
        <w:t xml:space="preserve"> terenow</w:t>
      </w:r>
      <w:r>
        <w:t>ego</w:t>
      </w:r>
      <w:r w:rsidRPr="004B6BC6">
        <w:t xml:space="preserve"> Krajowego Ośrodka Wsparcia Rolnictwa (KOWR) </w:t>
      </w:r>
      <w:r>
        <w:t xml:space="preserve">przez umożliwienie </w:t>
      </w:r>
      <w:r w:rsidRPr="004B6BC6">
        <w:t xml:space="preserve">odstąpienia od </w:t>
      </w:r>
      <w:r>
        <w:t xml:space="preserve">niej w przypadku </w:t>
      </w:r>
      <w:r w:rsidRPr="004B6BC6">
        <w:t xml:space="preserve">pozytywnej kontroli z poprzedniego roku </w:t>
      </w:r>
      <w:r>
        <w:t>np.</w:t>
      </w:r>
      <w:r w:rsidRPr="004B6BC6">
        <w:t xml:space="preserve"> </w:t>
      </w:r>
      <w:r>
        <w:t>gdy</w:t>
      </w:r>
      <w:r w:rsidRPr="004B6BC6">
        <w:t xml:space="preserve"> w rejestrze maku lub rejestrze konopi włóknistych w danym </w:t>
      </w:r>
      <w:bookmarkStart w:id="12" w:name="_Hlk200447522"/>
      <w:r w:rsidRPr="004B6BC6">
        <w:t xml:space="preserve">oddziale </w:t>
      </w:r>
      <w:bookmarkEnd w:id="12"/>
      <w:r w:rsidRPr="004B6BC6">
        <w:t>jest zarejestrowany jeden producent</w:t>
      </w:r>
      <w:r>
        <w:t xml:space="preserve"> typowany do kontroli</w:t>
      </w:r>
      <w:r w:rsidRPr="004B6BC6">
        <w:t xml:space="preserve"> </w:t>
      </w:r>
      <w:bookmarkStart w:id="13" w:name="_Hlk200447574"/>
      <w:r>
        <w:t>corocznie. Ponadto proponuje się, aby</w:t>
      </w:r>
      <w:r w:rsidRPr="005F4424">
        <w:t xml:space="preserve"> kara za uniemożliwienie przeprowadzenia kontroli </w:t>
      </w:r>
      <w:r>
        <w:t xml:space="preserve">była </w:t>
      </w:r>
      <w:r w:rsidRPr="005F4424">
        <w:t xml:space="preserve">przewidziana również </w:t>
      </w:r>
      <w:r>
        <w:t xml:space="preserve">dla </w:t>
      </w:r>
      <w:r w:rsidRPr="005F4424">
        <w:t>podmiotów prowadzących</w:t>
      </w:r>
      <w:r>
        <w:t xml:space="preserve"> </w:t>
      </w:r>
      <w:r w:rsidRPr="005F4424">
        <w:t>działalność w zakresie skupu</w:t>
      </w:r>
      <w:r>
        <w:t xml:space="preserve">, a </w:t>
      </w:r>
      <w:r w:rsidR="003C7EC4">
        <w:t xml:space="preserve">nie </w:t>
      </w:r>
      <w:r>
        <w:t>wyłącznie producentów.</w:t>
      </w:r>
    </w:p>
    <w:bookmarkEnd w:id="13"/>
    <w:p w14:paraId="7346B804" w14:textId="326DD582" w:rsidR="00185BE9" w:rsidRDefault="00185BE9" w:rsidP="00F85D6D">
      <w:pPr>
        <w:pStyle w:val="NIEARTTEKSTtekstnieartykuowanynppodstprawnarozplubpreambua"/>
        <w:spacing w:before="0" w:after="120"/>
      </w:pPr>
      <w:r>
        <w:t xml:space="preserve">Zmiany zawarte w art. 2 i </w:t>
      </w:r>
      <w:r w:rsidR="00A21CA6">
        <w:t xml:space="preserve">art. </w:t>
      </w:r>
      <w:r>
        <w:t xml:space="preserve">4 projektu </w:t>
      </w:r>
      <w:r w:rsidR="00A21CA6">
        <w:t xml:space="preserve">ustawy </w:t>
      </w:r>
      <w:r>
        <w:t xml:space="preserve">wynikają z faktu ratyfikowania przez Rzeczpospolitą Polską </w:t>
      </w:r>
      <w:bookmarkStart w:id="14" w:name="_Hlk158716673"/>
      <w:r>
        <w:t xml:space="preserve">Konwencji Narodów Zjednoczonych o zwalczaniu nielegalnego obrotu </w:t>
      </w:r>
      <w:r>
        <w:lastRenderedPageBreak/>
        <w:t xml:space="preserve">środkami odurzającymi i substancjami psychotropowymi, </w:t>
      </w:r>
      <w:r w:rsidR="003C7EC4">
        <w:t xml:space="preserve">sporządzonej </w:t>
      </w:r>
      <w:r>
        <w:t xml:space="preserve">w Wiedniu dnia 20 grudnia 1988 r., zwanej dalej „Konwencją”. </w:t>
      </w:r>
      <w:bookmarkStart w:id="15" w:name="_Hlk158717858"/>
      <w:bookmarkEnd w:id="14"/>
      <w:r>
        <w:t xml:space="preserve">Zgodnie z art. 17 ust. 3 Konwencji </w:t>
      </w:r>
      <w:r w:rsidR="003C7EC4">
        <w:t>s</w:t>
      </w:r>
      <w:r>
        <w:t xml:space="preserve">trona Konwencji, która ma istotne powody, aby podejrzewać, że statek korzystający ze swobody żeglugi zgodnie z prawem międzynarodowym, który okazuje banderę albo znaki rejestracyjne innej </w:t>
      </w:r>
      <w:r w:rsidR="003C7EC4">
        <w:t>s</w:t>
      </w:r>
      <w:r>
        <w:t xml:space="preserve">trony, współdziała w nielegalnym obrocie ww. środkami i substancjami, może zawiadomić o tym państwo tej bandery, prosić o potwierdzenie rejestracji, a w przypadku uzyskania tego potwierdzenia, prosić o zezwolenie przez państwo tej bandery na podjęcie stosownych środków wobec tego statku. W konsekwencji tego, zgodnie z art. 17 ust. 4 Konwencji, państwo bandery statku może zezwolić państwu wzywającemu m.in. na wejście na pokład statku, jego przeszukanie, a jeżeli zostaną znalezione dowody współdziałania w nielegalnym obrocie, podjęcie właściwych działań wobec statku, osób i ładunków znajdujących się na statku. Natomiast zgodnie z art. 17 ust. 7 Konwencji </w:t>
      </w:r>
      <w:r w:rsidR="003C7EC4">
        <w:t>s</w:t>
      </w:r>
      <w:r>
        <w:t>trony są obowiązane do wyznaczenia właściwych władz w zakresie przyjmowania i odpowiadania na tego rodzaju prośby.</w:t>
      </w:r>
    </w:p>
    <w:p w14:paraId="7B0E5807" w14:textId="76FD9835" w:rsidR="00185BE9" w:rsidRDefault="00185BE9" w:rsidP="00F85D6D">
      <w:pPr>
        <w:pStyle w:val="NIEARTTEKSTtekstnieartykuowanynppodstprawnarozplubpreambua"/>
        <w:spacing w:before="0" w:after="120"/>
      </w:pPr>
      <w:r>
        <w:t>Mając na celu wypełnienie postanowień Konwencji, proponowana zmiana ustawy z dnia 6 kwietnia 1990 r. o Policji (Dz. U. z 202</w:t>
      </w:r>
      <w:r w:rsidR="00A21CA6">
        <w:t>5</w:t>
      </w:r>
      <w:r>
        <w:t xml:space="preserve"> r. poz. </w:t>
      </w:r>
      <w:r w:rsidR="00A21CA6">
        <w:t>636</w:t>
      </w:r>
      <w:r>
        <w:t xml:space="preserve">, z późn. zm.) wyznacza po stronie polskiej, jako organ właściwy do wydawania zezwoleń na podjęcie stosownych działań państwu – </w:t>
      </w:r>
      <w:r w:rsidR="003C7EC4">
        <w:t>s</w:t>
      </w:r>
      <w:r>
        <w:t xml:space="preserve">tronie Konwencji, Komendanta </w:t>
      </w:r>
      <w:bookmarkStart w:id="16" w:name="_Hlk158717783"/>
      <w:r>
        <w:t>Centralnego Biura Śledczego Policji</w:t>
      </w:r>
      <w:bookmarkEnd w:id="15"/>
      <w:r>
        <w:t>. Przestępczość związana z nielegalnym obrotem środkami odurzającymi i substancjami psychotropowymi ma charakter zorganizowany, a zgodnie z ww. ustawą, to Centralne Biuro Śledcze Policji jest jednostką organizacyjną Policji służby śledczej realizującą zadania w zakresie rozpoznawania, zapobiegania i zwalczania przestępczości zorganizowanej.</w:t>
      </w:r>
    </w:p>
    <w:bookmarkEnd w:id="16"/>
    <w:p w14:paraId="7053F801" w14:textId="7551385E" w:rsidR="00185BE9" w:rsidRDefault="00185BE9" w:rsidP="00F85D6D">
      <w:pPr>
        <w:pStyle w:val="NIEARTTEKSTtekstnieartykuowanynppodstprawnarozplubpreambua"/>
        <w:spacing w:before="0" w:after="120"/>
      </w:pPr>
      <w:r>
        <w:t xml:space="preserve">Zgodnie z Konwencją </w:t>
      </w:r>
      <w:r w:rsidR="003C7EC4" w:rsidRPr="003C7EC4">
        <w:t xml:space="preserve">jest </w:t>
      </w:r>
      <w:r>
        <w:t xml:space="preserve">konieczne zapewnienie wyznaczonej władzy krajowej, tj. Komendantowi Centralnego Biura Śledczego Policji, dostępu do informacji o polskiej przynależności statku bądź jej braku. </w:t>
      </w:r>
      <w:r w:rsidRPr="00070161">
        <w:t xml:space="preserve">Mając na względzie, że Policja posiada dostęp do elektronicznego rejestru, o którym mowa w art. 14 ust. 1 ustawy z dnia 12 kwietnia 2018 r. o rejestracji jachtów i innych jednostek pływających o długości do 24 m (Dz. U. z 2024 r. poz. </w:t>
      </w:r>
      <w:r w:rsidR="0068053F">
        <w:t>1536</w:t>
      </w:r>
      <w:r w:rsidRPr="00070161">
        <w:t>), a zatem dysponuje narzędziem umożliwiającymi weryfikację i potwierdzenie polskiej przynależności</w:t>
      </w:r>
      <w:r w:rsidR="00A4652C">
        <w:t xml:space="preserve"> statku</w:t>
      </w:r>
      <w:r w:rsidRPr="00070161">
        <w:t xml:space="preserve"> bądź jej braku, w odniesieniu do jednostek sportowo</w:t>
      </w:r>
      <w:r w:rsidR="000C1787">
        <w:noBreakHyphen/>
      </w:r>
      <w:r w:rsidRPr="00070161">
        <w:t xml:space="preserve">rekreacyjnych o długości do 24 m, należy zapewnić narzędzia formalne umożliwiające dostęp do informacji o polskiej przynależności statków zarejestrowanych w rejestrze okrętowym prowadzonym w wersji papierowej przez izby morskie. </w:t>
      </w:r>
      <w:r>
        <w:t>Temu ma służyć proponowana zmiana w ustawie z dnia 18 września 2001 r. – Kodeks morski (Dz. U. z 2023 r. poz. 1309), która taki dostęp umożliwi.</w:t>
      </w:r>
    </w:p>
    <w:p w14:paraId="605E3B1E" w14:textId="5F1AF7C2" w:rsidR="00185BE9" w:rsidRDefault="00185BE9" w:rsidP="00F85D6D">
      <w:pPr>
        <w:pStyle w:val="NIEARTTEKSTtekstnieartykuowanynppodstprawnarozplubpreambua"/>
        <w:spacing w:before="0" w:after="120"/>
      </w:pPr>
      <w:r>
        <w:lastRenderedPageBreak/>
        <w:t>Zmiany zawarte w art. 3 projektu polegają</w:t>
      </w:r>
      <w:r w:rsidRPr="003F22DF">
        <w:t xml:space="preserve"> na dodaniu do katalogu podmiotów również jednostek organizacyjnych Państwowej Straży Pożarnej oraz Służby Ochrony Państwa, przez które dokonywanie przyjmowania, przechowywania i wydawania produktów leczniczych i wyrobów medycznych nie będzie również uważane za obrót hurtowy. Powyższe ma na celu zapewnienie spójności regulacji dotyczących formacji realizujących zadania poza granicami kraju</w:t>
      </w:r>
      <w:r w:rsidR="00093434">
        <w:t xml:space="preserve">. </w:t>
      </w:r>
    </w:p>
    <w:p w14:paraId="1A0ED860" w14:textId="47EC764B" w:rsidR="00185BE9" w:rsidRDefault="00185BE9" w:rsidP="00F85D6D">
      <w:pPr>
        <w:pStyle w:val="NIEARTTEKSTtekstnieartykuowanynppodstprawnarozplubpreambua"/>
        <w:spacing w:before="0" w:after="120"/>
      </w:pPr>
      <w:r w:rsidRPr="00C140BB">
        <w:t xml:space="preserve">Normy zawarte w art. 5, </w:t>
      </w:r>
      <w:r w:rsidR="000C1787">
        <w:t xml:space="preserve">art. </w:t>
      </w:r>
      <w:r w:rsidRPr="00C140BB">
        <w:t>6</w:t>
      </w:r>
      <w:r w:rsidR="00DA36E4">
        <w:t xml:space="preserve">, </w:t>
      </w:r>
      <w:r w:rsidR="000C1787">
        <w:t xml:space="preserve">art. </w:t>
      </w:r>
      <w:r w:rsidRPr="00C140BB">
        <w:t>7</w:t>
      </w:r>
      <w:r w:rsidR="00DA36E4">
        <w:t xml:space="preserve"> i </w:t>
      </w:r>
      <w:r w:rsidR="000C1787">
        <w:t xml:space="preserve">art. </w:t>
      </w:r>
      <w:r w:rsidR="00DA36E4">
        <w:t>8</w:t>
      </w:r>
      <w:r w:rsidRPr="00C140BB">
        <w:t xml:space="preserve"> projektu ustawy to odpowiednie przepisy przejściowe pozwalające na zachowanie ciągłości leczenia substytucyjnego w ramach programów leczenia substytucyjnego, zarówno przez pacjentów jak i podmioty lecznicze prowadzące te programy</w:t>
      </w:r>
      <w:r w:rsidR="00DA36E4">
        <w:t xml:space="preserve"> oraz przepisy </w:t>
      </w:r>
      <w:r w:rsidR="00123233">
        <w:t>zapewniające ciągłość</w:t>
      </w:r>
      <w:r w:rsidR="00DA36E4">
        <w:t xml:space="preserve"> Centralnego Wykazu Osób Objętych Leczeniem Substytucyjnym. Przy czym w przepisach przejściowych wprowadzano obowiązek dla podmiotów leczniczych </w:t>
      </w:r>
      <w:r w:rsidR="00DA36E4" w:rsidRPr="00DA36E4">
        <w:t>prowadząc</w:t>
      </w:r>
      <w:r w:rsidR="00DA36E4">
        <w:t>ych</w:t>
      </w:r>
      <w:r w:rsidR="00DA36E4" w:rsidRPr="00DA36E4">
        <w:t xml:space="preserve"> leczenie substytucyjne w ramach programu leczenia substytucyjnego</w:t>
      </w:r>
      <w:r w:rsidR="00DA36E4">
        <w:t xml:space="preserve">, polegający na </w:t>
      </w:r>
      <w:r w:rsidR="00DA36E4" w:rsidRPr="00DA36E4">
        <w:t>dostosowa</w:t>
      </w:r>
      <w:r w:rsidR="00DA36E4">
        <w:t>niu</w:t>
      </w:r>
      <w:r w:rsidR="00DA36E4" w:rsidRPr="00DA36E4">
        <w:t xml:space="preserve"> się</w:t>
      </w:r>
      <w:r w:rsidR="00DA36E4">
        <w:t xml:space="preserve">, </w:t>
      </w:r>
      <w:r w:rsidR="00DA36E4" w:rsidRPr="00DA36E4">
        <w:t xml:space="preserve">do </w:t>
      </w:r>
      <w:r w:rsidR="00DA36E4">
        <w:t xml:space="preserve">nowych </w:t>
      </w:r>
      <w:r w:rsidR="00DA36E4" w:rsidRPr="00DA36E4">
        <w:t>wymogów określonych w art. 28 ust. 2 ustawy</w:t>
      </w:r>
      <w:r w:rsidR="00DA36E4">
        <w:t xml:space="preserve"> w terminie </w:t>
      </w:r>
      <w:r w:rsidR="00DA36E4" w:rsidRPr="00DA36E4">
        <w:t>12 miesięcy do od dnia wejści</w:t>
      </w:r>
      <w:r w:rsidR="000C1787">
        <w:t>a</w:t>
      </w:r>
      <w:r w:rsidR="00DA36E4" w:rsidRPr="00DA36E4">
        <w:t xml:space="preserve"> w życie ustawy.</w:t>
      </w:r>
      <w:r w:rsidR="00DA36E4">
        <w:t xml:space="preserve"> </w:t>
      </w:r>
    </w:p>
    <w:p w14:paraId="51D000DE" w14:textId="73AE4704" w:rsidR="00EC2226" w:rsidRDefault="00DA36E4" w:rsidP="00F85D6D">
      <w:pPr>
        <w:spacing w:after="120"/>
        <w:ind w:firstLine="510"/>
        <w:jc w:val="both"/>
      </w:pPr>
      <w:r>
        <w:t>W przepisach przejściowych</w:t>
      </w:r>
      <w:r w:rsidR="00123233">
        <w:t xml:space="preserve"> wprowadzono również termin 6 miesięcy</w:t>
      </w:r>
      <w:r w:rsidR="00EC2226">
        <w:t xml:space="preserve">, </w:t>
      </w:r>
      <w:r w:rsidR="00123233">
        <w:t xml:space="preserve">jako okres, </w:t>
      </w:r>
      <w:r w:rsidR="00EC2226">
        <w:t>po upływie którego le</w:t>
      </w:r>
      <w:r w:rsidR="00EC2226" w:rsidRPr="00EC2226">
        <w:t>karz zamierzający prowadzić leczenie substytucyjne w ramach ordynacji lekarskiej</w:t>
      </w:r>
      <w:r w:rsidR="00EC2226">
        <w:t xml:space="preserve">, </w:t>
      </w:r>
      <w:r w:rsidR="00EC2226" w:rsidRPr="00EC2226">
        <w:t xml:space="preserve">będzie mógł złożyć wniosek </w:t>
      </w:r>
      <w:r w:rsidR="00EC2226">
        <w:t xml:space="preserve">o dostęp do </w:t>
      </w:r>
      <w:r w:rsidR="00EC2226" w:rsidRPr="00EC2226">
        <w:t>Centralnego Wykazu Osób Objętych Leczeniem Substytucyjnym</w:t>
      </w:r>
      <w:r w:rsidR="00EC2226">
        <w:t xml:space="preserve">. Termin 6 miesięcy rozpoczyna bieg od dnia wejścia w życie ustawy. </w:t>
      </w:r>
    </w:p>
    <w:p w14:paraId="468F929F" w14:textId="19F140E8" w:rsidR="00185BE9" w:rsidRPr="00C140BB" w:rsidRDefault="00185BE9" w:rsidP="00F85D6D">
      <w:pPr>
        <w:pStyle w:val="NIEARTTEKSTtekstnieartykuowanynppodstprawnarozplubpreambua"/>
        <w:spacing w:before="0" w:after="120"/>
      </w:pPr>
      <w:r w:rsidRPr="00C140BB">
        <w:t>Projekt przewiduje, że ustawa wejdzie w życie po upływie 30 dni od dnia ogłoszenia.</w:t>
      </w:r>
      <w:r w:rsidR="009A4155">
        <w:t xml:space="preserve"> </w:t>
      </w:r>
    </w:p>
    <w:p w14:paraId="0CF8BD00" w14:textId="646F61DC" w:rsidR="00185BE9" w:rsidRPr="003D18F9" w:rsidRDefault="00185BE9" w:rsidP="00F85D6D">
      <w:pPr>
        <w:pStyle w:val="NIEARTTEKSTtekstnieartykuowanynppodstprawnarozplubpreambua"/>
        <w:spacing w:before="0" w:after="120"/>
      </w:pPr>
      <w:r w:rsidRPr="00C140BB">
        <w:t>Projekt ustawy nie jest sprzeczny z prawem Unii Europejskie</w:t>
      </w:r>
      <w:r w:rsidR="003C7EC4">
        <w:t>j.</w:t>
      </w:r>
    </w:p>
    <w:p w14:paraId="3D77574E" w14:textId="77777777" w:rsidR="00185BE9" w:rsidRPr="00D94220" w:rsidRDefault="00185BE9" w:rsidP="00F85D6D">
      <w:pPr>
        <w:pStyle w:val="NIEARTTEKSTtekstnieartykuowanynppodstprawnarozplubpreambua"/>
        <w:spacing w:before="0" w:after="120"/>
      </w:pPr>
      <w:r w:rsidRPr="00D94220">
        <w:t>Projekt ustawy nie wpływa na mikro-, małe i średnie przedsiębiorstwa.</w:t>
      </w:r>
    </w:p>
    <w:p w14:paraId="265D2EEB" w14:textId="77777777" w:rsidR="00185BE9" w:rsidRPr="00D94220" w:rsidRDefault="00185BE9" w:rsidP="00F85D6D">
      <w:pPr>
        <w:pStyle w:val="NIEARTTEKSTtekstnieartykuowanynppodstprawnarozplubpreambua"/>
        <w:spacing w:before="0" w:after="120"/>
      </w:pPr>
      <w:r w:rsidRPr="00D94220">
        <w:t>Projekt ustawy nie wymaga przedstawienia właściwym organom i instytucjom Unii Europejskiej, w tym Europejskiemu Bankowi Centralnemu, w celu uzyskania opinii, dokonania powiadomienia, konsultacji lub uzgodnienia.</w:t>
      </w:r>
    </w:p>
    <w:p w14:paraId="5FDDB035" w14:textId="353BC963" w:rsidR="00185BE9" w:rsidRPr="00D94220" w:rsidRDefault="00185BE9" w:rsidP="00F85D6D">
      <w:pPr>
        <w:pStyle w:val="NIEARTTEKSTtekstnieartykuowanynppodstprawnarozplubpreambua"/>
        <w:spacing w:before="0" w:after="120"/>
      </w:pPr>
      <w:r w:rsidRPr="00D94220">
        <w:t>Projekt ustawy nie podlega notyfikacji zgodnie z przepisami rozporządzenia Rady Ministrów z dnia 23 grudnia 2002 r. w sprawie sposobu funkcjonowania krajowego systemu notyfikacji norm i aktów prawnych (Dz. U. poz. 2039 oraz z 2004 r. poz. 597)</w:t>
      </w:r>
      <w:r w:rsidR="0068053F">
        <w:t>,</w:t>
      </w:r>
      <w:r w:rsidRPr="00D94220">
        <w:t xml:space="preserve"> ponieważ nie zawiera przepisów technicznych.</w:t>
      </w:r>
    </w:p>
    <w:p w14:paraId="56BDBBFE" w14:textId="5582F6BC" w:rsidR="00185BE9" w:rsidRPr="00E11AEB" w:rsidRDefault="00185BE9" w:rsidP="00F85D6D">
      <w:pPr>
        <w:pStyle w:val="NIEARTTEKSTtekstnieartykuowanynppodstprawnarozplubpreambua"/>
        <w:spacing w:before="0" w:after="120"/>
      </w:pPr>
      <w:r w:rsidRPr="00E11AEB">
        <w:t xml:space="preserve">Projekt </w:t>
      </w:r>
      <w:r>
        <w:t xml:space="preserve">ustawy </w:t>
      </w:r>
      <w:r w:rsidRPr="00E11AEB">
        <w:t xml:space="preserve">nie zawiera wymogów nakładanych na usługodawców podlegających notyfikacji, o której mowa w art. 15 ust. 7 </w:t>
      </w:r>
      <w:r>
        <w:t>i</w:t>
      </w:r>
      <w:r w:rsidRPr="00E11AEB">
        <w:t xml:space="preserve"> art. 39 ust. 5 dyrektywy 2006/123/WE Parlamentu </w:t>
      </w:r>
      <w:r w:rsidRPr="00E11AEB">
        <w:lastRenderedPageBreak/>
        <w:t>Europejskiego i Rady z dnia 12 grudnia 2006 r. dotyczącej usług na rynku wewnętrznym (Dz</w:t>
      </w:r>
      <w:r w:rsidR="00A01641" w:rsidRPr="00E11AEB">
        <w:t>.</w:t>
      </w:r>
      <w:r w:rsidR="00A01641">
        <w:t> </w:t>
      </w:r>
      <w:r w:rsidRPr="00E11AEB">
        <w:t>Urz. UE L 376 z 27.12.2006, str. 36).</w:t>
      </w:r>
    </w:p>
    <w:p w14:paraId="1623472B" w14:textId="6CF07E2B" w:rsidR="00341D82" w:rsidRDefault="00341D82" w:rsidP="00F85D6D">
      <w:pPr>
        <w:pStyle w:val="NIEARTTEKSTtekstnieartykuowanynppodstprawnarozplubpreambua"/>
        <w:spacing w:before="0" w:after="120"/>
      </w:pPr>
      <w:r>
        <w:t>W kwestii związanej z ochroną danych osobowych należy wskazać, że przeprowadzona został</w:t>
      </w:r>
      <w:r w:rsidR="00090360">
        <w:t>a</w:t>
      </w:r>
      <w:r>
        <w:t xml:space="preserve"> przez Krajowe Centrum Przeciwdziałania </w:t>
      </w:r>
      <w:r w:rsidRPr="00341D82">
        <w:t>ocen</w:t>
      </w:r>
      <w:r>
        <w:t>a</w:t>
      </w:r>
      <w:r w:rsidRPr="00341D82">
        <w:t xml:space="preserve"> skutków </w:t>
      </w:r>
      <w:r w:rsidR="00090360">
        <w:t xml:space="preserve">dla </w:t>
      </w:r>
      <w:r w:rsidRPr="00341D82">
        <w:t>ochrony danych osobowych, o której mowa w art. 35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r w:rsidR="00090360">
        <w:t xml:space="preserve"> </w:t>
      </w:r>
      <w:r>
        <w:t xml:space="preserve">Krajowe Centrum Przeciwdziałania Uzależnieniom przeprowadziło </w:t>
      </w:r>
      <w:r w:rsidR="00090360">
        <w:t xml:space="preserve">ww. ocenę </w:t>
      </w:r>
      <w:r>
        <w:t xml:space="preserve">dla procesu przetwarzania danych osobowych w ramach prowadzenia Centralnego Wykazu Osób Objętych Leczeniem Substytucyjnym i </w:t>
      </w:r>
      <w:r w:rsidR="003C7EC4">
        <w:t>wskazało</w:t>
      </w:r>
      <w:r>
        <w:t xml:space="preserve"> na niskie ryzyko naruszenia praw lub wolności osób fizycznych. Przeprowadzona ocena skutków wykazała, że przetwarzanie danych jest niezbędne do realizacji celów przetwarzania</w:t>
      </w:r>
      <w:r w:rsidR="00F9362C">
        <w:t>,</w:t>
      </w:r>
      <w:r>
        <w:t xml:space="preserve"> tj. wykluczenie udziału pacjenta w tym samym czasie w więcej niż jednym programie leczenia substytucyjnego oraz w leczeniu substytucyjnym w ramach ordynacji lekarskiej prowadzonej przez lekarza, o którym mowa w art. 4 pkt 7 lit. b ustawy o przeciwdziałaniu narkomanii, a także monitoring sytuacji epidemiologicznej związanej z używaniem </w:t>
      </w:r>
      <w:proofErr w:type="spellStart"/>
      <w:r>
        <w:t>opioidów</w:t>
      </w:r>
      <w:proofErr w:type="spellEnd"/>
      <w:r>
        <w:t xml:space="preserve"> oraz leczeniem substytucyjnym.</w:t>
      </w:r>
    </w:p>
    <w:p w14:paraId="47E1D7D7" w14:textId="22E6197E" w:rsidR="00185BE9" w:rsidRDefault="00341D82" w:rsidP="00F85D6D">
      <w:pPr>
        <w:pStyle w:val="NIEARTTEKSTtekstnieartykuowanynppodstprawnarozplubpreambua"/>
        <w:spacing w:before="0" w:after="120"/>
      </w:pPr>
      <w:r>
        <w:t xml:space="preserve">W procesie prowadzenia Centralnego Wykazu Osób Objętych Leczeniem Substytucyjnym </w:t>
      </w:r>
      <w:r w:rsidR="00A4652C" w:rsidRPr="00A4652C">
        <w:t xml:space="preserve">są </w:t>
      </w:r>
      <w:r>
        <w:t>przetwarzane szczególne kategorie danych osobowych, m.in. do tego katalogu zalicz</w:t>
      </w:r>
      <w:r w:rsidR="00F9362C">
        <w:t>a się</w:t>
      </w:r>
      <w:r>
        <w:t xml:space="preserve"> już sam</w:t>
      </w:r>
      <w:r w:rsidR="00F9362C">
        <w:t>a</w:t>
      </w:r>
      <w:r>
        <w:t xml:space="preserve"> informacj</w:t>
      </w:r>
      <w:r w:rsidR="00F9362C">
        <w:t>a</w:t>
      </w:r>
      <w:r>
        <w:t xml:space="preserve"> o objęciu leczeniem substytucyjnym. Przetwarzanie danych dotyczących zdrowia jest w tym przypadku konieczne do zrealizowania celu przetwarzania danych, przy czym nie pobiera się danych, które byłyby zbędne do realizacji wskazanego celu przetwarzania danych. </w:t>
      </w:r>
    </w:p>
    <w:p w14:paraId="22CD1F4C" w14:textId="1758820F" w:rsidR="00E755C9" w:rsidRDefault="00185BE9" w:rsidP="00F85D6D">
      <w:pPr>
        <w:pStyle w:val="NIEARTTEKSTtekstnieartykuowanynppodstprawnarozplubpreambua"/>
        <w:spacing w:before="0" w:after="120"/>
      </w:pPr>
      <w:r w:rsidRPr="00D94220">
        <w:t>Jednocześnie należy wskazać, że brak</w:t>
      </w:r>
      <w:r w:rsidR="00F9362C">
        <w:t>uje</w:t>
      </w:r>
      <w:r w:rsidRPr="00D94220">
        <w:t xml:space="preserve"> możliwości podjęcia alternatywnych w stosunku do uchwalenia projektowanej ustawy środków umożliwiających osiągnięcie zamierzonego celu.</w:t>
      </w:r>
    </w:p>
    <w:sectPr w:rsidR="00E755C9" w:rsidSect="00F85D6D">
      <w:footerReference w:type="default" r:id="rId6"/>
      <w:footnotePr>
        <w:numRestart w:val="eachSect"/>
      </w:footnotePr>
      <w:pgSz w:w="11906" w:h="16838"/>
      <w:pgMar w:top="1418" w:right="1418" w:bottom="1418"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6BCCD" w14:textId="77777777" w:rsidR="00EC6B21" w:rsidRDefault="00EC6B21">
      <w:pPr>
        <w:spacing w:line="240" w:lineRule="auto"/>
      </w:pPr>
      <w:r>
        <w:separator/>
      </w:r>
    </w:p>
  </w:endnote>
  <w:endnote w:type="continuationSeparator" w:id="0">
    <w:p w14:paraId="6F91440C" w14:textId="77777777" w:rsidR="00EC6B21" w:rsidRDefault="00EC6B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675991"/>
      <w:docPartObj>
        <w:docPartGallery w:val="Page Numbers (Bottom of Page)"/>
        <w:docPartUnique/>
      </w:docPartObj>
    </w:sdtPr>
    <w:sdtEndPr/>
    <w:sdtContent>
      <w:p w14:paraId="7D28367E" w14:textId="6D95230C" w:rsidR="000B3391" w:rsidRDefault="000B3391">
        <w:pPr>
          <w:pStyle w:val="Stopka"/>
          <w:jc w:val="center"/>
        </w:pPr>
        <w:r>
          <w:fldChar w:fldCharType="begin"/>
        </w:r>
        <w:r>
          <w:instrText>PAGE   \* MERGEFORMAT</w:instrText>
        </w:r>
        <w:r>
          <w:fldChar w:fldCharType="separate"/>
        </w:r>
        <w:r>
          <w:t>2</w:t>
        </w:r>
        <w:r>
          <w:fldChar w:fldCharType="end"/>
        </w:r>
      </w:p>
    </w:sdtContent>
  </w:sdt>
  <w:p w14:paraId="3735ABCC" w14:textId="77777777" w:rsidR="006A1905" w:rsidRDefault="006A190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1DEDA" w14:textId="77777777" w:rsidR="00EC6B21" w:rsidRDefault="00EC6B21">
      <w:pPr>
        <w:spacing w:line="240" w:lineRule="auto"/>
      </w:pPr>
      <w:r>
        <w:separator/>
      </w:r>
    </w:p>
  </w:footnote>
  <w:footnote w:type="continuationSeparator" w:id="0">
    <w:p w14:paraId="3365E1A0" w14:textId="77777777" w:rsidR="00EC6B21" w:rsidRDefault="00EC6B2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BE9"/>
    <w:rsid w:val="00066095"/>
    <w:rsid w:val="00070E40"/>
    <w:rsid w:val="00090360"/>
    <w:rsid w:val="00093434"/>
    <w:rsid w:val="00094D81"/>
    <w:rsid w:val="000A00A9"/>
    <w:rsid w:val="000B3391"/>
    <w:rsid w:val="000C1787"/>
    <w:rsid w:val="000C2AAB"/>
    <w:rsid w:val="000F4E5C"/>
    <w:rsid w:val="000F728B"/>
    <w:rsid w:val="00100A7A"/>
    <w:rsid w:val="001179E0"/>
    <w:rsid w:val="00123233"/>
    <w:rsid w:val="00185BE9"/>
    <w:rsid w:val="001B0BE1"/>
    <w:rsid w:val="001E0692"/>
    <w:rsid w:val="001F4313"/>
    <w:rsid w:val="00213505"/>
    <w:rsid w:val="00222BAB"/>
    <w:rsid w:val="002723C9"/>
    <w:rsid w:val="002A2E8B"/>
    <w:rsid w:val="002A66AE"/>
    <w:rsid w:val="002B6249"/>
    <w:rsid w:val="002E1F59"/>
    <w:rsid w:val="00321352"/>
    <w:rsid w:val="00330F2E"/>
    <w:rsid w:val="00341D82"/>
    <w:rsid w:val="00341EF2"/>
    <w:rsid w:val="003511CE"/>
    <w:rsid w:val="00367E9B"/>
    <w:rsid w:val="00396BE6"/>
    <w:rsid w:val="003C7EC4"/>
    <w:rsid w:val="003E21A8"/>
    <w:rsid w:val="003F2BA7"/>
    <w:rsid w:val="0041393D"/>
    <w:rsid w:val="00433A97"/>
    <w:rsid w:val="0044175C"/>
    <w:rsid w:val="0044740B"/>
    <w:rsid w:val="004618A0"/>
    <w:rsid w:val="00473FC7"/>
    <w:rsid w:val="00481456"/>
    <w:rsid w:val="0048418F"/>
    <w:rsid w:val="004A16DC"/>
    <w:rsid w:val="004C528C"/>
    <w:rsid w:val="004D42DF"/>
    <w:rsid w:val="005502EF"/>
    <w:rsid w:val="005D3359"/>
    <w:rsid w:val="005D4746"/>
    <w:rsid w:val="0062330C"/>
    <w:rsid w:val="00655C0B"/>
    <w:rsid w:val="00661CC1"/>
    <w:rsid w:val="0068053F"/>
    <w:rsid w:val="00681F05"/>
    <w:rsid w:val="006A1905"/>
    <w:rsid w:val="006B03F5"/>
    <w:rsid w:val="006C7949"/>
    <w:rsid w:val="006F670F"/>
    <w:rsid w:val="007110B5"/>
    <w:rsid w:val="00712348"/>
    <w:rsid w:val="0072534B"/>
    <w:rsid w:val="00742FEE"/>
    <w:rsid w:val="0077300A"/>
    <w:rsid w:val="00774EF6"/>
    <w:rsid w:val="007B242D"/>
    <w:rsid w:val="007B2544"/>
    <w:rsid w:val="007D667E"/>
    <w:rsid w:val="00840EB4"/>
    <w:rsid w:val="008722F1"/>
    <w:rsid w:val="008A37B6"/>
    <w:rsid w:val="008A3C85"/>
    <w:rsid w:val="008A760B"/>
    <w:rsid w:val="0090137B"/>
    <w:rsid w:val="00946093"/>
    <w:rsid w:val="00950C3B"/>
    <w:rsid w:val="00951E9C"/>
    <w:rsid w:val="00964542"/>
    <w:rsid w:val="00966DAA"/>
    <w:rsid w:val="009779A0"/>
    <w:rsid w:val="009A4155"/>
    <w:rsid w:val="009A7441"/>
    <w:rsid w:val="009B4669"/>
    <w:rsid w:val="009C01BB"/>
    <w:rsid w:val="00A01641"/>
    <w:rsid w:val="00A026AE"/>
    <w:rsid w:val="00A027DD"/>
    <w:rsid w:val="00A21CA6"/>
    <w:rsid w:val="00A27EE5"/>
    <w:rsid w:val="00A374C3"/>
    <w:rsid w:val="00A4652C"/>
    <w:rsid w:val="00A7017C"/>
    <w:rsid w:val="00A96B09"/>
    <w:rsid w:val="00AA481B"/>
    <w:rsid w:val="00AB25D3"/>
    <w:rsid w:val="00AC2431"/>
    <w:rsid w:val="00B07BFB"/>
    <w:rsid w:val="00B326F8"/>
    <w:rsid w:val="00B54A41"/>
    <w:rsid w:val="00BC7A2C"/>
    <w:rsid w:val="00BF2C95"/>
    <w:rsid w:val="00C1009C"/>
    <w:rsid w:val="00C140BB"/>
    <w:rsid w:val="00C26CB5"/>
    <w:rsid w:val="00C26DAB"/>
    <w:rsid w:val="00C5671C"/>
    <w:rsid w:val="00C9450A"/>
    <w:rsid w:val="00CD5D44"/>
    <w:rsid w:val="00CD5FBA"/>
    <w:rsid w:val="00CE4AB6"/>
    <w:rsid w:val="00CF2A0B"/>
    <w:rsid w:val="00D02C92"/>
    <w:rsid w:val="00D06ECB"/>
    <w:rsid w:val="00D20666"/>
    <w:rsid w:val="00D32B18"/>
    <w:rsid w:val="00D51CB2"/>
    <w:rsid w:val="00DA36E4"/>
    <w:rsid w:val="00DB2EFA"/>
    <w:rsid w:val="00DD61C6"/>
    <w:rsid w:val="00E1575D"/>
    <w:rsid w:val="00E44BD9"/>
    <w:rsid w:val="00E53ED6"/>
    <w:rsid w:val="00E56425"/>
    <w:rsid w:val="00E755C9"/>
    <w:rsid w:val="00EC2226"/>
    <w:rsid w:val="00EC6B21"/>
    <w:rsid w:val="00EF094C"/>
    <w:rsid w:val="00F6192E"/>
    <w:rsid w:val="00F6237B"/>
    <w:rsid w:val="00F82372"/>
    <w:rsid w:val="00F85D6D"/>
    <w:rsid w:val="00F879ED"/>
    <w:rsid w:val="00F9362C"/>
    <w:rsid w:val="00FA78FE"/>
    <w:rsid w:val="00FD5C1B"/>
    <w:rsid w:val="00FE37BD"/>
    <w:rsid w:val="00FF3E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9E5FA"/>
  <w15:chartTrackingRefBased/>
  <w15:docId w15:val="{0F8F6BF4-BEAD-A641-AD28-3B90EF79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5BE9"/>
    <w:pPr>
      <w:widowControl w:val="0"/>
      <w:autoSpaceDE w:val="0"/>
      <w:autoSpaceDN w:val="0"/>
      <w:adjustRightInd w:val="0"/>
      <w:spacing w:line="360" w:lineRule="auto"/>
    </w:pPr>
    <w:rPr>
      <w:rFonts w:ascii="Times New Roman" w:eastAsiaTheme="minorEastAsia" w:hAnsi="Times New Roman" w:cs="Arial"/>
      <w:kern w:val="0"/>
      <w:szCs w:val="20"/>
      <w:lang w:eastAsia="pl-PL"/>
      <w14:ligatures w14:val="none"/>
    </w:rPr>
  </w:style>
  <w:style w:type="paragraph" w:styleId="Nagwek1">
    <w:name w:val="heading 1"/>
    <w:basedOn w:val="Normalny"/>
    <w:next w:val="Normalny"/>
    <w:link w:val="Nagwek1Znak"/>
    <w:uiPriority w:val="9"/>
    <w:qFormat/>
    <w:rsid w:val="00185BE9"/>
    <w:pPr>
      <w:keepNext/>
      <w:keepLines/>
      <w:widowControl/>
      <w:autoSpaceDE/>
      <w:autoSpaceDN/>
      <w:adjustRightInd/>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185BE9"/>
    <w:pPr>
      <w:keepNext/>
      <w:keepLines/>
      <w:widowControl/>
      <w:autoSpaceDE/>
      <w:autoSpaceDN/>
      <w:adjustRightInd/>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185BE9"/>
    <w:pPr>
      <w:keepNext/>
      <w:keepLines/>
      <w:widowControl/>
      <w:autoSpaceDE/>
      <w:autoSpaceDN/>
      <w:adjustRightInd/>
      <w:spacing w:before="160" w:after="80" w:line="240"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185BE9"/>
    <w:pPr>
      <w:keepNext/>
      <w:keepLines/>
      <w:widowControl/>
      <w:autoSpaceDE/>
      <w:autoSpaceDN/>
      <w:adjustRightInd/>
      <w:spacing w:before="80" w:after="40" w:line="240" w:lineRule="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Nagwek5">
    <w:name w:val="heading 5"/>
    <w:basedOn w:val="Normalny"/>
    <w:next w:val="Normalny"/>
    <w:link w:val="Nagwek5Znak"/>
    <w:uiPriority w:val="9"/>
    <w:semiHidden/>
    <w:unhideWhenUsed/>
    <w:qFormat/>
    <w:rsid w:val="00185BE9"/>
    <w:pPr>
      <w:keepNext/>
      <w:keepLines/>
      <w:widowControl/>
      <w:autoSpaceDE/>
      <w:autoSpaceDN/>
      <w:adjustRightInd/>
      <w:spacing w:before="80" w:after="40" w:line="240" w:lineRule="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Nagwek6">
    <w:name w:val="heading 6"/>
    <w:basedOn w:val="Normalny"/>
    <w:next w:val="Normalny"/>
    <w:link w:val="Nagwek6Znak"/>
    <w:uiPriority w:val="9"/>
    <w:semiHidden/>
    <w:unhideWhenUsed/>
    <w:qFormat/>
    <w:rsid w:val="00185BE9"/>
    <w:pPr>
      <w:keepNext/>
      <w:keepLines/>
      <w:widowControl/>
      <w:autoSpaceDE/>
      <w:autoSpaceDN/>
      <w:adjustRightInd/>
      <w:spacing w:before="40" w:line="240" w:lineRule="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Nagwek7">
    <w:name w:val="heading 7"/>
    <w:basedOn w:val="Normalny"/>
    <w:next w:val="Normalny"/>
    <w:link w:val="Nagwek7Znak"/>
    <w:uiPriority w:val="9"/>
    <w:semiHidden/>
    <w:unhideWhenUsed/>
    <w:qFormat/>
    <w:rsid w:val="00185BE9"/>
    <w:pPr>
      <w:keepNext/>
      <w:keepLines/>
      <w:widowControl/>
      <w:autoSpaceDE/>
      <w:autoSpaceDN/>
      <w:adjustRightInd/>
      <w:spacing w:before="40" w:line="240" w:lineRule="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Nagwek8">
    <w:name w:val="heading 8"/>
    <w:basedOn w:val="Normalny"/>
    <w:next w:val="Normalny"/>
    <w:link w:val="Nagwek8Znak"/>
    <w:uiPriority w:val="9"/>
    <w:semiHidden/>
    <w:unhideWhenUsed/>
    <w:qFormat/>
    <w:rsid w:val="00185BE9"/>
    <w:pPr>
      <w:keepNext/>
      <w:keepLines/>
      <w:widowControl/>
      <w:autoSpaceDE/>
      <w:autoSpaceDN/>
      <w:adjustRightInd/>
      <w:spacing w:line="240" w:lineRule="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Nagwek9">
    <w:name w:val="heading 9"/>
    <w:basedOn w:val="Normalny"/>
    <w:next w:val="Normalny"/>
    <w:link w:val="Nagwek9Znak"/>
    <w:uiPriority w:val="9"/>
    <w:semiHidden/>
    <w:unhideWhenUsed/>
    <w:qFormat/>
    <w:rsid w:val="00185BE9"/>
    <w:pPr>
      <w:keepNext/>
      <w:keepLines/>
      <w:widowControl/>
      <w:autoSpaceDE/>
      <w:autoSpaceDN/>
      <w:adjustRightInd/>
      <w:spacing w:line="240" w:lineRule="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85BE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85BE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85BE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85BE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85BE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85BE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85BE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85BE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85BE9"/>
    <w:rPr>
      <w:rFonts w:eastAsiaTheme="majorEastAsia" w:cstheme="majorBidi"/>
      <w:color w:val="272727" w:themeColor="text1" w:themeTint="D8"/>
    </w:rPr>
  </w:style>
  <w:style w:type="paragraph" w:styleId="Tytu">
    <w:name w:val="Title"/>
    <w:basedOn w:val="Normalny"/>
    <w:next w:val="Normalny"/>
    <w:link w:val="TytuZnak"/>
    <w:uiPriority w:val="10"/>
    <w:qFormat/>
    <w:rsid w:val="00185BE9"/>
    <w:pPr>
      <w:widowControl/>
      <w:autoSpaceDE/>
      <w:autoSpaceDN/>
      <w:adjustRightInd/>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185BE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85BE9"/>
    <w:pPr>
      <w:widowControl/>
      <w:numPr>
        <w:ilvl w:val="1"/>
      </w:numPr>
      <w:autoSpaceDE/>
      <w:autoSpaceDN/>
      <w:adjustRightInd/>
      <w:spacing w:after="160" w:line="240"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185BE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85BE9"/>
    <w:pPr>
      <w:widowControl/>
      <w:autoSpaceDE/>
      <w:autoSpaceDN/>
      <w:adjustRightInd/>
      <w:spacing w:before="160" w:after="160" w:line="240"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CytatZnak">
    <w:name w:val="Cytat Znak"/>
    <w:basedOn w:val="Domylnaczcionkaakapitu"/>
    <w:link w:val="Cytat"/>
    <w:uiPriority w:val="29"/>
    <w:rsid w:val="00185BE9"/>
    <w:rPr>
      <w:i/>
      <w:iCs/>
      <w:color w:val="404040" w:themeColor="text1" w:themeTint="BF"/>
    </w:rPr>
  </w:style>
  <w:style w:type="paragraph" w:styleId="Akapitzlist">
    <w:name w:val="List Paragraph"/>
    <w:basedOn w:val="Normalny"/>
    <w:uiPriority w:val="34"/>
    <w:qFormat/>
    <w:rsid w:val="00185BE9"/>
    <w:pPr>
      <w:widowControl/>
      <w:autoSpaceDE/>
      <w:autoSpaceDN/>
      <w:adjustRightInd/>
      <w:spacing w:line="240" w:lineRule="auto"/>
      <w:ind w:left="720"/>
      <w:contextualSpacing/>
    </w:pPr>
    <w:rPr>
      <w:rFonts w:asciiTheme="minorHAnsi" w:eastAsiaTheme="minorHAnsi" w:hAnsiTheme="minorHAnsi" w:cstheme="minorBidi"/>
      <w:kern w:val="2"/>
      <w:szCs w:val="24"/>
      <w:lang w:eastAsia="en-US"/>
      <w14:ligatures w14:val="standardContextual"/>
    </w:rPr>
  </w:style>
  <w:style w:type="character" w:styleId="Wyrnienieintensywne">
    <w:name w:val="Intense Emphasis"/>
    <w:basedOn w:val="Domylnaczcionkaakapitu"/>
    <w:uiPriority w:val="21"/>
    <w:qFormat/>
    <w:rsid w:val="00185BE9"/>
    <w:rPr>
      <w:i/>
      <w:iCs/>
      <w:color w:val="0F4761" w:themeColor="accent1" w:themeShade="BF"/>
    </w:rPr>
  </w:style>
  <w:style w:type="paragraph" w:styleId="Cytatintensywny">
    <w:name w:val="Intense Quote"/>
    <w:basedOn w:val="Normalny"/>
    <w:next w:val="Normalny"/>
    <w:link w:val="CytatintensywnyZnak"/>
    <w:uiPriority w:val="30"/>
    <w:qFormat/>
    <w:rsid w:val="00185BE9"/>
    <w:pPr>
      <w:widowControl/>
      <w:pBdr>
        <w:top w:val="single" w:sz="4" w:space="10" w:color="0F4761" w:themeColor="accent1" w:themeShade="BF"/>
        <w:bottom w:val="single" w:sz="4" w:space="10" w:color="0F4761" w:themeColor="accent1" w:themeShade="BF"/>
      </w:pBdr>
      <w:autoSpaceDE/>
      <w:autoSpaceDN/>
      <w:adjustRightInd/>
      <w:spacing w:before="360" w:after="360" w:line="240" w:lineRule="auto"/>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CytatintensywnyZnak">
    <w:name w:val="Cytat intensywny Znak"/>
    <w:basedOn w:val="Domylnaczcionkaakapitu"/>
    <w:link w:val="Cytatintensywny"/>
    <w:uiPriority w:val="30"/>
    <w:rsid w:val="00185BE9"/>
    <w:rPr>
      <w:i/>
      <w:iCs/>
      <w:color w:val="0F4761" w:themeColor="accent1" w:themeShade="BF"/>
    </w:rPr>
  </w:style>
  <w:style w:type="character" w:styleId="Odwoanieintensywne">
    <w:name w:val="Intense Reference"/>
    <w:basedOn w:val="Domylnaczcionkaakapitu"/>
    <w:uiPriority w:val="32"/>
    <w:qFormat/>
    <w:rsid w:val="00185BE9"/>
    <w:rPr>
      <w:b/>
      <w:bCs/>
      <w:smallCaps/>
      <w:color w:val="0F4761" w:themeColor="accent1" w:themeShade="BF"/>
      <w:spacing w:val="5"/>
    </w:rPr>
  </w:style>
  <w:style w:type="paragraph" w:styleId="Nagwek">
    <w:name w:val="header"/>
    <w:basedOn w:val="Normalny"/>
    <w:link w:val="NagwekZnak"/>
    <w:uiPriority w:val="99"/>
    <w:semiHidden/>
    <w:rsid w:val="00185BE9"/>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185BE9"/>
    <w:rPr>
      <w:rFonts w:ascii="Times" w:eastAsia="Times New Roman" w:hAnsi="Times" w:cs="Times New Roman"/>
      <w:kern w:val="1"/>
      <w:lang w:eastAsia="ar-SA"/>
      <w14:ligatures w14:val="none"/>
    </w:rPr>
  </w:style>
  <w:style w:type="paragraph" w:customStyle="1" w:styleId="ARTartustawynprozporzdzenia">
    <w:name w:val="ART(§) – art. ustawy (§ np. rozporządzenia)"/>
    <w:uiPriority w:val="11"/>
    <w:qFormat/>
    <w:rsid w:val="00185BE9"/>
    <w:pPr>
      <w:suppressAutoHyphens/>
      <w:autoSpaceDE w:val="0"/>
      <w:autoSpaceDN w:val="0"/>
      <w:adjustRightInd w:val="0"/>
      <w:spacing w:before="120" w:line="360" w:lineRule="auto"/>
      <w:ind w:firstLine="510"/>
      <w:jc w:val="both"/>
    </w:pPr>
    <w:rPr>
      <w:rFonts w:ascii="Times" w:eastAsiaTheme="minorEastAsia" w:hAnsi="Times" w:cs="Arial"/>
      <w:kern w:val="0"/>
      <w:szCs w:val="20"/>
      <w:lang w:eastAsia="pl-PL"/>
      <w14:ligatures w14:val="none"/>
    </w:rPr>
  </w:style>
  <w:style w:type="paragraph" w:customStyle="1" w:styleId="TYTUAKTUprzedmiotregulacjiustawylubrozporzdzenia">
    <w:name w:val="TYTUŁ_AKTU – przedmiot regulacji ustawy lub rozporządzenia"/>
    <w:next w:val="ARTartustawynprozporzdzenia"/>
    <w:uiPriority w:val="6"/>
    <w:qFormat/>
    <w:rsid w:val="00185BE9"/>
    <w:pPr>
      <w:keepNext/>
      <w:suppressAutoHyphens/>
      <w:spacing w:before="120" w:after="360" w:line="360" w:lineRule="auto"/>
      <w:jc w:val="center"/>
    </w:pPr>
    <w:rPr>
      <w:rFonts w:ascii="Times" w:eastAsiaTheme="minorEastAsia" w:hAnsi="Times" w:cs="Arial"/>
      <w:b/>
      <w:bCs/>
      <w:kern w:val="0"/>
      <w:lang w:eastAsia="pl-PL"/>
      <w14:ligatures w14:val="none"/>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185BE9"/>
    <w:rPr>
      <w:bCs/>
    </w:rPr>
  </w:style>
  <w:style w:type="paragraph" w:customStyle="1" w:styleId="PKTpunkt">
    <w:name w:val="PKT – punkt"/>
    <w:uiPriority w:val="13"/>
    <w:qFormat/>
    <w:rsid w:val="00185BE9"/>
    <w:pPr>
      <w:spacing w:line="360" w:lineRule="auto"/>
      <w:ind w:left="510" w:hanging="510"/>
      <w:jc w:val="both"/>
    </w:pPr>
    <w:rPr>
      <w:rFonts w:ascii="Times" w:eastAsiaTheme="minorEastAsia" w:hAnsi="Times" w:cs="Arial"/>
      <w:bCs/>
      <w:kern w:val="0"/>
      <w:szCs w:val="20"/>
      <w:lang w:eastAsia="pl-PL"/>
      <w14:ligatures w14:val="none"/>
    </w:rPr>
  </w:style>
  <w:style w:type="character" w:customStyle="1" w:styleId="IGindeksgrny">
    <w:name w:val="_IG_ – indeks górny"/>
    <w:basedOn w:val="Domylnaczcionkaakapitu"/>
    <w:uiPriority w:val="2"/>
    <w:qFormat/>
    <w:rsid w:val="00185BE9"/>
    <w:rPr>
      <w:b w:val="0"/>
      <w:i w:val="0"/>
      <w:vanish w:val="0"/>
      <w:spacing w:val="0"/>
      <w:vertAlign w:val="superscript"/>
    </w:rPr>
  </w:style>
  <w:style w:type="paragraph" w:styleId="Poprawka">
    <w:name w:val="Revision"/>
    <w:hidden/>
    <w:uiPriority w:val="99"/>
    <w:semiHidden/>
    <w:rsid w:val="00185BE9"/>
    <w:rPr>
      <w:rFonts w:ascii="Times New Roman" w:eastAsiaTheme="minorEastAsia" w:hAnsi="Times New Roman" w:cs="Arial"/>
      <w:kern w:val="0"/>
      <w:szCs w:val="20"/>
      <w:lang w:eastAsia="pl-PL"/>
      <w14:ligatures w14:val="none"/>
    </w:rPr>
  </w:style>
  <w:style w:type="paragraph" w:customStyle="1" w:styleId="p1">
    <w:name w:val="p1"/>
    <w:basedOn w:val="Normalny"/>
    <w:rsid w:val="005502EF"/>
    <w:pPr>
      <w:widowControl/>
      <w:autoSpaceDE/>
      <w:autoSpaceDN/>
      <w:adjustRightInd/>
      <w:spacing w:before="100" w:beforeAutospacing="1" w:after="100" w:afterAutospacing="1" w:line="240" w:lineRule="auto"/>
    </w:pPr>
    <w:rPr>
      <w:rFonts w:eastAsia="Times New Roman" w:cs="Times New Roman"/>
      <w:szCs w:val="24"/>
    </w:rPr>
  </w:style>
  <w:style w:type="paragraph" w:styleId="NormalnyWeb">
    <w:name w:val="Normal (Web)"/>
    <w:basedOn w:val="Normalny"/>
    <w:uiPriority w:val="99"/>
    <w:semiHidden/>
    <w:unhideWhenUsed/>
    <w:rsid w:val="00C26DAB"/>
    <w:rPr>
      <w:rFonts w:cs="Times New Roman"/>
      <w:szCs w:val="24"/>
    </w:rPr>
  </w:style>
  <w:style w:type="character" w:styleId="Odwoaniedokomentarza">
    <w:name w:val="annotation reference"/>
    <w:basedOn w:val="Domylnaczcionkaakapitu"/>
    <w:uiPriority w:val="99"/>
    <w:semiHidden/>
    <w:unhideWhenUsed/>
    <w:rsid w:val="0044740B"/>
    <w:rPr>
      <w:sz w:val="16"/>
      <w:szCs w:val="16"/>
    </w:rPr>
  </w:style>
  <w:style w:type="paragraph" w:styleId="Tekstkomentarza">
    <w:name w:val="annotation text"/>
    <w:basedOn w:val="Normalny"/>
    <w:link w:val="TekstkomentarzaZnak"/>
    <w:uiPriority w:val="99"/>
    <w:unhideWhenUsed/>
    <w:rsid w:val="0044740B"/>
    <w:pPr>
      <w:spacing w:line="240" w:lineRule="auto"/>
    </w:pPr>
    <w:rPr>
      <w:sz w:val="20"/>
    </w:rPr>
  </w:style>
  <w:style w:type="character" w:customStyle="1" w:styleId="TekstkomentarzaZnak">
    <w:name w:val="Tekst komentarza Znak"/>
    <w:basedOn w:val="Domylnaczcionkaakapitu"/>
    <w:link w:val="Tekstkomentarza"/>
    <w:uiPriority w:val="99"/>
    <w:rsid w:val="0044740B"/>
    <w:rPr>
      <w:rFonts w:ascii="Times New Roman" w:eastAsiaTheme="minorEastAsia" w:hAnsi="Times New Roman" w:cs="Arial"/>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44740B"/>
    <w:rPr>
      <w:b/>
      <w:bCs/>
    </w:rPr>
  </w:style>
  <w:style w:type="character" w:customStyle="1" w:styleId="TematkomentarzaZnak">
    <w:name w:val="Temat komentarza Znak"/>
    <w:basedOn w:val="TekstkomentarzaZnak"/>
    <w:link w:val="Tematkomentarza"/>
    <w:uiPriority w:val="99"/>
    <w:semiHidden/>
    <w:rsid w:val="0044740B"/>
    <w:rPr>
      <w:rFonts w:ascii="Times New Roman" w:eastAsiaTheme="minorEastAsia" w:hAnsi="Times New Roman" w:cs="Arial"/>
      <w:b/>
      <w:bCs/>
      <w:kern w:val="0"/>
      <w:sz w:val="20"/>
      <w:szCs w:val="20"/>
      <w:lang w:eastAsia="pl-PL"/>
      <w14:ligatures w14:val="none"/>
    </w:rPr>
  </w:style>
  <w:style w:type="paragraph" w:styleId="Stopka">
    <w:name w:val="footer"/>
    <w:basedOn w:val="Normalny"/>
    <w:link w:val="StopkaZnak"/>
    <w:uiPriority w:val="99"/>
    <w:unhideWhenUsed/>
    <w:rsid w:val="006A1905"/>
    <w:pPr>
      <w:tabs>
        <w:tab w:val="center" w:pos="4536"/>
        <w:tab w:val="right" w:pos="9072"/>
      </w:tabs>
      <w:spacing w:line="240" w:lineRule="auto"/>
    </w:pPr>
  </w:style>
  <w:style w:type="character" w:customStyle="1" w:styleId="StopkaZnak">
    <w:name w:val="Stopka Znak"/>
    <w:basedOn w:val="Domylnaczcionkaakapitu"/>
    <w:link w:val="Stopka"/>
    <w:uiPriority w:val="99"/>
    <w:rsid w:val="006A1905"/>
    <w:rPr>
      <w:rFonts w:ascii="Times New Roman" w:eastAsiaTheme="minorEastAsia" w:hAnsi="Times New Roman" w:cs="Arial"/>
      <w:kern w:val="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24</Pages>
  <Words>8860</Words>
  <Characters>53161</Characters>
  <Application>Microsoft Office Word</Application>
  <DocSecurity>0</DocSecurity>
  <Lines>443</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Grzesiek Tomczyk</dc:creator>
  <cp:keywords/>
  <dc:description/>
  <cp:lastModifiedBy>Olszak Krzysztof</cp:lastModifiedBy>
  <cp:revision>7</cp:revision>
  <dcterms:created xsi:type="dcterms:W3CDTF">2026-04-27T13:49:00Z</dcterms:created>
  <dcterms:modified xsi:type="dcterms:W3CDTF">2026-04-28T19:10:00Z</dcterms:modified>
</cp:coreProperties>
</file>