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7940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451F72E7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6287DBE9" w14:textId="41CFEAF6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9C6502">
        <w:t>7</w:t>
      </w:r>
      <w:r w:rsidR="005A1419">
        <w:t xml:space="preserve"> maja 2026 r.</w:t>
      </w:r>
    </w:p>
    <w:p w14:paraId="110C6B3D" w14:textId="2C87B868" w:rsidR="00912118" w:rsidRPr="00E000DC" w:rsidRDefault="008F40C5" w:rsidP="00912118">
      <w:pPr>
        <w:pStyle w:val="TYTUAKTUprzedmiotregulacjiustawylubrozporzdzenia"/>
      </w:pPr>
      <w:r>
        <w:t xml:space="preserve">w sprawie ustawy o </w:t>
      </w:r>
      <w:r w:rsidR="00D1708B">
        <w:t>zmianie ustawy o radcach prawnych</w:t>
      </w:r>
    </w:p>
    <w:p w14:paraId="247AC4B9" w14:textId="3146B45B" w:rsidR="00912118" w:rsidRDefault="00912118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D11C3D">
        <w:t xml:space="preserve">17 kwietnia 2026 </w:t>
      </w:r>
      <w:r w:rsidRPr="00E000DC">
        <w:t xml:space="preserve">r. ustawy o </w:t>
      </w:r>
      <w:r w:rsidR="00D11C3D">
        <w:t>zmianie ustawy o radcach prawnych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912118" w:rsidRPr="00B528A4" w14:paraId="03A60AE8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D9C494" w14:textId="77777777" w:rsidR="00912118" w:rsidRPr="00B528A4" w:rsidRDefault="00912118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1570D4E" w14:textId="55094D4D" w:rsidR="00912118" w:rsidRPr="00D11C3D" w:rsidRDefault="00D11C3D" w:rsidP="00D11C3D">
            <w:pPr>
              <w:pStyle w:val="TREPUNKTUWUCHWALESENACKIEJ"/>
            </w:pPr>
            <w:r w:rsidRPr="00D11C3D">
              <w:t xml:space="preserve">w art. 1 </w:t>
            </w:r>
            <w:r w:rsidR="002D24E7">
              <w:t xml:space="preserve">w </w:t>
            </w:r>
            <w:r w:rsidRPr="00D11C3D">
              <w:t>pkt 7, w art. 22</w:t>
            </w:r>
            <w:r w:rsidRPr="00D11C3D">
              <w:rPr>
                <w:rStyle w:val="IGindeksgrny"/>
              </w:rPr>
              <w:t>[2]</w:t>
            </w:r>
            <w:r w:rsidRPr="00D11C3D">
              <w:t xml:space="preserve"> w ust. 4 wyrazy „uporczywie się na nich nie stawia” zastępuje się wyrazami „uporczywie się na te badania nie stawia”;</w:t>
            </w:r>
          </w:p>
        </w:tc>
      </w:tr>
      <w:tr w:rsidR="000A156A" w:rsidRPr="00B528A4" w14:paraId="1BD8795E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FD2826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C77FEE6" w14:textId="2B1098FF" w:rsidR="00D11C3D" w:rsidRPr="00D11C3D" w:rsidRDefault="00D11C3D" w:rsidP="00D11C3D">
            <w:pPr>
              <w:pStyle w:val="TREPUNKTUWUCHWALESENACKIEJ"/>
            </w:pPr>
            <w:r w:rsidRPr="00D11C3D">
              <w:t xml:space="preserve">w art. 1 </w:t>
            </w:r>
            <w:r w:rsidR="002D24E7">
              <w:t xml:space="preserve">w </w:t>
            </w:r>
            <w:r w:rsidRPr="00D11C3D">
              <w:t>pkt 8, w art. 22</w:t>
            </w:r>
            <w:r w:rsidRPr="00D11C3D">
              <w:rPr>
                <w:rStyle w:val="IGindeksgrny"/>
              </w:rPr>
              <w:t>[7]</w:t>
            </w:r>
            <w:r w:rsidRPr="00D11C3D">
              <w:t xml:space="preserve"> ust. 9 otrzymuje brzmienie:</w:t>
            </w:r>
          </w:p>
          <w:p w14:paraId="71F9EBD0" w14:textId="406AE962" w:rsidR="000A156A" w:rsidRPr="00D11C3D" w:rsidRDefault="00D11C3D" w:rsidP="00D11C3D">
            <w:pPr>
              <w:pStyle w:val="ZUSTzmustartykuempunktem"/>
            </w:pPr>
            <w:r w:rsidRPr="00D11C3D">
              <w:t>„9. Dziekani rad okręgowych izb radców prawnych, przekazują – na podstawie list radców prawnych prowadzonych przez te izby, w terminach i na zasadach określonych przez Krajową Radę Radców Prawnych – dane radców prawnych objętych umową, o której mowa w ust. 3, odpowiednio ubezpieczającemu, agentowi ubezpieczeniowemu lub brokerowi ubezpieczeniowemu.”;</w:t>
            </w:r>
          </w:p>
        </w:tc>
      </w:tr>
      <w:tr w:rsidR="000A156A" w:rsidRPr="00B528A4" w14:paraId="1AF2E8D0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AB4B8EE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8689D1F" w14:textId="08D5674C" w:rsidR="00D11C3D" w:rsidRPr="00D11C3D" w:rsidRDefault="00D11C3D" w:rsidP="00D11C3D">
            <w:pPr>
              <w:pStyle w:val="TREPUNKTUWUCHWALESENACKIEJ"/>
            </w:pPr>
            <w:r w:rsidRPr="00D11C3D">
              <w:t xml:space="preserve">w art. 1 </w:t>
            </w:r>
            <w:r w:rsidR="002D24E7">
              <w:t xml:space="preserve">w </w:t>
            </w:r>
            <w:r w:rsidRPr="00D11C3D">
              <w:t>pkt 15, w art. 45</w:t>
            </w:r>
            <w:r w:rsidRPr="00D11C3D">
              <w:rPr>
                <w:rStyle w:val="IGindeksgrny"/>
              </w:rPr>
              <w:t>[1]</w:t>
            </w:r>
            <w:r w:rsidRPr="00D11C3D">
              <w:t>:</w:t>
            </w:r>
          </w:p>
          <w:p w14:paraId="30606C01" w14:textId="032FEB36" w:rsidR="00D11C3D" w:rsidRPr="00D11C3D" w:rsidRDefault="00D11C3D" w:rsidP="00D11C3D">
            <w:pPr>
              <w:pStyle w:val="LITERAWUCHWALESENACKIEJ"/>
            </w:pPr>
            <w:r>
              <w:t>a</w:t>
            </w:r>
            <w:r w:rsidRPr="00D11C3D">
              <w:t>)</w:t>
            </w:r>
            <w:r w:rsidRPr="00D11C3D">
              <w:tab/>
              <w:t>w ust. 1 w pkt 1 i 2,</w:t>
            </w:r>
          </w:p>
          <w:p w14:paraId="7E1C2F9C" w14:textId="3C82DC0B" w:rsidR="00D11C3D" w:rsidRPr="00D11C3D" w:rsidRDefault="00D11C3D" w:rsidP="00D11C3D">
            <w:pPr>
              <w:pStyle w:val="LITERAWUCHWALESENACKIEJ"/>
            </w:pPr>
            <w:r>
              <w:t>b</w:t>
            </w:r>
            <w:r w:rsidRPr="00D11C3D">
              <w:t>)</w:t>
            </w:r>
            <w:r w:rsidRPr="00D11C3D">
              <w:tab/>
              <w:t>w ust. 2 w zdaniu drugim</w:t>
            </w:r>
          </w:p>
          <w:p w14:paraId="62275BA0" w14:textId="621A25DA" w:rsidR="000A156A" w:rsidRPr="00D11C3D" w:rsidRDefault="00D11C3D" w:rsidP="00D11C3D">
            <w:pPr>
              <w:pStyle w:val="CZWSPLNALITERWUCHWALESENACKIEJ"/>
            </w:pPr>
            <w:r w:rsidRPr="00D11C3D">
              <w:t>– wyrazy „przy wykorzystaniu” zastępuje się wyrazami „z wykorzystaniem”;</w:t>
            </w:r>
          </w:p>
        </w:tc>
      </w:tr>
      <w:tr w:rsidR="00FA18DD" w:rsidRPr="00B528A4" w14:paraId="60240CEC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484F81" w14:textId="77777777" w:rsidR="00FA18DD" w:rsidRPr="00B528A4" w:rsidRDefault="00FA18DD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A1EF184" w14:textId="5E151DAB" w:rsidR="00FA18DD" w:rsidRPr="00D11C3D" w:rsidRDefault="00FA18DD" w:rsidP="00D11C3D">
            <w:pPr>
              <w:pStyle w:val="TREPUNKTUWUCHWALESENACKIEJ"/>
            </w:pPr>
            <w:r>
              <w:t xml:space="preserve">w art. 1 </w:t>
            </w:r>
            <w:r w:rsidR="002D24E7">
              <w:t xml:space="preserve">w </w:t>
            </w:r>
            <w:r>
              <w:t>pkt 17, w art. 52a skreśla się wyrazy „oraz 3”;</w:t>
            </w:r>
          </w:p>
        </w:tc>
      </w:tr>
      <w:tr w:rsidR="000A156A" w:rsidRPr="00B528A4" w14:paraId="45121251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DA2550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2D65F48" w14:textId="6C26BE1C" w:rsidR="000A156A" w:rsidRPr="00D11C3D" w:rsidRDefault="00D11C3D" w:rsidP="00D11C3D">
            <w:pPr>
              <w:pStyle w:val="TREPUNKTUWUCHWALESENACKIEJ"/>
            </w:pPr>
            <w:r w:rsidRPr="00D11C3D">
              <w:t>w art. 5 wyrazy „termin do jej wniesienia” zastępuje się wyrazami „termin jej wniesienia”.</w:t>
            </w:r>
          </w:p>
        </w:tc>
      </w:tr>
    </w:tbl>
    <w:p w14:paraId="4A9456AA" w14:textId="77777777" w:rsidR="002E6CB7" w:rsidRPr="007A36AD" w:rsidRDefault="002E6CB7" w:rsidP="002E6CB7">
      <w:pPr>
        <w:pStyle w:val="POPIERAJCYPOPRAWKZAMIESZCZONWZESTAWIENIUWNIOSKW"/>
        <w:rPr>
          <w:color w:val="000000" w:themeColor="text1"/>
        </w:rPr>
      </w:pPr>
    </w:p>
    <w:p w14:paraId="2EE1BE86" w14:textId="77777777" w:rsidR="002E6CB7" w:rsidRDefault="002E6CB7" w:rsidP="002E6CB7">
      <w:pPr>
        <w:ind w:left="5443"/>
        <w:rPr>
          <w:rFonts w:eastAsia="Times New Roman" w:cs="Times New Roman"/>
          <w:b/>
          <w:color w:val="000000" w:themeColor="text1"/>
        </w:rPr>
      </w:pPr>
    </w:p>
    <w:p w14:paraId="37CD8DC7" w14:textId="305458DC" w:rsidR="002E6CB7" w:rsidRDefault="002E6CB7" w:rsidP="002E6CB7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63C4D2D9" w14:textId="77777777" w:rsidR="002E6CB7" w:rsidRDefault="002E6CB7" w:rsidP="002E6CB7">
      <w:pPr>
        <w:ind w:left="5103" w:firstLine="4"/>
        <w:rPr>
          <w:rStyle w:val="Ppogrubienie"/>
          <w:color w:val="000000" w:themeColor="text1"/>
        </w:rPr>
      </w:pPr>
    </w:p>
    <w:p w14:paraId="10D9BA95" w14:textId="77777777" w:rsidR="002E6CB7" w:rsidRDefault="002E6CB7" w:rsidP="002E6CB7">
      <w:pPr>
        <w:ind w:left="5103" w:firstLine="4"/>
        <w:rPr>
          <w:rStyle w:val="Ppogrubienie"/>
          <w:color w:val="000000" w:themeColor="text1"/>
        </w:rPr>
      </w:pPr>
    </w:p>
    <w:p w14:paraId="0BD7A140" w14:textId="338CEFBD" w:rsidR="002E6CB7" w:rsidRDefault="002E6CB7" w:rsidP="002E6CB7">
      <w:pPr>
        <w:tabs>
          <w:tab w:val="left" w:pos="5387"/>
        </w:tabs>
        <w:ind w:left="4962" w:firstLine="283"/>
        <w:rPr>
          <w:rStyle w:val="Ppogrubienie"/>
          <w:color w:val="000000" w:themeColor="text1"/>
        </w:rPr>
      </w:pPr>
      <w:r>
        <w:rPr>
          <w:rStyle w:val="Ppogrubienie"/>
          <w:color w:val="000000" w:themeColor="text1"/>
        </w:rPr>
        <w:t>Małgorzata KIDAWA-BŁOŃSKA</w:t>
      </w:r>
    </w:p>
    <w:p w14:paraId="4ABFB8E7" w14:textId="77777777" w:rsidR="002E6CB7" w:rsidRDefault="002E6CB7" w:rsidP="002E6CB7">
      <w:pPr>
        <w:tabs>
          <w:tab w:val="left" w:pos="5387"/>
        </w:tabs>
        <w:ind w:left="4962" w:firstLine="283"/>
        <w:sectPr w:rsidR="002E6CB7" w:rsidSect="002E6CB7">
          <w:headerReference w:type="default" r:id="rId9"/>
          <w:footnotePr>
            <w:numRestart w:val="eachSect"/>
          </w:footnotePr>
          <w:pgSz w:w="11906" w:h="16838"/>
          <w:pgMar w:top="851" w:right="1434" w:bottom="1560" w:left="1418" w:header="709" w:footer="709" w:gutter="0"/>
          <w:cols w:space="708"/>
          <w:titlePg/>
          <w:docGrid w:linePitch="254"/>
        </w:sectPr>
      </w:pPr>
    </w:p>
    <w:p w14:paraId="6164E43C" w14:textId="77777777" w:rsidR="002E6CB7" w:rsidRDefault="002E6CB7" w:rsidP="00712E6E">
      <w:pPr>
        <w:pStyle w:val="OZNRODZAKTUtznustawalubrozporzdzenieiorganwydajcy"/>
      </w:pPr>
      <w:r>
        <w:lastRenderedPageBreak/>
        <w:t>Uzasadnienie</w:t>
      </w:r>
    </w:p>
    <w:p w14:paraId="7694AFE8" w14:textId="77777777" w:rsidR="002E6CB7" w:rsidRPr="0053367E" w:rsidRDefault="002E6CB7" w:rsidP="00712E6E">
      <w:pPr>
        <w:pStyle w:val="NIEARTTEKSTtekstnieartykuowanynppodstprawnarozplubpreambua"/>
      </w:pPr>
      <w:r w:rsidRPr="0053367E">
        <w:t xml:space="preserve">Na 58. posiedzeniu, </w:t>
      </w:r>
      <w:r>
        <w:t>7</w:t>
      </w:r>
      <w:r w:rsidRPr="0053367E">
        <w:t xml:space="preserve"> maja 2026 r., Senat, po rozpatrzeniu ustawy z dnia 17 kwietnia 2026 r. o zmianie ustawy o radcach prawnych, zadecydował o wprowadzeniu do jej tekstu </w:t>
      </w:r>
      <w:r w:rsidRPr="003F0E8B">
        <w:rPr>
          <w:rStyle w:val="Ppogrubienie"/>
        </w:rPr>
        <w:t>pięciu</w:t>
      </w:r>
      <w:r w:rsidRPr="0053367E">
        <w:t xml:space="preserve"> poprawek.</w:t>
      </w:r>
    </w:p>
    <w:p w14:paraId="412D4D85" w14:textId="77777777" w:rsidR="002E6CB7" w:rsidRDefault="002E6CB7" w:rsidP="00712E6E">
      <w:pPr>
        <w:pStyle w:val="NIEARTTEKSTtekstnieartykuowanynppodstprawnarozplubpreambua"/>
      </w:pPr>
      <w:r w:rsidRPr="0043697F">
        <w:rPr>
          <w:rStyle w:val="Ppogrubienie"/>
        </w:rPr>
        <w:t>Poprawki nr 1–3</w:t>
      </w:r>
      <w:r>
        <w:t xml:space="preserve"> i </w:t>
      </w:r>
      <w:r w:rsidRPr="0043697F">
        <w:rPr>
          <w:rStyle w:val="Ppogrubienie"/>
        </w:rPr>
        <w:t>5</w:t>
      </w:r>
      <w:r w:rsidRPr="00F46FF0">
        <w:t xml:space="preserve"> mają na celu korektę </w:t>
      </w:r>
      <w:r>
        <w:t>błędów językowych, usunięcie nadmiarowej regulacji lub mają charakter redakcyjny</w:t>
      </w:r>
      <w:r w:rsidRPr="00F46FF0">
        <w:t>.</w:t>
      </w:r>
    </w:p>
    <w:p w14:paraId="0203B313" w14:textId="77777777" w:rsidR="002E6CB7" w:rsidRDefault="002E6CB7" w:rsidP="00322E64">
      <w:pPr>
        <w:pStyle w:val="NIEARTTEKSTtekstnieartykuowanynppodstprawnarozplubpreambua"/>
      </w:pPr>
      <w:r w:rsidRPr="0043697F">
        <w:rPr>
          <w:rStyle w:val="Ppogrubienie"/>
        </w:rPr>
        <w:t>Poprawka nr 4</w:t>
      </w:r>
      <w:r>
        <w:t xml:space="preserve"> odbiera okręgowym izbom radców prawnych uprawnienia organizacji pozarządowej (</w:t>
      </w:r>
      <w:r w:rsidRPr="00651437">
        <w:t>w postępowaniu cywilnym</w:t>
      </w:r>
      <w:r>
        <w:t xml:space="preserve">) albo </w:t>
      </w:r>
      <w:r w:rsidRPr="00651437">
        <w:t>organizacji społecznej</w:t>
      </w:r>
      <w:r>
        <w:t xml:space="preserve"> (w postępowaniach: </w:t>
      </w:r>
      <w:r w:rsidRPr="00651437">
        <w:t xml:space="preserve">karnym, administracyjnym i </w:t>
      </w:r>
      <w:proofErr w:type="spellStart"/>
      <w:r w:rsidRPr="00651437">
        <w:t>sądowoadministracyjnym</w:t>
      </w:r>
      <w:proofErr w:type="spellEnd"/>
      <w:r>
        <w:t xml:space="preserve">) w ramach wykonywania przez te izby zadań w zakresie </w:t>
      </w:r>
      <w:r w:rsidRPr="00651437">
        <w:t>nadz</w:t>
      </w:r>
      <w:r>
        <w:t>oru</w:t>
      </w:r>
      <w:r w:rsidRPr="00651437">
        <w:t xml:space="preserve"> nad należytym wykonywaniem zawodu przez radców prawnych i</w:t>
      </w:r>
      <w:r>
        <w:t> </w:t>
      </w:r>
      <w:r w:rsidRPr="00651437">
        <w:t xml:space="preserve">aplikantów radcowskich oraz </w:t>
      </w:r>
      <w:r>
        <w:t xml:space="preserve">nad </w:t>
      </w:r>
      <w:r w:rsidRPr="00651437">
        <w:t>warunkami jego wykonywania</w:t>
      </w:r>
      <w:r>
        <w:t>.</w:t>
      </w:r>
    </w:p>
    <w:p w14:paraId="62F98584" w14:textId="77777777" w:rsidR="002E6CB7" w:rsidRDefault="002E6CB7" w:rsidP="00322E64">
      <w:pPr>
        <w:pStyle w:val="NIEARTTEKSTtekstnieartykuowanynppodstprawnarozplubpreambua"/>
      </w:pPr>
      <w:r>
        <w:t>Powyższe uprawnienia izb są – w przekonaniu Senatu – w pełni uzasadnione w ramach wykonywania przez nie zadań w zakresie ochrony niezależności radców prawnych oraz tajemnicy zawodowej, ponieważ może zaistnieć potrzeba wsparcia radcy prawnego (w postaci przyłączenia się przez organ samorządu zawodowego do postępowania), na przykład</w:t>
      </w:r>
      <w:r>
        <w:br/>
        <w:t>w – zagrażającym zachowaniu tajemnicy zawodowej – starciu z szeroko pojętą administracją państwową.</w:t>
      </w:r>
    </w:p>
    <w:p w14:paraId="40D5E619" w14:textId="01370136" w:rsidR="002E6CB7" w:rsidRDefault="002E6CB7" w:rsidP="002E6CB7">
      <w:pPr>
        <w:pStyle w:val="NIEARTTEKSTtekstnieartykuowanynppodstprawnarozplubpreambua"/>
      </w:pPr>
      <w:r>
        <w:t xml:space="preserve">Natomiast w sferze </w:t>
      </w:r>
      <w:r w:rsidRPr="00651437">
        <w:t>nadz</w:t>
      </w:r>
      <w:r>
        <w:t>oru</w:t>
      </w:r>
      <w:r w:rsidRPr="00651437">
        <w:t xml:space="preserve"> nad należytym wykonywaniem zawodu oraz </w:t>
      </w:r>
      <w:r>
        <w:t xml:space="preserve">nad </w:t>
      </w:r>
      <w:r w:rsidRPr="00651437">
        <w:t>warunkami jego wykonywania</w:t>
      </w:r>
      <w:r>
        <w:t>, izby dysponują wystarczającymi instrumentami kontroli sumienności (rzetelności) poszczególnych radców prawnych (takimi jak na przykład ostrzeżenia dziekańskie i postępowanie dyscyplinarne), więc zapewnienie im dodatkowych narzędzi nie znajduje – w opinii Senatu – uzasadnienia. Co więcej, zdaniem Senatu, nadanie uprawnień organizacji pozarządowej (społecznej) podmiotowi wykonującemu zadania publiczne może rodzić niebezpieczeństwo wykorzystania tego instrumentu przeciwko konkretnemu radcy prawnemu, na przykład z powodu rodzaju prowadzonych przezeń spraw lub klientów, których reprezentuje. Senat dostrzega więc tu ryzyko wykorzystania pozornie neutralnych uprawnień w sposób potencjalnie godzący w autonomię radców prawnych.</w:t>
      </w:r>
    </w:p>
    <w:sectPr w:rsidR="002E6CB7" w:rsidSect="00600232">
      <w:headerReference w:type="default" r:id="rId10"/>
      <w:footnotePr>
        <w:numRestart w:val="eachSect"/>
      </w:footnotePr>
      <w:pgSz w:w="11906" w:h="16838"/>
      <w:pgMar w:top="851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5CE51" w14:textId="77777777" w:rsidR="00CA3B0A" w:rsidRDefault="00CA3B0A">
      <w:r>
        <w:separator/>
      </w:r>
    </w:p>
  </w:endnote>
  <w:endnote w:type="continuationSeparator" w:id="0">
    <w:p w14:paraId="1B0874D2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1EDDB" w14:textId="77777777" w:rsidR="00CA3B0A" w:rsidRDefault="00CA3B0A">
      <w:r>
        <w:separator/>
      </w:r>
    </w:p>
  </w:footnote>
  <w:footnote w:type="continuationSeparator" w:id="0">
    <w:p w14:paraId="5B63B284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0848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47243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E6CB7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24E7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6CB7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F1E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700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1419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476BE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502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1C3D"/>
    <w:rsid w:val="00D15197"/>
    <w:rsid w:val="00D16820"/>
    <w:rsid w:val="00D169C8"/>
    <w:rsid w:val="00D1708B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18DD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06EED"/>
  <w15:docId w15:val="{F3CCA17D-DF72-4C70-8074-2EB36702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CB7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453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Kopytowski Maciej</cp:lastModifiedBy>
  <cp:revision>5</cp:revision>
  <cp:lastPrinted>2026-05-07T07:43:00Z</cp:lastPrinted>
  <dcterms:created xsi:type="dcterms:W3CDTF">2026-05-06T13:29:00Z</dcterms:created>
  <dcterms:modified xsi:type="dcterms:W3CDTF">2026-05-07T09:32:00Z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