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088E" w14:textId="77777777" w:rsidR="00027D06" w:rsidRPr="00027D06" w:rsidRDefault="00027D06" w:rsidP="00027D06">
      <w:pPr>
        <w:spacing w:after="0" w:line="360" w:lineRule="auto"/>
        <w:jc w:val="right"/>
        <w:rPr>
          <w:rFonts w:ascii="Times New Roman" w:eastAsia="Times New Roman" w:hAnsi="Times New Roman" w:cs="Arial"/>
          <w:kern w:val="0"/>
          <w:sz w:val="24"/>
          <w:szCs w:val="20"/>
          <w:u w:val="single"/>
          <w:lang w:eastAsia="pl-PL"/>
          <w14:ligatures w14:val="none"/>
        </w:rPr>
      </w:pPr>
      <w:bookmarkStart w:id="0" w:name="_Hlk173852075"/>
      <w:bookmarkStart w:id="1" w:name="_Hlk179894362"/>
      <w:r w:rsidRPr="00027D06">
        <w:rPr>
          <w:rFonts w:ascii="Times New Roman" w:eastAsia="Times New Roman" w:hAnsi="Times New Roman" w:cs="Arial"/>
          <w:kern w:val="0"/>
          <w:sz w:val="24"/>
          <w:szCs w:val="20"/>
          <w:u w:val="single"/>
          <w:lang w:eastAsia="pl-PL"/>
          <w14:ligatures w14:val="none"/>
        </w:rPr>
        <w:t>Projekt</w:t>
      </w:r>
    </w:p>
    <w:p w14:paraId="16021F3B" w14:textId="77777777" w:rsidR="00027D06" w:rsidRPr="00027D06" w:rsidRDefault="00027D06" w:rsidP="00027D06">
      <w:pPr>
        <w:keepNext/>
        <w:suppressAutoHyphens/>
        <w:spacing w:after="120" w:line="360" w:lineRule="auto"/>
        <w:jc w:val="center"/>
        <w:rPr>
          <w:rFonts w:ascii="Times" w:eastAsia="Times New Roman" w:hAnsi="Times" w:cs="Times New Roman"/>
          <w:b/>
          <w:bCs/>
          <w:caps/>
          <w:spacing w:val="54"/>
          <w:kern w:val="24"/>
          <w:sz w:val="24"/>
          <w:szCs w:val="24"/>
          <w:lang w:eastAsia="pl-PL"/>
          <w14:ligatures w14:val="none"/>
        </w:rPr>
      </w:pPr>
      <w:r w:rsidRPr="00027D06">
        <w:rPr>
          <w:rFonts w:ascii="Times" w:eastAsia="Times New Roman" w:hAnsi="Times" w:cs="Times New Roman"/>
          <w:b/>
          <w:bCs/>
          <w:caps/>
          <w:spacing w:val="54"/>
          <w:kern w:val="24"/>
          <w:sz w:val="24"/>
          <w:szCs w:val="24"/>
          <w:lang w:eastAsia="pl-PL"/>
          <w14:ligatures w14:val="none"/>
        </w:rPr>
        <w:t>Ustawa</w:t>
      </w:r>
    </w:p>
    <w:p w14:paraId="6A74E6A2" w14:textId="77777777" w:rsidR="00027D06" w:rsidRPr="00027D06" w:rsidRDefault="00027D06" w:rsidP="00027D06">
      <w:pPr>
        <w:keepNext/>
        <w:suppressAutoHyphens/>
        <w:spacing w:before="120" w:after="120" w:line="360" w:lineRule="auto"/>
        <w:jc w:val="center"/>
        <w:rPr>
          <w:rFonts w:ascii="Times" w:eastAsia="Times New Roman" w:hAnsi="Times" w:cs="Arial"/>
          <w:bCs/>
          <w:kern w:val="0"/>
          <w:sz w:val="24"/>
          <w:szCs w:val="24"/>
          <w:lang w:eastAsia="pl-PL"/>
          <w14:ligatures w14:val="none"/>
        </w:rPr>
      </w:pPr>
      <w:r w:rsidRPr="00027D06">
        <w:rPr>
          <w:rFonts w:ascii="Times" w:eastAsia="Times New Roman" w:hAnsi="Times" w:cs="Arial"/>
          <w:bCs/>
          <w:kern w:val="0"/>
          <w:sz w:val="24"/>
          <w:szCs w:val="24"/>
          <w:lang w:eastAsia="pl-PL"/>
          <w14:ligatures w14:val="none"/>
        </w:rPr>
        <w:t xml:space="preserve">z dnia </w:t>
      </w:r>
    </w:p>
    <w:p w14:paraId="21C0CAA4" w14:textId="77777777" w:rsidR="00027D06" w:rsidRPr="00027D06" w:rsidRDefault="00027D06" w:rsidP="00027D06">
      <w:pPr>
        <w:keepNext/>
        <w:suppressAutoHyphens/>
        <w:spacing w:before="120" w:after="360" w:line="360" w:lineRule="auto"/>
        <w:jc w:val="center"/>
        <w:rPr>
          <w:rFonts w:ascii="Times" w:eastAsia="Times New Roman" w:hAnsi="Times" w:cs="Arial"/>
          <w:b/>
          <w:bCs/>
          <w:kern w:val="0"/>
          <w:sz w:val="24"/>
          <w:szCs w:val="24"/>
          <w:lang w:eastAsia="pl-PL"/>
          <w14:ligatures w14:val="none"/>
        </w:rPr>
      </w:pPr>
      <w:r w:rsidRPr="00027D06">
        <w:rPr>
          <w:rFonts w:ascii="Times" w:eastAsia="Times New Roman" w:hAnsi="Times" w:cs="Arial"/>
          <w:b/>
          <w:bCs/>
          <w:kern w:val="0"/>
          <w:sz w:val="24"/>
          <w:szCs w:val="24"/>
          <w:lang w:eastAsia="pl-PL"/>
          <w14:ligatures w14:val="none"/>
        </w:rPr>
        <w:t>o rynku kryptoaktywów</w:t>
      </w:r>
      <w:r w:rsidRPr="00027D06">
        <w:rPr>
          <w:rFonts w:ascii="Times" w:eastAsia="Times New Roman" w:hAnsi="Times" w:cs="Arial"/>
          <w:bCs/>
          <w:kern w:val="0"/>
          <w:sz w:val="24"/>
          <w:szCs w:val="24"/>
          <w:vertAlign w:val="superscript"/>
          <w:lang w:eastAsia="pl-PL"/>
          <w14:ligatures w14:val="none"/>
        </w:rPr>
        <w:footnoteReference w:id="1"/>
      </w:r>
      <w:r w:rsidRPr="00027D06">
        <w:rPr>
          <w:rFonts w:ascii="Times" w:eastAsia="Times New Roman" w:hAnsi="Times" w:cs="Arial"/>
          <w:bCs/>
          <w:kern w:val="0"/>
          <w:sz w:val="24"/>
          <w:szCs w:val="24"/>
          <w:vertAlign w:val="superscript"/>
          <w:lang w:eastAsia="pl-PL"/>
          <w14:ligatures w14:val="none"/>
        </w:rPr>
        <w:t xml:space="preserve">), </w:t>
      </w:r>
      <w:r w:rsidRPr="00027D06">
        <w:rPr>
          <w:rFonts w:ascii="Times" w:eastAsia="Times New Roman" w:hAnsi="Times" w:cs="Arial"/>
          <w:bCs/>
          <w:kern w:val="0"/>
          <w:sz w:val="24"/>
          <w:szCs w:val="24"/>
          <w:vertAlign w:val="superscript"/>
          <w:lang w:eastAsia="pl-PL"/>
          <w14:ligatures w14:val="none"/>
        </w:rPr>
        <w:footnoteReference w:id="2"/>
      </w:r>
      <w:r w:rsidRPr="00027D06">
        <w:rPr>
          <w:rFonts w:ascii="Times" w:eastAsia="Times New Roman" w:hAnsi="Times" w:cs="Arial"/>
          <w:bCs/>
          <w:kern w:val="0"/>
          <w:sz w:val="24"/>
          <w:szCs w:val="24"/>
          <w:vertAlign w:val="superscript"/>
          <w:lang w:eastAsia="pl-PL"/>
          <w14:ligatures w14:val="none"/>
        </w:rPr>
        <w:t>)</w:t>
      </w:r>
    </w:p>
    <w:p w14:paraId="7C2ABDBB"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27D06">
        <w:rPr>
          <w:rFonts w:ascii="Times" w:eastAsia="Times New Roman" w:hAnsi="Times" w:cs="Arial"/>
          <w:bCs/>
          <w:kern w:val="24"/>
          <w:sz w:val="24"/>
          <w:szCs w:val="24"/>
          <w:lang w:eastAsia="pl-PL"/>
          <w14:ligatures w14:val="none"/>
        </w:rPr>
        <w:t>Rozdział 1</w:t>
      </w:r>
    </w:p>
    <w:p w14:paraId="0EBDAC11" w14:textId="77777777" w:rsidR="00027D06" w:rsidRPr="00027D06"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Przepisy ogólne</w:t>
      </w:r>
    </w:p>
    <w:p w14:paraId="1D7EC8D7"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 xml:space="preserve">Art. 1. </w:t>
      </w:r>
      <w:r w:rsidRPr="00027D06">
        <w:rPr>
          <w:rFonts w:ascii="Times" w:eastAsia="Times New Roman" w:hAnsi="Times" w:cs="Arial"/>
          <w:kern w:val="0"/>
          <w:sz w:val="24"/>
          <w:szCs w:val="20"/>
          <w:lang w:eastAsia="pl-PL"/>
          <w14:ligatures w14:val="none"/>
        </w:rPr>
        <w:t>1. Ustawa określa:</w:t>
      </w:r>
    </w:p>
    <w:p w14:paraId="23EBB09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r>
      <w:bookmarkStart w:id="2" w:name="_Hlk178589326"/>
      <w:r w:rsidRPr="00027D06">
        <w:rPr>
          <w:rFonts w:ascii="Times" w:eastAsia="Times New Roman" w:hAnsi="Times" w:cs="Arial"/>
          <w:bCs/>
          <w:kern w:val="0"/>
          <w:sz w:val="24"/>
          <w:szCs w:val="20"/>
          <w:lang w:eastAsia="pl-PL"/>
          <w14:ligatures w14:val="none"/>
        </w:rPr>
        <w:t>szczegółowe zasady prowadzenia działalności w zakresie kryptoaktywów;</w:t>
      </w:r>
    </w:p>
    <w:p w14:paraId="23E1FAC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zasady odpowiedzialności cywilnej w związku z dokumentem informacyjnym dotyczącym kryptoaktywa oraz zmienionym dokumentem informacyjnym dotyczącym kryptoaktywa;</w:t>
      </w:r>
    </w:p>
    <w:p w14:paraId="2F5D818D"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organizację i zasady wykonywania nadzoru nad rynkiem kryptoaktywów.</w:t>
      </w:r>
    </w:p>
    <w:bookmarkEnd w:id="2"/>
    <w:p w14:paraId="313FC3FB"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Nadzór nad rynkiem kryptoaktywów obejmuje:</w:t>
      </w:r>
    </w:p>
    <w:p w14:paraId="764E522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1)</w:t>
      </w:r>
      <w:r w:rsidRPr="00027D06">
        <w:rPr>
          <w:rFonts w:ascii="Times" w:eastAsia="Times New Roman" w:hAnsi="Times" w:cs="Arial"/>
          <w:bCs/>
          <w:kern w:val="0"/>
          <w:sz w:val="24"/>
          <w:szCs w:val="20"/>
          <w:lang w:eastAsia="pl-PL"/>
          <w14:ligatures w14:val="none"/>
        </w:rPr>
        <w:tab/>
        <w:t>nadzór nad oferującymi, osobami ubiegającymi się o dopuszczenie kryptoaktywów do obrotu, emitentami tokenów powiązanych z aktywami lub tokenów będących e-pieniądzem i dostawcami usług w zakresie kryptoaktywów;</w:t>
      </w:r>
    </w:p>
    <w:p w14:paraId="35B226BD"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ujawnianie nadużyć na rynku kryptoaktywów i zapobieganie im.</w:t>
      </w:r>
    </w:p>
    <w:p w14:paraId="0E84FDA6"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i/>
          <w:kern w:val="0"/>
          <w:sz w:val="24"/>
          <w:szCs w:val="20"/>
          <w:lang w:eastAsia="pl-PL"/>
          <w14:ligatures w14:val="none"/>
        </w:rPr>
      </w:pPr>
      <w:r w:rsidRPr="00027D06">
        <w:rPr>
          <w:rFonts w:ascii="Times" w:eastAsia="Times New Roman" w:hAnsi="Times" w:cs="Arial"/>
          <w:b/>
          <w:kern w:val="0"/>
          <w:sz w:val="24"/>
          <w:szCs w:val="20"/>
          <w:lang w:eastAsia="pl-PL"/>
          <w14:ligatures w14:val="none"/>
        </w:rPr>
        <w:t xml:space="preserve">Art. 2. </w:t>
      </w:r>
      <w:r w:rsidRPr="00027D06">
        <w:rPr>
          <w:rFonts w:ascii="Times" w:eastAsia="Times New Roman" w:hAnsi="Times" w:cs="Arial"/>
          <w:kern w:val="0"/>
          <w:sz w:val="24"/>
          <w:szCs w:val="20"/>
          <w:lang w:eastAsia="pl-PL"/>
          <w14:ligatures w14:val="none"/>
        </w:rPr>
        <w:t>Ilekroć w ustawie jest mowa o:</w:t>
      </w:r>
    </w:p>
    <w:p w14:paraId="1F038CBE"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dniu roboczym – rozumie się przez to każdy dzień od poniedziałku do piątku, z wyłączeniem dni ustawowo wolnych od pracy;</w:t>
      </w:r>
    </w:p>
    <w:p w14:paraId="663B1AC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dostawcy usług hostingowych – rozumie się przez to podmiot świadczący usługi hostingu w rozumieniu art. 3 lit. g pkt iii rozporządzenia Parlamentu Europejskiego i Rady (UE) 2022/2065 z dnia 19 października 2022 r. w sprawie jednolitego rynku usług cyfrowych oraz zmiany dyrektywy 2000/31/WE (akt o usługach cyfrowych) (Dz. Urz. UE L 277 z 27.10.2022, str. 1, z późn. zm.</w:t>
      </w:r>
      <w:r w:rsidRPr="00027D06">
        <w:rPr>
          <w:rFonts w:ascii="Times" w:eastAsia="Times New Roman" w:hAnsi="Times" w:cs="Arial"/>
          <w:bCs/>
          <w:kern w:val="0"/>
          <w:sz w:val="24"/>
          <w:szCs w:val="20"/>
          <w:vertAlign w:val="superscript"/>
          <w:lang w:eastAsia="pl-PL"/>
          <w14:ligatures w14:val="none"/>
        </w:rPr>
        <w:footnoteReference w:id="3"/>
      </w:r>
      <w:r w:rsidRPr="00027D06">
        <w:rPr>
          <w:rFonts w:ascii="Times" w:eastAsia="Times New Roman" w:hAnsi="Times" w:cs="Arial"/>
          <w:bCs/>
          <w:kern w:val="0"/>
          <w:sz w:val="24"/>
          <w:szCs w:val="20"/>
          <w:vertAlign w:val="superscript"/>
          <w:lang w:eastAsia="pl-PL"/>
          <w14:ligatures w14:val="none"/>
        </w:rPr>
        <w:t>)</w:t>
      </w:r>
      <w:r w:rsidRPr="00027D06">
        <w:rPr>
          <w:rFonts w:ascii="Times" w:eastAsia="Times New Roman" w:hAnsi="Times" w:cs="Arial"/>
          <w:bCs/>
          <w:kern w:val="0"/>
          <w:sz w:val="24"/>
          <w:szCs w:val="20"/>
          <w:lang w:eastAsia="pl-PL"/>
          <w14:ligatures w14:val="none"/>
        </w:rPr>
        <w:t>);</w:t>
      </w:r>
    </w:p>
    <w:p w14:paraId="047F489F"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r>
      <w:bookmarkStart w:id="3" w:name="_Hlk178590439"/>
      <w:r w:rsidRPr="00027D06">
        <w:rPr>
          <w:rFonts w:ascii="Times" w:eastAsia="Times New Roman" w:hAnsi="Times" w:cs="Arial"/>
          <w:bCs/>
          <w:kern w:val="0"/>
          <w:sz w:val="24"/>
          <w:szCs w:val="20"/>
          <w:lang w:eastAsia="pl-PL"/>
          <w14:ligatures w14:val="none"/>
        </w:rPr>
        <w:t>dostawcy usług w zakresie kryptoaktywów – rozumie się przez to dostawcę usług w zakresie kryptoaktywów w rozumieniu art. 3 ust. 1 pkt 15 rozporządzenia 2023/1114;</w:t>
      </w:r>
      <w:bookmarkEnd w:id="3"/>
    </w:p>
    <w:p w14:paraId="2211A6B3"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w:t>
      </w:r>
      <w:r w:rsidRPr="00027D06">
        <w:rPr>
          <w:rFonts w:ascii="Times" w:eastAsia="Times New Roman" w:hAnsi="Times" w:cs="Arial"/>
          <w:bCs/>
          <w:kern w:val="0"/>
          <w:sz w:val="24"/>
          <w:szCs w:val="20"/>
          <w:lang w:eastAsia="pl-PL"/>
          <w14:ligatures w14:val="none"/>
        </w:rPr>
        <w:tab/>
        <w:t>emitencie – rozumie się przez to emitenta w rozumieniu art. 3 ust. 1 pkt 10 rozporządzenia 2023/1114;</w:t>
      </w:r>
    </w:p>
    <w:p w14:paraId="1A34D79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w:t>
      </w:r>
      <w:r w:rsidRPr="00027D06">
        <w:rPr>
          <w:rFonts w:ascii="Times" w:eastAsia="Times New Roman" w:hAnsi="Times" w:cs="Arial"/>
          <w:bCs/>
          <w:kern w:val="0"/>
          <w:sz w:val="24"/>
          <w:szCs w:val="20"/>
          <w:lang w:eastAsia="pl-PL"/>
          <w14:ligatures w14:val="none"/>
        </w:rPr>
        <w:tab/>
        <w:t>informacji poufnej – rozumie się przez to informację poufną, o której mowa w art. 87 rozporządzenia 2023/1114;</w:t>
      </w:r>
    </w:p>
    <w:p w14:paraId="783F053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w:t>
      </w:r>
      <w:r w:rsidRPr="00027D06">
        <w:rPr>
          <w:rFonts w:ascii="Times" w:eastAsia="Times New Roman" w:hAnsi="Times" w:cs="Arial"/>
          <w:bCs/>
          <w:kern w:val="0"/>
          <w:sz w:val="24"/>
          <w:szCs w:val="20"/>
          <w:lang w:eastAsia="pl-PL"/>
          <w14:ligatures w14:val="none"/>
        </w:rPr>
        <w:tab/>
        <w:t>interfejsie internetowym – rozumie się przez to interfejs internetowy w rozumieniu art. 3 ust. 1 pkt 38 rozporządzenia 2023/1114;</w:t>
      </w:r>
    </w:p>
    <w:p w14:paraId="24B898AE"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7)</w:t>
      </w:r>
      <w:r w:rsidRPr="00027D06">
        <w:rPr>
          <w:rFonts w:ascii="Times" w:eastAsia="Times New Roman" w:hAnsi="Times" w:cs="Arial"/>
          <w:bCs/>
          <w:kern w:val="0"/>
          <w:sz w:val="24"/>
          <w:szCs w:val="20"/>
          <w:lang w:eastAsia="pl-PL"/>
          <w14:ligatures w14:val="none"/>
        </w:rPr>
        <w:tab/>
        <w:t>jednostce dominującej – rozumie się przez to osobę fizyczną, osobę prawną oraz jednostkę organizacyjną nieposiadającą osobowości prawnej sprawujące kontrolę nad jednostką zależną w sposób określony w art. 3 ust. 1 pkt 37 ustawy z dnia 29 września 1994 r. o rachunkowości (Dz. U. z 2023 r. poz. 120, z późn. zm.</w:t>
      </w:r>
      <w:r w:rsidRPr="00027D06">
        <w:rPr>
          <w:rFonts w:ascii="Times" w:eastAsia="Times New Roman" w:hAnsi="Times" w:cs="Arial"/>
          <w:bCs/>
          <w:kern w:val="0"/>
          <w:sz w:val="24"/>
          <w:szCs w:val="20"/>
          <w:vertAlign w:val="superscript"/>
          <w:lang w:eastAsia="pl-PL"/>
          <w14:ligatures w14:val="none"/>
        </w:rPr>
        <w:footnoteReference w:id="4"/>
      </w:r>
      <w:r w:rsidRPr="00027D06">
        <w:rPr>
          <w:rFonts w:ascii="Times" w:eastAsia="Times New Roman" w:hAnsi="Times" w:cs="Arial"/>
          <w:bCs/>
          <w:kern w:val="0"/>
          <w:sz w:val="24"/>
          <w:szCs w:val="20"/>
          <w:vertAlign w:val="superscript"/>
          <w:lang w:eastAsia="pl-PL"/>
          <w14:ligatures w14:val="none"/>
        </w:rPr>
        <w:t>)</w:t>
      </w:r>
      <w:r w:rsidRPr="00027D06">
        <w:rPr>
          <w:rFonts w:ascii="Times" w:eastAsia="Times New Roman" w:hAnsi="Times" w:cs="Arial"/>
          <w:bCs/>
          <w:kern w:val="0"/>
          <w:sz w:val="24"/>
          <w:szCs w:val="20"/>
          <w:lang w:eastAsia="pl-PL"/>
          <w14:ligatures w14:val="none"/>
        </w:rPr>
        <w:t>);</w:t>
      </w:r>
    </w:p>
    <w:p w14:paraId="58C6029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8)</w:t>
      </w:r>
      <w:r w:rsidRPr="00027D06">
        <w:rPr>
          <w:rFonts w:ascii="Times" w:eastAsia="Times New Roman" w:hAnsi="Times" w:cs="Arial"/>
          <w:bCs/>
          <w:kern w:val="0"/>
          <w:sz w:val="24"/>
          <w:szCs w:val="20"/>
          <w:lang w:eastAsia="pl-PL"/>
          <w14:ligatures w14:val="none"/>
        </w:rPr>
        <w:tab/>
        <w:t xml:space="preserve">jednostce zależnej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rozumie się przez to jednostkę kontrolowaną przez jednostkę dominującą;</w:t>
      </w:r>
    </w:p>
    <w:p w14:paraId="3F5DF0E2"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9)</w:t>
      </w:r>
      <w:r w:rsidRPr="00027D06">
        <w:rPr>
          <w:rFonts w:ascii="Times" w:eastAsia="Times New Roman" w:hAnsi="Times" w:cs="Arial"/>
          <w:bCs/>
          <w:kern w:val="0"/>
          <w:sz w:val="24"/>
          <w:szCs w:val="20"/>
          <w:lang w:eastAsia="pl-PL"/>
          <w14:ligatures w14:val="none"/>
        </w:rPr>
        <w:tab/>
        <w:t>kliencie – rozumie się przez to klienta w rozumieniu art. 3 ust. 1 pkt 39 rozporządzenia 2023/1114;</w:t>
      </w:r>
    </w:p>
    <w:p w14:paraId="11EEF76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10)</w:t>
      </w:r>
      <w:r w:rsidRPr="00027D06">
        <w:rPr>
          <w:rFonts w:ascii="Times" w:eastAsia="Times New Roman" w:hAnsi="Times" w:cs="Arial"/>
          <w:bCs/>
          <w:kern w:val="0"/>
          <w:sz w:val="24"/>
          <w:szCs w:val="20"/>
          <w:lang w:eastAsia="pl-PL"/>
          <w14:ligatures w14:val="none"/>
        </w:rPr>
        <w:tab/>
        <w:t>Komisji – rozumie się przez to Komisję Nadzoru Finansowego;</w:t>
      </w:r>
    </w:p>
    <w:p w14:paraId="1794FF96"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11)</w:t>
      </w:r>
      <w:r w:rsidRPr="00027D06">
        <w:rPr>
          <w:rFonts w:ascii="Times" w:eastAsia="Times New Roman" w:hAnsi="Times" w:cs="Arial"/>
          <w:bCs/>
          <w:kern w:val="0"/>
          <w:sz w:val="24"/>
          <w:szCs w:val="20"/>
          <w:lang w:eastAsia="pl-PL"/>
          <w14:ligatures w14:val="none"/>
        </w:rPr>
        <w:tab/>
        <w:t>kryptoaktywie – rozumie się przez to kryptoaktywo w rozumieniu art. 3 ust. 1 pkt 5 rozporządzenia 2023/1114;</w:t>
      </w:r>
    </w:p>
    <w:p w14:paraId="4A1DCB93"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12)</w:t>
      </w:r>
      <w:r w:rsidRPr="00027D06">
        <w:rPr>
          <w:rFonts w:ascii="Times" w:eastAsia="Times New Roman" w:hAnsi="Times" w:cs="Arial"/>
          <w:bCs/>
          <w:kern w:val="0"/>
          <w:sz w:val="24"/>
          <w:szCs w:val="20"/>
          <w:lang w:eastAsia="pl-PL"/>
          <w14:ligatures w14:val="none"/>
        </w:rPr>
        <w:tab/>
        <w:t xml:space="preserve">macierzystym państwie członkowskim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rozumie się przez to macierzyste państwo członkowskie w rozumieniu art. 3 ust. 1 pkt 33 rozporządzenia 2023/1114;</w:t>
      </w:r>
    </w:p>
    <w:p w14:paraId="74179513"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13)</w:t>
      </w:r>
      <w:r w:rsidRPr="00027D06">
        <w:rPr>
          <w:rFonts w:ascii="Times" w:eastAsia="Times New Roman" w:hAnsi="Times" w:cs="Arial"/>
          <w:bCs/>
          <w:kern w:val="0"/>
          <w:sz w:val="24"/>
          <w:szCs w:val="20"/>
          <w:lang w:eastAsia="pl-PL"/>
          <w14:ligatures w14:val="none"/>
        </w:rPr>
        <w:tab/>
        <w:t>ofercie publicznej – rozumie się przez to ofertę publiczną w rozumieniu art. 3 ust. 1 pkt 12 rozporządzenia 2023/1114;</w:t>
      </w:r>
    </w:p>
    <w:p w14:paraId="47BEEF7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14)</w:t>
      </w:r>
      <w:r w:rsidRPr="00027D06">
        <w:rPr>
          <w:rFonts w:ascii="Times" w:eastAsia="Times New Roman" w:hAnsi="Times" w:cs="Arial"/>
          <w:bCs/>
          <w:kern w:val="0"/>
          <w:sz w:val="24"/>
          <w:szCs w:val="20"/>
          <w:lang w:eastAsia="pl-PL"/>
          <w14:ligatures w14:val="none"/>
        </w:rPr>
        <w:tab/>
        <w:t>oferującym – rozumie się przez to oferującego w rozumieniu art. 3 ust. 1 pkt 13 rozporządzenia 2023/1114;</w:t>
      </w:r>
    </w:p>
    <w:p w14:paraId="02F581E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15)</w:t>
      </w:r>
      <w:r w:rsidRPr="00027D06">
        <w:rPr>
          <w:rFonts w:ascii="Times" w:eastAsia="Times New Roman" w:hAnsi="Times" w:cs="Arial"/>
          <w:bCs/>
          <w:kern w:val="0"/>
          <w:sz w:val="24"/>
          <w:szCs w:val="20"/>
          <w:lang w:eastAsia="pl-PL"/>
          <w14:ligatures w14:val="none"/>
        </w:rPr>
        <w:tab/>
        <w:t>organie zarządzającym – rozumie się przez to organ zarządzający w rozumieniu art. 3 ust. 1 pkt 27 rozporządzenia 2023/1114;</w:t>
      </w:r>
    </w:p>
    <w:p w14:paraId="1F85FE79"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16)</w:t>
      </w:r>
      <w:r w:rsidRPr="00027D06">
        <w:rPr>
          <w:rFonts w:ascii="Times" w:eastAsia="Times New Roman" w:hAnsi="Times" w:cs="Arial"/>
          <w:bCs/>
          <w:kern w:val="0"/>
          <w:sz w:val="24"/>
          <w:szCs w:val="20"/>
          <w:lang w:eastAsia="pl-PL"/>
          <w14:ligatures w14:val="none"/>
        </w:rPr>
        <w:tab/>
        <w:t xml:space="preserve">planie naprawy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rozumie się przez to plan, o którym mowa w art. 46 rozporządzenia 2023/1114;</w:t>
      </w:r>
    </w:p>
    <w:p w14:paraId="7280233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17)</w:t>
      </w:r>
      <w:r w:rsidRPr="00027D06">
        <w:rPr>
          <w:rFonts w:ascii="Times" w:eastAsia="Times New Roman" w:hAnsi="Times" w:cs="Arial"/>
          <w:bCs/>
          <w:kern w:val="0"/>
          <w:sz w:val="24"/>
          <w:szCs w:val="20"/>
          <w:lang w:eastAsia="pl-PL"/>
          <w14:ligatures w14:val="none"/>
        </w:rPr>
        <w:tab/>
        <w:t xml:space="preserve">planie wykupu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rozumie się przez to plan, o którym mowa w art. 47 rozporządzenia 2023/1114;</w:t>
      </w:r>
    </w:p>
    <w:p w14:paraId="38D44C8D"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18)</w:t>
      </w:r>
      <w:r w:rsidRPr="00027D06">
        <w:rPr>
          <w:rFonts w:ascii="Times" w:eastAsia="Times New Roman" w:hAnsi="Times" w:cs="Arial"/>
          <w:bCs/>
          <w:kern w:val="0"/>
          <w:sz w:val="24"/>
          <w:szCs w:val="20"/>
          <w:lang w:eastAsia="pl-PL"/>
          <w14:ligatures w14:val="none"/>
        </w:rPr>
        <w:tab/>
        <w:t>platformie obrotu kryptoaktywami – rozumie się przez to system wielostronny, który skupia interesy stron trzecich związane z nabywaniem i sprzedażą kryptoaktywów lub który ułatwia skupianie takich interesów, w ramach tego systemu i zgodnie z jego zasadami, w sposób skutkujący zawarciem umowy, której przedmiotem jest wymiana kryptoaktywów na środki pieniężne albo wymiana kryptoaktywów na inne kryptoaktywa;</w:t>
      </w:r>
    </w:p>
    <w:p w14:paraId="4389870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19)</w:t>
      </w:r>
      <w:r w:rsidRPr="00027D06">
        <w:rPr>
          <w:rFonts w:ascii="Times" w:eastAsia="Times New Roman" w:hAnsi="Times" w:cs="Arial"/>
          <w:bCs/>
          <w:kern w:val="0"/>
          <w:sz w:val="24"/>
          <w:szCs w:val="20"/>
          <w:lang w:eastAsia="pl-PL"/>
          <w14:ligatures w14:val="none"/>
        </w:rPr>
        <w:tab/>
        <w:t>posiadaczu detalicznym – rozumie się przez to posiadacza detalicznego w rozumieniu art. 3 ust. 1 pkt 37 rozporządzenia 2023/1114;</w:t>
      </w:r>
    </w:p>
    <w:p w14:paraId="0E0DEE2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20)</w:t>
      </w:r>
      <w:r w:rsidRPr="00027D06">
        <w:rPr>
          <w:rFonts w:ascii="Times" w:eastAsia="Times New Roman" w:hAnsi="Times" w:cs="Arial"/>
          <w:bCs/>
          <w:kern w:val="0"/>
          <w:sz w:val="24"/>
          <w:szCs w:val="20"/>
          <w:lang w:eastAsia="pl-PL"/>
          <w14:ligatures w14:val="none"/>
        </w:rPr>
        <w:tab/>
        <w:t xml:space="preserve">prowadzącym platformę obrotu kryptoaktywami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rozumie się przez to podmiot zajmujący się prowadzeniem platformy obrotu kryptoaktywami w rozumieniu art. 3 ust. 1 pkt 18 rozporządzenia 2023/1114;</w:t>
      </w:r>
    </w:p>
    <w:p w14:paraId="477673D6"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4" w:name="_Hlk170320656"/>
      <w:r w:rsidRPr="00027D06">
        <w:rPr>
          <w:rFonts w:ascii="Times" w:eastAsia="Times New Roman" w:hAnsi="Times" w:cs="Arial"/>
          <w:bCs/>
          <w:kern w:val="0"/>
          <w:sz w:val="24"/>
          <w:szCs w:val="20"/>
          <w:lang w:eastAsia="pl-PL"/>
          <w14:ligatures w14:val="none"/>
        </w:rPr>
        <w:t>21)</w:t>
      </w:r>
      <w:r w:rsidRPr="00027D06">
        <w:rPr>
          <w:rFonts w:ascii="Times" w:eastAsia="Times New Roman" w:hAnsi="Times" w:cs="Arial"/>
          <w:bCs/>
          <w:kern w:val="0"/>
          <w:sz w:val="24"/>
          <w:szCs w:val="20"/>
          <w:lang w:eastAsia="pl-PL"/>
          <w14:ligatures w14:val="none"/>
        </w:rPr>
        <w:tab/>
      </w:r>
      <w:bookmarkEnd w:id="4"/>
      <w:r w:rsidRPr="00027D06">
        <w:rPr>
          <w:rFonts w:ascii="Times" w:eastAsia="Times New Roman" w:hAnsi="Times" w:cs="Arial"/>
          <w:bCs/>
          <w:kern w:val="0"/>
          <w:sz w:val="24"/>
          <w:szCs w:val="20"/>
          <w:lang w:eastAsia="pl-PL"/>
          <w14:ligatures w14:val="none"/>
        </w:rPr>
        <w:t xml:space="preserve">przedsiębiorcy telekomunikacyjnym – rozumie się przez to przedsiębiorcę telekomunikacyjnego w rozumieniu art. 2 pkt 40 ustawy z dnia 12 lipca 2024 r.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Prawo komunikacji elektronicznej (Dz. U. poz. 1221 oraz z 2025 r. poz. 637 i 820);</w:t>
      </w:r>
    </w:p>
    <w:p w14:paraId="2646A386"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22)</w:t>
      </w:r>
      <w:r w:rsidRPr="00027D06">
        <w:rPr>
          <w:rFonts w:ascii="Times" w:eastAsia="Times New Roman" w:hAnsi="Times" w:cs="Arial"/>
          <w:bCs/>
          <w:kern w:val="0"/>
          <w:sz w:val="24"/>
          <w:szCs w:val="20"/>
          <w:lang w:eastAsia="pl-PL"/>
          <w14:ligatures w14:val="none"/>
        </w:rPr>
        <w:tab/>
        <w:t>rachunku kryptoaktywów – rozumie się przez to rachunek kryptoaktywów w rozumieniu art. 3 pkt 19 rozporządzenia 2023/1113;</w:t>
      </w:r>
    </w:p>
    <w:p w14:paraId="7EFC09C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23)</w:t>
      </w:r>
      <w:r w:rsidRPr="00027D06">
        <w:rPr>
          <w:rFonts w:ascii="Times" w:eastAsia="Times New Roman" w:hAnsi="Times" w:cs="Arial"/>
          <w:bCs/>
          <w:kern w:val="0"/>
          <w:sz w:val="24"/>
          <w:szCs w:val="20"/>
          <w:lang w:eastAsia="pl-PL"/>
          <w14:ligatures w14:val="none"/>
        </w:rPr>
        <w:tab/>
        <w:t>rejestratorze domen – rozumie się przez to rejestratora lub agenta działającego w imieniu rejestratorów, w szczególności dostawcę lub odsprzedawcę usług w zakresie rejestracji prywatności lub serwerów pośredniczących;</w:t>
      </w:r>
    </w:p>
    <w:p w14:paraId="2610A0D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24)</w:t>
      </w:r>
      <w:r w:rsidRPr="00027D06">
        <w:rPr>
          <w:rFonts w:ascii="Times" w:eastAsia="Times New Roman" w:hAnsi="Times" w:cs="Arial"/>
          <w:bCs/>
          <w:kern w:val="0"/>
          <w:sz w:val="24"/>
          <w:szCs w:val="20"/>
          <w:lang w:eastAsia="pl-PL"/>
          <w14:ligatures w14:val="none"/>
        </w:rPr>
        <w:tab/>
        <w:t>rejestrze domen – rozumie się przez to podmiot, któremu powierzono domenę najwyższego poziomu i który odpowiada za zarządzanie nią, w tym za rejestrację nazw domen w ramach tej domeny oraz za jej techniczne funkcjonowanie, w tym za obsługę jej serwerów nazw, utrzymanie jej baz danych oraz dystrybucję jej plików strefowych we wszystkich serwerach nazw, bez względu na to, czy którekolwiek z tych działań jest wykonywane przez ten podmiot czy zlecane na zewnątrz, ale z wyłączeniem sytuacji, w których rejestr wykorzystuje nazwy domeny najwyższego poziomu wyłącznie do własnego użytku;</w:t>
      </w:r>
    </w:p>
    <w:p w14:paraId="66F727C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25)</w:t>
      </w:r>
      <w:r w:rsidRPr="00027D06">
        <w:rPr>
          <w:rFonts w:ascii="Times" w:eastAsia="Times New Roman" w:hAnsi="Times" w:cs="Arial"/>
          <w:bCs/>
          <w:kern w:val="0"/>
          <w:sz w:val="24"/>
          <w:szCs w:val="20"/>
          <w:lang w:eastAsia="pl-PL"/>
          <w14:ligatures w14:val="none"/>
        </w:rPr>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p>
    <w:p w14:paraId="32BCF42D"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26)</w:t>
      </w:r>
      <w:r w:rsidRPr="00027D06">
        <w:rPr>
          <w:rFonts w:ascii="Times" w:eastAsia="Times New Roman" w:hAnsi="Times" w:cs="Arial"/>
          <w:bCs/>
          <w:kern w:val="0"/>
          <w:sz w:val="24"/>
          <w:szCs w:val="20"/>
          <w:lang w:eastAsia="pl-PL"/>
          <w14:ligatures w14:val="none"/>
        </w:rPr>
        <w:tab/>
        <w:t xml:space="preserve">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w:t>
      </w:r>
      <w:bookmarkStart w:id="5" w:name="_Hlk191300754"/>
      <w:r w:rsidRPr="00027D06">
        <w:rPr>
          <w:rFonts w:ascii="Times" w:eastAsia="Times New Roman" w:hAnsi="Times" w:cs="Arial"/>
          <w:bCs/>
          <w:kern w:val="0"/>
          <w:sz w:val="24"/>
          <w:szCs w:val="20"/>
          <w:lang w:eastAsia="pl-PL"/>
          <w14:ligatures w14:val="none"/>
        </w:rPr>
        <w:t>z późn. zm.</w:t>
      </w:r>
      <w:r w:rsidRPr="00027D06">
        <w:rPr>
          <w:rFonts w:ascii="Times" w:eastAsia="Times New Roman" w:hAnsi="Times" w:cs="Arial"/>
          <w:bCs/>
          <w:kern w:val="0"/>
          <w:sz w:val="24"/>
          <w:szCs w:val="20"/>
          <w:vertAlign w:val="superscript"/>
          <w:lang w:eastAsia="pl-PL"/>
          <w14:ligatures w14:val="none"/>
        </w:rPr>
        <w:footnoteReference w:id="5"/>
      </w:r>
      <w:r w:rsidRPr="00027D06">
        <w:rPr>
          <w:rFonts w:ascii="Times" w:eastAsia="Times New Roman" w:hAnsi="Times" w:cs="Arial"/>
          <w:bCs/>
          <w:kern w:val="0"/>
          <w:sz w:val="24"/>
          <w:szCs w:val="20"/>
          <w:vertAlign w:val="superscript"/>
          <w:lang w:eastAsia="pl-PL"/>
          <w14:ligatures w14:val="none"/>
        </w:rPr>
        <w:t>)</w:t>
      </w:r>
      <w:r w:rsidRPr="00027D06">
        <w:rPr>
          <w:rFonts w:ascii="Times" w:eastAsia="Times New Roman" w:hAnsi="Times" w:cs="Arial"/>
          <w:bCs/>
          <w:kern w:val="0"/>
          <w:sz w:val="24"/>
          <w:szCs w:val="20"/>
          <w:lang w:eastAsia="pl-PL"/>
          <w14:ligatures w14:val="none"/>
        </w:rPr>
        <w:t>)</w:t>
      </w:r>
      <w:bookmarkEnd w:id="5"/>
      <w:r w:rsidRPr="00027D06">
        <w:rPr>
          <w:rFonts w:ascii="Times" w:eastAsia="Times New Roman" w:hAnsi="Times" w:cs="Arial"/>
          <w:bCs/>
          <w:kern w:val="0"/>
          <w:sz w:val="24"/>
          <w:szCs w:val="20"/>
          <w:lang w:eastAsia="pl-PL"/>
          <w14:ligatures w14:val="none"/>
        </w:rPr>
        <w:t>;</w:t>
      </w:r>
    </w:p>
    <w:p w14:paraId="15F02CC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27)</w:t>
      </w:r>
      <w:r w:rsidRPr="00027D06">
        <w:rPr>
          <w:rFonts w:ascii="Times" w:eastAsia="Times New Roman" w:hAnsi="Times" w:cs="Arial"/>
          <w:bCs/>
          <w:kern w:val="0"/>
          <w:sz w:val="24"/>
          <w:szCs w:val="20"/>
          <w:lang w:eastAsia="pl-PL"/>
          <w14:ligatures w14:val="none"/>
        </w:rPr>
        <w:tab/>
        <w:t>tokenie będącym e-pieniądzem – rozumie się przez to token będący pieniądzem elektronicznym w rozumieniu art. 3 ust. 1 pkt 7 rozporządzenia 2023/1114;</w:t>
      </w:r>
    </w:p>
    <w:p w14:paraId="39F1A9C0"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28)</w:t>
      </w:r>
      <w:r w:rsidRPr="00027D06">
        <w:rPr>
          <w:rFonts w:ascii="Times" w:eastAsia="Times New Roman" w:hAnsi="Times" w:cs="Arial"/>
          <w:bCs/>
          <w:kern w:val="0"/>
          <w:sz w:val="24"/>
          <w:szCs w:val="20"/>
          <w:lang w:eastAsia="pl-PL"/>
          <w14:ligatures w14:val="none"/>
        </w:rPr>
        <w:tab/>
        <w:t>tokenie powiązanym z aktywami – rozumie się przez to token powiązany z aktywami w rozumieniu art. 3 ust. 1 pkt 6 rozporządzenia 2023/1114;</w:t>
      </w:r>
    </w:p>
    <w:p w14:paraId="070A091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29)</w:t>
      </w:r>
      <w:r w:rsidRPr="00027D06">
        <w:rPr>
          <w:rFonts w:ascii="Times" w:eastAsia="Times New Roman" w:hAnsi="Times" w:cs="Arial"/>
          <w:bCs/>
          <w:kern w:val="0"/>
          <w:sz w:val="24"/>
          <w:szCs w:val="20"/>
          <w:lang w:eastAsia="pl-PL"/>
          <w14:ligatures w14:val="none"/>
        </w:rPr>
        <w:tab/>
        <w:t xml:space="preserve">usłudze w zakresie kryptoaktywów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rozumie się przez to usługę w zakresie kryptoaktywów w rozumieniu art. 3 ust. 1 pkt 16 rozporządzenia 2023/1114;</w:t>
      </w:r>
    </w:p>
    <w:p w14:paraId="270B5EC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30)</w:t>
      </w:r>
      <w:r w:rsidRPr="00027D06">
        <w:rPr>
          <w:rFonts w:ascii="Times" w:eastAsia="Times New Roman" w:hAnsi="Times" w:cs="Arial"/>
          <w:bCs/>
          <w:kern w:val="0"/>
          <w:sz w:val="24"/>
          <w:szCs w:val="20"/>
          <w:lang w:eastAsia="pl-PL"/>
          <w14:ligatures w14:val="none"/>
        </w:rPr>
        <w:tab/>
        <w:t xml:space="preserve">ustawie o nadzorze nad rynkiem kapitałowym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rozumie się przez to ustawę z dnia 29 lipca 2005 r. o nadzorze nad rynkiem kapitałowym (Dz. U. z 2024 r. poz. 1161 i 1222 oraz z 2025 r. poz. 146 i 1069);</w:t>
      </w:r>
    </w:p>
    <w:p w14:paraId="7A3F73DE"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31)</w:t>
      </w:r>
      <w:r w:rsidRPr="00027D06">
        <w:rPr>
          <w:rFonts w:ascii="Times" w:eastAsia="Times New Roman" w:hAnsi="Times" w:cs="Arial"/>
          <w:bCs/>
          <w:kern w:val="0"/>
          <w:sz w:val="24"/>
          <w:szCs w:val="20"/>
          <w:lang w:eastAsia="pl-PL"/>
          <w14:ligatures w14:val="none"/>
        </w:rPr>
        <w:tab/>
        <w:t>zagranicznym dostawcy usług w zakresie kryptoaktywów – rozumie się przez to dostawcę usług w zakresie kryptoaktywów, który uzyskał zezwolenie wydane przez właściwy organ z innego niż Rzeczpospolita Polska państwa członkowskiego Unii Europejskiej, zgodnie z art. 63 rozporządzenia 2023/1114.</w:t>
      </w:r>
    </w:p>
    <w:p w14:paraId="6F4D16B6"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lastRenderedPageBreak/>
        <w:t xml:space="preserve">Art. 3. </w:t>
      </w:r>
      <w:r w:rsidRPr="00027D06">
        <w:rPr>
          <w:rFonts w:ascii="Times" w:eastAsia="Times New Roman" w:hAnsi="Times" w:cs="Arial"/>
          <w:kern w:val="0"/>
          <w:sz w:val="24"/>
          <w:szCs w:val="20"/>
          <w:lang w:eastAsia="pl-PL"/>
          <w14:ligatures w14:val="none"/>
        </w:rPr>
        <w:t xml:space="preserve">1. Dokumenty związane z dokonywaniem czynności dotyczących usług w zakresie kryptoaktywów, czynności dotyczących oferty publicznej na podstawie przepisów rozporządzenia 2023/1114 oraz innych czynności wykonywanych w ramach działalności podmiotów w zakresie regulowanym przepisami rozporządzenia 2023/1114 mogą być sporządzane w postaci elektronicznej. </w:t>
      </w:r>
    </w:p>
    <w:p w14:paraId="7B6D491D"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Dokumenty, o których mowa w ust. 1, sporządzone w postaci elektronicznej, tworzy się, utrwala się, przekazuje się, przechowuje się i zabezpiecza się w sposób zapewniający ich integralność i bezpieczeństwo.</w:t>
      </w:r>
    </w:p>
    <w:p w14:paraId="2A9AC743"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Oświadczenia woli złożone w postaci elektronicznej zawarte w dokumentach, o których mowa w ust. 1, spełniają wymóg formy pisemnej, także w przypadku, gdy forma ta została zastrzeżona pod rygorem nieważności.</w:t>
      </w:r>
    </w:p>
    <w:p w14:paraId="0EDB143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4. Minister właściwy do spraw instytucji finansowych określi, w drodze rozporządzenia, szczegółowy sposób tworzenia, utrwalania, przekazywania, przechowywania i zabezpieczania dokumentów, o których mowa w ust. 1, biorąc pod uwagę konieczność zapewnienia bezpieczeństwa obrotu oraz ochrony </w:t>
      </w:r>
      <w:bookmarkStart w:id="6" w:name="_Hlk189830388"/>
      <w:r w:rsidRPr="00027D06">
        <w:rPr>
          <w:rFonts w:ascii="Times" w:eastAsia="Times New Roman" w:hAnsi="Times" w:cs="Arial"/>
          <w:bCs/>
          <w:kern w:val="0"/>
          <w:sz w:val="24"/>
          <w:szCs w:val="20"/>
          <w:lang w:eastAsia="pl-PL"/>
          <w14:ligatures w14:val="none"/>
        </w:rPr>
        <w:t>praw i interesów klientów.</w:t>
      </w:r>
    </w:p>
    <w:p w14:paraId="05A2F7F2"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 xml:space="preserve">Art. 4. </w:t>
      </w:r>
      <w:r w:rsidRPr="00027D06">
        <w:rPr>
          <w:rFonts w:ascii="Times" w:eastAsia="Times New Roman" w:hAnsi="Times" w:cs="Arial"/>
          <w:kern w:val="0"/>
          <w:sz w:val="24"/>
          <w:szCs w:val="20"/>
          <w:lang w:eastAsia="pl-PL"/>
          <w14:ligatures w14:val="none"/>
        </w:rPr>
        <w:t>1. Porady odnośnie oferowanych przez dostawcę usług w zakresie kryptoaktywów usługach w zakresie kryptoaktywów oraz o kryptoaktywach będących ich przedmiotem mogą być udzielane klientom lub potencjalnym klientom przez osobę fizyczną pozostającą z dostawcą usług w zakresie kryptoaktywów w stosunku pracy, zlecenia lub innym stosunku prawnym o podobnym charakterze, posiadającą wiedzę i kompetencje w zakresie rynku finansowego niezbędne do wykonywania jej obowiązków, z zastrzeżeniem ust. 2.</w:t>
      </w:r>
    </w:p>
    <w:p w14:paraId="580EA55A"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przypadku nieposiadania przez osobę fizyczną pozostającą z dostawcą usług w zakresie kryptoaktywów w stosunku pracy, zlecenia lub innym stosunku prawnym o podobnym charakterze, udzielającą klientom lub potencjalnym klientom porad, o których mowa w ust. 1, wiedzy lub kompetencji, o których mowa w ust. 1, osoba ta może wykonywać swoje obowiązki wyłącznie pod nadzorem osoby fizycznej, o której mowa w ust. 1.</w:t>
      </w:r>
    </w:p>
    <w:bookmarkEnd w:id="6"/>
    <w:p w14:paraId="44EA4E81"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o którym mowa w ust. 2, dostawca usług w zakresie kryptoaktywów ponosi odpowiedzialność za porady udzielane przez osobę fizyczną nieposiadającą wiedzy lub kompetencji, o których mowa w ust. 1.</w:t>
      </w:r>
    </w:p>
    <w:p w14:paraId="6BD27869"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Dostawca usług w zakresie kryptoaktywów:</w:t>
      </w:r>
    </w:p>
    <w:p w14:paraId="0462544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 xml:space="preserve">zapewnia </w:t>
      </w:r>
      <w:bookmarkStart w:id="7" w:name="_Hlk189831798"/>
      <w:r w:rsidRPr="00027D06">
        <w:rPr>
          <w:rFonts w:ascii="Times" w:eastAsia="Times New Roman" w:hAnsi="Times" w:cs="Arial"/>
          <w:bCs/>
          <w:kern w:val="0"/>
          <w:sz w:val="24"/>
          <w:szCs w:val="20"/>
          <w:lang w:eastAsia="pl-PL"/>
          <w14:ligatures w14:val="none"/>
        </w:rPr>
        <w:t>utrzymywanie i pogłębianie wiedzy oraz kompetencji w zakresie rynku finansowego przez osobę fizyczną, o której mowa w ust. 1</w:t>
      </w:r>
      <w:bookmarkEnd w:id="7"/>
      <w:r w:rsidRPr="00027D06">
        <w:rPr>
          <w:rFonts w:ascii="Times" w:eastAsia="Times New Roman" w:hAnsi="Times" w:cs="Arial"/>
          <w:bCs/>
          <w:kern w:val="0"/>
          <w:sz w:val="24"/>
          <w:szCs w:val="20"/>
          <w:lang w:eastAsia="pl-PL"/>
          <w14:ligatures w14:val="none"/>
        </w:rPr>
        <w:t>;</w:t>
      </w:r>
    </w:p>
    <w:p w14:paraId="4B47CC4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2)</w:t>
      </w:r>
      <w:r w:rsidRPr="00027D06">
        <w:rPr>
          <w:rFonts w:ascii="Times" w:eastAsia="Times New Roman" w:hAnsi="Times" w:cs="Arial"/>
          <w:bCs/>
          <w:kern w:val="0"/>
          <w:sz w:val="24"/>
          <w:szCs w:val="20"/>
          <w:lang w:eastAsia="pl-PL"/>
          <w14:ligatures w14:val="none"/>
        </w:rPr>
        <w:tab/>
      </w:r>
      <w:bookmarkStart w:id="8" w:name="_Hlk189831828"/>
      <w:r w:rsidRPr="00027D06">
        <w:rPr>
          <w:rFonts w:ascii="Times" w:eastAsia="Times New Roman" w:hAnsi="Times" w:cs="Arial"/>
          <w:bCs/>
          <w:kern w:val="0"/>
          <w:sz w:val="24"/>
          <w:szCs w:val="20"/>
          <w:lang w:eastAsia="pl-PL"/>
          <w14:ligatures w14:val="none"/>
        </w:rPr>
        <w:t>zapewnia zdobywanie wiedzy oraz kompetencji w zakresie rynku finansowego przez osobę fizyczną pozostającą z dostawcą usług w zakresie kryptoaktywów w stosunku pracy, zlecenia lub innym stosunku prawnym o podobnym charakterze, udzielającą klientom lub potencjalnym klientom porad lub informacji, o których mowa w ust. 1, nieposiadającą takiej wiedzy lub takich kompetencji;</w:t>
      </w:r>
    </w:p>
    <w:p w14:paraId="1C74D19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ustanawia i wdraża politykę w zakresie przeprowadzania szkoleń osób fizycznych, o których mowa w pkt 2 i ust. 1, i potwierdzania ich wiedzy i kompetencji</w:t>
      </w:r>
      <w:bookmarkEnd w:id="8"/>
      <w:r w:rsidRPr="00027D06">
        <w:rPr>
          <w:rFonts w:ascii="Times" w:eastAsia="Times New Roman" w:hAnsi="Times" w:cs="Arial"/>
          <w:bCs/>
          <w:kern w:val="0"/>
          <w:sz w:val="24"/>
          <w:szCs w:val="20"/>
          <w:lang w:eastAsia="pl-PL"/>
          <w14:ligatures w14:val="none"/>
        </w:rPr>
        <w:t>.</w:t>
      </w:r>
    </w:p>
    <w:p w14:paraId="4899ECEB"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5. Polityka, o której mowa w ust. 4 pkt 3, podlega </w:t>
      </w:r>
      <w:bookmarkStart w:id="9" w:name="_Hlk189831935"/>
      <w:r w:rsidRPr="00027D06">
        <w:rPr>
          <w:rFonts w:ascii="Times" w:eastAsia="Times New Roman" w:hAnsi="Times" w:cs="Arial"/>
          <w:bCs/>
          <w:kern w:val="0"/>
          <w:sz w:val="24"/>
          <w:szCs w:val="20"/>
          <w:lang w:eastAsia="pl-PL"/>
          <w14:ligatures w14:val="none"/>
        </w:rPr>
        <w:t>zatwierdzeniu przez organ zarządzający dostawcy usług w zakresie kryptoaktywów</w:t>
      </w:r>
      <w:bookmarkEnd w:id="9"/>
      <w:r w:rsidRPr="00027D06">
        <w:rPr>
          <w:rFonts w:ascii="Times" w:eastAsia="Times New Roman" w:hAnsi="Times" w:cs="Arial"/>
          <w:bCs/>
          <w:kern w:val="0"/>
          <w:sz w:val="24"/>
          <w:szCs w:val="20"/>
          <w:lang w:eastAsia="pl-PL"/>
          <w14:ligatures w14:val="none"/>
        </w:rPr>
        <w:t>.</w:t>
      </w:r>
    </w:p>
    <w:p w14:paraId="5422C36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 Minister właściwy do spraw instytucji finansowych określi, w drodze rozporządzenia:</w:t>
      </w:r>
    </w:p>
    <w:p w14:paraId="54AED33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10" w:name="_Hlk193277120"/>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szczegółowe wymagania dotyczące wiedzy oraz kompetencji w zakresie rynku finansowego niezbędnych do wykonywania obowiązków, o których mowa w ust. 1, jakie musi spełniać osoba fizyczna, o której mowa w tym przepisie,</w:t>
      </w:r>
    </w:p>
    <w:p w14:paraId="51EA5A9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sposób wykonywania i okres nadzoru nad osobą fizyczną pozostającą z dostawcą usług w zakresie kryptoaktywów w stosunku pracy, zlecenia lub innym stosunku prawnym o podobnym charakterze, udzielającą klientom lub potencjalnym klientom porad, o których mowa w ust. 1, nieposiadającą wiedzy lub kompetencji, o których mowa w ust. 1,</w:t>
      </w:r>
    </w:p>
    <w:p w14:paraId="26A2631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 xml:space="preserve">sposób postępowania </w:t>
      </w:r>
      <w:bookmarkStart w:id="11" w:name="_Hlk189832415"/>
      <w:r w:rsidRPr="00027D06">
        <w:rPr>
          <w:rFonts w:ascii="Times" w:eastAsia="Times New Roman" w:hAnsi="Times" w:cs="Arial"/>
          <w:bCs/>
          <w:kern w:val="0"/>
          <w:sz w:val="24"/>
          <w:szCs w:val="20"/>
          <w:lang w:eastAsia="pl-PL"/>
          <w14:ligatures w14:val="none"/>
        </w:rPr>
        <w:t>dostawców usług w zakresie kryptoaktywów w celu zapewnienia:</w:t>
      </w:r>
    </w:p>
    <w:p w14:paraId="3EC05C72"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prawidłowości wykonywania obowiązków przy udzielaniu klientom oraz potencjalnym klientom porad, o których mowa w ust. 1,</w:t>
      </w:r>
    </w:p>
    <w:p w14:paraId="74A75B40"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utrzymania i pogłębiania wiedzy oraz kompetencji osoby fizycznej, o której mowa w ust. 1</w:t>
      </w:r>
      <w:bookmarkEnd w:id="11"/>
      <w:r w:rsidRPr="00027D06">
        <w:rPr>
          <w:rFonts w:ascii="Times" w:eastAsia="Times New Roman" w:hAnsi="Times" w:cs="Arial"/>
          <w:bCs/>
          <w:kern w:val="0"/>
          <w:sz w:val="24"/>
          <w:szCs w:val="20"/>
          <w:lang w:eastAsia="pl-PL"/>
          <w14:ligatures w14:val="none"/>
        </w:rPr>
        <w:t>, w zakresie rynku finansowego,</w:t>
      </w:r>
    </w:p>
    <w:p w14:paraId="53649E49"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c)</w:t>
      </w:r>
      <w:r w:rsidRPr="00027D06">
        <w:rPr>
          <w:rFonts w:ascii="Times" w:eastAsia="Times New Roman" w:hAnsi="Times" w:cs="Arial"/>
          <w:bCs/>
          <w:kern w:val="0"/>
          <w:sz w:val="24"/>
          <w:szCs w:val="20"/>
          <w:lang w:eastAsia="pl-PL"/>
          <w14:ligatures w14:val="none"/>
        </w:rPr>
        <w:tab/>
        <w:t>zdobywania wiedzy oraz kompetencji w zakresie rynku finansowego przez osobę fizyczną, o której mowa w pkt 2,</w:t>
      </w:r>
    </w:p>
    <w:p w14:paraId="5619300F"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w:t>
      </w:r>
      <w:r w:rsidRPr="00027D06">
        <w:rPr>
          <w:rFonts w:ascii="Times" w:eastAsia="Times New Roman" w:hAnsi="Times" w:cs="Arial"/>
          <w:bCs/>
          <w:kern w:val="0"/>
          <w:sz w:val="24"/>
          <w:szCs w:val="20"/>
          <w:lang w:eastAsia="pl-PL"/>
          <w14:ligatures w14:val="none"/>
        </w:rPr>
        <w:tab/>
        <w:t>minimalne wymagania dotyczące polityki, o której mowa w ust. 4 pkt 3</w:t>
      </w:r>
    </w:p>
    <w:p w14:paraId="1F558B9D" w14:textId="77777777" w:rsidR="00027D06" w:rsidRPr="00027D06" w:rsidRDefault="00027D06" w:rsidP="00027D06">
      <w:pPr>
        <w:spacing w:after="0" w:line="360" w:lineRule="auto"/>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uwzględniając konieczność zapewnienia profesjonalnego, rzetelnego, bezpiecznego i sprawnego prowadzenia działalności przez dostawców usług w zakresie kryptoaktywów oraz zakres prowadzonej przez nich działalności.</w:t>
      </w:r>
    </w:p>
    <w:p w14:paraId="2FD9C98C" w14:textId="26643DAF"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7. Komisja, przyznając zezwolenie zgodnie z tytułem V rozporządzenia 2023/1114, sprawdza w szczególności czy osoby kierujące działalnością przedsiębiorcy posiadają odpowiednią wiedzę i doświadczenie związane ze świadczeniem usług w zakresie kryptoaktywów</w:t>
      </w:r>
      <w:r w:rsidR="001E11FF">
        <w:rPr>
          <w:rFonts w:ascii="Times" w:eastAsia="Times New Roman" w:hAnsi="Times" w:cs="Arial"/>
          <w:bCs/>
          <w:kern w:val="0"/>
          <w:sz w:val="24"/>
          <w:szCs w:val="20"/>
          <w:lang w:eastAsia="pl-PL"/>
          <w14:ligatures w14:val="none"/>
        </w:rPr>
        <w:t>.</w:t>
      </w:r>
    </w:p>
    <w:bookmarkEnd w:id="10"/>
    <w:p w14:paraId="5115CC96"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lastRenderedPageBreak/>
        <w:t>Art. 5.</w:t>
      </w:r>
      <w:r w:rsidRPr="00027D06">
        <w:rPr>
          <w:rFonts w:ascii="Times" w:eastAsia="Times New Roman" w:hAnsi="Times" w:cs="Arial"/>
          <w:kern w:val="0"/>
          <w:sz w:val="24"/>
          <w:szCs w:val="20"/>
          <w:lang w:eastAsia="pl-PL"/>
          <w14:ligatures w14:val="none"/>
        </w:rPr>
        <w:t xml:space="preserve"> 1. Dostawca usług w zakresie kryptoaktywów świadczy usługę w zakresie kryptoaktywów na podstawie regulaminu świadczenia usług w zakresie kryptoaktywów oraz umowy o świadczenie tej usługi zawartej z klientem.</w:t>
      </w:r>
    </w:p>
    <w:p w14:paraId="4C56705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Obowiązku posiadania regulaminu, o którym mowa w ust. 1, nie stosuje się w przypadku, gdy konstrukcja kryptoaktywów objętych umową, o której mowa w ust. 1, lub specyfika obrotu tymi kryptoaktywami uniemożliwia uregulowanie praw i obowiązków związanych z zawarciem i realizacją tej umowy w sposób jednolity dla wszystkich klientów, na których rzecz są świadczone usługi w zakresie kryptoaktywów.</w:t>
      </w:r>
    </w:p>
    <w:p w14:paraId="2B203E8D"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Regulamin, o którym mowa w ust. 1, określa szczegółowy sposób świadczenia usługi w zakresie kryptoaktywów przez dostawcę usług w zakresie kryptoaktywów na rzecz klienta, w szczególności:</w:t>
      </w:r>
    </w:p>
    <w:p w14:paraId="0F0C809E"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r>
      <w:bookmarkStart w:id="12" w:name="_Hlk189833146"/>
      <w:r w:rsidRPr="00027D06">
        <w:rPr>
          <w:rFonts w:ascii="Times" w:eastAsia="Times New Roman" w:hAnsi="Times" w:cs="Arial"/>
          <w:bCs/>
          <w:kern w:val="0"/>
          <w:sz w:val="24"/>
          <w:szCs w:val="20"/>
          <w:lang w:eastAsia="pl-PL"/>
          <w14:ligatures w14:val="none"/>
        </w:rPr>
        <w:t>prawa i obowiązki dostawcy usług w zakresie kryptoaktywów i klienta</w:t>
      </w:r>
      <w:bookmarkEnd w:id="12"/>
      <w:r w:rsidRPr="00027D06">
        <w:rPr>
          <w:rFonts w:ascii="Times" w:eastAsia="Times New Roman" w:hAnsi="Times" w:cs="Arial"/>
          <w:bCs/>
          <w:kern w:val="0"/>
          <w:sz w:val="24"/>
          <w:szCs w:val="20"/>
          <w:lang w:eastAsia="pl-PL"/>
          <w14:ligatures w14:val="none"/>
        </w:rPr>
        <w:t>;</w:t>
      </w:r>
    </w:p>
    <w:p w14:paraId="6DAED542"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warunki zawierania i rozwiązywania umowy, o której mowa w ust. 1;</w:t>
      </w:r>
    </w:p>
    <w:p w14:paraId="6738371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r>
      <w:bookmarkStart w:id="13" w:name="_Hlk189832973"/>
      <w:r w:rsidRPr="00027D06">
        <w:rPr>
          <w:rFonts w:ascii="Times" w:eastAsia="Times New Roman" w:hAnsi="Times" w:cs="Arial"/>
          <w:bCs/>
          <w:kern w:val="0"/>
          <w:sz w:val="24"/>
          <w:szCs w:val="20"/>
          <w:lang w:eastAsia="pl-PL"/>
          <w14:ligatures w14:val="none"/>
        </w:rPr>
        <w:t>wymagania dotyczące ustanawiania pełnomocnictw.</w:t>
      </w:r>
    </w:p>
    <w:bookmarkEnd w:id="13"/>
    <w:p w14:paraId="72A65FC5"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6.</w:t>
      </w:r>
      <w:r w:rsidRPr="00027D06">
        <w:rPr>
          <w:rFonts w:ascii="Times" w:eastAsia="Times New Roman" w:hAnsi="Times" w:cs="Arial"/>
          <w:kern w:val="0"/>
          <w:sz w:val="24"/>
          <w:szCs w:val="20"/>
          <w:lang w:eastAsia="pl-PL"/>
          <w14:ligatures w14:val="none"/>
        </w:rPr>
        <w:t xml:space="preserve"> 1. Zezwolenie na prowadzenie działalności jako dostawca usług w zakresie kryptoaktywów, o którym mowa w art. 59 ust. 1 lit. a rozporządzenia 2023/1114, wygasa z:</w:t>
      </w:r>
    </w:p>
    <w:p w14:paraId="73B4F06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dniem ogłoszenia upadłości dostawcy usług w zakresie kryptoaktywów;</w:t>
      </w:r>
    </w:p>
    <w:p w14:paraId="7F78096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upływem 3 miesięcy od dnia otwarcia likwidacji dostawcy usług w zakresie kryptoaktywów.</w:t>
      </w:r>
    </w:p>
    <w:p w14:paraId="3B0E31E7"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przypadku:</w:t>
      </w:r>
    </w:p>
    <w:p w14:paraId="2A9D314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wygaśnięcia zezwolenia na prowadzenie działalności jako dostawca usług w zakresie kryptoaktywów zgodnie z ust. 1,</w:t>
      </w:r>
    </w:p>
    <w:p w14:paraId="6B7839C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cofnięcia zezwolenia na prowadzenie działalności jako dostawca usług w zakresie kryptoaktywów zgodnie z art. 64 rozporządzenia 2023/1114</w:t>
      </w:r>
    </w:p>
    <w:p w14:paraId="7E4D379E" w14:textId="77777777" w:rsidR="00027D06" w:rsidRPr="00027D06" w:rsidRDefault="00027D06" w:rsidP="00027D06">
      <w:pPr>
        <w:spacing w:after="0" w:line="360" w:lineRule="auto"/>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Komisja w celu zabezpieczenia interesu publicznego może, w drodze decyzji, określić termin zakończenia prowadzenia działalności jako dostawca usług w zakresie kryptoaktywów.</w:t>
      </w:r>
    </w:p>
    <w:p w14:paraId="735BAEBE"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Do czasu:</w:t>
      </w:r>
    </w:p>
    <w:p w14:paraId="1F4BA31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wygaśnięcia zezwolenia na prowadzenie działalności jako dostawca usług w zakresie kryptoaktywów zgodnie z ust. 1,</w:t>
      </w:r>
    </w:p>
    <w:p w14:paraId="33BC6AC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 xml:space="preserve">zakończenia prowadzenia działalności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przypadku cofnięcia zezwolenia na prowadzenie działalności jako dostawca usług w zakresie kryptoaktywów zgodnie z art. 64 rozporządzenia 2023/1114</w:t>
      </w:r>
    </w:p>
    <w:p w14:paraId="5E58D0FF" w14:textId="77777777" w:rsidR="00027D06" w:rsidRPr="00027D06" w:rsidRDefault="00027D06" w:rsidP="00027D06">
      <w:pPr>
        <w:spacing w:after="0" w:line="360" w:lineRule="auto"/>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sym w:font="Symbol" w:char="F02D"/>
      </w:r>
      <w:r w:rsidRPr="00027D06">
        <w:rPr>
          <w:rFonts w:ascii="Times" w:eastAsia="Times New Roman" w:hAnsi="Times" w:cs="Arial"/>
          <w:bCs/>
          <w:kern w:val="0"/>
          <w:sz w:val="24"/>
          <w:szCs w:val="20"/>
          <w:lang w:eastAsia="pl-PL"/>
          <w14:ligatures w14:val="none"/>
        </w:rPr>
        <w:t xml:space="preserve"> dostawca usług w zakresie kryptoaktywów albo podmiot, któremu cofnięto zezwolenie, wykonuje wyłącznie czynności zmierzające do zakończenia działalności, w tym wynikające z postanowień umów zawartych z klientami, bez możliwości zawierania nowych umów dotyczących usług w zakresie kryptoaktywów.</w:t>
      </w:r>
    </w:p>
    <w:p w14:paraId="1056A0C7"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W przypadkach, o których mowa w ust. 1, dostawca usług w zakresie kryptoaktywów ustanawia, wdraża i utrzymuje procedury, o których mowa w art. 64 ust. 8 rozporządzenia 2023/1114.</w:t>
      </w:r>
    </w:p>
    <w:p w14:paraId="6662B979"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 W przypadkach, o których mowa w ust. 1, albo w przypadku cofnięcia zezwolenia, jeżeli procedury, o których mowa w art. 64 ust. 8 rozporządzenia 2023/1114, nie są stosowane przez podmiot, którego zezwolenie wygasło, albo przez podmiot, któremu cofnięto zezwolenie, albo przez dostawcę usług w zakresie kryptoaktywów lub są stosowane nieprawidłowo, lub jeżeli leży to w interesie ich klientów, Komisja może, w drodze decyzji, nakazać podmiotowi, którego zezwolenie wygasło, albo podmiotowi, któremu cofnięto zezwolenie, albo dostawcy usług w zakresie kryptoaktywów przeniesienie na innego dostawcę usług w zakresie kryptoaktywów praw i obowiązków wynikających z umów zawartych z klientami, po uzyskaniu zgody dostawcy usług w zakresie kryptoaktywów, na którego będą przeniesione te prawa i obowiązki, oraz tych klientów.</w:t>
      </w:r>
    </w:p>
    <w:p w14:paraId="74724639"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 W przypadku, o którym mowa w ust. 5, dotychczasowy dostawca usług w zakresie kryptoaktywów niezwłocznie wydaje dostawcy usług w zakresie kryptoaktywów, na którego zostały przeniesione prawa i obowiązki wynikające z umów zawartych z klientami, dokumenty dotyczące tych umów.</w:t>
      </w:r>
    </w:p>
    <w:p w14:paraId="5EFCEECB"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7. W przypadku gdy żaden dostawca usług w zakresie kryptoaktywów nie wyraził zgody na przeniesienie, o którym mowa w ust. 5, Komisja nakazuje przeniesienie kryptoaktywów, środków pieniężnych oraz dokumentów i informacji związanych z prowadzeniem rachunków kryptoaktywów do wybranego przez Komisję dostawcy usług w zakresie kryptoaktywów albo do wybranych przez Komisję 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w:t>
      </w:r>
      <w:bookmarkStart w:id="14" w:name="_Hlk188003726"/>
      <w:r w:rsidRPr="00027D06">
        <w:rPr>
          <w:rFonts w:ascii="Times" w:eastAsia="Times New Roman" w:hAnsi="Times" w:cs="Arial"/>
          <w:bCs/>
          <w:kern w:val="0"/>
          <w:sz w:val="24"/>
          <w:szCs w:val="20"/>
          <w:lang w:eastAsia="pl-PL"/>
          <w14:ligatures w14:val="none"/>
        </w:rPr>
        <w:t>Przepis ust. 6 stosuje się</w:t>
      </w:r>
      <w:bookmarkEnd w:id="14"/>
      <w:r w:rsidRPr="00027D06">
        <w:rPr>
          <w:rFonts w:ascii="Times" w:eastAsia="Times New Roman" w:hAnsi="Times" w:cs="Arial"/>
          <w:bCs/>
          <w:kern w:val="0"/>
          <w:sz w:val="24"/>
          <w:szCs w:val="20"/>
          <w:lang w:eastAsia="pl-PL"/>
          <w14:ligatures w14:val="none"/>
        </w:rPr>
        <w:t xml:space="preserve"> odpowiednio. Zgoda klientów dotychczasowego dostawcy usług w zakresie kryptoaktywów nie jest wymagana.</w:t>
      </w:r>
    </w:p>
    <w:p w14:paraId="2861C5C7"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8. W przypadku gdy nie wszyscy klienci dotychczasowego dostawcy usług w zakresie kryptoaktywów wyrazili zgodę na przeniesienie, o którym mowa w ust. 5, Komisja nakazuje </w:t>
      </w:r>
      <w:r w:rsidRPr="00027D06">
        <w:rPr>
          <w:rFonts w:ascii="Times" w:eastAsia="Times New Roman" w:hAnsi="Times" w:cs="Arial"/>
          <w:bCs/>
          <w:kern w:val="0"/>
          <w:sz w:val="24"/>
          <w:szCs w:val="20"/>
          <w:lang w:eastAsia="pl-PL"/>
          <w14:ligatures w14:val="none"/>
        </w:rPr>
        <w:lastRenderedPageBreak/>
        <w:t>przeniesienie kryptoaktywów, środków pieniężnych oraz dokumentów i informacji związanych z prowadzeniem rachunków kryptoaktywów tych klientów do wybranego przez Komisję dostawcy usług w zakresie kryptoaktywów albo do wybranych przez Komisję 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Przepis ust. 6 stosuje się odpowiednio. Zgoda klientów dotychczasowego dostawcy usług w zakresie kryptoaktywów nie jest wymagana.</w:t>
      </w:r>
    </w:p>
    <w:p w14:paraId="49ED2993"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9. W przypadku gdy nie doszło do przeniesienia praw i obowiązków zgodnie z ust. 5, do postępowania z dokumentami związanymi z usługami w zakresie kryptoaktywów stosuje się odpowiednio przepis art. 476 § 3 </w:t>
      </w:r>
      <w:bookmarkStart w:id="15" w:name="_Hlk165299359"/>
      <w:r w:rsidRPr="00027D06">
        <w:rPr>
          <w:rFonts w:ascii="Times" w:eastAsia="Times New Roman" w:hAnsi="Times" w:cs="Arial"/>
          <w:bCs/>
          <w:kern w:val="0"/>
          <w:sz w:val="24"/>
          <w:szCs w:val="20"/>
          <w:lang w:eastAsia="pl-PL"/>
          <w14:ligatures w14:val="none"/>
        </w:rPr>
        <w:t xml:space="preserve">ustawy z dnia 15 września 2000 r.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Kodeks spółek handlowych (Dz. U. z 2024 r. poz. 18 i 96)</w:t>
      </w:r>
      <w:bookmarkEnd w:id="15"/>
      <w:r w:rsidRPr="00027D06">
        <w:rPr>
          <w:rFonts w:ascii="Times" w:eastAsia="Times New Roman" w:hAnsi="Times" w:cs="Arial"/>
          <w:bCs/>
          <w:kern w:val="0"/>
          <w:sz w:val="24"/>
          <w:szCs w:val="20"/>
          <w:lang w:eastAsia="pl-PL"/>
          <w14:ligatures w14:val="none"/>
        </w:rPr>
        <w:t>. Dotychczasowy dostawca usług w zakresie kryptoaktywów niezwłocznie zawiadamia Komisję o podmiocie, któremu oddano na przechowanie dokumenty dotyczące umów zawartych przez tego dostawcę z klientami. W przypadku wyznaczenia przechowawcy przez sąd rejestrowy zawiadomienia dokonuje ten sąd.</w:t>
      </w:r>
    </w:p>
    <w:p w14:paraId="2A60D4C7"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10. Przepis ust. 1 stosuje się odpowiednio do zezwolenia udzielonego emitentowi tokenów powiązanych z aktywami, o którym mowa w art. 16 ust. 1 rozporządzenia 2023/1114.</w:t>
      </w:r>
    </w:p>
    <w:p w14:paraId="5FCFB11B"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11. W przypadku, o którym mowa w art. 60 ust. 11 rozporządzenia 2023/1114, oraz w przypadku o równoważnym skutku przepisy ust. 2–9 stosuje się odpowiednio.</w:t>
      </w:r>
    </w:p>
    <w:p w14:paraId="3DCA3858"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 xml:space="preserve">Art. 7. </w:t>
      </w:r>
      <w:r w:rsidRPr="00027D06">
        <w:rPr>
          <w:rFonts w:ascii="Times" w:eastAsia="Times New Roman" w:hAnsi="Times" w:cs="Arial"/>
          <w:kern w:val="0"/>
          <w:sz w:val="24"/>
          <w:szCs w:val="20"/>
          <w:lang w:eastAsia="pl-PL"/>
          <w14:ligatures w14:val="none"/>
        </w:rPr>
        <w:t>1. Dostawca usług w zakresie kryptoaktywów z siedzibą na terytorium Rzeczypospolitej Polskiej lub prowadzący działalność na tym terytorium, który zaprzestał prowadzenia działalności jako dostawca usług w zakresie kryptoaktywów, przechowuje na trwałym nośniku przez okres 5 lat, licząc od pierwszego dnia roku następującego po roku, w którym zaprzestał prowadzenia tej działalności, dokumenty związane z prowadzeniem tej działalności.</w:t>
      </w:r>
    </w:p>
    <w:p w14:paraId="11E05227"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Obowiązek, o którym mowa w ust. 1, uważa się za wykonany także w przypadku zapewnienia przez dostawcę usług w zakresie kryptoaktywów przechowywania dokumentów, o których mowa w ust. 1, przez podmiot trzeci.</w:t>
      </w:r>
    </w:p>
    <w:p w14:paraId="65BC4EE6"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3. </w:t>
      </w:r>
      <w:bookmarkStart w:id="16" w:name="_Hlk179736720"/>
      <w:r w:rsidRPr="00027D06">
        <w:rPr>
          <w:rFonts w:ascii="Times" w:eastAsia="Times New Roman" w:hAnsi="Times" w:cs="Arial"/>
          <w:bCs/>
          <w:kern w:val="0"/>
          <w:sz w:val="24"/>
          <w:szCs w:val="20"/>
          <w:lang w:eastAsia="pl-PL"/>
          <w14:ligatures w14:val="none"/>
        </w:rPr>
        <w:t xml:space="preserve">W związku z wykonywaniem zadań w zakresie nadzoru </w:t>
      </w:r>
      <w:bookmarkEnd w:id="16"/>
      <w:r w:rsidRPr="00027D06">
        <w:rPr>
          <w:rFonts w:ascii="Times" w:eastAsia="Times New Roman" w:hAnsi="Times" w:cs="Arial"/>
          <w:bCs/>
          <w:kern w:val="0"/>
          <w:sz w:val="24"/>
          <w:szCs w:val="20"/>
          <w:lang w:eastAsia="pl-PL"/>
          <w14:ligatures w14:val="none"/>
        </w:rPr>
        <w:t>upoważniony przedstawiciel Komisji ma prawo wstępu do siedziby i lokalu podmiotów, o których mowa w ust. 1 i 2, oraz wglądu do przechowywanych dokumentów, o których mowa w ust. 1.</w:t>
      </w:r>
    </w:p>
    <w:p w14:paraId="042BB842"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4. Na pisemne żądanie Komisji podmioty, o których mowa w ust. 1 i 2, niezwłocznie sporządzają na własny koszt kopię dokumentów, o których mowa w ust. 1, i przekazują ją Komisji.</w:t>
      </w:r>
    </w:p>
    <w:p w14:paraId="1C486244"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bookmarkStart w:id="17" w:name="_Hlk177736204"/>
      <w:r w:rsidRPr="00027D06">
        <w:rPr>
          <w:rFonts w:ascii="Times" w:eastAsia="Times New Roman" w:hAnsi="Times" w:cs="Arial"/>
          <w:b/>
          <w:kern w:val="0"/>
          <w:sz w:val="24"/>
          <w:szCs w:val="20"/>
          <w:lang w:eastAsia="pl-PL"/>
          <w14:ligatures w14:val="none"/>
        </w:rPr>
        <w:t>Art. 8.</w:t>
      </w:r>
      <w:r w:rsidRPr="00027D06">
        <w:rPr>
          <w:rFonts w:ascii="Times" w:eastAsia="Times New Roman" w:hAnsi="Times" w:cs="Arial"/>
          <w:kern w:val="0"/>
          <w:sz w:val="24"/>
          <w:szCs w:val="20"/>
          <w:lang w:eastAsia="pl-PL"/>
          <w14:ligatures w14:val="none"/>
        </w:rPr>
        <w:t xml:space="preserve"> </w:t>
      </w:r>
      <w:bookmarkEnd w:id="17"/>
      <w:r w:rsidRPr="00027D06">
        <w:rPr>
          <w:rFonts w:ascii="Times" w:eastAsia="Times New Roman" w:hAnsi="Times" w:cs="Arial"/>
          <w:kern w:val="0"/>
          <w:sz w:val="24"/>
          <w:szCs w:val="20"/>
          <w:lang w:eastAsia="pl-PL"/>
          <w14:ligatures w14:val="none"/>
        </w:rPr>
        <w:t>W przypadku połączenia lub podziału emitenta tokenów powiązanych z aktywami lub dostawcy usług w zakresie kryptoaktywów lub czynności prawnej mającej za przedmiot przedsiębiorstwo w rozumieniu art. 55</w:t>
      </w:r>
      <w:r w:rsidRPr="00027D06">
        <w:rPr>
          <w:rFonts w:ascii="Times" w:eastAsia="Times New Roman" w:hAnsi="Times" w:cs="Arial"/>
          <w:kern w:val="0"/>
          <w:sz w:val="24"/>
          <w:szCs w:val="20"/>
          <w:vertAlign w:val="superscript"/>
          <w:lang w:eastAsia="pl-PL"/>
          <w14:ligatures w14:val="none"/>
        </w:rPr>
        <w:t>2</w:t>
      </w:r>
      <w:r w:rsidRPr="00027D06">
        <w:rPr>
          <w:rFonts w:ascii="Times" w:eastAsia="Times New Roman" w:hAnsi="Times" w:cs="Arial"/>
          <w:kern w:val="0"/>
          <w:sz w:val="24"/>
          <w:szCs w:val="20"/>
          <w:lang w:eastAsia="pl-PL"/>
          <w14:ligatures w14:val="none"/>
        </w:rPr>
        <w:t xml:space="preserve"> ustawy z dnia 23 kwietnia 1964 r. </w:t>
      </w:r>
      <w:r w:rsidRPr="00027D06">
        <w:rPr>
          <w:rFonts w:ascii="Times" w:eastAsia="Times New Roman" w:hAnsi="Times" w:cs="Arial"/>
          <w:kern w:val="0"/>
          <w:sz w:val="24"/>
          <w:szCs w:val="20"/>
          <w:lang w:eastAsia="pl-PL"/>
          <w14:ligatures w14:val="none"/>
        </w:rPr>
        <w:sym w:font="Symbol" w:char="F02D"/>
      </w:r>
      <w:r w:rsidRPr="00027D06">
        <w:rPr>
          <w:rFonts w:ascii="Times" w:eastAsia="Times New Roman" w:hAnsi="Times" w:cs="Arial"/>
          <w:kern w:val="0"/>
          <w:sz w:val="24"/>
          <w:szCs w:val="20"/>
          <w:lang w:eastAsia="pl-PL"/>
          <w14:ligatures w14:val="none"/>
        </w:rPr>
        <w:t xml:space="preserve"> Kodeks cywilny (Dz. U. z 2025 r. poz. 1071, 1172 i 1508) zezwolenie uzyskane na podstawie rozporządzenia 2023/1114 nie przechodzi na podmiot przejmujący lub nowo utworzony powstały w wyniku tego połączenia lub podziału ani na drugą stronę tej czynności prawnej.</w:t>
      </w:r>
    </w:p>
    <w:p w14:paraId="1FEE9D93"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9.</w:t>
      </w:r>
      <w:r w:rsidRPr="00027D06">
        <w:rPr>
          <w:rFonts w:ascii="Times" w:eastAsia="Times New Roman" w:hAnsi="Times" w:cs="Arial"/>
          <w:kern w:val="0"/>
          <w:sz w:val="24"/>
          <w:szCs w:val="20"/>
          <w:lang w:eastAsia="pl-PL"/>
          <w14:ligatures w14:val="none"/>
        </w:rPr>
        <w:t xml:space="preserve"> Dostawca usług w zakresie kryptoaktywów, który nabywa lub zbywa na własny rachunek kryptoaktywa w celu wykonania transakcji klienta, zawiera z klientem umowę, o której mowa w art. 3 ust. 1 pkt 21 rozporządzenia 2023/1114.</w:t>
      </w:r>
    </w:p>
    <w:p w14:paraId="201FE633"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bookmarkStart w:id="18" w:name="_Hlk179737948"/>
      <w:r w:rsidRPr="00027D06">
        <w:rPr>
          <w:rFonts w:ascii="Times" w:eastAsia="Times New Roman" w:hAnsi="Times" w:cs="Arial"/>
          <w:b/>
          <w:kern w:val="0"/>
          <w:sz w:val="24"/>
          <w:szCs w:val="20"/>
          <w:lang w:eastAsia="pl-PL"/>
          <w14:ligatures w14:val="none"/>
        </w:rPr>
        <w:t>Art. 10.</w:t>
      </w:r>
      <w:r w:rsidRPr="00027D06">
        <w:rPr>
          <w:rFonts w:ascii="Times" w:eastAsia="Times New Roman" w:hAnsi="Times" w:cs="Arial"/>
          <w:kern w:val="0"/>
          <w:sz w:val="24"/>
          <w:szCs w:val="20"/>
          <w:lang w:eastAsia="pl-PL"/>
          <w14:ligatures w14:val="none"/>
        </w:rPr>
        <w:t xml:space="preserve"> Przyjmowanie i przekazywanie zleceń związanych z kryptoaktywami w imieniu klientów, o którym mowa w art. 80 rozporządzenia 2023/1114, może polegać również na kojarzeniu dwóch albo większej liczby podmiotów w celu doprowadzenia do zawarcia transakcji między tymi podmiotami.</w:t>
      </w:r>
    </w:p>
    <w:bookmarkEnd w:id="18"/>
    <w:p w14:paraId="02CEE52F"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11.</w:t>
      </w:r>
      <w:r w:rsidRPr="00027D06">
        <w:rPr>
          <w:rFonts w:ascii="Times" w:eastAsia="Times New Roman" w:hAnsi="Times" w:cs="Arial"/>
          <w:kern w:val="0"/>
          <w:sz w:val="24"/>
          <w:szCs w:val="20"/>
          <w:lang w:eastAsia="pl-PL"/>
          <w14:ligatures w14:val="none"/>
        </w:rPr>
        <w:t xml:space="preserve"> 1. </w:t>
      </w:r>
      <w:bookmarkStart w:id="19" w:name="_Hlk208308383"/>
      <w:r w:rsidRPr="00027D06">
        <w:rPr>
          <w:rFonts w:ascii="Times" w:eastAsia="Times New Roman" w:hAnsi="Times" w:cs="Arial"/>
          <w:kern w:val="0"/>
          <w:sz w:val="24"/>
          <w:szCs w:val="20"/>
          <w:lang w:eastAsia="pl-PL"/>
          <w14:ligatures w14:val="none"/>
        </w:rPr>
        <w:t>Dostawca usług w zakresie kryptoaktywów podejmuje czynności związane z ustanowieniem zabezpieczenia wierzytelności na kryptoaktywach, jeżeli są spełnione łącznie następujące warunki:</w:t>
      </w:r>
      <w:bookmarkEnd w:id="19"/>
    </w:p>
    <w:p w14:paraId="563AE77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istnieje nieprzedawniona wierzytelność pieniężna albo niepieniężna, w tym wierzytelność przyszła albo warunkowa;</w:t>
      </w:r>
    </w:p>
    <w:p w14:paraId="2CCE53DE"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przedmiotem zabezpieczenia wierzytelności są kryptoaktywa zapisane na rachunku kryptoaktywów klienta albo przechowywane przez dostawcę usług w zakresie kryptoaktywów na rzecz klienta.</w:t>
      </w:r>
    </w:p>
    <w:p w14:paraId="0274266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Dostawca usług w zakresie kryptoaktywów odmawia podjęcia czynności związanej z ustanowieniem zabezpieczenia wierzytelności na kryptoaktywach, gdy z przedstawionej umowy o ustanowieniu zabezpieczenia lub z dokumentu, z którego wynika zabezpieczona wierzytelność, wynika, że są one sprzeczne z przepisami prawa.</w:t>
      </w:r>
    </w:p>
    <w:p w14:paraId="3CF1B3C1"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Odmowa, o której mowa w ust. 2, zawiera uzasadnienie.</w:t>
      </w:r>
    </w:p>
    <w:p w14:paraId="1F89BC66"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12.</w:t>
      </w:r>
      <w:r w:rsidRPr="00027D06">
        <w:rPr>
          <w:rFonts w:ascii="Times" w:eastAsia="Times New Roman" w:hAnsi="Times" w:cs="Arial"/>
          <w:kern w:val="0"/>
          <w:sz w:val="24"/>
          <w:szCs w:val="20"/>
          <w:lang w:eastAsia="pl-PL"/>
          <w14:ligatures w14:val="none"/>
        </w:rPr>
        <w:t xml:space="preserve"> Minister właściwy do spraw instytucji finansowych określi, w drodze rozporządzenia, tryb i szczegółowe warunki postępowania dostawców usług w zakresie </w:t>
      </w:r>
      <w:r w:rsidRPr="00027D06">
        <w:rPr>
          <w:rFonts w:ascii="Times" w:eastAsia="Times New Roman" w:hAnsi="Times" w:cs="Arial"/>
          <w:kern w:val="0"/>
          <w:sz w:val="24"/>
          <w:szCs w:val="20"/>
          <w:lang w:eastAsia="pl-PL"/>
          <w14:ligatures w14:val="none"/>
        </w:rPr>
        <w:lastRenderedPageBreak/>
        <w:t>kryptoaktywów w zakresie zabezpieczenia wierzytelności na kryptoaktywach, uwzględniając konieczność zapewnienia profesjonalnego, rzetelnego, bezpiecznego i sprawnego prowadzenia działalności przez dostawców usług w zakresie kryptoaktywów, właściwej ochrony interesów klientów tych dostawców oraz bezpieczeństwa i integralności rynku kryptoaktywów.</w:t>
      </w:r>
    </w:p>
    <w:p w14:paraId="020D51E7"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13.</w:t>
      </w:r>
      <w:r w:rsidRPr="00027D06">
        <w:rPr>
          <w:rFonts w:ascii="Times" w:eastAsia="Times New Roman" w:hAnsi="Times" w:cs="Arial"/>
          <w:kern w:val="0"/>
          <w:sz w:val="24"/>
          <w:szCs w:val="20"/>
          <w:lang w:eastAsia="pl-PL"/>
          <w14:ligatures w14:val="none"/>
        </w:rPr>
        <w:t xml:space="preserve"> </w:t>
      </w:r>
      <w:bookmarkStart w:id="20" w:name="_Hlk179741153"/>
      <w:r w:rsidRPr="00027D06">
        <w:rPr>
          <w:rFonts w:ascii="Times" w:eastAsia="Times New Roman" w:hAnsi="Times" w:cs="Arial"/>
          <w:kern w:val="0"/>
          <w:sz w:val="24"/>
          <w:szCs w:val="20"/>
          <w:lang w:eastAsia="pl-PL"/>
          <w14:ligatures w14:val="none"/>
        </w:rPr>
        <w:t>1. Podmiot, o którym mowa w art. 60 ust. 1 rozporządzenia 2023/1114, może wykorzystywać na własny rachunek środki pieniężne powierzone mu przez klientów w związku ze świadczeniem usług w zakresie kryptoaktywów, jeżeli wykorzystuje je w ramach wykonywania czynności bankowych.</w:t>
      </w:r>
    </w:p>
    <w:p w14:paraId="540BAAE9"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Dostawca usług w zakresie kryptoaktywów prowadzi rachunek pieniężny, na którym są rejestrowane środki pieniężne powierzone przez klienta, służący dokonywaniu rozliczeń w następstwie czynności mających za przedmiot kryptoaktywa.</w:t>
      </w:r>
    </w:p>
    <w:p w14:paraId="5EA89BFD"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Środki pieniężne powierzone przez klientów są deponowane odrębnie od środków pieniężnych dostawcy usług w zakresie kryptoaktywów.</w:t>
      </w:r>
    </w:p>
    <w:bookmarkEnd w:id="20"/>
    <w:p w14:paraId="0575269C"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Do rachunku pieniężnego stosuje się odpowiednio przepisy art. 725, art. 727, art. 728 § 3, art. 729</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731 i art. 733 ustawy z dnia 23 kwietnia 1964 r.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Kodeks cywilny.</w:t>
      </w:r>
    </w:p>
    <w:p w14:paraId="7A56DF26"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 Zasady oprocentowania środków pieniężnych powierzonych przez klienta dostawcy usług w zakresie kryptoaktywów w związku ze świadczeniem usług w zakresie kryptoaktywów określa umowa zawarta z tym klientem.</w:t>
      </w:r>
    </w:p>
    <w:p w14:paraId="71BBA2A6" w14:textId="7777777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14.</w:t>
      </w:r>
      <w:r w:rsidRPr="00027D06">
        <w:rPr>
          <w:rFonts w:ascii="Times" w:eastAsia="Times New Roman" w:hAnsi="Times" w:cs="Arial"/>
          <w:kern w:val="0"/>
          <w:sz w:val="24"/>
          <w:szCs w:val="20"/>
          <w:lang w:eastAsia="pl-PL"/>
          <w14:ligatures w14:val="none"/>
        </w:rPr>
        <w:t xml:space="preserve"> Minister właściwy do spraw instytucji finansowych może określić, w drodze rozporządzenia:</w:t>
      </w:r>
    </w:p>
    <w:p w14:paraId="465B9F3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21" w:name="_Hlk193279076"/>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tryb i warunki postępowania dostawców usług w zakresie kryptoaktywów w zakresie:</w:t>
      </w:r>
    </w:p>
    <w:p w14:paraId="43F88E0C"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promowania dostawcy usług w zakresie kryptoaktywów i świadczonych przez niego usług w zakresie kryptoaktywów,</w:t>
      </w:r>
    </w:p>
    <w:p w14:paraId="316E469D"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kontaktów z klientami i potencjalnymi klientami,</w:t>
      </w:r>
    </w:p>
    <w:p w14:paraId="6E97D038"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c)</w:t>
      </w:r>
      <w:r w:rsidRPr="00027D06">
        <w:rPr>
          <w:rFonts w:ascii="Times" w:eastAsia="Times New Roman" w:hAnsi="Times" w:cs="Arial"/>
          <w:bCs/>
          <w:kern w:val="0"/>
          <w:sz w:val="24"/>
          <w:szCs w:val="20"/>
          <w:lang w:eastAsia="pl-PL"/>
          <w14:ligatures w14:val="none"/>
        </w:rPr>
        <w:tab/>
        <w:t>zawierania transakcji,</w:t>
      </w:r>
    </w:p>
    <w:p w14:paraId="511BF6B8"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d)</w:t>
      </w:r>
      <w:r w:rsidRPr="00027D06">
        <w:rPr>
          <w:rFonts w:ascii="Times" w:eastAsia="Times New Roman" w:hAnsi="Times" w:cs="Arial"/>
          <w:bCs/>
          <w:kern w:val="0"/>
          <w:sz w:val="24"/>
          <w:szCs w:val="20"/>
          <w:lang w:eastAsia="pl-PL"/>
          <w14:ligatures w14:val="none"/>
        </w:rPr>
        <w:tab/>
        <w:t>świadczenia usług w zakresie kryptoaktywów, w tym minimalnych wymagań dotyczących regulaminu świadczenia usług w zakresie kryptoaktywów,</w:t>
      </w:r>
    </w:p>
    <w:p w14:paraId="38D4CCC8"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e)</w:t>
      </w:r>
      <w:r w:rsidRPr="00027D06">
        <w:rPr>
          <w:rFonts w:ascii="Times" w:eastAsia="Times New Roman" w:hAnsi="Times" w:cs="Arial"/>
          <w:bCs/>
          <w:kern w:val="0"/>
          <w:sz w:val="24"/>
          <w:szCs w:val="20"/>
          <w:lang w:eastAsia="pl-PL"/>
          <w14:ligatures w14:val="none"/>
        </w:rPr>
        <w:tab/>
        <w:t>dokonywania rozrachunku transakcji na kryptoaktywach,</w:t>
      </w:r>
    </w:p>
    <w:p w14:paraId="56C0E9A0"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szczegółowe warunki techniczne i organizacyjne wymagane do prowadzenia działalności przez dostawcę usług w zakresie kryptoaktywów w zakresie:</w:t>
      </w:r>
    </w:p>
    <w:p w14:paraId="41CF7837"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przechowywania, rejestrowania i zabezpieczania kryptoaktywów oraz środków pieniężnych klientów,</w:t>
      </w:r>
    </w:p>
    <w:p w14:paraId="4F43AEB2"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b)</w:t>
      </w:r>
      <w:r w:rsidRPr="00027D06">
        <w:rPr>
          <w:rFonts w:ascii="Times" w:eastAsia="Times New Roman" w:hAnsi="Times" w:cs="Arial"/>
          <w:bCs/>
          <w:kern w:val="0"/>
          <w:sz w:val="24"/>
          <w:szCs w:val="20"/>
          <w:lang w:eastAsia="pl-PL"/>
          <w14:ligatures w14:val="none"/>
        </w:rPr>
        <w:tab/>
        <w:t>wyodrębniania kryptoaktywów i środków pieniężnych klienta,</w:t>
      </w:r>
    </w:p>
    <w:p w14:paraId="7291BEE6"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c)</w:t>
      </w:r>
      <w:r w:rsidRPr="00027D06">
        <w:rPr>
          <w:rFonts w:ascii="Times" w:eastAsia="Times New Roman" w:hAnsi="Times" w:cs="Arial"/>
          <w:bCs/>
          <w:kern w:val="0"/>
          <w:sz w:val="24"/>
          <w:szCs w:val="20"/>
          <w:lang w:eastAsia="pl-PL"/>
          <w14:ligatures w14:val="none"/>
        </w:rPr>
        <w:tab/>
        <w:t>rejestrowania zawieranych transakcji dotyczących kryptoaktywów,</w:t>
      </w:r>
    </w:p>
    <w:p w14:paraId="5C556E65"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d)</w:t>
      </w:r>
      <w:r w:rsidRPr="00027D06">
        <w:rPr>
          <w:rFonts w:ascii="Times" w:eastAsia="Times New Roman" w:hAnsi="Times" w:cs="Arial"/>
          <w:bCs/>
          <w:kern w:val="0"/>
          <w:sz w:val="24"/>
          <w:szCs w:val="20"/>
          <w:lang w:eastAsia="pl-PL"/>
          <w14:ligatures w14:val="none"/>
        </w:rPr>
        <w:tab/>
        <w:t>przechowywania i archiwizacji dokumentów i innych nośników informacji sporządzanych w związku z prowadzeniem działalności</w:t>
      </w:r>
    </w:p>
    <w:p w14:paraId="547907CF" w14:textId="77777777" w:rsidR="00027D06" w:rsidRPr="00027D06" w:rsidRDefault="00027D06" w:rsidP="00027D06">
      <w:pPr>
        <w:spacing w:after="0" w:line="360" w:lineRule="auto"/>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uwzględniając konieczność zapewnienia profesjonalnego, rzetelnego, bezpiecznego i sprawnego prowadzenia działalności przez dostawców usług w zakresie kryptoaktywów, właściwej ochrony interesów klientów tych dostawców oraz bezpieczeństwa i integralności rynku kryptoaktywów.</w:t>
      </w:r>
    </w:p>
    <w:bookmarkEnd w:id="21"/>
    <w:p w14:paraId="13B351BB" w14:textId="23CB995A" w:rsidR="00A7749A" w:rsidRPr="00A7749A" w:rsidRDefault="00027D06" w:rsidP="00027D06">
      <w:pPr>
        <w:suppressAutoHyphens/>
        <w:autoSpaceDE w:val="0"/>
        <w:autoSpaceDN w:val="0"/>
        <w:adjustRightInd w:val="0"/>
        <w:spacing w:before="120" w:after="0" w:line="360" w:lineRule="auto"/>
        <w:ind w:firstLine="510"/>
        <w:jc w:val="both"/>
        <w:rPr>
          <w:rFonts w:ascii="Times" w:eastAsia="Times New Roman" w:hAnsi="Times" w:cs="Arial"/>
          <w:bCs/>
          <w:kern w:val="0"/>
          <w:sz w:val="24"/>
          <w:szCs w:val="20"/>
          <w:lang w:eastAsia="pl-PL"/>
          <w14:ligatures w14:val="none"/>
        </w:rPr>
      </w:pPr>
      <w:r w:rsidRPr="00A7749A">
        <w:rPr>
          <w:rFonts w:ascii="Times" w:eastAsia="Times New Roman" w:hAnsi="Times" w:cs="Arial"/>
          <w:b/>
          <w:kern w:val="0"/>
          <w:sz w:val="24"/>
          <w:szCs w:val="20"/>
          <w:lang w:eastAsia="pl-PL"/>
          <w14:ligatures w14:val="none"/>
        </w:rPr>
        <w:t>Art. </w:t>
      </w:r>
      <w:r w:rsidR="00C53186" w:rsidRPr="00A7749A">
        <w:rPr>
          <w:rFonts w:ascii="Times" w:eastAsia="Times New Roman" w:hAnsi="Times" w:cs="Arial"/>
          <w:b/>
          <w:kern w:val="0"/>
          <w:sz w:val="24"/>
          <w:szCs w:val="20"/>
          <w:lang w:eastAsia="pl-PL"/>
          <w14:ligatures w14:val="none"/>
        </w:rPr>
        <w:t>15</w:t>
      </w:r>
      <w:r w:rsidRPr="00A7749A">
        <w:rPr>
          <w:rFonts w:ascii="Times" w:eastAsia="Times New Roman" w:hAnsi="Times" w:cs="Arial"/>
          <w:b/>
          <w:kern w:val="0"/>
          <w:sz w:val="24"/>
          <w:szCs w:val="20"/>
          <w:lang w:eastAsia="pl-PL"/>
          <w14:ligatures w14:val="none"/>
        </w:rPr>
        <w:t>.</w:t>
      </w:r>
      <w:r w:rsidRPr="00A7749A">
        <w:rPr>
          <w:rFonts w:ascii="Times" w:eastAsia="Times New Roman" w:hAnsi="Times" w:cs="Arial"/>
          <w:bCs/>
          <w:kern w:val="0"/>
          <w:sz w:val="24"/>
          <w:szCs w:val="20"/>
          <w:lang w:eastAsia="pl-PL"/>
          <w14:ligatures w14:val="none"/>
        </w:rPr>
        <w:t xml:space="preserve"> </w:t>
      </w:r>
      <w:r w:rsidR="00A7749A" w:rsidRPr="00A7749A">
        <w:rPr>
          <w:rFonts w:ascii="Times" w:eastAsia="Times New Roman" w:hAnsi="Times" w:cs="Arial"/>
          <w:bCs/>
          <w:kern w:val="0"/>
          <w:sz w:val="24"/>
          <w:szCs w:val="20"/>
          <w:lang w:eastAsia="pl-PL"/>
          <w14:ligatures w14:val="none"/>
        </w:rPr>
        <w:t>Materiały marketingowe oferty publicznej kryptoaktywa innego niż tokeny powiązane z aktywami lub tokeny będące e-pieniądzem, o której mowa w art. 4 ust. 2 lit. a rozporządzenia 2023/1114, mogą być rozpowszechniane jedynie do mniej niż 150 osób na terytorium jednego państwa członkowskiego Unii Europejskiej oraz nie mogą być udostępniane nieoznaczonemu adresatowi.</w:t>
      </w:r>
    </w:p>
    <w:p w14:paraId="656EDA9A" w14:textId="109D9AE1" w:rsidR="00027D06" w:rsidRPr="00027D06" w:rsidRDefault="00A7749A"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Pr>
          <w:rFonts w:ascii="Times" w:eastAsia="Times New Roman" w:hAnsi="Times" w:cs="Arial"/>
          <w:b/>
          <w:kern w:val="0"/>
          <w:sz w:val="24"/>
          <w:szCs w:val="20"/>
          <w:lang w:eastAsia="pl-PL"/>
          <w14:ligatures w14:val="none"/>
        </w:rPr>
        <w:t xml:space="preserve">Art. 16. </w:t>
      </w:r>
      <w:r w:rsidR="00027D06" w:rsidRPr="00027D06">
        <w:rPr>
          <w:rFonts w:ascii="Times" w:eastAsia="Times New Roman" w:hAnsi="Times" w:cs="Arial"/>
          <w:kern w:val="0"/>
          <w:sz w:val="24"/>
          <w:szCs w:val="20"/>
          <w:lang w:eastAsia="pl-PL"/>
          <w14:ligatures w14:val="none"/>
        </w:rPr>
        <w:t>Równowartość w złotych kwoty wyrażonej w euro, o której mowa w:</w:t>
      </w:r>
    </w:p>
    <w:p w14:paraId="68C531D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art. 35 ust. 1 lit. a i załączniku IV rozporządzenia 2023/1114, oblicza się według średniego kursu euro ogłoszonego przez Narodowy Bank Polski:</w:t>
      </w:r>
    </w:p>
    <w:p w14:paraId="7015F485"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w dniu bilansowym, na który jest sporządzane roczne sprawozdanie finansowe,</w:t>
      </w:r>
    </w:p>
    <w:p w14:paraId="15529658"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 xml:space="preserve">w dniu poprzedzającym dzień złożenia wniosku o udzielenie zezwolenia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przypadku postępowania w przedmiocie udzielenia zezwolenia, o którym mowa w art. 16 i art. 59 rozporządzenia 2023/1114;</w:t>
      </w:r>
    </w:p>
    <w:p w14:paraId="1C5E638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art. 4 ust. 2 lit. b i ust. 3, art. 16 ust. 2 lit. a, art. 22 ust. 1 i 2 oraz załączniku V pkt 1 i załączniku VI pkt 1 rozporządzenia 2023/1114, oblicza się według średniego kursu euro ogłoszonego przez Narodowy Bank Polski w dniu ustalenia ceny emisyjnej kryptoaktywa;</w:t>
      </w:r>
    </w:p>
    <w:p w14:paraId="6C1DA076"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art. 23 ust. 1 i 5 rozporządzenia 2023/1114, oblicza się według średniego kursu euro ogłoszonego przez Narodowy Bank Polski w ostatnim dniu kwartału, za który jest obliczana średnia łączna dzienna wartość transakcji tokenem powiązanym z aktywami;</w:t>
      </w:r>
    </w:p>
    <w:p w14:paraId="47A1CE52"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w:t>
      </w:r>
      <w:r w:rsidRPr="00027D06">
        <w:rPr>
          <w:rFonts w:ascii="Times" w:eastAsia="Times New Roman" w:hAnsi="Times" w:cs="Arial"/>
          <w:bCs/>
          <w:kern w:val="0"/>
          <w:sz w:val="24"/>
          <w:szCs w:val="20"/>
          <w:lang w:eastAsia="pl-PL"/>
          <w14:ligatures w14:val="none"/>
        </w:rPr>
        <w:tab/>
        <w:t>art. 43 ust. 1 lit. b i c rozporządzenia 2023/1114, oblicza się według średniego kursu euro ogłoszonego przez Narodowy Bank Polski w dniu ustalenia:</w:t>
      </w:r>
    </w:p>
    <w:p w14:paraId="2574F895"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 xml:space="preserve">ceny emisyjnej tokena powiązanego z aktywami, kapitalizacji rynkowej takiego tokena lub wielkości rezerwy aktywów emitenta takiego tokena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przypadku, o którym mowa w art. 43 ust. 1 lit. b rozporządzenia 2023/1114,</w:t>
      </w:r>
    </w:p>
    <w:p w14:paraId="137128F9"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b)</w:t>
      </w:r>
      <w:r w:rsidRPr="00027D06">
        <w:rPr>
          <w:rFonts w:ascii="Times" w:eastAsia="Times New Roman" w:hAnsi="Times" w:cs="Arial"/>
          <w:bCs/>
          <w:kern w:val="0"/>
          <w:sz w:val="24"/>
          <w:szCs w:val="20"/>
          <w:lang w:eastAsia="pl-PL"/>
          <w14:ligatures w14:val="none"/>
        </w:rPr>
        <w:tab/>
        <w:t>wartości dziennej transakcji – w przypadku, o którym mowa w art. 43 ust. 1 lit. c rozporządzenia 2023/1114.</w:t>
      </w:r>
    </w:p>
    <w:p w14:paraId="773D9ED0"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27D06">
        <w:rPr>
          <w:rFonts w:ascii="Times" w:eastAsia="Times New Roman" w:hAnsi="Times" w:cs="Arial"/>
          <w:bCs/>
          <w:kern w:val="24"/>
          <w:sz w:val="24"/>
          <w:szCs w:val="24"/>
          <w:lang w:eastAsia="pl-PL"/>
          <w14:ligatures w14:val="none"/>
        </w:rPr>
        <w:t>Rozdział 2</w:t>
      </w:r>
    </w:p>
    <w:p w14:paraId="120280E9" w14:textId="77777777" w:rsidR="00027D06" w:rsidRPr="00027D06"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Tajemnica zawodowa</w:t>
      </w:r>
    </w:p>
    <w:p w14:paraId="05181B21" w14:textId="27F4E122"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C53186">
        <w:rPr>
          <w:rFonts w:ascii="Times" w:eastAsia="Times New Roman" w:hAnsi="Times" w:cs="Arial"/>
          <w:b/>
          <w:kern w:val="0"/>
          <w:sz w:val="24"/>
          <w:szCs w:val="20"/>
          <w:lang w:eastAsia="pl-PL"/>
          <w14:ligatures w14:val="none"/>
        </w:rPr>
        <w:t>1</w:t>
      </w:r>
      <w:r w:rsidR="00011954">
        <w:rPr>
          <w:rFonts w:ascii="Times" w:eastAsia="Times New Roman" w:hAnsi="Times" w:cs="Arial"/>
          <w:b/>
          <w:kern w:val="0"/>
          <w:sz w:val="24"/>
          <w:szCs w:val="20"/>
          <w:lang w:eastAsia="pl-PL"/>
          <w14:ligatures w14:val="none"/>
        </w:rPr>
        <w:t>7</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Tajemnica zawodowa obejmuje informacje dotyczące chronionych prawem interesów podmiotów, na rzecz których są świadczone usługi w zakresie kryptoaktywów, uzyskane przez osoby, o których mowa w </w:t>
      </w:r>
      <w:r w:rsidRPr="001E11FF">
        <w:rPr>
          <w:rFonts w:ascii="Times" w:eastAsia="Times New Roman" w:hAnsi="Times" w:cs="Arial"/>
          <w:kern w:val="0"/>
          <w:sz w:val="24"/>
          <w:szCs w:val="20"/>
          <w:lang w:eastAsia="pl-PL"/>
          <w14:ligatures w14:val="none"/>
        </w:rPr>
        <w:t xml:space="preserve">art. </w:t>
      </w:r>
      <w:r w:rsidR="00745C84" w:rsidRPr="001E11FF">
        <w:rPr>
          <w:rFonts w:ascii="Times" w:eastAsia="Times New Roman" w:hAnsi="Times" w:cs="Arial"/>
          <w:kern w:val="0"/>
          <w:sz w:val="24"/>
          <w:szCs w:val="20"/>
          <w:lang w:eastAsia="pl-PL"/>
          <w14:ligatures w14:val="none"/>
        </w:rPr>
        <w:t>1</w:t>
      </w:r>
      <w:r w:rsidR="00745C84">
        <w:rPr>
          <w:rFonts w:ascii="Times" w:eastAsia="Times New Roman" w:hAnsi="Times" w:cs="Arial"/>
          <w:kern w:val="0"/>
          <w:sz w:val="24"/>
          <w:szCs w:val="20"/>
          <w:lang w:eastAsia="pl-PL"/>
          <w14:ligatures w14:val="none"/>
        </w:rPr>
        <w:t>8</w:t>
      </w:r>
      <w:r w:rsidR="00745C84"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ust. 1, w</w:t>
      </w:r>
      <w:r w:rsidRPr="00027D06">
        <w:rPr>
          <w:rFonts w:ascii="Times" w:eastAsia="Times New Roman" w:hAnsi="Times" w:cs="Arial"/>
          <w:kern w:val="0"/>
          <w:sz w:val="24"/>
          <w:szCs w:val="20"/>
          <w:lang w:eastAsia="pl-PL"/>
          <w14:ligatures w14:val="none"/>
        </w:rPr>
        <w:t xml:space="preserve"> związku z czynnościami służbowymi podejmowanymi przez nie w ramach stosunku pracy, zlecenia lub innego stosunku prawnego o podobnym charakterze, a także informacje uzyskane przez te osoby w związku z innymi czynnościami podejmowanymi w ramach działalności prowadzonej na podstawie przepisów rozporządzenia 2023/1114, objętej nadzorem Komisji lub właściwego organu nadzoru z innego niż Rzeczpospolita Polska państwa członkowskiego Unii Europejskiej, jak również informacje dotyczące czynności podejmowanych w ramach wykonywania tego nadzoru, w szczególności:</w:t>
      </w:r>
    </w:p>
    <w:p w14:paraId="08D5621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dane identyfikujące stronę umowy lub innej czynności prawnej, obejmujące jej imię i nazwisko albo firmę (nazwę) oraz adres;</w:t>
      </w:r>
    </w:p>
    <w:p w14:paraId="7D218A9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treść umowy lub przedmiot innej czynności prawnej;</w:t>
      </w:r>
    </w:p>
    <w:p w14:paraId="0ACE8219"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dane o sytuacji majątkowej strony umowy, w tym liczbę i oznaczenie przechowywanych kryptoaktywów, oznaczenie rachunku kryptoaktywów, rejestru pozycji prowadzonego dla klienta, o którym mowa w art. 75 ust. 2 rozporządzenia 2023/1114, lub rachunku pieniężnego służącego do dokonywania rozliczeń w następstwie czynności mających za przedmiot kryptoaktywa oraz wartość środków zgromadzonych na tym rachunku pieniężnym lub zapisanych w tym rejestrze.</w:t>
      </w:r>
    </w:p>
    <w:p w14:paraId="2F61B83F" w14:textId="05E18F0A"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C53186" w:rsidRPr="00027D06">
        <w:rPr>
          <w:rFonts w:ascii="Times" w:eastAsia="Times New Roman" w:hAnsi="Times" w:cs="Arial"/>
          <w:b/>
          <w:kern w:val="0"/>
          <w:sz w:val="24"/>
          <w:szCs w:val="20"/>
          <w:lang w:eastAsia="pl-PL"/>
          <w14:ligatures w14:val="none"/>
        </w:rPr>
        <w:t>1</w:t>
      </w:r>
      <w:r w:rsidR="00011954">
        <w:rPr>
          <w:rFonts w:ascii="Times" w:eastAsia="Times New Roman" w:hAnsi="Times" w:cs="Arial"/>
          <w:b/>
          <w:kern w:val="0"/>
          <w:sz w:val="24"/>
          <w:szCs w:val="20"/>
          <w:lang w:eastAsia="pl-PL"/>
          <w14:ligatures w14:val="none"/>
        </w:rPr>
        <w:t>8</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vertAlign w:val="superscript"/>
          <w:lang w:eastAsia="pl-PL"/>
          <w14:ligatures w14:val="none"/>
        </w:rPr>
        <w:t xml:space="preserve"> </w:t>
      </w:r>
      <w:bookmarkStart w:id="22" w:name="_Hlk164692535"/>
      <w:r w:rsidRPr="00027D06">
        <w:rPr>
          <w:rFonts w:ascii="Times" w:eastAsia="Times New Roman" w:hAnsi="Times" w:cs="Arial"/>
          <w:kern w:val="0"/>
          <w:sz w:val="24"/>
          <w:szCs w:val="20"/>
          <w:lang w:eastAsia="pl-PL"/>
          <w14:ligatures w14:val="none"/>
        </w:rPr>
        <w:t xml:space="preserve">1. Do zachowania </w:t>
      </w:r>
      <w:bookmarkEnd w:id="22"/>
      <w:r w:rsidRPr="00027D06">
        <w:rPr>
          <w:rFonts w:ascii="Times" w:eastAsia="Times New Roman" w:hAnsi="Times" w:cs="Arial"/>
          <w:kern w:val="0"/>
          <w:sz w:val="24"/>
          <w:szCs w:val="20"/>
          <w:lang w:eastAsia="pl-PL"/>
          <w14:ligatures w14:val="none"/>
        </w:rPr>
        <w:t>tajemnicy zawodowej są obowiązane osoby:</w:t>
      </w:r>
    </w:p>
    <w:p w14:paraId="52E62772"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wchodzące w skład organów statutowych:</w:t>
      </w:r>
    </w:p>
    <w:p w14:paraId="62842318"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 xml:space="preserve">dostawcy usług w zakresie kryptoaktywów, </w:t>
      </w:r>
    </w:p>
    <w:p w14:paraId="02433207"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podmiotów pozostających z dostawcą usług w zakresie kryptoaktywów w stosunku zlecenia lub innym stosunku prawnym o podobnym charakterze;</w:t>
      </w:r>
    </w:p>
    <w:p w14:paraId="66E2F60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pozostające w stosunku pracy, zlecenia lub innym stosunku prawnym o podobnym charakterze z:</w:t>
      </w:r>
    </w:p>
    <w:p w14:paraId="2C047ECD"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dostawcą usług w zakresie kryptoaktywów,</w:t>
      </w:r>
    </w:p>
    <w:p w14:paraId="4381414F"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podmiotami pozostającymi z dostawcą usług w zakresie kryptoaktywów w stosunku zlecenia lub innym stosunku prawnym o podobnym charakterze.</w:t>
      </w:r>
    </w:p>
    <w:p w14:paraId="50B34E70"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2. Osoby, o których mowa w ust. 1, ponoszą odpowiedzialność za szkody wynikające z nieuprawnionego ujawnienia informacji stanowiącej tajemnicę zawodową i wykorzystania jej niezgodnie z przeznaczeniem.</w:t>
      </w:r>
    </w:p>
    <w:p w14:paraId="09D4F742"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Obowiązek zachowania tajemnicy zawodowej istnieje również po zakończeniu pełnienia funkcji lub ustaniu stosunków prawnych, o których mowa w ust. 1.</w:t>
      </w:r>
    </w:p>
    <w:p w14:paraId="4A1E46EA" w14:textId="4DF6AF2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4. Do zachowania tajemnicy zawodowej są obowiązane także osoby, którym informacje stanowiące taką tajemnicę zostały ujawnione </w:t>
      </w:r>
      <w:r w:rsidRPr="001E11FF">
        <w:rPr>
          <w:rFonts w:ascii="Times" w:eastAsia="Times New Roman" w:hAnsi="Times" w:cs="Arial"/>
          <w:bCs/>
          <w:kern w:val="0"/>
          <w:sz w:val="24"/>
          <w:szCs w:val="20"/>
          <w:lang w:eastAsia="pl-PL"/>
          <w14:ligatures w14:val="none"/>
        </w:rPr>
        <w:t xml:space="preserve">zgodnie z art. </w:t>
      </w:r>
      <w:r w:rsidR="00745C84">
        <w:rPr>
          <w:rFonts w:ascii="Times" w:eastAsia="Times New Roman" w:hAnsi="Times" w:cs="Arial"/>
          <w:bCs/>
          <w:kern w:val="0"/>
          <w:sz w:val="24"/>
          <w:szCs w:val="20"/>
          <w:lang w:eastAsia="pl-PL"/>
          <w14:ligatures w14:val="none"/>
        </w:rPr>
        <w:t>20</w:t>
      </w:r>
      <w:r w:rsidRPr="001E11FF">
        <w:rPr>
          <w:rFonts w:ascii="Times" w:eastAsia="Times New Roman" w:hAnsi="Times" w:cs="Arial"/>
          <w:bCs/>
          <w:kern w:val="0"/>
          <w:sz w:val="24"/>
          <w:szCs w:val="20"/>
          <w:lang w:eastAsia="pl-PL"/>
          <w14:ligatures w14:val="none"/>
        </w:rPr>
        <w:t xml:space="preserve">, art. </w:t>
      </w:r>
      <w:r w:rsidR="00745C84" w:rsidRPr="001E11FF">
        <w:rPr>
          <w:rFonts w:ascii="Times" w:eastAsia="Times New Roman" w:hAnsi="Times" w:cs="Arial"/>
          <w:bCs/>
          <w:kern w:val="0"/>
          <w:sz w:val="24"/>
          <w:szCs w:val="20"/>
          <w:lang w:eastAsia="pl-PL"/>
          <w14:ligatures w14:val="none"/>
        </w:rPr>
        <w:t>2</w:t>
      </w:r>
      <w:r w:rsidR="00745C84">
        <w:rPr>
          <w:rFonts w:ascii="Times" w:eastAsia="Times New Roman" w:hAnsi="Times" w:cs="Arial"/>
          <w:bCs/>
          <w:kern w:val="0"/>
          <w:sz w:val="24"/>
          <w:szCs w:val="20"/>
          <w:lang w:eastAsia="pl-PL"/>
          <w14:ligatures w14:val="none"/>
        </w:rPr>
        <w:t>1</w:t>
      </w:r>
      <w:r w:rsidRPr="001E11FF">
        <w:rPr>
          <w:rFonts w:ascii="Times" w:eastAsia="Times New Roman" w:hAnsi="Times" w:cs="Arial"/>
          <w:bCs/>
          <w:kern w:val="0"/>
          <w:sz w:val="24"/>
          <w:szCs w:val="20"/>
          <w:lang w:eastAsia="pl-PL"/>
          <w14:ligatures w14:val="none"/>
        </w:rPr>
        <w:t xml:space="preserve">, art. </w:t>
      </w:r>
      <w:r w:rsidR="00745C84" w:rsidRPr="001E11FF">
        <w:rPr>
          <w:rFonts w:ascii="Times" w:eastAsia="Times New Roman" w:hAnsi="Times" w:cs="Arial"/>
          <w:bCs/>
          <w:kern w:val="0"/>
          <w:sz w:val="24"/>
          <w:szCs w:val="20"/>
          <w:lang w:eastAsia="pl-PL"/>
          <w14:ligatures w14:val="none"/>
        </w:rPr>
        <w:t>5</w:t>
      </w:r>
      <w:r w:rsidR="00745C84">
        <w:rPr>
          <w:rFonts w:ascii="Times" w:eastAsia="Times New Roman" w:hAnsi="Times" w:cs="Arial"/>
          <w:bCs/>
          <w:kern w:val="0"/>
          <w:sz w:val="24"/>
          <w:szCs w:val="20"/>
          <w:lang w:eastAsia="pl-PL"/>
          <w14:ligatures w14:val="none"/>
        </w:rPr>
        <w:t>9</w:t>
      </w:r>
      <w:r w:rsidR="00745C84" w:rsidRPr="001E11FF">
        <w:rPr>
          <w:rFonts w:ascii="Times" w:eastAsia="Times New Roman" w:hAnsi="Times" w:cs="Arial"/>
          <w:bCs/>
          <w:kern w:val="0"/>
          <w:sz w:val="24"/>
          <w:szCs w:val="20"/>
          <w:lang w:eastAsia="pl-PL"/>
          <w14:ligatures w14:val="none"/>
        </w:rPr>
        <w:t xml:space="preserve"> </w:t>
      </w:r>
      <w:r w:rsidRPr="001E11FF">
        <w:rPr>
          <w:rFonts w:ascii="Times" w:eastAsia="Times New Roman" w:hAnsi="Times" w:cs="Arial"/>
          <w:bCs/>
          <w:kern w:val="0"/>
          <w:sz w:val="24"/>
          <w:szCs w:val="20"/>
          <w:lang w:eastAsia="pl-PL"/>
          <w14:ligatures w14:val="none"/>
        </w:rPr>
        <w:t xml:space="preserve">i art. </w:t>
      </w:r>
      <w:r w:rsidR="00745C84">
        <w:rPr>
          <w:rFonts w:ascii="Times" w:eastAsia="Times New Roman" w:hAnsi="Times" w:cs="Arial"/>
          <w:bCs/>
          <w:kern w:val="0"/>
          <w:sz w:val="24"/>
          <w:szCs w:val="20"/>
          <w:lang w:eastAsia="pl-PL"/>
          <w14:ligatures w14:val="none"/>
        </w:rPr>
        <w:t>60</w:t>
      </w:r>
      <w:r w:rsidR="00745C84" w:rsidRPr="001E11FF">
        <w:rPr>
          <w:rFonts w:ascii="Times" w:eastAsia="Times New Roman" w:hAnsi="Times" w:cs="Arial"/>
          <w:bCs/>
          <w:kern w:val="0"/>
          <w:sz w:val="24"/>
          <w:szCs w:val="20"/>
          <w:lang w:eastAsia="pl-PL"/>
          <w14:ligatures w14:val="none"/>
        </w:rPr>
        <w:t xml:space="preserve"> </w:t>
      </w:r>
      <w:r w:rsidRPr="001E11FF">
        <w:rPr>
          <w:rFonts w:ascii="Times" w:eastAsia="Times New Roman" w:hAnsi="Times" w:cs="Arial"/>
          <w:bCs/>
          <w:kern w:val="0"/>
          <w:sz w:val="24"/>
          <w:szCs w:val="20"/>
          <w:lang w:eastAsia="pl-PL"/>
          <w14:ligatures w14:val="none"/>
        </w:rPr>
        <w:t>oraz</w:t>
      </w:r>
      <w:r w:rsidRPr="00027D06">
        <w:rPr>
          <w:rFonts w:ascii="Times" w:eastAsia="Times New Roman" w:hAnsi="Times" w:cs="Arial"/>
          <w:bCs/>
          <w:kern w:val="0"/>
          <w:sz w:val="24"/>
          <w:szCs w:val="20"/>
          <w:lang w:eastAsia="pl-PL"/>
          <w14:ligatures w14:val="none"/>
        </w:rPr>
        <w:t xml:space="preserve"> zgodnie z art. 95 rozporządzenia 2023/1114, chyba że na ujawnienie takich informacji przez te osoby zezwala przepis prawa. Przepisy ust. 2 i 3 stosuje się odpowiednio.</w:t>
      </w:r>
    </w:p>
    <w:p w14:paraId="069351BC"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bookmarkStart w:id="23" w:name="_Hlk164692510"/>
      <w:r w:rsidRPr="00027D06">
        <w:rPr>
          <w:rFonts w:ascii="Times" w:eastAsia="Times New Roman" w:hAnsi="Times" w:cs="Arial"/>
          <w:bCs/>
          <w:kern w:val="0"/>
          <w:sz w:val="24"/>
          <w:szCs w:val="20"/>
          <w:lang w:eastAsia="pl-PL"/>
          <w14:ligatures w14:val="none"/>
        </w:rPr>
        <w:t>5. Osoby, o których mowa w ust. 1, nie ponoszą odpowiedzialności za szkody wynikające z nieuprawnionego ujawnienia i wykorzystania niezgodnie z przeznaczeniem informacji stanowiącej tajemnicę zawodową przez osoby, o których mowa w ust. 4.</w:t>
      </w:r>
    </w:p>
    <w:bookmarkEnd w:id="23"/>
    <w:p w14:paraId="5CB33ACA" w14:textId="1834E4CD"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C53186" w:rsidRPr="00027D06">
        <w:rPr>
          <w:rFonts w:ascii="Times" w:eastAsia="Times New Roman" w:hAnsi="Times" w:cs="Arial"/>
          <w:b/>
          <w:kern w:val="0"/>
          <w:sz w:val="24"/>
          <w:szCs w:val="20"/>
          <w:lang w:eastAsia="pl-PL"/>
          <w14:ligatures w14:val="none"/>
        </w:rPr>
        <w:t>1</w:t>
      </w:r>
      <w:r w:rsidR="00011954">
        <w:rPr>
          <w:rFonts w:ascii="Times" w:eastAsia="Times New Roman" w:hAnsi="Times" w:cs="Arial"/>
          <w:b/>
          <w:kern w:val="0"/>
          <w:sz w:val="24"/>
          <w:szCs w:val="20"/>
          <w:lang w:eastAsia="pl-PL"/>
          <w14:ligatures w14:val="none"/>
        </w:rPr>
        <w:t>9</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Dostawcy usług w zakresie kryptoaktywów mogą przekazywać sobie objęte tajemnicą zawodową informacje o wierzytelnościach przysługujących im względem klientów z tytułu świadczonych usług w zakresie, w jakim informacje te są niezbędne do ochrony ich interesów przed nierzetelnymi klientami.</w:t>
      </w:r>
    </w:p>
    <w:p w14:paraId="62E338A3"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Dostawcy usług w zakresie kryptoaktywów mogą przekazywać sobie objęte tajemnicą zawodową informacje w przypadku uzasadnionego podejrzenia popełnienia przestępstwa na szkodę dostawców usług w zakresie kryptoaktywów lub ich klientów w zakresie niezbędnym do zapobiegania temu przestępstwu, a także w przypadku gdy informacje te są niezbędne do wykonywania obowiązków w zakresie określonym w przepisach ustawy z dnia 1 marca 2018 r. o przeciwdziałaniu praniu pieniędzy oraz finansowaniu terroryzmu (Dz. U. z 2025 r. poz. 644).</w:t>
      </w:r>
    </w:p>
    <w:p w14:paraId="4200BC93" w14:textId="343780BA"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Pr>
          <w:rFonts w:ascii="Times" w:eastAsia="Times New Roman" w:hAnsi="Times" w:cs="Arial"/>
          <w:b/>
          <w:kern w:val="0"/>
          <w:sz w:val="24"/>
          <w:szCs w:val="20"/>
          <w:lang w:eastAsia="pl-PL"/>
          <w14:ligatures w14:val="none"/>
        </w:rPr>
        <w:t>20</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Informacje stanowiące tajemnicę zawodową są ujawniane przez osoby, o których mowa </w:t>
      </w:r>
      <w:r w:rsidRPr="001E11FF">
        <w:rPr>
          <w:rFonts w:ascii="Times" w:eastAsia="Times New Roman" w:hAnsi="Times" w:cs="Arial"/>
          <w:kern w:val="0"/>
          <w:sz w:val="24"/>
          <w:szCs w:val="20"/>
          <w:lang w:eastAsia="pl-PL"/>
          <w14:ligatures w14:val="none"/>
        </w:rPr>
        <w:t xml:space="preserve">w art. </w:t>
      </w:r>
      <w:r w:rsidR="00813D94" w:rsidRPr="001E11FF">
        <w:rPr>
          <w:rFonts w:ascii="Times" w:eastAsia="Times New Roman" w:hAnsi="Times" w:cs="Arial"/>
          <w:kern w:val="0"/>
          <w:sz w:val="24"/>
          <w:szCs w:val="20"/>
          <w:lang w:eastAsia="pl-PL"/>
          <w14:ligatures w14:val="none"/>
        </w:rPr>
        <w:t>1</w:t>
      </w:r>
      <w:r w:rsidR="00813D94">
        <w:rPr>
          <w:rFonts w:ascii="Times" w:eastAsia="Times New Roman" w:hAnsi="Times" w:cs="Arial"/>
          <w:kern w:val="0"/>
          <w:sz w:val="24"/>
          <w:szCs w:val="20"/>
          <w:lang w:eastAsia="pl-PL"/>
          <w14:ligatures w14:val="none"/>
        </w:rPr>
        <w:t>8</w:t>
      </w:r>
      <w:r w:rsidR="00813D94"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ust.</w:t>
      </w:r>
      <w:r w:rsidRPr="00027D06">
        <w:rPr>
          <w:rFonts w:ascii="Times" w:eastAsia="Times New Roman" w:hAnsi="Times" w:cs="Arial"/>
          <w:kern w:val="0"/>
          <w:sz w:val="24"/>
          <w:szCs w:val="20"/>
          <w:lang w:eastAsia="pl-PL"/>
          <w14:ligatures w14:val="none"/>
        </w:rPr>
        <w:t xml:space="preserve"> 1, wyłącznie na żądanie:</w:t>
      </w:r>
    </w:p>
    <w:p w14:paraId="314F3ACE"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sądu lub prokuratora w związku z toczącym się postępowaniem karnym lub postępowaniem w sprawie o przestępstwo skarbowe;</w:t>
      </w:r>
    </w:p>
    <w:p w14:paraId="478FBDC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sądu lub prokuratora w związku z wykonaniem wniosku o udzielenie pomocy prawnej pochodzącego od państwa obcego, które na mocy ratyfikowanej umowy międzynarodowej wiążącej Rzeczpospolitą Polską ma prawo występować o udzielenie informacji objętych tajemnicą zawodową;</w:t>
      </w:r>
    </w:p>
    <w:p w14:paraId="7070B6C3"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3)</w:t>
      </w:r>
      <w:r w:rsidRPr="00027D06">
        <w:rPr>
          <w:rFonts w:ascii="Times" w:eastAsia="Times New Roman" w:hAnsi="Times" w:cs="Arial"/>
          <w:bCs/>
          <w:kern w:val="0"/>
          <w:sz w:val="24"/>
          <w:szCs w:val="20"/>
          <w:lang w:eastAsia="pl-PL"/>
          <w14:ligatures w14:val="none"/>
        </w:rPr>
        <w:tab/>
        <w:t xml:space="preserve">sądu w związku z toczącym się postępowaniem cywilnym w sprawie, w której stroną jest podmiot będący stroną umowy lub innej czynności prawnej objętej tą tajemnicą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informacji dotyczących tego podmiotu;</w:t>
      </w:r>
    </w:p>
    <w:p w14:paraId="2F204283"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w:t>
      </w:r>
      <w:r w:rsidRPr="00027D06">
        <w:rPr>
          <w:rFonts w:ascii="Times" w:eastAsia="Times New Roman" w:hAnsi="Times" w:cs="Arial"/>
          <w:bCs/>
          <w:kern w:val="0"/>
          <w:sz w:val="24"/>
          <w:szCs w:val="20"/>
          <w:lang w:eastAsia="pl-PL"/>
          <w14:ligatures w14:val="none"/>
        </w:rPr>
        <w:tab/>
        <w:t>organu Krajowej Administracji Skarbowej:</w:t>
      </w:r>
    </w:p>
    <w:p w14:paraId="03A4762F"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w związku z toczącym się postępowaniem w sprawie o:</w:t>
      </w:r>
    </w:p>
    <w:p w14:paraId="57568D57" w14:textId="77777777" w:rsidR="00027D06" w:rsidRPr="00027D06"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ab/>
        <w:t xml:space="preserve">przestępstwo skarbowe lub wykroczenie skarbowe przeciwko osobie fizycznej będącej stroną umowy lub innej czynności prawnej objętej tajemnicą zawodową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informacji dotyczących tej osoby,</w:t>
      </w:r>
    </w:p>
    <w:p w14:paraId="2E791926" w14:textId="77777777" w:rsidR="00027D06" w:rsidRPr="00027D06"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ab/>
        <w:t xml:space="preserve">przestępstwo skarbowe popełnione przy wykonywaniu czynności związanych z działalnością osoby prawnej lub jednostki organizacyjnej nieposiadającej osobowości prawnej, będącej stroną umowy lub innej czynności prawnej objętej tajemnicą zawodową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informacji dotyczących tej osoby prawnej lub tej jednostki organizacyjnej,</w:t>
      </w:r>
    </w:p>
    <w:p w14:paraId="76C698C6"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jeżeli jest to konieczne do skutecznego zapobieżenia przestępstwom lub przestępstwom skarbowym, ich wykrycia, ustalenia ich sprawców, uzyskania i utrwalenia dowodów ich popełnienia, a także wykrycia i identyfikacji przedmiotów i innych korzyści majątkowych pochodzących z tych przestępstw albo ich równowartości – na zasadach i w trybie, o których mowa w art. 127a ustawy z dnia 16 listopada 2016 r. o Krajowej Administracji Skarbowej (Dz. U. z 2025 r. poz. 1131 i 1423);</w:t>
      </w:r>
    </w:p>
    <w:p w14:paraId="3BDFD93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w:t>
      </w:r>
      <w:r w:rsidRPr="00027D06">
        <w:rPr>
          <w:rFonts w:ascii="Times" w:eastAsia="Times New Roman" w:hAnsi="Times" w:cs="Arial"/>
          <w:bCs/>
          <w:kern w:val="0"/>
          <w:sz w:val="24"/>
          <w:szCs w:val="20"/>
          <w:lang w:eastAsia="pl-PL"/>
          <w14:ligatures w14:val="none"/>
        </w:rPr>
        <w:tab/>
        <w:t xml:space="preserve">Prezesa Najwyższej Izby Kontroli lub upoważnionego przez niego kontrolera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informacji dotyczących jednostki kontrolowanej, niezbędnych do ustalenia stanu faktycznego w prowadzonym postępowaniu kontrolnym dotyczącym tej jednostki, określonym w ustawie z dnia 23 grudnia 1994 r. o Najwyższej Izbie Kontroli (Dz. U. z 2022 r. poz. 623);</w:t>
      </w:r>
    </w:p>
    <w:p w14:paraId="159C10F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w:t>
      </w:r>
      <w:r w:rsidRPr="00027D06">
        <w:rPr>
          <w:rFonts w:ascii="Times" w:eastAsia="Times New Roman" w:hAnsi="Times" w:cs="Arial"/>
          <w:bCs/>
          <w:kern w:val="0"/>
          <w:sz w:val="24"/>
          <w:szCs w:val="20"/>
          <w:lang w:eastAsia="pl-PL"/>
          <w14:ligatures w14:val="none"/>
        </w:rPr>
        <w:tab/>
        <w:t>firmy audytorskiej wykonującej usługę atestacyjną lub usługę pokrewną w rozumieniu odpowiednio art. 2 pkt 5 i 6 ustawy z dnia 11 maja 2017 r. o biegłych rewidentach, firmach audytorskich oraz nadzorze publicznym (Dz. U. z 2024 r. poz. 1035 i 1863) na rzecz dostawcy usług w zakresie kryptoaktywów na podstawie zawartej z nim umowy;</w:t>
      </w:r>
    </w:p>
    <w:p w14:paraId="1F44416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7)</w:t>
      </w:r>
      <w:r w:rsidRPr="00027D06">
        <w:rPr>
          <w:rFonts w:ascii="Times" w:eastAsia="Times New Roman" w:hAnsi="Times" w:cs="Arial"/>
          <w:bCs/>
          <w:kern w:val="0"/>
          <w:sz w:val="24"/>
          <w:szCs w:val="20"/>
          <w:lang w:eastAsia="pl-PL"/>
          <w14:ligatures w14:val="none"/>
        </w:rPr>
        <w:tab/>
        <w:t xml:space="preserve">Agencji Bezpieczeństwa Wewnętrznego, Służby Kontrwywiadu Wojskowego, Agencji Wywiadu, Służby Wywiadu Wojskowego, Centralnego Biura Antykorupcyjnego, Policji, Żandarmerii Wojskowej, Straży Granicznej, Służby Więziennej, Służby Ochrony Państwa i ich upoważnionych pisemnie funkcjonariuszy lub żołnierzy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w:t>
      </w:r>
      <w:r w:rsidRPr="00027D06">
        <w:rPr>
          <w:rFonts w:ascii="Times" w:eastAsia="Times New Roman" w:hAnsi="Times" w:cs="Arial"/>
          <w:bCs/>
          <w:kern w:val="0"/>
          <w:sz w:val="24"/>
          <w:szCs w:val="20"/>
          <w:lang w:eastAsia="pl-PL"/>
          <w14:ligatures w14:val="none"/>
        </w:rPr>
        <w:lastRenderedPageBreak/>
        <w:t>niezbędnym do przeprowadzenia postępowania sprawdzającego lub kontrolnego postępowania sprawdzającego na podstawie ustawy z dnia 5 sierpnia 2010 r. o ochronie informacji niejawnych (Dz. U. z 2025 r. poz. 1209);</w:t>
      </w:r>
    </w:p>
    <w:p w14:paraId="188DEC8E"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8)</w:t>
      </w:r>
      <w:r w:rsidRPr="00027D06">
        <w:rPr>
          <w:rFonts w:ascii="Times" w:eastAsia="Times New Roman" w:hAnsi="Times" w:cs="Arial"/>
          <w:bCs/>
          <w:kern w:val="0"/>
          <w:sz w:val="24"/>
          <w:szCs w:val="20"/>
          <w:lang w:eastAsia="pl-PL"/>
          <w14:ligatures w14:val="none"/>
        </w:rPr>
        <w:tab/>
        <w:t xml:space="preserve">Agencji Bezpieczeństwa Wewnętrznego, Służby Kontrwywiadu Wojskowego i ich upoważnionych pisemnie funkcjonariuszy lub żołnierzy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niezbędnym do przeprowadzenia postępowania bezpieczeństwa przemysłowego na podstawie ustawy z dnia 5 sierpnia 2010 r. o ochronie informacji niejawnych;</w:t>
      </w:r>
    </w:p>
    <w:p w14:paraId="17B8B8C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9)</w:t>
      </w:r>
      <w:r w:rsidRPr="00027D06">
        <w:rPr>
          <w:rFonts w:ascii="Times" w:eastAsia="Times New Roman" w:hAnsi="Times" w:cs="Arial"/>
          <w:bCs/>
          <w:kern w:val="0"/>
          <w:sz w:val="24"/>
          <w:szCs w:val="20"/>
          <w:lang w:eastAsia="pl-PL"/>
          <w14:ligatures w14:val="none"/>
        </w:rPr>
        <w:tab/>
        <w:t>Policji – na zasadach i w trybie określonych w art. 20 ustawy z dnia 6 kwietnia 1990 r. o Policji (Dz. U. z 2025 r. poz. 636, 718 i 1366);</w:t>
      </w:r>
    </w:p>
    <w:p w14:paraId="2495CF83"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10)</w:t>
      </w:r>
      <w:r w:rsidRPr="00027D06">
        <w:rPr>
          <w:rFonts w:ascii="Times" w:eastAsia="Times New Roman" w:hAnsi="Times" w:cs="Arial"/>
          <w:bCs/>
          <w:kern w:val="0"/>
          <w:sz w:val="24"/>
          <w:szCs w:val="20"/>
          <w:lang w:eastAsia="pl-PL"/>
          <w14:ligatures w14:val="none"/>
        </w:rPr>
        <w:tab/>
        <w:t>Straży Granicznej – na zasadach i w trybie określonych w art. 10c ustawy z dnia 12 października 1990 r. o Straży Granicznej (Dz. U. z 2025 r. poz. 914 i 1366);</w:t>
      </w:r>
    </w:p>
    <w:p w14:paraId="22469BE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11)</w:t>
      </w:r>
      <w:r w:rsidRPr="00027D06">
        <w:rPr>
          <w:rFonts w:ascii="Times" w:eastAsia="Times New Roman" w:hAnsi="Times" w:cs="Arial"/>
          <w:bCs/>
          <w:kern w:val="0"/>
          <w:sz w:val="24"/>
          <w:szCs w:val="20"/>
          <w:lang w:eastAsia="pl-PL"/>
          <w14:ligatures w14:val="none"/>
        </w:rPr>
        <w:tab/>
        <w:t>Szefa Centralnego Biura Antykorupcyjnego – na zasadach i w trybie określonych w art. 23 ustawy z dnia 9 czerwca 2006 r. o Centralnym Biurze Antykorupcyjnym (Dz. U. z 2025 r. poz. 712 i 718);</w:t>
      </w:r>
    </w:p>
    <w:p w14:paraId="09D8839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12)</w:t>
      </w:r>
      <w:r w:rsidRPr="00027D06">
        <w:rPr>
          <w:rFonts w:ascii="Times" w:eastAsia="Times New Roman" w:hAnsi="Times" w:cs="Arial"/>
          <w:bCs/>
          <w:kern w:val="0"/>
          <w:sz w:val="24"/>
          <w:szCs w:val="20"/>
          <w:lang w:eastAsia="pl-PL"/>
          <w14:ligatures w14:val="none"/>
        </w:rPr>
        <w:tab/>
        <w:t>Szefa Agencji Bezpieczeństwa Wewnętrznego – na zasadach i w trybie określonych w art. 34a ustawy z dnia 24 maja 2002 r. o Agencji Bezpieczeństwa Wewnętrznego oraz Agencji Wywiadu (Dz. U. z 2025 r. poz. 902 i 1366);</w:t>
      </w:r>
    </w:p>
    <w:p w14:paraId="523C8C3F"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13)</w:t>
      </w:r>
      <w:r w:rsidRPr="00027D06">
        <w:rPr>
          <w:rFonts w:ascii="Times" w:eastAsia="Times New Roman" w:hAnsi="Times" w:cs="Arial"/>
          <w:bCs/>
          <w:kern w:val="0"/>
          <w:sz w:val="24"/>
          <w:szCs w:val="20"/>
          <w:lang w:eastAsia="pl-PL"/>
          <w14:ligatures w14:val="none"/>
        </w:rPr>
        <w:tab/>
        <w:t>Żandarmerii Wojskowej – na zasadach i w trybie określonych w art. 40b ustawy z dnia 24 sierpnia 2001 r. o Żandarmerii Wojskowej i wojskowych organach porządkowych (Dz. U. z 2025 r. poz. 12 i 179);</w:t>
      </w:r>
    </w:p>
    <w:p w14:paraId="77DD31A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14)</w:t>
      </w:r>
      <w:r w:rsidRPr="00027D06">
        <w:rPr>
          <w:rFonts w:ascii="Times" w:eastAsia="Times New Roman" w:hAnsi="Times" w:cs="Arial"/>
          <w:bCs/>
          <w:kern w:val="0"/>
          <w:sz w:val="24"/>
          <w:szCs w:val="20"/>
          <w:lang w:eastAsia="pl-PL"/>
          <w14:ligatures w14:val="none"/>
        </w:rPr>
        <w:tab/>
        <w:t xml:space="preserve">sądu, sędziego-komisarza, syndyka, nadzorcy sądowego lub zarządcy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związku z toczącym się postępowaniem upadłościowym albo restrukturyzacyjnym w sprawie zobowiązań i roszczeń wobec podmiotu będącego stroną umowy lub innej czynności prawnej objętej tajemnicą zawodową, w zakresie informacji dotyczących tego podmiotu;</w:t>
      </w:r>
    </w:p>
    <w:p w14:paraId="7BC72C5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15)</w:t>
      </w:r>
      <w:r w:rsidRPr="00027D06">
        <w:rPr>
          <w:rFonts w:ascii="Times" w:eastAsia="Times New Roman" w:hAnsi="Times" w:cs="Arial"/>
          <w:bCs/>
          <w:kern w:val="0"/>
          <w:sz w:val="24"/>
          <w:szCs w:val="20"/>
          <w:lang w:eastAsia="pl-PL"/>
          <w14:ligatures w14:val="none"/>
        </w:rPr>
        <w:tab/>
        <w:t xml:space="preserve">komornika sądowego w związku z toczącym się postępowaniem zabezpieczającym lub egzekucyjnym w sprawie roszczeń wobec podmiotu będącego stroną umowy lub innej czynności prawnej objętej tajemnicą zawodową albo wykonywaniem postanowienia o zabezpieczeniu spadku lub ze sporządzaniem spisu inwentarza dotyczącego spadku po takim podmiocie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informacji dotyczących tego podmiotu;</w:t>
      </w:r>
    </w:p>
    <w:p w14:paraId="22FDAAF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16)</w:t>
      </w:r>
      <w:r w:rsidRPr="00027D06">
        <w:rPr>
          <w:rFonts w:ascii="Times" w:eastAsia="Times New Roman" w:hAnsi="Times" w:cs="Arial"/>
          <w:bCs/>
          <w:kern w:val="0"/>
          <w:sz w:val="24"/>
          <w:szCs w:val="20"/>
          <w:lang w:eastAsia="pl-PL"/>
          <w14:ligatures w14:val="none"/>
        </w:rPr>
        <w:tab/>
        <w:t xml:space="preserve">Prezesa Urzędu Ochrony Konkurencji i Konsumentów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niezbędnym do realizacji przez niego ustawowych zadań;</w:t>
      </w:r>
    </w:p>
    <w:p w14:paraId="78940AE9"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17)</w:t>
      </w:r>
      <w:r w:rsidRPr="00027D06">
        <w:rPr>
          <w:rFonts w:ascii="Times" w:eastAsia="Times New Roman" w:hAnsi="Times" w:cs="Arial"/>
          <w:bCs/>
          <w:kern w:val="0"/>
          <w:sz w:val="24"/>
          <w:szCs w:val="20"/>
          <w:lang w:eastAsia="pl-PL"/>
          <w14:ligatures w14:val="none"/>
        </w:rPr>
        <w:tab/>
        <w:t xml:space="preserve">administracyjnego organu egzekucyjnego oraz centralnego biura łącznikowego, o którym mowa w art. 9 ustawy z dnia 11 października 2013 r. o wzajemnej pomocy przy </w:t>
      </w:r>
      <w:r w:rsidRPr="00027D06">
        <w:rPr>
          <w:rFonts w:ascii="Times" w:eastAsia="Times New Roman" w:hAnsi="Times" w:cs="Arial"/>
          <w:bCs/>
          <w:kern w:val="0"/>
          <w:sz w:val="24"/>
          <w:szCs w:val="20"/>
          <w:lang w:eastAsia="pl-PL"/>
          <w14:ligatures w14:val="none"/>
        </w:rPr>
        <w:lastRenderedPageBreak/>
        <w:t xml:space="preserve">dochodzeniu podatków, należności celnych i innych należności pieniężnych (Dz. U. z 2023 r. poz. 2009)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niezbędnym do realizacji przez nich ustawowych zadań;</w:t>
      </w:r>
    </w:p>
    <w:p w14:paraId="6273764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18)</w:t>
      </w:r>
      <w:r w:rsidRPr="00027D06">
        <w:rPr>
          <w:rFonts w:ascii="Times" w:eastAsia="Times New Roman" w:hAnsi="Times" w:cs="Arial"/>
          <w:bCs/>
          <w:kern w:val="0"/>
          <w:sz w:val="24"/>
          <w:szCs w:val="20"/>
          <w:lang w:eastAsia="pl-PL"/>
          <w14:ligatures w14:val="none"/>
        </w:rPr>
        <w:tab/>
        <w:t xml:space="preserve">Rzecznika Finansowego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niezbędnym do realizacji przez niego ustawowych zadań;</w:t>
      </w:r>
    </w:p>
    <w:p w14:paraId="028DF996"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24" w:name="_Hlk164758575"/>
      <w:r w:rsidRPr="00027D06">
        <w:rPr>
          <w:rFonts w:ascii="Times" w:eastAsia="Times New Roman" w:hAnsi="Times" w:cs="Arial"/>
          <w:bCs/>
          <w:kern w:val="0"/>
          <w:sz w:val="24"/>
          <w:szCs w:val="20"/>
          <w:lang w:eastAsia="pl-PL"/>
          <w14:ligatures w14:val="none"/>
        </w:rPr>
        <w:t>19)</w:t>
      </w:r>
      <w:r w:rsidRPr="00027D06">
        <w:rPr>
          <w:rFonts w:ascii="Times" w:eastAsia="Times New Roman" w:hAnsi="Times" w:cs="Arial"/>
          <w:bCs/>
          <w:kern w:val="0"/>
          <w:sz w:val="24"/>
          <w:szCs w:val="20"/>
          <w:lang w:eastAsia="pl-PL"/>
          <w14:ligatures w14:val="none"/>
        </w:rPr>
        <w:tab/>
        <w:t>Inspektora Nadzoru Wewnętrznego – na zasadach i w trybie określonych w art. 11p ustawy z dnia 21 czerwca 1996 r. o szczególnych formach sprawowania nadzoru przez ministra właściwego do spraw wewnętrznych (Dz. U. z 2025 r. poz. 529);</w:t>
      </w:r>
    </w:p>
    <w:bookmarkEnd w:id="24"/>
    <w:p w14:paraId="1BAC96E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20)</w:t>
      </w:r>
      <w:r w:rsidRPr="00027D06">
        <w:rPr>
          <w:rFonts w:ascii="Times" w:eastAsia="Times New Roman" w:hAnsi="Times" w:cs="Arial"/>
          <w:bCs/>
          <w:kern w:val="0"/>
          <w:sz w:val="24"/>
          <w:szCs w:val="20"/>
          <w:lang w:eastAsia="pl-PL"/>
          <w14:ligatures w14:val="none"/>
        </w:rPr>
        <w:tab/>
        <w:t xml:space="preserve">Prezesa Urzędu Ochrony Danych Osobowych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niezbędnym do realizacji przez niego ustawowych zadań;</w:t>
      </w:r>
    </w:p>
    <w:p w14:paraId="47260A9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21)</w:t>
      </w:r>
      <w:r w:rsidRPr="00027D06">
        <w:rPr>
          <w:rFonts w:ascii="Times" w:eastAsia="Times New Roman" w:hAnsi="Times" w:cs="Arial"/>
          <w:bCs/>
          <w:kern w:val="0"/>
          <w:sz w:val="24"/>
          <w:szCs w:val="20"/>
          <w:lang w:eastAsia="pl-PL"/>
          <w14:ligatures w14:val="none"/>
        </w:rPr>
        <w:tab/>
        <w:t xml:space="preserve">Narodowego Banku Polskiego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niezbędnym do realizacji przez niego ustawowych zadań;</w:t>
      </w:r>
    </w:p>
    <w:p w14:paraId="1971183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22)</w:t>
      </w:r>
      <w:r w:rsidRPr="00027D06">
        <w:rPr>
          <w:rFonts w:ascii="Times" w:eastAsia="Times New Roman" w:hAnsi="Times" w:cs="Arial"/>
          <w:bCs/>
          <w:kern w:val="0"/>
          <w:sz w:val="24"/>
          <w:szCs w:val="20"/>
          <w:lang w:eastAsia="pl-PL"/>
          <w14:ligatures w14:val="none"/>
        </w:rPr>
        <w:tab/>
        <w:t xml:space="preserve">zakładu ubezpieczeń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niezbędnym do oceny ryzyka ubezpieczeniowego lub wykonywania umowy ubezpieczenia lub gwarancji, stanowiących zabezpieczenie ostrożnościowe, o którym mowa w art. 67 ust. 4 lit. b rozporządzenia 2023/1114.</w:t>
      </w:r>
    </w:p>
    <w:p w14:paraId="22BA3219"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Informacje o przekazaniu zgodnie z ust. 1 pkt 4 lit. b, pkt 9</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13 i 19 informacji stanowiących tajemnicę zawodową zachowuje się w tajemnicy, przy czym zachowanie tajemnicy obowiązuje wobec osób, których ta informacja dotyczy, oraz osób trzecich, z wyjątkiem osób reprezentujących Komisję oraz pracowników Urzędu Komisji Nadzoru Finansowego, którym informacje te są przekazywane w związku z wykonywaniem ustawowo określonych zadań w zakresie nadzoru nad rynkiem kryptoaktywów.</w:t>
      </w:r>
    </w:p>
    <w:p w14:paraId="5C20AD31" w14:textId="72C13EC2"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C53186" w:rsidRPr="00027D06">
        <w:rPr>
          <w:rFonts w:ascii="Times" w:eastAsia="Times New Roman" w:hAnsi="Times" w:cs="Arial"/>
          <w:b/>
          <w:kern w:val="0"/>
          <w:sz w:val="24"/>
          <w:szCs w:val="20"/>
          <w:lang w:eastAsia="pl-PL"/>
          <w14:ligatures w14:val="none"/>
        </w:rPr>
        <w:t>2</w:t>
      </w:r>
      <w:r w:rsidR="00011954">
        <w:rPr>
          <w:rFonts w:ascii="Times" w:eastAsia="Times New Roman" w:hAnsi="Times" w:cs="Arial"/>
          <w:b/>
          <w:kern w:val="0"/>
          <w:sz w:val="24"/>
          <w:szCs w:val="20"/>
          <w:lang w:eastAsia="pl-PL"/>
          <w14:ligatures w14:val="none"/>
        </w:rPr>
        <w:t>1</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Nie narusza obowiązku zachowania tajemnicy zawodowej przekazanie informacji stanowiących taką tajemnicę:</w:t>
      </w:r>
    </w:p>
    <w:p w14:paraId="6CA10EE9"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bezpośrednio osobie, której te informacje dotyczą, lub innemu podmiotowi, jeżeli osoba, której te informacje dotyczą, udzieli upoważnienia podmiotowi udzielającemu informacji do przekazania określonych informacji wskazanej przez siebie osobie lub jednostce organizacyjnej, pisemnie w postaci papierowej albo elektronicznej, spełniającej wymogi, o których mowa w art. 3 ust. 1 i 2;</w:t>
      </w:r>
    </w:p>
    <w:p w14:paraId="79C5DFE0"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w zawiadomieniu o uzasadnionym podejrzeniu popełnienia przestępstwa oraz w dokumentach przekazywanych w uzupełnieniu do zawiadomienia;</w:t>
      </w:r>
    </w:p>
    <w:p w14:paraId="372A8F7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3)</w:t>
      </w:r>
      <w:r w:rsidRPr="00027D06">
        <w:rPr>
          <w:rFonts w:ascii="Times" w:eastAsia="Times New Roman" w:hAnsi="Times" w:cs="Arial"/>
          <w:bCs/>
          <w:kern w:val="0"/>
          <w:sz w:val="24"/>
          <w:szCs w:val="20"/>
          <w:lang w:eastAsia="pl-PL"/>
          <w14:ligatures w14:val="none"/>
        </w:rPr>
        <w:tab/>
        <w:t>Generalnemu Inspektorowi Informacji Finansowej – na zasadach określonych w przepisach o przeciwdziałaniu praniu pieniędzy oraz finansowaniu terroryzmu, w zakresie niezbędnym do realizacji jego ustawowych zadań;</w:t>
      </w:r>
    </w:p>
    <w:p w14:paraId="76CF4C4E"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w:t>
      </w:r>
      <w:r w:rsidRPr="00027D06">
        <w:rPr>
          <w:rFonts w:ascii="Times" w:eastAsia="Times New Roman" w:hAnsi="Times" w:cs="Arial"/>
          <w:bCs/>
          <w:kern w:val="0"/>
          <w:sz w:val="24"/>
          <w:szCs w:val="20"/>
          <w:lang w:eastAsia="pl-PL"/>
          <w14:ligatures w14:val="none"/>
        </w:rPr>
        <w:tab/>
        <w:t xml:space="preserve">organowi Krajowej Administracji Skarbowej lub osobom przez ten organ upoważnionym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niezbędnym do realizacji jego zadań wynikających z ustawy z dnia 16 listopada 2016 r. o Krajowej Administracji Skarbowej;</w:t>
      </w:r>
    </w:p>
    <w:p w14:paraId="09AF3863"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w:t>
      </w:r>
      <w:r w:rsidRPr="00027D06">
        <w:rPr>
          <w:rFonts w:ascii="Times" w:eastAsia="Times New Roman" w:hAnsi="Times" w:cs="Arial"/>
          <w:bCs/>
          <w:kern w:val="0"/>
          <w:sz w:val="24"/>
          <w:szCs w:val="20"/>
          <w:lang w:eastAsia="pl-PL"/>
          <w14:ligatures w14:val="none"/>
        </w:rPr>
        <w:tab/>
        <w:t>organom podatkowym – w zakresie niezbędnym do realizacji ich ustawowych zadań;</w:t>
      </w:r>
    </w:p>
    <w:p w14:paraId="2212DEBF"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w:t>
      </w:r>
      <w:r w:rsidRPr="00027D06">
        <w:rPr>
          <w:rFonts w:ascii="Times" w:eastAsia="Times New Roman" w:hAnsi="Times" w:cs="Arial"/>
          <w:bCs/>
          <w:kern w:val="0"/>
          <w:sz w:val="24"/>
          <w:szCs w:val="20"/>
          <w:lang w:eastAsia="pl-PL"/>
          <w14:ligatures w14:val="none"/>
        </w:rPr>
        <w:tab/>
        <w:t>Szefowi Krajowego Centrum Informacji Kryminalnych – na zasadach określonych w przepisach ustawy z dnia 6 lipca 2001 r. o przetwarzaniu informacji kryminalnych (Dz. U. z 2024 r. poz. 376 oraz z 2025 r. poz. 820), w zakresie niezbędnym do realizacji jego ustawowych zadań;</w:t>
      </w:r>
    </w:p>
    <w:p w14:paraId="48F8026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7)</w:t>
      </w:r>
      <w:r w:rsidRPr="00027D06">
        <w:rPr>
          <w:rFonts w:ascii="Times" w:eastAsia="Times New Roman" w:hAnsi="Times" w:cs="Arial"/>
          <w:bCs/>
          <w:kern w:val="0"/>
          <w:sz w:val="24"/>
          <w:szCs w:val="20"/>
          <w:lang w:eastAsia="pl-PL"/>
          <w14:ligatures w14:val="none"/>
        </w:rPr>
        <w:tab/>
        <w:t>Komisji – w zakresie niezbędnym do wykonywania zadania określonego w art. 4 ust. 1 pkt 3b ustawy z dnia 21 lipca 2006 r. o nadzorze nad rynkiem finansowym (Dz. U. z 2025 r. poz. 640 i 1069);</w:t>
      </w:r>
    </w:p>
    <w:p w14:paraId="6D80178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8)</w:t>
      </w:r>
      <w:r w:rsidRPr="00027D06">
        <w:rPr>
          <w:rFonts w:ascii="Times" w:eastAsia="Times New Roman" w:hAnsi="Times" w:cs="Arial"/>
          <w:bCs/>
          <w:kern w:val="0"/>
          <w:sz w:val="24"/>
          <w:szCs w:val="20"/>
          <w:lang w:eastAsia="pl-PL"/>
          <w14:ligatures w14:val="none"/>
        </w:rPr>
        <w:tab/>
        <w:t xml:space="preserve">Komisji lub właściwemu organowi nadzoru z innego niż Rzeczpospolita Polska państwa członkowskiego Unii Europejskiej przez firmę audytorską badającą </w:t>
      </w:r>
      <w:bookmarkStart w:id="25" w:name="_Hlk176257806"/>
      <w:r w:rsidRPr="00027D06">
        <w:rPr>
          <w:rFonts w:ascii="Times" w:eastAsia="Times New Roman" w:hAnsi="Times" w:cs="Arial"/>
          <w:bCs/>
          <w:kern w:val="0"/>
          <w:sz w:val="24"/>
          <w:szCs w:val="20"/>
          <w:lang w:eastAsia="pl-PL"/>
          <w14:ligatures w14:val="none"/>
        </w:rPr>
        <w:t>sprawozdania finansowe lub skonsolidowane sprawozdania finansowe</w:t>
      </w:r>
      <w:bookmarkEnd w:id="25"/>
      <w:r w:rsidRPr="00027D06">
        <w:rPr>
          <w:rFonts w:ascii="Times" w:eastAsia="Times New Roman" w:hAnsi="Times" w:cs="Arial"/>
          <w:bCs/>
          <w:kern w:val="0"/>
          <w:sz w:val="24"/>
          <w:szCs w:val="20"/>
          <w:lang w:eastAsia="pl-PL"/>
          <w14:ligatures w14:val="none"/>
        </w:rPr>
        <w:t>, sędziego-komisarza, syndyka, nadzorcę sądowego lub zarządcę albo likwidatora dostawcy usług w zakresie kryptoaktywów lub organ odpowiedzialny za prowadzenie postępowania upadłościowego, restukturyzacyjnego lub likwidacyjnego zagranicznego dostawcy usług w zakresie kryptoaktywów, jeżeli informacje te są niezbędne do wykonywania zadań w zakresie nadzoru przez Komisję lub właściwy organ nadzoru z innego niż Rzeczpospolita Polska państwa członkowskiego Unii Europejskiej;</w:t>
      </w:r>
    </w:p>
    <w:p w14:paraId="6613A38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9)</w:t>
      </w:r>
      <w:r w:rsidRPr="00027D06">
        <w:rPr>
          <w:rFonts w:ascii="Times" w:eastAsia="Times New Roman" w:hAnsi="Times" w:cs="Arial"/>
          <w:bCs/>
          <w:kern w:val="0"/>
          <w:sz w:val="24"/>
          <w:szCs w:val="20"/>
          <w:lang w:eastAsia="pl-PL"/>
          <w14:ligatures w14:val="none"/>
        </w:rPr>
        <w:tab/>
        <w:t>przez Komisję lub jej upoważnionego przedstawiciela:</w:t>
      </w:r>
    </w:p>
    <w:p w14:paraId="1A7489AC"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do publicznej wiadomości – w zakresie dotyczącym treści podjętych uchwał i decyzji, także w sprawach indywidualnych, jeżeli ze względu na interes rynku finansowego, w szczególności jego uczestników, Komisja uznała przekazanie takiej informacji za uzasadnione,</w:t>
      </w:r>
    </w:p>
    <w:p w14:paraId="03D23DFD"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do publicznej wiadomości – na zasadach określonych w art. 114 rozporządzenia 2023/1114,</w:t>
      </w:r>
    </w:p>
    <w:p w14:paraId="33A0D6B9"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c)</w:t>
      </w:r>
      <w:r w:rsidRPr="00027D06">
        <w:rPr>
          <w:rFonts w:ascii="Times" w:eastAsia="Times New Roman" w:hAnsi="Times" w:cs="Arial"/>
          <w:bCs/>
          <w:kern w:val="0"/>
          <w:sz w:val="24"/>
          <w:szCs w:val="20"/>
          <w:lang w:eastAsia="pl-PL"/>
          <w14:ligatures w14:val="none"/>
        </w:rPr>
        <w:tab/>
        <w:t>w przypadkach określonych w art. 60 i art. 61 oraz w przypadku określonym w art. 95 rozporządzenia 2023/1114,</w:t>
      </w:r>
    </w:p>
    <w:p w14:paraId="3C5A3972"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d)</w:t>
      </w:r>
      <w:r w:rsidRPr="00027D06">
        <w:rPr>
          <w:rFonts w:ascii="Times" w:eastAsia="Times New Roman" w:hAnsi="Times" w:cs="Arial"/>
          <w:bCs/>
          <w:kern w:val="0"/>
          <w:sz w:val="24"/>
          <w:szCs w:val="20"/>
          <w:lang w:eastAsia="pl-PL"/>
          <w14:ligatures w14:val="none"/>
        </w:rPr>
        <w:tab/>
        <w:t>w przypadkach określonych w art. 30 ust. 2, art. 32a i art. 33 ust. 2 ustawy o nadzorze nad rynkiem kapitałowym w związku z przeprowadzaną kontrolą,</w:t>
      </w:r>
    </w:p>
    <w:p w14:paraId="6C5A93C4"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e)</w:t>
      </w:r>
      <w:r w:rsidRPr="00027D06">
        <w:rPr>
          <w:rFonts w:ascii="Times" w:eastAsia="Times New Roman" w:hAnsi="Times" w:cs="Arial"/>
          <w:bCs/>
          <w:kern w:val="0"/>
          <w:sz w:val="24"/>
          <w:szCs w:val="20"/>
          <w:lang w:eastAsia="pl-PL"/>
          <w14:ligatures w14:val="none"/>
        </w:rPr>
        <w:tab/>
        <w:t xml:space="preserve">Europejskiemu Urzędowi Nadzoru Bankowego, Europejskiemu Urzędowi Nadzoru Ubezpieczeń i Pracowniczych Programów Emerytalnych, Europejskiemu Urzędowi Nadzoru Giełd i Papierów Wartościowych, Europejskiej Radzie do spraw Ryzyka Systemowego, Komitetowi Stabilności Finansowej, Europejskiemu Systemowi Banków Centralnych, Europejskiemu Bankowi Centralnemu, bankom centralnym z innych niż Rzeczpospolita Polska państw członkowskich Unii Europejskiej oraz właściwemu organowi nadzoru z innego niż Rzeczpospolita Polska państwa członkowskiego Unii Europejskiej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koniecznym do realizacji zadań ustawowych oraz zadań określonych w bezpośrednio stosowanych aktach prawa europejskiego,</w:t>
      </w:r>
    </w:p>
    <w:p w14:paraId="69E3BFBC"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f)</w:t>
      </w:r>
      <w:r w:rsidRPr="00027D06">
        <w:rPr>
          <w:rFonts w:ascii="Times" w:eastAsia="Times New Roman" w:hAnsi="Times" w:cs="Arial"/>
          <w:bCs/>
          <w:kern w:val="0"/>
          <w:sz w:val="24"/>
          <w:szCs w:val="20"/>
          <w:lang w:eastAsia="pl-PL"/>
          <w14:ligatures w14:val="none"/>
        </w:rPr>
        <w:tab/>
        <w:t xml:space="preserve">sędziemu-komisarzowi, syndykowi, nadzorcy sądowemu lub zarządcy albo likwidatorowi dostawcy usług w zakresie kryptoaktywów lub organowi odpowiedzialnemu za prowadzenie postępowania upadłościowego, restrukturyzacyjnego lub likwidacyjnego zagranicznego dostawcy usług w zakresie kryptoaktywów lub firmie audytorskiej badającej sprawozdania finansowe i skonsolidowane sprawozdania finansowe, jeżeli informacje te są niezbędne do skutecznego prowadzenia postępowania upadłościowego lub restrukturyzacyjnego, sprawowania zarządu masą upadłości lub prowadzenia likwidacji, lub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informacji określonych przepisami o rachunkowości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do celów sporządzania lub badania sprawozdań finansowych lub skonsolidowanych sprawozdań finansowych tych dostawców usług w zakresie kryptoaktywów,</w:t>
      </w:r>
    </w:p>
    <w:p w14:paraId="613F811C" w14:textId="10FCC094"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g)</w:t>
      </w:r>
      <w:r w:rsidRPr="00027D06">
        <w:rPr>
          <w:rFonts w:ascii="Times" w:eastAsia="Times New Roman" w:hAnsi="Times" w:cs="Arial"/>
          <w:bCs/>
          <w:kern w:val="0"/>
          <w:sz w:val="24"/>
          <w:szCs w:val="20"/>
          <w:lang w:eastAsia="pl-PL"/>
          <w14:ligatures w14:val="none"/>
        </w:rPr>
        <w:tab/>
        <w:t>w postępowaniu wyjaśniającym – w przypadkach określonych w art</w:t>
      </w:r>
      <w:r w:rsidRPr="001E11FF">
        <w:rPr>
          <w:rFonts w:ascii="Times" w:eastAsia="Times New Roman" w:hAnsi="Times" w:cs="Arial"/>
          <w:bCs/>
          <w:kern w:val="0"/>
          <w:sz w:val="24"/>
          <w:szCs w:val="20"/>
          <w:lang w:eastAsia="pl-PL"/>
          <w14:ligatures w14:val="none"/>
        </w:rPr>
        <w:t xml:space="preserve">. </w:t>
      </w:r>
      <w:r w:rsidR="00813D94" w:rsidRPr="001E11FF">
        <w:rPr>
          <w:rFonts w:ascii="Times" w:eastAsia="Times New Roman" w:hAnsi="Times" w:cs="Arial"/>
          <w:bCs/>
          <w:kern w:val="0"/>
          <w:sz w:val="24"/>
          <w:szCs w:val="20"/>
          <w:lang w:eastAsia="pl-PL"/>
          <w14:ligatures w14:val="none"/>
        </w:rPr>
        <w:t>6</w:t>
      </w:r>
      <w:r w:rsidR="00813D94">
        <w:rPr>
          <w:rFonts w:ascii="Times" w:eastAsia="Times New Roman" w:hAnsi="Times" w:cs="Arial"/>
          <w:bCs/>
          <w:kern w:val="0"/>
          <w:sz w:val="24"/>
          <w:szCs w:val="20"/>
          <w:lang w:eastAsia="pl-PL"/>
          <w14:ligatures w14:val="none"/>
        </w:rPr>
        <w:t>2</w:t>
      </w:r>
      <w:r w:rsidRPr="001E11FF">
        <w:rPr>
          <w:rFonts w:ascii="Times" w:eastAsia="Times New Roman" w:hAnsi="Times" w:cs="Arial"/>
          <w:bCs/>
          <w:kern w:val="0"/>
          <w:sz w:val="24"/>
          <w:szCs w:val="20"/>
          <w:lang w:eastAsia="pl-PL"/>
          <w14:ligatures w14:val="none"/>
        </w:rPr>
        <w:t>,</w:t>
      </w:r>
    </w:p>
    <w:p w14:paraId="5C490C00"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h)</w:t>
      </w:r>
      <w:r w:rsidRPr="00027D06">
        <w:rPr>
          <w:rFonts w:ascii="Times" w:eastAsia="Times New Roman" w:hAnsi="Times" w:cs="Arial"/>
          <w:bCs/>
          <w:kern w:val="0"/>
          <w:sz w:val="24"/>
          <w:szCs w:val="20"/>
          <w:lang w:eastAsia="pl-PL"/>
          <w14:ligatures w14:val="none"/>
        </w:rPr>
        <w:tab/>
        <w:t>na wniosek klienta dostawcy usług w zakresie kryptoaktywów na potrzeby wszczętego albo planowanego postępowania cywilnego przeciwko syndykowi dostawcy usług w zakresie kryptoaktywów, którego upadłość ogłoszono;</w:t>
      </w:r>
    </w:p>
    <w:p w14:paraId="795E4D5D"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10)</w:t>
      </w:r>
      <w:r w:rsidRPr="00027D06">
        <w:rPr>
          <w:rFonts w:ascii="Times" w:eastAsia="Times New Roman" w:hAnsi="Times" w:cs="Arial"/>
          <w:bCs/>
          <w:kern w:val="0"/>
          <w:sz w:val="24"/>
          <w:szCs w:val="20"/>
          <w:lang w:eastAsia="pl-PL"/>
          <w14:ligatures w14:val="none"/>
        </w:rPr>
        <w:tab/>
        <w:t>przedsiębiorcy lub przedsiębiorcy zagranicznemu w związku z zawarciem lub wykonywaniem umowy związanej ze świadczeniem usług w zakresie kryptoaktywów, w tym umowy, o której mowa w art. 73 ust. 1 rozporządzenia 2023/1114, na podstawie której dostawca usług w zakresie kryptoaktywów zlecił takiemu przedsiębiorcy wykonywanie funkcji operacyjnych, o ile przekazanie tych informacji jest niezbędne do zawarcia lub wykonywania tej umowy;</w:t>
      </w:r>
    </w:p>
    <w:p w14:paraId="31CAE22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11)</w:t>
      </w:r>
      <w:r w:rsidRPr="00027D06">
        <w:rPr>
          <w:rFonts w:ascii="Times" w:eastAsia="Times New Roman" w:hAnsi="Times" w:cs="Arial"/>
          <w:bCs/>
          <w:kern w:val="0"/>
          <w:sz w:val="24"/>
          <w:szCs w:val="20"/>
          <w:lang w:eastAsia="pl-PL"/>
          <w14:ligatures w14:val="none"/>
        </w:rPr>
        <w:tab/>
        <w:t xml:space="preserve">komitetom ustanowionym przez Europejski Urząd Nadzoru Giełd i Papierów Wartościowych oraz Europejski Urząd Nadzoru Bankowego, a także powołanym przez te organy grupom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celu realizacji ich zadań i wykonywania uprawnień;</w:t>
      </w:r>
    </w:p>
    <w:p w14:paraId="4F536F5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12)</w:t>
      </w:r>
      <w:r w:rsidRPr="00027D06">
        <w:rPr>
          <w:rFonts w:ascii="Times" w:eastAsia="Times New Roman" w:hAnsi="Times" w:cs="Arial"/>
          <w:bCs/>
          <w:kern w:val="0"/>
          <w:sz w:val="24"/>
          <w:szCs w:val="20"/>
          <w:lang w:eastAsia="pl-PL"/>
          <w14:ligatures w14:val="none"/>
        </w:rPr>
        <w:tab/>
        <w:t>Bankowemu Funduszowi Gwarancyjnemu – w celu realizacji jego zadań i wykonywania uprawnień;</w:t>
      </w:r>
    </w:p>
    <w:p w14:paraId="4EE3A078" w14:textId="4437E4FC"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13)</w:t>
      </w:r>
      <w:r w:rsidRPr="00027D06">
        <w:rPr>
          <w:rFonts w:ascii="Times" w:eastAsia="Times New Roman" w:hAnsi="Times" w:cs="Arial"/>
          <w:bCs/>
          <w:kern w:val="0"/>
          <w:sz w:val="24"/>
          <w:szCs w:val="20"/>
          <w:lang w:eastAsia="pl-PL"/>
          <w14:ligatures w14:val="none"/>
        </w:rPr>
        <w:tab/>
        <w:t xml:space="preserve">przedsiębiorcom telekomunikacyjnym, dostawcom usług hostingowych, rejestrom domen i rejestratorom domen – w zakresie niezbędnym do wykonania obowiązków, o których mowa w art. </w:t>
      </w:r>
      <w:r w:rsidR="00813D94">
        <w:rPr>
          <w:rFonts w:ascii="Times" w:eastAsia="Times New Roman" w:hAnsi="Times" w:cs="Arial"/>
          <w:bCs/>
          <w:kern w:val="0"/>
          <w:sz w:val="24"/>
          <w:szCs w:val="20"/>
          <w:lang w:eastAsia="pl-PL"/>
          <w14:ligatures w14:val="none"/>
        </w:rPr>
        <w:t>70</w:t>
      </w:r>
      <w:r w:rsidRPr="00027D06">
        <w:rPr>
          <w:rFonts w:ascii="Times" w:eastAsia="Times New Roman" w:hAnsi="Times" w:cs="Arial"/>
          <w:bCs/>
          <w:kern w:val="0"/>
          <w:sz w:val="24"/>
          <w:szCs w:val="20"/>
          <w:lang w:eastAsia="pl-PL"/>
          <w14:ligatures w14:val="none"/>
        </w:rPr>
        <w:t>;</w:t>
      </w:r>
    </w:p>
    <w:p w14:paraId="0D8FEE1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14)</w:t>
      </w:r>
      <w:r w:rsidRPr="00027D06">
        <w:rPr>
          <w:rFonts w:ascii="Times" w:eastAsia="Times New Roman" w:hAnsi="Times" w:cs="Arial"/>
          <w:bCs/>
          <w:kern w:val="0"/>
          <w:sz w:val="24"/>
          <w:szCs w:val="20"/>
          <w:lang w:eastAsia="pl-PL"/>
          <w14:ligatures w14:val="none"/>
        </w:rPr>
        <w:tab/>
        <w:t xml:space="preserve">przez dostawcę usług w zakresie kryptoaktywów podmiotowi objętemu systemem gwarantowania depozytów, o którym mowa w ustawie z dnia 10 czerwca 2016 r. o Bankowym Funduszu Gwarancyjnym, systemie gwarantowania depozytów oraz przymusowej restrukturyzacji (Dz. U. z 2025 r. poz. 643 i 1069), prowadzącemu rachunek tego dostawcy usług w zakresie kryptoaktywów, na którym są zdeponowane środki pieniężne powierzone przez jego klientów w związku ze świadczeniem usług w zakresie kryptoaktywów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niezbędnym do realizacji przez podmiot objęty systemem gwarantowania depozytów obowiązków, o których mowa w art. 29 ustawy z dnia 10 czerwca 2016 r. o Bankowym Funduszu Gwarancyjnym, systemie gwarantowania depozytów oraz przymusowej restrukturyzacji;</w:t>
      </w:r>
    </w:p>
    <w:p w14:paraId="65ADC1A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15)</w:t>
      </w:r>
      <w:r w:rsidRPr="00027D06">
        <w:rPr>
          <w:rFonts w:ascii="Times" w:eastAsia="Times New Roman" w:hAnsi="Times" w:cs="Arial"/>
          <w:bCs/>
          <w:kern w:val="0"/>
          <w:sz w:val="24"/>
          <w:szCs w:val="20"/>
          <w:lang w:eastAsia="pl-PL"/>
          <w14:ligatures w14:val="none"/>
        </w:rPr>
        <w:tab/>
        <w:t>przez dom maklerski – w przypadkach, o których mowa w art. 150 ust. 1 pkt 7–7b ustawy z dnia 29 lipca 2005 r. o obrocie instrumentami finansowymi (Dz. U. z 2024 r. poz. 722, z późn. zm.</w:t>
      </w:r>
      <w:r w:rsidRPr="00027D06">
        <w:rPr>
          <w:rFonts w:ascii="Times" w:eastAsia="Times New Roman" w:hAnsi="Times" w:cs="Times New Roman"/>
          <w:bCs/>
          <w:kern w:val="0"/>
          <w:sz w:val="24"/>
          <w:szCs w:val="20"/>
          <w:vertAlign w:val="superscript"/>
          <w:lang w:eastAsia="pl-PL"/>
          <w14:ligatures w14:val="none"/>
        </w:rPr>
        <w:footnoteReference w:id="6"/>
      </w:r>
      <w:r w:rsidRPr="00027D06">
        <w:rPr>
          <w:rFonts w:ascii="Times" w:eastAsia="Times New Roman" w:hAnsi="Times" w:cs="Arial"/>
          <w:bCs/>
          <w:kern w:val="0"/>
          <w:sz w:val="24"/>
          <w:szCs w:val="20"/>
          <w:vertAlign w:val="superscript"/>
          <w:lang w:eastAsia="pl-PL"/>
          <w14:ligatures w14:val="none"/>
        </w:rPr>
        <w:t>)</w:t>
      </w:r>
      <w:r w:rsidRPr="00027D06">
        <w:rPr>
          <w:rFonts w:ascii="Times" w:eastAsia="Times New Roman" w:hAnsi="Times" w:cs="Arial"/>
          <w:bCs/>
          <w:kern w:val="0"/>
          <w:sz w:val="24"/>
          <w:szCs w:val="20"/>
          <w:lang w:eastAsia="pl-PL"/>
          <w14:ligatures w14:val="none"/>
        </w:rPr>
        <w:t>).</w:t>
      </w:r>
    </w:p>
    <w:p w14:paraId="55EBAABD" w14:textId="127968BE"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2</w:t>
      </w:r>
      <w:r w:rsidR="00011954">
        <w:rPr>
          <w:rFonts w:ascii="Times" w:eastAsia="Times New Roman" w:hAnsi="Times" w:cs="Arial"/>
          <w:b/>
          <w:kern w:val="0"/>
          <w:sz w:val="24"/>
          <w:szCs w:val="20"/>
          <w:lang w:eastAsia="pl-PL"/>
          <w14:ligatures w14:val="none"/>
        </w:rPr>
        <w:t>2</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Dostawca usług w zakresie kryptoaktywów stosuje rozwiązania techniczne i organizacyjne zapewniające ochronę tajemnicy zawodowej oraz opracowuje i wdraża regulamin ochrony przepływu informacji stanowiących tajemnicę zawodową.</w:t>
      </w:r>
    </w:p>
    <w:p w14:paraId="4D020AE6"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Regulamin, o którym mowa w ust. 1, określa:</w:t>
      </w:r>
    </w:p>
    <w:p w14:paraId="6268E52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szczegółowe rozwiązania stosowane przez dostawcę usług w zakresie kryptoaktywów, których celem jest:</w:t>
      </w:r>
    </w:p>
    <w:p w14:paraId="6D2C13EF"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zapobieganie:</w:t>
      </w:r>
    </w:p>
    <w:p w14:paraId="4F05A0F3" w14:textId="77777777" w:rsidR="00027D06" w:rsidRPr="00027D06"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ab/>
        <w:t>dostępowi do informacji stanowiących tajemnicę zawodową przez osoby nieuprawnione,</w:t>
      </w:r>
    </w:p>
    <w:p w14:paraId="25FC5E20" w14:textId="337B44DE" w:rsidR="00027D06" w:rsidRPr="00027D06"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sym w:font="Symbol" w:char="F02D"/>
      </w:r>
      <w:r w:rsidRPr="00027D06">
        <w:rPr>
          <w:rFonts w:ascii="Times" w:eastAsia="Times New Roman" w:hAnsi="Times" w:cs="Arial"/>
          <w:bCs/>
          <w:kern w:val="0"/>
          <w:sz w:val="24"/>
          <w:szCs w:val="20"/>
          <w:lang w:eastAsia="pl-PL"/>
          <w14:ligatures w14:val="none"/>
        </w:rPr>
        <w:tab/>
        <w:t>wykorzystywaniu przez osoby posiadające dostęp do informacji stanowiących tajemnicę zawodową tych informacji w celach innych niż wykonywanie obowiązków wynikających z pełnionych funkcji lub stosunków prawnych, o </w:t>
      </w:r>
      <w:r w:rsidRPr="001E11FF">
        <w:rPr>
          <w:rFonts w:ascii="Times" w:eastAsia="Times New Roman" w:hAnsi="Times" w:cs="Arial"/>
          <w:bCs/>
          <w:kern w:val="0"/>
          <w:sz w:val="24"/>
          <w:szCs w:val="20"/>
          <w:lang w:eastAsia="pl-PL"/>
          <w14:ligatures w14:val="none"/>
        </w:rPr>
        <w:t xml:space="preserve">których mowa w art. </w:t>
      </w:r>
      <w:r w:rsidR="00813D94" w:rsidRPr="001E11FF">
        <w:rPr>
          <w:rFonts w:ascii="Times" w:eastAsia="Times New Roman" w:hAnsi="Times" w:cs="Arial"/>
          <w:bCs/>
          <w:kern w:val="0"/>
          <w:sz w:val="24"/>
          <w:szCs w:val="20"/>
          <w:lang w:eastAsia="pl-PL"/>
          <w14:ligatures w14:val="none"/>
        </w:rPr>
        <w:t>1</w:t>
      </w:r>
      <w:r w:rsidR="00813D94">
        <w:rPr>
          <w:rFonts w:ascii="Times" w:eastAsia="Times New Roman" w:hAnsi="Times" w:cs="Arial"/>
          <w:bCs/>
          <w:kern w:val="0"/>
          <w:sz w:val="24"/>
          <w:szCs w:val="20"/>
          <w:lang w:eastAsia="pl-PL"/>
          <w14:ligatures w14:val="none"/>
        </w:rPr>
        <w:t>8</w:t>
      </w:r>
      <w:r w:rsidR="00813D94" w:rsidRPr="001E11FF">
        <w:rPr>
          <w:rFonts w:ascii="Times" w:eastAsia="Times New Roman" w:hAnsi="Times" w:cs="Arial"/>
          <w:bCs/>
          <w:kern w:val="0"/>
          <w:sz w:val="24"/>
          <w:szCs w:val="20"/>
          <w:lang w:eastAsia="pl-PL"/>
          <w14:ligatures w14:val="none"/>
        </w:rPr>
        <w:t xml:space="preserve"> </w:t>
      </w:r>
      <w:r w:rsidRPr="001E11FF">
        <w:rPr>
          <w:rFonts w:ascii="Times" w:eastAsia="Times New Roman" w:hAnsi="Times" w:cs="Arial"/>
          <w:bCs/>
          <w:kern w:val="0"/>
          <w:sz w:val="24"/>
          <w:szCs w:val="20"/>
          <w:lang w:eastAsia="pl-PL"/>
          <w14:ligatures w14:val="none"/>
        </w:rPr>
        <w:t>ust. 1</w:t>
      </w:r>
      <w:r w:rsidRPr="00027D06">
        <w:rPr>
          <w:rFonts w:ascii="Times" w:eastAsia="Times New Roman" w:hAnsi="Times" w:cs="Arial"/>
          <w:bCs/>
          <w:kern w:val="0"/>
          <w:sz w:val="24"/>
          <w:szCs w:val="20"/>
          <w:lang w:eastAsia="pl-PL"/>
          <w14:ligatures w14:val="none"/>
        </w:rPr>
        <w:t>,</w:t>
      </w:r>
    </w:p>
    <w:p w14:paraId="5DB3AEEA"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ochrona przepływu informacji stanowiących tajemnicę zawodową między dostawcą usług w zakresie kryptoaktywów a innymi podmiotami;</w:t>
      </w:r>
    </w:p>
    <w:p w14:paraId="514A372D"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sposób przepływu informacji stanowiących tajemnicę zawodową u dostawcy usług w zakresie kryptoaktywów, w tym obieg dokumentów.</w:t>
      </w:r>
    </w:p>
    <w:p w14:paraId="27338FF7"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27D06">
        <w:rPr>
          <w:rFonts w:ascii="Times" w:eastAsia="Times New Roman" w:hAnsi="Times" w:cs="Arial"/>
          <w:bCs/>
          <w:kern w:val="24"/>
          <w:sz w:val="24"/>
          <w:szCs w:val="24"/>
          <w:lang w:eastAsia="pl-PL"/>
          <w14:ligatures w14:val="none"/>
        </w:rPr>
        <w:t>Rozdział 3</w:t>
      </w:r>
    </w:p>
    <w:p w14:paraId="0026CFAD" w14:textId="77777777" w:rsidR="00027D06" w:rsidRPr="00027D06"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Obowiązki informacyjne</w:t>
      </w:r>
    </w:p>
    <w:p w14:paraId="6BF9C443" w14:textId="04C8CCA2"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2</w:t>
      </w:r>
      <w:r w:rsidR="00011954">
        <w:rPr>
          <w:rFonts w:ascii="Times" w:eastAsia="Times New Roman" w:hAnsi="Times" w:cs="Arial"/>
          <w:b/>
          <w:kern w:val="0"/>
          <w:sz w:val="24"/>
          <w:szCs w:val="20"/>
          <w:lang w:eastAsia="pl-PL"/>
          <w14:ligatures w14:val="none"/>
        </w:rPr>
        <w:t>3</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Emitent tokenów powiązanych z aktywami lub tokenów będących e-pieniądzem, </w:t>
      </w:r>
      <w:bookmarkStart w:id="26" w:name="_Hlk164775747"/>
      <w:r w:rsidRPr="00027D06">
        <w:rPr>
          <w:rFonts w:ascii="Times" w:eastAsia="Times New Roman" w:hAnsi="Times" w:cs="Arial"/>
          <w:kern w:val="0"/>
          <w:sz w:val="24"/>
          <w:szCs w:val="20"/>
          <w:lang w:eastAsia="pl-PL"/>
          <w14:ligatures w14:val="none"/>
        </w:rPr>
        <w:t>dla którego Rzeczpospolita Polska jest macierzystym</w:t>
      </w:r>
      <w:bookmarkEnd w:id="26"/>
      <w:r w:rsidRPr="00027D06">
        <w:rPr>
          <w:rFonts w:ascii="Times" w:eastAsia="Times New Roman" w:hAnsi="Times" w:cs="Arial"/>
          <w:kern w:val="0"/>
          <w:sz w:val="24"/>
          <w:szCs w:val="20"/>
          <w:lang w:eastAsia="pl-PL"/>
          <w14:ligatures w14:val="none"/>
        </w:rPr>
        <w:t xml:space="preserve"> państwem członkowskim, przekazuje Komisji informacje dotyczące prowadzonej przez niego działalności, jego sytuacji finansowej oraz zdarzeń, które mogą mieć wpływ na jego działalność związaną z emisją tych tokenów, oraz informacje związane z wypełnianiem przez niego wymogów wynikających z rozporządzenia 2023/1114, związanych z emisją tych tokenów, w tym informacje dotyczące wartości tych wyemitowanych tokenów lub wielkości rezerwy aktywów.</w:t>
      </w:r>
    </w:p>
    <w:p w14:paraId="67EB22D1"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Dostawca usług w zakresie kryptoaktywów, dla którego Rzeczpospolita Polska jest macierzystym państwem członkowskim, przekazuje Komisji informacje dotyczące prowadzonej przez niego działalności, jego sytuacji finansowej oraz zdarzeń, które mogą mieć wpływ na jego działalność związaną ze świadczeniem usług w zakresie kryptoaktywów.</w:t>
      </w:r>
    </w:p>
    <w:p w14:paraId="42A3AA7B"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Emitent tokenów powiązanych z aktywami i dostawca usług w zakresie kryptoaktywów, dla których Rzeczpospolita Polska jest macierzystym państwem członkowskim, niezwłocznie informują Komisję o zmianach danych zawartych we wniosku o udzielenie zezwolenia, o którym mowa odpowiednio w art. 18 i art. 62 rozporządzenia 2023/1114, oraz o zmianach danych zawartych w powiadomieniu, o którym mowa odpowiednio w art. 17 ust. 1 lit. b i art. 60 ust. 7 rozporządzenia 2023/1114.</w:t>
      </w:r>
    </w:p>
    <w:p w14:paraId="1BD00282"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4. Podmioty, o których mowa w art. 88 ust. 1 rozporządzenia 2023/1114, dla których Rzeczpospolita Polska jest macierzystym państwem członkowskim, przekazują Komisji informacje </w:t>
      </w:r>
      <w:bookmarkStart w:id="27" w:name="_Hlk193280233"/>
      <w:r w:rsidRPr="00027D06">
        <w:rPr>
          <w:rFonts w:ascii="Times" w:eastAsia="Times New Roman" w:hAnsi="Times" w:cs="Arial"/>
          <w:bCs/>
          <w:kern w:val="0"/>
          <w:sz w:val="24"/>
          <w:szCs w:val="20"/>
          <w:lang w:eastAsia="pl-PL"/>
          <w14:ligatures w14:val="none"/>
        </w:rPr>
        <w:t>o podaniu do publicznej wiadomości informacji poufnych lub opóźnieniu podania do publicznej wiadomości tych informacji zgodnie z art. 88 ust. 2 rozporządzenia 2023/1114</w:t>
      </w:r>
      <w:bookmarkStart w:id="28" w:name="_Hlk170391090"/>
      <w:bookmarkEnd w:id="27"/>
      <w:r w:rsidRPr="00027D06">
        <w:rPr>
          <w:rFonts w:ascii="Times" w:eastAsia="Times New Roman" w:hAnsi="Times" w:cs="Arial"/>
          <w:bCs/>
          <w:kern w:val="0"/>
          <w:sz w:val="24"/>
          <w:szCs w:val="20"/>
          <w:lang w:eastAsia="pl-PL"/>
          <w14:ligatures w14:val="none"/>
        </w:rPr>
        <w:t>.</w:t>
      </w:r>
      <w:bookmarkEnd w:id="28"/>
    </w:p>
    <w:p w14:paraId="15FCF631"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bookmarkStart w:id="29" w:name="_Hlk164775954"/>
      <w:r w:rsidRPr="00027D06">
        <w:rPr>
          <w:rFonts w:ascii="Times" w:eastAsia="Times New Roman" w:hAnsi="Times" w:cs="Arial"/>
          <w:bCs/>
          <w:kern w:val="0"/>
          <w:sz w:val="24"/>
          <w:szCs w:val="20"/>
          <w:lang w:eastAsia="pl-PL"/>
          <w14:ligatures w14:val="none"/>
        </w:rPr>
        <w:lastRenderedPageBreak/>
        <w:t>5. Informacje, o których mowa w ust. 1, 2 i 4, powinny być rzetelne i jasne oraz nie powinny wprowadzać w błąd.</w:t>
      </w:r>
    </w:p>
    <w:p w14:paraId="247D7BC9"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 Podmioty, o których mowa w ust. 1</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4, przekazują Komisji </w:t>
      </w:r>
      <w:bookmarkStart w:id="30" w:name="_Hlk193280315"/>
      <w:r w:rsidRPr="00027D06">
        <w:rPr>
          <w:rFonts w:ascii="Times" w:eastAsia="Times New Roman" w:hAnsi="Times" w:cs="Arial"/>
          <w:bCs/>
          <w:kern w:val="0"/>
          <w:sz w:val="24"/>
          <w:szCs w:val="20"/>
          <w:lang w:eastAsia="pl-PL"/>
          <w14:ligatures w14:val="none"/>
        </w:rPr>
        <w:t>dokumenty potwierdzające informacje, o których mowa w tych przepisach, jeżeli charakter tych informacji wymaga ich potwierdzenia.</w:t>
      </w:r>
      <w:bookmarkEnd w:id="30"/>
    </w:p>
    <w:bookmarkEnd w:id="29"/>
    <w:p w14:paraId="7D029A8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7. W przypadkach, o których mowa w ust. 1</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4 i 6, informacje i dokumenty są przekazywane w postaci elektronicznej za pomocą systemu teleinformatycznego udostępnionego przez Komisję, w formacie danych zgodnym z formatem danych systemu teleinformatycznego udostępnionym na stronie internetowej Komisji.</w:t>
      </w:r>
      <w:bookmarkStart w:id="31" w:name="_Hlk164777099"/>
    </w:p>
    <w:p w14:paraId="67EECB9D"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8. W przypadku gdy informacje, o których mowa w ust. 1–4, lub dokumenty, o których mowa w ust. 6, zostały przekazane Komisji na podstawie odrębnych przepisów, podmioty, o których mowa w ust. 1–4, informują Komisję o dacie i podstawie prawnej ich przekazania.</w:t>
      </w:r>
    </w:p>
    <w:p w14:paraId="4F062412"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9. Minister właściwy do spraw instytucji finansowych określi, w drodze rozporządzenia, szczegółowy zakres informacji, o których mowa w ust. 1</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4, formę i terminy ich przekazywania oraz dokumenty, o których mowa w ust. 6, uwzględniając konieczność ujednolicenia sposobu przekazywania tych informacji i dokumentów, zapewnienia efektywności sprawowania nadzoru przez Komisję oraz uniknięcia nadmiernych obciążeń administracyjnych dla podmiotów, o których mowa w ust. 1–4.</w:t>
      </w:r>
    </w:p>
    <w:p w14:paraId="39A29ECE" w14:textId="627B0775"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2</w:t>
      </w:r>
      <w:r w:rsidR="00011954">
        <w:rPr>
          <w:rFonts w:ascii="Times" w:eastAsia="Times New Roman" w:hAnsi="Times" w:cs="Arial"/>
          <w:b/>
          <w:kern w:val="0"/>
          <w:sz w:val="24"/>
          <w:szCs w:val="20"/>
          <w:lang w:eastAsia="pl-PL"/>
          <w14:ligatures w14:val="none"/>
        </w:rPr>
        <w:t>4</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Informacje, o których mowa w art. 22 ust. 1 rozporządzenia 2023/1114, są przekazywane Komisji również w przypadku tokena powiązanego z aktywami i tokena będącego e-pieniądzem denominowanego w walucie, która </w:t>
      </w:r>
      <w:bookmarkStart w:id="32" w:name="_Hlk179743883"/>
      <w:r w:rsidRPr="00027D06">
        <w:rPr>
          <w:rFonts w:ascii="Times" w:eastAsia="Times New Roman" w:hAnsi="Times" w:cs="Arial"/>
          <w:kern w:val="0"/>
          <w:sz w:val="24"/>
          <w:szCs w:val="20"/>
          <w:lang w:eastAsia="pl-PL"/>
          <w14:ligatures w14:val="none"/>
        </w:rPr>
        <w:t>nie jest walutą urzędową państwa członkowskiego Unii Europejskiej</w:t>
      </w:r>
      <w:bookmarkEnd w:id="32"/>
      <w:r w:rsidRPr="00027D06">
        <w:rPr>
          <w:rFonts w:ascii="Times" w:eastAsia="Times New Roman" w:hAnsi="Times" w:cs="Arial"/>
          <w:kern w:val="0"/>
          <w:sz w:val="24"/>
          <w:szCs w:val="20"/>
          <w:lang w:eastAsia="pl-PL"/>
          <w14:ligatures w14:val="none"/>
        </w:rPr>
        <w:t>, których wartość emisji jest niższa niż 100 000 000 euro.</w:t>
      </w:r>
    </w:p>
    <w:p w14:paraId="2EB31DA1"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Emitent tokena będącego e-pieniądzem denominowanego w walucie, która jest walutą urzędową państwa członkowskiego Unii Europejskiej, przekazuje Komisji informacje, o których mowa w art. 22 ust. 1 rozporządzenia 2023/1114, w przypadku każdej emisji takiego tokena, bez względu na jej wartość.</w:t>
      </w:r>
    </w:p>
    <w:p w14:paraId="28846655" w14:textId="2A24A81A"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2</w:t>
      </w:r>
      <w:r w:rsidR="00011954">
        <w:rPr>
          <w:rFonts w:ascii="Times" w:eastAsia="Times New Roman" w:hAnsi="Times" w:cs="Arial"/>
          <w:b/>
          <w:kern w:val="0"/>
          <w:sz w:val="24"/>
          <w:szCs w:val="20"/>
          <w:lang w:eastAsia="pl-PL"/>
          <w14:ligatures w14:val="none"/>
        </w:rPr>
        <w:t>5</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Plan, o którym mowa w art. 23 ust. 1 lit. b rozporządzenia 2023/1114, zawiera w szczególności:</w:t>
      </w:r>
    </w:p>
    <w:p w14:paraId="7A56913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 xml:space="preserve">szacowany czas osiągnięcia średniej dziennej liczby transakcji i średniej łącznej dziennej wartości transakcji, o których mowa w art. 23 ust. 1 lit. b rozporządzenia 2023/1114, na poziomie, o którym mowa w art. 23 ust. 1 lit. b rozporządzenia 2023/1114, opis </w:t>
      </w:r>
      <w:r w:rsidRPr="00027D06">
        <w:rPr>
          <w:rFonts w:ascii="Times" w:eastAsia="Times New Roman" w:hAnsi="Times" w:cs="Arial"/>
          <w:bCs/>
          <w:kern w:val="0"/>
          <w:sz w:val="24"/>
          <w:szCs w:val="20"/>
          <w:lang w:eastAsia="pl-PL"/>
          <w14:ligatures w14:val="none"/>
        </w:rPr>
        <w:lastRenderedPageBreak/>
        <w:t>planowanych działań zmierzających do ich osiągnięcia oraz prognozowany harmonogram tych działań;</w:t>
      </w:r>
    </w:p>
    <w:p w14:paraId="660E9A23"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szczegółowy opis ryzyk zagrażających skutecznej i terminowej realizacji tego planu oraz sposób zarządzania nimi;</w:t>
      </w:r>
    </w:p>
    <w:p w14:paraId="593C2DE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procedury, narzędzia i sposoby ustalenia oraz bieżącego monitorowania średniej dziennej liczby transakcji i średniej łącznej dziennej wartości transakcji, o których mowa w art. 23 ust. 1 rozporządzenia 2023/1114;</w:t>
      </w:r>
    </w:p>
    <w:p w14:paraId="74BA7E3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w:t>
      </w:r>
      <w:r w:rsidRPr="00027D06">
        <w:rPr>
          <w:rFonts w:ascii="Times" w:eastAsia="Times New Roman" w:hAnsi="Times" w:cs="Arial"/>
          <w:bCs/>
          <w:kern w:val="0"/>
          <w:sz w:val="24"/>
          <w:szCs w:val="20"/>
          <w:lang w:eastAsia="pl-PL"/>
          <w14:ligatures w14:val="none"/>
        </w:rPr>
        <w:tab/>
        <w:t>wskazanie osób odpowiedzialnych za przygotowanie, wdrożenie i bieżące monitorowanie tego planu;</w:t>
      </w:r>
    </w:p>
    <w:p w14:paraId="3188E8C3"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w:t>
      </w:r>
      <w:r w:rsidRPr="00027D06">
        <w:rPr>
          <w:rFonts w:ascii="Times" w:eastAsia="Times New Roman" w:hAnsi="Times" w:cs="Arial"/>
          <w:bCs/>
          <w:kern w:val="0"/>
          <w:sz w:val="24"/>
          <w:szCs w:val="20"/>
          <w:lang w:eastAsia="pl-PL"/>
          <w14:ligatures w14:val="none"/>
        </w:rPr>
        <w:tab/>
        <w:t>opis planowanych działań, które mają na celu zapobieżenie przekroczeniu poziomów średniej dziennej liczby transakcji i średniej łącznej dziennej wartości transakcji, o których mowa w art. 23 ust. 1 rozporządzenia 2023/1114.</w:t>
      </w:r>
    </w:p>
    <w:p w14:paraId="6C564027"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Plan, o którym mowa w art. 23 ust. 1 lit. b rozporządzenia 2023/1114, podlega zatwierdzeniu przez organ zarządzający emitenta tokenów powiązanych z aktywami.</w:t>
      </w:r>
    </w:p>
    <w:p w14:paraId="43E804AA"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Emitent tokenów powiązanych z aktywami aktualizuje plan, o którym mowa w art. 23 ust. 1 lit. b rozporządzenia 2023/1114, po wystąpieniu istotnego zdarzenia wpływającego na jego treść w sposób pozwalający na uznanie, że poziomy średniej dziennej liczby transakcji i średniej łącznej dziennej wartości transakcji, o których mowa w art. 23 ust. 1 lit. b rozporządzenia 2023/1114, nie zostaną osiągnięte zgodnie z założeniami opisanymi w tym planie.</w:t>
      </w:r>
    </w:p>
    <w:p w14:paraId="3707C832"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W przypadku, o którym mowa w ust. 3, emitent tokenów powiązanych z aktywami niezwłocznie przekazuje Komisji aktualizację planu, o którym mowa w art. 23 ust. 1 lit. b rozporządzenia 2023/1114.</w:t>
      </w:r>
    </w:p>
    <w:p w14:paraId="40980938" w14:textId="3350B1B1"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2</w:t>
      </w:r>
      <w:r w:rsidR="00011954">
        <w:rPr>
          <w:rFonts w:ascii="Times" w:eastAsia="Times New Roman" w:hAnsi="Times" w:cs="Arial"/>
          <w:b/>
          <w:kern w:val="0"/>
          <w:sz w:val="24"/>
          <w:szCs w:val="20"/>
          <w:lang w:eastAsia="pl-PL"/>
          <w14:ligatures w14:val="none"/>
        </w:rPr>
        <w:t>6</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Komisja, w drodze decyzji, zatwierdza plan, o którym mowa w art. 23 ust. 1 lit. b rozporządzenia 2023/1114, w terminie 2 miesięcy od dnia jego otrzymania.</w:t>
      </w:r>
    </w:p>
    <w:p w14:paraId="23A68821"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Jeżeli plan, o którym mowa w art. 23 ust. 1 lit. b rozporządzenia 2023/1114, nie spełnia wymagań określonych w art. 25 ust. 1 lub występują inne istotne okoliczności zagrażające jego skutecznemu wdrożeniu, emitent tokenów powiązanych z aktywami, na żądanie Komisji, zmienia ten plan, w tym w zakresie określonym w art. 23 ust. 4 rozporządzenia 2023/1114, w terminie 20 dni roboczych od dnia otrzymania tego żądania. Terminu tego nie wlicza się do terminu, o którym mowa w ust. 1. Na wniosek emitenta tokenów powiązanych z aktywami Komisja może przedłużyć o miesiąc termin, o którym mowa w zdaniu pierwszym.</w:t>
      </w:r>
    </w:p>
    <w:p w14:paraId="46C12B36" w14:textId="108F890E"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lastRenderedPageBreak/>
        <w:t>Art. </w:t>
      </w:r>
      <w:r w:rsidR="00011954" w:rsidRPr="00027D06">
        <w:rPr>
          <w:rFonts w:ascii="Times" w:eastAsia="Times New Roman" w:hAnsi="Times" w:cs="Arial"/>
          <w:b/>
          <w:kern w:val="0"/>
          <w:sz w:val="24"/>
          <w:szCs w:val="20"/>
          <w:lang w:eastAsia="pl-PL"/>
          <w14:ligatures w14:val="none"/>
        </w:rPr>
        <w:t>2</w:t>
      </w:r>
      <w:r w:rsidR="00011954">
        <w:rPr>
          <w:rFonts w:ascii="Times" w:eastAsia="Times New Roman" w:hAnsi="Times" w:cs="Arial"/>
          <w:b/>
          <w:kern w:val="0"/>
          <w:sz w:val="24"/>
          <w:szCs w:val="20"/>
          <w:lang w:eastAsia="pl-PL"/>
          <w14:ligatures w14:val="none"/>
        </w:rPr>
        <w:t>7</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Emitent tokenów powiązanych z aktywami niezwłocznie zawiadamia Komisję o podejmowanych działaniach związanych z realizacją planu, o którym mowa w art. 23 ust. 1 lit. b rozporządzenia 2023/1114.</w:t>
      </w:r>
    </w:p>
    <w:p w14:paraId="7BA38C8E"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Komisja, w drodze decyzji, zezwala emitentowi tokenów powiązanych z aktywami na wznowienie emisji tokenów powiązanych z aktywami, jeżeli emitent ten, realizując plan, o którym mowa w art. 23 ust. 1 lit. b rozporządzenia 2023/1114, spełnia warunki określone w art. 23 ust. 5 rozporządzenia 2023/1114 oraz przedstawi Komisji dowody na potwierdzenie ich spełnienia.</w:t>
      </w:r>
    </w:p>
    <w:p w14:paraId="4C5430E6" w14:textId="487657F9"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2</w:t>
      </w:r>
      <w:r w:rsidR="00011954">
        <w:rPr>
          <w:rFonts w:ascii="Times" w:eastAsia="Times New Roman" w:hAnsi="Times" w:cs="Arial"/>
          <w:b/>
          <w:kern w:val="0"/>
          <w:sz w:val="24"/>
          <w:szCs w:val="20"/>
          <w:lang w:eastAsia="pl-PL"/>
          <w14:ligatures w14:val="none"/>
        </w:rPr>
        <w:t>8</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Przepisy art. 25–27 stosuje się odpowiednio do emitentów tokenów, o których mowa w art. 58 ust. 3 rozporządzenia 2023/1114.</w:t>
      </w:r>
    </w:p>
    <w:p w14:paraId="54E4D792" w14:textId="01C14809"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bookmarkStart w:id="33" w:name="_Hlk171938835"/>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2</w:t>
      </w:r>
      <w:r w:rsidR="00011954">
        <w:rPr>
          <w:rFonts w:ascii="Times" w:eastAsia="Times New Roman" w:hAnsi="Times" w:cs="Arial"/>
          <w:b/>
          <w:kern w:val="0"/>
          <w:sz w:val="24"/>
          <w:szCs w:val="20"/>
          <w:lang w:eastAsia="pl-PL"/>
          <w14:ligatures w14:val="none"/>
        </w:rPr>
        <w:t>9</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Podmiot, </w:t>
      </w:r>
      <w:bookmarkStart w:id="34" w:name="_Hlk173415383"/>
      <w:r w:rsidRPr="00027D06">
        <w:rPr>
          <w:rFonts w:ascii="Times" w:eastAsia="Times New Roman" w:hAnsi="Times" w:cs="Arial"/>
          <w:kern w:val="0"/>
          <w:sz w:val="24"/>
          <w:szCs w:val="20"/>
          <w:lang w:eastAsia="pl-PL"/>
          <w14:ligatures w14:val="none"/>
        </w:rPr>
        <w:t xml:space="preserve">o którym mowa </w:t>
      </w:r>
      <w:bookmarkStart w:id="35" w:name="_Hlk172281965"/>
      <w:r w:rsidRPr="00027D06">
        <w:rPr>
          <w:rFonts w:ascii="Times" w:eastAsia="Times New Roman" w:hAnsi="Times" w:cs="Arial"/>
          <w:kern w:val="0"/>
          <w:sz w:val="24"/>
          <w:szCs w:val="20"/>
          <w:lang w:eastAsia="pl-PL"/>
          <w14:ligatures w14:val="none"/>
        </w:rPr>
        <w:t>w art. 41 ust. 1 rozporządzenia 2023/1114 oraz podmiot, o którym mowa w art. 83 ust. 1 rozporządzenia 2023/1114</w:t>
      </w:r>
      <w:bookmarkEnd w:id="34"/>
      <w:bookmarkEnd w:id="35"/>
      <w:r w:rsidRPr="00027D06">
        <w:rPr>
          <w:rFonts w:ascii="Times" w:eastAsia="Times New Roman" w:hAnsi="Times" w:cs="Arial"/>
          <w:kern w:val="0"/>
          <w:sz w:val="24"/>
          <w:szCs w:val="20"/>
          <w:lang w:eastAsia="pl-PL"/>
          <w14:ligatures w14:val="none"/>
        </w:rPr>
        <w:t xml:space="preserve">, zamierzający, bezpośrednio lub pośrednio, stać się jednostką dominującą emitenta tokenów powiązanych z aktywami lub dostawcy usług w zakresie kryptoaktywów w sposób inny niż przez nabycie albo objęcie udziałów lub akcji emitenta tokenów powiązanych z aktywami lub dostawcy usług w zakresie kryptoaktywów w liczbie zapewniającej większość ogólnej liczby głosów na zgromadzeniu wspólników lub na walnym zgromadzeniu, każdorazowo powiadamiają o tym zamiarze Komisję i przekazują jej informacje określone w rozporządzeniu delegowanym wydanym na podstawie odpowiednio art. 42 ust. 4 albo art. 84 ust. 4 rozporządzenia 2023/1114. </w:t>
      </w:r>
      <w:bookmarkStart w:id="36" w:name="_Hlk172284532"/>
    </w:p>
    <w:p w14:paraId="6A2EEB1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przypadku, o którym mowa w ust. 1, przepisy art. 41 ust. 3–8 oraz art. 83 ust. 3–9 rozporządzenia 2023/1114 stosuje się odpowiednio.</w:t>
      </w:r>
      <w:bookmarkEnd w:id="36"/>
    </w:p>
    <w:p w14:paraId="24FD65D0" w14:textId="650E5BCD"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Pr>
          <w:rFonts w:ascii="Times" w:eastAsia="Times New Roman" w:hAnsi="Times" w:cs="Arial"/>
          <w:b/>
          <w:kern w:val="0"/>
          <w:sz w:val="24"/>
          <w:szCs w:val="20"/>
          <w:lang w:eastAsia="pl-PL"/>
          <w14:ligatures w14:val="none"/>
        </w:rPr>
        <w:t>30</w:t>
      </w:r>
      <w:r w:rsidRPr="00027D06">
        <w:rPr>
          <w:rFonts w:ascii="Times" w:eastAsia="Times New Roman" w:hAnsi="Times" w:cs="Arial"/>
          <w:b/>
          <w:kern w:val="0"/>
          <w:sz w:val="24"/>
          <w:szCs w:val="20"/>
          <w:lang w:eastAsia="pl-PL"/>
          <w14:ligatures w14:val="none"/>
        </w:rPr>
        <w:t xml:space="preserve">. </w:t>
      </w:r>
      <w:r w:rsidRPr="00027D06">
        <w:rPr>
          <w:rFonts w:ascii="Times" w:eastAsia="Times New Roman" w:hAnsi="Times" w:cs="Arial"/>
          <w:kern w:val="0"/>
          <w:sz w:val="24"/>
          <w:szCs w:val="20"/>
          <w:lang w:eastAsia="pl-PL"/>
          <w14:ligatures w14:val="none"/>
        </w:rPr>
        <w:t>Za pośrednio stającego się jednostką dominującą emitenta tokenów powiązanych z aktywami lub dostawcy usług w zakresie kryptoaktywów albo pośrednio nabywającego albo obejmującego udziały lub akcje tego emitenta lub tego dostawcy uważa się:</w:t>
      </w:r>
    </w:p>
    <w:p w14:paraId="2837A69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jednostkę dominującą podmiotu, który bezpośrednio nabywa albo obejmuje udziały lub akcje tego emitenta lub tego dostawcy;</w:t>
      </w:r>
    </w:p>
    <w:p w14:paraId="79FEDA60"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podmiot, który podejmuje działania powodujące, że stanie się on jednostką dominującą podmiotu, który:</w:t>
      </w:r>
    </w:p>
    <w:p w14:paraId="410C87D1"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jest jednostką dominującą tego emitenta lub tego dostawcy albo</w:t>
      </w:r>
    </w:p>
    <w:p w14:paraId="18C328FB"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posiada udziały lub akcje tego emitenta lub tego dostawcy.</w:t>
      </w:r>
    </w:p>
    <w:p w14:paraId="1207E6AD" w14:textId="5B05E119"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3</w:t>
      </w:r>
      <w:r w:rsidR="00011954">
        <w:rPr>
          <w:rFonts w:ascii="Times" w:eastAsia="Times New Roman" w:hAnsi="Times" w:cs="Arial"/>
          <w:b/>
          <w:kern w:val="0"/>
          <w:sz w:val="24"/>
          <w:szCs w:val="20"/>
          <w:lang w:eastAsia="pl-PL"/>
          <w14:ligatures w14:val="none"/>
        </w:rPr>
        <w:t>1</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o którym </w:t>
      </w:r>
      <w:r w:rsidRPr="001E11FF">
        <w:rPr>
          <w:rFonts w:ascii="Times" w:eastAsia="Times New Roman" w:hAnsi="Times" w:cs="Arial"/>
          <w:kern w:val="0"/>
          <w:sz w:val="24"/>
          <w:szCs w:val="20"/>
          <w:lang w:eastAsia="pl-PL"/>
          <w14:ligatures w14:val="none"/>
        </w:rPr>
        <w:t xml:space="preserve">mowa w art. </w:t>
      </w:r>
      <w:r w:rsidR="00813D94" w:rsidRPr="001E11FF">
        <w:rPr>
          <w:rFonts w:ascii="Times" w:eastAsia="Times New Roman" w:hAnsi="Times" w:cs="Arial"/>
          <w:kern w:val="0"/>
          <w:sz w:val="24"/>
          <w:szCs w:val="20"/>
          <w:lang w:eastAsia="pl-PL"/>
          <w14:ligatures w14:val="none"/>
        </w:rPr>
        <w:t>2</w:t>
      </w:r>
      <w:r w:rsidR="00813D94">
        <w:rPr>
          <w:rFonts w:ascii="Times" w:eastAsia="Times New Roman" w:hAnsi="Times" w:cs="Arial"/>
          <w:kern w:val="0"/>
          <w:sz w:val="24"/>
          <w:szCs w:val="20"/>
          <w:lang w:eastAsia="pl-PL"/>
          <w14:ligatures w14:val="none"/>
        </w:rPr>
        <w:t>9</w:t>
      </w:r>
      <w:r w:rsidRPr="001E11FF">
        <w:rPr>
          <w:rFonts w:ascii="Times" w:eastAsia="Times New Roman" w:hAnsi="Times" w:cs="Arial"/>
          <w:kern w:val="0"/>
          <w:sz w:val="24"/>
          <w:szCs w:val="20"/>
          <w:lang w:eastAsia="pl-PL"/>
          <w14:ligatures w14:val="none"/>
        </w:rPr>
        <w:t>, oraz</w:t>
      </w:r>
      <w:r w:rsidRPr="00027D06">
        <w:rPr>
          <w:rFonts w:ascii="Times" w:eastAsia="Times New Roman" w:hAnsi="Times" w:cs="Arial"/>
          <w:kern w:val="0"/>
          <w:sz w:val="24"/>
          <w:szCs w:val="20"/>
          <w:lang w:eastAsia="pl-PL"/>
          <w14:ligatures w14:val="none"/>
        </w:rPr>
        <w:t xml:space="preserve"> w przypadkach, o których mowa w art. 41 ust. 1 i art. 83 ust. 1 rozporządzenia 2023/1114, gdy podmiot, który zamierza:</w:t>
      </w:r>
    </w:p>
    <w:p w14:paraId="542924E2"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1)</w:t>
      </w:r>
      <w:r w:rsidRPr="00027D06">
        <w:rPr>
          <w:rFonts w:ascii="Times" w:eastAsia="Times New Roman" w:hAnsi="Times" w:cs="Arial"/>
          <w:bCs/>
          <w:kern w:val="0"/>
          <w:sz w:val="24"/>
          <w:szCs w:val="20"/>
          <w:lang w:eastAsia="pl-PL"/>
          <w14:ligatures w14:val="none"/>
        </w:rPr>
        <w:tab/>
        <w:t xml:space="preserve">bezpośrednio nabyć albo objąć udziały lub akcje emitenta tokenów powiązanych z aktywami lub dostawcy usług w zakresie kryptoaktywów lub bezpośrednio stać się jednostką dominującą tego emitenta lub tego dostawcy, jest jednostką zależną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powiadomienie, o którym mowa w tych przepisach, składa ten podmiot łącznie z jego pierwotną jednostką dominującą;</w:t>
      </w:r>
    </w:p>
    <w:p w14:paraId="4978C81E"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 xml:space="preserve">pośrednio nabyć albo objąć udziały lub akcje emitenta tokenów powiązanych z aktywami lub dostawcy usług w zakresie kryptoaktywów lub pośrednio stać się jednostką dominującą tego emitenta lub tego dostawcy, jest jednostką zależną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powiadomienie, o którym mowa w tych przepisach, składa tylko jego pierwotna jednostka dominująca.</w:t>
      </w:r>
    </w:p>
    <w:p w14:paraId="39A214D2"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Obowiązek złożenia powiadomienia dotyczy także:</w:t>
      </w:r>
    </w:p>
    <w:p w14:paraId="1A0581AD"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zastawnika i użytkownika udziału lub akcji, jeżeli zgodnie z art. 187 § 2, art. 300</w:t>
      </w:r>
      <w:r w:rsidRPr="00027D06">
        <w:rPr>
          <w:rFonts w:ascii="Times" w:eastAsia="Times New Roman" w:hAnsi="Times" w:cs="Arial"/>
          <w:bCs/>
          <w:kern w:val="0"/>
          <w:sz w:val="24"/>
          <w:szCs w:val="20"/>
          <w:vertAlign w:val="superscript"/>
          <w:lang w:eastAsia="pl-PL"/>
          <w14:ligatures w14:val="none"/>
        </w:rPr>
        <w:t>23</w:t>
      </w:r>
      <w:r w:rsidRPr="00027D06">
        <w:rPr>
          <w:rFonts w:ascii="Times" w:eastAsia="Times New Roman" w:hAnsi="Times" w:cs="Arial"/>
          <w:bCs/>
          <w:kern w:val="0"/>
          <w:sz w:val="24"/>
          <w:szCs w:val="20"/>
          <w:lang w:eastAsia="pl-PL"/>
          <w14:ligatures w14:val="none"/>
        </w:rPr>
        <w:t xml:space="preserve"> § 2 lub art. 340 § 1 ustawy z dnia 15 września 2000 r.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Kodeks spółek handlowych są oni uprawnieni do wykonywania prawa głosu z udziału lub akcji;</w:t>
      </w:r>
    </w:p>
    <w:p w14:paraId="604C84F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podmiotu, który uzyskał prawo głosu na zgromadzeniu wspólników lub na walnym zgromadzeniu na poziomach określonych w art. 41 ust. 1 lub art. 83 ust. 1 rozporządzenia 2023/1114 w wyniku zdarzeń innych niż objęcie albo nabycie udziałów lub akcji, w szczególności w wyniku zmiany umowy spółki lub statutu lub w następstwie wygaśnięcia uprzywilejowania lub ograniczenia udziałów lub akcji co do prawa głosu, a także nabycia udziałów lub akcji emitenta tokenów powiązanych z aktywami lub dostawcy usług w zakresie kryptoaktywów w liczbie zapewniającej osiągnięcie albo przekroczenie poziomów określonych w art. 41 ust. 1 lub art. 83 ust. 1 rozporządzenia 2023/1114 w ogólnej liczbie głosów na zgromadzeniu wspólników lub na walnym zgromadzeniu lub udziału w kapitale zakładowym w wyniku dziedziczenia.</w:t>
      </w:r>
    </w:p>
    <w:p w14:paraId="7295DDA1"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Obowiązek złożenia powiadomienia, o którym mowa w ust. 2, powstaje przed przystąpieniem do wykonywania prawa głosu z udziału lub akcji albo do wykonywania uprawnień jednostki dominującej wobec emitenta tokenów powiązanych z aktywami lub dostawcy usług w zakresie kryptoaktywów. Przepisy art. 33–35 i art. 37 stosuje się odpowiednio.</w:t>
      </w:r>
    </w:p>
    <w:p w14:paraId="7A646AE3" w14:textId="08931996"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4. Do podmiotów, o których mowa w ust. 2, przepisy ust. 1 i art. </w:t>
      </w:r>
      <w:r w:rsidR="00813D94">
        <w:rPr>
          <w:rFonts w:ascii="Times" w:eastAsia="Times New Roman" w:hAnsi="Times" w:cs="Arial"/>
          <w:bCs/>
          <w:kern w:val="0"/>
          <w:sz w:val="24"/>
          <w:szCs w:val="20"/>
          <w:lang w:eastAsia="pl-PL"/>
          <w14:ligatures w14:val="none"/>
        </w:rPr>
        <w:t>30</w:t>
      </w:r>
      <w:r w:rsidR="00813D94" w:rsidRPr="00027D06">
        <w:rPr>
          <w:rFonts w:ascii="Times" w:eastAsia="Times New Roman" w:hAnsi="Times" w:cs="Arial"/>
          <w:bCs/>
          <w:kern w:val="0"/>
          <w:sz w:val="24"/>
          <w:szCs w:val="20"/>
          <w:lang w:eastAsia="pl-PL"/>
          <w14:ligatures w14:val="none"/>
        </w:rPr>
        <w:t xml:space="preserve"> </w:t>
      </w:r>
      <w:r w:rsidRPr="00027D06">
        <w:rPr>
          <w:rFonts w:ascii="Times" w:eastAsia="Times New Roman" w:hAnsi="Times" w:cs="Arial"/>
          <w:bCs/>
          <w:kern w:val="0"/>
          <w:sz w:val="24"/>
          <w:szCs w:val="20"/>
          <w:lang w:eastAsia="pl-PL"/>
          <w14:ligatures w14:val="none"/>
        </w:rPr>
        <w:t>stosuje się odpowiednio.</w:t>
      </w:r>
    </w:p>
    <w:p w14:paraId="79657AFA" w14:textId="7205D636"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3</w:t>
      </w:r>
      <w:r w:rsidR="00011954">
        <w:rPr>
          <w:rFonts w:ascii="Times" w:eastAsia="Times New Roman" w:hAnsi="Times" w:cs="Arial"/>
          <w:b/>
          <w:kern w:val="0"/>
          <w:sz w:val="24"/>
          <w:szCs w:val="20"/>
          <w:lang w:eastAsia="pl-PL"/>
          <w14:ligatures w14:val="none"/>
        </w:rPr>
        <w:t>2</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Przedmiotem porozumienia, o którym mowa w art. 41 ust. 1 i art. 83 ust. 1 rozporządzenia 2023/1114, może być nabycie albo objęcie udziałów lub akcji emitenta </w:t>
      </w:r>
      <w:r w:rsidRPr="00027D06">
        <w:rPr>
          <w:rFonts w:ascii="Times" w:eastAsia="Times New Roman" w:hAnsi="Times" w:cs="Arial"/>
          <w:kern w:val="0"/>
          <w:sz w:val="24"/>
          <w:szCs w:val="20"/>
          <w:lang w:eastAsia="pl-PL"/>
          <w14:ligatures w14:val="none"/>
        </w:rPr>
        <w:lastRenderedPageBreak/>
        <w:t>tokenów powiązanych z aktywami lub dostawcy usług w zakresie kryptoaktywów w liczbie zapewniającej osiągnięcie albo przekroczenie poziomów określonych w tych przepisach, wykonywanie prawa głosu z udziału lub akcji na tych poziomach lub wykonywanie uprawnień jednostki dominującej emitenta tokenów powiązanych z aktywami lub dostawcy usług w zakresie kryptoaktywów.</w:t>
      </w:r>
    </w:p>
    <w:p w14:paraId="452BB40B"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Działanie w porozumieniu, o którym mowa w art. 41 ust. 1 i art. 83 ust. 1 rozporządzenia 2023/1114, domniemywa się w przypadku posiadania lub zamiaru nabycia albo objęcia udziałów lub akcji emitenta tokenów powiązanych z aktywami lub dostawcy usług w zakresie kryptoaktywów przez:</w:t>
      </w:r>
    </w:p>
    <w:p w14:paraId="38A6E123"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małżonków, ich wstępnych, zstępnych i rodzeństwo oraz powinowatych w tej samej linii lub stopniu co te osoby, a także osoby pozostające w stosunku przysposobienia, opieki i kurateli;</w:t>
      </w:r>
    </w:p>
    <w:p w14:paraId="7517DF1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osoby pozostające we wspólnym gospodarstwie domowym;</w:t>
      </w:r>
    </w:p>
    <w:p w14:paraId="2FD589D6"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podmioty należące do tej samej grupy kapitałowej;</w:t>
      </w:r>
    </w:p>
    <w:p w14:paraId="2E15978E"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w:t>
      </w:r>
      <w:r w:rsidRPr="00027D06">
        <w:rPr>
          <w:rFonts w:ascii="Times" w:eastAsia="Times New Roman" w:hAnsi="Times" w:cs="Arial"/>
          <w:bCs/>
          <w:kern w:val="0"/>
          <w:sz w:val="24"/>
          <w:szCs w:val="20"/>
          <w:lang w:eastAsia="pl-PL"/>
          <w14:ligatures w14:val="none"/>
        </w:rPr>
        <w:tab/>
        <w:t>osoby finansujące nabycie albo objęcie udziałów lub akcji z tego samego źródła.</w:t>
      </w:r>
    </w:p>
    <w:p w14:paraId="0D640100"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działania w porozumieniu, o którym mowa w art. 41 ust. 1 i art. 83 ust. 1 rozporządzenia 2023/1114, powiadomienie składają wszystkie strony tego porozumienia łącznie.</w:t>
      </w:r>
    </w:p>
    <w:bookmarkEnd w:id="33"/>
    <w:p w14:paraId="50870B61" w14:textId="1BEB1490"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3</w:t>
      </w:r>
      <w:r w:rsidR="00011954">
        <w:rPr>
          <w:rFonts w:ascii="Times" w:eastAsia="Times New Roman" w:hAnsi="Times" w:cs="Arial"/>
          <w:b/>
          <w:kern w:val="0"/>
          <w:sz w:val="24"/>
          <w:szCs w:val="20"/>
          <w:lang w:eastAsia="pl-PL"/>
          <w14:ligatures w14:val="none"/>
        </w:rPr>
        <w:t>3</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Powiadomienie, o którym </w:t>
      </w:r>
      <w:r w:rsidRPr="001E11FF">
        <w:rPr>
          <w:rFonts w:ascii="Times" w:eastAsia="Times New Roman" w:hAnsi="Times" w:cs="Arial"/>
          <w:kern w:val="0"/>
          <w:sz w:val="24"/>
          <w:szCs w:val="20"/>
          <w:lang w:eastAsia="pl-PL"/>
          <w14:ligatures w14:val="none"/>
        </w:rPr>
        <w:t xml:space="preserve">mowa w art. </w:t>
      </w:r>
      <w:r w:rsidR="00813D94" w:rsidRPr="001E11FF">
        <w:rPr>
          <w:rFonts w:ascii="Times" w:eastAsia="Times New Roman" w:hAnsi="Times" w:cs="Arial"/>
          <w:kern w:val="0"/>
          <w:sz w:val="24"/>
          <w:szCs w:val="20"/>
          <w:lang w:eastAsia="pl-PL"/>
          <w14:ligatures w14:val="none"/>
        </w:rPr>
        <w:t>2</w:t>
      </w:r>
      <w:r w:rsidR="00813D94">
        <w:rPr>
          <w:rFonts w:ascii="Times" w:eastAsia="Times New Roman" w:hAnsi="Times" w:cs="Arial"/>
          <w:kern w:val="0"/>
          <w:sz w:val="24"/>
          <w:szCs w:val="20"/>
          <w:lang w:eastAsia="pl-PL"/>
          <w14:ligatures w14:val="none"/>
        </w:rPr>
        <w:t>9</w:t>
      </w:r>
      <w:r w:rsidRPr="001E11FF">
        <w:rPr>
          <w:rFonts w:ascii="Times" w:eastAsia="Times New Roman" w:hAnsi="Times" w:cs="Arial"/>
          <w:kern w:val="0"/>
          <w:sz w:val="24"/>
          <w:szCs w:val="20"/>
          <w:lang w:eastAsia="pl-PL"/>
          <w14:ligatures w14:val="none"/>
        </w:rPr>
        <w:t>, oraz powiadomienie</w:t>
      </w:r>
      <w:r w:rsidRPr="00027D06">
        <w:rPr>
          <w:rFonts w:ascii="Times" w:eastAsia="Times New Roman" w:hAnsi="Times" w:cs="Arial"/>
          <w:kern w:val="0"/>
          <w:sz w:val="24"/>
          <w:szCs w:val="20"/>
          <w:lang w:eastAsia="pl-PL"/>
          <w14:ligatures w14:val="none"/>
        </w:rPr>
        <w:t xml:space="preserve">, o którym mowa w art. 41 ust. 1 i art. 83 ust. 1 rozporządzenia 2023/1114, wraz z załącznikami sporządza się w języku polskim, a w przypadku gdy są sporządzone w języku obcym </w:t>
      </w:r>
      <w:r w:rsidRPr="00027D06">
        <w:rPr>
          <w:rFonts w:ascii="Times" w:eastAsia="Times New Roman" w:hAnsi="Times" w:cs="Arial"/>
          <w:kern w:val="0"/>
          <w:sz w:val="24"/>
          <w:szCs w:val="20"/>
          <w:lang w:eastAsia="pl-PL"/>
          <w14:ligatures w14:val="none"/>
        </w:rPr>
        <w:sym w:font="Symbol" w:char="F02D"/>
      </w:r>
      <w:r w:rsidRPr="00027D06">
        <w:rPr>
          <w:rFonts w:ascii="Times" w:eastAsia="Times New Roman" w:hAnsi="Times" w:cs="Arial"/>
          <w:kern w:val="0"/>
          <w:sz w:val="24"/>
          <w:szCs w:val="20"/>
          <w:lang w:eastAsia="pl-PL"/>
          <w14:ligatures w14:val="none"/>
        </w:rPr>
        <w:t xml:space="preserve"> tłumaczy się na język polski.</w:t>
      </w:r>
    </w:p>
    <w:p w14:paraId="67CC72C9"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Tłumaczenie na język polski sporządza tłumacz przysięgły lub właściwy konsul Rzeczypospolitej Polskiej. Dokumenty urzędowe przed tłumaczeniem podlegają obowiązkowi legalizacji przez konsula Rzeczypospolitej Polskiej, chyba że umowa międzynarodowa, której Rzeczpospolita Polska jest stroną, stanowi inaczej.</w:t>
      </w:r>
    </w:p>
    <w:p w14:paraId="295C6E19" w14:textId="5B8325E0" w:rsidR="00027D06" w:rsidRPr="001E11FF"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3</w:t>
      </w:r>
      <w:r w:rsidR="00011954">
        <w:rPr>
          <w:rFonts w:ascii="Times" w:eastAsia="Times New Roman" w:hAnsi="Times" w:cs="Arial"/>
          <w:b/>
          <w:kern w:val="0"/>
          <w:sz w:val="24"/>
          <w:szCs w:val="20"/>
          <w:lang w:eastAsia="pl-PL"/>
          <w14:ligatures w14:val="none"/>
        </w:rPr>
        <w:t>4</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W uzasadnionych przypadkach, w szczególności gdy prawo macierzystego państwa członkowskiego nie przewiduje obowiązku dokumentowania informacji, o których mowa w rozporządzeniu delegowanym wydanym na podstawie odpowiednio art. 42 ust. 4 albo art. 84 ust. 4 rozporządzenia 2023/1114, podmiot składający powiadomienie, o którym mowa </w:t>
      </w:r>
      <w:r w:rsidRPr="001E11FF">
        <w:rPr>
          <w:rFonts w:ascii="Times" w:eastAsia="Times New Roman" w:hAnsi="Times" w:cs="Arial"/>
          <w:kern w:val="0"/>
          <w:sz w:val="24"/>
          <w:szCs w:val="20"/>
          <w:lang w:eastAsia="pl-PL"/>
          <w14:ligatures w14:val="none"/>
        </w:rPr>
        <w:t xml:space="preserve">w art. </w:t>
      </w:r>
      <w:r w:rsidR="00813D94" w:rsidRPr="001E11FF">
        <w:rPr>
          <w:rFonts w:ascii="Times" w:eastAsia="Times New Roman" w:hAnsi="Times" w:cs="Arial"/>
          <w:kern w:val="0"/>
          <w:sz w:val="24"/>
          <w:szCs w:val="20"/>
          <w:lang w:eastAsia="pl-PL"/>
          <w14:ligatures w14:val="none"/>
        </w:rPr>
        <w:t>2</w:t>
      </w:r>
      <w:r w:rsidR="00813D94">
        <w:rPr>
          <w:rFonts w:ascii="Times" w:eastAsia="Times New Roman" w:hAnsi="Times" w:cs="Arial"/>
          <w:kern w:val="0"/>
          <w:sz w:val="24"/>
          <w:szCs w:val="20"/>
          <w:lang w:eastAsia="pl-PL"/>
          <w14:ligatures w14:val="none"/>
        </w:rPr>
        <w:t>9</w:t>
      </w:r>
      <w:r w:rsidRPr="001E11FF">
        <w:rPr>
          <w:rFonts w:ascii="Times" w:eastAsia="Times New Roman" w:hAnsi="Times" w:cs="Arial"/>
          <w:kern w:val="0"/>
          <w:sz w:val="24"/>
          <w:szCs w:val="20"/>
          <w:lang w:eastAsia="pl-PL"/>
          <w14:ligatures w14:val="none"/>
        </w:rPr>
        <w:t xml:space="preserve">, oraz powiadomienie, o którym mowa w art. 41 ust. 1 i art. 83 ust. 1 rozporządzenia </w:t>
      </w:r>
      <w:r w:rsidRPr="001E11FF">
        <w:rPr>
          <w:rFonts w:ascii="Times" w:eastAsia="Times New Roman" w:hAnsi="Times" w:cs="Arial"/>
          <w:kern w:val="0"/>
          <w:sz w:val="24"/>
          <w:szCs w:val="20"/>
          <w:lang w:eastAsia="pl-PL"/>
          <w14:ligatures w14:val="none"/>
        </w:rPr>
        <w:lastRenderedPageBreak/>
        <w:t>2023/1114, może zamiast tych dokumentów złożyć oświadczenie zawierające wymagane informacje.</w:t>
      </w:r>
    </w:p>
    <w:p w14:paraId="59F89032" w14:textId="17FE762A"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1E11FF">
        <w:rPr>
          <w:rFonts w:ascii="Times" w:eastAsia="Times New Roman" w:hAnsi="Times" w:cs="Arial"/>
          <w:b/>
          <w:kern w:val="0"/>
          <w:sz w:val="24"/>
          <w:szCs w:val="20"/>
          <w:lang w:eastAsia="pl-PL"/>
          <w14:ligatures w14:val="none"/>
        </w:rPr>
        <w:t>Art. </w:t>
      </w:r>
      <w:r w:rsidR="00011954" w:rsidRPr="001E11FF">
        <w:rPr>
          <w:rFonts w:ascii="Times" w:eastAsia="Times New Roman" w:hAnsi="Times" w:cs="Arial"/>
          <w:b/>
          <w:kern w:val="0"/>
          <w:sz w:val="24"/>
          <w:szCs w:val="20"/>
          <w:lang w:eastAsia="pl-PL"/>
          <w14:ligatures w14:val="none"/>
        </w:rPr>
        <w:t>3</w:t>
      </w:r>
      <w:r w:rsidR="00011954">
        <w:rPr>
          <w:rFonts w:ascii="Times" w:eastAsia="Times New Roman" w:hAnsi="Times" w:cs="Arial"/>
          <w:b/>
          <w:kern w:val="0"/>
          <w:sz w:val="24"/>
          <w:szCs w:val="20"/>
          <w:lang w:eastAsia="pl-PL"/>
          <w14:ligatures w14:val="none"/>
        </w:rPr>
        <w:t>5</w:t>
      </w:r>
      <w:r w:rsidRPr="001E11FF">
        <w:rPr>
          <w:rFonts w:ascii="Times" w:eastAsia="Times New Roman" w:hAnsi="Times" w:cs="Arial"/>
          <w:b/>
          <w:kern w:val="0"/>
          <w:sz w:val="24"/>
          <w:szCs w:val="20"/>
          <w:lang w:eastAsia="pl-PL"/>
          <w14:ligatures w14:val="none"/>
        </w:rPr>
        <w:t>.</w:t>
      </w:r>
      <w:r w:rsidRPr="001E11FF">
        <w:rPr>
          <w:rFonts w:ascii="Times" w:eastAsia="Times New Roman" w:hAnsi="Times" w:cs="Arial"/>
          <w:kern w:val="0"/>
          <w:sz w:val="24"/>
          <w:szCs w:val="20"/>
          <w:lang w:eastAsia="pl-PL"/>
          <w14:ligatures w14:val="none"/>
        </w:rPr>
        <w:t xml:space="preserve"> 1. Podmiot składający powiadomienie, </w:t>
      </w:r>
      <w:bookmarkStart w:id="37" w:name="_Hlk172285632"/>
      <w:r w:rsidRPr="001E11FF">
        <w:rPr>
          <w:rFonts w:ascii="Times" w:eastAsia="Times New Roman" w:hAnsi="Times" w:cs="Arial"/>
          <w:kern w:val="0"/>
          <w:sz w:val="24"/>
          <w:szCs w:val="20"/>
          <w:lang w:eastAsia="pl-PL"/>
          <w14:ligatures w14:val="none"/>
        </w:rPr>
        <w:t xml:space="preserve">o którym mowa w art. </w:t>
      </w:r>
      <w:r w:rsidR="00813D94" w:rsidRPr="001E11FF">
        <w:rPr>
          <w:rFonts w:ascii="Times" w:eastAsia="Times New Roman" w:hAnsi="Times" w:cs="Arial"/>
          <w:kern w:val="0"/>
          <w:sz w:val="24"/>
          <w:szCs w:val="20"/>
          <w:lang w:eastAsia="pl-PL"/>
          <w14:ligatures w14:val="none"/>
        </w:rPr>
        <w:t>2</w:t>
      </w:r>
      <w:r w:rsidR="00813D94">
        <w:rPr>
          <w:rFonts w:ascii="Times" w:eastAsia="Times New Roman" w:hAnsi="Times" w:cs="Arial"/>
          <w:kern w:val="0"/>
          <w:sz w:val="24"/>
          <w:szCs w:val="20"/>
          <w:lang w:eastAsia="pl-PL"/>
          <w14:ligatures w14:val="none"/>
        </w:rPr>
        <w:t>9</w:t>
      </w:r>
      <w:r w:rsidRPr="001E11FF">
        <w:rPr>
          <w:rFonts w:ascii="Times" w:eastAsia="Times New Roman" w:hAnsi="Times" w:cs="Arial"/>
          <w:kern w:val="0"/>
          <w:sz w:val="24"/>
          <w:szCs w:val="20"/>
          <w:lang w:eastAsia="pl-PL"/>
          <w14:ligatures w14:val="none"/>
        </w:rPr>
        <w:t>, oraz powiadomienie, o którym mowa w art. 41 ust. 1 i art. 83 ust. 1 rozporządzenia 2023/1114</w:t>
      </w:r>
      <w:bookmarkEnd w:id="37"/>
      <w:r w:rsidRPr="001E11FF">
        <w:rPr>
          <w:rFonts w:ascii="Times" w:eastAsia="Times New Roman" w:hAnsi="Times" w:cs="Arial"/>
          <w:kern w:val="0"/>
          <w:sz w:val="24"/>
          <w:szCs w:val="20"/>
          <w:lang w:eastAsia="pl-PL"/>
          <w14:ligatures w14:val="none"/>
        </w:rPr>
        <w:t>, niemający miejsca zamieszkania lub zwykłego pobytu albo siedziby w Rzeczypospolitej</w:t>
      </w:r>
      <w:r w:rsidRPr="00027D06">
        <w:rPr>
          <w:rFonts w:ascii="Times" w:eastAsia="Times New Roman" w:hAnsi="Times" w:cs="Arial"/>
          <w:kern w:val="0"/>
          <w:sz w:val="24"/>
          <w:szCs w:val="20"/>
          <w:lang w:eastAsia="pl-PL"/>
          <w14:ligatures w14:val="none"/>
        </w:rPr>
        <w:t xml:space="preserve"> Polskiej lub innym państwie członkowskim Unii Europejskiej ustanawia na terytorium Rzeczypospolitej Polskiej pełnomocnika do doręczeń w toku postępowania w przedmiocie powiadomienia.</w:t>
      </w:r>
    </w:p>
    <w:p w14:paraId="2FC0A336"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przypadku niedopełnienia obowiązku, o którym mowa w ust. 1, pisma w toku postępowania pozostawia się w aktach sprawy ze skutkiem doręczenia. Komisja informuje pisemnie o tym skutku podmiot składający powiadomienie.</w:t>
      </w:r>
    </w:p>
    <w:p w14:paraId="0C420851" w14:textId="3AC0FE1D"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3</w:t>
      </w:r>
      <w:r w:rsidR="00011954">
        <w:rPr>
          <w:rFonts w:ascii="Times" w:eastAsia="Times New Roman" w:hAnsi="Times" w:cs="Arial"/>
          <w:b/>
          <w:kern w:val="0"/>
          <w:sz w:val="24"/>
          <w:szCs w:val="20"/>
          <w:lang w:eastAsia="pl-PL"/>
          <w14:ligatures w14:val="none"/>
        </w:rPr>
        <w:t>6</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nabycia albo objęcia udziałów lub akcji:</w:t>
      </w:r>
    </w:p>
    <w:p w14:paraId="5C45B9A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z naruszeniem przepisów art. 41 ust. 1 lub art. 83 ust. 1 rozporządzenia 2023/1114,</w:t>
      </w:r>
    </w:p>
    <w:p w14:paraId="79F03EA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mimo wyrażenia przez Komisję sprzeciwu, o którym mowa w art. 41 ust. 6 lub art. 83 ust. 7 rozporządzenia 2023/1114,</w:t>
      </w:r>
    </w:p>
    <w:p w14:paraId="10A006E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przed upływem terminu, o którym mowa w art. 41 ust. 4 lub art. 83 ust. 4 rozporządzenia 2023/1114, lub okresu zawieszenia, o którym mowa w art. 41 ust. 5 lub art. 83 ust. 6 rozporządzenia 2023/1114,</w:t>
      </w:r>
    </w:p>
    <w:p w14:paraId="66357FFE"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w:t>
      </w:r>
      <w:r w:rsidRPr="00027D06">
        <w:rPr>
          <w:rFonts w:ascii="Times" w:eastAsia="Times New Roman" w:hAnsi="Times" w:cs="Arial"/>
          <w:bCs/>
          <w:kern w:val="0"/>
          <w:sz w:val="24"/>
          <w:szCs w:val="20"/>
          <w:lang w:eastAsia="pl-PL"/>
          <w14:ligatures w14:val="none"/>
        </w:rPr>
        <w:tab/>
        <w:t>po upływie terminu na nabycie albo objęcie udziałów lub akcji wyznaczonego przez Komisję zgodnie z art. 41 ust. 8 lub art. 83 ust. 9 rozporządzenia 2023/1114</w:t>
      </w:r>
    </w:p>
    <w:p w14:paraId="2D7C1655" w14:textId="77777777" w:rsidR="00027D06" w:rsidRPr="00027D06" w:rsidRDefault="00027D06" w:rsidP="00027D06">
      <w:pPr>
        <w:spacing w:after="0" w:line="360" w:lineRule="auto"/>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z tych udziałów lub akcji nie może być wykonywane prawo głosu.</w:t>
      </w:r>
    </w:p>
    <w:p w14:paraId="0C71734E" w14:textId="77777777" w:rsidR="00027D06" w:rsidRPr="001E11FF"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2. W przypadku </w:t>
      </w:r>
      <w:r w:rsidRPr="001E11FF">
        <w:rPr>
          <w:rFonts w:ascii="Times" w:eastAsia="Times New Roman" w:hAnsi="Times" w:cs="Arial"/>
          <w:bCs/>
          <w:kern w:val="0"/>
          <w:sz w:val="24"/>
          <w:szCs w:val="20"/>
          <w:lang w:eastAsia="pl-PL"/>
          <w14:ligatures w14:val="none"/>
        </w:rPr>
        <w:t>wykonywania uprawnień jednostki dominującej emitenta tokenów powiązanych z aktywami lub dostawcy usług w zakresie kryptoaktywów:</w:t>
      </w:r>
    </w:p>
    <w:p w14:paraId="77612231" w14:textId="0B6A7FE5"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1)</w:t>
      </w:r>
      <w:r w:rsidRPr="001E11FF">
        <w:rPr>
          <w:rFonts w:ascii="Times" w:eastAsia="Times New Roman" w:hAnsi="Times" w:cs="Arial"/>
          <w:bCs/>
          <w:kern w:val="0"/>
          <w:sz w:val="24"/>
          <w:szCs w:val="20"/>
          <w:lang w:eastAsia="pl-PL"/>
          <w14:ligatures w14:val="none"/>
        </w:rPr>
        <w:tab/>
        <w:t xml:space="preserve">z naruszeniem przepisu art. </w:t>
      </w:r>
      <w:r w:rsidR="00813D94" w:rsidRPr="001E11FF">
        <w:rPr>
          <w:rFonts w:ascii="Times" w:eastAsia="Times New Roman" w:hAnsi="Times" w:cs="Arial"/>
          <w:bCs/>
          <w:kern w:val="0"/>
          <w:sz w:val="24"/>
          <w:szCs w:val="20"/>
          <w:lang w:eastAsia="pl-PL"/>
          <w14:ligatures w14:val="none"/>
        </w:rPr>
        <w:t>2</w:t>
      </w:r>
      <w:r w:rsidR="00813D94">
        <w:rPr>
          <w:rFonts w:ascii="Times" w:eastAsia="Times New Roman" w:hAnsi="Times" w:cs="Arial"/>
          <w:bCs/>
          <w:kern w:val="0"/>
          <w:sz w:val="24"/>
          <w:szCs w:val="20"/>
          <w:lang w:eastAsia="pl-PL"/>
          <w14:ligatures w14:val="none"/>
        </w:rPr>
        <w:t>9</w:t>
      </w:r>
      <w:r w:rsidR="00813D94" w:rsidRPr="001E11FF">
        <w:rPr>
          <w:rFonts w:ascii="Times" w:eastAsia="Times New Roman" w:hAnsi="Times" w:cs="Arial"/>
          <w:bCs/>
          <w:kern w:val="0"/>
          <w:sz w:val="24"/>
          <w:szCs w:val="20"/>
          <w:lang w:eastAsia="pl-PL"/>
          <w14:ligatures w14:val="none"/>
        </w:rPr>
        <w:t xml:space="preserve"> </w:t>
      </w:r>
      <w:r w:rsidRPr="001E11FF">
        <w:rPr>
          <w:rFonts w:ascii="Times" w:eastAsia="Times New Roman" w:hAnsi="Times" w:cs="Arial"/>
          <w:bCs/>
          <w:kern w:val="0"/>
          <w:sz w:val="24"/>
          <w:szCs w:val="20"/>
          <w:lang w:eastAsia="pl-PL"/>
          <w14:ligatures w14:val="none"/>
        </w:rPr>
        <w:t>lub przepisów art. 41 ust. 1 lub art. 83 ust. 1 rozporządzenia 2023/1114,</w:t>
      </w:r>
    </w:p>
    <w:p w14:paraId="6469AE1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mimo wyrażenia przez Komisję sprzeciwu, o którym mowa w art. 41 ust. 6 lub art. 83 ust. 7 rozporządzenia 2023/1114,</w:t>
      </w:r>
    </w:p>
    <w:p w14:paraId="454928D6"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 xml:space="preserve">przed upływem terminu, o którym mowa w art. 41 ust. 4 lub art. 83 ust. 4 rozporządzenia 2023/1114, </w:t>
      </w:r>
      <w:bookmarkStart w:id="38" w:name="_Hlk173492699"/>
      <w:r w:rsidRPr="00027D06">
        <w:rPr>
          <w:rFonts w:ascii="Times" w:eastAsia="Times New Roman" w:hAnsi="Times" w:cs="Arial"/>
          <w:bCs/>
          <w:kern w:val="0"/>
          <w:sz w:val="24"/>
          <w:szCs w:val="20"/>
          <w:lang w:eastAsia="pl-PL"/>
          <w14:ligatures w14:val="none"/>
        </w:rPr>
        <w:t>lub okresu zawieszenia, o którym mowa w art. 41 ust. 5 lub art. 83 ust. 6 rozporządzenia 2023/1114,</w:t>
      </w:r>
      <w:bookmarkEnd w:id="38"/>
    </w:p>
    <w:p w14:paraId="22B06A3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w:t>
      </w:r>
      <w:r w:rsidRPr="00027D06">
        <w:rPr>
          <w:rFonts w:ascii="Times" w:eastAsia="Times New Roman" w:hAnsi="Times" w:cs="Arial"/>
          <w:bCs/>
          <w:kern w:val="0"/>
          <w:sz w:val="24"/>
          <w:szCs w:val="20"/>
          <w:lang w:eastAsia="pl-PL"/>
          <w14:ligatures w14:val="none"/>
        </w:rPr>
        <w:tab/>
        <w:t>uzyskanych po upływie terminu na nabycie lub objęcie udziałów lub akcji wyznaczonego przez Komisję zgodnie z art. 41 ust. 8 lub art. 83 ust. 9 rozporządzenia 2023/1114</w:t>
      </w:r>
    </w:p>
    <w:p w14:paraId="64E79CF7" w14:textId="77777777" w:rsidR="00027D06" w:rsidRPr="00027D06" w:rsidRDefault="00027D06" w:rsidP="00027D06">
      <w:pPr>
        <w:spacing w:after="0" w:line="360" w:lineRule="auto"/>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sym w:font="Symbol" w:char="F02D"/>
      </w:r>
      <w:r w:rsidRPr="00027D06">
        <w:rPr>
          <w:rFonts w:ascii="Times" w:eastAsia="Times New Roman" w:hAnsi="Times" w:cs="Arial"/>
          <w:bCs/>
          <w:kern w:val="0"/>
          <w:sz w:val="24"/>
          <w:szCs w:val="20"/>
          <w:lang w:eastAsia="pl-PL"/>
          <w14:ligatures w14:val="none"/>
        </w:rPr>
        <w:t xml:space="preserve"> </w:t>
      </w:r>
      <w:bookmarkStart w:id="39" w:name="_Hlk188448099"/>
      <w:r w:rsidRPr="00027D06">
        <w:rPr>
          <w:rFonts w:ascii="Times" w:eastAsia="Times New Roman" w:hAnsi="Times" w:cs="Arial"/>
          <w:bCs/>
          <w:kern w:val="0"/>
          <w:sz w:val="24"/>
          <w:szCs w:val="20"/>
          <w:lang w:eastAsia="pl-PL"/>
          <w14:ligatures w14:val="none"/>
        </w:rPr>
        <w:t>członkowie organu zarządzającego emitenta tokenów powiązanych z aktywami lub dostawcy usług w zakresie kryptoaktywów powołani przez jednostkę dominującą lub będący członkami organu zarządzającego, prokurentami lub osobami pełniącymi kierownicze funkcje w jednostce dominującej nie mogą uczestniczyć w czynnościach z zakresu reprezentacji tego emitenta lub tego dostawcy</w:t>
      </w:r>
      <w:bookmarkEnd w:id="39"/>
      <w:r w:rsidRPr="00027D06">
        <w:rPr>
          <w:rFonts w:ascii="Times" w:eastAsia="Times New Roman" w:hAnsi="Times" w:cs="Arial"/>
          <w:bCs/>
          <w:kern w:val="0"/>
          <w:sz w:val="24"/>
          <w:szCs w:val="20"/>
          <w:lang w:eastAsia="pl-PL"/>
          <w14:ligatures w14:val="none"/>
        </w:rPr>
        <w:t>.</w:t>
      </w:r>
    </w:p>
    <w:p w14:paraId="247D998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o którym mowa w ust. 2, jeżeli nie można ustalić, którzy członkowie organu zarządzającego zostali powołani przez jednostkę dominującą, powołanie organu zarządzającego jest bezskuteczne od dnia uzyskania przez ten podmiot uprawnień jednostki dominującej emitenta tokenów powiązanych z aktywami lub dostawcy usług w zakresie kryptoaktywów.</w:t>
      </w:r>
    </w:p>
    <w:p w14:paraId="0177BC2B"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4. Uchwały zgromadzenia wspólników lub walnego zgromadzenia emitenta tokenów powiązanych z aktywami lub dostawcy usług w zakresie kryptoaktywów podjęte w wykonaniu prawa głosu z naruszeniem przepisu ust. 1 są nieważne, chyba że spełniają wymogi kworum oraz większości głosów bez uwzględnienia głosów nieważnych. Prawo wytoczenia powództwa o stwierdzenie nieważności uchwały zgromadzenia wspólników lub walnego zgromadzenia przysługuje również Komisji. Przepisy art. 252 i art. 425 ustawy z dnia 15 września 2000 r.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Kodeks spółek handlowych stosuje się odpowiednio.</w:t>
      </w:r>
    </w:p>
    <w:p w14:paraId="697A7537"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5. Czynności z zakresu reprezentacji emitenta tokenów powiązanych z aktywami lub dostawcy usług w zakresie kryptoaktywów podejmowane z udziałem członków organu zarządzającego, wykonane z naruszeniem przepisu ust. 2 są nieważne. Przepis art. 58 § 3 ustawy z dnia 23 kwietnia 1964 r.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Kodeks cywilny stosuje się odpowiednio.</w:t>
      </w:r>
    </w:p>
    <w:p w14:paraId="19EFB6A5" w14:textId="12E33234"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3</w:t>
      </w:r>
      <w:r w:rsidR="00011954">
        <w:rPr>
          <w:rFonts w:ascii="Times" w:eastAsia="Times New Roman" w:hAnsi="Times" w:cs="Arial"/>
          <w:b/>
          <w:kern w:val="0"/>
          <w:sz w:val="24"/>
          <w:szCs w:val="20"/>
          <w:lang w:eastAsia="pl-PL"/>
          <w14:ligatures w14:val="none"/>
        </w:rPr>
        <w:t>7</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Podmiot nabywający albo obejmujący udziały lub akcje zgodnie z art. 29 lub zgodnie z art. 41 ust. 1 lub art. 83 ust. 1 rozporządzenia 2023/1114 informuje o tym nabyciu albo objęciu emitenta tokenów powiązanych z aktywami lub dostawcę usług w zakresie kryptoaktywów, którego udziałów lub akcji nabycie albo objęcie dotyczy, w terminie 14 dni od dnia tego nabycia albo objęcia.</w:t>
      </w:r>
    </w:p>
    <w:p w14:paraId="1C3E99F5" w14:textId="0B08DB6E"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bookmarkStart w:id="40" w:name="_Hlk165288359"/>
      <w:bookmarkEnd w:id="31"/>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3</w:t>
      </w:r>
      <w:r w:rsidR="00011954">
        <w:rPr>
          <w:rFonts w:ascii="Times" w:eastAsia="Times New Roman" w:hAnsi="Times" w:cs="Arial"/>
          <w:b/>
          <w:kern w:val="0"/>
          <w:sz w:val="24"/>
          <w:szCs w:val="20"/>
          <w:lang w:eastAsia="pl-PL"/>
          <w14:ligatures w14:val="none"/>
        </w:rPr>
        <w:t>8</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Na żądanie Komisji:</w:t>
      </w:r>
    </w:p>
    <w:bookmarkEnd w:id="40"/>
    <w:p w14:paraId="28A5007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emitenci tokenów powiązanych z aktywami lub tokenów będących e-pieniądzem oraz osoby uprawnione do ich reprezentowania, a także osoby uprawnione do reprezentowania oferujących, osób ubiegających się o dopuszczenie kryptoaktywów do obrotu lub dostawców usług w zakresie kryptoaktywów oraz jednostek dominujących lub jednostek zależnych w stosunku do tych podmiotów,</w:t>
      </w:r>
    </w:p>
    <w:p w14:paraId="5D0F41A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2)</w:t>
      </w:r>
      <w:r w:rsidRPr="00027D06">
        <w:rPr>
          <w:rFonts w:ascii="Times" w:eastAsia="Times New Roman" w:hAnsi="Times" w:cs="Arial"/>
          <w:bCs/>
          <w:kern w:val="0"/>
          <w:sz w:val="24"/>
          <w:szCs w:val="20"/>
          <w:lang w:eastAsia="pl-PL"/>
          <w14:ligatures w14:val="none"/>
        </w:rPr>
        <w:tab/>
        <w:t>likwidator, syndyk, nadzorca sądowy, zarządca lub osoby ich reprezentujące</w:t>
      </w:r>
    </w:p>
    <w:p w14:paraId="2D575407" w14:textId="77777777" w:rsidR="00027D06" w:rsidRPr="00027D06" w:rsidRDefault="00027D06" w:rsidP="00027D06">
      <w:pPr>
        <w:spacing w:after="0" w:line="360" w:lineRule="auto"/>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niezwłocznie udzielają pisemnych lub ustnych informacji i wyjaśnień oraz sporządzają i przekazują na trwałym nośniku, na własny koszt, kopie dokumentów i innych nośników informacji w celu umożliwienia wykonywania zadań Komisji w zakresie nadzoru nad rynkiem kryptoaktywów.</w:t>
      </w:r>
    </w:p>
    <w:p w14:paraId="0A3F63A4"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Przepis ust. 1 stosuje się odpowiednio do:</w:t>
      </w:r>
    </w:p>
    <w:p w14:paraId="3CDE4EE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innych niż wymienione w ust. 1 osób pozostających w stosunku pracy lub innym stosunku prawnym o podobnym charakterze z oferującym, emitentem tokenów powiązanych z aktywami lub tokenów będących e-pieniądzem, osobą ubiegającą się o dopuszczenie kryptoaktywów do obrotu, dostawcą usług w zakresie kryptoaktywów oraz odpowiednio ich likwidatorem, syndykiem, nadzorcą sądowym lub zarządcą;</w:t>
      </w:r>
    </w:p>
    <w:p w14:paraId="378633A9"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 xml:space="preserve">biegłego rewidenta oraz osób wchodzących w skład organów zarządzających firmy audytorskiej lub pozostających z tą firmą w stosunku pracy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zakresie związanym z wykonywaniem na rzecz oferującego, emitenta tokenów powiązanych z aktywami lub tokenów będących e-pieniądzem, osoby ubiegającej się o dopuszczenie kryptoaktywów do obrotu lub dostawcy usług w zakresie kryptoaktywów czynności rewizji finansowej w rozumieniu art. 2 pkt 7 ustawy z dnia 11 maja 2017 r. o biegłych rewidentach, firmach audytorskich oraz nadzorze publicznym oraz innych czynności wymienionych w art. 47 ust. 2 tej ustawy.</w:t>
      </w:r>
    </w:p>
    <w:p w14:paraId="3278AD44"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bookmarkStart w:id="41" w:name="_Hlk189827137"/>
      <w:r w:rsidRPr="00027D06">
        <w:rPr>
          <w:rFonts w:ascii="Times" w:eastAsia="Times New Roman" w:hAnsi="Times" w:cs="Arial"/>
          <w:bCs/>
          <w:kern w:val="0"/>
          <w:sz w:val="24"/>
          <w:szCs w:val="20"/>
          <w:lang w:eastAsia="pl-PL"/>
          <w14:ligatures w14:val="none"/>
        </w:rPr>
        <w:t>. Obowiązek, o którym mowa w ust. 1, dotyczy także innych niż wymienione w ust. 1 podmiotów, które są stroną umowy, transakcji lub porozumienia dotyczących kryptoaktywów z emitentem tokenów powiązanych z aktywami lub tokenów będących e-pieniądzem, oferującym lub z osobą ubiegającą się o dopuszczenie kryptoaktywów do obrotu.</w:t>
      </w:r>
    </w:p>
    <w:bookmarkEnd w:id="41"/>
    <w:p w14:paraId="5A9BDF7F"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Biegły rewident oraz firma audytorska badający sprawozdania finansowe dostawcy usług w zakresie kryptoaktywów lub jednostki dominującej wobec tego dostawcy niezwłocznie przekazują Komisji oraz organowi zarządzającemu odpowiednio dostawcy usług w zakresie kryptoaktywów lub jednostki dominującej wobec tego dostawcy istotne informacje, które uzyskali w związku z wykonywanymi czynnościami, dotyczące zdarzeń, które powodują powstanie:</w:t>
      </w:r>
    </w:p>
    <w:p w14:paraId="28D9E42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uzasadnionego podejrzenia naruszenia przepisów regulujących świadczenie usług w zakresie kryptoaktywów lub interesów klientów przez dostawcę usług w zakresie kryptoaktywów, organ zarządzający lub pracowników tego dostawcy;</w:t>
      </w:r>
    </w:p>
    <w:p w14:paraId="4A127DE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zagrożenia dla dalszego świadczenia usług w zakresie kryptoaktywów.</w:t>
      </w:r>
    </w:p>
    <w:p w14:paraId="42755A5E"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5. Biegły rewident oraz firma audytorska mogą odstąpić od powiadomienia organu zarządzającego, o którym mowa w ust. 4, jeżeli w wyniku badania sprawozdania finansowego dostawcy usług w zakresie kryptoaktywów lub jednostki dominującej wobec tego dostawcy powstanie uzasadnione podejrzenie popełnienia przestępstwa przez członka tego organu.</w:t>
      </w:r>
    </w:p>
    <w:p w14:paraId="2B189241"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 Wykonywanie obowiązków, o których mowa w ust. 2 pkt 2 i ust. 4, nie narusza obowiązku zachowania tajemnicy, o której mowa w art. 78 ustawy z dnia 11 maja 2017 r. o biegłych rewidentach, firmach audytorskich oraz nadzorze publicznym.</w:t>
      </w:r>
    </w:p>
    <w:p w14:paraId="68AF93BD" w14:textId="0D522A22"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3</w:t>
      </w:r>
      <w:r w:rsidR="00011954">
        <w:rPr>
          <w:rFonts w:ascii="Times" w:eastAsia="Times New Roman" w:hAnsi="Times" w:cs="Arial"/>
          <w:b/>
          <w:kern w:val="0"/>
          <w:sz w:val="24"/>
          <w:szCs w:val="20"/>
          <w:lang w:eastAsia="pl-PL"/>
          <w14:ligatures w14:val="none"/>
        </w:rPr>
        <w:t>9</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razie powzięcia wątpliwości odnośnie do:</w:t>
      </w:r>
    </w:p>
    <w:p w14:paraId="32C3A87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prawidłowości, rzetelności lub kompletności:</w:t>
      </w:r>
    </w:p>
    <w:p w14:paraId="172342F7"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sprawozdań finansowych lub skonsolidowanych sprawozdań finansowych, lub</w:t>
      </w:r>
    </w:p>
    <w:p w14:paraId="3ECCADC3"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innych informacji finansowych, których obowiązek sporządzenia wynika z odrębnych przepisów, lub</w:t>
      </w:r>
    </w:p>
    <w:p w14:paraId="4D32D5E0"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c)</w:t>
      </w:r>
      <w:r w:rsidRPr="00027D06">
        <w:rPr>
          <w:rFonts w:ascii="Times" w:eastAsia="Times New Roman" w:hAnsi="Times" w:cs="Arial"/>
          <w:bCs/>
          <w:kern w:val="0"/>
          <w:sz w:val="24"/>
          <w:szCs w:val="20"/>
          <w:lang w:eastAsia="pl-PL"/>
          <w14:ligatures w14:val="none"/>
        </w:rPr>
        <w:tab/>
        <w:t>informacji poufnych, lub</w:t>
      </w:r>
    </w:p>
    <w:p w14:paraId="3243C98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prawidłowości prowadzenia ksiąg rachunkowych</w:t>
      </w:r>
    </w:p>
    <w:p w14:paraId="6D96B04E" w14:textId="77777777" w:rsidR="00027D06" w:rsidRPr="00027D06" w:rsidRDefault="00027D06" w:rsidP="00027D06">
      <w:pPr>
        <w:spacing w:after="0" w:line="360" w:lineRule="auto"/>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odpowiednio sporządzonych lub prowadzonych przez oferujących, emitentów tokenów powiązanych z aktywami lub tokenów będących e-pieniądzem, osoby ubiegające się o dopuszczenie kryptoaktywów do obrotu lub dostawców usług w zakresie kryptoaktywów Komisja może zlecić kontrolę odpowiednio tych sprawozdań, informacji lub ksiąg rachunkowych firmie audytorskiej albo zobowiązać te podmioty do zlecenia tej kontroli firmie audytorskiej wskazanej przez Komisję.</w:t>
      </w:r>
    </w:p>
    <w:p w14:paraId="48F69AFE"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Koszty kontroli, o której mowa w ust. 1, ponosi Komisja.</w:t>
      </w:r>
    </w:p>
    <w:p w14:paraId="37A4E973"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gdy kontrola, o której mowa w ust. 1, wykaże, że wątpliwości Komisji były uzasadnione, podmiot, o którym mowa w ust. 1, zwraca Komisji koszty związane z przeprowadzeniem tej kontroli.</w:t>
      </w:r>
    </w:p>
    <w:p w14:paraId="4C9CBF30"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bookmarkStart w:id="42" w:name="_Hlk173850994"/>
      <w:bookmarkEnd w:id="0"/>
      <w:r w:rsidRPr="00027D06">
        <w:rPr>
          <w:rFonts w:ascii="Times" w:eastAsia="Times New Roman" w:hAnsi="Times" w:cs="Arial"/>
          <w:bCs/>
          <w:kern w:val="24"/>
          <w:sz w:val="24"/>
          <w:szCs w:val="24"/>
          <w:lang w:eastAsia="pl-PL"/>
          <w14:ligatures w14:val="none"/>
        </w:rPr>
        <w:t>Rozdział 4</w:t>
      </w:r>
    </w:p>
    <w:p w14:paraId="345F692F" w14:textId="77777777" w:rsidR="00027D06" w:rsidRPr="00027D06"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Plan naprawy, plan wykupu i plan, o którym mowa w art. 74 rozporządzenia 2023/1114</w:t>
      </w:r>
    </w:p>
    <w:p w14:paraId="4B52F442" w14:textId="4941A820"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Pr>
          <w:rFonts w:ascii="Times" w:eastAsia="Times New Roman" w:hAnsi="Times" w:cs="Arial"/>
          <w:b/>
          <w:kern w:val="0"/>
          <w:sz w:val="24"/>
          <w:szCs w:val="20"/>
          <w:lang w:eastAsia="pl-PL"/>
          <w14:ligatures w14:val="none"/>
        </w:rPr>
        <w:t>40</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Komisja zatwierdza, w drodze decyzji, plan naprawy w terminie 6 miesięcy od dnia jego otrzymania.</w:t>
      </w:r>
    </w:p>
    <w:p w14:paraId="48716D0E"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2. Jeżeli plan naprawy nie spełnia wymagań określonych w art. 46 ust. 1 rozporządzenia 2023/1114, koniecznych do zapewnienia jego właściwego wdrożenia, Komisja wzywa emitenta tokenów powiązanych z aktywami lub tokenów będących e-pieniądzem do zmiany tego planu naprawy w terminie 40 dni roboczych od dnia doręczenia wezwania. Terminu tego </w:t>
      </w:r>
      <w:r w:rsidRPr="00027D06">
        <w:rPr>
          <w:rFonts w:ascii="Times" w:eastAsia="Times New Roman" w:hAnsi="Times" w:cs="Arial"/>
          <w:bCs/>
          <w:kern w:val="0"/>
          <w:sz w:val="24"/>
          <w:szCs w:val="20"/>
          <w:lang w:eastAsia="pl-PL"/>
          <w14:ligatures w14:val="none"/>
        </w:rPr>
        <w:lastRenderedPageBreak/>
        <w:t>nie wlicza się do terminu, o którym mowa w ust. 1. Na wniosek emitenta tokenów powiązanych z aktywami lub tokenów będących e-pieniądzem Komisja może przedłużyć o miesiąc termin, o którym mowa w zdaniu pierwszym.</w:t>
      </w:r>
    </w:p>
    <w:p w14:paraId="42718D33"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gdy zmieniony plan naprawy, o którym mowa w ust. 2, nie spełnia wymagań określonych w art. 46 ust. 1 rozporządzenia 2023/1114, koniecznych do zapewnienia jego właściwego wdrożenia, Komisja, w drodze decyzji, odmawia zatwierdzenia tego planu naprawy.</w:t>
      </w:r>
    </w:p>
    <w:p w14:paraId="1942B293"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W decyzji, o której mowa w ust. 3, Komisja wyznacza termin nie dłuższy niż miesiąc na przedstawienie przez emitenta tokenów powiązanych z aktywami lub tokenów będących e-pieniądzem nowego planu naprawy oraz wskazuje obszary działalności emitenta tokenów powiązanych z aktywami lub tokenów będących e-pieniądzem, które w ocenie Komisji wymagają uwzględnienia w tym planie naprawy.</w:t>
      </w:r>
    </w:p>
    <w:p w14:paraId="2EC96B19"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 Komisja zatwierdza, w drodze decyzji, nowy plan naprawy, o którym mowa w ust. 4, w terminie 6 miesięcy od dnia jego otrzymania. Przepisy ust. 2 i 3 stosuje się odpowiednio.</w:t>
      </w:r>
    </w:p>
    <w:p w14:paraId="001E72AE"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 W przypadku gdy emitent tokenów powiązanych z aktywami lub tokenów będących e-pieniądzem jest instytucją kredytową w rozumieniu art. 4 ust. 1 pkt 1 rozporządzenia Parlamentu Europejskiego i Rady (UE) nr 575/2013 z dnia 26 czerwca 2013 r. w sprawie wymogów ostrożnościowych dla instytucji kredytowych oraz zmieniającego rozporządzenie (UE) nr 648/2012 (Dz. Urz. UE L 176 z 27.06.2013, str. 1, z późn. zm.</w:t>
      </w:r>
      <w:r w:rsidRPr="00027D06">
        <w:rPr>
          <w:rFonts w:ascii="Times" w:eastAsia="Times New Roman" w:hAnsi="Times" w:cs="Arial"/>
          <w:bCs/>
          <w:kern w:val="0"/>
          <w:sz w:val="24"/>
          <w:szCs w:val="20"/>
          <w:vertAlign w:val="superscript"/>
          <w:lang w:eastAsia="pl-PL"/>
          <w14:ligatures w14:val="none"/>
        </w:rPr>
        <w:footnoteReference w:id="7"/>
      </w:r>
      <w:r w:rsidRPr="00027D06">
        <w:rPr>
          <w:rFonts w:ascii="Times" w:eastAsia="Times New Roman" w:hAnsi="Times" w:cs="Arial"/>
          <w:bCs/>
          <w:kern w:val="0"/>
          <w:sz w:val="24"/>
          <w:szCs w:val="20"/>
          <w:vertAlign w:val="superscript"/>
          <w:lang w:eastAsia="pl-PL"/>
          <w14:ligatures w14:val="none"/>
        </w:rPr>
        <w:t>)</w:t>
      </w:r>
      <w:r w:rsidRPr="00027D06">
        <w:rPr>
          <w:rFonts w:ascii="Times" w:eastAsia="Times New Roman" w:hAnsi="Times" w:cs="Arial"/>
          <w:bCs/>
          <w:kern w:val="0"/>
          <w:sz w:val="24"/>
          <w:szCs w:val="20"/>
          <w:lang w:eastAsia="pl-PL"/>
          <w14:ligatures w14:val="none"/>
        </w:rPr>
        <w:t>) podlegającą nadzorowi Komisji, plan naprawy może stanowić część planu naprawy, o którym mowa w art. 141m</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141o ustawy z dnia 29 sierpnia 1997 r. – Prawo bankowe (Dz. U. z 2024 r. poz. 1646, z późn. zm.</w:t>
      </w:r>
      <w:r w:rsidRPr="00027D06">
        <w:rPr>
          <w:rFonts w:ascii="Times" w:eastAsia="Times New Roman" w:hAnsi="Times" w:cs="Arial"/>
          <w:bCs/>
          <w:kern w:val="0"/>
          <w:sz w:val="24"/>
          <w:szCs w:val="20"/>
          <w:vertAlign w:val="superscript"/>
          <w:lang w:eastAsia="pl-PL"/>
          <w14:ligatures w14:val="none"/>
        </w:rPr>
        <w:footnoteReference w:id="8"/>
      </w:r>
      <w:r w:rsidRPr="00027D06">
        <w:rPr>
          <w:rFonts w:ascii="Times" w:eastAsia="Times New Roman" w:hAnsi="Times" w:cs="Arial"/>
          <w:bCs/>
          <w:kern w:val="0"/>
          <w:sz w:val="24"/>
          <w:szCs w:val="20"/>
          <w:vertAlign w:val="superscript"/>
          <w:lang w:eastAsia="pl-PL"/>
          <w14:ligatures w14:val="none"/>
        </w:rPr>
        <w:t>)</w:t>
      </w:r>
      <w:r w:rsidRPr="00027D06">
        <w:rPr>
          <w:rFonts w:ascii="Times" w:eastAsia="Times New Roman" w:hAnsi="Times" w:cs="Arial"/>
          <w:bCs/>
          <w:kern w:val="0"/>
          <w:sz w:val="24"/>
          <w:szCs w:val="20"/>
          <w:lang w:eastAsia="pl-PL"/>
          <w14:ligatures w14:val="none"/>
        </w:rPr>
        <w:t>).</w:t>
      </w:r>
    </w:p>
    <w:p w14:paraId="2B223376"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7. W przypadku gdy emitent tokenów powiązanych z aktywami lub tokenów będących e-pieniądzem jest domem maklerskim w rozumieniu art. 110zi ust. 1 pkt 4 ustawy z dnia 29 lipca 2005 r. o obrocie instrumentami finansowymi, który sporządził plan naprawy zgodnie z </w:t>
      </w:r>
      <w:r w:rsidRPr="00027D06">
        <w:rPr>
          <w:rFonts w:ascii="Times" w:eastAsia="Times New Roman" w:hAnsi="Times" w:cs="Arial"/>
          <w:bCs/>
          <w:kern w:val="0"/>
          <w:sz w:val="24"/>
          <w:szCs w:val="20"/>
          <w:lang w:eastAsia="pl-PL"/>
          <w14:ligatures w14:val="none"/>
        </w:rPr>
        <w:lastRenderedPageBreak/>
        <w:t xml:space="preserve">art. 110zj ust. 1 tej ustawy albo jest objęty grupowym planem naprawy </w:t>
      </w:r>
      <w:bookmarkStart w:id="43" w:name="_Hlk193094718"/>
      <w:r w:rsidRPr="00027D06">
        <w:rPr>
          <w:rFonts w:ascii="Times" w:eastAsia="Times New Roman" w:hAnsi="Times" w:cs="Arial"/>
          <w:bCs/>
          <w:kern w:val="0"/>
          <w:sz w:val="24"/>
          <w:szCs w:val="20"/>
          <w:lang w:eastAsia="pl-PL"/>
          <w14:ligatures w14:val="none"/>
        </w:rPr>
        <w:t>zgodnie z art. 110zl tej ustawy</w:t>
      </w:r>
      <w:bookmarkEnd w:id="43"/>
      <w:r w:rsidRPr="00027D06">
        <w:rPr>
          <w:rFonts w:ascii="Times" w:eastAsia="Times New Roman" w:hAnsi="Times" w:cs="Arial"/>
          <w:bCs/>
          <w:kern w:val="0"/>
          <w:sz w:val="24"/>
          <w:szCs w:val="20"/>
          <w:lang w:eastAsia="pl-PL"/>
          <w14:ligatures w14:val="none"/>
        </w:rPr>
        <w:t>, plan naprawy może stanowić część odpowiednio planu naprawy albo grupowego planu naprawy, o których mowa w tych przepisach.</w:t>
      </w:r>
    </w:p>
    <w:p w14:paraId="5A1CFCD3" w14:textId="4FCC991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8. W przypadkach, o których mowa w ust. 6 lub 7, przepisów ust. 1</w:t>
      </w:r>
      <w:r w:rsidRPr="001E11FF">
        <w:rPr>
          <w:rFonts w:ascii="Times" w:eastAsia="Times New Roman" w:hAnsi="Times" w:cs="Arial"/>
          <w:bCs/>
          <w:kern w:val="0"/>
          <w:sz w:val="24"/>
          <w:szCs w:val="20"/>
          <w:lang w:eastAsia="pl-PL"/>
          <w14:ligatures w14:val="none"/>
        </w:rPr>
        <w:sym w:font="Symbol" w:char="F02D"/>
      </w:r>
      <w:r w:rsidRPr="001E11FF">
        <w:rPr>
          <w:rFonts w:ascii="Times" w:eastAsia="Times New Roman" w:hAnsi="Times" w:cs="Arial"/>
          <w:bCs/>
          <w:kern w:val="0"/>
          <w:sz w:val="24"/>
          <w:szCs w:val="20"/>
          <w:lang w:eastAsia="pl-PL"/>
          <w14:ligatures w14:val="none"/>
        </w:rPr>
        <w:t xml:space="preserve">5 oraz art. </w:t>
      </w:r>
      <w:r w:rsidR="00813D94" w:rsidRPr="001E11FF">
        <w:rPr>
          <w:rFonts w:ascii="Times" w:eastAsia="Times New Roman" w:hAnsi="Times" w:cs="Arial"/>
          <w:bCs/>
          <w:kern w:val="0"/>
          <w:sz w:val="24"/>
          <w:szCs w:val="20"/>
          <w:lang w:eastAsia="pl-PL"/>
          <w14:ligatures w14:val="none"/>
        </w:rPr>
        <w:t>4</w:t>
      </w:r>
      <w:r w:rsidR="00813D94">
        <w:rPr>
          <w:rFonts w:ascii="Times" w:eastAsia="Times New Roman" w:hAnsi="Times" w:cs="Arial"/>
          <w:bCs/>
          <w:kern w:val="0"/>
          <w:sz w:val="24"/>
          <w:szCs w:val="20"/>
          <w:lang w:eastAsia="pl-PL"/>
          <w14:ligatures w14:val="none"/>
        </w:rPr>
        <w:t>1</w:t>
      </w:r>
      <w:r w:rsidRPr="001E11FF">
        <w:rPr>
          <w:rFonts w:ascii="Times" w:eastAsia="Times New Roman" w:hAnsi="Times" w:cs="Arial"/>
          <w:bCs/>
          <w:kern w:val="0"/>
          <w:sz w:val="24"/>
          <w:szCs w:val="20"/>
          <w:lang w:eastAsia="pl-PL"/>
          <w14:ligatures w14:val="none"/>
        </w:rPr>
        <w:sym w:font="Symbol" w:char="F02D"/>
      </w:r>
      <w:r w:rsidR="00813D94" w:rsidRPr="001E11FF">
        <w:rPr>
          <w:rFonts w:ascii="Times" w:eastAsia="Times New Roman" w:hAnsi="Times" w:cs="Arial"/>
          <w:bCs/>
          <w:kern w:val="0"/>
          <w:sz w:val="24"/>
          <w:szCs w:val="20"/>
          <w:lang w:eastAsia="pl-PL"/>
          <w14:ligatures w14:val="none"/>
        </w:rPr>
        <w:t>4</w:t>
      </w:r>
      <w:r w:rsidR="00813D94">
        <w:rPr>
          <w:rFonts w:ascii="Times" w:eastAsia="Times New Roman" w:hAnsi="Times" w:cs="Arial"/>
          <w:bCs/>
          <w:kern w:val="0"/>
          <w:sz w:val="24"/>
          <w:szCs w:val="20"/>
          <w:lang w:eastAsia="pl-PL"/>
          <w14:ligatures w14:val="none"/>
        </w:rPr>
        <w:t>4</w:t>
      </w:r>
      <w:r w:rsidRPr="001E11FF">
        <w:rPr>
          <w:rFonts w:ascii="Times" w:eastAsia="Times New Roman" w:hAnsi="Times" w:cs="Arial"/>
          <w:bCs/>
          <w:kern w:val="0"/>
          <w:sz w:val="24"/>
          <w:szCs w:val="20"/>
          <w:lang w:eastAsia="pl-PL"/>
          <w14:ligatures w14:val="none"/>
        </w:rPr>
        <w:t>, art. </w:t>
      </w:r>
      <w:r w:rsidR="00813D94" w:rsidRPr="001E11FF">
        <w:rPr>
          <w:rFonts w:ascii="Times" w:eastAsia="Times New Roman" w:hAnsi="Times" w:cs="Arial"/>
          <w:bCs/>
          <w:kern w:val="0"/>
          <w:sz w:val="24"/>
          <w:szCs w:val="20"/>
          <w:lang w:eastAsia="pl-PL"/>
          <w14:ligatures w14:val="none"/>
        </w:rPr>
        <w:t>5</w:t>
      </w:r>
      <w:r w:rsidR="00813D94">
        <w:rPr>
          <w:rFonts w:ascii="Times" w:eastAsia="Times New Roman" w:hAnsi="Times" w:cs="Arial"/>
          <w:bCs/>
          <w:kern w:val="0"/>
          <w:sz w:val="24"/>
          <w:szCs w:val="20"/>
          <w:lang w:eastAsia="pl-PL"/>
          <w14:ligatures w14:val="none"/>
        </w:rPr>
        <w:t>2</w:t>
      </w:r>
      <w:r w:rsidR="00813D94" w:rsidRPr="001E11FF">
        <w:rPr>
          <w:rFonts w:ascii="Times" w:eastAsia="Times New Roman" w:hAnsi="Times" w:cs="Arial"/>
          <w:bCs/>
          <w:kern w:val="0"/>
          <w:sz w:val="24"/>
          <w:szCs w:val="20"/>
          <w:lang w:eastAsia="pl-PL"/>
          <w14:ligatures w14:val="none"/>
        </w:rPr>
        <w:t xml:space="preserve"> </w:t>
      </w:r>
      <w:r w:rsidRPr="001E11FF">
        <w:rPr>
          <w:rFonts w:ascii="Times" w:eastAsia="Times New Roman" w:hAnsi="Times" w:cs="Arial"/>
          <w:bCs/>
          <w:kern w:val="0"/>
          <w:sz w:val="24"/>
          <w:szCs w:val="20"/>
          <w:lang w:eastAsia="pl-PL"/>
          <w14:ligatures w14:val="none"/>
        </w:rPr>
        <w:t xml:space="preserve">i art. </w:t>
      </w:r>
      <w:r w:rsidR="00813D94" w:rsidRPr="001E11FF">
        <w:rPr>
          <w:rFonts w:ascii="Times" w:eastAsia="Times New Roman" w:hAnsi="Times" w:cs="Arial"/>
          <w:bCs/>
          <w:kern w:val="0"/>
          <w:sz w:val="24"/>
          <w:szCs w:val="20"/>
          <w:lang w:eastAsia="pl-PL"/>
          <w14:ligatures w14:val="none"/>
        </w:rPr>
        <w:t>5</w:t>
      </w:r>
      <w:r w:rsidR="00813D94">
        <w:rPr>
          <w:rFonts w:ascii="Times" w:eastAsia="Times New Roman" w:hAnsi="Times" w:cs="Arial"/>
          <w:bCs/>
          <w:kern w:val="0"/>
          <w:sz w:val="24"/>
          <w:szCs w:val="20"/>
          <w:lang w:eastAsia="pl-PL"/>
          <w14:ligatures w14:val="none"/>
        </w:rPr>
        <w:t>3</w:t>
      </w:r>
      <w:r w:rsidR="00813D94" w:rsidRPr="001E11FF">
        <w:rPr>
          <w:rFonts w:ascii="Times" w:eastAsia="Times New Roman" w:hAnsi="Times" w:cs="Arial"/>
          <w:bCs/>
          <w:kern w:val="0"/>
          <w:sz w:val="24"/>
          <w:szCs w:val="20"/>
          <w:lang w:eastAsia="pl-PL"/>
          <w14:ligatures w14:val="none"/>
        </w:rPr>
        <w:t xml:space="preserve"> </w:t>
      </w:r>
      <w:r w:rsidRPr="001E11FF">
        <w:rPr>
          <w:rFonts w:ascii="Times" w:eastAsia="Times New Roman" w:hAnsi="Times" w:cs="Arial"/>
          <w:bCs/>
          <w:kern w:val="0"/>
          <w:sz w:val="24"/>
          <w:szCs w:val="20"/>
          <w:lang w:eastAsia="pl-PL"/>
          <w14:ligatures w14:val="none"/>
        </w:rPr>
        <w:t>nie stosuje się.</w:t>
      </w:r>
    </w:p>
    <w:p w14:paraId="251C1367"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9. Przepisów ust. 6 i 7 nie stosuje się do emitentów znaczących tokenów powiązanych z aktywami, o których mowa w art. 43 lub art. 44 rozporządzenia 2023/1114.</w:t>
      </w:r>
    </w:p>
    <w:p w14:paraId="41212DB6" w14:textId="57C76481"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4</w:t>
      </w:r>
      <w:r w:rsidR="00011954">
        <w:rPr>
          <w:rFonts w:ascii="Times" w:eastAsia="Times New Roman" w:hAnsi="Times" w:cs="Arial"/>
          <w:b/>
          <w:kern w:val="0"/>
          <w:sz w:val="24"/>
          <w:szCs w:val="20"/>
          <w:lang w:eastAsia="pl-PL"/>
          <w14:ligatures w14:val="none"/>
        </w:rPr>
        <w:t>1</w:t>
      </w:r>
      <w:r w:rsidRPr="00027D06">
        <w:rPr>
          <w:rFonts w:ascii="Times" w:eastAsia="Times New Roman" w:hAnsi="Times" w:cs="Arial"/>
          <w:b/>
          <w:kern w:val="0"/>
          <w:sz w:val="24"/>
          <w:szCs w:val="20"/>
          <w:lang w:eastAsia="pl-PL"/>
          <w14:ligatures w14:val="none"/>
        </w:rPr>
        <w:t>.</w:t>
      </w:r>
      <w:bookmarkStart w:id="44" w:name="_Hlk172620801"/>
      <w:r w:rsidRPr="00027D06">
        <w:rPr>
          <w:rFonts w:ascii="Times" w:eastAsia="Times New Roman" w:hAnsi="Times" w:cs="Arial"/>
          <w:kern w:val="0"/>
          <w:sz w:val="24"/>
          <w:szCs w:val="20"/>
          <w:lang w:eastAsia="pl-PL"/>
          <w14:ligatures w14:val="none"/>
        </w:rPr>
        <w:t xml:space="preserve"> </w:t>
      </w:r>
      <w:bookmarkEnd w:id="44"/>
      <w:r w:rsidRPr="00027D06">
        <w:rPr>
          <w:rFonts w:ascii="Times" w:eastAsia="Times New Roman" w:hAnsi="Times" w:cs="Arial"/>
          <w:kern w:val="0"/>
          <w:sz w:val="24"/>
          <w:szCs w:val="20"/>
          <w:lang w:eastAsia="pl-PL"/>
          <w14:ligatures w14:val="none"/>
        </w:rPr>
        <w:t>1. Emitent tokenów powiązanych z aktywami lub tokenów będących e-pieniądzem aktualizuje plan naprawy po wystąpieniu istotnej zmiany struktury organizacyjnej lub prawnej tego emitenta lub jego sytuacji finansowej lub po wystąpieniu innych zdarzeń, wpływających na przyjęte w planie naprawy środki, warunki lub procedury, o których mowa w art. 46 ust. 1 rozporządzenia 2023/1114, a w przypadku niewystąpienia takiej zmiany lub takiego zdarzenia – nie rzadziej niż raz w roku.</w:t>
      </w:r>
    </w:p>
    <w:p w14:paraId="30E36A0C"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Emitent tokenów powiązanych z aktywami lub tokenów będących e-pieniądzem przekazuje Komisji aktualizację planu naprawy niezwłocznie, nie później jednak niż w terminie 14 dni roboczych od dnia jej sporządzenia.</w:t>
      </w:r>
    </w:p>
    <w:p w14:paraId="1F681A6A" w14:textId="74C7ED3C"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4</w:t>
      </w:r>
      <w:r w:rsidR="00011954">
        <w:rPr>
          <w:rFonts w:ascii="Times" w:eastAsia="Times New Roman" w:hAnsi="Times" w:cs="Arial"/>
          <w:b/>
          <w:kern w:val="0"/>
          <w:sz w:val="24"/>
          <w:szCs w:val="20"/>
          <w:lang w:eastAsia="pl-PL"/>
          <w14:ligatures w14:val="none"/>
        </w:rPr>
        <w:t>2</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naprawy w terminie 7 dni od dnia jego zatwierdzenia przez Komisję.</w:t>
      </w:r>
    </w:p>
    <w:p w14:paraId="77CA15FE" w14:textId="5D0125B5"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vertAlign w:val="subscript"/>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4</w:t>
      </w:r>
      <w:r w:rsidR="00011954">
        <w:rPr>
          <w:rFonts w:ascii="Times" w:eastAsia="Times New Roman" w:hAnsi="Times" w:cs="Arial"/>
          <w:b/>
          <w:kern w:val="0"/>
          <w:sz w:val="24"/>
          <w:szCs w:val="20"/>
          <w:lang w:eastAsia="pl-PL"/>
          <w14:ligatures w14:val="none"/>
        </w:rPr>
        <w:t>3</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Emitent tokenów powiązanych z aktywami lub tokenów będących e-pieniądzem niezwłocznie zawiadamia Komisję o podejmowanych działaniach związanych z realizacją planu naprawy. W przypadku, o którym </w:t>
      </w:r>
      <w:r w:rsidRPr="00076A91">
        <w:rPr>
          <w:rFonts w:ascii="Times" w:eastAsia="Times New Roman" w:hAnsi="Times" w:cs="Arial"/>
          <w:kern w:val="0"/>
          <w:sz w:val="24"/>
          <w:szCs w:val="20"/>
          <w:lang w:eastAsia="pl-PL"/>
          <w14:ligatures w14:val="none"/>
        </w:rPr>
        <w:t xml:space="preserve">mowa w art. </w:t>
      </w:r>
      <w:r w:rsidR="00813D94" w:rsidRPr="00076A91">
        <w:rPr>
          <w:rFonts w:ascii="Times" w:eastAsia="Times New Roman" w:hAnsi="Times" w:cs="Arial"/>
          <w:kern w:val="0"/>
          <w:sz w:val="24"/>
          <w:szCs w:val="20"/>
          <w:lang w:eastAsia="pl-PL"/>
          <w14:ligatures w14:val="none"/>
        </w:rPr>
        <w:t>4</w:t>
      </w:r>
      <w:r w:rsidR="00813D94">
        <w:rPr>
          <w:rFonts w:ascii="Times" w:eastAsia="Times New Roman" w:hAnsi="Times" w:cs="Arial"/>
          <w:kern w:val="0"/>
          <w:sz w:val="24"/>
          <w:szCs w:val="20"/>
          <w:lang w:eastAsia="pl-PL"/>
          <w14:ligatures w14:val="none"/>
        </w:rPr>
        <w:t>2</w:t>
      </w:r>
      <w:r w:rsidRPr="00076A91">
        <w:rPr>
          <w:rFonts w:ascii="Times" w:eastAsia="Times New Roman" w:hAnsi="Times" w:cs="Arial"/>
          <w:kern w:val="0"/>
          <w:sz w:val="24"/>
          <w:szCs w:val="20"/>
          <w:lang w:eastAsia="pl-PL"/>
          <w14:ligatures w14:val="none"/>
        </w:rPr>
        <w:t>, emit</w:t>
      </w:r>
      <w:r w:rsidRPr="00027D06">
        <w:rPr>
          <w:rFonts w:ascii="Times" w:eastAsia="Times New Roman" w:hAnsi="Times" w:cs="Arial"/>
          <w:kern w:val="0"/>
          <w:sz w:val="24"/>
          <w:szCs w:val="20"/>
          <w:lang w:eastAsia="pl-PL"/>
          <w14:ligatures w14:val="none"/>
        </w:rPr>
        <w:t>ent tokenów powiązanych z aktywami lub tokenów będących e-pieniądzem niezwłocznie zawiadamia również Bankowy Fundusz Gwarancyjny.</w:t>
      </w:r>
    </w:p>
    <w:p w14:paraId="1EBAA80A" w14:textId="371E0DB8"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4</w:t>
      </w:r>
      <w:r w:rsidR="00011954">
        <w:rPr>
          <w:rFonts w:ascii="Times" w:eastAsia="Times New Roman" w:hAnsi="Times" w:cs="Arial"/>
          <w:b/>
          <w:kern w:val="0"/>
          <w:sz w:val="24"/>
          <w:szCs w:val="20"/>
          <w:lang w:eastAsia="pl-PL"/>
          <w14:ligatures w14:val="none"/>
        </w:rPr>
        <w:t>4</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Na żądanie Komisji lub jej upoważnionego przedstawiciela osoby uprawnione do reprezentowania emitenta tokenów powiązanych z aktywami lub tokenów będących e-pieniądzem oraz osoby wchodzące w skład jego statutowych organów są obowiązane do niezwłocznego sporządzania i przekazywania, na koszt tego emitenta, informacji, które w ocenie Komisji mogą mieć wpływ na wdrożenie i realizację planu naprawy.</w:t>
      </w:r>
    </w:p>
    <w:p w14:paraId="79CD375C" w14:textId="2D6D5D26"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lastRenderedPageBreak/>
        <w:t>Art. </w:t>
      </w:r>
      <w:r w:rsidR="00011954" w:rsidRPr="00027D06">
        <w:rPr>
          <w:rFonts w:ascii="Times" w:eastAsia="Times New Roman" w:hAnsi="Times" w:cs="Arial"/>
          <w:b/>
          <w:kern w:val="0"/>
          <w:sz w:val="24"/>
          <w:szCs w:val="20"/>
          <w:lang w:eastAsia="pl-PL"/>
          <w14:ligatures w14:val="none"/>
        </w:rPr>
        <w:t>4</w:t>
      </w:r>
      <w:r w:rsidR="00011954">
        <w:rPr>
          <w:rFonts w:ascii="Times" w:eastAsia="Times New Roman" w:hAnsi="Times" w:cs="Arial"/>
          <w:b/>
          <w:kern w:val="0"/>
          <w:sz w:val="24"/>
          <w:szCs w:val="20"/>
          <w:lang w:eastAsia="pl-PL"/>
          <w14:ligatures w14:val="none"/>
        </w:rPr>
        <w:t>5</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Komisja zatwierdza, w drodze decyzji, plan wykupu w terminie 3 miesięcy od dnia jego otrzymania.</w:t>
      </w:r>
    </w:p>
    <w:p w14:paraId="50D1B94F"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Jeżeli plan wykupu nie spełnia wymagań określonych w art. 47 ust. 1 lub 2 rozporządzenia 2023/1114, koniecznych do zapewnienia jego właściwego wdrożenia, Komisja wzywa emitenta tokenów powiązanych z aktywami lub tokenów będących e-pieniądzem do zmiany tego planu wykupu, w terminie 40 dni roboczych od dnia doręczenia wezwania. Terminu tego nie wlicza się do terminu, o którym mowa w ust. 1. Na wniosek emitenta tokenów powiązanych z aktywami lub tokenów będących e-pieniądzem Komisja może przedłużyć o miesiąc termin, o którym mowa w zdaniu pierwszym.</w:t>
      </w:r>
    </w:p>
    <w:p w14:paraId="18BEF354"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gdy zmieniony plan wykupu, o którym mowa w ust. 2, nie spełnia wymagań określonych w art. 47 ust. 1 lub 2 rozporządzenia 2023/1114, koniecznych do zapewnienia jego właściwego wdrożenia, Komisja, w drodze decyzji, odmawia zatwierdzenia tego planu wykupu.</w:t>
      </w:r>
    </w:p>
    <w:p w14:paraId="70899902"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W decyzji, o której mowa w ust. 3, Komisja wyznacza termin nie dłuższy niż miesiąc na przedstawienie przez emitenta tokenów powiązanych z aktywami lub tokenów będących e-pieniądzem nowego planu wykupu oraz wskazuje obszary działalności emitenta tokenów powiązanych z aktywami lub tokenów będących e-pieniądzem, które w ocenie Komisji wymagają uwzględnienia w tym planie wykupu.</w:t>
      </w:r>
    </w:p>
    <w:p w14:paraId="69BFC41B"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 Komisja zatwierdza, w drodze decyzji, nowy plan wykupu, o którym mowa w ust. 4, w terminie 3 miesięcy od dnia jego otrzymania. Przepisy ust. 2 i 3 stosuje się odpowiednio.</w:t>
      </w:r>
    </w:p>
    <w:p w14:paraId="7CD32CAD" w14:textId="2365BDB5"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4</w:t>
      </w:r>
      <w:r w:rsidR="00011954">
        <w:rPr>
          <w:rFonts w:ascii="Times" w:eastAsia="Times New Roman" w:hAnsi="Times" w:cs="Arial"/>
          <w:b/>
          <w:kern w:val="0"/>
          <w:sz w:val="24"/>
          <w:szCs w:val="20"/>
          <w:lang w:eastAsia="pl-PL"/>
          <w14:ligatures w14:val="none"/>
        </w:rPr>
        <w:t>6</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Emitent tokenów powiązanych z aktywami lub tokenów będących e-pieniądzem aktualizuje plan wykupu po wystąpieniu istotnej zmiany struktury organizacyjnej lub prawnej tego emitenta lub jego sytuacji finansowej lub po wystąpieniu innych zdarzeń, wpływających na przyjęte w planie wykupu środki, o których mowa w art. 47 ust. 1 rozporządzenia 2023/1114, lub ustalenia umowne, procedury lub systemy, o których mowa w art. 47 ust. 2 rozporządzenia 2023/1114, a w przypadku niewystąpienia takiej zmiany lub takiego zdarzenia – nie rzadziej niż raz w roku.</w:t>
      </w:r>
    </w:p>
    <w:p w14:paraId="4C65E621"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Emitent tokenów powiązanych z aktywami lub tokenów będących e-pieniądzem przekazuje Komisji aktualizację planu wykupu niezwłocznie, jednak nie później niż w terminie 14 dni roboczych od dnia jej sporządzenia.</w:t>
      </w:r>
    </w:p>
    <w:p w14:paraId="7C3A4E6F" w14:textId="12B65169"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4</w:t>
      </w:r>
      <w:r w:rsidR="00011954">
        <w:rPr>
          <w:rFonts w:ascii="Times" w:eastAsia="Times New Roman" w:hAnsi="Times" w:cs="Arial"/>
          <w:b/>
          <w:kern w:val="0"/>
          <w:sz w:val="24"/>
          <w:szCs w:val="20"/>
          <w:lang w:eastAsia="pl-PL"/>
          <w14:ligatures w14:val="none"/>
        </w:rPr>
        <w:t>7</w:t>
      </w:r>
      <w:r w:rsidRPr="00027D06">
        <w:rPr>
          <w:rFonts w:ascii="Times" w:eastAsia="Times New Roman" w:hAnsi="Times" w:cs="Arial"/>
          <w:b/>
          <w:kern w:val="0"/>
          <w:sz w:val="24"/>
          <w:szCs w:val="20"/>
          <w:lang w:eastAsia="pl-PL"/>
          <w14:ligatures w14:val="none"/>
        </w:rPr>
        <w:t xml:space="preserve">. </w:t>
      </w:r>
      <w:r w:rsidRPr="00027D06">
        <w:rPr>
          <w:rFonts w:ascii="Times" w:eastAsia="Times New Roman" w:hAnsi="Times" w:cs="Arial"/>
          <w:kern w:val="0"/>
          <w:sz w:val="24"/>
          <w:szCs w:val="20"/>
          <w:lang w:eastAsia="pl-PL"/>
          <w14:ligatures w14:val="none"/>
        </w:rPr>
        <w:t>W przypadku ogłoszenia upadłości albo otwarcia likwidacji emitenta tokenów powiązanych z aktywami emitent ten wdraża plan wykupu.</w:t>
      </w:r>
    </w:p>
    <w:p w14:paraId="63DFFF58" w14:textId="63CE6C20"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lastRenderedPageBreak/>
        <w:t>Art. </w:t>
      </w:r>
      <w:r w:rsidR="00011954" w:rsidRPr="00027D06">
        <w:rPr>
          <w:rFonts w:ascii="Times" w:eastAsia="Times New Roman" w:hAnsi="Times" w:cs="Arial"/>
          <w:b/>
          <w:kern w:val="0"/>
          <w:sz w:val="24"/>
          <w:szCs w:val="20"/>
          <w:lang w:eastAsia="pl-PL"/>
          <w14:ligatures w14:val="none"/>
        </w:rPr>
        <w:t>4</w:t>
      </w:r>
      <w:r w:rsidR="00011954">
        <w:rPr>
          <w:rFonts w:ascii="Times" w:eastAsia="Times New Roman" w:hAnsi="Times" w:cs="Arial"/>
          <w:b/>
          <w:kern w:val="0"/>
          <w:sz w:val="24"/>
          <w:szCs w:val="20"/>
          <w:lang w:eastAsia="pl-PL"/>
          <w14:ligatures w14:val="none"/>
        </w:rPr>
        <w:t>8</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wykupu w terminie 7 dni od dnia jego zatwierdzenia przez Komisję.</w:t>
      </w:r>
    </w:p>
    <w:p w14:paraId="2353B919" w14:textId="1E3E9F1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4</w:t>
      </w:r>
      <w:r w:rsidR="00011954">
        <w:rPr>
          <w:rFonts w:ascii="Times" w:eastAsia="Times New Roman" w:hAnsi="Times" w:cs="Arial"/>
          <w:b/>
          <w:kern w:val="0"/>
          <w:sz w:val="24"/>
          <w:szCs w:val="20"/>
          <w:lang w:eastAsia="pl-PL"/>
          <w14:ligatures w14:val="none"/>
        </w:rPr>
        <w:t>9</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Emitent tokenów powiązanych z aktywami lub tokenów będących e-pieniądzem niezwłocznie zawiadamia Komisję o podejmowanych działaniach związanych z realizacją planu wykupu. W przypadku, o którym mowa w art. 48, emitent tokenów powiązanych z aktywami lub tokenów będących e-pieniądzem niezwłocznie zawiadamia również Bankowy Fundusz Gwarancyjny.</w:t>
      </w:r>
    </w:p>
    <w:p w14:paraId="5DF0BDA9" w14:textId="1A7C6560"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Pr>
          <w:rFonts w:ascii="Times" w:eastAsia="Times New Roman" w:hAnsi="Times" w:cs="Arial"/>
          <w:b/>
          <w:kern w:val="0"/>
          <w:sz w:val="24"/>
          <w:szCs w:val="20"/>
          <w:lang w:eastAsia="pl-PL"/>
          <w14:ligatures w14:val="none"/>
        </w:rPr>
        <w:t>50</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Na żądanie Komisji lub jej upoważnionego przedstawiciela osoby uprawnione do reprezentowania emitenta tokenów powiązanych z aktywami lub tokenów będących e-pieniądzem oraz osoby wchodzące w skład jego statutowych organów są obowiązane do niezwłocznego sporządzania i przekazywania, na koszt tego emitenta, informacji, które w ocenie Komisji mogą mieć wpływ na wdrożenie i realizację planu wykupu.</w:t>
      </w:r>
    </w:p>
    <w:p w14:paraId="77A8E478" w14:textId="3EF9EB8F"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5</w:t>
      </w:r>
      <w:r w:rsidR="00011954">
        <w:rPr>
          <w:rFonts w:ascii="Times" w:eastAsia="Times New Roman" w:hAnsi="Times" w:cs="Arial"/>
          <w:b/>
          <w:kern w:val="0"/>
          <w:sz w:val="24"/>
          <w:szCs w:val="20"/>
          <w:lang w:eastAsia="pl-PL"/>
          <w14:ligatures w14:val="none"/>
        </w:rPr>
        <w:t>1</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Dostawca usług w zakresie kryptoaktywów sporządza i przekazuje Komisji plan, o którym mowa w art. 74 rozporządzenia 2023/1114, w terminie 6 miesięcy od dnia:</w:t>
      </w:r>
    </w:p>
    <w:p w14:paraId="2551B4E6"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 xml:space="preserve">udzielenia zezwolenia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przypadku dostawcy usług w zakresie kryptoaktywów, o którym mowa w art. 59 ust. 1 lit. a rozporządzenia 2023/1114;</w:t>
      </w:r>
    </w:p>
    <w:p w14:paraId="4A95A53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 xml:space="preserve">rozpoczęcia świadczenia usług w zakresie kryptoaktywów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przypadku dostawcy usług w zakresie kryptoaktywów, o którym mowa w art. 59 ust. 1 lit. b rozporządzenia 2023/1114.</w:t>
      </w:r>
    </w:p>
    <w:p w14:paraId="69EFD14C"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27D06">
        <w:rPr>
          <w:rFonts w:ascii="Times" w:eastAsia="Times New Roman" w:hAnsi="Times" w:cs="Arial"/>
          <w:bCs/>
          <w:kern w:val="24"/>
          <w:sz w:val="24"/>
          <w:szCs w:val="24"/>
          <w:lang w:eastAsia="pl-PL"/>
          <w14:ligatures w14:val="none"/>
        </w:rPr>
        <w:t>Rozdział 5</w:t>
      </w:r>
    </w:p>
    <w:p w14:paraId="303D31CB" w14:textId="77777777" w:rsidR="00027D06" w:rsidRPr="00027D06" w:rsidRDefault="00027D06" w:rsidP="00027D06">
      <w:pPr>
        <w:keepNext/>
        <w:suppressAutoHyphens/>
        <w:spacing w:before="120" w:after="0" w:line="360" w:lineRule="auto"/>
        <w:jc w:val="center"/>
        <w:rPr>
          <w:rFonts w:ascii="Times" w:eastAsia="Times New Roman" w:hAnsi="Times" w:cs="Times New Roman"/>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Postępowanie w sprawie zatwierdzania planu, o którym mowa w art. 23 ust. 1 lit. b rozporządzenia 2023/1114, oraz planu naprawy i planu wykupu</w:t>
      </w:r>
    </w:p>
    <w:p w14:paraId="36AC02C7" w14:textId="563EB54E"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5</w:t>
      </w:r>
      <w:r w:rsidR="00011954">
        <w:rPr>
          <w:rFonts w:ascii="Times" w:eastAsia="Times New Roman" w:hAnsi="Times" w:cs="Arial"/>
          <w:b/>
          <w:kern w:val="0"/>
          <w:sz w:val="24"/>
          <w:szCs w:val="20"/>
          <w:lang w:eastAsia="pl-PL"/>
          <w14:ligatures w14:val="none"/>
        </w:rPr>
        <w:t>2</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Do postępowań prowadzonych w sprawach, o których </w:t>
      </w:r>
      <w:r w:rsidRPr="001E11FF">
        <w:rPr>
          <w:rFonts w:ascii="Times" w:eastAsia="Times New Roman" w:hAnsi="Times" w:cs="Arial"/>
          <w:kern w:val="0"/>
          <w:sz w:val="24"/>
          <w:szCs w:val="20"/>
          <w:lang w:eastAsia="pl-PL"/>
          <w14:ligatures w14:val="none"/>
        </w:rPr>
        <w:t xml:space="preserve">mowa w art. </w:t>
      </w:r>
      <w:r w:rsidR="007E5956" w:rsidRPr="001E11FF">
        <w:rPr>
          <w:rFonts w:ascii="Times" w:eastAsia="Times New Roman" w:hAnsi="Times" w:cs="Arial"/>
          <w:kern w:val="0"/>
          <w:sz w:val="24"/>
          <w:szCs w:val="20"/>
          <w:lang w:eastAsia="pl-PL"/>
          <w14:ligatures w14:val="none"/>
        </w:rPr>
        <w:t>2</w:t>
      </w:r>
      <w:r w:rsidR="007E5956">
        <w:rPr>
          <w:rFonts w:ascii="Times" w:eastAsia="Times New Roman" w:hAnsi="Times" w:cs="Arial"/>
          <w:kern w:val="0"/>
          <w:sz w:val="24"/>
          <w:szCs w:val="20"/>
          <w:lang w:eastAsia="pl-PL"/>
          <w14:ligatures w14:val="none"/>
        </w:rPr>
        <w:t>6</w:t>
      </w:r>
      <w:r w:rsidRPr="001E11FF">
        <w:rPr>
          <w:rFonts w:ascii="Times" w:eastAsia="Times New Roman" w:hAnsi="Times" w:cs="Arial"/>
          <w:kern w:val="0"/>
          <w:sz w:val="24"/>
          <w:szCs w:val="20"/>
          <w:lang w:eastAsia="pl-PL"/>
          <w14:ligatures w14:val="none"/>
        </w:rPr>
        <w:t>–</w:t>
      </w:r>
      <w:r w:rsidR="007E5956" w:rsidRPr="001E11FF">
        <w:rPr>
          <w:rFonts w:ascii="Times" w:eastAsia="Times New Roman" w:hAnsi="Times" w:cs="Arial"/>
          <w:kern w:val="0"/>
          <w:sz w:val="24"/>
          <w:szCs w:val="20"/>
          <w:lang w:eastAsia="pl-PL"/>
          <w14:ligatures w14:val="none"/>
        </w:rPr>
        <w:t>2</w:t>
      </w:r>
      <w:r w:rsidR="007E5956">
        <w:rPr>
          <w:rFonts w:ascii="Times" w:eastAsia="Times New Roman" w:hAnsi="Times" w:cs="Arial"/>
          <w:kern w:val="0"/>
          <w:sz w:val="24"/>
          <w:szCs w:val="20"/>
          <w:lang w:eastAsia="pl-PL"/>
          <w14:ligatures w14:val="none"/>
        </w:rPr>
        <w:t>8</w:t>
      </w:r>
      <w:r w:rsidR="007E5956"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 xml:space="preserve">i art. </w:t>
      </w:r>
      <w:r w:rsidR="007E5956">
        <w:rPr>
          <w:rFonts w:ascii="Times" w:eastAsia="Times New Roman" w:hAnsi="Times" w:cs="Arial"/>
          <w:kern w:val="0"/>
          <w:sz w:val="24"/>
          <w:szCs w:val="20"/>
          <w:lang w:eastAsia="pl-PL"/>
          <w14:ligatures w14:val="none"/>
        </w:rPr>
        <w:t>40</w:t>
      </w:r>
      <w:r w:rsidRPr="001E11FF">
        <w:rPr>
          <w:rFonts w:ascii="Times" w:eastAsia="Times New Roman" w:hAnsi="Times" w:cs="Arial"/>
          <w:kern w:val="0"/>
          <w:sz w:val="24"/>
          <w:szCs w:val="20"/>
          <w:lang w:eastAsia="pl-PL"/>
          <w14:ligatures w14:val="none"/>
        </w:rPr>
        <w:t>–</w:t>
      </w:r>
      <w:r w:rsidR="007E5956">
        <w:rPr>
          <w:rFonts w:ascii="Times" w:eastAsia="Times New Roman" w:hAnsi="Times" w:cs="Arial"/>
          <w:kern w:val="0"/>
          <w:sz w:val="24"/>
          <w:szCs w:val="20"/>
          <w:lang w:eastAsia="pl-PL"/>
          <w14:ligatures w14:val="none"/>
        </w:rPr>
        <w:t>50</w:t>
      </w:r>
      <w:r w:rsidRPr="001E11FF">
        <w:rPr>
          <w:rFonts w:ascii="Times" w:eastAsia="Times New Roman" w:hAnsi="Times" w:cs="Arial"/>
          <w:kern w:val="0"/>
          <w:sz w:val="24"/>
          <w:szCs w:val="20"/>
          <w:lang w:eastAsia="pl-PL"/>
          <w14:ligatures w14:val="none"/>
        </w:rPr>
        <w:t xml:space="preserve">, nie stosuje się przepisu art. 31 ustawy z dnia 14 czerwca 1960 r. </w:t>
      </w:r>
      <w:r w:rsidRPr="001E11FF">
        <w:rPr>
          <w:rFonts w:ascii="Times" w:eastAsia="Times New Roman" w:hAnsi="Times" w:cs="Arial"/>
          <w:kern w:val="0"/>
          <w:sz w:val="24"/>
          <w:szCs w:val="20"/>
          <w:lang w:eastAsia="pl-PL"/>
          <w14:ligatures w14:val="none"/>
        </w:rPr>
        <w:sym w:font="Symbol" w:char="F02D"/>
      </w:r>
      <w:r w:rsidRPr="001E11FF">
        <w:rPr>
          <w:rFonts w:ascii="Times" w:eastAsia="Times New Roman" w:hAnsi="Times" w:cs="Arial"/>
          <w:kern w:val="0"/>
          <w:sz w:val="24"/>
          <w:szCs w:val="20"/>
          <w:lang w:eastAsia="pl-PL"/>
          <w14:ligatures w14:val="none"/>
        </w:rPr>
        <w:t xml:space="preserve"> Kodeks postępowania administracyjnego (Dz. U. z 2025 r. poz. 1691).</w:t>
      </w:r>
    </w:p>
    <w:p w14:paraId="7FF35173" w14:textId="7A9DE006"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5</w:t>
      </w:r>
      <w:r w:rsidR="00011954">
        <w:rPr>
          <w:rFonts w:ascii="Times" w:eastAsia="Times New Roman" w:hAnsi="Times" w:cs="Arial"/>
          <w:b/>
          <w:kern w:val="0"/>
          <w:sz w:val="24"/>
          <w:szCs w:val="20"/>
          <w:lang w:eastAsia="pl-PL"/>
          <w14:ligatures w14:val="none"/>
        </w:rPr>
        <w:t>3</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ustanowienia pełnomocnika pełnomocnictwo powinno określać adres do doręczeń elektronicznych, o którym mowa w art. 2 pkt 1 ustawy z dnia 18 listopada </w:t>
      </w:r>
      <w:r w:rsidRPr="00027D06">
        <w:rPr>
          <w:rFonts w:ascii="Times" w:eastAsia="Times New Roman" w:hAnsi="Times" w:cs="Arial"/>
          <w:kern w:val="0"/>
          <w:sz w:val="24"/>
          <w:szCs w:val="20"/>
          <w:lang w:eastAsia="pl-PL"/>
          <w14:ligatures w14:val="none"/>
        </w:rPr>
        <w:lastRenderedPageBreak/>
        <w:t>2020 r. o doręczeniach elektronicznych (Dz. U. z 2024 r. poz. 1045 i 1841), pełnomocnika wpisany do bazy adresów elektronicznych. W przypadku niewskazania adresu do doręczeń elektronicznych w pełnomocnictwie doręczenie pisma na wpisany do bazy adresów elektronicznych adres do doręczeń elektronicznych emitenta tokenów powiązanych z aktywami lub tokenów będących e-pieniądzem, który ustanowił pełnomocnika, ma skutek prawny.</w:t>
      </w:r>
    </w:p>
    <w:p w14:paraId="34889BB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przypadku nieodebrania pisma doręczanego na wpisany do bazy adresów elektronicznych adres do doręczeń elektronicznych doręczenie uważa się za dokonane po upływie 2 dni roboczych, licząc od dnia wystawienia dowodu wysłania, o którym mowa w art. 40 ustawy z dnia 18 listopada 2020 r. o doręczeniach elektronicznych.</w:t>
      </w:r>
    </w:p>
    <w:p w14:paraId="77CAADE5"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27D06">
        <w:rPr>
          <w:rFonts w:ascii="Times" w:eastAsia="Times New Roman" w:hAnsi="Times" w:cs="Arial"/>
          <w:bCs/>
          <w:kern w:val="24"/>
          <w:sz w:val="24"/>
          <w:szCs w:val="24"/>
          <w:lang w:eastAsia="pl-PL"/>
          <w14:ligatures w14:val="none"/>
        </w:rPr>
        <w:t>Rozdział 6</w:t>
      </w:r>
    </w:p>
    <w:p w14:paraId="357E120B" w14:textId="77777777" w:rsidR="00027D06" w:rsidRPr="00027D06"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 xml:space="preserve">Odpowiedzialność cywilna w związku z dokumentem informacyjnym </w:t>
      </w:r>
      <w:bookmarkStart w:id="45" w:name="_Hlk179746826"/>
      <w:bookmarkStart w:id="46" w:name="_Hlk178777290"/>
      <w:r w:rsidRPr="00027D06">
        <w:rPr>
          <w:rFonts w:ascii="Times" w:eastAsia="Times New Roman" w:hAnsi="Times" w:cs="Times New Roman"/>
          <w:b/>
          <w:bCs/>
          <w:kern w:val="0"/>
          <w:sz w:val="24"/>
          <w:szCs w:val="24"/>
          <w:lang w:eastAsia="pl-PL"/>
          <w14:ligatures w14:val="none"/>
        </w:rPr>
        <w:t>dotyczącym kryptoaktywa oraz zmienionym dokumentem informacyjnym dotyczącym</w:t>
      </w:r>
      <w:bookmarkEnd w:id="45"/>
      <w:r w:rsidRPr="00027D06">
        <w:rPr>
          <w:rFonts w:ascii="Times" w:eastAsia="Times New Roman" w:hAnsi="Times" w:cs="Times New Roman"/>
          <w:b/>
          <w:bCs/>
          <w:kern w:val="0"/>
          <w:sz w:val="24"/>
          <w:szCs w:val="24"/>
          <w:lang w:eastAsia="pl-PL"/>
          <w14:ligatures w14:val="none"/>
        </w:rPr>
        <w:t xml:space="preserve"> kryptoaktywa</w:t>
      </w:r>
      <w:bookmarkEnd w:id="46"/>
    </w:p>
    <w:p w14:paraId="4087008B" w14:textId="00334BA0"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5</w:t>
      </w:r>
      <w:r w:rsidR="00011954">
        <w:rPr>
          <w:rFonts w:ascii="Times" w:eastAsia="Times New Roman" w:hAnsi="Times" w:cs="Arial"/>
          <w:b/>
          <w:kern w:val="0"/>
          <w:sz w:val="24"/>
          <w:szCs w:val="20"/>
          <w:lang w:eastAsia="pl-PL"/>
          <w14:ligatures w14:val="none"/>
        </w:rPr>
        <w:t>4</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Dokument informacyjny dotyczący kryptoaktywa oraz zmieniony dokument informacyjny dotyczący kryptoaktywa zawierają:</w:t>
      </w:r>
    </w:p>
    <w:p w14:paraId="162CB87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 xml:space="preserve">wskazanie podmiotu odpowiedzialnego, o którym mowa w art. 15, art. 26 i art. 52 rozporządzenia 2023/1114, z podaniem jego imienia, nazwiska oraz funkcji, a w przypadku osoby prawnej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firmy (nazwy) i siedziby;</w:t>
      </w:r>
    </w:p>
    <w:p w14:paraId="4CACF97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 xml:space="preserve">oświadczenie podmiotu odpowiedzialnego, o którym mowa w art. 15, art. 26 i art. 52 rozporządzenia 2023/1114, że zgodnie z jego najlepszą wiedzą informacje zawarte w dokumencie informacyjnym dotyczącym kryptoaktywa lub zmienionym dokumencie informacyjnym dotyczącym kryptoaktywa są zgodne ze stanem faktycznym i że dokument informacyjny dotyczący kryptoaktywa lub zmieniony dokument informacyjny dotyczący kryptoaktywa nie pomija niczego, co mogłoby wpływać na jego znaczenie, w tym kluczowych informacji niezbędnych do podjęcia decyzji o objęciu, nabyciu, sprzedaży lub wymianie kryptoaktywów, w szczególności że zawarte w tych dokumentach informacje są </w:t>
      </w:r>
      <w:bookmarkStart w:id="47" w:name="_Hlk208310502"/>
      <w:r w:rsidRPr="00027D06">
        <w:rPr>
          <w:rFonts w:ascii="Times" w:eastAsia="Times New Roman" w:hAnsi="Times" w:cs="Arial"/>
          <w:bCs/>
          <w:kern w:val="0"/>
          <w:sz w:val="24"/>
          <w:szCs w:val="20"/>
          <w:lang w:eastAsia="pl-PL"/>
          <w14:ligatures w14:val="none"/>
        </w:rPr>
        <w:t>kompletne, rzetelne, jasne i nie wprowadzają w błąd</w:t>
      </w:r>
      <w:bookmarkEnd w:id="47"/>
      <w:r w:rsidRPr="00027D06">
        <w:rPr>
          <w:rFonts w:ascii="Times" w:eastAsia="Times New Roman" w:hAnsi="Times" w:cs="Arial"/>
          <w:bCs/>
          <w:kern w:val="0"/>
          <w:sz w:val="24"/>
          <w:szCs w:val="20"/>
          <w:lang w:eastAsia="pl-PL"/>
          <w14:ligatures w14:val="none"/>
        </w:rPr>
        <w:t>.</w:t>
      </w:r>
    </w:p>
    <w:p w14:paraId="22EAC3A4"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imieniu podmiotu odpowiedzialnego, o którym mowa w art. 15, art. 26 i art. 52 rozporządzenia 2023/1114, będącego osobą prawną oświadczenie, o którym mowa w ust. 1 pkt 2, składa członek organu zarządzającego tego podmiotu, zgodnie z obowiązującymi go zasadami reprezentacji.</w:t>
      </w:r>
    </w:p>
    <w:p w14:paraId="23601EA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3. Podmioty odpowiedzialne, o których mowa w art. 15, art. 26 i art. 52 rozporządzenia 2023/1114, przy wykonywaniu swoich obowiązków dochowują należytej staranności wynikającej z zawodowego charakteru swojej działalności.</w:t>
      </w:r>
    </w:p>
    <w:p w14:paraId="3984CFB9" w14:textId="6FAC2039"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5</w:t>
      </w:r>
      <w:r w:rsidR="00011954">
        <w:rPr>
          <w:rFonts w:ascii="Times" w:eastAsia="Times New Roman" w:hAnsi="Times" w:cs="Arial"/>
          <w:b/>
          <w:kern w:val="0"/>
          <w:sz w:val="24"/>
          <w:szCs w:val="20"/>
          <w:lang w:eastAsia="pl-PL"/>
          <w14:ligatures w14:val="none"/>
        </w:rPr>
        <w:t>5</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Podmioty, o których mowa w art. 15, art. 26 i art. 52 rozporządzenia 2023/1114, są odpowiedzialne za to, że tłumaczenie odpowiednio dokumentu informacyjnego dotyczącego kryptoaktywa lub zmienionego dokumentu informacyjnego dotyczącego kryptoaktywa na inny język niż ten, w którym zostały sporządzone, jest kompletne, wiernie odzwierciedla treść, nie wprowadza w błąd i nie pomija kluczowych informacji niezbędnych do podjęcia decyzji o objęciu, nabyciu, sprzedaży lub wymianie kryptoaktywów.</w:t>
      </w:r>
    </w:p>
    <w:p w14:paraId="3721CAFE"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Podmioty, o których mowa w art. 15, art. 26 i art. 52 rozporządzenia 2023/1114, są obowiązane do naprawienia wyrządzonej szkody, w przypadku gdy tłumaczenie, o którym mowa w ust. 1, nie spełnia wymogów, o których mowa w ust. 1, chyba że te podmioty, jak również osoby, za które ponoszą odpowiedzialność, nie ponoszą winy.</w:t>
      </w:r>
    </w:p>
    <w:p w14:paraId="2675437F"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27D06">
        <w:rPr>
          <w:rFonts w:ascii="Times" w:eastAsia="Times New Roman" w:hAnsi="Times" w:cs="Arial"/>
          <w:bCs/>
          <w:kern w:val="24"/>
          <w:sz w:val="24"/>
          <w:szCs w:val="24"/>
          <w:lang w:eastAsia="pl-PL"/>
          <w14:ligatures w14:val="none"/>
        </w:rPr>
        <w:t>Rozdział 7</w:t>
      </w:r>
    </w:p>
    <w:p w14:paraId="7BAB3513" w14:textId="77777777" w:rsidR="00027D06" w:rsidRPr="00027D06"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Nadzór nad rynkiem kryptoaktywów</w:t>
      </w:r>
    </w:p>
    <w:p w14:paraId="72202737"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27D06">
        <w:rPr>
          <w:rFonts w:ascii="Times" w:eastAsia="Times New Roman" w:hAnsi="Times" w:cs="Arial"/>
          <w:bCs/>
          <w:kern w:val="24"/>
          <w:sz w:val="24"/>
          <w:szCs w:val="24"/>
          <w:lang w:eastAsia="pl-PL"/>
          <w14:ligatures w14:val="none"/>
        </w:rPr>
        <w:t>Oddział 1</w:t>
      </w:r>
    </w:p>
    <w:p w14:paraId="568D58FF" w14:textId="77777777" w:rsidR="00027D06" w:rsidRPr="00027D06"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Przepisy ogólne</w:t>
      </w:r>
    </w:p>
    <w:p w14:paraId="079C1DC2" w14:textId="33CF9736"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5</w:t>
      </w:r>
      <w:r w:rsidR="00011954">
        <w:rPr>
          <w:rFonts w:ascii="Times" w:eastAsia="Times New Roman" w:hAnsi="Times" w:cs="Arial"/>
          <w:b/>
          <w:kern w:val="0"/>
          <w:sz w:val="24"/>
          <w:szCs w:val="20"/>
          <w:lang w:eastAsia="pl-PL"/>
          <w14:ligatures w14:val="none"/>
        </w:rPr>
        <w:t>6</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Komisja jest właściwym organem w rozumieniu art. 93 ust. 1 rozporządzenia 2023/1114.</w:t>
      </w:r>
    </w:p>
    <w:p w14:paraId="0B2E5D44" w14:textId="160E3113"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5</w:t>
      </w:r>
      <w:r w:rsidR="00011954">
        <w:rPr>
          <w:rFonts w:ascii="Times" w:eastAsia="Times New Roman" w:hAnsi="Times" w:cs="Arial"/>
          <w:b/>
          <w:kern w:val="0"/>
          <w:sz w:val="24"/>
          <w:szCs w:val="20"/>
          <w:lang w:eastAsia="pl-PL"/>
          <w14:ligatures w14:val="none"/>
        </w:rPr>
        <w:t>7</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Prezes Narodowego Banku Polskiego wydaje opinie w sprawach, o których mowa w art. 17 ust. 5, art. 20 ust. 5, art. 24 ust. 2 i 3, art. 25 ust. 3, art. 43 ust. 5, art. 44 ust. 2, art. 56 ust. 4 i 8 oraz art. 57 ust. 2 rozporządzenia 2023/1114.</w:t>
      </w:r>
    </w:p>
    <w:p w14:paraId="0CBCBF9D" w14:textId="70758CEF"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5</w:t>
      </w:r>
      <w:r w:rsidR="00011954">
        <w:rPr>
          <w:rFonts w:ascii="Times" w:eastAsia="Times New Roman" w:hAnsi="Times" w:cs="Arial"/>
          <w:b/>
          <w:kern w:val="0"/>
          <w:sz w:val="24"/>
          <w:szCs w:val="20"/>
          <w:lang w:eastAsia="pl-PL"/>
          <w14:ligatures w14:val="none"/>
        </w:rPr>
        <w:t>8</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Komisja może przeprowadzać kontrolę działalności emitentów tokenów powiązanych z aktywami lub tokenów będących e-pieniądzem, oferujących, osób ubiegających się o dopuszczenie kryptoaktywów do obrotu oraz dostawców usług w zakresie kryptoaktywów, zwaną dalej „kontrolą”.</w:t>
      </w:r>
    </w:p>
    <w:p w14:paraId="400FAF92"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Przedmiotem kontroli jest sytuacja finansowa podmiotów, o których mowa w ust. 1, oraz zgodność ich działalności z przepisami ustawy, przepisami aktów wykonawczych wydanych na jej podstawie, przepisami rozporządzenia 2023/1114 oraz przepisami aktów delegowanych i aktów wykonawczych wydanych na jego podstawie, a także z interesem klientów.</w:t>
      </w:r>
    </w:p>
    <w:p w14:paraId="34CF3D1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3. Do kontroli stosuje się odpowiednio przepisy art. 26, art. 27 ust. 2–6 i art. 28–37 ustawy o nadzorze nad rynkiem kapitałowym.</w:t>
      </w:r>
    </w:p>
    <w:p w14:paraId="0D679F62" w14:textId="7D32D81F"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Pr>
          <w:rFonts w:ascii="Times" w:eastAsia="Times New Roman" w:hAnsi="Times" w:cs="Arial"/>
          <w:b/>
          <w:kern w:val="0"/>
          <w:sz w:val="24"/>
          <w:szCs w:val="20"/>
          <w:lang w:eastAsia="pl-PL"/>
          <w14:ligatures w14:val="none"/>
        </w:rPr>
        <w:t>59</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W związku z wykonywaniem zadań w zakresie nadzoru Komisja, Przewodniczący Komisji, upoważnieni przedstawiciele Komisji oraz pracownicy Urzędu Komisji Nadzoru Finansowego mają prawo dostępu do:</w:t>
      </w:r>
    </w:p>
    <w:p w14:paraId="5B5A2806"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48" w:name="_Hlk164778850"/>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informacji poufnych;</w:t>
      </w:r>
    </w:p>
    <w:bookmarkEnd w:id="48"/>
    <w:p w14:paraId="2CBE5B94" w14:textId="2F9BCBB6"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 xml:space="preserve">informacji stanowiących tajemnicę zawodową, o której mowa </w:t>
      </w:r>
      <w:r w:rsidRPr="001E11FF">
        <w:rPr>
          <w:rFonts w:ascii="Times" w:eastAsia="Times New Roman" w:hAnsi="Times" w:cs="Arial"/>
          <w:bCs/>
          <w:kern w:val="0"/>
          <w:sz w:val="24"/>
          <w:szCs w:val="20"/>
          <w:lang w:eastAsia="pl-PL"/>
          <w14:ligatures w14:val="none"/>
        </w:rPr>
        <w:t xml:space="preserve">w art. </w:t>
      </w:r>
      <w:r w:rsidR="00FA614C" w:rsidRPr="001E11FF">
        <w:rPr>
          <w:rFonts w:ascii="Times" w:eastAsia="Times New Roman" w:hAnsi="Times" w:cs="Arial"/>
          <w:bCs/>
          <w:kern w:val="0"/>
          <w:sz w:val="24"/>
          <w:szCs w:val="20"/>
          <w:lang w:eastAsia="pl-PL"/>
          <w14:ligatures w14:val="none"/>
        </w:rPr>
        <w:t>1</w:t>
      </w:r>
      <w:r w:rsidR="00FA614C">
        <w:rPr>
          <w:rFonts w:ascii="Times" w:eastAsia="Times New Roman" w:hAnsi="Times" w:cs="Arial"/>
          <w:bCs/>
          <w:kern w:val="0"/>
          <w:sz w:val="24"/>
          <w:szCs w:val="20"/>
          <w:lang w:eastAsia="pl-PL"/>
          <w14:ligatures w14:val="none"/>
        </w:rPr>
        <w:t>7</w:t>
      </w:r>
      <w:r w:rsidRPr="001E11FF">
        <w:rPr>
          <w:rFonts w:ascii="Times" w:eastAsia="Times New Roman" w:hAnsi="Times" w:cs="Arial"/>
          <w:bCs/>
          <w:kern w:val="0"/>
          <w:sz w:val="24"/>
          <w:szCs w:val="20"/>
          <w:lang w:eastAsia="pl-PL"/>
          <w14:ligatures w14:val="none"/>
        </w:rPr>
        <w:t>, oraz</w:t>
      </w:r>
      <w:r w:rsidRPr="00027D06">
        <w:rPr>
          <w:rFonts w:ascii="Times" w:eastAsia="Times New Roman" w:hAnsi="Times" w:cs="Arial"/>
          <w:bCs/>
          <w:kern w:val="0"/>
          <w:sz w:val="24"/>
          <w:szCs w:val="20"/>
          <w:lang w:eastAsia="pl-PL"/>
          <w14:ligatures w14:val="none"/>
        </w:rPr>
        <w:t xml:space="preserve"> tajemnicę zawodową, o której mowa w art. 100 rozporządzenia 2023/1114;</w:t>
      </w:r>
    </w:p>
    <w:p w14:paraId="1DCBF7BD"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innych informacji, w tym danych osobowych, niezbędnych do wykonywania ustawowych zadań.</w:t>
      </w:r>
    </w:p>
    <w:p w14:paraId="34EBBF44" w14:textId="33D3C25F"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Pr>
          <w:rFonts w:ascii="Times" w:eastAsia="Times New Roman" w:hAnsi="Times" w:cs="Arial"/>
          <w:b/>
          <w:kern w:val="0"/>
          <w:sz w:val="24"/>
          <w:szCs w:val="20"/>
          <w:lang w:eastAsia="pl-PL"/>
          <w14:ligatures w14:val="none"/>
        </w:rPr>
        <w:t>60</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Komisja oraz jej upoważniony przedstawiciel mogą przekazywać właściwym organom nadzoru nad rynkiem kryptoaktywów z innych niż Rzeczpospolita Polska państw członkowskich Unii Europejskiej oraz otrzymywać od tych organów informacje niezbędne do prawidłowego wykonywania zadań w zakresie tego nadzoru, w tym zadań określonych w rozporządzeniu 2023/1114, lub do zapewnienia prawidłowego toku postępowań sądowych, administracyjnych, karnych, wyjaśniających oraz kontrolnych w sprawach związanych z wykonywaniem tego nadzoru.</w:t>
      </w:r>
    </w:p>
    <w:p w14:paraId="5315509E"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Informacje przekazane przez Komisję organowi nadzoru nad rynkiem kryptoaktywów z innego państwa niż państwo członkowskie Unii Europejskiej, za zgodą Komisji, mogą być wykorzystywane w celach innych niż określone w ust. 1 lub przekazywane przez ten organ organowi nadzoru nad rynkiem kryptoaktywów innego państwa.</w:t>
      </w:r>
    </w:p>
    <w:p w14:paraId="73C2B116"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Informacje uzyskane przez Komisję od organu nadzoru nad rynkiem kryptoaktywów z innego niż Rzeczpospolita Polska państwa członkowskiego Unii Europejskiej, za zgodą tego organu, mogą być wykorzystywane w celach innych niż określone w ust. 1 lub przekazywane przez Komisję właściwemu organowi nadzoru nad rynkiem kryptoaktywów z innego państwa, w szczególności będącego stroną porozumienia, o którym mowa w ust. 4.</w:t>
      </w:r>
    </w:p>
    <w:p w14:paraId="0F10843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Zasady współpracy i wymiany informacji z właściwymi organami nadzoru nad rynkiem kryptoaktywów z państw innych niż państwa członkowskie Unii Europejskiej określają porozumienia zawarte przez Komisję z tymi organami nadzoru. Do udzielania informacji organom nadzoru nad rynkiem kryptoaktywów z innych państw niż państwa członkowskie Unii Europejskiej przepisy ust. 1 i 3 oraz przepis art. 95 ust. 2 rozporządzenia 2023/1114 stosuje się odpowiednio.</w:t>
      </w:r>
    </w:p>
    <w:p w14:paraId="07AD0920"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5. W przypadkach uzasadnionych potrzebą wykonywania nadzoru przez organ nadzoru z innego niż Rzeczpospolita Polska państwa członkowskiego Unii Europejskiej, albo potrzebą prowadzenia postępowań administracyjnych lub sądowych w sprawach związanych z wykonywaniem nadzoru przez ten organ, albo na wniosek tego organu, Komisja może wszczynać z urzędu kontrolę, postępowanie wyjaśniające lub postępowanie administracyjne. W takim przypadku upoważniony przedstawiciel tego organu nadzoru może brać udział w czynnościach dokonywanych w toku takiej kontroli i takich postępowań. Komisja może również zwrócić się o wszczęcie takiej kontroli i takich postępowań przez organ nadzoru z innego niż Rzeczpospolita Polska państwa członkowskiego Unii Europejskiej.</w:t>
      </w:r>
    </w:p>
    <w:p w14:paraId="1443CD9F" w14:textId="13891910"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6</w:t>
      </w:r>
      <w:r w:rsidR="00011954">
        <w:rPr>
          <w:rFonts w:ascii="Times" w:eastAsia="Times New Roman" w:hAnsi="Times" w:cs="Arial"/>
          <w:b/>
          <w:kern w:val="0"/>
          <w:sz w:val="24"/>
          <w:szCs w:val="20"/>
          <w:lang w:eastAsia="pl-PL"/>
          <w14:ligatures w14:val="none"/>
        </w:rPr>
        <w:t>1</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Informacje uzyskane przez Komisję zgodnie z art. </w:t>
      </w:r>
      <w:r w:rsidR="00E93089" w:rsidRPr="001E11FF">
        <w:rPr>
          <w:rFonts w:ascii="Times" w:eastAsia="Times New Roman" w:hAnsi="Times" w:cs="Arial"/>
          <w:kern w:val="0"/>
          <w:sz w:val="24"/>
          <w:szCs w:val="20"/>
          <w:lang w:eastAsia="pl-PL"/>
          <w14:ligatures w14:val="none"/>
        </w:rPr>
        <w:t>2</w:t>
      </w:r>
      <w:r w:rsidR="00E93089">
        <w:rPr>
          <w:rFonts w:ascii="Times" w:eastAsia="Times New Roman" w:hAnsi="Times" w:cs="Arial"/>
          <w:kern w:val="0"/>
          <w:sz w:val="24"/>
          <w:szCs w:val="20"/>
          <w:lang w:eastAsia="pl-PL"/>
          <w14:ligatures w14:val="none"/>
        </w:rPr>
        <w:t>1</w:t>
      </w:r>
      <w:r w:rsidR="00E93089"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 xml:space="preserve">pkt 7 i 8, art. </w:t>
      </w:r>
      <w:r w:rsidR="00E93089" w:rsidRPr="001E11FF">
        <w:rPr>
          <w:rFonts w:ascii="Times" w:eastAsia="Times New Roman" w:hAnsi="Times" w:cs="Arial"/>
          <w:kern w:val="0"/>
          <w:sz w:val="24"/>
          <w:szCs w:val="20"/>
          <w:lang w:eastAsia="pl-PL"/>
          <w14:ligatures w14:val="none"/>
        </w:rPr>
        <w:t>5</w:t>
      </w:r>
      <w:r w:rsidR="00E93089">
        <w:rPr>
          <w:rFonts w:ascii="Times" w:eastAsia="Times New Roman" w:hAnsi="Times" w:cs="Arial"/>
          <w:kern w:val="0"/>
          <w:sz w:val="24"/>
          <w:szCs w:val="20"/>
          <w:lang w:eastAsia="pl-PL"/>
          <w14:ligatures w14:val="none"/>
        </w:rPr>
        <w:t>9</w:t>
      </w:r>
      <w:r w:rsidR="00E93089"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 xml:space="preserve">i art. </w:t>
      </w:r>
      <w:r w:rsidR="00E93089">
        <w:rPr>
          <w:rFonts w:ascii="Times" w:eastAsia="Times New Roman" w:hAnsi="Times" w:cs="Arial"/>
          <w:kern w:val="0"/>
          <w:sz w:val="24"/>
          <w:szCs w:val="20"/>
          <w:lang w:eastAsia="pl-PL"/>
          <w14:ligatures w14:val="none"/>
        </w:rPr>
        <w:t>60</w:t>
      </w:r>
      <w:r w:rsidR="00E93089"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ust. 3 oraz zgodnie z art. 95 rozporządzenia 2023/1114 mogą być, jeżeli</w:t>
      </w:r>
      <w:r w:rsidRPr="00027D06">
        <w:rPr>
          <w:rFonts w:ascii="Times" w:eastAsia="Times New Roman" w:hAnsi="Times" w:cs="Arial"/>
          <w:kern w:val="0"/>
          <w:sz w:val="24"/>
          <w:szCs w:val="20"/>
          <w:lang w:eastAsia="pl-PL"/>
          <w14:ligatures w14:val="none"/>
        </w:rPr>
        <w:t xml:space="preserve"> przepisy prawa nie stanowią inaczej, wykorzystywane wyłącznie do wykonywania ustawowych zadań w zakresie nadzoru nad rynkiem kryptoaktywów, w szczególności mogą stanowić dowód w postępowaniu administracyjnym prowadzonym przez Komisję.</w:t>
      </w:r>
    </w:p>
    <w:p w14:paraId="0833FAB2" w14:textId="0E3C877C"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6</w:t>
      </w:r>
      <w:r w:rsidR="00011954">
        <w:rPr>
          <w:rFonts w:ascii="Times" w:eastAsia="Times New Roman" w:hAnsi="Times" w:cs="Arial"/>
          <w:b/>
          <w:kern w:val="0"/>
          <w:sz w:val="24"/>
          <w:szCs w:val="20"/>
          <w:lang w:eastAsia="pl-PL"/>
          <w14:ligatures w14:val="none"/>
        </w:rPr>
        <w:t>2</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W postępowaniu wyjaśniającym, o którym mowa w art. 18a ustawy z dnia 21 lipca 2006 r. o nadzorze nad rynkiem finansowym, prowadzonym w celu ustalenia, czy istnieją podstawy do złożenia zawiadomienia o podejrzeniu popełnienia przestępstwa w zakresie dotyczącym czynów skierowanych przeciwko interesom uczestników rynku kryptoaktywów, pozostających w związku z działalnością podmiotów nadzorowanych, lub do wszczęcia postępowania administracyjnego w sprawie naruszenia przepisów art. 88</w:t>
      </w:r>
      <w:r w:rsidRPr="00027D06">
        <w:rPr>
          <w:rFonts w:ascii="Times" w:eastAsia="Times New Roman" w:hAnsi="Times" w:cs="Arial"/>
          <w:kern w:val="0"/>
          <w:sz w:val="24"/>
          <w:szCs w:val="20"/>
          <w:lang w:eastAsia="pl-PL"/>
          <w14:ligatures w14:val="none"/>
        </w:rPr>
        <w:sym w:font="Symbol" w:char="F02D"/>
      </w:r>
      <w:r w:rsidRPr="00027D06">
        <w:rPr>
          <w:rFonts w:ascii="Times" w:eastAsia="Times New Roman" w:hAnsi="Times" w:cs="Arial"/>
          <w:kern w:val="0"/>
          <w:sz w:val="24"/>
          <w:szCs w:val="20"/>
          <w:lang w:eastAsia="pl-PL"/>
          <w14:ligatures w14:val="none"/>
        </w:rPr>
        <w:t>92 rozporządzenia 2023/1114, Przewodniczącemu Komisji przysługuje uprawnienie, o którym mowa w art. 38 ust. 5 pkt 1 ustawy o nadzorze nad rynkiem kapitałowym.</w:t>
      </w:r>
    </w:p>
    <w:p w14:paraId="4D253F67"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27D06">
        <w:rPr>
          <w:rFonts w:ascii="Times" w:eastAsia="Times New Roman" w:hAnsi="Times" w:cs="Arial"/>
          <w:bCs/>
          <w:kern w:val="24"/>
          <w:sz w:val="24"/>
          <w:szCs w:val="24"/>
          <w:lang w:eastAsia="pl-PL"/>
          <w14:ligatures w14:val="none"/>
        </w:rPr>
        <w:t>Oddział 2</w:t>
      </w:r>
    </w:p>
    <w:p w14:paraId="28FE29DC" w14:textId="77777777" w:rsidR="00027D06" w:rsidRPr="00027D06"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 xml:space="preserve">Blokada rachunku kryptoaktywów lub rachunku pieniężnego </w:t>
      </w:r>
      <w:r w:rsidRPr="00027D06">
        <w:rPr>
          <w:rFonts w:ascii="Times" w:eastAsia="Times New Roman" w:hAnsi="Times" w:cs="Times New Roman"/>
          <w:b/>
          <w:bCs/>
          <w:kern w:val="0"/>
          <w:sz w:val="24"/>
          <w:szCs w:val="24"/>
          <w:lang w:eastAsia="pl-PL"/>
          <w14:ligatures w14:val="none"/>
        </w:rPr>
        <w:br/>
        <w:t>oraz wstrzymanie transakcji</w:t>
      </w:r>
    </w:p>
    <w:p w14:paraId="3998B5CA" w14:textId="4868A82B"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6</w:t>
      </w:r>
      <w:r w:rsidR="00011954">
        <w:rPr>
          <w:rFonts w:ascii="Times" w:eastAsia="Times New Roman" w:hAnsi="Times" w:cs="Arial"/>
          <w:b/>
          <w:kern w:val="0"/>
          <w:sz w:val="24"/>
          <w:szCs w:val="20"/>
          <w:lang w:eastAsia="pl-PL"/>
          <w14:ligatures w14:val="none"/>
        </w:rPr>
        <w:t>3</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uzasadnionego podejrzenia naruszenia art. 89 ust. 2 lub 3, art. 90 ust. 1 lub art. 91 ust. 1 rozporządzenia 2023/1114, w celu zapobieżenia wykorzystywaniu informacji poufnej, manipulacji lub usiłowaniu manipulacji na rynku kryptoaktywów, </w:t>
      </w:r>
      <w:bookmarkStart w:id="49" w:name="_Hlk189823699"/>
      <w:r w:rsidRPr="00027D06">
        <w:rPr>
          <w:rFonts w:ascii="Times" w:eastAsia="Times New Roman" w:hAnsi="Times" w:cs="Arial"/>
          <w:kern w:val="0"/>
          <w:sz w:val="24"/>
          <w:szCs w:val="20"/>
          <w:lang w:eastAsia="pl-PL"/>
          <w14:ligatures w14:val="none"/>
        </w:rPr>
        <w:t>Przewodniczący Komisji występuje do dostawcy usług w zakresie kryptoaktywów z pisemnym żądaniem dokonania blokady rachunku kryptoaktywów lub rachunku pieniężnego, o którym mowa w art. 13 ust. 2, na okres nie dłuższy niż 96 godzin od momentu otrzymania żądania.</w:t>
      </w:r>
    </w:p>
    <w:bookmarkEnd w:id="49"/>
    <w:p w14:paraId="3282CA32"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2. Dokonanie blokady, o której mowa w ust. 1, polega na czasowym uniemożliwieniu dysponowania całością albo częścią kryptoaktywów lub środków pieniężnych objętych blokadą i korzystania z nich, w tym przez dostawcę usług w zakresie kryptoaktywów, z wyłączeniem dokonania rozliczeń w kryptoaktywach wynikających z transakcji zawartych i zobowiązań zaciągniętych przed otrzymaniem tego żądania.</w:t>
      </w:r>
    </w:p>
    <w:p w14:paraId="5E93A266"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3. </w:t>
      </w:r>
      <w:bookmarkStart w:id="50" w:name="_Hlk164780414"/>
      <w:r w:rsidRPr="00027D06">
        <w:rPr>
          <w:rFonts w:ascii="Times" w:eastAsia="Times New Roman" w:hAnsi="Times" w:cs="Arial"/>
          <w:bCs/>
          <w:kern w:val="0"/>
          <w:sz w:val="24"/>
          <w:szCs w:val="20"/>
          <w:lang w:eastAsia="pl-PL"/>
          <w14:ligatures w14:val="none"/>
        </w:rPr>
        <w:t>Żądanie, o którym mowa w ust. 1, zawiera datę jego wydania, zakres, sposób i okres dokonania blokady, o której mowa w ust. 1, oraz uzasadnienie.</w:t>
      </w:r>
    </w:p>
    <w:p w14:paraId="60CA12C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Żądanie, o którym mowa w ust. 1, opatruje się podpisem własnoręcznym albo kwalifikowanym podpisem elektronicznym.</w:t>
      </w:r>
    </w:p>
    <w:bookmarkEnd w:id="50"/>
    <w:p w14:paraId="433F091A"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 Dostawca usług w zakresie kryptoaktywów dokonuje blokady, o której mowa w ust. 1, niezwłocznie po otrzymaniu żądania, o którym mowa w ust. 1.</w:t>
      </w:r>
    </w:p>
    <w:p w14:paraId="644CF5BF"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 Dokonanie blokady, o której mowa w ust. 1, wyłącza odpowiedzialność dostawcy usług w zakresie kryptoaktywów oraz osób działających w jego imieniu, w tym odpowiedzialność dyscyplinarną, cywilną oraz karną.</w:t>
      </w:r>
    </w:p>
    <w:p w14:paraId="777C8F47"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7. </w:t>
      </w:r>
      <w:bookmarkStart w:id="51" w:name="_Hlk174039915"/>
      <w:r w:rsidRPr="00027D06">
        <w:rPr>
          <w:rFonts w:ascii="Times" w:eastAsia="Times New Roman" w:hAnsi="Times" w:cs="Arial"/>
          <w:bCs/>
          <w:kern w:val="0"/>
          <w:sz w:val="24"/>
          <w:szCs w:val="20"/>
          <w:lang w:eastAsia="pl-PL"/>
          <w14:ligatures w14:val="none"/>
        </w:rPr>
        <w:t xml:space="preserve">Jeżeli jest to niezbędne do zapewnienia bezpieczeństwa obrotu na platformie obrotu kryptoaktywami lub jest zagrożony interes posiadaczy kryptoaktywów, Przewodniczący Komisji może wystąpić do dostawcy usług w zakresie kryptoaktywów z żądaniem przedłużenia blokady, o której mowa w ust. 1, lub z żądaniem wstrzymania określonej transakcji, na czas oznaczony, nie dłuższy niż 6 miesięcy. </w:t>
      </w:r>
      <w:bookmarkEnd w:id="51"/>
      <w:r w:rsidRPr="00027D06">
        <w:rPr>
          <w:rFonts w:ascii="Times" w:eastAsia="Times New Roman" w:hAnsi="Times" w:cs="Arial"/>
          <w:bCs/>
          <w:kern w:val="0"/>
          <w:sz w:val="24"/>
          <w:szCs w:val="20"/>
          <w:lang w:eastAsia="pl-PL"/>
          <w14:ligatures w14:val="none"/>
        </w:rPr>
        <w:t>Przepisy ust. 3–6 stosuje się odpowiednio.</w:t>
      </w:r>
    </w:p>
    <w:p w14:paraId="0091906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8. Na żądanie, o którym mowa w ust. 1 i 7, dostawcy usług w zakresie kryptoaktywów służy skarga do sądu administracyjnego.</w:t>
      </w:r>
    </w:p>
    <w:p w14:paraId="6B5D91C3" w14:textId="36F39050" w:rsidR="00027D06" w:rsidRPr="001E11FF"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6</w:t>
      </w:r>
      <w:r w:rsidR="00011954">
        <w:rPr>
          <w:rFonts w:ascii="Times" w:eastAsia="Times New Roman" w:hAnsi="Times" w:cs="Arial"/>
          <w:b/>
          <w:kern w:val="0"/>
          <w:sz w:val="24"/>
          <w:szCs w:val="20"/>
          <w:lang w:eastAsia="pl-PL"/>
          <w14:ligatures w14:val="none"/>
        </w:rPr>
        <w:t>4</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Niezwłocznie po przekazaniu żądania, o którym </w:t>
      </w:r>
      <w:r w:rsidRPr="001E11FF">
        <w:rPr>
          <w:rFonts w:ascii="Times" w:eastAsia="Times New Roman" w:hAnsi="Times" w:cs="Arial"/>
          <w:kern w:val="0"/>
          <w:sz w:val="24"/>
          <w:szCs w:val="20"/>
          <w:lang w:eastAsia="pl-PL"/>
          <w14:ligatures w14:val="none"/>
        </w:rPr>
        <w:t xml:space="preserve">mowa w art. </w:t>
      </w:r>
      <w:r w:rsidR="00905E2C" w:rsidRPr="001E11FF">
        <w:rPr>
          <w:rFonts w:ascii="Times" w:eastAsia="Times New Roman" w:hAnsi="Times" w:cs="Arial"/>
          <w:kern w:val="0"/>
          <w:sz w:val="24"/>
          <w:szCs w:val="20"/>
          <w:lang w:eastAsia="pl-PL"/>
          <w14:ligatures w14:val="none"/>
        </w:rPr>
        <w:t>6</w:t>
      </w:r>
      <w:r w:rsidR="00905E2C">
        <w:rPr>
          <w:rFonts w:ascii="Times" w:eastAsia="Times New Roman" w:hAnsi="Times" w:cs="Arial"/>
          <w:kern w:val="0"/>
          <w:sz w:val="24"/>
          <w:szCs w:val="20"/>
          <w:lang w:eastAsia="pl-PL"/>
          <w14:ligatures w14:val="none"/>
        </w:rPr>
        <w:t>3</w:t>
      </w:r>
      <w:r w:rsidR="00905E2C"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ust. 1, Przewodniczący Komisji wydaje postanowienie o wszczęciu postępowania administracyjnego w sprawie naruszenia przepisów art. 89 ust. 2 lub 3, art. 90 ust. 1 lub art. 91 ust. 1 rozporządzenia 2023/1114.</w:t>
      </w:r>
    </w:p>
    <w:p w14:paraId="7FADD794" w14:textId="74F4BC21" w:rsidR="00027D06" w:rsidRPr="001E11FF"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 xml:space="preserve">2. Blokada, o której mowa w art. </w:t>
      </w:r>
      <w:r w:rsidR="00905E2C" w:rsidRPr="001E11FF">
        <w:rPr>
          <w:rFonts w:ascii="Times" w:eastAsia="Times New Roman" w:hAnsi="Times" w:cs="Arial"/>
          <w:bCs/>
          <w:kern w:val="0"/>
          <w:sz w:val="24"/>
          <w:szCs w:val="20"/>
          <w:lang w:eastAsia="pl-PL"/>
          <w14:ligatures w14:val="none"/>
        </w:rPr>
        <w:t>6</w:t>
      </w:r>
      <w:r w:rsidR="00905E2C">
        <w:rPr>
          <w:rFonts w:ascii="Times" w:eastAsia="Times New Roman" w:hAnsi="Times" w:cs="Arial"/>
          <w:bCs/>
          <w:kern w:val="0"/>
          <w:sz w:val="24"/>
          <w:szCs w:val="20"/>
          <w:lang w:eastAsia="pl-PL"/>
          <w14:ligatures w14:val="none"/>
        </w:rPr>
        <w:t>3</w:t>
      </w:r>
      <w:r w:rsidR="00905E2C" w:rsidRPr="001E11FF">
        <w:rPr>
          <w:rFonts w:ascii="Times" w:eastAsia="Times New Roman" w:hAnsi="Times" w:cs="Arial"/>
          <w:bCs/>
          <w:kern w:val="0"/>
          <w:sz w:val="24"/>
          <w:szCs w:val="20"/>
          <w:lang w:eastAsia="pl-PL"/>
          <w14:ligatures w14:val="none"/>
        </w:rPr>
        <w:t xml:space="preserve"> </w:t>
      </w:r>
      <w:r w:rsidRPr="001E11FF">
        <w:rPr>
          <w:rFonts w:ascii="Times" w:eastAsia="Times New Roman" w:hAnsi="Times" w:cs="Arial"/>
          <w:bCs/>
          <w:kern w:val="0"/>
          <w:sz w:val="24"/>
          <w:szCs w:val="20"/>
          <w:lang w:eastAsia="pl-PL"/>
          <w14:ligatures w14:val="none"/>
        </w:rPr>
        <w:t xml:space="preserve">ust. 1 i 7, oraz wstrzymanie określonej transakcji, o którym mowa w art. </w:t>
      </w:r>
      <w:r w:rsidR="00905E2C" w:rsidRPr="001E11FF">
        <w:rPr>
          <w:rFonts w:ascii="Times" w:eastAsia="Times New Roman" w:hAnsi="Times" w:cs="Arial"/>
          <w:bCs/>
          <w:kern w:val="0"/>
          <w:sz w:val="24"/>
          <w:szCs w:val="20"/>
          <w:lang w:eastAsia="pl-PL"/>
          <w14:ligatures w14:val="none"/>
        </w:rPr>
        <w:t>6</w:t>
      </w:r>
      <w:r w:rsidR="00905E2C">
        <w:rPr>
          <w:rFonts w:ascii="Times" w:eastAsia="Times New Roman" w:hAnsi="Times" w:cs="Arial"/>
          <w:bCs/>
          <w:kern w:val="0"/>
          <w:sz w:val="24"/>
          <w:szCs w:val="20"/>
          <w:lang w:eastAsia="pl-PL"/>
          <w14:ligatures w14:val="none"/>
        </w:rPr>
        <w:t>3</w:t>
      </w:r>
      <w:r w:rsidR="00905E2C" w:rsidRPr="001E11FF">
        <w:rPr>
          <w:rFonts w:ascii="Times" w:eastAsia="Times New Roman" w:hAnsi="Times" w:cs="Arial"/>
          <w:bCs/>
          <w:kern w:val="0"/>
          <w:sz w:val="24"/>
          <w:szCs w:val="20"/>
          <w:lang w:eastAsia="pl-PL"/>
          <w14:ligatures w14:val="none"/>
        </w:rPr>
        <w:t xml:space="preserve"> </w:t>
      </w:r>
      <w:r w:rsidRPr="001E11FF">
        <w:rPr>
          <w:rFonts w:ascii="Times" w:eastAsia="Times New Roman" w:hAnsi="Times" w:cs="Arial"/>
          <w:bCs/>
          <w:kern w:val="0"/>
          <w:sz w:val="24"/>
          <w:szCs w:val="20"/>
          <w:lang w:eastAsia="pl-PL"/>
          <w14:ligatures w14:val="none"/>
        </w:rPr>
        <w:t>ust. 7, ustaje z dniem wydania przez Komisję decyzji kończącej postępowanie administracyjne w sprawie naruszenia przepisów art. 89 ust. 2 lub 3, art. 90 ust. 1 lub art. 91 ust. 1 rozporządzenia 2023/1114 albo umorzenia postępowania w sprawie naruszenia tych przepisów. Komisja niezwłocznie powiadamia dostawcę usług w zakresie kryptoaktywów o wydaniu tej decyzji.</w:t>
      </w:r>
    </w:p>
    <w:p w14:paraId="4B344A2B" w14:textId="406FA935" w:rsidR="00027D06" w:rsidRPr="001E11FF"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1E11FF">
        <w:rPr>
          <w:rFonts w:ascii="Times" w:eastAsia="Times New Roman" w:hAnsi="Times" w:cs="Arial"/>
          <w:b/>
          <w:kern w:val="0"/>
          <w:sz w:val="24"/>
          <w:szCs w:val="20"/>
          <w:lang w:eastAsia="pl-PL"/>
          <w14:ligatures w14:val="none"/>
        </w:rPr>
        <w:lastRenderedPageBreak/>
        <w:t>Art. </w:t>
      </w:r>
      <w:r w:rsidR="00011954" w:rsidRPr="001E11FF">
        <w:rPr>
          <w:rFonts w:ascii="Times" w:eastAsia="Times New Roman" w:hAnsi="Times" w:cs="Arial"/>
          <w:b/>
          <w:kern w:val="0"/>
          <w:sz w:val="24"/>
          <w:szCs w:val="20"/>
          <w:lang w:eastAsia="pl-PL"/>
          <w14:ligatures w14:val="none"/>
        </w:rPr>
        <w:t>6</w:t>
      </w:r>
      <w:r w:rsidR="00011954">
        <w:rPr>
          <w:rFonts w:ascii="Times" w:eastAsia="Times New Roman" w:hAnsi="Times" w:cs="Arial"/>
          <w:b/>
          <w:kern w:val="0"/>
          <w:sz w:val="24"/>
          <w:szCs w:val="20"/>
          <w:lang w:eastAsia="pl-PL"/>
          <w14:ligatures w14:val="none"/>
        </w:rPr>
        <w:t>5</w:t>
      </w:r>
      <w:r w:rsidRPr="001E11FF">
        <w:rPr>
          <w:rFonts w:ascii="Times" w:eastAsia="Times New Roman" w:hAnsi="Times" w:cs="Arial"/>
          <w:b/>
          <w:kern w:val="0"/>
          <w:sz w:val="24"/>
          <w:szCs w:val="20"/>
          <w:lang w:eastAsia="pl-PL"/>
          <w14:ligatures w14:val="none"/>
        </w:rPr>
        <w:t>.</w:t>
      </w:r>
      <w:r w:rsidRPr="001E11FF">
        <w:rPr>
          <w:rFonts w:ascii="Times" w:eastAsia="Times New Roman" w:hAnsi="Times" w:cs="Arial"/>
          <w:kern w:val="0"/>
          <w:sz w:val="24"/>
          <w:szCs w:val="20"/>
          <w:lang w:eastAsia="pl-PL"/>
          <w14:ligatures w14:val="none"/>
        </w:rPr>
        <w:t xml:space="preserve"> 1. Na żądanie posiadacza rachunku kryptoaktywów lub rachunku pieniężnego, o którym mowa w art. 13 ust. 2, dostawca usług w zakresie kryptoaktywów informuje go o dokonaniu blokady, o której mowa w art. </w:t>
      </w:r>
      <w:r w:rsidR="00905E2C" w:rsidRPr="001E11FF">
        <w:rPr>
          <w:rFonts w:ascii="Times" w:eastAsia="Times New Roman" w:hAnsi="Times" w:cs="Arial"/>
          <w:kern w:val="0"/>
          <w:sz w:val="24"/>
          <w:szCs w:val="20"/>
          <w:lang w:eastAsia="pl-PL"/>
          <w14:ligatures w14:val="none"/>
        </w:rPr>
        <w:t>6</w:t>
      </w:r>
      <w:r w:rsidR="00905E2C">
        <w:rPr>
          <w:rFonts w:ascii="Times" w:eastAsia="Times New Roman" w:hAnsi="Times" w:cs="Arial"/>
          <w:kern w:val="0"/>
          <w:sz w:val="24"/>
          <w:szCs w:val="20"/>
          <w:lang w:eastAsia="pl-PL"/>
          <w14:ligatures w14:val="none"/>
        </w:rPr>
        <w:t>3</w:t>
      </w:r>
      <w:r w:rsidR="00905E2C"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 xml:space="preserve">ust. 1, lub o jej przedłużeniu lub wstrzymaniu określonej transakcji, o których mowa w art. </w:t>
      </w:r>
      <w:r w:rsidR="00905E2C" w:rsidRPr="001E11FF">
        <w:rPr>
          <w:rFonts w:ascii="Times" w:eastAsia="Times New Roman" w:hAnsi="Times" w:cs="Arial"/>
          <w:kern w:val="0"/>
          <w:sz w:val="24"/>
          <w:szCs w:val="20"/>
          <w:lang w:eastAsia="pl-PL"/>
          <w14:ligatures w14:val="none"/>
        </w:rPr>
        <w:t>6</w:t>
      </w:r>
      <w:r w:rsidR="00905E2C">
        <w:rPr>
          <w:rFonts w:ascii="Times" w:eastAsia="Times New Roman" w:hAnsi="Times" w:cs="Arial"/>
          <w:kern w:val="0"/>
          <w:sz w:val="24"/>
          <w:szCs w:val="20"/>
          <w:lang w:eastAsia="pl-PL"/>
          <w14:ligatures w14:val="none"/>
        </w:rPr>
        <w:t>3</w:t>
      </w:r>
      <w:r w:rsidR="00905E2C"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ust. 7.</w:t>
      </w:r>
    </w:p>
    <w:p w14:paraId="300E21C6" w14:textId="2FD069D4"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 xml:space="preserve">2. Posiadaczowi rachunku kryptoaktywów lub rachunku pieniężnego, o którym mowa w art. 13 ust. 2, przysługuje prawo wystąpienia do Komisji o wydanie odpisu żądania, o którym mowa w art. </w:t>
      </w:r>
      <w:r w:rsidR="00905E2C" w:rsidRPr="001E11FF">
        <w:rPr>
          <w:rFonts w:ascii="Times" w:eastAsia="Times New Roman" w:hAnsi="Times" w:cs="Arial"/>
          <w:bCs/>
          <w:kern w:val="0"/>
          <w:sz w:val="24"/>
          <w:szCs w:val="20"/>
          <w:lang w:eastAsia="pl-PL"/>
          <w14:ligatures w14:val="none"/>
        </w:rPr>
        <w:t>6</w:t>
      </w:r>
      <w:r w:rsidR="00905E2C">
        <w:rPr>
          <w:rFonts w:ascii="Times" w:eastAsia="Times New Roman" w:hAnsi="Times" w:cs="Arial"/>
          <w:bCs/>
          <w:kern w:val="0"/>
          <w:sz w:val="24"/>
          <w:szCs w:val="20"/>
          <w:lang w:eastAsia="pl-PL"/>
          <w14:ligatures w14:val="none"/>
        </w:rPr>
        <w:t>3</w:t>
      </w:r>
      <w:r w:rsidR="00905E2C" w:rsidRPr="001E11FF">
        <w:rPr>
          <w:rFonts w:ascii="Times" w:eastAsia="Times New Roman" w:hAnsi="Times" w:cs="Arial"/>
          <w:bCs/>
          <w:kern w:val="0"/>
          <w:sz w:val="24"/>
          <w:szCs w:val="20"/>
          <w:lang w:eastAsia="pl-PL"/>
          <w14:ligatures w14:val="none"/>
        </w:rPr>
        <w:t xml:space="preserve"> </w:t>
      </w:r>
      <w:r w:rsidRPr="001E11FF">
        <w:rPr>
          <w:rFonts w:ascii="Times" w:eastAsia="Times New Roman" w:hAnsi="Times" w:cs="Arial"/>
          <w:bCs/>
          <w:kern w:val="0"/>
          <w:sz w:val="24"/>
          <w:szCs w:val="20"/>
          <w:lang w:eastAsia="pl-PL"/>
          <w14:ligatures w14:val="none"/>
        </w:rPr>
        <w:t>ust. 1 i 7.</w:t>
      </w:r>
    </w:p>
    <w:p w14:paraId="29326DB7" w14:textId="2686DE59"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3. Na żądanie, o którym </w:t>
      </w:r>
      <w:r w:rsidRPr="001E11FF">
        <w:rPr>
          <w:rFonts w:ascii="Times" w:eastAsia="Times New Roman" w:hAnsi="Times" w:cs="Arial"/>
          <w:bCs/>
          <w:kern w:val="0"/>
          <w:sz w:val="24"/>
          <w:szCs w:val="20"/>
          <w:lang w:eastAsia="pl-PL"/>
          <w14:ligatures w14:val="none"/>
        </w:rPr>
        <w:t xml:space="preserve">mowa w art. </w:t>
      </w:r>
      <w:r w:rsidR="00905E2C" w:rsidRPr="001E11FF">
        <w:rPr>
          <w:rFonts w:ascii="Times" w:eastAsia="Times New Roman" w:hAnsi="Times" w:cs="Arial"/>
          <w:bCs/>
          <w:kern w:val="0"/>
          <w:sz w:val="24"/>
          <w:szCs w:val="20"/>
          <w:lang w:eastAsia="pl-PL"/>
          <w14:ligatures w14:val="none"/>
        </w:rPr>
        <w:t>6</w:t>
      </w:r>
      <w:r w:rsidR="00905E2C">
        <w:rPr>
          <w:rFonts w:ascii="Times" w:eastAsia="Times New Roman" w:hAnsi="Times" w:cs="Arial"/>
          <w:bCs/>
          <w:kern w:val="0"/>
          <w:sz w:val="24"/>
          <w:szCs w:val="20"/>
          <w:lang w:eastAsia="pl-PL"/>
          <w14:ligatures w14:val="none"/>
        </w:rPr>
        <w:t>3</w:t>
      </w:r>
      <w:r w:rsidR="00905E2C" w:rsidRPr="001E11FF">
        <w:rPr>
          <w:rFonts w:ascii="Times" w:eastAsia="Times New Roman" w:hAnsi="Times" w:cs="Arial"/>
          <w:bCs/>
          <w:kern w:val="0"/>
          <w:sz w:val="24"/>
          <w:szCs w:val="20"/>
          <w:lang w:eastAsia="pl-PL"/>
          <w14:ligatures w14:val="none"/>
        </w:rPr>
        <w:t xml:space="preserve"> </w:t>
      </w:r>
      <w:r w:rsidRPr="001E11FF">
        <w:rPr>
          <w:rFonts w:ascii="Times" w:eastAsia="Times New Roman" w:hAnsi="Times" w:cs="Arial"/>
          <w:bCs/>
          <w:kern w:val="0"/>
          <w:sz w:val="24"/>
          <w:szCs w:val="20"/>
          <w:lang w:eastAsia="pl-PL"/>
          <w14:ligatures w14:val="none"/>
        </w:rPr>
        <w:t>ust. 1 i 7, posiadaczowi</w:t>
      </w:r>
      <w:r w:rsidRPr="00027D06">
        <w:rPr>
          <w:rFonts w:ascii="Times" w:eastAsia="Times New Roman" w:hAnsi="Times" w:cs="Arial"/>
          <w:bCs/>
          <w:kern w:val="0"/>
          <w:sz w:val="24"/>
          <w:szCs w:val="20"/>
          <w:lang w:eastAsia="pl-PL"/>
          <w14:ligatures w14:val="none"/>
        </w:rPr>
        <w:t xml:space="preserve"> rachunku kryptoaktywów lub rachunku pieniężnego, o którym mowa w art. 13 ust. 2, służy skarga do sądu administracyjnego w terminie 30 dni od dnia otrzymania odpisu tego żądania.</w:t>
      </w:r>
    </w:p>
    <w:p w14:paraId="0EA7D595"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27D06">
        <w:rPr>
          <w:rFonts w:ascii="Times" w:eastAsia="Times New Roman" w:hAnsi="Times" w:cs="Arial"/>
          <w:bCs/>
          <w:kern w:val="24"/>
          <w:sz w:val="24"/>
          <w:szCs w:val="24"/>
          <w:lang w:eastAsia="pl-PL"/>
          <w14:ligatures w14:val="none"/>
        </w:rPr>
        <w:t>Oddział 3</w:t>
      </w:r>
    </w:p>
    <w:p w14:paraId="57B96F46" w14:textId="77777777" w:rsidR="00027D06" w:rsidRPr="00027D06"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Rejestr domen internetowych wykorzystywanych do prowadzenia działalności naruszającej przepisy rozporządzenia 2023/1114</w:t>
      </w:r>
    </w:p>
    <w:p w14:paraId="7FEEA878" w14:textId="504971C8"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6</w:t>
      </w:r>
      <w:r w:rsidR="00011954">
        <w:rPr>
          <w:rFonts w:ascii="Times" w:eastAsia="Times New Roman" w:hAnsi="Times" w:cs="Arial"/>
          <w:b/>
          <w:kern w:val="0"/>
          <w:sz w:val="24"/>
          <w:szCs w:val="20"/>
          <w:lang w:eastAsia="pl-PL"/>
          <w14:ligatures w14:val="none"/>
        </w:rPr>
        <w:t>6</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Komisja prowadzi Rejestr domen internetowych wykorzystywanych do prowadzenia działalności naruszającej przepisy rozporządzenia 2023/1114, zwany dalej „Rejestrem”, i dokonuje w nim wpisów.</w:t>
      </w:r>
    </w:p>
    <w:p w14:paraId="01C1EDD9" w14:textId="5ACF264A"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6</w:t>
      </w:r>
      <w:r w:rsidR="00011954">
        <w:rPr>
          <w:rFonts w:ascii="Times" w:eastAsia="Times New Roman" w:hAnsi="Times" w:cs="Arial"/>
          <w:b/>
          <w:kern w:val="0"/>
          <w:sz w:val="24"/>
          <w:szCs w:val="20"/>
          <w:lang w:eastAsia="pl-PL"/>
          <w14:ligatures w14:val="none"/>
        </w:rPr>
        <w:t>7</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Do Rejestru wpisuje się:</w:t>
      </w:r>
    </w:p>
    <w:p w14:paraId="07CE40D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domenę internetową wykorzystywaną do prowadzenia działalności w zakresie kryptoaktywów bez wymaganego prawem zezwolenia albo posiadania innego uprawnienia na podstawie przepisów rozporządzenia 2023/1114;</w:t>
      </w:r>
    </w:p>
    <w:p w14:paraId="0E99B1D4" w14:textId="12DA23EE"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 xml:space="preserve">domenę internetową wykorzystywaną do prowadzenia działalności naruszającej przepisy rozporządzenia 2023/1114 w sposób inny niż określony w pkt 1 </w:t>
      </w:r>
      <w:r w:rsidR="00630561">
        <w:rPr>
          <w:rFonts w:ascii="Times" w:eastAsia="Times New Roman" w:hAnsi="Times" w:cs="Arial"/>
          <w:bCs/>
          <w:kern w:val="0"/>
          <w:sz w:val="24"/>
          <w:szCs w:val="20"/>
          <w:lang w:eastAsia="pl-PL"/>
          <w14:ligatures w14:val="none"/>
        </w:rPr>
        <w:t>-</w:t>
      </w:r>
      <w:r w:rsidRPr="00027D06">
        <w:rPr>
          <w:rFonts w:ascii="Times" w:eastAsia="Times New Roman" w:hAnsi="Times" w:cs="Arial"/>
          <w:bCs/>
          <w:kern w:val="0"/>
          <w:sz w:val="24"/>
          <w:szCs w:val="20"/>
          <w:lang w:eastAsia="pl-PL"/>
          <w14:ligatures w14:val="none"/>
        </w:rPr>
        <w:t xml:space="preserve"> jeżeli jest to niezbędne do zapobieżenia popełnieniu przestępstwa wskazanego w rozdziale 8 lub innego przestępstwa, o którym mowa w ustawie z dnia 21 lipca 2006 r. o nadzorze nad rynkiem finansowym</w:t>
      </w:r>
      <w:r w:rsidR="00943BC7">
        <w:rPr>
          <w:rFonts w:ascii="Times" w:eastAsia="Times New Roman" w:hAnsi="Times" w:cs="Arial"/>
          <w:bCs/>
          <w:kern w:val="0"/>
          <w:sz w:val="24"/>
          <w:szCs w:val="20"/>
          <w:lang w:eastAsia="pl-PL"/>
          <w14:ligatures w14:val="none"/>
        </w:rPr>
        <w:t>;</w:t>
      </w:r>
    </w:p>
    <w:p w14:paraId="3947CDF3"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domenę internetową wykorzystywaną do prowadzenia działalności naruszającej przepisy rozporządzenia 2023/1114 w sposób inny niż określony w pkt 1 lub 2 - jeżeli jest to niezbędne do zapobieżenia ryzyku wyrządzenia poważnych szkód klientom lub posiadaczom kryptoaktywów, w przypadku braku innych skutecznych środków prowadzących do zaprzestania naruszania przepisów rozporządzenia 2023/1114.</w:t>
      </w:r>
    </w:p>
    <w:p w14:paraId="12B4B9DC" w14:textId="20E2C383"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6</w:t>
      </w:r>
      <w:r w:rsidR="00011954">
        <w:rPr>
          <w:rFonts w:ascii="Times" w:eastAsia="Times New Roman" w:hAnsi="Times" w:cs="Arial"/>
          <w:b/>
          <w:kern w:val="0"/>
          <w:sz w:val="24"/>
          <w:szCs w:val="20"/>
          <w:lang w:eastAsia="pl-PL"/>
          <w14:ligatures w14:val="none"/>
        </w:rPr>
        <w:t>8</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Rejestr zawiera:</w:t>
      </w:r>
    </w:p>
    <w:p w14:paraId="3A4AEF29"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nazwę domeny internetowej;</w:t>
      </w:r>
    </w:p>
    <w:p w14:paraId="67C5C13F"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2)</w:t>
      </w:r>
      <w:r w:rsidRPr="00027D06">
        <w:rPr>
          <w:rFonts w:ascii="Times" w:eastAsia="Times New Roman" w:hAnsi="Times" w:cs="Arial"/>
          <w:bCs/>
          <w:kern w:val="0"/>
          <w:sz w:val="24"/>
          <w:szCs w:val="20"/>
          <w:lang w:eastAsia="pl-PL"/>
          <w14:ligatures w14:val="none"/>
        </w:rPr>
        <w:tab/>
        <w:t>datę i godzinę dokonania wpisu albo jego wykreślenia;</w:t>
      </w:r>
    </w:p>
    <w:p w14:paraId="2893876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podstawę prawną wpisu.</w:t>
      </w:r>
    </w:p>
    <w:p w14:paraId="3EBF058A" w14:textId="2EEA1678"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6</w:t>
      </w:r>
      <w:r w:rsidR="00011954">
        <w:rPr>
          <w:rFonts w:ascii="Times" w:eastAsia="Times New Roman" w:hAnsi="Times" w:cs="Arial"/>
          <w:b/>
          <w:kern w:val="0"/>
          <w:sz w:val="24"/>
          <w:szCs w:val="20"/>
          <w:lang w:eastAsia="pl-PL"/>
          <w14:ligatures w14:val="none"/>
        </w:rPr>
        <w:t>9</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W przypadku, o którym mowa w </w:t>
      </w:r>
      <w:r w:rsidRPr="001E11FF">
        <w:rPr>
          <w:rFonts w:ascii="Times" w:eastAsia="Times New Roman" w:hAnsi="Times" w:cs="Arial"/>
          <w:kern w:val="0"/>
          <w:sz w:val="24"/>
          <w:szCs w:val="20"/>
          <w:lang w:eastAsia="pl-PL"/>
          <w14:ligatures w14:val="none"/>
        </w:rPr>
        <w:t xml:space="preserve">art. </w:t>
      </w:r>
      <w:r w:rsidR="00905E2C" w:rsidRPr="001E11FF">
        <w:rPr>
          <w:rFonts w:ascii="Times" w:eastAsia="Times New Roman" w:hAnsi="Times" w:cs="Arial"/>
          <w:kern w:val="0"/>
          <w:sz w:val="24"/>
          <w:szCs w:val="20"/>
          <w:lang w:eastAsia="pl-PL"/>
          <w14:ligatures w14:val="none"/>
        </w:rPr>
        <w:t>6</w:t>
      </w:r>
      <w:r w:rsidR="00905E2C">
        <w:rPr>
          <w:rFonts w:ascii="Times" w:eastAsia="Times New Roman" w:hAnsi="Times" w:cs="Arial"/>
          <w:kern w:val="0"/>
          <w:sz w:val="24"/>
          <w:szCs w:val="20"/>
          <w:lang w:eastAsia="pl-PL"/>
          <w14:ligatures w14:val="none"/>
        </w:rPr>
        <w:t>7</w:t>
      </w:r>
      <w:r w:rsidR="00905E2C"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 xml:space="preserve">pkt 1 i 2, wpis do Rejestru następuje niezwłocznie po złożeniu przez Komisję zawiadomienia o uzasadnionym podejrzeniu popełnienia przestępstwa określonego w art. </w:t>
      </w:r>
      <w:r w:rsidR="00905E2C" w:rsidRPr="001E11FF">
        <w:rPr>
          <w:rFonts w:ascii="Times" w:eastAsia="Times New Roman" w:hAnsi="Times" w:cs="Arial"/>
          <w:kern w:val="0"/>
          <w:sz w:val="24"/>
          <w:szCs w:val="20"/>
          <w:lang w:eastAsia="pl-PL"/>
          <w14:ligatures w14:val="none"/>
        </w:rPr>
        <w:t>12</w:t>
      </w:r>
      <w:r w:rsidR="00905E2C">
        <w:rPr>
          <w:rFonts w:ascii="Times" w:eastAsia="Times New Roman" w:hAnsi="Times" w:cs="Arial"/>
          <w:kern w:val="0"/>
          <w:sz w:val="24"/>
          <w:szCs w:val="20"/>
          <w:lang w:eastAsia="pl-PL"/>
          <w14:ligatures w14:val="none"/>
        </w:rPr>
        <w:t>5</w:t>
      </w:r>
      <w:r w:rsidR="00905E2C"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 xml:space="preserve">i art. </w:t>
      </w:r>
      <w:r w:rsidR="00905E2C" w:rsidRPr="001E11FF">
        <w:rPr>
          <w:rFonts w:ascii="Times" w:eastAsia="Times New Roman" w:hAnsi="Times" w:cs="Arial"/>
          <w:kern w:val="0"/>
          <w:sz w:val="24"/>
          <w:szCs w:val="20"/>
          <w:lang w:eastAsia="pl-PL"/>
          <w14:ligatures w14:val="none"/>
        </w:rPr>
        <w:t>12</w:t>
      </w:r>
      <w:r w:rsidR="00905E2C">
        <w:rPr>
          <w:rFonts w:ascii="Times" w:eastAsia="Times New Roman" w:hAnsi="Times" w:cs="Arial"/>
          <w:kern w:val="0"/>
          <w:sz w:val="24"/>
          <w:szCs w:val="20"/>
          <w:lang w:eastAsia="pl-PL"/>
          <w14:ligatures w14:val="none"/>
        </w:rPr>
        <w:t>9</w:t>
      </w:r>
      <w:r w:rsidR="00905E2C"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i po zamieszczeniu</w:t>
      </w:r>
      <w:r w:rsidRPr="00027D06">
        <w:rPr>
          <w:rFonts w:ascii="Times" w:eastAsia="Times New Roman" w:hAnsi="Times" w:cs="Arial"/>
          <w:kern w:val="0"/>
          <w:sz w:val="24"/>
          <w:szCs w:val="20"/>
          <w:lang w:eastAsia="pl-PL"/>
          <w14:ligatures w14:val="none"/>
        </w:rPr>
        <w:t xml:space="preserve"> informacji o złożeniu tego zawiadomienia na wyodrębnionej stronie internetowej Komisji, o której mowa w art. 6b ust. 4 ustawy z dnia 21 lipca 2006 r. o nadzorze nad rynkiem finansowym.</w:t>
      </w:r>
    </w:p>
    <w:p w14:paraId="414447AA" w14:textId="2A5106EF" w:rsidR="00027D06" w:rsidRPr="001E11FF"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Pr>
          <w:rFonts w:ascii="Times" w:eastAsia="Times New Roman" w:hAnsi="Times" w:cs="Arial"/>
          <w:b/>
          <w:kern w:val="0"/>
          <w:sz w:val="24"/>
          <w:szCs w:val="20"/>
          <w:lang w:eastAsia="pl-PL"/>
          <w14:ligatures w14:val="none"/>
        </w:rPr>
        <w:t>70</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o którym mowa w art. </w:t>
      </w:r>
      <w:r w:rsidR="00905E2C" w:rsidRPr="001E11FF">
        <w:rPr>
          <w:rFonts w:ascii="Times" w:eastAsia="Times New Roman" w:hAnsi="Times" w:cs="Arial"/>
          <w:kern w:val="0"/>
          <w:sz w:val="24"/>
          <w:szCs w:val="20"/>
          <w:lang w:eastAsia="pl-PL"/>
          <w14:ligatures w14:val="none"/>
        </w:rPr>
        <w:t>6</w:t>
      </w:r>
      <w:r w:rsidR="00905E2C">
        <w:rPr>
          <w:rFonts w:ascii="Times" w:eastAsia="Times New Roman" w:hAnsi="Times" w:cs="Arial"/>
          <w:kern w:val="0"/>
          <w:sz w:val="24"/>
          <w:szCs w:val="20"/>
          <w:lang w:eastAsia="pl-PL"/>
          <w14:ligatures w14:val="none"/>
        </w:rPr>
        <w:t>7</w:t>
      </w:r>
      <w:r w:rsidR="00905E2C" w:rsidRPr="001E11FF">
        <w:rPr>
          <w:rFonts w:ascii="Times" w:eastAsia="Times New Roman" w:hAnsi="Times" w:cs="Arial"/>
          <w:kern w:val="0"/>
          <w:sz w:val="24"/>
          <w:szCs w:val="20"/>
          <w:lang w:eastAsia="pl-PL"/>
          <w14:ligatures w14:val="none"/>
        </w:rPr>
        <w:t xml:space="preserve"> </w:t>
      </w:r>
      <w:r w:rsidRPr="001E11FF">
        <w:rPr>
          <w:rFonts w:ascii="Times" w:eastAsia="Times New Roman" w:hAnsi="Times" w:cs="Arial"/>
          <w:kern w:val="0"/>
          <w:sz w:val="24"/>
          <w:szCs w:val="20"/>
          <w:lang w:eastAsia="pl-PL"/>
          <w14:ligatures w14:val="none"/>
        </w:rPr>
        <w:t>pkt 1 i 2 przedsiębiorca telekomunikacyjny świadczący usługi dostępu do sieci Internet jest obowiązany do:</w:t>
      </w:r>
    </w:p>
    <w:p w14:paraId="737E1800" w14:textId="77777777" w:rsidR="00027D06" w:rsidRPr="001E11FF"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1)</w:t>
      </w:r>
      <w:r w:rsidRPr="001E11FF">
        <w:rPr>
          <w:rFonts w:ascii="Times" w:eastAsia="Times New Roman" w:hAnsi="Times" w:cs="Arial"/>
          <w:bCs/>
          <w:kern w:val="0"/>
          <w:sz w:val="24"/>
          <w:szCs w:val="20"/>
          <w:lang w:eastAsia="pl-PL"/>
          <w14:ligatures w14:val="none"/>
        </w:rPr>
        <w:tab/>
        <w:t>nieodpłatnego uniemożliwienia dostępu do stron internetowych wykorzystujących nazwę domeny internetowej wpisanej do Rejestru przez jej usunięcie z systemów teleinformatycznych przedsiębiorców telekomunikacyjnych, służących do zamiany nazwy domeny internetowej na adres IP, nie później niż w ciągu 48 godzin od momentu dokonania wpisu do Rejestru;</w:t>
      </w:r>
    </w:p>
    <w:p w14:paraId="476BB0A2" w14:textId="77777777" w:rsidR="00027D06" w:rsidRPr="001E11FF"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2)</w:t>
      </w:r>
      <w:r w:rsidRPr="001E11FF">
        <w:rPr>
          <w:rFonts w:ascii="Times" w:eastAsia="Times New Roman" w:hAnsi="Times" w:cs="Arial"/>
          <w:bCs/>
          <w:kern w:val="0"/>
          <w:sz w:val="24"/>
          <w:szCs w:val="20"/>
          <w:lang w:eastAsia="pl-PL"/>
          <w14:ligatures w14:val="none"/>
        </w:rPr>
        <w:tab/>
        <w:t>nieodpłatnego przekierowania połączeń odwołujących się do nazwy domeny internetowej wpisanej do Rejestru do strony internetowej prowadzonej przez Komisję, zawierającej komunikat skierowany do odbiorców usługi dostępu do sieci Internet.</w:t>
      </w:r>
    </w:p>
    <w:p w14:paraId="096421C7" w14:textId="77777777" w:rsidR="00027D06" w:rsidRPr="001E11FF"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2. Komunikat, o którym mowa w ust. 1 pkt 2, zawiera w szczególności informację o lokalizacji Rejestru, wpisaniu szukanej nazwy domeny internetowej do Rejestru, podstawie prawnej dokonania wpisu do Rejestru oraz ostrzeżenie o ryzyku wyrządzenia poważnych szkód klientom lub posiadaczom kryptoaktywów.</w:t>
      </w:r>
    </w:p>
    <w:p w14:paraId="61708A7C" w14:textId="7C2F3383" w:rsidR="00027D06" w:rsidRPr="001E11FF"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 xml:space="preserve">3. W przypadku wpisu domeny internetowej do Rejestru, na podstawie art. </w:t>
      </w:r>
      <w:r w:rsidR="00905E2C" w:rsidRPr="001E11FF">
        <w:rPr>
          <w:rFonts w:ascii="Times" w:eastAsia="Times New Roman" w:hAnsi="Times" w:cs="Arial"/>
          <w:bCs/>
          <w:kern w:val="0"/>
          <w:sz w:val="24"/>
          <w:szCs w:val="20"/>
          <w:lang w:eastAsia="pl-PL"/>
          <w14:ligatures w14:val="none"/>
        </w:rPr>
        <w:t>6</w:t>
      </w:r>
      <w:r w:rsidR="00905E2C">
        <w:rPr>
          <w:rFonts w:ascii="Times" w:eastAsia="Times New Roman" w:hAnsi="Times" w:cs="Arial"/>
          <w:bCs/>
          <w:kern w:val="0"/>
          <w:sz w:val="24"/>
          <w:szCs w:val="20"/>
          <w:lang w:eastAsia="pl-PL"/>
          <w14:ligatures w14:val="none"/>
        </w:rPr>
        <w:t>7</w:t>
      </w:r>
      <w:r w:rsidR="00905E2C" w:rsidRPr="001E11FF">
        <w:rPr>
          <w:rFonts w:ascii="Times" w:eastAsia="Times New Roman" w:hAnsi="Times" w:cs="Arial"/>
          <w:bCs/>
          <w:kern w:val="0"/>
          <w:sz w:val="24"/>
          <w:szCs w:val="20"/>
          <w:lang w:eastAsia="pl-PL"/>
          <w14:ligatures w14:val="none"/>
        </w:rPr>
        <w:t xml:space="preserve"> </w:t>
      </w:r>
      <w:r w:rsidRPr="001E11FF">
        <w:rPr>
          <w:rFonts w:ascii="Times" w:eastAsia="Times New Roman" w:hAnsi="Times" w:cs="Arial"/>
          <w:bCs/>
          <w:kern w:val="0"/>
          <w:sz w:val="24"/>
          <w:szCs w:val="20"/>
          <w:lang w:eastAsia="pl-PL"/>
          <w14:ligatures w14:val="none"/>
        </w:rPr>
        <w:t>pkt 1 i 2, na żądanie Komisji:</w:t>
      </w:r>
    </w:p>
    <w:p w14:paraId="357DA3EB" w14:textId="77777777" w:rsidR="00027D06" w:rsidRPr="001E11FF"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1)</w:t>
      </w:r>
      <w:r w:rsidRPr="001E11FF">
        <w:rPr>
          <w:rFonts w:ascii="Times" w:eastAsia="Times New Roman" w:hAnsi="Times" w:cs="Arial"/>
          <w:bCs/>
          <w:kern w:val="0"/>
          <w:sz w:val="24"/>
          <w:szCs w:val="20"/>
          <w:lang w:eastAsia="pl-PL"/>
          <w14:ligatures w14:val="none"/>
        </w:rPr>
        <w:tab/>
        <w:t>dostawca usług hostingowych niezwłocznie, nieodpłatnie:</w:t>
      </w:r>
    </w:p>
    <w:p w14:paraId="3006454A" w14:textId="6E36099B" w:rsidR="00027D06" w:rsidRPr="001E11FF"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a)</w:t>
      </w:r>
      <w:r w:rsidRPr="001E11FF">
        <w:rPr>
          <w:rFonts w:ascii="Times" w:eastAsia="Times New Roman" w:hAnsi="Times" w:cs="Arial"/>
          <w:bCs/>
          <w:kern w:val="0"/>
          <w:sz w:val="24"/>
          <w:szCs w:val="20"/>
          <w:lang w:eastAsia="pl-PL"/>
          <w14:ligatures w14:val="none"/>
        </w:rPr>
        <w:tab/>
        <w:t>usuwa alb</w:t>
      </w:r>
      <w:r w:rsidR="00CD7DA9">
        <w:rPr>
          <w:rFonts w:ascii="Times" w:eastAsia="Times New Roman" w:hAnsi="Times" w:cs="Arial"/>
          <w:bCs/>
          <w:kern w:val="0"/>
          <w:sz w:val="24"/>
          <w:szCs w:val="20"/>
          <w:lang w:eastAsia="pl-PL"/>
          <w14:ligatures w14:val="none"/>
        </w:rPr>
        <w:t>o wyłącza interfejs internetowy</w:t>
      </w:r>
    </w:p>
    <w:p w14:paraId="7B9CF654" w14:textId="77777777" w:rsidR="00027D06" w:rsidRPr="001E11FF"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b)</w:t>
      </w:r>
      <w:r w:rsidRPr="001E11FF">
        <w:rPr>
          <w:rFonts w:ascii="Times" w:eastAsia="Times New Roman" w:hAnsi="Times" w:cs="Arial"/>
          <w:bCs/>
          <w:kern w:val="0"/>
          <w:sz w:val="24"/>
          <w:szCs w:val="20"/>
          <w:lang w:eastAsia="pl-PL"/>
          <w14:ligatures w14:val="none"/>
        </w:rPr>
        <w:tab/>
        <w:t>ogranicza dostęp do interfejsu internetowego lub usuwa wskazane przez Komisję treści;</w:t>
      </w:r>
    </w:p>
    <w:p w14:paraId="4FA2FB89" w14:textId="77777777" w:rsidR="00027D06" w:rsidRPr="001E11FF"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2)</w:t>
      </w:r>
      <w:r w:rsidRPr="001E11FF">
        <w:rPr>
          <w:rFonts w:ascii="Times" w:eastAsia="Times New Roman" w:hAnsi="Times" w:cs="Arial"/>
          <w:bCs/>
          <w:kern w:val="0"/>
          <w:sz w:val="24"/>
          <w:szCs w:val="20"/>
          <w:lang w:eastAsia="pl-PL"/>
          <w14:ligatures w14:val="none"/>
        </w:rPr>
        <w:tab/>
        <w:t>rejestr domen oraz rejestrator domen nieodpłatnie usuwają nazwę domeny internetowej oraz bezterminowo lub na czas wskazany w żądaniu nieodpłatnie rejestrują tę nazwę na rzecz Komisji.</w:t>
      </w:r>
    </w:p>
    <w:p w14:paraId="3A989CE6" w14:textId="77777777" w:rsidR="00027D06" w:rsidRPr="001E11FF"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t>4. Po wykonaniu żądania, o którym mowa w ust. 3 pkt 2, Komisja wykreśla domenę internetową z Rejestru.</w:t>
      </w:r>
    </w:p>
    <w:p w14:paraId="0BC7ED23" w14:textId="19ACBD23"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1E11FF">
        <w:rPr>
          <w:rFonts w:ascii="Times" w:eastAsia="Times New Roman" w:hAnsi="Times" w:cs="Arial"/>
          <w:bCs/>
          <w:kern w:val="0"/>
          <w:sz w:val="24"/>
          <w:szCs w:val="20"/>
          <w:lang w:eastAsia="pl-PL"/>
          <w14:ligatures w14:val="none"/>
        </w:rPr>
        <w:lastRenderedPageBreak/>
        <w:t xml:space="preserve">5. W wypadku, o którym mowa w art. </w:t>
      </w:r>
      <w:r w:rsidR="00905E2C" w:rsidRPr="001E11FF">
        <w:rPr>
          <w:rFonts w:ascii="Times" w:eastAsia="Times New Roman" w:hAnsi="Times" w:cs="Arial"/>
          <w:bCs/>
          <w:kern w:val="0"/>
          <w:sz w:val="24"/>
          <w:szCs w:val="20"/>
          <w:lang w:eastAsia="pl-PL"/>
          <w14:ligatures w14:val="none"/>
        </w:rPr>
        <w:t>6</w:t>
      </w:r>
      <w:r w:rsidR="00905E2C">
        <w:rPr>
          <w:rFonts w:ascii="Times" w:eastAsia="Times New Roman" w:hAnsi="Times" w:cs="Arial"/>
          <w:bCs/>
          <w:kern w:val="0"/>
          <w:sz w:val="24"/>
          <w:szCs w:val="20"/>
          <w:lang w:eastAsia="pl-PL"/>
          <w14:ligatures w14:val="none"/>
        </w:rPr>
        <w:t>7</w:t>
      </w:r>
      <w:r w:rsidR="00905E2C" w:rsidRPr="001E11FF">
        <w:rPr>
          <w:rFonts w:ascii="Times" w:eastAsia="Times New Roman" w:hAnsi="Times" w:cs="Arial"/>
          <w:bCs/>
          <w:kern w:val="0"/>
          <w:sz w:val="24"/>
          <w:szCs w:val="20"/>
          <w:lang w:eastAsia="pl-PL"/>
          <w14:ligatures w14:val="none"/>
        </w:rPr>
        <w:t xml:space="preserve"> </w:t>
      </w:r>
      <w:r w:rsidRPr="001E11FF">
        <w:rPr>
          <w:rFonts w:ascii="Times" w:eastAsia="Times New Roman" w:hAnsi="Times" w:cs="Arial"/>
          <w:bCs/>
          <w:kern w:val="0"/>
          <w:sz w:val="24"/>
          <w:szCs w:val="20"/>
          <w:lang w:eastAsia="pl-PL"/>
          <w14:ligatures w14:val="none"/>
        </w:rPr>
        <w:t>pkt 3 przedsiębiorca telekomunikacyjny świadczący usługi dostępu do sieci Internet jest obowiązany do uzależnienia</w:t>
      </w:r>
      <w:r w:rsidRPr="00027D06">
        <w:rPr>
          <w:rFonts w:ascii="Times" w:eastAsia="Times New Roman" w:hAnsi="Times" w:cs="Arial"/>
          <w:bCs/>
          <w:kern w:val="0"/>
          <w:sz w:val="24"/>
          <w:szCs w:val="20"/>
          <w:lang w:eastAsia="pl-PL"/>
          <w14:ligatures w14:val="none"/>
        </w:rPr>
        <w:t xml:space="preserve"> możliwości uzyskania dostępu do strony internetowej od potwierdzenia zapoznania się z treścią ostrzeżenie o ryzyku wyrządzenia poważnych szkód interesom klientów lub posiadaczom kryptoaktywów – w brzmieniu przygotowanym przez Komisję</w:t>
      </w:r>
      <w:r w:rsidR="00D3319D">
        <w:rPr>
          <w:rFonts w:ascii="Times" w:eastAsia="Times New Roman" w:hAnsi="Times" w:cs="Arial"/>
          <w:bCs/>
          <w:kern w:val="0"/>
          <w:sz w:val="24"/>
          <w:szCs w:val="20"/>
          <w:lang w:eastAsia="pl-PL"/>
          <w14:ligatures w14:val="none"/>
        </w:rPr>
        <w:t>.</w:t>
      </w:r>
    </w:p>
    <w:p w14:paraId="0FE1196E" w14:textId="54617A45"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7</w:t>
      </w:r>
      <w:r w:rsidR="00011954">
        <w:rPr>
          <w:rFonts w:ascii="Times" w:eastAsia="Times New Roman" w:hAnsi="Times" w:cs="Arial"/>
          <w:b/>
          <w:kern w:val="0"/>
          <w:sz w:val="24"/>
          <w:szCs w:val="20"/>
          <w:lang w:eastAsia="pl-PL"/>
          <w14:ligatures w14:val="none"/>
        </w:rPr>
        <w:t>1</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o którym mowa w art</w:t>
      </w:r>
      <w:r w:rsidRPr="00076A91">
        <w:rPr>
          <w:rFonts w:ascii="Times" w:eastAsia="Times New Roman" w:hAnsi="Times" w:cs="Arial"/>
          <w:kern w:val="0"/>
          <w:sz w:val="24"/>
          <w:szCs w:val="20"/>
          <w:lang w:eastAsia="pl-PL"/>
          <w14:ligatures w14:val="none"/>
        </w:rPr>
        <w:t xml:space="preserve">. </w:t>
      </w:r>
      <w:r w:rsidR="00905E2C" w:rsidRPr="00076A91">
        <w:rPr>
          <w:rFonts w:ascii="Times" w:eastAsia="Times New Roman" w:hAnsi="Times" w:cs="Arial"/>
          <w:kern w:val="0"/>
          <w:sz w:val="24"/>
          <w:szCs w:val="20"/>
          <w:lang w:eastAsia="pl-PL"/>
          <w14:ligatures w14:val="none"/>
        </w:rPr>
        <w:t>6</w:t>
      </w:r>
      <w:r w:rsidR="00905E2C">
        <w:rPr>
          <w:rFonts w:ascii="Times" w:eastAsia="Times New Roman" w:hAnsi="Times" w:cs="Arial"/>
          <w:kern w:val="0"/>
          <w:sz w:val="24"/>
          <w:szCs w:val="20"/>
          <w:lang w:eastAsia="pl-PL"/>
          <w14:ligatures w14:val="none"/>
        </w:rPr>
        <w:t>7</w:t>
      </w:r>
      <w:r w:rsidRPr="00076A91">
        <w:rPr>
          <w:rFonts w:ascii="Times" w:eastAsia="Times New Roman" w:hAnsi="Times" w:cs="Arial"/>
          <w:kern w:val="0"/>
          <w:sz w:val="24"/>
          <w:szCs w:val="20"/>
          <w:lang w:eastAsia="pl-PL"/>
          <w14:ligatures w14:val="none"/>
        </w:rPr>
        <w:t>, s</w:t>
      </w:r>
      <w:r w:rsidRPr="00027D06">
        <w:rPr>
          <w:rFonts w:ascii="Times" w:eastAsia="Times New Roman" w:hAnsi="Times" w:cs="Arial"/>
          <w:kern w:val="0"/>
          <w:sz w:val="24"/>
          <w:szCs w:val="20"/>
          <w:lang w:eastAsia="pl-PL"/>
          <w14:ligatures w14:val="none"/>
        </w:rPr>
        <w:t xml:space="preserve">przeciw od wpisu do Rejestru, może wnieść: </w:t>
      </w:r>
    </w:p>
    <w:p w14:paraId="49994FE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podmiot wykorzystujący nazwę domeny internetowej wpisanej do Rejestru lub posiadający tytuł prawny do tej domeny;</w:t>
      </w:r>
    </w:p>
    <w:p w14:paraId="199B1A93"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dostawca usług hostingowych;</w:t>
      </w:r>
    </w:p>
    <w:p w14:paraId="6E57421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rejestr domen;</w:t>
      </w:r>
    </w:p>
    <w:p w14:paraId="248F00D0"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w:t>
      </w:r>
      <w:r w:rsidRPr="00027D06">
        <w:rPr>
          <w:rFonts w:ascii="Times" w:eastAsia="Times New Roman" w:hAnsi="Times" w:cs="Arial"/>
          <w:bCs/>
          <w:kern w:val="0"/>
          <w:sz w:val="24"/>
          <w:szCs w:val="20"/>
          <w:lang w:eastAsia="pl-PL"/>
          <w14:ligatures w14:val="none"/>
        </w:rPr>
        <w:tab/>
        <w:t>rejestrator domen;</w:t>
      </w:r>
    </w:p>
    <w:p w14:paraId="1D1EF5A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w:t>
      </w:r>
      <w:r w:rsidRPr="00027D06">
        <w:rPr>
          <w:rFonts w:ascii="Times" w:eastAsia="Times New Roman" w:hAnsi="Times" w:cs="Arial"/>
          <w:bCs/>
          <w:kern w:val="0"/>
          <w:sz w:val="24"/>
          <w:szCs w:val="20"/>
          <w:lang w:eastAsia="pl-PL"/>
          <w14:ligatures w14:val="none"/>
        </w:rPr>
        <w:tab/>
        <w:t>przedsiębiorca telekomunikacyjny</w:t>
      </w:r>
    </w:p>
    <w:p w14:paraId="47C36D40"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     każdy kto ma w tym interes prawny.</w:t>
      </w:r>
    </w:p>
    <w:p w14:paraId="2F42F8B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Sprzeciw zawiera:</w:t>
      </w:r>
    </w:p>
    <w:p w14:paraId="374C040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dane identyfikacyjne podmiotu wnoszącego sprzeciw:</w:t>
      </w:r>
    </w:p>
    <w:p w14:paraId="7A437D4C"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imię i nazwisko – w przypadku osób fizycznych,</w:t>
      </w:r>
    </w:p>
    <w:p w14:paraId="0A2AB703"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firmę (nazwę), adres oraz numer w Krajowym Rejestrze Sądowym – w przypadku osób prawnych oraz jednostek organizacyjnych nieposiadających osobowości prawnej;</w:t>
      </w:r>
    </w:p>
    <w:p w14:paraId="23BB9EDF"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uzasadnienie.</w:t>
      </w:r>
    </w:p>
    <w:p w14:paraId="6FCA8E00"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Komisja, w terminie 14 dni od dnia wniesienia sprzeciwu, wydaje decyzję o pozostawieniu nazwy domeny internetowej w Rejestrze albo o jej wykreśleniu z Rejestru.</w:t>
      </w:r>
    </w:p>
    <w:p w14:paraId="48B690A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W razie ponownego wniesienia sprzeciwu opartego na tych samych przesłankach, Komisja pozostawia go bez rozpoznania.</w:t>
      </w:r>
    </w:p>
    <w:p w14:paraId="1ED86436" w14:textId="2C40670D"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11954" w:rsidRPr="00027D06">
        <w:rPr>
          <w:rFonts w:ascii="Times" w:eastAsia="Times New Roman" w:hAnsi="Times" w:cs="Arial"/>
          <w:b/>
          <w:kern w:val="0"/>
          <w:sz w:val="24"/>
          <w:szCs w:val="20"/>
          <w:lang w:eastAsia="pl-PL"/>
          <w14:ligatures w14:val="none"/>
        </w:rPr>
        <w:t>7</w:t>
      </w:r>
      <w:r w:rsidR="00011954">
        <w:rPr>
          <w:rFonts w:ascii="Times" w:eastAsia="Times New Roman" w:hAnsi="Times" w:cs="Arial"/>
          <w:b/>
          <w:kern w:val="0"/>
          <w:sz w:val="24"/>
          <w:szCs w:val="20"/>
          <w:lang w:eastAsia="pl-PL"/>
          <w14:ligatures w14:val="none"/>
        </w:rPr>
        <w:t>2</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o którym mowa </w:t>
      </w:r>
      <w:r w:rsidRPr="00076A91">
        <w:rPr>
          <w:rFonts w:ascii="Times" w:eastAsia="Times New Roman" w:hAnsi="Times" w:cs="Arial"/>
          <w:kern w:val="0"/>
          <w:sz w:val="24"/>
          <w:szCs w:val="20"/>
          <w:lang w:eastAsia="pl-PL"/>
          <w14:ligatures w14:val="none"/>
        </w:rPr>
        <w:t xml:space="preserve">w art. </w:t>
      </w:r>
      <w:r w:rsidR="00905E2C">
        <w:rPr>
          <w:rFonts w:ascii="Times" w:eastAsia="Times New Roman" w:hAnsi="Times" w:cs="Arial"/>
          <w:kern w:val="0"/>
          <w:sz w:val="24"/>
          <w:szCs w:val="20"/>
          <w:lang w:eastAsia="pl-PL"/>
          <w14:ligatures w14:val="none"/>
        </w:rPr>
        <w:t>70</w:t>
      </w:r>
      <w:r w:rsidR="00905E2C"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4, prawo wniesienia sprzeciwu przysługuje podmiotom, o których mowa w art. </w:t>
      </w:r>
      <w:r w:rsidR="00905E2C" w:rsidRPr="00076A91">
        <w:rPr>
          <w:rFonts w:ascii="Times" w:eastAsia="Times New Roman" w:hAnsi="Times" w:cs="Arial"/>
          <w:kern w:val="0"/>
          <w:sz w:val="24"/>
          <w:szCs w:val="20"/>
          <w:lang w:eastAsia="pl-PL"/>
          <w14:ligatures w14:val="none"/>
        </w:rPr>
        <w:t>7</w:t>
      </w:r>
      <w:r w:rsidR="00905E2C">
        <w:rPr>
          <w:rFonts w:ascii="Times" w:eastAsia="Times New Roman" w:hAnsi="Times" w:cs="Arial"/>
          <w:kern w:val="0"/>
          <w:sz w:val="24"/>
          <w:szCs w:val="20"/>
          <w:lang w:eastAsia="pl-PL"/>
          <w14:ligatures w14:val="none"/>
        </w:rPr>
        <w:t>1</w:t>
      </w:r>
      <w:r w:rsidR="00905E2C"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w terminie 2 miesięcy od dnia wykreślenia domeny internetowej z Rejestru. Przepis art. </w:t>
      </w:r>
      <w:r w:rsidR="00905E2C" w:rsidRPr="00076A91">
        <w:rPr>
          <w:rFonts w:ascii="Times" w:eastAsia="Times New Roman" w:hAnsi="Times" w:cs="Arial"/>
          <w:kern w:val="0"/>
          <w:sz w:val="24"/>
          <w:szCs w:val="20"/>
          <w:lang w:eastAsia="pl-PL"/>
          <w14:ligatures w14:val="none"/>
        </w:rPr>
        <w:t>7</w:t>
      </w:r>
      <w:r w:rsidR="00905E2C">
        <w:rPr>
          <w:rFonts w:ascii="Times" w:eastAsia="Times New Roman" w:hAnsi="Times" w:cs="Arial"/>
          <w:kern w:val="0"/>
          <w:sz w:val="24"/>
          <w:szCs w:val="20"/>
          <w:lang w:eastAsia="pl-PL"/>
          <w14:ligatures w14:val="none"/>
        </w:rPr>
        <w:t>1</w:t>
      </w:r>
      <w:r w:rsidR="00905E2C"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ust. 2 stosuje</w:t>
      </w:r>
      <w:r w:rsidRPr="00027D06">
        <w:rPr>
          <w:rFonts w:ascii="Times" w:eastAsia="Times New Roman" w:hAnsi="Times" w:cs="Arial"/>
          <w:kern w:val="0"/>
          <w:sz w:val="24"/>
          <w:szCs w:val="20"/>
          <w:lang w:eastAsia="pl-PL"/>
          <w14:ligatures w14:val="none"/>
        </w:rPr>
        <w:t xml:space="preserve"> się odpowiednio.</w:t>
      </w:r>
    </w:p>
    <w:p w14:paraId="6E8923A9"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Komisja, w terminie 14 dni od dnia wniesienia sprzeciwu, wydaje decyzję o:</w:t>
      </w:r>
    </w:p>
    <w:p w14:paraId="1E2A058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utrzymaniu usunięcia przez rejestr domen lub rejestratora domen nazwy domeny internetowej oraz utrzymaniu rejestracji tej nazwy na rzecz Komisji albo</w:t>
      </w:r>
    </w:p>
    <w:p w14:paraId="4D21EA1F"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2)</w:t>
      </w:r>
      <w:r w:rsidRPr="00027D06">
        <w:rPr>
          <w:rFonts w:ascii="Times" w:eastAsia="Times New Roman" w:hAnsi="Times" w:cs="Arial"/>
          <w:bCs/>
          <w:kern w:val="0"/>
          <w:sz w:val="24"/>
          <w:szCs w:val="20"/>
          <w:lang w:eastAsia="pl-PL"/>
          <w14:ligatures w14:val="none"/>
        </w:rPr>
        <w:tab/>
        <w:t>przywróceniu przez rejestr domen lub rejestratora domen nazwy domeny internetowej oraz ponownej rejestracji nazwy tej domeny internetowej na rzecz podmiotu uprzednio posiadającego do niej tytuł prawny.</w:t>
      </w:r>
    </w:p>
    <w:p w14:paraId="291F934F" w14:textId="75D95121"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7</w:t>
      </w:r>
      <w:r w:rsidR="000A668B">
        <w:rPr>
          <w:rFonts w:ascii="Times" w:eastAsia="Times New Roman" w:hAnsi="Times" w:cs="Arial"/>
          <w:b/>
          <w:kern w:val="0"/>
          <w:sz w:val="24"/>
          <w:szCs w:val="20"/>
          <w:lang w:eastAsia="pl-PL"/>
          <w14:ligatures w14:val="none"/>
        </w:rPr>
        <w:t>3</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Komisja wykreśla wpis z Rejestru niezwłocznie po:</w:t>
      </w:r>
    </w:p>
    <w:p w14:paraId="3B6314B1" w14:textId="1F750DD9"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r>
      <w:bookmarkStart w:id="52" w:name="_Hlk188351908"/>
      <w:r w:rsidRPr="00027D06">
        <w:rPr>
          <w:rFonts w:ascii="Times" w:eastAsia="Times New Roman" w:hAnsi="Times" w:cs="Arial"/>
          <w:bCs/>
          <w:kern w:val="0"/>
          <w:sz w:val="24"/>
          <w:szCs w:val="20"/>
          <w:lang w:eastAsia="pl-PL"/>
          <w14:ligatures w14:val="none"/>
        </w:rPr>
        <w:t>usunięciu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przestępstwa określonego w art</w:t>
      </w:r>
      <w:r w:rsidRPr="00076A91">
        <w:rPr>
          <w:rFonts w:ascii="Times" w:eastAsia="Times New Roman" w:hAnsi="Times" w:cs="Arial"/>
          <w:bCs/>
          <w:kern w:val="0"/>
          <w:sz w:val="24"/>
          <w:szCs w:val="20"/>
          <w:lang w:eastAsia="pl-PL"/>
          <w14:ligatures w14:val="none"/>
        </w:rPr>
        <w:t xml:space="preserve">. </w:t>
      </w:r>
      <w:r w:rsidR="00905E2C" w:rsidRPr="00076A91">
        <w:rPr>
          <w:rFonts w:ascii="Times" w:eastAsia="Times New Roman" w:hAnsi="Times" w:cs="Arial"/>
          <w:bCs/>
          <w:kern w:val="0"/>
          <w:sz w:val="24"/>
          <w:szCs w:val="20"/>
          <w:lang w:eastAsia="pl-PL"/>
          <w14:ligatures w14:val="none"/>
        </w:rPr>
        <w:t>12</w:t>
      </w:r>
      <w:r w:rsidR="00905E2C">
        <w:rPr>
          <w:rFonts w:ascii="Times" w:eastAsia="Times New Roman" w:hAnsi="Times" w:cs="Arial"/>
          <w:bCs/>
          <w:kern w:val="0"/>
          <w:sz w:val="24"/>
          <w:szCs w:val="20"/>
          <w:lang w:eastAsia="pl-PL"/>
          <w14:ligatures w14:val="none"/>
        </w:rPr>
        <w:t>5</w:t>
      </w:r>
      <w:r w:rsidR="00905E2C"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i art. </w:t>
      </w:r>
      <w:bookmarkEnd w:id="52"/>
      <w:r w:rsidR="00905E2C" w:rsidRPr="00076A91">
        <w:rPr>
          <w:rFonts w:ascii="Times" w:eastAsia="Times New Roman" w:hAnsi="Times" w:cs="Arial"/>
          <w:bCs/>
          <w:kern w:val="0"/>
          <w:sz w:val="24"/>
          <w:szCs w:val="20"/>
          <w:lang w:eastAsia="pl-PL"/>
          <w14:ligatures w14:val="none"/>
        </w:rPr>
        <w:t>12</w:t>
      </w:r>
      <w:r w:rsidR="00905E2C">
        <w:rPr>
          <w:rFonts w:ascii="Times" w:eastAsia="Times New Roman" w:hAnsi="Times" w:cs="Arial"/>
          <w:bCs/>
          <w:kern w:val="0"/>
          <w:sz w:val="24"/>
          <w:szCs w:val="20"/>
          <w:lang w:eastAsia="pl-PL"/>
          <w14:ligatures w14:val="none"/>
        </w:rPr>
        <w:t>9</w:t>
      </w:r>
      <w:r w:rsidRPr="00076A91">
        <w:rPr>
          <w:rFonts w:ascii="Times" w:eastAsia="Times New Roman" w:hAnsi="Times" w:cs="Arial"/>
          <w:bCs/>
          <w:kern w:val="0"/>
          <w:sz w:val="24"/>
          <w:szCs w:val="20"/>
          <w:lang w:eastAsia="pl-PL"/>
          <w14:ligatures w14:val="none"/>
        </w:rPr>
        <w:t>;</w:t>
      </w:r>
    </w:p>
    <w:p w14:paraId="631D9FB8" w14:textId="0EB87C8D"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 xml:space="preserve">ustaniu podstaw dokonania wpisu, o których mowa w art. </w:t>
      </w:r>
      <w:r w:rsidR="00905E2C" w:rsidRPr="00076A91">
        <w:rPr>
          <w:rFonts w:ascii="Times" w:eastAsia="Times New Roman" w:hAnsi="Times" w:cs="Arial"/>
          <w:bCs/>
          <w:kern w:val="0"/>
          <w:sz w:val="24"/>
          <w:szCs w:val="20"/>
          <w:lang w:eastAsia="pl-PL"/>
          <w14:ligatures w14:val="none"/>
        </w:rPr>
        <w:t>6</w:t>
      </w:r>
      <w:r w:rsidR="00905E2C">
        <w:rPr>
          <w:rFonts w:ascii="Times" w:eastAsia="Times New Roman" w:hAnsi="Times" w:cs="Arial"/>
          <w:bCs/>
          <w:kern w:val="0"/>
          <w:sz w:val="24"/>
          <w:szCs w:val="20"/>
          <w:lang w:eastAsia="pl-PL"/>
          <w14:ligatures w14:val="none"/>
        </w:rPr>
        <w:t>7</w:t>
      </w:r>
      <w:r w:rsidRPr="00076A91">
        <w:rPr>
          <w:rFonts w:ascii="Times" w:eastAsia="Times New Roman" w:hAnsi="Times" w:cs="Arial"/>
          <w:bCs/>
          <w:kern w:val="0"/>
          <w:sz w:val="24"/>
          <w:szCs w:val="20"/>
          <w:lang w:eastAsia="pl-PL"/>
          <w14:ligatures w14:val="none"/>
        </w:rPr>
        <w:t>;</w:t>
      </w:r>
    </w:p>
    <w:p w14:paraId="02853262" w14:textId="0EB27629"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3)     stwierdzeniu, że nie istniały przesłanki do dokonaniu wpisu, o których mowa w art. </w:t>
      </w:r>
      <w:r w:rsidR="00905E2C" w:rsidRPr="00076A91">
        <w:rPr>
          <w:rFonts w:ascii="Times" w:eastAsia="Times New Roman" w:hAnsi="Times" w:cs="Arial"/>
          <w:bCs/>
          <w:kern w:val="0"/>
          <w:sz w:val="24"/>
          <w:szCs w:val="20"/>
          <w:lang w:eastAsia="pl-PL"/>
          <w14:ligatures w14:val="none"/>
        </w:rPr>
        <w:t>6</w:t>
      </w:r>
      <w:r w:rsidR="00905E2C">
        <w:rPr>
          <w:rFonts w:ascii="Times" w:eastAsia="Times New Roman" w:hAnsi="Times" w:cs="Arial"/>
          <w:bCs/>
          <w:kern w:val="0"/>
          <w:sz w:val="24"/>
          <w:szCs w:val="20"/>
          <w:lang w:eastAsia="pl-PL"/>
          <w14:ligatures w14:val="none"/>
        </w:rPr>
        <w:t>7</w:t>
      </w:r>
      <w:r w:rsidRPr="00076A91">
        <w:rPr>
          <w:rFonts w:ascii="Times" w:eastAsia="Times New Roman" w:hAnsi="Times" w:cs="Arial"/>
          <w:bCs/>
          <w:kern w:val="0"/>
          <w:sz w:val="24"/>
          <w:szCs w:val="20"/>
          <w:lang w:eastAsia="pl-PL"/>
          <w14:ligatures w14:val="none"/>
        </w:rPr>
        <w:t>.</w:t>
      </w:r>
    </w:p>
    <w:p w14:paraId="4AEA9997" w14:textId="060C0AF9"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7</w:t>
      </w:r>
      <w:r w:rsidR="000A668B">
        <w:rPr>
          <w:rFonts w:ascii="Times" w:eastAsia="Times New Roman" w:hAnsi="Times" w:cs="Arial"/>
          <w:b/>
          <w:kern w:val="0"/>
          <w:sz w:val="24"/>
          <w:szCs w:val="20"/>
          <w:lang w:eastAsia="pl-PL"/>
          <w14:ligatures w14:val="none"/>
        </w:rPr>
        <w:t>4</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W przypadku wykreślenia wpisu z Rejestru:</w:t>
      </w:r>
    </w:p>
    <w:p w14:paraId="25131458"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przedsiębiorca telekomunikacyjny jest obowiązany do nieodpłatnego umożliwienia dostępu do strony internetowej wykorzystującej domenę internetową wykreśloną z Rejestru oraz do zaprzestania przekierowania połączeń odwołujących się do nazwy domeny internetowej wpisanej do Rejestru do strony internetowej prowadzonej przez Komisję,</w:t>
      </w:r>
    </w:p>
    <w:p w14:paraId="68004052"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dostawca usług hostingowych jest obowiązany do nieodpłatnego przywrócenia albo włączenia interfejsu internetowego, albo przywrócenia dostępu do niego lub przywrócenia usuniętych na żądanie Komisji treści</w:t>
      </w:r>
    </w:p>
    <w:p w14:paraId="6CB06726" w14:textId="77777777" w:rsidR="00027D06" w:rsidRPr="00076A91" w:rsidRDefault="00027D06" w:rsidP="00027D06">
      <w:pPr>
        <w:spacing w:after="0" w:line="360" w:lineRule="auto"/>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nie później niż w terminie 2 dni roboczych od dnia wykreślenia wpisu z Rejestru.</w:t>
      </w:r>
    </w:p>
    <w:p w14:paraId="46720315" w14:textId="20312AF9"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2. W przypadku wydania decyzji, o której mowa w art. </w:t>
      </w:r>
      <w:r w:rsidR="00905E2C" w:rsidRPr="00076A91">
        <w:rPr>
          <w:rFonts w:ascii="Times" w:eastAsia="Times New Roman" w:hAnsi="Times" w:cs="Arial"/>
          <w:bCs/>
          <w:kern w:val="0"/>
          <w:sz w:val="24"/>
          <w:szCs w:val="20"/>
          <w:lang w:eastAsia="pl-PL"/>
          <w14:ligatures w14:val="none"/>
        </w:rPr>
        <w:t>7</w:t>
      </w:r>
      <w:r w:rsidR="00905E2C">
        <w:rPr>
          <w:rFonts w:ascii="Times" w:eastAsia="Times New Roman" w:hAnsi="Times" w:cs="Arial"/>
          <w:bCs/>
          <w:kern w:val="0"/>
          <w:sz w:val="24"/>
          <w:szCs w:val="20"/>
          <w:lang w:eastAsia="pl-PL"/>
          <w14:ligatures w14:val="none"/>
        </w:rPr>
        <w:t>2</w:t>
      </w:r>
      <w:r w:rsidR="00905E2C"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2 pkt 2, </w:t>
      </w:r>
      <w:bookmarkStart w:id="53" w:name="_Hlk190073529"/>
      <w:r w:rsidRPr="00076A91">
        <w:rPr>
          <w:rFonts w:ascii="Times" w:eastAsia="Times New Roman" w:hAnsi="Times" w:cs="Arial"/>
          <w:bCs/>
          <w:kern w:val="0"/>
          <w:sz w:val="24"/>
          <w:szCs w:val="20"/>
          <w:lang w:eastAsia="pl-PL"/>
          <w14:ligatures w14:val="none"/>
        </w:rPr>
        <w:t xml:space="preserve">albo usunięcia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przestępstwa określonego w art. </w:t>
      </w:r>
      <w:r w:rsidR="00905E2C" w:rsidRPr="00076A91">
        <w:rPr>
          <w:rFonts w:ascii="Times" w:eastAsia="Times New Roman" w:hAnsi="Times" w:cs="Arial"/>
          <w:bCs/>
          <w:kern w:val="0"/>
          <w:sz w:val="24"/>
          <w:szCs w:val="20"/>
          <w:lang w:eastAsia="pl-PL"/>
          <w14:ligatures w14:val="none"/>
        </w:rPr>
        <w:t>12</w:t>
      </w:r>
      <w:r w:rsidR="00905E2C">
        <w:rPr>
          <w:rFonts w:ascii="Times" w:eastAsia="Times New Roman" w:hAnsi="Times" w:cs="Arial"/>
          <w:bCs/>
          <w:kern w:val="0"/>
          <w:sz w:val="24"/>
          <w:szCs w:val="20"/>
          <w:lang w:eastAsia="pl-PL"/>
          <w14:ligatures w14:val="none"/>
        </w:rPr>
        <w:t>5</w:t>
      </w:r>
      <w:r w:rsidR="00905E2C"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i art. </w:t>
      </w:r>
      <w:r w:rsidR="00905E2C" w:rsidRPr="00076A91">
        <w:rPr>
          <w:rFonts w:ascii="Times" w:eastAsia="Times New Roman" w:hAnsi="Times" w:cs="Arial"/>
          <w:bCs/>
          <w:kern w:val="0"/>
          <w:sz w:val="24"/>
          <w:szCs w:val="20"/>
          <w:lang w:eastAsia="pl-PL"/>
          <w14:ligatures w14:val="none"/>
        </w:rPr>
        <w:t>12</w:t>
      </w:r>
      <w:r w:rsidR="00905E2C">
        <w:rPr>
          <w:rFonts w:ascii="Times" w:eastAsia="Times New Roman" w:hAnsi="Times" w:cs="Arial"/>
          <w:bCs/>
          <w:kern w:val="0"/>
          <w:sz w:val="24"/>
          <w:szCs w:val="20"/>
          <w:lang w:eastAsia="pl-PL"/>
          <w14:ligatures w14:val="none"/>
        </w:rPr>
        <w:t>9</w:t>
      </w:r>
      <w:r w:rsidRPr="00076A91">
        <w:rPr>
          <w:rFonts w:ascii="Times" w:eastAsia="Times New Roman" w:hAnsi="Times" w:cs="Arial"/>
          <w:bCs/>
          <w:kern w:val="0"/>
          <w:sz w:val="24"/>
          <w:szCs w:val="20"/>
          <w:lang w:eastAsia="pl-PL"/>
          <w14:ligatures w14:val="none"/>
        </w:rPr>
        <w:t>, albo</w:t>
      </w:r>
      <w:bookmarkEnd w:id="53"/>
      <w:r w:rsidRPr="00076A91">
        <w:rPr>
          <w:rFonts w:ascii="Times" w:eastAsia="Times New Roman" w:hAnsi="Times" w:cs="Arial"/>
          <w:bCs/>
          <w:kern w:val="0"/>
          <w:sz w:val="24"/>
          <w:szCs w:val="20"/>
          <w:lang w:eastAsia="pl-PL"/>
          <w14:ligatures w14:val="none"/>
        </w:rPr>
        <w:t xml:space="preserve"> po ustaniu podstaw dokonania wpisu, o których mowa w art. </w:t>
      </w:r>
      <w:r w:rsidR="00905E2C" w:rsidRPr="00076A91">
        <w:rPr>
          <w:rFonts w:ascii="Times" w:eastAsia="Times New Roman" w:hAnsi="Times" w:cs="Arial"/>
          <w:bCs/>
          <w:kern w:val="0"/>
          <w:sz w:val="24"/>
          <w:szCs w:val="20"/>
          <w:lang w:eastAsia="pl-PL"/>
          <w14:ligatures w14:val="none"/>
        </w:rPr>
        <w:t>6</w:t>
      </w:r>
      <w:r w:rsidR="00905E2C">
        <w:rPr>
          <w:rFonts w:ascii="Times" w:eastAsia="Times New Roman" w:hAnsi="Times" w:cs="Arial"/>
          <w:bCs/>
          <w:kern w:val="0"/>
          <w:sz w:val="24"/>
          <w:szCs w:val="20"/>
          <w:lang w:eastAsia="pl-PL"/>
          <w14:ligatures w14:val="none"/>
        </w:rPr>
        <w:t>7</w:t>
      </w:r>
      <w:r w:rsidR="00905E2C"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pkt 2, rejestr domen i rejestratorzy</w:t>
      </w:r>
      <w:r w:rsidRPr="00027D06">
        <w:rPr>
          <w:rFonts w:ascii="Times" w:eastAsia="Times New Roman" w:hAnsi="Times" w:cs="Arial"/>
          <w:bCs/>
          <w:kern w:val="0"/>
          <w:sz w:val="24"/>
          <w:szCs w:val="20"/>
          <w:lang w:eastAsia="pl-PL"/>
          <w14:ligatures w14:val="none"/>
        </w:rPr>
        <w:t xml:space="preserve"> domen nieodpłatnie przywracają nazwę domeny internetowej oraz nieodpłatnie rejestrują tę nazwę na rzecz podmiotu uprzednio posiadającego do niej tytuł prawny, nie później niż w terminie 2 dni roboczych od dnia skierowania do nich żądania przez Komisję.</w:t>
      </w:r>
    </w:p>
    <w:p w14:paraId="1EED1439" w14:textId="27902E19"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7</w:t>
      </w:r>
      <w:r w:rsidR="000A668B">
        <w:rPr>
          <w:rFonts w:ascii="Times" w:eastAsia="Times New Roman" w:hAnsi="Times" w:cs="Arial"/>
          <w:b/>
          <w:kern w:val="0"/>
          <w:sz w:val="24"/>
          <w:szCs w:val="20"/>
          <w:lang w:eastAsia="pl-PL"/>
          <w14:ligatures w14:val="none"/>
        </w:rPr>
        <w:t>5</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Rejestr jest jawny.</w:t>
      </w:r>
    </w:p>
    <w:p w14:paraId="082D8F26" w14:textId="619BEF11"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lastRenderedPageBreak/>
        <w:t>Art. </w:t>
      </w:r>
      <w:r w:rsidR="000A668B" w:rsidRPr="00027D06">
        <w:rPr>
          <w:rFonts w:ascii="Times" w:eastAsia="Times New Roman" w:hAnsi="Times" w:cs="Arial"/>
          <w:b/>
          <w:kern w:val="0"/>
          <w:sz w:val="24"/>
          <w:szCs w:val="20"/>
          <w:lang w:eastAsia="pl-PL"/>
          <w14:ligatures w14:val="none"/>
        </w:rPr>
        <w:t>7</w:t>
      </w:r>
      <w:r w:rsidR="000A668B">
        <w:rPr>
          <w:rFonts w:ascii="Times" w:eastAsia="Times New Roman" w:hAnsi="Times" w:cs="Arial"/>
          <w:b/>
          <w:kern w:val="0"/>
          <w:sz w:val="24"/>
          <w:szCs w:val="20"/>
          <w:lang w:eastAsia="pl-PL"/>
          <w14:ligatures w14:val="none"/>
        </w:rPr>
        <w:t>6</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Rejestr jest prowadzony w systemie teleinformatycznym umożliwiającym automatyczne przekazywanie informacji do systemów teleinformatycznych przedsiębiorców telekomunikacyjnych i dostawców usług hostingowych.</w:t>
      </w:r>
    </w:p>
    <w:p w14:paraId="56D9605F"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27D06">
        <w:rPr>
          <w:rFonts w:ascii="Times" w:eastAsia="Times New Roman" w:hAnsi="Times" w:cs="Arial"/>
          <w:bCs/>
          <w:kern w:val="24"/>
          <w:sz w:val="24"/>
          <w:szCs w:val="24"/>
          <w:lang w:eastAsia="pl-PL"/>
          <w14:ligatures w14:val="none"/>
        </w:rPr>
        <w:t>Oddział 4</w:t>
      </w:r>
    </w:p>
    <w:p w14:paraId="6C5305DC" w14:textId="77777777" w:rsidR="00027D06" w:rsidRPr="00027D06"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Koszty nadzoru nad rynkiem kryptoaktywów</w:t>
      </w:r>
    </w:p>
    <w:p w14:paraId="4814B199" w14:textId="723E4131"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7</w:t>
      </w:r>
      <w:r w:rsidR="000A668B">
        <w:rPr>
          <w:rFonts w:ascii="Times" w:eastAsia="Times New Roman" w:hAnsi="Times" w:cs="Arial"/>
          <w:b/>
          <w:kern w:val="0"/>
          <w:sz w:val="24"/>
          <w:szCs w:val="20"/>
          <w:lang w:eastAsia="pl-PL"/>
          <w14:ligatures w14:val="none"/>
        </w:rPr>
        <w:t>7</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Opłacie w wysokości:</w:t>
      </w:r>
    </w:p>
    <w:p w14:paraId="5CEE0AF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nie większej niż równowartość w złotych kwoty 4500 euro podlega:</w:t>
      </w:r>
    </w:p>
    <w:p w14:paraId="33281534"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 xml:space="preserve">udzielenie zezwolenia, o którym mowa w art. 16 ust. 1 lit. a rozporządzenia 2023/1114, oraz </w:t>
      </w:r>
      <w:r w:rsidRPr="00027D06">
        <w:rPr>
          <w:rFonts w:ascii="Times" w:eastAsia="Times New Roman" w:hAnsi="Times" w:cs="Arial"/>
          <w:bCs/>
          <w:kern w:val="0"/>
          <w:sz w:val="24"/>
          <w:szCs w:val="20"/>
          <w:lang w:eastAsia="pl-PL"/>
          <w14:ligatures w14:val="none"/>
        </w:rPr>
        <w:tab/>
        <w:t>zezwolenia, o którym mowa w art. 59 ust. 1 lit. a rozporządzenia 2023/1114,</w:t>
      </w:r>
    </w:p>
    <w:p w14:paraId="23C23373"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 xml:space="preserve">dokonanie oceny, o której mowa w art. 17 ust. 3, </w:t>
      </w:r>
      <w:bookmarkStart w:id="54" w:name="_Hlk190073566"/>
      <w:r w:rsidRPr="00027D06">
        <w:rPr>
          <w:rFonts w:ascii="Times" w:eastAsia="Times New Roman" w:hAnsi="Times" w:cs="Arial"/>
          <w:bCs/>
          <w:kern w:val="0"/>
          <w:sz w:val="24"/>
          <w:szCs w:val="20"/>
          <w:lang w:eastAsia="pl-PL"/>
          <w14:ligatures w14:val="none"/>
        </w:rPr>
        <w:t>art. 41 ust. 4</w:t>
      </w:r>
      <w:bookmarkEnd w:id="54"/>
      <w:r w:rsidRPr="00027D06">
        <w:rPr>
          <w:rFonts w:ascii="Times" w:eastAsia="Times New Roman" w:hAnsi="Times" w:cs="Arial"/>
          <w:bCs/>
          <w:kern w:val="0"/>
          <w:sz w:val="24"/>
          <w:szCs w:val="20"/>
          <w:lang w:eastAsia="pl-PL"/>
          <w14:ligatures w14:val="none"/>
        </w:rPr>
        <w:t>, art. 60 ust. 8 i art. 83 ust. 4 rozporządzenia 2023/1114;</w:t>
      </w:r>
    </w:p>
    <w:p w14:paraId="6C3C8829"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równowartości w złotych kwoty:</w:t>
      </w:r>
    </w:p>
    <w:p w14:paraId="69406E60"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 xml:space="preserve">3000 euro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podlega zatwierdzenie dokumentu informacyjnego, o którym mowa w art. 17 ust. 1 lit. a rozporządzenia 2023/1114,</w:t>
      </w:r>
    </w:p>
    <w:p w14:paraId="67D73EDA"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 xml:space="preserve">1000 euro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podlega zatwierdzenie zmienionego dokumentu informacyjnego, o którym mowa w art. 25 ust. 2 rozporządzenia 2023/1114;</w:t>
      </w:r>
    </w:p>
    <w:p w14:paraId="4793133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 xml:space="preserve">równowartości w złotych kwoty 1000 euro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podlega zgłoszenie Komisji dokumentu informacyjnego, o którym mowa w art. 8 ust. 1 i art. 51 ust. 11 rozporządzenia 2023/1114, a także zmienionego dokumentu informacyjnego, o którym mowa w art. 12 ust. 2 i art. 51 ust. 12 rozporządzenia 2023/1114.</w:t>
      </w:r>
    </w:p>
    <w:p w14:paraId="70547BD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Przekazanie Komisji przez właściwy organ nadzoru nad rynkiem kryptoaktywów z innego niż Rzeczpospolita Polska państwa członkowskiego Unii Europejskiej, który udzielił zagranicznemu dostawcy usług w zakresie kryptoaktywów zezwolenia, informacji dotyczących działalności tego dostawcy, jaka ma być prowadzona na terytorium Rzeczypospolitej Polskiej, podlega opłacie w wysokości nie większej niż równowartość w złotych 4500 euro. Opłatę wnosi zagraniczny dostawca usług w zakresie kryptoaktywów, którego te informacje dotyczą.</w:t>
      </w:r>
    </w:p>
    <w:p w14:paraId="741FF20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Zagraniczny dostawca usług w zakresie kryptoaktywów, o którym mowa w ust. 2, nie ponosi opłaty, o której mowa w ust. 2, jeżeli na zasadzie wzajemności polskie podmioty prowadzące działalność jako dostawca usług w zakresie kryptoaktywów na terytorium państwa, w którym ten dostawca ma swoją siedzibę, nie ponoszą tego rodzaju opłaty.</w:t>
      </w:r>
    </w:p>
    <w:p w14:paraId="0894A10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4. Opłaty, o których mowa w ust. 1 i 2, są przeznaczane na pokrycie kosztów nadzoru nad rynkiem kryptoaktywów.</w:t>
      </w:r>
    </w:p>
    <w:p w14:paraId="48F26315" w14:textId="03C0776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5. Suma opłat, o których mowa w ust. 1 i 2, wniesionych w poprzednim roku kalendarzowym, pomniejsza łączną kwotę kosztów nadzoru </w:t>
      </w:r>
      <w:r w:rsidRPr="00076A91">
        <w:rPr>
          <w:rFonts w:ascii="Times" w:eastAsia="Times New Roman" w:hAnsi="Times" w:cs="Arial"/>
          <w:bCs/>
          <w:kern w:val="0"/>
          <w:sz w:val="24"/>
          <w:szCs w:val="20"/>
          <w:lang w:eastAsia="pl-PL"/>
          <w14:ligatures w14:val="none"/>
        </w:rPr>
        <w:t xml:space="preserve">nad rynkiem kryptoaktywów do pokrycia w danym roku kalendarzowym z wpłat, o których mowa w art. </w:t>
      </w:r>
      <w:r w:rsidR="00905E2C" w:rsidRPr="00076A91">
        <w:rPr>
          <w:rFonts w:ascii="Times" w:eastAsia="Times New Roman" w:hAnsi="Times" w:cs="Arial"/>
          <w:bCs/>
          <w:kern w:val="0"/>
          <w:sz w:val="24"/>
          <w:szCs w:val="20"/>
          <w:lang w:eastAsia="pl-PL"/>
          <w14:ligatures w14:val="none"/>
        </w:rPr>
        <w:t>7</w:t>
      </w:r>
      <w:r w:rsidR="00905E2C">
        <w:rPr>
          <w:rFonts w:ascii="Times" w:eastAsia="Times New Roman" w:hAnsi="Times" w:cs="Arial"/>
          <w:bCs/>
          <w:kern w:val="0"/>
          <w:sz w:val="24"/>
          <w:szCs w:val="20"/>
          <w:lang w:eastAsia="pl-PL"/>
          <w14:ligatures w14:val="none"/>
        </w:rPr>
        <w:t>8</w:t>
      </w:r>
      <w:r w:rsidR="00905E2C"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i art. </w:t>
      </w:r>
      <w:r w:rsidR="00905E2C" w:rsidRPr="00076A91">
        <w:rPr>
          <w:rFonts w:ascii="Times" w:eastAsia="Times New Roman" w:hAnsi="Times" w:cs="Arial"/>
          <w:bCs/>
          <w:kern w:val="0"/>
          <w:sz w:val="24"/>
          <w:szCs w:val="20"/>
          <w:lang w:eastAsia="pl-PL"/>
          <w14:ligatures w14:val="none"/>
        </w:rPr>
        <w:t>7</w:t>
      </w:r>
      <w:r w:rsidR="00905E2C">
        <w:rPr>
          <w:rFonts w:ascii="Times" w:eastAsia="Times New Roman" w:hAnsi="Times" w:cs="Arial"/>
          <w:bCs/>
          <w:kern w:val="0"/>
          <w:sz w:val="24"/>
          <w:szCs w:val="20"/>
          <w:lang w:eastAsia="pl-PL"/>
          <w14:ligatures w14:val="none"/>
        </w:rPr>
        <w:t>9</w:t>
      </w:r>
      <w:r w:rsidR="00905E2C"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w:t>
      </w:r>
    </w:p>
    <w:p w14:paraId="15CFF8CB" w14:textId="0DB3973A"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7</w:t>
      </w:r>
      <w:r w:rsidR="000A668B">
        <w:rPr>
          <w:rFonts w:ascii="Times" w:eastAsia="Times New Roman" w:hAnsi="Times" w:cs="Arial"/>
          <w:b/>
          <w:kern w:val="0"/>
          <w:sz w:val="24"/>
          <w:szCs w:val="20"/>
          <w:lang w:eastAsia="pl-PL"/>
          <w14:ligatures w14:val="none"/>
        </w:rPr>
        <w:t>8</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w:t>
      </w:r>
      <w:bookmarkStart w:id="55" w:name="_Hlk182390040"/>
      <w:r w:rsidRPr="00076A91">
        <w:rPr>
          <w:rFonts w:ascii="Times" w:eastAsia="Times New Roman" w:hAnsi="Times" w:cs="Arial"/>
          <w:kern w:val="0"/>
          <w:sz w:val="24"/>
          <w:szCs w:val="20"/>
          <w:lang w:eastAsia="pl-PL"/>
          <w14:ligatures w14:val="none"/>
        </w:rPr>
        <w:t>. Dostawca usług w zakresie kryptoaktywów wnosi r</w:t>
      </w:r>
      <w:r w:rsidRPr="00027D06">
        <w:rPr>
          <w:rFonts w:ascii="Times" w:eastAsia="Times New Roman" w:hAnsi="Times" w:cs="Arial"/>
          <w:kern w:val="0"/>
          <w:sz w:val="24"/>
          <w:szCs w:val="20"/>
          <w:lang w:eastAsia="pl-PL"/>
          <w14:ligatures w14:val="none"/>
        </w:rPr>
        <w:t>oczną wpłatę na pokrycie kosztów nadzoru nad rynkiem kryptoaktywów ustalaną na podstawie średniej wartości przychodów ogółem w okresie ostatnich 3 lat obrotowych poprzedzających rok, za który wpłata jest należna, w wysokości nie większej niż 0,4 % tej średniej, jednak nie mniejszej niż równowartość w złotych kwoty 500 euro i nie większej niż równowartość w złotych kwoty                  10 000 euro.</w:t>
      </w:r>
      <w:bookmarkEnd w:id="55"/>
    </w:p>
    <w:p w14:paraId="66884741"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Przychody ogółem, o których mowa w ust. 1, obejmują:</w:t>
      </w:r>
    </w:p>
    <w:p w14:paraId="15227BB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przychody z podstawowej działalności w zakresie świadczenia usług w zakresie kryptoaktywów;</w:t>
      </w:r>
    </w:p>
    <w:p w14:paraId="66F0823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zysk z operacji na kryptoaktywach przeznaczonych do obrotu.</w:t>
      </w:r>
    </w:p>
    <w:p w14:paraId="33C0E31B"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dostawcy usług w zakresie kryptoaktywów będącego podmiotem, o którym mowa w art. 59 ust. 1 lit. a rozporządzenia 2023/1114, przychody ogółem, o których mowa w ust. 1, obejmują także:</w:t>
      </w:r>
    </w:p>
    <w:p w14:paraId="09D55C3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przychody finansowe;</w:t>
      </w:r>
    </w:p>
    <w:p w14:paraId="593EDEC0"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przychody z pozostałej podstawowej działalności.</w:t>
      </w:r>
    </w:p>
    <w:p w14:paraId="5BF45DDD"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Dostawca usług w zakresie kryptoaktywów rozpoczynający świadczenie usług w zakresie kryptoaktywów pierwszą wpłatę wnosi za rok następujący po roku, w którym rozpoczął świadczenie tych usług, a w przypadku dostawcy usług w zakresie kryptoaktywów, dla którego rok obrotowy obejmuje okres inny niż rok kalendarzowy, za rok kalendarzowy następujący po roku, w którym zakończył się pierwszy rok obrotowy, przy czym jako podstawę obliczenia średniej wartości przychodów ogółem w okresie pierwszych 3 lat świadczenia tych usług przyjmuje się:</w:t>
      </w:r>
    </w:p>
    <w:p w14:paraId="48C1D9A0"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w pierwszym roku kalendarzowym, za który wpłata jest należna – wartość przychodów ogółem za rok poprzedni;</w:t>
      </w:r>
    </w:p>
    <w:p w14:paraId="4FC6B002"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w następnym roku kalendarzowym – średnią wartość przychodów ogółem za 2 lata poprzedzające rok, za który wpłata jest należna.</w:t>
      </w:r>
    </w:p>
    <w:p w14:paraId="145B1140"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 Podstawę obliczenia wpłaty, o której mowa w ust. 1, ustala się na podstawie:</w:t>
      </w:r>
    </w:p>
    <w:p w14:paraId="04B17389"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1)</w:t>
      </w:r>
      <w:r w:rsidRPr="00027D06">
        <w:rPr>
          <w:rFonts w:ascii="Times" w:eastAsia="Times New Roman" w:hAnsi="Times" w:cs="Arial"/>
          <w:bCs/>
          <w:kern w:val="0"/>
          <w:sz w:val="24"/>
          <w:szCs w:val="20"/>
          <w:lang w:eastAsia="pl-PL"/>
          <w14:ligatures w14:val="none"/>
        </w:rPr>
        <w:tab/>
        <w:t xml:space="preserve">danych pochodzących ze zbadanych sprawozdań finansowych za poprzednie lata kalendarzowe, a w przypadku podmiotów, których rok obrotowy obejmuje okres inny niż rok kalendarzowy – danych </w:t>
      </w:r>
      <w:r w:rsidRPr="00076A91">
        <w:rPr>
          <w:rFonts w:ascii="Times" w:eastAsia="Times New Roman" w:hAnsi="Times" w:cs="Arial"/>
          <w:bCs/>
          <w:kern w:val="0"/>
          <w:sz w:val="24"/>
          <w:szCs w:val="20"/>
          <w:lang w:eastAsia="pl-PL"/>
          <w14:ligatures w14:val="none"/>
        </w:rPr>
        <w:t>ze zbadanych sprawozdań finansowych za lata obrotowe zakończone w poprzednich latach kalendarzowych;</w:t>
      </w:r>
    </w:p>
    <w:p w14:paraId="26A9F37C" w14:textId="3DBD556D"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 xml:space="preserve">informacji, o której mowa w art. </w:t>
      </w:r>
      <w:r w:rsidR="00A45497" w:rsidRPr="00076A91">
        <w:rPr>
          <w:rFonts w:ascii="Times" w:eastAsia="Times New Roman" w:hAnsi="Times" w:cs="Arial"/>
          <w:bCs/>
          <w:kern w:val="0"/>
          <w:sz w:val="24"/>
          <w:szCs w:val="20"/>
          <w:lang w:eastAsia="pl-PL"/>
          <w14:ligatures w14:val="none"/>
        </w:rPr>
        <w:t>2</w:t>
      </w:r>
      <w:r w:rsidR="00A45497">
        <w:rPr>
          <w:rFonts w:ascii="Times" w:eastAsia="Times New Roman" w:hAnsi="Times" w:cs="Arial"/>
          <w:bCs/>
          <w:kern w:val="0"/>
          <w:sz w:val="24"/>
          <w:szCs w:val="20"/>
          <w:lang w:eastAsia="pl-PL"/>
          <w14:ligatures w14:val="none"/>
        </w:rPr>
        <w:t>3</w:t>
      </w:r>
      <w:r w:rsidR="00A45497"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2 – w przypadku dostawców usług w zakresie kryptoaktywów innych niż podmioty, o których mowa w art. 59 ust. 1 lit. a rozporządzenia 2023/1114.</w:t>
      </w:r>
    </w:p>
    <w:p w14:paraId="60EEB609"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6. Dostawca usług w zakresie kryptoaktywów składa 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40CA56E1" w14:textId="20F3D570"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7</w:t>
      </w:r>
      <w:r w:rsidR="000A668B">
        <w:rPr>
          <w:rFonts w:ascii="Times" w:eastAsia="Times New Roman" w:hAnsi="Times" w:cs="Arial"/>
          <w:b/>
          <w:kern w:val="0"/>
          <w:sz w:val="24"/>
          <w:szCs w:val="20"/>
          <w:lang w:eastAsia="pl-PL"/>
          <w14:ligatures w14:val="none"/>
        </w:rPr>
        <w:t>9</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w:t>
      </w:r>
      <w:bookmarkStart w:id="56" w:name="_Hlk182390148"/>
      <w:r w:rsidRPr="00076A91">
        <w:rPr>
          <w:rFonts w:ascii="Times" w:eastAsia="Times New Roman" w:hAnsi="Times" w:cs="Arial"/>
          <w:kern w:val="0"/>
          <w:sz w:val="24"/>
          <w:szCs w:val="20"/>
          <w:lang w:eastAsia="pl-PL"/>
          <w14:ligatures w14:val="none"/>
        </w:rPr>
        <w:t>Emitent tokenów powiązanych z aktywami lub tokenów będących e-pieniądzem wnosi roczną wpłatę na pokrycie kosztów nadzoru nad rynkiem kryptoaktywów, w wysokości stanowiącej iloczyn ustalanej na dzień 1 stycznia danego roku kalendarzowego średniej arytmetycznej sum zobowiązań finansowych z tytułu wyemitowanych tokenów powiązanych z aktywami lub tokenów będących e-pieniądzem, obliczonej na koniec każdego dnia kalendarzowego w okresie poprzednich 12 miesięcy kalendarzowych, or</w:t>
      </w:r>
      <w:r w:rsidR="00436376">
        <w:rPr>
          <w:rFonts w:ascii="Times" w:eastAsia="Times New Roman" w:hAnsi="Times" w:cs="Arial"/>
          <w:kern w:val="0"/>
          <w:sz w:val="24"/>
          <w:szCs w:val="20"/>
          <w:lang w:eastAsia="pl-PL"/>
          <w14:ligatures w14:val="none"/>
        </w:rPr>
        <w:t>az stawki nieprzekraczającej 0,1</w:t>
      </w:r>
      <w:r w:rsidRPr="00076A91">
        <w:rPr>
          <w:rFonts w:ascii="Times" w:eastAsia="Times New Roman" w:hAnsi="Times" w:cs="Arial"/>
          <w:kern w:val="0"/>
          <w:sz w:val="24"/>
          <w:szCs w:val="20"/>
          <w:lang w:eastAsia="pl-PL"/>
          <w14:ligatures w14:val="none"/>
        </w:rPr>
        <w:t> %, jednak nie mniejszej niż równowartość w złotych kwoty 500 euro.</w:t>
      </w:r>
    </w:p>
    <w:bookmarkEnd w:id="56"/>
    <w:p w14:paraId="2D73C6E3"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Emitent tokenów powiązanych z aktywami lub tokenów będących e-pieniądzem rozpoczynający działalność, z którą wiąże się obowiązek ponoszenia rocznej wpłaty, o której mowa w ust. 1, pierwszą wpłatę wnosi za rok następujący po roku, w którym rozpoczął tę działalność. Dla wyliczenia pierwszej wpłaty emitent tokenów powiązanych z aktywami lub tokenów będących e-pieniądzem ustala średnią arytmetyczną sum zobowiązań finansowych z tytułu wyemitowanych tokenów powiązanych z aktywami lub tokenów będących e-pieniądzem obliczoną na koniec każdego dnia kalendarzowego w okresie od dnia rozpoczęcia działalności do dnia 31 grudnia roku, w którym ten emitent rozpoczął działalność.</w:t>
      </w:r>
    </w:p>
    <w:p w14:paraId="4DA1C170"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 Emitent tokenów powiązanych z aktywami lub tokenów będących e-pieniądzem składa 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5186D0C2" w14:textId="034A3869"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lastRenderedPageBreak/>
        <w:t>Art. </w:t>
      </w:r>
      <w:r w:rsidR="000A668B">
        <w:rPr>
          <w:rFonts w:ascii="Times" w:eastAsia="Times New Roman" w:hAnsi="Times" w:cs="Arial"/>
          <w:b/>
          <w:kern w:val="0"/>
          <w:sz w:val="24"/>
          <w:szCs w:val="20"/>
          <w:lang w:eastAsia="pl-PL"/>
          <w14:ligatures w14:val="none"/>
        </w:rPr>
        <w:t>80</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Równowartość w złotych kwot opłat, o których mowa w art. </w:t>
      </w:r>
      <w:r w:rsidR="00A45497" w:rsidRPr="00076A91">
        <w:rPr>
          <w:rFonts w:ascii="Times" w:eastAsia="Times New Roman" w:hAnsi="Times" w:cs="Arial"/>
          <w:kern w:val="0"/>
          <w:sz w:val="24"/>
          <w:szCs w:val="20"/>
          <w:lang w:eastAsia="pl-PL"/>
          <w14:ligatures w14:val="none"/>
        </w:rPr>
        <w:t>7</w:t>
      </w:r>
      <w:r w:rsidR="00A45497">
        <w:rPr>
          <w:rFonts w:ascii="Times" w:eastAsia="Times New Roman" w:hAnsi="Times" w:cs="Arial"/>
          <w:kern w:val="0"/>
          <w:sz w:val="24"/>
          <w:szCs w:val="20"/>
          <w:lang w:eastAsia="pl-PL"/>
          <w14:ligatures w14:val="none"/>
        </w:rPr>
        <w:t>7</w:t>
      </w:r>
      <w:r w:rsidRPr="00076A91">
        <w:rPr>
          <w:rFonts w:ascii="Times" w:eastAsia="Times New Roman" w:hAnsi="Times" w:cs="Arial"/>
          <w:kern w:val="0"/>
          <w:sz w:val="24"/>
          <w:szCs w:val="20"/>
          <w:lang w:eastAsia="pl-PL"/>
          <w14:ligatures w14:val="none"/>
        </w:rPr>
        <w:t xml:space="preserve">, oraz minimalnej wysokości wpłat, o których mowa w art. </w:t>
      </w:r>
      <w:r w:rsidR="00A45497" w:rsidRPr="00076A91">
        <w:rPr>
          <w:rFonts w:ascii="Times" w:eastAsia="Times New Roman" w:hAnsi="Times" w:cs="Arial"/>
          <w:kern w:val="0"/>
          <w:sz w:val="24"/>
          <w:szCs w:val="20"/>
          <w:lang w:eastAsia="pl-PL"/>
          <w14:ligatures w14:val="none"/>
        </w:rPr>
        <w:t>7</w:t>
      </w:r>
      <w:r w:rsidR="00A45497">
        <w:rPr>
          <w:rFonts w:ascii="Times" w:eastAsia="Times New Roman" w:hAnsi="Times" w:cs="Arial"/>
          <w:kern w:val="0"/>
          <w:sz w:val="24"/>
          <w:szCs w:val="20"/>
          <w:lang w:eastAsia="pl-PL"/>
          <w14:ligatures w14:val="none"/>
        </w:rPr>
        <w:t>8</w:t>
      </w:r>
      <w:r w:rsidR="00A45497"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i art. </w:t>
      </w:r>
      <w:r w:rsidR="00A45497" w:rsidRPr="00076A91">
        <w:rPr>
          <w:rFonts w:ascii="Times" w:eastAsia="Times New Roman" w:hAnsi="Times" w:cs="Arial"/>
          <w:kern w:val="0"/>
          <w:sz w:val="24"/>
          <w:szCs w:val="20"/>
          <w:lang w:eastAsia="pl-PL"/>
          <w14:ligatures w14:val="none"/>
        </w:rPr>
        <w:t>7</w:t>
      </w:r>
      <w:r w:rsidR="00A45497">
        <w:rPr>
          <w:rFonts w:ascii="Times" w:eastAsia="Times New Roman" w:hAnsi="Times" w:cs="Arial"/>
          <w:kern w:val="0"/>
          <w:sz w:val="24"/>
          <w:szCs w:val="20"/>
          <w:lang w:eastAsia="pl-PL"/>
          <w14:ligatures w14:val="none"/>
        </w:rPr>
        <w:t>9</w:t>
      </w:r>
      <w:r w:rsidR="00A45497"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ust. 1, wyrażonych w euro ustala się przy zastosowaniu średniego kursu euro ogłaszanego przez Narodowy Bank Polski na ostatni dzień roboczy roku poprzedzającego rok kalendarzowy:</w:t>
      </w:r>
    </w:p>
    <w:p w14:paraId="3C0391F8" w14:textId="3371C132"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 xml:space="preserve">w którym stała się należna opłata, o której mowa w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7</w:t>
      </w:r>
      <w:r w:rsidRPr="00076A91">
        <w:rPr>
          <w:rFonts w:ascii="Times" w:eastAsia="Times New Roman" w:hAnsi="Times" w:cs="Arial"/>
          <w:bCs/>
          <w:kern w:val="0"/>
          <w:sz w:val="24"/>
          <w:szCs w:val="20"/>
          <w:lang w:eastAsia="pl-PL"/>
          <w14:ligatures w14:val="none"/>
        </w:rPr>
        <w:t>;</w:t>
      </w:r>
    </w:p>
    <w:p w14:paraId="7003BBB8" w14:textId="429CF4CC"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 xml:space="preserve">za który jest należna wpłata, o której mowa w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8</w:t>
      </w:r>
      <w:r w:rsidR="00A45497"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lub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9</w:t>
      </w:r>
      <w:r w:rsidR="00A45497"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w:t>
      </w:r>
    </w:p>
    <w:p w14:paraId="5A457FDF" w14:textId="5457DC0E"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2. Opłaty, o których mowa w art. </w:t>
      </w:r>
      <w:r w:rsidR="00A06B2C" w:rsidRPr="00076A91">
        <w:rPr>
          <w:rFonts w:ascii="Times" w:eastAsia="Times New Roman" w:hAnsi="Times" w:cs="Arial"/>
          <w:bCs/>
          <w:kern w:val="0"/>
          <w:sz w:val="24"/>
          <w:szCs w:val="20"/>
          <w:lang w:eastAsia="pl-PL"/>
          <w14:ligatures w14:val="none"/>
        </w:rPr>
        <w:t>76</w:t>
      </w:r>
      <w:r w:rsidRPr="00076A91">
        <w:rPr>
          <w:rFonts w:ascii="Times" w:eastAsia="Times New Roman" w:hAnsi="Times" w:cs="Arial"/>
          <w:bCs/>
          <w:kern w:val="0"/>
          <w:sz w:val="24"/>
          <w:szCs w:val="20"/>
          <w:lang w:eastAsia="pl-PL"/>
          <w14:ligatures w14:val="none"/>
        </w:rPr>
        <w:t xml:space="preserve">, oraz wpłaty, o których mowa w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8</w:t>
      </w:r>
      <w:r w:rsidR="00A45497"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i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9</w:t>
      </w:r>
      <w:r w:rsidR="00A45497" w:rsidRPr="00027D06">
        <w:rPr>
          <w:rFonts w:ascii="Times" w:eastAsia="Times New Roman" w:hAnsi="Times" w:cs="Arial"/>
          <w:bCs/>
          <w:kern w:val="0"/>
          <w:sz w:val="24"/>
          <w:szCs w:val="20"/>
          <w:lang w:eastAsia="pl-PL"/>
          <w14:ligatures w14:val="none"/>
        </w:rPr>
        <w:t xml:space="preserve"> </w:t>
      </w:r>
      <w:r w:rsidRPr="00027D06">
        <w:rPr>
          <w:rFonts w:ascii="Times" w:eastAsia="Times New Roman" w:hAnsi="Times" w:cs="Arial"/>
          <w:bCs/>
          <w:kern w:val="0"/>
          <w:sz w:val="24"/>
          <w:szCs w:val="20"/>
          <w:lang w:eastAsia="pl-PL"/>
          <w14:ligatures w14:val="none"/>
        </w:rPr>
        <w:t>ust. 1, wnosi się na rachunek bankowy Urzędu Komisji Nadzoru Finansowego.</w:t>
      </w:r>
    </w:p>
    <w:p w14:paraId="37477BEF" w14:textId="2182B33B"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bookmarkStart w:id="57" w:name="_Hlk191388151"/>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8</w:t>
      </w:r>
      <w:r w:rsidR="000A668B">
        <w:rPr>
          <w:rFonts w:ascii="Times" w:eastAsia="Times New Roman" w:hAnsi="Times" w:cs="Arial"/>
          <w:b/>
          <w:kern w:val="0"/>
          <w:sz w:val="24"/>
          <w:szCs w:val="20"/>
          <w:lang w:eastAsia="pl-PL"/>
          <w14:ligatures w14:val="none"/>
        </w:rPr>
        <w:t>1</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Prezes Rady Ministrów określi, w drodze rozporządzenia:</w:t>
      </w:r>
    </w:p>
    <w:p w14:paraId="4C6A4535" w14:textId="6AEF279B"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58" w:name="_Hlk164861311"/>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 xml:space="preserve">wysokość i terminy uiszczania opłat, o których </w:t>
      </w:r>
      <w:r w:rsidRPr="00076A91">
        <w:rPr>
          <w:rFonts w:ascii="Times" w:eastAsia="Times New Roman" w:hAnsi="Times" w:cs="Arial"/>
          <w:bCs/>
          <w:kern w:val="0"/>
          <w:sz w:val="24"/>
          <w:szCs w:val="20"/>
          <w:lang w:eastAsia="pl-PL"/>
          <w14:ligatures w14:val="none"/>
        </w:rPr>
        <w:t xml:space="preserve">mowa w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7</w:t>
      </w:r>
      <w:r w:rsidR="00A45497"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pkt 1 i ust. 2,</w:t>
      </w:r>
    </w:p>
    <w:p w14:paraId="23EDE3BD" w14:textId="50370E65"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 xml:space="preserve">terminy uiszczania opłat, o których mowa w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7</w:t>
      </w:r>
      <w:r w:rsidR="00A45497"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pkt 2 i 3,</w:t>
      </w:r>
    </w:p>
    <w:p w14:paraId="78468932" w14:textId="766C8503"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 xml:space="preserve">szczegółowy sposób wyliczania wpłat, o których mowa w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8</w:t>
      </w:r>
      <w:r w:rsidR="00A45497"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i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9</w:t>
      </w:r>
      <w:r w:rsidR="00A45497"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oraz terminy uiszczania tych wpłat,</w:t>
      </w:r>
    </w:p>
    <w:p w14:paraId="450A4491" w14:textId="4059AFE4"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 xml:space="preserve">sposób ustalania podziału kosztów nadzoru nad rynkiem kryptoaktywów na koszty pokrywane z wpłat, o których mowa w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8</w:t>
      </w:r>
      <w:r w:rsidR="00A45497"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i wpłat, o których mowa w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9</w:t>
      </w:r>
      <w:r w:rsidR="00A45497"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w:t>
      </w:r>
    </w:p>
    <w:bookmarkEnd w:id="58"/>
    <w:p w14:paraId="35F53CD4" w14:textId="25CDD9FF"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5)</w:t>
      </w:r>
      <w:r w:rsidRPr="00076A91">
        <w:rPr>
          <w:rFonts w:ascii="Times" w:eastAsia="Times New Roman" w:hAnsi="Times" w:cs="Arial"/>
          <w:bCs/>
          <w:kern w:val="0"/>
          <w:sz w:val="24"/>
          <w:szCs w:val="20"/>
          <w:lang w:eastAsia="pl-PL"/>
          <w14:ligatures w14:val="none"/>
        </w:rPr>
        <w:tab/>
      </w:r>
      <w:bookmarkStart w:id="59" w:name="_Hlk174088457"/>
      <w:r w:rsidRPr="00076A91">
        <w:rPr>
          <w:rFonts w:ascii="Times" w:eastAsia="Times New Roman" w:hAnsi="Times" w:cs="Arial"/>
          <w:bCs/>
          <w:kern w:val="0"/>
          <w:sz w:val="24"/>
          <w:szCs w:val="20"/>
          <w:lang w:eastAsia="pl-PL"/>
          <w14:ligatures w14:val="none"/>
        </w:rPr>
        <w:t xml:space="preserve">terminy składania deklaracji, o których mowa w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8</w:t>
      </w:r>
      <w:r w:rsidR="00A45497"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6 i art. </w:t>
      </w:r>
      <w:r w:rsidR="00A45497" w:rsidRPr="00076A91">
        <w:rPr>
          <w:rFonts w:ascii="Times" w:eastAsia="Times New Roman" w:hAnsi="Times" w:cs="Arial"/>
          <w:bCs/>
          <w:kern w:val="0"/>
          <w:sz w:val="24"/>
          <w:szCs w:val="20"/>
          <w:lang w:eastAsia="pl-PL"/>
          <w14:ligatures w14:val="none"/>
        </w:rPr>
        <w:t>7</w:t>
      </w:r>
      <w:r w:rsidR="00A45497">
        <w:rPr>
          <w:rFonts w:ascii="Times" w:eastAsia="Times New Roman" w:hAnsi="Times" w:cs="Arial"/>
          <w:bCs/>
          <w:kern w:val="0"/>
          <w:sz w:val="24"/>
          <w:szCs w:val="20"/>
          <w:lang w:eastAsia="pl-PL"/>
          <w14:ligatures w14:val="none"/>
        </w:rPr>
        <w:t>9</w:t>
      </w:r>
      <w:r w:rsidR="00A45497"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3</w:t>
      </w:r>
    </w:p>
    <w:bookmarkEnd w:id="57"/>
    <w:bookmarkEnd w:id="59"/>
    <w:p w14:paraId="1C2B55CD" w14:textId="77777777" w:rsidR="00027D06" w:rsidRPr="00027D06" w:rsidRDefault="00027D06" w:rsidP="00027D06">
      <w:pPr>
        <w:spacing w:after="0" w:line="360" w:lineRule="auto"/>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uwzględniając rodzaje opłat i wpłat oraz charakter czynności, z którymi wiąże się obowiązek ich uiszczania, charakter działalności podmiotów obowiązanych do wnoszenia opłat i wpłat, a także zakres sprawowanego nadzoru nad rynkiem kryptoaktywów oraz konieczność zapewnienia jego skuteczności, oraz uwzględniając, że opłaty i wpłaty nie mogą w istotny sposób wpływać na zwiększenie kosztów działalności podmiotów obowiązanych do ich</w:t>
      </w:r>
      <w:r w:rsidRPr="00027D06">
        <w:rPr>
          <w:rFonts w:ascii="Times" w:eastAsia="Times New Roman" w:hAnsi="Times" w:cs="Arial"/>
          <w:bCs/>
          <w:kern w:val="0"/>
          <w:sz w:val="24"/>
          <w:szCs w:val="20"/>
          <w:lang w:eastAsia="pl-PL"/>
          <w14:ligatures w14:val="none"/>
        </w:rPr>
        <w:t xml:space="preserve"> uiszczania, a czynności związane z obowiązkiem wyliczania i uiszczania opłat i wpłat nie mogą stwarzać nadmiernych obciążeń administracyjnych dla podmiotów obowiązanych do ich uiszczania.</w:t>
      </w:r>
    </w:p>
    <w:bookmarkEnd w:id="42"/>
    <w:p w14:paraId="45876992"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27D06">
        <w:rPr>
          <w:rFonts w:ascii="Times" w:eastAsia="Times New Roman" w:hAnsi="Times" w:cs="Arial"/>
          <w:bCs/>
          <w:kern w:val="24"/>
          <w:sz w:val="24"/>
          <w:szCs w:val="24"/>
          <w:lang w:eastAsia="pl-PL"/>
          <w14:ligatures w14:val="none"/>
        </w:rPr>
        <w:t>Oddział 5</w:t>
      </w:r>
    </w:p>
    <w:p w14:paraId="76E9E68B" w14:textId="77777777" w:rsidR="00027D06" w:rsidRPr="00027D06"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Środki nadzorcze i sankcje administracyjne</w:t>
      </w:r>
    </w:p>
    <w:p w14:paraId="063E60E7" w14:textId="31C638A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8</w:t>
      </w:r>
      <w:r w:rsidR="000A668B">
        <w:rPr>
          <w:rFonts w:ascii="Times" w:eastAsia="Times New Roman" w:hAnsi="Times" w:cs="Arial"/>
          <w:b/>
          <w:kern w:val="0"/>
          <w:sz w:val="24"/>
          <w:szCs w:val="20"/>
          <w:lang w:eastAsia="pl-PL"/>
          <w14:ligatures w14:val="none"/>
        </w:rPr>
        <w:t>2</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Komisja może wydać emitentowi tokenów powiązanych z aktywami lub tokenów będących e-pieniądzem zalecenie zaprzestania w wyznaczonym terminie naruszania obowiązków wynikających z przepisów art. 23, art. 30</w:t>
      </w:r>
      <w:r w:rsidRPr="00027D06">
        <w:rPr>
          <w:rFonts w:ascii="Times" w:eastAsia="Times New Roman" w:hAnsi="Times" w:cs="Arial"/>
          <w:kern w:val="0"/>
          <w:sz w:val="24"/>
          <w:szCs w:val="20"/>
          <w:lang w:eastAsia="pl-PL"/>
          <w14:ligatures w14:val="none"/>
        </w:rPr>
        <w:sym w:font="Symbol" w:char="F02D"/>
      </w:r>
      <w:r w:rsidRPr="00027D06">
        <w:rPr>
          <w:rFonts w:ascii="Times" w:eastAsia="Times New Roman" w:hAnsi="Times" w:cs="Arial"/>
          <w:kern w:val="0"/>
          <w:sz w:val="24"/>
          <w:szCs w:val="20"/>
          <w:lang w:eastAsia="pl-PL"/>
          <w14:ligatures w14:val="none"/>
        </w:rPr>
        <w:t>32, art. 34</w:t>
      </w:r>
      <w:bookmarkStart w:id="60" w:name="_Hlk190870638"/>
      <w:r w:rsidRPr="00027D06">
        <w:rPr>
          <w:rFonts w:ascii="Times" w:eastAsia="Times New Roman" w:hAnsi="Times" w:cs="Arial"/>
          <w:kern w:val="0"/>
          <w:sz w:val="24"/>
          <w:szCs w:val="20"/>
          <w:lang w:eastAsia="pl-PL"/>
          <w14:ligatures w14:val="none"/>
        </w:rPr>
        <w:sym w:font="Symbol" w:char="F02D"/>
      </w:r>
      <w:bookmarkEnd w:id="60"/>
      <w:r w:rsidRPr="00027D06">
        <w:rPr>
          <w:rFonts w:ascii="Times" w:eastAsia="Times New Roman" w:hAnsi="Times" w:cs="Arial"/>
          <w:kern w:val="0"/>
          <w:sz w:val="24"/>
          <w:szCs w:val="20"/>
          <w:lang w:eastAsia="pl-PL"/>
          <w14:ligatures w14:val="none"/>
        </w:rPr>
        <w:t xml:space="preserve">38, art. 46, art. 47 lub art. 54 rozporządzenia 2023/1114 oraz przepisów aktów delegowanych wydanych na podstawie </w:t>
      </w:r>
      <w:r w:rsidRPr="00027D06">
        <w:rPr>
          <w:rFonts w:ascii="Times" w:eastAsia="Times New Roman" w:hAnsi="Times" w:cs="Arial"/>
          <w:kern w:val="0"/>
          <w:sz w:val="24"/>
          <w:szCs w:val="20"/>
          <w:lang w:eastAsia="pl-PL"/>
          <w14:ligatures w14:val="none"/>
        </w:rPr>
        <w:lastRenderedPageBreak/>
        <w:t xml:space="preserve">art. 31 ust. 5, art. 32 ust. 5, art. 35 ust. 6, art. 36 ust. 4, art. 38 ust. 5, </w:t>
      </w:r>
      <w:bookmarkStart w:id="61" w:name="_Hlk190073898"/>
      <w:r w:rsidRPr="00027D06">
        <w:rPr>
          <w:rFonts w:ascii="Times" w:eastAsia="Times New Roman" w:hAnsi="Times" w:cs="Arial"/>
          <w:kern w:val="0"/>
          <w:sz w:val="24"/>
          <w:szCs w:val="20"/>
          <w:lang w:eastAsia="pl-PL"/>
          <w14:ligatures w14:val="none"/>
        </w:rPr>
        <w:t>art. 46 ust. 6 lub art. 47 ust. 5</w:t>
      </w:r>
      <w:bookmarkEnd w:id="61"/>
      <w:r w:rsidRPr="00027D06">
        <w:rPr>
          <w:rFonts w:ascii="Times" w:eastAsia="Times New Roman" w:hAnsi="Times" w:cs="Arial"/>
          <w:kern w:val="0"/>
          <w:sz w:val="24"/>
          <w:szCs w:val="20"/>
          <w:lang w:eastAsia="pl-PL"/>
          <w14:ligatures w14:val="none"/>
        </w:rPr>
        <w:t xml:space="preserve"> rozporządzenia 2023/1114.</w:t>
      </w:r>
    </w:p>
    <w:p w14:paraId="221841E1" w14:textId="16C4858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8</w:t>
      </w:r>
      <w:r w:rsidR="000A668B">
        <w:rPr>
          <w:rFonts w:ascii="Times" w:eastAsia="Times New Roman" w:hAnsi="Times" w:cs="Arial"/>
          <w:b/>
          <w:kern w:val="0"/>
          <w:sz w:val="24"/>
          <w:szCs w:val="20"/>
          <w:lang w:eastAsia="pl-PL"/>
          <w14:ligatures w14:val="none"/>
        </w:rPr>
        <w:t>3</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Komisja może nakazać odpowiednio oferującemu, emitentowi tokenów powiązanych z aktywami lub tokenów będących e-pieniądzem, osobie ubiegającej się o dopuszczenie kryptoaktywów do obrotu i dostawcy usług w zakresie kryptoaktywów prowadzącemu platformę obrotu kryptoaktywami:</w:t>
      </w:r>
    </w:p>
    <w:p w14:paraId="17A424E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zmianę treści dokumentu informacyjnego dotyczącego kryptoaktywa albo uzupełnienie treści takiego dokumentu o dodatkowe informacje w przypadku, gdy dokument ten nie zawiera informacji wymaganych zgodnie z odpowiednio art. 6, art. 19 lub art. 51 rozporządzenia 2023/1114;</w:t>
      </w:r>
    </w:p>
    <w:p w14:paraId="0F28E620"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uzupełnienie treści dokumentu informacyjnego dotyczącego kryptoaktywa o dodatkowe informacje w przypadku, gdy dokument ten wymaga uzupełnienia koniecznego w celu zapewnienia stabilności finansowej oraz ochrony interesów posiadaczy kryptoaktywów, w szczególności posiadaczy detalicznych.</w:t>
      </w:r>
    </w:p>
    <w:p w14:paraId="2F11072F" w14:textId="65D84E66"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8</w:t>
      </w:r>
      <w:r w:rsidR="000A668B">
        <w:rPr>
          <w:rFonts w:ascii="Times" w:eastAsia="Times New Roman" w:hAnsi="Times" w:cs="Arial"/>
          <w:b/>
          <w:kern w:val="0"/>
          <w:sz w:val="24"/>
          <w:szCs w:val="20"/>
          <w:lang w:eastAsia="pl-PL"/>
          <w14:ligatures w14:val="none"/>
        </w:rPr>
        <w:t>4</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o którym mowa w art. 46 ust. 3 rozporządzenia 2023/1114, Komisja może nakazać emitentowi tokenów powiązanych z aktywami lub tokenów będących e-pieniądzem:</w:t>
      </w:r>
    </w:p>
    <w:p w14:paraId="3B4D5A56"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wdrożenie planu naprawy oraz podjęcie określonych działań przewidzianych w tym planie;</w:t>
      </w:r>
    </w:p>
    <w:p w14:paraId="218F5AED"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 xml:space="preserve">aktualizację planu naprawy oraz podjęcie określonych działań przewidzianych w tym planie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 przypadku zaistnienia zdarzenia wpływającego na założenia przyjęte w planie naprawy lub na jego wykonanie;</w:t>
      </w:r>
    </w:p>
    <w:p w14:paraId="13A00D1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 xml:space="preserve">zawieszenie, na okres nie dłuższy niż 3 miesiące, wykupu tokenów powiązanych z aktywami lub tokenów będących e-pieniądzem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jeżeli jest to uzasadnione interesami posiadaczy tokenów powiązanych z aktywami lub tokenów będących e-pieniądzem, lub może służyć utrzymaniu lub przywróceniu stabilności finansowej tego emitenta.</w:t>
      </w:r>
    </w:p>
    <w:p w14:paraId="7E2300C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Komisja, wydając nakaz, o którym mowa w ust. 1, może określić termin jego wykonania.</w:t>
      </w:r>
    </w:p>
    <w:p w14:paraId="1FE1887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Niezwłocznie po wydaniu nakazu, o którym mowa w ust. 1, wobec emitenta tokenów powiązanych z aktywami lub tokenów będących e-pieniądzem, dla którego Bankowy Fundusz Gwarancyjny jest organem przymusowej restrukturyzacji, Komisja powiadamia Bankowy Fundusz Gwarancyjny o jego wydaniu.</w:t>
      </w:r>
    </w:p>
    <w:p w14:paraId="2A3D23A9" w14:textId="6BC4AF7D"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lastRenderedPageBreak/>
        <w:t>Art. </w:t>
      </w:r>
      <w:r w:rsidR="000A668B" w:rsidRPr="00027D06">
        <w:rPr>
          <w:rFonts w:ascii="Times" w:eastAsia="Times New Roman" w:hAnsi="Times" w:cs="Arial"/>
          <w:b/>
          <w:kern w:val="0"/>
          <w:sz w:val="24"/>
          <w:szCs w:val="20"/>
          <w:lang w:eastAsia="pl-PL"/>
          <w14:ligatures w14:val="none"/>
        </w:rPr>
        <w:t>8</w:t>
      </w:r>
      <w:r w:rsidR="000A668B">
        <w:rPr>
          <w:rFonts w:ascii="Times" w:eastAsia="Times New Roman" w:hAnsi="Times" w:cs="Arial"/>
          <w:b/>
          <w:kern w:val="0"/>
          <w:sz w:val="24"/>
          <w:szCs w:val="20"/>
          <w:lang w:eastAsia="pl-PL"/>
          <w14:ligatures w14:val="none"/>
        </w:rPr>
        <w:t>5</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postępowaniach prowadzonych w sprawach, o których mowa w art. 84 ust. 1, Komisja może odstąpić od stosowania przepisu art. 10 § 1 ustawy z dnia 14 czerwca 1960 r. – Kodeks postępowania administracyjnego w przypadkach, gdy zastosowanie tego przepisu mogłoby uniemożliwić albo znacznie utrudnić osiągnięcie celu </w:t>
      </w:r>
      <w:r w:rsidRPr="00076A91">
        <w:rPr>
          <w:rFonts w:ascii="Times" w:eastAsia="Times New Roman" w:hAnsi="Times" w:cs="Arial"/>
          <w:kern w:val="0"/>
          <w:sz w:val="24"/>
          <w:szCs w:val="20"/>
          <w:lang w:eastAsia="pl-PL"/>
          <w14:ligatures w14:val="none"/>
        </w:rPr>
        <w:t>wynikającego z art. 46 ust. 3 rozporządzenia 2023/1114.</w:t>
      </w:r>
    </w:p>
    <w:p w14:paraId="068DC97D" w14:textId="184EBC4D"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2. Decyzje wydawane przez Komisję w sprawach, o których mowa w art. </w:t>
      </w:r>
      <w:r w:rsidR="00547711" w:rsidRPr="00076A91">
        <w:rPr>
          <w:rFonts w:ascii="Times" w:eastAsia="Times New Roman" w:hAnsi="Times" w:cs="Arial"/>
          <w:bCs/>
          <w:kern w:val="0"/>
          <w:sz w:val="24"/>
          <w:szCs w:val="20"/>
          <w:lang w:eastAsia="pl-PL"/>
          <w14:ligatures w14:val="none"/>
        </w:rPr>
        <w:t>8</w:t>
      </w:r>
      <w:r w:rsidR="00547711">
        <w:rPr>
          <w:rFonts w:ascii="Times" w:eastAsia="Times New Roman" w:hAnsi="Times" w:cs="Arial"/>
          <w:bCs/>
          <w:kern w:val="0"/>
          <w:sz w:val="24"/>
          <w:szCs w:val="20"/>
          <w:lang w:eastAsia="pl-PL"/>
          <w14:ligatures w14:val="none"/>
        </w:rPr>
        <w:t>4</w:t>
      </w:r>
      <w:r w:rsidR="00547711"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podlegają natychmiastowemu wykonaniu.</w:t>
      </w:r>
    </w:p>
    <w:p w14:paraId="087771A4" w14:textId="64C35C8B"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3. Uzasadnienie decyzji w sprawie, o której </w:t>
      </w:r>
      <w:r w:rsidRPr="00076A91">
        <w:rPr>
          <w:rFonts w:ascii="Times" w:eastAsia="Times New Roman" w:hAnsi="Times" w:cs="Arial"/>
          <w:bCs/>
          <w:kern w:val="0"/>
          <w:sz w:val="24"/>
          <w:szCs w:val="20"/>
          <w:lang w:eastAsia="pl-PL"/>
          <w14:ligatures w14:val="none"/>
        </w:rPr>
        <w:t xml:space="preserve">mowa w art. </w:t>
      </w:r>
      <w:r w:rsidR="00547711" w:rsidRPr="00076A91">
        <w:rPr>
          <w:rFonts w:ascii="Times" w:eastAsia="Times New Roman" w:hAnsi="Times" w:cs="Arial"/>
          <w:bCs/>
          <w:kern w:val="0"/>
          <w:sz w:val="24"/>
          <w:szCs w:val="20"/>
          <w:lang w:eastAsia="pl-PL"/>
          <w14:ligatures w14:val="none"/>
        </w:rPr>
        <w:t>8</w:t>
      </w:r>
      <w:r w:rsidR="00547711">
        <w:rPr>
          <w:rFonts w:ascii="Times" w:eastAsia="Times New Roman" w:hAnsi="Times" w:cs="Arial"/>
          <w:bCs/>
          <w:kern w:val="0"/>
          <w:sz w:val="24"/>
          <w:szCs w:val="20"/>
          <w:lang w:eastAsia="pl-PL"/>
          <w14:ligatures w14:val="none"/>
        </w:rPr>
        <w:t>4</w:t>
      </w:r>
      <w:r w:rsidR="00547711"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doręcza się w terminie 14 dni od dnia doręczenia decyzji.</w:t>
      </w:r>
    </w:p>
    <w:p w14:paraId="694F6104"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 W przypadku, o którym mowa w ust. 3, termin na złożenie wniosku o ponowne rozpatrzenie sprawy biegnie od dnia doręczenia uzasadnienia decyzji.</w:t>
      </w:r>
    </w:p>
    <w:p w14:paraId="2549B863" w14:textId="6587DEB1"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8</w:t>
      </w:r>
      <w:r w:rsidR="000A668B">
        <w:rPr>
          <w:rFonts w:ascii="Times" w:eastAsia="Times New Roman" w:hAnsi="Times" w:cs="Arial"/>
          <w:b/>
          <w:kern w:val="0"/>
          <w:sz w:val="24"/>
          <w:szCs w:val="20"/>
          <w:lang w:eastAsia="pl-PL"/>
          <w14:ligatures w14:val="none"/>
        </w:rPr>
        <w:t>6</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W przypadkach, o których mowa w art. 47 ust. 1 rozporządzenia 2023/1114, Komisja może nakazać emitentowi tokenów powiązanych z aktywami lub tokenów będących e-pieniądzem wdrożenie planu wykupu, określając termin jego wdrożenia.</w:t>
      </w:r>
    </w:p>
    <w:p w14:paraId="183370F4"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Niezwłocznie po wydaniu nakazu, o którym mowa w ust. 1, wobec emitenta tokenów powiązanych z aktywami lub tokenów będących e-pieniądzem, dla którego Bankowy Fundusz Gwarancyjny jest organem przymusowej restrukturyzacji, Komisja powiadamia Bankowy Fundusz Gwarancyjny o jego wydaniu.</w:t>
      </w:r>
    </w:p>
    <w:p w14:paraId="088102F5" w14:textId="536D5CD4"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8</w:t>
      </w:r>
      <w:r w:rsidR="000A668B">
        <w:rPr>
          <w:rFonts w:ascii="Times" w:eastAsia="Times New Roman" w:hAnsi="Times" w:cs="Arial"/>
          <w:b/>
          <w:kern w:val="0"/>
          <w:sz w:val="24"/>
          <w:szCs w:val="20"/>
          <w:lang w:eastAsia="pl-PL"/>
          <w14:ligatures w14:val="none"/>
        </w:rPr>
        <w:t>7</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W postępowaniach prowadzonych w sprawach, o których mowa w art. </w:t>
      </w:r>
      <w:r w:rsidR="00EA1338" w:rsidRPr="00076A91">
        <w:rPr>
          <w:rFonts w:ascii="Times" w:eastAsia="Times New Roman" w:hAnsi="Times" w:cs="Arial"/>
          <w:kern w:val="0"/>
          <w:sz w:val="24"/>
          <w:szCs w:val="20"/>
          <w:lang w:eastAsia="pl-PL"/>
          <w14:ligatures w14:val="none"/>
        </w:rPr>
        <w:t>8</w:t>
      </w:r>
      <w:r w:rsidR="00EA1338">
        <w:rPr>
          <w:rFonts w:ascii="Times" w:eastAsia="Times New Roman" w:hAnsi="Times" w:cs="Arial"/>
          <w:kern w:val="0"/>
          <w:sz w:val="24"/>
          <w:szCs w:val="20"/>
          <w:lang w:eastAsia="pl-PL"/>
          <w14:ligatures w14:val="none"/>
        </w:rPr>
        <w:t>6</w:t>
      </w:r>
      <w:r w:rsidR="00EA1338"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ust. 1, Komisja może odstąpić od stosowania przepisu art. 10 § 1 ustawy z dnia 14 czerwca 1960 r. – Kodeks postępowania administracyjnego w przypadkach, gdy zastosowanie tego przepisu mogłoby uniemożliwić albo znacznie utrudnić osiągnięcie celów wynikających z art. 47 ust. 1 i 2 rozporządzenia 2023/1114.</w:t>
      </w:r>
    </w:p>
    <w:p w14:paraId="585B1AF6" w14:textId="01ED6181"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2. Decyzje wydawane przez Komisję w sprawach, o których mowa w art. </w:t>
      </w:r>
      <w:r w:rsidR="00EA1338" w:rsidRPr="00076A91">
        <w:rPr>
          <w:rFonts w:ascii="Times" w:eastAsia="Times New Roman" w:hAnsi="Times" w:cs="Arial"/>
          <w:bCs/>
          <w:kern w:val="0"/>
          <w:sz w:val="24"/>
          <w:szCs w:val="20"/>
          <w:lang w:eastAsia="pl-PL"/>
          <w14:ligatures w14:val="none"/>
        </w:rPr>
        <w:t>8</w:t>
      </w:r>
      <w:r w:rsidR="00EA1338">
        <w:rPr>
          <w:rFonts w:ascii="Times" w:eastAsia="Times New Roman" w:hAnsi="Times" w:cs="Arial"/>
          <w:bCs/>
          <w:kern w:val="0"/>
          <w:sz w:val="24"/>
          <w:szCs w:val="20"/>
          <w:lang w:eastAsia="pl-PL"/>
          <w14:ligatures w14:val="none"/>
        </w:rPr>
        <w:t>6</w:t>
      </w:r>
      <w:r w:rsidR="00EA1338"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podlegają natychmiastowemu wykonaniu.</w:t>
      </w:r>
    </w:p>
    <w:p w14:paraId="3A2644C8" w14:textId="2F71EA39"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3. Uzasadnienie decyzji w sprawie, o której mowa w art. </w:t>
      </w:r>
      <w:r w:rsidR="00EA1338" w:rsidRPr="00076A91">
        <w:rPr>
          <w:rFonts w:ascii="Times" w:eastAsia="Times New Roman" w:hAnsi="Times" w:cs="Arial"/>
          <w:bCs/>
          <w:kern w:val="0"/>
          <w:sz w:val="24"/>
          <w:szCs w:val="20"/>
          <w:lang w:eastAsia="pl-PL"/>
          <w14:ligatures w14:val="none"/>
        </w:rPr>
        <w:t>8</w:t>
      </w:r>
      <w:r w:rsidR="00EA1338">
        <w:rPr>
          <w:rFonts w:ascii="Times" w:eastAsia="Times New Roman" w:hAnsi="Times" w:cs="Arial"/>
          <w:bCs/>
          <w:kern w:val="0"/>
          <w:sz w:val="24"/>
          <w:szCs w:val="20"/>
          <w:lang w:eastAsia="pl-PL"/>
          <w14:ligatures w14:val="none"/>
        </w:rPr>
        <w:t>6</w:t>
      </w:r>
      <w:r w:rsidR="00EA1338"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doręcza się w terminie 14 dni od dnia doręczenia decyzji.</w:t>
      </w:r>
    </w:p>
    <w:p w14:paraId="6929785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 W przypadku, o którym mowa w ust. 3, termin na złożenie wniosku o ponowne rozpatrzenie sprawy biegnie od dnia doręczenia uzasadnienia decyzji.</w:t>
      </w:r>
    </w:p>
    <w:p w14:paraId="76FA4040" w14:textId="12E9E1DD"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8</w:t>
      </w:r>
      <w:r w:rsidR="000A668B">
        <w:rPr>
          <w:rFonts w:ascii="Times" w:eastAsia="Times New Roman" w:hAnsi="Times" w:cs="Arial"/>
          <w:b/>
          <w:kern w:val="0"/>
          <w:sz w:val="24"/>
          <w:szCs w:val="20"/>
          <w:lang w:eastAsia="pl-PL"/>
          <w14:ligatures w14:val="none"/>
        </w:rPr>
        <w:t>8</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W przypadku stwierdzenia, że materiały marketingowe dotyczące oferty publicznej lub ubiegania się o dopuszczenie kryptoaktywów do obrotu nie spełniają wymogów określonych w art. 7, art. 29 lub art. 53 rozporządzenia 2023/1114, Komisja może nakazać </w:t>
      </w:r>
      <w:r w:rsidRPr="00027D06">
        <w:rPr>
          <w:rFonts w:ascii="Times" w:eastAsia="Times New Roman" w:hAnsi="Times" w:cs="Arial"/>
          <w:kern w:val="0"/>
          <w:sz w:val="24"/>
          <w:szCs w:val="20"/>
          <w:lang w:eastAsia="pl-PL"/>
          <w14:ligatures w14:val="none"/>
        </w:rPr>
        <w:lastRenderedPageBreak/>
        <w:t>odpowiednio oferującemu, emitentowi tokenów powiązanych z aktywami lub tokenów będących e-pieniądzem lub osobie ubiegającej się o dopuszczenie kryptoaktywów do obrotu zmianę treści tych materiałów marketingowych.</w:t>
      </w:r>
    </w:p>
    <w:p w14:paraId="797FBC40" w14:textId="261592DE"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8</w:t>
      </w:r>
      <w:r w:rsidR="000A668B">
        <w:rPr>
          <w:rFonts w:ascii="Times" w:eastAsia="Times New Roman" w:hAnsi="Times" w:cs="Arial"/>
          <w:b/>
          <w:kern w:val="0"/>
          <w:sz w:val="24"/>
          <w:szCs w:val="20"/>
          <w:lang w:eastAsia="pl-PL"/>
          <w14:ligatures w14:val="none"/>
        </w:rPr>
        <w:t>9</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naruszenia przepisów art. 6, art. 8 ust. 4</w:t>
      </w:r>
      <w:r w:rsidRPr="00027D06">
        <w:rPr>
          <w:rFonts w:ascii="Times" w:eastAsia="Times New Roman" w:hAnsi="Times" w:cs="Arial"/>
          <w:kern w:val="0"/>
          <w:sz w:val="24"/>
          <w:szCs w:val="20"/>
          <w:lang w:eastAsia="pl-PL"/>
          <w14:ligatures w14:val="none"/>
        </w:rPr>
        <w:sym w:font="Symbol" w:char="F02D"/>
      </w:r>
      <w:r w:rsidRPr="00027D06">
        <w:rPr>
          <w:rFonts w:ascii="Times" w:eastAsia="Times New Roman" w:hAnsi="Times" w:cs="Arial"/>
          <w:kern w:val="0"/>
          <w:sz w:val="24"/>
          <w:szCs w:val="20"/>
          <w:lang w:eastAsia="pl-PL"/>
          <w14:ligatures w14:val="none"/>
        </w:rPr>
        <w:t>6, art. 9, art. 12, art. 17, art. 19, art. 25, art. 28 lub art. 51 rozporządzenia 2023/1114, przepisów aktów delegowanych wydanych na podstawie art. 6 ust. 12, art. 17 ust. 8, art. 19 ust. 11 lub art. 51 ust. 15 rozporządzenia 2023/1114 lub przepisów aktów wykonawczych wydanych na podstawie art. 6 ust. 11, art. 19 ust. 10 lub art. 51 ust. 10 rozporządzenia 2023/1114, w związku z ofertą publiczną kryptoaktywów, przez oferującego, emitenta tokenów powiązanych z aktywami lub tokenów będących e-pieniądzem lub inne podmioty uczestniczące w tej ofercie w imieniu lub na zlecenie tego oferującego lub emitenta, uzasadnionego podejrzenia takiego naruszenia albo uzasadnionego podejrzenia, że takie naruszenie może nastąpić, Komisja może:</w:t>
      </w:r>
    </w:p>
    <w:p w14:paraId="3465DDC2"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nakazać oferującemu lub emitentowi tokenów powiązanych z aktywami lub tokenów będących e-pieniądzem wstrzymanie rozpoczęcia oferty publicznej kryptoaktywów albo przerwanie jej przebiegu, na okres nie dłuższy niż 30 dni roboczych, lub</w:t>
      </w:r>
    </w:p>
    <w:p w14:paraId="42F934B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zakazać oferującemu lub emitentowi tokenów powiązanych z aktywami lub tokenów będących e-pieniądzem rozpoczęcia oferty publicznej kryptoaktywów albo dalszego jej prowadzenia, lub</w:t>
      </w:r>
    </w:p>
    <w:p w14:paraId="6D68372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opublikować, na koszt oferującego lub emitenta tokenów powiązanych z aktywami lub tokenów będących e-pieniądzem, informację o niezgodnym z prawem działaniu w związku z ofertą publiczną kryptoaktywów.</w:t>
      </w:r>
    </w:p>
    <w:p w14:paraId="5217E75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przypadku gdy waga naruszenia, o którym mowa w ust. 1, jest niewielka, Komisja może wydać oferującemu lub emitentowi tokenów powiązanych z aktywami lub tokenów będących e-pieniądzem zalecenie zaprzestania tego naruszenia, wyznaczając termin jego wykonania. Jeżeli jest to konieczne do usunięcia tego naruszenia, Komisja może zobowiązać oferującego lub emitenta tokenów powiązanych z aktywami lub tokenów będących e-pieniądzem do wstrzymania rozpoczęcia oferty publicznej kryptoaktywów albo przerwania jej przebiegu do czasu zaprzestania wskazanego w zaleceniu naruszenia.</w:t>
      </w:r>
    </w:p>
    <w:p w14:paraId="7A130CA2"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niewykonania przez oferującego lub emitenta tokenów powiązanych z aktywami lub tokenów będących e-pieniądzem w wyznaczonym terminie zalecenia, o którym mowa w ust. 2, przepis ust. 1 stosuje się odpowiednio.</w:t>
      </w:r>
    </w:p>
    <w:p w14:paraId="47D891BF"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W związku z daną ofertą publiczną kryptoaktywów Komisja może wielokrotnie zastosować środki przewidziane w ust. 1 i 2.</w:t>
      </w:r>
    </w:p>
    <w:p w14:paraId="5A5C1FA1" w14:textId="18D52B74"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lastRenderedPageBreak/>
        <w:t>Art. </w:t>
      </w:r>
      <w:r w:rsidR="000A668B">
        <w:rPr>
          <w:rFonts w:ascii="Times" w:eastAsia="Times New Roman" w:hAnsi="Times" w:cs="Arial"/>
          <w:b/>
          <w:kern w:val="0"/>
          <w:sz w:val="24"/>
          <w:szCs w:val="20"/>
          <w:lang w:eastAsia="pl-PL"/>
          <w14:ligatures w14:val="none"/>
        </w:rPr>
        <w:t>90</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naruszenia przepisów art. 6, art. 8 ust. 4</w:t>
      </w:r>
      <w:r w:rsidRPr="00027D06">
        <w:rPr>
          <w:rFonts w:ascii="Times" w:eastAsia="Times New Roman" w:hAnsi="Times" w:cs="Arial"/>
          <w:kern w:val="0"/>
          <w:sz w:val="24"/>
          <w:szCs w:val="20"/>
          <w:lang w:eastAsia="pl-PL"/>
          <w14:ligatures w14:val="none"/>
        </w:rPr>
        <w:sym w:font="Symbol" w:char="F02D"/>
      </w:r>
      <w:r w:rsidRPr="00027D06">
        <w:rPr>
          <w:rFonts w:ascii="Times" w:eastAsia="Times New Roman" w:hAnsi="Times" w:cs="Arial"/>
          <w:kern w:val="0"/>
          <w:sz w:val="24"/>
          <w:szCs w:val="20"/>
          <w:lang w:eastAsia="pl-PL"/>
          <w14:ligatures w14:val="none"/>
        </w:rPr>
        <w:t>6, art. 9, art. 12, art. 17, art. 19, art. 25, art. 28 lub art. 51 rozporządzenia 2023/1114, przepisów aktów delegowanych wydanych na podstawie art. 6 ust. 12, art. 17 ust. 8, art. 19 ust. 11 lub art. 51 ust. 15 rozporządzenia 2023/1114 lub przepisów aktów wykonawczych wydanych na podstawie art. 6 ust. 11, art. 19 ust. 10 lub art. 51 ust. 10 rozporządzenia 2023/1114, w związku z ubieganiem się o dopuszczenie kryptoaktywów do obrotu, przez oferującego, osobę ubiegającą się o takie dopuszczenie lub inne podmioty występujące w ich imieniu lub na ich zlecenie, uzasadnionego podejrzenia takiego naruszenia albo uzasadnionego podejrzenia, że takie naruszenie może nastąpić, Komisja może:</w:t>
      </w:r>
    </w:p>
    <w:p w14:paraId="1B365C20"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 xml:space="preserve">nakazać </w:t>
      </w:r>
      <w:bookmarkStart w:id="62" w:name="_Hlk173951479"/>
      <w:r w:rsidRPr="00027D06">
        <w:rPr>
          <w:rFonts w:ascii="Times" w:eastAsia="Times New Roman" w:hAnsi="Times" w:cs="Arial"/>
          <w:bCs/>
          <w:kern w:val="0"/>
          <w:sz w:val="24"/>
          <w:szCs w:val="20"/>
          <w:lang w:eastAsia="pl-PL"/>
          <w14:ligatures w14:val="none"/>
        </w:rPr>
        <w:t xml:space="preserve">oferującemu lub osobie ubiegającej się o dopuszczenie kryptoaktywów do obrotu </w:t>
      </w:r>
      <w:bookmarkEnd w:id="62"/>
      <w:r w:rsidRPr="00027D06">
        <w:rPr>
          <w:rFonts w:ascii="Times" w:eastAsia="Times New Roman" w:hAnsi="Times" w:cs="Arial"/>
          <w:bCs/>
          <w:kern w:val="0"/>
          <w:sz w:val="24"/>
          <w:szCs w:val="20"/>
          <w:lang w:eastAsia="pl-PL"/>
          <w14:ligatures w14:val="none"/>
        </w:rPr>
        <w:t>wstrzymanie ubiegania się o dopuszczenie kryptoaktywów do obrotu, na okres nie dłuższy niż 30 dni roboczych, lub</w:t>
      </w:r>
    </w:p>
    <w:p w14:paraId="0F78FC0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zakazać oferującemu lub osobie ubiegającej się o dopuszczenie kryptoaktywów do obrotu ubiegania się o dopuszczenie kryptoaktywów do obrotu, lub</w:t>
      </w:r>
    </w:p>
    <w:p w14:paraId="2F69B8E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opublikować, na koszt oferującego lub osoby ubiegającej się o dopuszczenie kryptoaktywów do obrotu, informację o niezgodnym z prawem działaniu w związku z ubieganiem się o dopuszczenie kryptoaktywów do obrotu.</w:t>
      </w:r>
    </w:p>
    <w:p w14:paraId="05E6D19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przypadku gdy waga naruszenia, o którym mowa w ust. 1, jest niewielka, Komisja może wydać oferującemu lub osobie ubiegającej się o dopuszczenie kryptoaktywów do obrotu zalecenie zaprzestania tego naruszania, wyznaczając termin jego wykonania. Jeżeli jest to konieczne do usunięcia tego naruszenia, Komisja może zobowiązać oferującego lub osobę ubiegającą się o dopuszczenie kryptoaktywów do obrotu do wstrzymania ubiegania się o dopuszczenie kryptoaktywów do obrotu, do czasu zaprzestania wskazanego w zaleceniu naruszenia.</w:t>
      </w:r>
    </w:p>
    <w:p w14:paraId="0302F0F0"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niewykonania przez oferującego lub osobę ubiegającą się o dopuszczenie kryptoaktywów do obrotu w wyznaczonym terminie zalecenia, o którym mowa w ust. 2, przepis ust. 1 stosuje się odpowiednio.</w:t>
      </w:r>
    </w:p>
    <w:p w14:paraId="22E1D652"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W przypadku gdy dostawca usług w zakresie kryptoaktywów prowadzący platformę obrotu kryptoaktywami, o którym mowa w art. 5 ust. 2 rozporządzenia 2023/1114, nie spełnia wymogów określonych w art. 5 ust. 1 rozporządzenia 2023/1114, Komisja może:</w:t>
      </w:r>
    </w:p>
    <w:p w14:paraId="4CE7C4EF"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nakazać dostawcy usług w zakresie kryptoaktywów prowadzącemu platformę obrotu kryptoaktywami wstrzymanie ubiegania się o dopuszczenie kryptoaktywów do obrotu, na okres nie dłuższy niż 30 dni roboczych, lub</w:t>
      </w:r>
    </w:p>
    <w:p w14:paraId="727AD7B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2)</w:t>
      </w:r>
      <w:r w:rsidRPr="00027D06">
        <w:rPr>
          <w:rFonts w:ascii="Times" w:eastAsia="Times New Roman" w:hAnsi="Times" w:cs="Arial"/>
          <w:bCs/>
          <w:kern w:val="0"/>
          <w:sz w:val="24"/>
          <w:szCs w:val="20"/>
          <w:lang w:eastAsia="pl-PL"/>
          <w14:ligatures w14:val="none"/>
        </w:rPr>
        <w:tab/>
        <w:t>zakazać dostawcy usług w zakresie kryptoaktywów prowadzącemu platformę obrotu kryptoaktywami ubiegania się o dopuszczenie kryptoaktywów do obrotu, lub</w:t>
      </w:r>
    </w:p>
    <w:p w14:paraId="6DB19D7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opublikować, na koszt dostawcy usług w zakresie kryptoaktywów prowadzącego platformę obrotu kryptoaktywami, informację o niezgodnym z prawem działaniu w związku z ubieganiem się o dopuszczenie kryptoaktywów do obrotu.</w:t>
      </w:r>
    </w:p>
    <w:p w14:paraId="51F26A9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 W przypadku gdy waga naruszenia, o którym mowa w ust. 4, jest niewielka, Komisja może wydać dostawcy usług w zakresie kryptoaktywów prowadzącemu platformę obrotu kryptoaktywami zalecenie zaprzestania tego naruszenia, wyznaczając termin jego wykonania. Jeżeli jest to konieczne do usunięcia tego naruszenia, Komisja może zobowiązać dostawcę usług w zakresie kryptoaktywów prowadzącego platformę obrotu kryptoaktywami do wstrzymania ubiegania się o dopuszczenie kryptoaktywów do obrotu do czasu zaprzestania wskazanego w zaleceniu naruszenia.</w:t>
      </w:r>
    </w:p>
    <w:p w14:paraId="5BF02202"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 W przypadku niewykonania przez dostawcę usług w zakresie kryptoaktywów prowadzącego platformę obrotu kryptoaktywami w wyznaczonym terminie zalecenia, o którym mowa w ust. 5, przepis ust. 4 stosuje się odpowiednio.</w:t>
      </w:r>
    </w:p>
    <w:p w14:paraId="265589EF"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7. W związku z danym ubieganiem się o dopuszczenie kryptoaktywów do obrotu Komisja może wielokrotnie zastosować środki przewidziane w ust. 1, 2, 4 i 5.</w:t>
      </w:r>
    </w:p>
    <w:p w14:paraId="3A995C2F" w14:textId="7F3D6B5D"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9</w:t>
      </w:r>
      <w:r w:rsidR="000A668B">
        <w:rPr>
          <w:rFonts w:ascii="Times" w:eastAsia="Times New Roman" w:hAnsi="Times" w:cs="Arial"/>
          <w:b/>
          <w:kern w:val="0"/>
          <w:sz w:val="24"/>
          <w:szCs w:val="20"/>
          <w:lang w:eastAsia="pl-PL"/>
          <w14:ligatures w14:val="none"/>
        </w:rPr>
        <w:t>1</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uzasadnionego podejrzenia </w:t>
      </w:r>
      <w:bookmarkStart w:id="63" w:name="_Hlk173951716"/>
      <w:r w:rsidRPr="00027D06">
        <w:rPr>
          <w:rFonts w:ascii="Times" w:eastAsia="Times New Roman" w:hAnsi="Times" w:cs="Arial"/>
          <w:kern w:val="0"/>
          <w:sz w:val="24"/>
          <w:szCs w:val="20"/>
          <w:lang w:eastAsia="pl-PL"/>
          <w14:ligatures w14:val="none"/>
        </w:rPr>
        <w:t>dokonywania oferty publicznej lub ubiegania się o dopuszczenie do obrotu:</w:t>
      </w:r>
    </w:p>
    <w:p w14:paraId="2872400E"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tokenów powiązanych z aktywami lub tokenów będących e-pieniądzem bez wymaganego zezwolenia albo innego uprawnienia wynikającego z przepisów rozporządzenia 2023/1114,</w:t>
      </w:r>
    </w:p>
    <w:p w14:paraId="42102FC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kryptoaktywów innych niż tokeny powiązane z aktywami lub tokeny będące e-pieniądzem bez zgłoszenia dokumentu informacyjnego</w:t>
      </w:r>
    </w:p>
    <w:bookmarkEnd w:id="63"/>
    <w:p w14:paraId="0205C535" w14:textId="77777777" w:rsidR="00027D06" w:rsidRPr="00027D06" w:rsidRDefault="00027D06" w:rsidP="00027D06">
      <w:pPr>
        <w:spacing w:after="0" w:line="360" w:lineRule="auto"/>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Komisja może zakazać podmiotowi dokonującemu oferty publicznej lub osobie ubiegającej się o dopuszczenie kryptoaktywów do obrotu rozpoczęcia oferty publicznej albo jej dalszego prowadzenia lub ubiegania się o dopuszczenie kryptoaktywów do obrotu.</w:t>
      </w:r>
    </w:p>
    <w:p w14:paraId="326B228D"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2. </w:t>
      </w:r>
      <w:bookmarkStart w:id="64" w:name="_Hlk173951850"/>
      <w:r w:rsidRPr="00027D06">
        <w:rPr>
          <w:rFonts w:ascii="Times" w:eastAsia="Times New Roman" w:hAnsi="Times" w:cs="Arial"/>
          <w:bCs/>
          <w:kern w:val="0"/>
          <w:sz w:val="24"/>
          <w:szCs w:val="20"/>
          <w:lang w:eastAsia="pl-PL"/>
          <w14:ligatures w14:val="none"/>
        </w:rPr>
        <w:t>W przypadku uzasadnionego podejrzenia świadczenia przez podmiot usług w zakresie kryptoaktywów bez zezwolenia albo innego uprawnienia wynikającego z przepisów rozporządzenia 2023/1114</w:t>
      </w:r>
      <w:bookmarkEnd w:id="64"/>
      <w:r w:rsidRPr="00027D06">
        <w:rPr>
          <w:rFonts w:ascii="Times" w:eastAsia="Times New Roman" w:hAnsi="Times" w:cs="Arial"/>
          <w:bCs/>
          <w:kern w:val="0"/>
          <w:sz w:val="24"/>
          <w:szCs w:val="20"/>
          <w:lang w:eastAsia="pl-PL"/>
          <w14:ligatures w14:val="none"/>
        </w:rPr>
        <w:t xml:space="preserve"> </w:t>
      </w:r>
      <w:bookmarkStart w:id="65" w:name="_Hlk173951802"/>
      <w:r w:rsidRPr="00027D06">
        <w:rPr>
          <w:rFonts w:ascii="Times" w:eastAsia="Times New Roman" w:hAnsi="Times" w:cs="Arial"/>
          <w:bCs/>
          <w:kern w:val="0"/>
          <w:sz w:val="24"/>
          <w:szCs w:val="20"/>
          <w:lang w:eastAsia="pl-PL"/>
          <w14:ligatures w14:val="none"/>
        </w:rPr>
        <w:t>Komisja może zakazać temu podmiotowi świadczenia usług w zakresie kryptoaktywów</w:t>
      </w:r>
      <w:bookmarkEnd w:id="65"/>
      <w:r w:rsidRPr="00027D06">
        <w:rPr>
          <w:rFonts w:ascii="Times" w:eastAsia="Times New Roman" w:hAnsi="Times" w:cs="Arial"/>
          <w:bCs/>
          <w:kern w:val="0"/>
          <w:sz w:val="24"/>
          <w:szCs w:val="20"/>
          <w:lang w:eastAsia="pl-PL"/>
          <w14:ligatures w14:val="none"/>
        </w:rPr>
        <w:t>.</w:t>
      </w:r>
    </w:p>
    <w:p w14:paraId="531939B7" w14:textId="6C69E8A9"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lastRenderedPageBreak/>
        <w:t>Art. </w:t>
      </w:r>
      <w:r w:rsidR="000A668B" w:rsidRPr="00027D06">
        <w:rPr>
          <w:rFonts w:ascii="Times" w:eastAsia="Times New Roman" w:hAnsi="Times" w:cs="Arial"/>
          <w:b/>
          <w:kern w:val="0"/>
          <w:sz w:val="24"/>
          <w:szCs w:val="20"/>
          <w:lang w:eastAsia="pl-PL"/>
          <w14:ligatures w14:val="none"/>
        </w:rPr>
        <w:t>9</w:t>
      </w:r>
      <w:r w:rsidR="000A668B">
        <w:rPr>
          <w:rFonts w:ascii="Times" w:eastAsia="Times New Roman" w:hAnsi="Times" w:cs="Arial"/>
          <w:b/>
          <w:kern w:val="0"/>
          <w:sz w:val="24"/>
          <w:szCs w:val="20"/>
          <w:lang w:eastAsia="pl-PL"/>
          <w14:ligatures w14:val="none"/>
        </w:rPr>
        <w:t>2</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naruszenia lub uzasadnionego podejrzenia naruszenia przepisów art. 7, art. 8 ust. 2, art. 9, art. 12, art. 29 lub art. 53 rozporządzenia 2023/1114 przez oferującego, emitenta tokenów powiązanych z aktywami lub tokenów będących e-pieniądzem, osobę ubiegającą się o dopuszczenie kryptoaktywów do obrotu, dostawcę usług w zakresie kryptoaktywów lub inne podmioty występujące w ich imieniu lub na ich zlecenie Komisja może:</w:t>
      </w:r>
    </w:p>
    <w:p w14:paraId="09C7FEB2"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nakazać oferującemu, emitentowi tokenów powiązanych z aktywami lub tokenów będących e-pieniądzem, osobie ubiegającej się o dopuszczenie kryptoaktywów do obrotu lub dostawcy usług w zakresie kryptoaktywów wstrzymanie rozpoczęcia rozpowszechniania materiałów marketingowych oraz informacji pochodzących z tych materiałów albo przerwanie ich rozpowszechniania, na okres nie dłuższy niż 30 dni roboczych, wskazując nieprawidłowości, które należy usunąć w tym okresie, lub</w:t>
      </w:r>
    </w:p>
    <w:p w14:paraId="5882A4A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zakazać oferującemu, emitentowi tokenów powiązanych z aktywami lub tokenów będących e-pieniądzem, osobie ubiegającej się o dopuszczenie kryptoaktywów do obrotu lub dostawcy usług w zakresie kryptoaktywów rozpowszechniania materiałów marketingowych lub określonych informacji pochodzących z tych materiałów albo dalszego ich rozpowszechniania, w szczególności w przypadku gdy wskazane przez Komisję nieprawidłowości nie zostały usunięte w okresie, o którym mowa w pkt 1, lub</w:t>
      </w:r>
    </w:p>
    <w:p w14:paraId="26F3075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opublikować, na koszt oferującego, emitenta tokenów powiązanych z aktywami lub tokenów będących e-pieniądzem, osoby ubiegającej się o dopuszczenie kryptoaktywów do obrotu lub dostawcy usług w zakresie kryptoaktywów, informację o niezgodnym z prawem rozpowszechnianiu materiałów marketingowych lub informacji pochodzących z tych materiałów, wskazując, na czym polega to naruszenie.</w:t>
      </w:r>
    </w:p>
    <w:p w14:paraId="546D4D53"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związku z danym rozpowszechnianiem materiałów marketingowych lub informacji pochodzących z tych materiałów Komisja może wielokrotnie zastosować środki przewidziane w ust. 1.</w:t>
      </w:r>
    </w:p>
    <w:p w14:paraId="003C5641" w14:textId="1AD5966B"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9</w:t>
      </w:r>
      <w:r w:rsidR="000A668B">
        <w:rPr>
          <w:rFonts w:ascii="Times" w:eastAsia="Times New Roman" w:hAnsi="Times" w:cs="Arial"/>
          <w:b/>
          <w:kern w:val="0"/>
          <w:sz w:val="24"/>
          <w:szCs w:val="20"/>
          <w:lang w:eastAsia="pl-PL"/>
          <w14:ligatures w14:val="none"/>
        </w:rPr>
        <w:t>3</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naruszenia przepisu art. 6 ust. 4 albo naruszenia przepisów art. 64 ust. 8 lub art. 65–82 rozporządzenia 2023/1114 lub przepisów aktów delegowanych wydanych na podstawie art. 66 ust. 6, art. 68 ust. 10, art. 71 ust. 5, art. 72 ust. 5 lub art. 76 ust. 16 rozporządzenia 2023/1114 przez dostawcę usług w zakresie kryptoaktywów lub inne podmioty występujące w jego imieniu lub na jego zlecenie, uzasadnionego podejrzenia takiego naruszenia albo uzasadnionego podejrzenia, że takie naruszenie może nastąpić, gdy </w:t>
      </w:r>
      <w:r w:rsidRPr="00027D06">
        <w:rPr>
          <w:rFonts w:ascii="Times" w:eastAsia="Times New Roman" w:hAnsi="Times" w:cs="Arial"/>
          <w:kern w:val="0"/>
          <w:sz w:val="24"/>
          <w:szCs w:val="20"/>
          <w:lang w:eastAsia="pl-PL"/>
          <w14:ligatures w14:val="none"/>
        </w:rPr>
        <w:lastRenderedPageBreak/>
        <w:t>świadczenie usług w zakresie kryptoaktywów byłoby szkodliwe dla interesów klientów, w szczególności posiadaczy detalicznych, Komisja może:</w:t>
      </w:r>
    </w:p>
    <w:p w14:paraId="25C59AB6"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zakazać dostawcy usług w zakresie kryptoaktywów świadczenia określonych usług w zakresie kryptoaktywów, na okres nie dłuższy niż 12 miesięcy, lub</w:t>
      </w:r>
    </w:p>
    <w:p w14:paraId="28CCFA3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nakazać dostawcy usług w zakresie kryptoaktywów wstrzymanie świadczenia określonych usług w zakresie kryptoaktywów, na okres nie dłuższy niż 30 dni roboczych, lub</w:t>
      </w:r>
    </w:p>
    <w:p w14:paraId="5AA78D0F"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opublikować, na koszt dostawcy usług w zakresie kryptoaktywów, informację o niezgodnym z prawem działaniu w związku ze świadczeniem usług w zakresie kryptoaktywów.</w:t>
      </w:r>
    </w:p>
    <w:p w14:paraId="68DB4F10"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przypadku gdy waga naruszenia, o którym mowa w ust. 1, jest niewielka, Komisja może wydać dostawcy usług w zakresie kryptoaktywów zalecenie zaprzestania tego naruszenia, wyznaczając termin jego wykonania. Jeżeli jest to konieczne do usunięcia tego naruszenia, Komisja może zobowiązać dostawcę usług w zakresie kryptoaktywów do wstrzymania świadczenia określonych usług w zakresie kryptoaktywów do czasu zaprzestania wskazanego w zaleceniu naruszenia.</w:t>
      </w:r>
    </w:p>
    <w:p w14:paraId="4075181E"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niewykonania przez dostawcę usług w zakresie kryptoaktywów w wyznaczonym terminie zalecenia, o którym mowa w ust. 2, przepis ust. 1 stosuje się odpowiednio.</w:t>
      </w:r>
    </w:p>
    <w:p w14:paraId="672B01AD"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W związku ze świadczeniem określonych usług w zakresie kryptoaktywów Komisja może wielokrotnie zastosować środki przewidziane w ust. 1 i 2.</w:t>
      </w:r>
    </w:p>
    <w:p w14:paraId="77EC2E53" w14:textId="6B9A35DB"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9</w:t>
      </w:r>
      <w:r w:rsidR="000A668B">
        <w:rPr>
          <w:rFonts w:ascii="Times" w:eastAsia="Times New Roman" w:hAnsi="Times" w:cs="Arial"/>
          <w:b/>
          <w:kern w:val="0"/>
          <w:sz w:val="24"/>
          <w:szCs w:val="20"/>
          <w:lang w:eastAsia="pl-PL"/>
          <w14:ligatures w14:val="none"/>
        </w:rPr>
        <w:t>4</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W przypadku naruszenia przez dostawcę usług w zakresie kryptoaktywów prowadzącego platformę obrotu kryptoaktywami przepisów art. 65–82 rozporządzenia 2023/1114 lub przepisów aktów delegowanych </w:t>
      </w:r>
      <w:bookmarkStart w:id="66" w:name="_Hlk173952338"/>
      <w:r w:rsidRPr="00027D06">
        <w:rPr>
          <w:rFonts w:ascii="Times" w:eastAsia="Times New Roman" w:hAnsi="Times" w:cs="Arial"/>
          <w:kern w:val="0"/>
          <w:sz w:val="24"/>
          <w:szCs w:val="20"/>
          <w:lang w:eastAsia="pl-PL"/>
          <w14:ligatures w14:val="none"/>
        </w:rPr>
        <w:t xml:space="preserve">wydanych na podstawie art. 66 ust. 6, art. 68 ust. 10, art. 71 ust. 5, art. 72 ust. 5 lub art. 76 ust. 16 rozporządzenia </w:t>
      </w:r>
      <w:bookmarkEnd w:id="66"/>
      <w:r w:rsidRPr="00027D06">
        <w:rPr>
          <w:rFonts w:ascii="Times" w:eastAsia="Times New Roman" w:hAnsi="Times" w:cs="Arial"/>
          <w:kern w:val="0"/>
          <w:sz w:val="24"/>
          <w:szCs w:val="20"/>
          <w:lang w:eastAsia="pl-PL"/>
          <w14:ligatures w14:val="none"/>
        </w:rPr>
        <w:t>2023/1114, uzasadnionego podejrzenia takiego naruszenia albo uzasadnionego podejrzenia, że takie naruszenie może nastąpić, Komisja może zakazać temu dostawcy obrotu wskazanymi kryptoaktywami na okres nie dłuższy niż 12 miesięcy.</w:t>
      </w:r>
    </w:p>
    <w:p w14:paraId="3ABA163F" w14:textId="3127C1A0"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9</w:t>
      </w:r>
      <w:r w:rsidR="000A668B">
        <w:rPr>
          <w:rFonts w:ascii="Times" w:eastAsia="Times New Roman" w:hAnsi="Times" w:cs="Arial"/>
          <w:b/>
          <w:kern w:val="0"/>
          <w:sz w:val="24"/>
          <w:szCs w:val="20"/>
          <w:lang w:eastAsia="pl-PL"/>
          <w14:ligatures w14:val="none"/>
        </w:rPr>
        <w:t>5</w:t>
      </w:r>
      <w:r w:rsidRPr="00027D06">
        <w:rPr>
          <w:rFonts w:ascii="Times" w:eastAsia="Times New Roman" w:hAnsi="Times" w:cs="Arial"/>
          <w:b/>
          <w:kern w:val="0"/>
          <w:sz w:val="24"/>
          <w:szCs w:val="20"/>
          <w:lang w:eastAsia="pl-PL"/>
          <w14:ligatures w14:val="none"/>
        </w:rPr>
        <w:t xml:space="preserve">. </w:t>
      </w:r>
      <w:r w:rsidRPr="00027D06">
        <w:rPr>
          <w:rFonts w:ascii="Times" w:eastAsia="Times New Roman" w:hAnsi="Times" w:cs="Arial"/>
          <w:kern w:val="0"/>
          <w:sz w:val="24"/>
          <w:szCs w:val="20"/>
          <w:lang w:eastAsia="pl-PL"/>
          <w14:ligatures w14:val="none"/>
        </w:rPr>
        <w:t>1. Dostawca usług w zakresie kryptoaktywów prowadzący platformę obrotu kryptoaktywami, na żądanie Komisji, w przypadku gdy:</w:t>
      </w:r>
    </w:p>
    <w:p w14:paraId="0FF43E8A"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1)</w:t>
      </w:r>
      <w:r w:rsidRPr="00027D06">
        <w:rPr>
          <w:rFonts w:ascii="Times" w:eastAsia="Times New Roman" w:hAnsi="Times" w:cs="Arial"/>
          <w:bCs/>
          <w:kern w:val="0"/>
          <w:sz w:val="24"/>
          <w:szCs w:val="20"/>
          <w:lang w:eastAsia="pl-PL"/>
          <w14:ligatures w14:val="none"/>
        </w:rPr>
        <w:tab/>
        <w:t>wymaga tego bezpieczeństwo obrotu na platformie obrotu kryptoaktywami lub świadczenie usług w zakresie kryptoaktywów przez tego dostawcę byłoby szkodliwe dla interesów klientów, w szczególności posiadaczy detalicznych:</w:t>
      </w:r>
    </w:p>
    <w:p w14:paraId="280FEAD5"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a)</w:t>
      </w:r>
      <w:r w:rsidRPr="00027D06">
        <w:rPr>
          <w:rFonts w:ascii="Times" w:eastAsia="Times New Roman" w:hAnsi="Times" w:cs="Arial"/>
          <w:bCs/>
          <w:kern w:val="0"/>
          <w:sz w:val="24"/>
          <w:szCs w:val="20"/>
          <w:lang w:eastAsia="pl-PL"/>
          <w14:ligatures w14:val="none"/>
        </w:rPr>
        <w:tab/>
        <w:t>wstrzymuje wprowadzenie wskazanych kryptoaktywów do obrotu lub rozpoczęcie obrotu wskazanymi kryptoaktywami, na okres nie dłuższy niż 30 dni,</w:t>
      </w:r>
    </w:p>
    <w:p w14:paraId="05B0B7C9" w14:textId="77777777" w:rsidR="00027D06" w:rsidRPr="00027D06"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b)</w:t>
      </w:r>
      <w:r w:rsidRPr="00027D06">
        <w:rPr>
          <w:rFonts w:ascii="Times" w:eastAsia="Times New Roman" w:hAnsi="Times" w:cs="Arial"/>
          <w:bCs/>
          <w:kern w:val="0"/>
          <w:sz w:val="24"/>
          <w:szCs w:val="20"/>
          <w:lang w:eastAsia="pl-PL"/>
          <w14:ligatures w14:val="none"/>
        </w:rPr>
        <w:tab/>
        <w:t>zawiesza obrót wskazanymi kryptoaktywami;</w:t>
      </w:r>
    </w:p>
    <w:p w14:paraId="67875BA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obrót kryptoaktywami zagraża w sposób istotny bezpieczeństwu obrotu lub powoduje naruszenie interesów posiadaczy kryptoaktywów – wyklucza z obrotu wskazane przez Komisję kryptoaktywa.</w:t>
      </w:r>
    </w:p>
    <w:p w14:paraId="4ED41A5E"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żądaniu, o którym mowa w ust. 1 pkt 1 lit. b, Komisja może wskazać termin obowiązywania zawieszenia, o którym mowa w ust. 1 pkt 1 lit. b. Komisja może przedłużyć ten termin, jeżeli zachodzą uzasadnione obawy, że w dniu jego upływu będą nadal zachodziły przesłanki, o których mowa w ust. 1 pkt 1.</w:t>
      </w:r>
    </w:p>
    <w:p w14:paraId="3A0455ED"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Informację o wystąpieniu z żądaniem, o którym mowa w ust. 1, i o przyczynach, które je uzasadniają, Komisja niezwłocznie podaje do publicznej wiadomości.</w:t>
      </w:r>
    </w:p>
    <w:p w14:paraId="53612D67"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Komisja uchyla decyzję zawierającą żądanie, o którym mowa w ust. 1 pkt 1 lit. b, w przypadku, gdy po jej wydaniu stwierdzi, że nie zachodzą przesłanki, o których mowa w ust. 1 pkt 1. Przepis ust. 3 stosuje się odpowiednio.</w:t>
      </w:r>
    </w:p>
    <w:p w14:paraId="5217AD1F"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 Dostawca usług w zakresie kryptoaktywów prowadzący platformę obrotu kryptoaktywami informuje Komisję o zawieszeniu obrotu kryptoaktywami lub wykluczeniu kryptoaktywów z obrotu i podaje tę informację do publicznej wiadomości.</w:t>
      </w:r>
    </w:p>
    <w:p w14:paraId="71595CE5" w14:textId="1230F00D"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 Status strony w postępowaniu prowadzonym na podstawie ust. 1 i 4 przysługuje dostawcy usług w zakresie kryptoaktywów prowadzącemu platformę obrotu kryptoaktywami oraz emitentowi kryptoaktywów</w:t>
      </w:r>
      <w:r w:rsidR="000D0CD9">
        <w:rPr>
          <w:rFonts w:ascii="Times" w:eastAsia="Times New Roman" w:hAnsi="Times" w:cs="Arial"/>
          <w:bCs/>
          <w:kern w:val="0"/>
          <w:sz w:val="24"/>
          <w:szCs w:val="20"/>
          <w:lang w:eastAsia="pl-PL"/>
          <w14:ligatures w14:val="none"/>
        </w:rPr>
        <w:t>.</w:t>
      </w:r>
    </w:p>
    <w:p w14:paraId="0C4DA6D8" w14:textId="54C6D7BD"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9</w:t>
      </w:r>
      <w:r w:rsidR="000A668B">
        <w:rPr>
          <w:rFonts w:ascii="Times" w:eastAsia="Times New Roman" w:hAnsi="Times" w:cs="Arial"/>
          <w:b/>
          <w:kern w:val="0"/>
          <w:sz w:val="24"/>
          <w:szCs w:val="20"/>
          <w:lang w:eastAsia="pl-PL"/>
          <w14:ligatures w14:val="none"/>
        </w:rPr>
        <w:t>6</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o którym mowa w art. 68 ust. 3 rozporządzenia 2023/1114, Komisja może:</w:t>
      </w:r>
    </w:p>
    <w:p w14:paraId="1A066471"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nakazać zaprzestanie wywierania wpływu, o którym mowa w art. 68 ust. 3 rozporządzenia 2023/1114, wskazując termin oraz zakres podjęcia stosownych czynności lub</w:t>
      </w:r>
    </w:p>
    <w:p w14:paraId="024810D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zakazać wykonywania prawa głosu przez udziałowca lub akcjonariusza z posiadanych udziałów lub akcji dostawcy usług w zakresie kryptoaktywów.</w:t>
      </w:r>
    </w:p>
    <w:p w14:paraId="21BA5D53"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2. </w:t>
      </w:r>
      <w:bookmarkStart w:id="67" w:name="_Hlk190075505"/>
      <w:r w:rsidRPr="00027D06">
        <w:rPr>
          <w:rFonts w:ascii="Times" w:eastAsia="Times New Roman" w:hAnsi="Times" w:cs="Arial"/>
          <w:bCs/>
          <w:kern w:val="0"/>
          <w:sz w:val="24"/>
          <w:szCs w:val="20"/>
          <w:lang w:eastAsia="pl-PL"/>
          <w14:ligatures w14:val="none"/>
        </w:rPr>
        <w:t xml:space="preserve">Przepis art. 84 ust. 1 rozporządzenia 2023/1114 </w:t>
      </w:r>
      <w:bookmarkEnd w:id="67"/>
      <w:r w:rsidRPr="00027D06">
        <w:rPr>
          <w:rFonts w:ascii="Times" w:eastAsia="Times New Roman" w:hAnsi="Times" w:cs="Arial"/>
          <w:bCs/>
          <w:kern w:val="0"/>
          <w:sz w:val="24"/>
          <w:szCs w:val="20"/>
          <w:lang w:eastAsia="pl-PL"/>
          <w14:ligatures w14:val="none"/>
        </w:rPr>
        <w:t>stosuje się odpowiednio do dokonania oceny, czy zachodzi przesłanka do nałożenia zakazu, o którym mowa w ust. 1 pkt 2.</w:t>
      </w:r>
    </w:p>
    <w:p w14:paraId="059AF780"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3. W przypadkach, o których mowa w ust. 1, wykonywanie przez udziałowca lub akcjonariusza prawa głosu ze wszystkich posiadanych udziałów lub akcji dostawcy usług w zakresie kryptoaktywów jest bezskuteczne.</w:t>
      </w:r>
    </w:p>
    <w:p w14:paraId="2515926A"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Uchwała zgromadzenia wspólników oraz uchwała walnego zgromadzenia dostawcy usług w zakresie kryptoaktywów są nieważne, jeżeli przy ich podejmowaniu wykonano prawo głosu odpowiednio z udziałów albo akcji, w stosunku do których Komisja wydała na podstawie ust. 1 pkt 2 decyzję w przedmiocie zakazu wykonywania prawa głosu, chyba że uchwały te spełniają wymogi kworum oraz większości głosów oddanych bez uwzględnienia głosów nieważnych.</w:t>
      </w:r>
    </w:p>
    <w:p w14:paraId="479EA6BA"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5. W przypadku, o którym mowa w ust. 4, prawo wytoczenia powództwa o stwierdzenie nieważności uchwały przysługuje również Komisji. Przepisy art. 252 i art. 425 ustawy z dnia 15 września 2000 r.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Kodeks spółek handlowych stosuje się odpowiednio.</w:t>
      </w:r>
    </w:p>
    <w:p w14:paraId="2C6F0C9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 W przypadku wydania zakazu, o którym mowa w ust. 1 pkt 2, Komisja może nakazać zbycie udziałów lub akcji w wyznaczonym terminie.</w:t>
      </w:r>
    </w:p>
    <w:p w14:paraId="3B426FE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7. Jeżeli akcje lub udziały nie zostaną zbyte w terminie, o którym mowa w ust. 6, Komisja może nałożyć na akcjonariusza lub udziałowca dostawcy usług w zakresie kryptoaktywów karę pieniężną do wysokości 1 000 000 zł.</w:t>
      </w:r>
    </w:p>
    <w:p w14:paraId="7ECB6DC4"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8. Przepisów ust. 1–7 nie stosuje się do dostawców usług w zakresie kryptoaktywów, o których mowa w art. 59 ust. 1 lit. b rozporządzenia 2023/1114.</w:t>
      </w:r>
    </w:p>
    <w:p w14:paraId="5D3F06A4"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bookmarkStart w:id="68" w:name="_Hlk173952629"/>
      <w:r w:rsidRPr="00027D06">
        <w:rPr>
          <w:rFonts w:ascii="Times" w:eastAsia="Times New Roman" w:hAnsi="Times" w:cs="Arial"/>
          <w:bCs/>
          <w:kern w:val="0"/>
          <w:sz w:val="24"/>
          <w:szCs w:val="20"/>
          <w:lang w:eastAsia="pl-PL"/>
          <w14:ligatures w14:val="none"/>
        </w:rPr>
        <w:t>9. Decyzje w sprawach, o których mowa w ust. 1, podlegają natychmiastowemu wykonaniu</w:t>
      </w:r>
      <w:bookmarkEnd w:id="68"/>
      <w:r w:rsidRPr="00027D06">
        <w:rPr>
          <w:rFonts w:ascii="Times" w:eastAsia="Times New Roman" w:hAnsi="Times" w:cs="Arial"/>
          <w:bCs/>
          <w:kern w:val="0"/>
          <w:sz w:val="24"/>
          <w:szCs w:val="20"/>
          <w:lang w:eastAsia="pl-PL"/>
          <w14:ligatures w14:val="none"/>
        </w:rPr>
        <w:t>.</w:t>
      </w:r>
    </w:p>
    <w:p w14:paraId="55EEA6F5" w14:textId="0D2F4E45"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9</w:t>
      </w:r>
      <w:r w:rsidR="000A668B">
        <w:rPr>
          <w:rFonts w:ascii="Times" w:eastAsia="Times New Roman" w:hAnsi="Times" w:cs="Arial"/>
          <w:b/>
          <w:kern w:val="0"/>
          <w:sz w:val="24"/>
          <w:szCs w:val="20"/>
          <w:lang w:eastAsia="pl-PL"/>
          <w14:ligatures w14:val="none"/>
        </w:rPr>
        <w:t>7</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Komisja może podać do publicznej wiadomości istotne informacje, które mogą mieć wpływ na ocenę kryptoaktywa będącego przedmiotem oferty publicznej lub dopuszczonego do obrotu albo na funkcjonowanie rynku kryptoaktywów, lub na sprawne działanie tego rynku, przez ich zamieszczenie na stronie internetowej Komisji, w celu zapewnienia ochrony interesów posiadaczy kryptoaktywów, w szczególności posiadaczy detalicznych.</w:t>
      </w:r>
    </w:p>
    <w:p w14:paraId="3F87D5A1"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2. Komisja może wydać oferującemu, osobie ubiegającej się o dopuszczenie kryptoaktywów do obrotu, emitentowi tokenów powiązanych z aktywami lub tokenów będących e-pieniądzem, dostawcy usług w zakresie kryptoaktywów lub podmiotowi trzeciemu, któremu dostawca usług w zakresie kryptoaktywów zlecił wykonywanie czynności związanych z usługą w zakresie kryptoaktywów na zasadach określonych w art. 73 rozporządzenia 2023/1114, zalecenie opublikowania przez nich na ich stronach internetowych </w:t>
      </w:r>
      <w:r w:rsidRPr="00027D06">
        <w:rPr>
          <w:rFonts w:ascii="Times" w:eastAsia="Times New Roman" w:hAnsi="Times" w:cs="Arial"/>
          <w:bCs/>
          <w:kern w:val="0"/>
          <w:sz w:val="24"/>
          <w:szCs w:val="20"/>
          <w:lang w:eastAsia="pl-PL"/>
          <w14:ligatures w14:val="none"/>
        </w:rPr>
        <w:lastRenderedPageBreak/>
        <w:t>informacji, o których mowa w ust. 1. Komisja wskazuje zakres tych informacji i okres, w którym będą one dostępne na tych stronach internetowych.</w:t>
      </w:r>
    </w:p>
    <w:p w14:paraId="591B460C" w14:textId="54BD6BC0"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9</w:t>
      </w:r>
      <w:r w:rsidR="000A668B">
        <w:rPr>
          <w:rFonts w:ascii="Times" w:eastAsia="Times New Roman" w:hAnsi="Times" w:cs="Arial"/>
          <w:b/>
          <w:kern w:val="0"/>
          <w:sz w:val="24"/>
          <w:szCs w:val="20"/>
          <w:lang w:eastAsia="pl-PL"/>
          <w14:ligatures w14:val="none"/>
        </w:rPr>
        <w:t>8</w:t>
      </w:r>
      <w:r w:rsidRPr="00027D06">
        <w:rPr>
          <w:rFonts w:ascii="Times" w:eastAsia="Times New Roman" w:hAnsi="Times" w:cs="Arial"/>
          <w:b/>
          <w:kern w:val="0"/>
          <w:sz w:val="24"/>
          <w:szCs w:val="20"/>
          <w:lang w:eastAsia="pl-PL"/>
          <w14:ligatures w14:val="none"/>
        </w:rPr>
        <w:t xml:space="preserve">. </w:t>
      </w:r>
      <w:r w:rsidRPr="00027D06">
        <w:rPr>
          <w:rFonts w:ascii="Times" w:eastAsia="Times New Roman" w:hAnsi="Times" w:cs="Arial"/>
          <w:kern w:val="0"/>
          <w:sz w:val="24"/>
          <w:szCs w:val="20"/>
          <w:lang w:eastAsia="pl-PL"/>
          <w14:ligatures w14:val="none"/>
        </w:rPr>
        <w:t>1. W przypadku gdy jest to niezbędne do zapewnienia prawidłowego funkcjonowania rynku kryptoaktywów oraz rzetelnego informowania opinii publicznej o jego funkcjonowaniu, Komisja może:</w:t>
      </w:r>
    </w:p>
    <w:p w14:paraId="065B1BE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sprostować fałszywe lub wprowadzające w błąd informacje podane do publicznej wiadomości i zamieścić sprostowanie na swojej stronie internetowej lub podać je w inny sposób do publicznej wiadomości albo</w:t>
      </w:r>
    </w:p>
    <w:p w14:paraId="704ACCE0"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zobowiązać oferującego, emitenta tokenów powiązanych z aktywami lub tokenów będących e-pieniądzem, osobę ubiegającą się o dopuszczenie kryptoaktywów do obrotu, dostawcę usług w zakresie kryptoaktywów lub inną osobę, która opublikowała lub rozpowszechniła fałszywe lub wprowadzające w błąd informacje, do niezwłocznego sprostowania tych informacji i podania tego sprostowania do publicznej wiadomości.</w:t>
      </w:r>
    </w:p>
    <w:p w14:paraId="00A2AAA9"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Sprostowanie, o którym mowa w ust. 1 pkt 1, opublikowane na stronie internetowej Komisji jest dostępne na tej stronie przez co najmniej rok, licząc od dnia jego publikacji.</w:t>
      </w:r>
    </w:p>
    <w:p w14:paraId="7B79BD7A"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Podanie do publicznej wiadomości sprostowania, o którym mowa w ust. 1 pkt 2, następuje za pośrednictwem agencji informacyjnej, o której mowa w art. 58 ust. 1 ustawy z dnia 29 lipca 2005 r. o ofercie publicznej i warunkach wprowadzania instrumentów finansowych do zorganizowanego systemu obrotu oraz o spółkach publicznych (Dz. U. z 2025 r. poz. 592), na koszt oferującego, emitenta tokenów powiązanych z aktywami lub tokenów będących e-pieniądzem, osoby ubiegającej się o dopuszczenie kryptoaktywów do obrotu, dostawcy usług w zakresie kryptoaktywów lub innej osoby, która opublikowała lub rozpowszechniła fałszywe lub wprowadzające w błąd informacje, jeżeli sprostowanie dotyczy informacji opublikowanych lub rozpowszechnionych przez te osoby.</w:t>
      </w:r>
    </w:p>
    <w:p w14:paraId="0866F859" w14:textId="3EF69B61"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9</w:t>
      </w:r>
      <w:r w:rsidR="000A668B">
        <w:rPr>
          <w:rFonts w:ascii="Times" w:eastAsia="Times New Roman" w:hAnsi="Times" w:cs="Arial"/>
          <w:b/>
          <w:kern w:val="0"/>
          <w:sz w:val="24"/>
          <w:szCs w:val="20"/>
          <w:lang w:eastAsia="pl-PL"/>
          <w14:ligatures w14:val="none"/>
        </w:rPr>
        <w:t>9</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Jeżeli jest to niezbędne do zapewnienia </w:t>
      </w:r>
      <w:bookmarkStart w:id="69" w:name="_Hlk180599051"/>
      <w:r w:rsidRPr="00027D06">
        <w:rPr>
          <w:rFonts w:ascii="Times" w:eastAsia="Times New Roman" w:hAnsi="Times" w:cs="Arial"/>
          <w:kern w:val="0"/>
          <w:sz w:val="24"/>
          <w:szCs w:val="20"/>
          <w:lang w:eastAsia="pl-PL"/>
          <w14:ligatures w14:val="none"/>
        </w:rPr>
        <w:t>prawidłowego funkcjonowania rynku kryptoaktywów lub bezpieczeństwa obrotu na tym rynku</w:t>
      </w:r>
      <w:bookmarkEnd w:id="69"/>
      <w:r w:rsidRPr="00027D06">
        <w:rPr>
          <w:rFonts w:ascii="Times" w:eastAsia="Times New Roman" w:hAnsi="Times" w:cs="Arial"/>
          <w:kern w:val="0"/>
          <w:sz w:val="24"/>
          <w:szCs w:val="20"/>
          <w:lang w:eastAsia="pl-PL"/>
          <w14:ligatures w14:val="none"/>
        </w:rPr>
        <w:t>, Komisja może nakazać posiadaczowi kryptoaktywa ograniczenie rozmiaru otwartych pozycji w kryptoaktywach lub ekspozycji na kryptoaktywa.</w:t>
      </w:r>
    </w:p>
    <w:p w14:paraId="7152131F" w14:textId="53C76D0E"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Pr>
          <w:rFonts w:ascii="Times" w:eastAsia="Times New Roman" w:hAnsi="Times" w:cs="Arial"/>
          <w:b/>
          <w:kern w:val="0"/>
          <w:sz w:val="24"/>
          <w:szCs w:val="20"/>
          <w:lang w:eastAsia="pl-PL"/>
          <w14:ligatures w14:val="none"/>
        </w:rPr>
        <w:t>100</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w:t>
      </w:r>
      <w:bookmarkStart w:id="70" w:name="_Hlk173956430"/>
      <w:r w:rsidRPr="00027D06">
        <w:rPr>
          <w:rFonts w:ascii="Times" w:eastAsia="Times New Roman" w:hAnsi="Times" w:cs="Arial"/>
          <w:kern w:val="0"/>
          <w:sz w:val="24"/>
          <w:szCs w:val="20"/>
          <w:lang w:eastAsia="pl-PL"/>
          <w14:ligatures w14:val="none"/>
        </w:rPr>
        <w:t xml:space="preserve">1. W przypadku naruszenia </w:t>
      </w:r>
      <w:r w:rsidRPr="00076A91">
        <w:rPr>
          <w:rFonts w:ascii="Times" w:eastAsia="Times New Roman" w:hAnsi="Times" w:cs="Arial"/>
          <w:kern w:val="0"/>
          <w:sz w:val="24"/>
          <w:szCs w:val="20"/>
          <w:lang w:eastAsia="pl-PL"/>
          <w14:ligatures w14:val="none"/>
        </w:rPr>
        <w:t xml:space="preserve">przepisów art. </w:t>
      </w:r>
      <w:r w:rsidR="00EA1338" w:rsidRPr="00076A91">
        <w:rPr>
          <w:rFonts w:ascii="Times" w:eastAsia="Times New Roman" w:hAnsi="Times" w:cs="Arial"/>
          <w:kern w:val="0"/>
          <w:sz w:val="24"/>
          <w:szCs w:val="20"/>
          <w:lang w:eastAsia="pl-PL"/>
          <w14:ligatures w14:val="none"/>
        </w:rPr>
        <w:t>3</w:t>
      </w:r>
      <w:r w:rsidR="00EA1338">
        <w:rPr>
          <w:rFonts w:ascii="Times" w:eastAsia="Times New Roman" w:hAnsi="Times" w:cs="Arial"/>
          <w:kern w:val="0"/>
          <w:sz w:val="24"/>
          <w:szCs w:val="20"/>
          <w:lang w:eastAsia="pl-PL"/>
          <w14:ligatures w14:val="none"/>
        </w:rPr>
        <w:t>6</w:t>
      </w:r>
      <w:r w:rsidR="00EA1338"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ust. 1 lub 2 Komisja może nakazać zbycie udziałów lub akcji w wyznaczonym terminie.</w:t>
      </w:r>
    </w:p>
    <w:p w14:paraId="74B46D37"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2. Jeżeli akcje lub udziały nie zostaną zbyte w terminie wyznaczonym zgodnie z ust. 1, </w:t>
      </w:r>
      <w:bookmarkEnd w:id="70"/>
      <w:r w:rsidRPr="00076A91">
        <w:rPr>
          <w:rFonts w:ascii="Times" w:eastAsia="Times New Roman" w:hAnsi="Times" w:cs="Arial"/>
          <w:bCs/>
          <w:kern w:val="0"/>
          <w:sz w:val="24"/>
          <w:szCs w:val="20"/>
          <w:lang w:eastAsia="pl-PL"/>
          <w14:ligatures w14:val="none"/>
        </w:rPr>
        <w:t>Komisja może:</w:t>
      </w:r>
    </w:p>
    <w:p w14:paraId="48CED8FB"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1)</w:t>
      </w:r>
      <w:r w:rsidRPr="00076A91">
        <w:rPr>
          <w:rFonts w:ascii="Times" w:eastAsia="Times New Roman" w:hAnsi="Times" w:cs="Arial"/>
          <w:bCs/>
          <w:kern w:val="0"/>
          <w:sz w:val="24"/>
          <w:szCs w:val="20"/>
          <w:lang w:eastAsia="pl-PL"/>
          <w14:ligatures w14:val="none"/>
        </w:rPr>
        <w:tab/>
        <w:t>nałożyć na udziałowca lub akcjonariusza emitenta tokenów powiązanych z aktywami lub dostawcy usług w zakresie kryptoaktywów karę pieniężną do wysokości 1 000 000 zł lub</w:t>
      </w:r>
    </w:p>
    <w:p w14:paraId="4266F4B8"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cofnąć zezwolenie udzielone emitentowi tokenów powiązanych z aktywami, o którym mowa w art. 16 ust. 1 lit. a rozporządzenia 2023/1114, lub dostawcy usług w zakresie kryptoaktywów, o którym mowa w art. 59 ust. 1 lit. a rozporządzenia 2023/1114.</w:t>
      </w:r>
    </w:p>
    <w:p w14:paraId="02C70107"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 W przypadku niezapłacenia w terminie kary pieniężnej, o której mowa w ust. 2 pkt 1, Komisja może nakazać emitentowi tokenów powiązanych z aktywami lub dostawcy usług w zakresie kryptoaktywów, którego udziałowcem lub akcjonariuszem jest podmiot, na który została nałożona ta kara, przekazanie na poczet niezapłaconej kary pieniężnej wraz z odsetkami za zwłokę płatności dokonywanych przez tego emitenta tokenów powiązanych z aktywami lub dostawcę usług w zakresie kryptoaktywów na rzecz tego udziałowca lub akcjonariusza, w kwocie odpowiadającej tej karze wraz z odsetkami za zwłokę.</w:t>
      </w:r>
    </w:p>
    <w:p w14:paraId="277F1647" w14:textId="68169D8C"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10</w:t>
      </w:r>
      <w:r w:rsidR="000A668B">
        <w:rPr>
          <w:rFonts w:ascii="Times" w:eastAsia="Times New Roman" w:hAnsi="Times" w:cs="Arial"/>
          <w:b/>
          <w:kern w:val="0"/>
          <w:sz w:val="24"/>
          <w:szCs w:val="20"/>
          <w:lang w:eastAsia="pl-PL"/>
          <w14:ligatures w14:val="none"/>
        </w:rPr>
        <w:t>1</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W przypadku niedokonania powiadomienia, </w:t>
      </w:r>
      <w:bookmarkStart w:id="71" w:name="_Hlk174090234"/>
      <w:r w:rsidRPr="00076A91">
        <w:rPr>
          <w:rFonts w:ascii="Times" w:eastAsia="Times New Roman" w:hAnsi="Times" w:cs="Arial"/>
          <w:kern w:val="0"/>
          <w:sz w:val="24"/>
          <w:szCs w:val="20"/>
          <w:lang w:eastAsia="pl-PL"/>
          <w14:ligatures w14:val="none"/>
        </w:rPr>
        <w:t xml:space="preserve">o którym mowa w art. </w:t>
      </w:r>
      <w:r w:rsidR="00CA3308" w:rsidRPr="00076A91">
        <w:rPr>
          <w:rFonts w:ascii="Times" w:eastAsia="Times New Roman" w:hAnsi="Times" w:cs="Arial"/>
          <w:kern w:val="0"/>
          <w:sz w:val="24"/>
          <w:szCs w:val="20"/>
          <w:lang w:eastAsia="pl-PL"/>
          <w14:ligatures w14:val="none"/>
        </w:rPr>
        <w:t xml:space="preserve">28 </w:t>
      </w:r>
      <w:r w:rsidRPr="00076A91">
        <w:rPr>
          <w:rFonts w:ascii="Times" w:eastAsia="Times New Roman" w:hAnsi="Times" w:cs="Arial"/>
          <w:kern w:val="0"/>
          <w:sz w:val="24"/>
          <w:szCs w:val="20"/>
          <w:lang w:eastAsia="pl-PL"/>
          <w14:ligatures w14:val="none"/>
        </w:rPr>
        <w:t>ust. 1, lub powiadomienia, o którym mowa w art. 41 ust. 1 lub art. 83 ust. 1 rozporządzenia 2023/1114</w:t>
      </w:r>
      <w:bookmarkEnd w:id="71"/>
      <w:r w:rsidRPr="00076A91">
        <w:rPr>
          <w:rFonts w:ascii="Times" w:eastAsia="Times New Roman" w:hAnsi="Times" w:cs="Arial"/>
          <w:kern w:val="0"/>
          <w:sz w:val="24"/>
          <w:szCs w:val="20"/>
          <w:lang w:eastAsia="pl-PL"/>
          <w14:ligatures w14:val="none"/>
        </w:rPr>
        <w:t>, Komisja może nałożyć karę pieniężną do wysokości 500 000 zł.</w:t>
      </w:r>
    </w:p>
    <w:p w14:paraId="51866621"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Komisja może nałożyć karę pieniężną, o której mowa w ust. 1, również w przypadku:</w:t>
      </w:r>
    </w:p>
    <w:p w14:paraId="2C08E3A5"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 xml:space="preserve">nabycia albo objęcia udziałów lub akcji w przypadku wyrażenia przez Komisję sprzeciwu, </w:t>
      </w:r>
      <w:bookmarkStart w:id="72" w:name="_Hlk181179973"/>
      <w:r w:rsidRPr="00076A91">
        <w:rPr>
          <w:rFonts w:ascii="Times" w:eastAsia="Times New Roman" w:hAnsi="Times" w:cs="Arial"/>
          <w:bCs/>
          <w:kern w:val="0"/>
          <w:sz w:val="24"/>
          <w:szCs w:val="20"/>
          <w:lang w:eastAsia="pl-PL"/>
          <w14:ligatures w14:val="none"/>
        </w:rPr>
        <w:t>o którym mowa w art. 41 ust. 6 lub art. 83 ust. 7 rozporządzenia 2023/1114</w:t>
      </w:r>
      <w:bookmarkEnd w:id="72"/>
      <w:r w:rsidRPr="00076A91">
        <w:rPr>
          <w:rFonts w:ascii="Times" w:eastAsia="Times New Roman" w:hAnsi="Times" w:cs="Arial"/>
          <w:bCs/>
          <w:kern w:val="0"/>
          <w:sz w:val="24"/>
          <w:szCs w:val="20"/>
          <w:lang w:eastAsia="pl-PL"/>
          <w14:ligatures w14:val="none"/>
        </w:rPr>
        <w:t>, lub</w:t>
      </w:r>
    </w:p>
    <w:p w14:paraId="6C11FABE"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r>
      <w:bookmarkStart w:id="73" w:name="_Hlk181180260"/>
      <w:r w:rsidRPr="00076A91">
        <w:rPr>
          <w:rFonts w:ascii="Times" w:eastAsia="Times New Roman" w:hAnsi="Times" w:cs="Arial"/>
          <w:bCs/>
          <w:kern w:val="0"/>
          <w:sz w:val="24"/>
          <w:szCs w:val="20"/>
          <w:lang w:eastAsia="pl-PL"/>
          <w14:ligatures w14:val="none"/>
        </w:rPr>
        <w:t>nabycia albo objęcia udziałów lub akcji przed upływem terminu, o którym mowa w art. 41 ust. 4 lub art. 83 ust. 4 rozporządzenia 2023/1114, lub okresu zawieszenia, o którym mowa w art. 41 ust. 5 lub art. 83 ust. 6 rozporządzenia 2023/1114, lub</w:t>
      </w:r>
      <w:bookmarkEnd w:id="73"/>
    </w:p>
    <w:p w14:paraId="08CD4802"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r>
      <w:bookmarkStart w:id="74" w:name="_Hlk181180287"/>
      <w:r w:rsidRPr="00076A91">
        <w:rPr>
          <w:rFonts w:ascii="Times" w:eastAsia="Times New Roman" w:hAnsi="Times" w:cs="Arial"/>
          <w:bCs/>
          <w:kern w:val="0"/>
          <w:sz w:val="24"/>
          <w:szCs w:val="20"/>
          <w:lang w:eastAsia="pl-PL"/>
          <w14:ligatures w14:val="none"/>
        </w:rPr>
        <w:t>nabycia albo objęcia udziałów lub akcji po upływie wyznaczonego przez Komisję terminu na to nabycie albo objęcie zgodnie z art. 41 ust. 8 lub art. 83 ust. 9 rozporządzenia 2023/1114.</w:t>
      </w:r>
      <w:bookmarkEnd w:id="74"/>
    </w:p>
    <w:p w14:paraId="4650274E"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 Komisja może nałożyć karę pieniężną, o której mowa w ust. 1 i 2, także na osobę fizyczną działającą w imieniu lub interesie osoby prawnej lub jednostki organizacyjnej nieposiadającej osobowości prawnej w przypadkach, o których mowa w ust. 1.</w:t>
      </w:r>
    </w:p>
    <w:p w14:paraId="0C00A61E"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 Komisja może nakazać ogłoszenie decyzji o nałożeniu kary, o której mowa w ust. 1–3, w dwóch dziennikach ogólnopolskich lub w inny sposób na koszt strony postępowania.</w:t>
      </w:r>
    </w:p>
    <w:p w14:paraId="0FF18B04" w14:textId="785AA2BD"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 xml:space="preserve">Art. </w:t>
      </w:r>
      <w:r w:rsidR="000A668B" w:rsidRPr="00076A91">
        <w:rPr>
          <w:rFonts w:ascii="Times" w:eastAsia="Times New Roman" w:hAnsi="Times" w:cs="Arial"/>
          <w:b/>
          <w:kern w:val="0"/>
          <w:sz w:val="24"/>
          <w:szCs w:val="20"/>
          <w:lang w:eastAsia="pl-PL"/>
          <w14:ligatures w14:val="none"/>
        </w:rPr>
        <w:t>10</w:t>
      </w:r>
      <w:r w:rsidR="000A668B">
        <w:rPr>
          <w:rFonts w:ascii="Times" w:eastAsia="Times New Roman" w:hAnsi="Times" w:cs="Arial"/>
          <w:b/>
          <w:kern w:val="0"/>
          <w:sz w:val="24"/>
          <w:szCs w:val="20"/>
          <w:lang w:eastAsia="pl-PL"/>
          <w14:ligatures w14:val="none"/>
        </w:rPr>
        <w:t>2</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Komisja może nałożyć na kontrolowanego karę pieniężną do wysokości 20 000 000 zł, jeżeli kontrolowany uniemożliwia lub utrudnia rozpoczęcie lub przeprowadzenie kontroli, w tym nie wykonuje obowiązków lub uniemożliwia wykonywanie czynności </w:t>
      </w:r>
      <w:r w:rsidRPr="00076A91">
        <w:rPr>
          <w:rFonts w:ascii="Times" w:eastAsia="Times New Roman" w:hAnsi="Times" w:cs="Arial"/>
          <w:kern w:val="0"/>
          <w:sz w:val="24"/>
          <w:szCs w:val="20"/>
          <w:lang w:eastAsia="pl-PL"/>
          <w14:ligatures w14:val="none"/>
        </w:rPr>
        <w:lastRenderedPageBreak/>
        <w:t>określonych w art. 32 ust. 4–6ba i 7 lub art. 33 ust. 1 ustawy o nadzorze nad rynkiem kapitałowym.</w:t>
      </w:r>
    </w:p>
    <w:p w14:paraId="406EE22F" w14:textId="6D50697E"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10</w:t>
      </w:r>
      <w:r w:rsidR="000A668B">
        <w:rPr>
          <w:rFonts w:ascii="Times" w:eastAsia="Times New Roman" w:hAnsi="Times" w:cs="Arial"/>
          <w:b/>
          <w:kern w:val="0"/>
          <w:sz w:val="24"/>
          <w:szCs w:val="20"/>
          <w:lang w:eastAsia="pl-PL"/>
          <w14:ligatures w14:val="none"/>
        </w:rPr>
        <w:t>3</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W przypadku gdy oferujący, emitent tokenów powiązanych z aktywami lub tokenów będących e-pieniądzem, osoba ubiegająca się o dopuszczenie kryptoaktywów do obrotu lub dostawca usług w zakresie kryptoaktywów nie wykonuje nakazu, zakazu lub żądania Komisji, o których mowa odpowiednio w art. </w:t>
      </w:r>
      <w:r w:rsidR="002678B6" w:rsidRPr="00076A91">
        <w:rPr>
          <w:rFonts w:ascii="Times" w:eastAsia="Times New Roman" w:hAnsi="Times" w:cs="Arial"/>
          <w:kern w:val="0"/>
          <w:sz w:val="24"/>
          <w:szCs w:val="20"/>
          <w:lang w:eastAsia="pl-PL"/>
          <w14:ligatures w14:val="none"/>
        </w:rPr>
        <w:t>8</w:t>
      </w:r>
      <w:r w:rsidR="002678B6">
        <w:rPr>
          <w:rFonts w:ascii="Times" w:eastAsia="Times New Roman" w:hAnsi="Times" w:cs="Arial"/>
          <w:kern w:val="0"/>
          <w:sz w:val="24"/>
          <w:szCs w:val="20"/>
          <w:lang w:eastAsia="pl-PL"/>
          <w14:ligatures w14:val="none"/>
        </w:rPr>
        <w:t>3</w:t>
      </w:r>
      <w:r w:rsidRPr="00076A91">
        <w:rPr>
          <w:rFonts w:ascii="Times" w:eastAsia="Times New Roman" w:hAnsi="Times" w:cs="Arial"/>
          <w:kern w:val="0"/>
          <w:sz w:val="24"/>
          <w:szCs w:val="20"/>
          <w:lang w:eastAsia="pl-PL"/>
          <w14:ligatures w14:val="none"/>
        </w:rPr>
        <w:t xml:space="preserve">, art. </w:t>
      </w:r>
      <w:r w:rsidR="002678B6" w:rsidRPr="00076A91">
        <w:rPr>
          <w:rFonts w:ascii="Times" w:eastAsia="Times New Roman" w:hAnsi="Times" w:cs="Arial"/>
          <w:kern w:val="0"/>
          <w:sz w:val="24"/>
          <w:szCs w:val="20"/>
          <w:lang w:eastAsia="pl-PL"/>
          <w14:ligatures w14:val="none"/>
        </w:rPr>
        <w:t>8</w:t>
      </w:r>
      <w:r w:rsidR="002678B6">
        <w:rPr>
          <w:rFonts w:ascii="Times" w:eastAsia="Times New Roman" w:hAnsi="Times" w:cs="Arial"/>
          <w:kern w:val="0"/>
          <w:sz w:val="24"/>
          <w:szCs w:val="20"/>
          <w:lang w:eastAsia="pl-PL"/>
          <w14:ligatures w14:val="none"/>
        </w:rPr>
        <w:t>8</w:t>
      </w:r>
      <w:r w:rsidRPr="00076A91">
        <w:rPr>
          <w:rFonts w:ascii="Times" w:eastAsia="Times New Roman" w:hAnsi="Times" w:cs="Arial"/>
          <w:kern w:val="0"/>
          <w:sz w:val="24"/>
          <w:szCs w:val="20"/>
          <w:lang w:eastAsia="pl-PL"/>
          <w14:ligatures w14:val="none"/>
        </w:rPr>
        <w:t xml:space="preserve">, art. </w:t>
      </w:r>
      <w:r w:rsidR="002678B6" w:rsidRPr="00076A91">
        <w:rPr>
          <w:rFonts w:ascii="Times" w:eastAsia="Times New Roman" w:hAnsi="Times" w:cs="Arial"/>
          <w:kern w:val="0"/>
          <w:sz w:val="24"/>
          <w:szCs w:val="20"/>
          <w:lang w:eastAsia="pl-PL"/>
          <w14:ligatures w14:val="none"/>
        </w:rPr>
        <w:t>8</w:t>
      </w:r>
      <w:r w:rsidR="002678B6">
        <w:rPr>
          <w:rFonts w:ascii="Times" w:eastAsia="Times New Roman" w:hAnsi="Times" w:cs="Arial"/>
          <w:kern w:val="0"/>
          <w:sz w:val="24"/>
          <w:szCs w:val="20"/>
          <w:lang w:eastAsia="pl-PL"/>
          <w14:ligatures w14:val="none"/>
        </w:rPr>
        <w:t>9</w:t>
      </w:r>
      <w:r w:rsidR="002678B6"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pkt 1 lub 2, art. </w:t>
      </w:r>
      <w:r w:rsidR="002678B6">
        <w:rPr>
          <w:rFonts w:ascii="Times" w:eastAsia="Times New Roman" w:hAnsi="Times" w:cs="Arial"/>
          <w:kern w:val="0"/>
          <w:sz w:val="24"/>
          <w:szCs w:val="20"/>
          <w:lang w:eastAsia="pl-PL"/>
          <w14:ligatures w14:val="none"/>
        </w:rPr>
        <w:t>90</w:t>
      </w:r>
      <w:r w:rsidR="002678B6"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pkt 1 lub 2, ust. 4 pkt 1 lub 2, art. </w:t>
      </w:r>
      <w:r w:rsidR="002678B6" w:rsidRPr="00076A91">
        <w:rPr>
          <w:rFonts w:ascii="Times" w:eastAsia="Times New Roman" w:hAnsi="Times" w:cs="Arial"/>
          <w:kern w:val="0"/>
          <w:sz w:val="24"/>
          <w:szCs w:val="20"/>
          <w:lang w:eastAsia="pl-PL"/>
          <w14:ligatures w14:val="none"/>
        </w:rPr>
        <w:t>9</w:t>
      </w:r>
      <w:r w:rsidR="002678B6">
        <w:rPr>
          <w:rFonts w:ascii="Times" w:eastAsia="Times New Roman" w:hAnsi="Times" w:cs="Arial"/>
          <w:kern w:val="0"/>
          <w:sz w:val="24"/>
          <w:szCs w:val="20"/>
          <w:lang w:eastAsia="pl-PL"/>
          <w14:ligatures w14:val="none"/>
        </w:rPr>
        <w:t>2</w:t>
      </w:r>
      <w:r w:rsidR="002678B6"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pkt 1 lub 2, art. </w:t>
      </w:r>
      <w:r w:rsidR="002678B6" w:rsidRPr="00076A91">
        <w:rPr>
          <w:rFonts w:ascii="Times" w:eastAsia="Times New Roman" w:hAnsi="Times" w:cs="Arial"/>
          <w:kern w:val="0"/>
          <w:sz w:val="24"/>
          <w:szCs w:val="20"/>
          <w:lang w:eastAsia="pl-PL"/>
          <w14:ligatures w14:val="none"/>
        </w:rPr>
        <w:t>9</w:t>
      </w:r>
      <w:r w:rsidR="002678B6">
        <w:rPr>
          <w:rFonts w:ascii="Times" w:eastAsia="Times New Roman" w:hAnsi="Times" w:cs="Arial"/>
          <w:kern w:val="0"/>
          <w:sz w:val="24"/>
          <w:szCs w:val="20"/>
          <w:lang w:eastAsia="pl-PL"/>
          <w14:ligatures w14:val="none"/>
        </w:rPr>
        <w:t>3</w:t>
      </w:r>
      <w:r w:rsidR="002678B6"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pkt 1 lub 2, art. </w:t>
      </w:r>
      <w:r w:rsidR="002678B6" w:rsidRPr="00076A91">
        <w:rPr>
          <w:rFonts w:ascii="Times" w:eastAsia="Times New Roman" w:hAnsi="Times" w:cs="Arial"/>
          <w:kern w:val="0"/>
          <w:sz w:val="24"/>
          <w:szCs w:val="20"/>
          <w:lang w:eastAsia="pl-PL"/>
          <w14:ligatures w14:val="none"/>
        </w:rPr>
        <w:t>9</w:t>
      </w:r>
      <w:r w:rsidR="002678B6">
        <w:rPr>
          <w:rFonts w:ascii="Times" w:eastAsia="Times New Roman" w:hAnsi="Times" w:cs="Arial"/>
          <w:kern w:val="0"/>
          <w:sz w:val="24"/>
          <w:szCs w:val="20"/>
          <w:lang w:eastAsia="pl-PL"/>
          <w14:ligatures w14:val="none"/>
        </w:rPr>
        <w:t>4</w:t>
      </w:r>
      <w:r w:rsidR="002678B6"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lub art. </w:t>
      </w:r>
      <w:r w:rsidR="002678B6" w:rsidRPr="00076A91">
        <w:rPr>
          <w:rFonts w:ascii="Times" w:eastAsia="Times New Roman" w:hAnsi="Times" w:cs="Arial"/>
          <w:kern w:val="0"/>
          <w:sz w:val="24"/>
          <w:szCs w:val="20"/>
          <w:lang w:eastAsia="pl-PL"/>
          <w14:ligatures w14:val="none"/>
        </w:rPr>
        <w:t>9</w:t>
      </w:r>
      <w:r w:rsidR="002678B6">
        <w:rPr>
          <w:rFonts w:ascii="Times" w:eastAsia="Times New Roman" w:hAnsi="Times" w:cs="Arial"/>
          <w:kern w:val="0"/>
          <w:sz w:val="24"/>
          <w:szCs w:val="20"/>
          <w:lang w:eastAsia="pl-PL"/>
          <w14:ligatures w14:val="none"/>
        </w:rPr>
        <w:t>5</w:t>
      </w:r>
      <w:r w:rsidR="002678B6"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ust. 1, albo wykonuje je nienależycie, Komisja może:</w:t>
      </w:r>
    </w:p>
    <w:p w14:paraId="78E7F4B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nałożyć odpowiednio na oferującego, emitenta tokenów powiązanych z aktywami lub tokenów będących e-pieniądzem, osobę ubiegającą się o dopuszczenie kryptoaktywów do obrotu lub dostawcę usług w zakresie kryptoaktywów karę pieniężną do wysokości 5 000 000 zł lub</w:t>
      </w:r>
    </w:p>
    <w:p w14:paraId="75A43A4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nałożyć na osobę fizyczną odpowiedzialną za niewykonanie albo nienależyte wykonanie tego nakazu, zakazu lub żądania Komisji karę pieniężną do wysokości 2 250 000 zł, lub</w:t>
      </w:r>
    </w:p>
    <w:p w14:paraId="385C339F"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nakazać osobie odpowiedzialnej za niewykonanie albo nienależyte wykonanie tego nakazu, zakazu lub żądania Komisji zaprzestanie działań, które mogą prowadzić do wydania takiego nakazu, zakazu lub żądania Komisji i niepodejmowanie takich działań w przyszłości.</w:t>
      </w:r>
    </w:p>
    <w:p w14:paraId="44352A69" w14:textId="71D4D38B"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2. W </w:t>
      </w:r>
      <w:r w:rsidRPr="00076A91">
        <w:rPr>
          <w:rFonts w:ascii="Times" w:eastAsia="Times New Roman" w:hAnsi="Times" w:cs="Arial"/>
          <w:bCs/>
          <w:kern w:val="0"/>
          <w:sz w:val="24"/>
          <w:szCs w:val="20"/>
          <w:lang w:eastAsia="pl-PL"/>
          <w14:ligatures w14:val="none"/>
        </w:rPr>
        <w:t xml:space="preserve">przypadku niewykonania albo nienależytego wykonania nakazu Komisji, o którym mowa w art. </w:t>
      </w:r>
      <w:r w:rsidR="002678B6" w:rsidRPr="00076A91">
        <w:rPr>
          <w:rFonts w:ascii="Times" w:eastAsia="Times New Roman" w:hAnsi="Times" w:cs="Arial"/>
          <w:bCs/>
          <w:kern w:val="0"/>
          <w:sz w:val="24"/>
          <w:szCs w:val="20"/>
          <w:lang w:eastAsia="pl-PL"/>
          <w14:ligatures w14:val="none"/>
        </w:rPr>
        <w:t>9</w:t>
      </w:r>
      <w:r w:rsidR="002678B6">
        <w:rPr>
          <w:rFonts w:ascii="Times" w:eastAsia="Times New Roman" w:hAnsi="Times" w:cs="Arial"/>
          <w:bCs/>
          <w:kern w:val="0"/>
          <w:sz w:val="24"/>
          <w:szCs w:val="20"/>
          <w:lang w:eastAsia="pl-PL"/>
          <w14:ligatures w14:val="none"/>
        </w:rPr>
        <w:t>9</w:t>
      </w:r>
      <w:r w:rsidRPr="00076A91">
        <w:rPr>
          <w:rFonts w:ascii="Times" w:eastAsia="Times New Roman" w:hAnsi="Times" w:cs="Arial"/>
          <w:bCs/>
          <w:kern w:val="0"/>
          <w:sz w:val="24"/>
          <w:szCs w:val="20"/>
          <w:lang w:eastAsia="pl-PL"/>
          <w14:ligatures w14:val="none"/>
        </w:rPr>
        <w:t>, Komisja może nałożyć karę pieniężną:</w:t>
      </w:r>
    </w:p>
    <w:p w14:paraId="46A8DB35"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na posiadacza kryptoaktywa będącego osobą fizyczną – do wysokości 2 250 000 zł;</w:t>
      </w:r>
    </w:p>
    <w:p w14:paraId="56EE4AA8"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na posiadacza kryptoaktywa będącego osobą prawną lub jednostką organizacyjną nieposiadającą osobowości prawnej – do wysokości 5 000 000 zł.</w:t>
      </w:r>
    </w:p>
    <w:p w14:paraId="0EB2F709" w14:textId="48425088"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10</w:t>
      </w:r>
      <w:r w:rsidR="000A668B">
        <w:rPr>
          <w:rFonts w:ascii="Times" w:eastAsia="Times New Roman" w:hAnsi="Times" w:cs="Arial"/>
          <w:b/>
          <w:kern w:val="0"/>
          <w:sz w:val="24"/>
          <w:szCs w:val="20"/>
          <w:lang w:eastAsia="pl-PL"/>
          <w14:ligatures w14:val="none"/>
        </w:rPr>
        <w:t>4</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W przypadku naruszenia przez oferującego lub osobę ubiegającą się o dopuszczenie kryptoaktywów innych niż tokeny powiązane z aktywami lub tokeny będące e-pieniądzem do obrotu przepisów art. 6</w:t>
      </w:r>
      <w:r w:rsidRPr="00076A91">
        <w:rPr>
          <w:rFonts w:ascii="Times" w:eastAsia="Times New Roman" w:hAnsi="Times" w:cs="Arial"/>
          <w:kern w:val="0"/>
          <w:sz w:val="24"/>
          <w:szCs w:val="20"/>
          <w:lang w:eastAsia="pl-PL"/>
          <w14:ligatures w14:val="none"/>
        </w:rPr>
        <w:sym w:font="Symbol" w:char="F02D"/>
      </w:r>
      <w:r w:rsidRPr="00076A91">
        <w:rPr>
          <w:rFonts w:ascii="Times" w:eastAsia="Times New Roman" w:hAnsi="Times" w:cs="Arial"/>
          <w:kern w:val="0"/>
          <w:sz w:val="24"/>
          <w:szCs w:val="20"/>
          <w:lang w:eastAsia="pl-PL"/>
          <w14:ligatures w14:val="none"/>
        </w:rPr>
        <w:t xml:space="preserve">12 lub art. 14 rozporządzenia 2023/1114, przepisów aktu delegowanego wydanego na podstawie art. 6 ust. 12 rozporządzenia 2023/1114 lub przepisów aktu wykonawczego wydanego na podstawie art. 6 ust. 11 rozporządzenia 2023/1114 Komisja może nałożyć karę pieniężną do wysokości 22 284 000 zł albo kwoty stanowiącej równowartość 3 % całkowitego rocznego przychodu oferującego lub osoby ubiegającej się o dopuszczenie kryptoaktywów innych niż tokeny powiązane z aktywami lub tokeny będące e-pieniądzem do obrotu, wykazanego w ostatnim zbadanym sprawozdaniu </w:t>
      </w:r>
      <w:r w:rsidRPr="00076A91">
        <w:rPr>
          <w:rFonts w:ascii="Times" w:eastAsia="Times New Roman" w:hAnsi="Times" w:cs="Arial"/>
          <w:kern w:val="0"/>
          <w:sz w:val="24"/>
          <w:szCs w:val="20"/>
          <w:lang w:eastAsia="pl-PL"/>
          <w14:ligatures w14:val="none"/>
        </w:rPr>
        <w:lastRenderedPageBreak/>
        <w:t>finansowym za rok obrotowy, jeżeli kwota stanowiąca tę równowartość przekracza 22 284 000 zł.</w:t>
      </w:r>
    </w:p>
    <w:p w14:paraId="02BBCC3F" w14:textId="3AE7476A"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2. W przypadku naruszenia przez emitenta, oferującego lub osobę ubiegającą się o dopuszczenie tokenów powiązanych z aktywami lub tokenów będących e-pieniądzem do obrotu przepisów odpowiednio art. </w:t>
      </w:r>
      <w:r w:rsidR="00554C50" w:rsidRPr="00076A91">
        <w:rPr>
          <w:rFonts w:ascii="Times" w:eastAsia="Times New Roman" w:hAnsi="Times" w:cs="Arial"/>
          <w:bCs/>
          <w:kern w:val="0"/>
          <w:sz w:val="24"/>
          <w:szCs w:val="20"/>
          <w:lang w:eastAsia="pl-PL"/>
          <w14:ligatures w14:val="none"/>
        </w:rPr>
        <w:t>2</w:t>
      </w:r>
      <w:r w:rsidR="00554C50">
        <w:rPr>
          <w:rFonts w:ascii="Times" w:eastAsia="Times New Roman" w:hAnsi="Times" w:cs="Arial"/>
          <w:bCs/>
          <w:kern w:val="0"/>
          <w:sz w:val="24"/>
          <w:szCs w:val="20"/>
          <w:lang w:eastAsia="pl-PL"/>
          <w14:ligatures w14:val="none"/>
        </w:rPr>
        <w:t>3</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3 lub 6 lub obowiązku przekazania informacji lub dokumentów, o których mowa w tych przepisach, w terminach określonych w przepisach wydanych na podstawie art. </w:t>
      </w:r>
      <w:r w:rsidR="00554C50" w:rsidRPr="00076A91">
        <w:rPr>
          <w:rFonts w:ascii="Times" w:eastAsia="Times New Roman" w:hAnsi="Times" w:cs="Arial"/>
          <w:bCs/>
          <w:kern w:val="0"/>
          <w:sz w:val="24"/>
          <w:szCs w:val="20"/>
          <w:lang w:eastAsia="pl-PL"/>
          <w14:ligatures w14:val="none"/>
        </w:rPr>
        <w:t>2</w:t>
      </w:r>
      <w:r w:rsidR="00554C50">
        <w:rPr>
          <w:rFonts w:ascii="Times" w:eastAsia="Times New Roman" w:hAnsi="Times" w:cs="Arial"/>
          <w:bCs/>
          <w:kern w:val="0"/>
          <w:sz w:val="24"/>
          <w:szCs w:val="20"/>
          <w:lang w:eastAsia="pl-PL"/>
          <w14:ligatures w14:val="none"/>
        </w:rPr>
        <w:t>3</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9, przepisów art. 17, art.</w:t>
      </w:r>
      <w:r w:rsidRPr="00027D06">
        <w:rPr>
          <w:rFonts w:ascii="Times" w:eastAsia="Times New Roman" w:hAnsi="Times" w:cs="Arial"/>
          <w:bCs/>
          <w:kern w:val="0"/>
          <w:sz w:val="24"/>
          <w:szCs w:val="20"/>
          <w:lang w:eastAsia="pl-PL"/>
          <w14:ligatures w14:val="none"/>
        </w:rPr>
        <w:t xml:space="preserve"> 19, art. 22, art. 23, art. 25, art. 27</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40, art. 46, art. 47, art. 49</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51 lub art. 53–55 rozporządzenia 2023/1114, przepisów aktów delegowanych wydanych na podstawie art. 17 ust. 8, art. 19 ust. 11, art. 22 ust. 6, art. 31 ust. 5, art. 32 ust. 5, art. 35 ust. 6, art. 36 ust. 4, art. 38 ust. 5 lub art. 51 ust. 10 lub 15 rozporządzenia 2023/1114 lub przepisów aktów wykonawczych wydanych na podstawie art. 19 ust. 10 lub art. 22 ust. 7 rozporządzenia 2023/1114, lub niewykonania przez emitenta tokenów powiązanych z aktywami lub tokenów będących e-pieniądzem zalecenia, o którym mowa w art. </w:t>
      </w:r>
      <w:r w:rsidR="006048DE" w:rsidRPr="00027D06">
        <w:rPr>
          <w:rFonts w:ascii="Times" w:eastAsia="Times New Roman" w:hAnsi="Times" w:cs="Arial"/>
          <w:bCs/>
          <w:kern w:val="0"/>
          <w:sz w:val="24"/>
          <w:szCs w:val="20"/>
          <w:lang w:eastAsia="pl-PL"/>
          <w14:ligatures w14:val="none"/>
        </w:rPr>
        <w:t>8</w:t>
      </w:r>
      <w:r w:rsidR="006048DE">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 Komisja może nałożyć karę pieniężną do wysokości 22 284 000 zł albo kwoty stanowiącej równowartość 12,5 % całkowitego rocznego przychodu emitenta, oferującego lub osoby ubiegającej się o dopuszczenie tokenów powiązanych z aktywami lub tokenów będących e-pieniądzem do obrotu, wykazanego w ostatnim zbadanym sprawozdaniu finansowym za rok obrotowy, jeżeli kwota stanowiąca tę równowartość przekracza 22 284 000 zł.</w:t>
      </w:r>
    </w:p>
    <w:p w14:paraId="7997344C"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przypadkach, o których mowa w ust. 1 i 2, Komisja, niezależnie od zastosowania kary pieniężnej, o której mowa w ust. 1 i 2, może:</w:t>
      </w:r>
    </w:p>
    <w:p w14:paraId="38BE364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nakazać podmiotowi, który dopuścił się naruszenia lub nie wykonał zalecenia, odpowiednio zaprzestanie działania skutkującego powstaniem tego naruszenia i niepodejmowanie tego działania w przyszłości lub wykonanie tego zalecenia;</w:t>
      </w:r>
    </w:p>
    <w:p w14:paraId="74353D7F"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nałożyć na osobę odpowiedzialną za naruszenie lub niewykonanie zalecenia karę pieniężną do wysokości 3 119 700 zł;</w:t>
      </w:r>
    </w:p>
    <w:p w14:paraId="39852D12"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wystąpić z wnioskiem o odwołanie ze składu organu zarządzającego osoby, o której mowa w pkt 2, w przypadku gdy naruszenie to ma charakter poważny.</w:t>
      </w:r>
    </w:p>
    <w:p w14:paraId="451ECFCC"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W przypadku gdy jest możliwe ustalenie kwoty korzyści osiągniętej lub straty unikniętej w wyniku naruszenia lub niewykonania zalecenia, o których mowa odpowiednio w ust. 1 lub 2, kara pieniężna, o której mowa w ust. 1, 2 i ust. 3 pkt 2, może być nałożona do wysokości dwukrotności kwoty korzyści osiągniętej lub straty unikniętej.</w:t>
      </w:r>
    </w:p>
    <w:p w14:paraId="4A16B12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5. W przypadku gdy podmiot, o którym mowa w ust. 1 i 2, jest jednostką dominującą, która sporządza skonsolidowane sprawozdanie finansowe, albo jednostką zależną od tej </w:t>
      </w:r>
      <w:r w:rsidRPr="00027D06">
        <w:rPr>
          <w:rFonts w:ascii="Times" w:eastAsia="Times New Roman" w:hAnsi="Times" w:cs="Arial"/>
          <w:bCs/>
          <w:kern w:val="0"/>
          <w:sz w:val="24"/>
          <w:szCs w:val="20"/>
          <w:lang w:eastAsia="pl-PL"/>
          <w14:ligatures w14:val="none"/>
        </w:rPr>
        <w:lastRenderedPageBreak/>
        <w:t>jednostki dominującej, całkowity roczny przychód, o którym mowa w ust. 1 i 2, stanowi kwota całkowitego skonsolidowanego rocznego przychodu tej jednostki dominującej wykazana w ostatnim zbadanym skonsolidowanym sprawozdaniu finansowym za rok obrotowy.</w:t>
      </w:r>
    </w:p>
    <w:p w14:paraId="6397228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6. W przypadku cofnięcia zezwolenia zgodnie z art. 24 ust. 1 lit. b–d oraz g rozporządzenia 2023/1114, jeżeli uzasadnia to charakter naruszenia popełnionego przez emitenta tokenów powiązanych z aktywami, Komisja może również nałożyć środki i sankcje, o których mowa w ust. 1–3.</w:t>
      </w:r>
    </w:p>
    <w:p w14:paraId="38144419" w14:textId="5F2F5BE6"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10</w:t>
      </w:r>
      <w:r w:rsidR="000A668B">
        <w:rPr>
          <w:rFonts w:ascii="Times" w:eastAsia="Times New Roman" w:hAnsi="Times" w:cs="Arial"/>
          <w:b/>
          <w:kern w:val="0"/>
          <w:sz w:val="24"/>
          <w:szCs w:val="20"/>
          <w:lang w:eastAsia="pl-PL"/>
          <w14:ligatures w14:val="none"/>
        </w:rPr>
        <w:t>5</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naruszenia przez dostawcę usług w zakresie kryptoaktywów przepisów art. 6 ust. 4 lub </w:t>
      </w:r>
      <w:r w:rsidRPr="00076A91">
        <w:rPr>
          <w:rFonts w:ascii="Times" w:eastAsia="Times New Roman" w:hAnsi="Times" w:cs="Arial"/>
          <w:kern w:val="0"/>
          <w:sz w:val="24"/>
          <w:szCs w:val="20"/>
          <w:lang w:eastAsia="pl-PL"/>
          <w14:ligatures w14:val="none"/>
        </w:rPr>
        <w:t xml:space="preserve">art. </w:t>
      </w:r>
      <w:r w:rsidR="00554C50" w:rsidRPr="00076A91">
        <w:rPr>
          <w:rFonts w:ascii="Times" w:eastAsia="Times New Roman" w:hAnsi="Times" w:cs="Arial"/>
          <w:kern w:val="0"/>
          <w:sz w:val="24"/>
          <w:szCs w:val="20"/>
          <w:lang w:eastAsia="pl-PL"/>
          <w14:ligatures w14:val="none"/>
        </w:rPr>
        <w:t>2</w:t>
      </w:r>
      <w:r w:rsidR="00554C50">
        <w:rPr>
          <w:rFonts w:ascii="Times" w:eastAsia="Times New Roman" w:hAnsi="Times" w:cs="Arial"/>
          <w:kern w:val="0"/>
          <w:sz w:val="24"/>
          <w:szCs w:val="20"/>
          <w:lang w:eastAsia="pl-PL"/>
          <w14:ligatures w14:val="none"/>
        </w:rPr>
        <w:t>3</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2, 3 lub 6 </w:t>
      </w:r>
      <w:bookmarkStart w:id="75" w:name="_Hlk190076416"/>
      <w:r w:rsidRPr="00076A91">
        <w:rPr>
          <w:rFonts w:ascii="Times" w:eastAsia="Times New Roman" w:hAnsi="Times" w:cs="Arial"/>
          <w:kern w:val="0"/>
          <w:sz w:val="24"/>
          <w:szCs w:val="20"/>
          <w:lang w:eastAsia="pl-PL"/>
          <w14:ligatures w14:val="none"/>
        </w:rPr>
        <w:t xml:space="preserve">lub obowiązku przekazania informacji lub dokumentów, o których mowa w tych przepisach, w terminach określonych w przepisach wydanych na podstawie art. </w:t>
      </w:r>
      <w:r w:rsidR="00554C50" w:rsidRPr="00076A91">
        <w:rPr>
          <w:rFonts w:ascii="Times" w:eastAsia="Times New Roman" w:hAnsi="Times" w:cs="Arial"/>
          <w:kern w:val="0"/>
          <w:sz w:val="24"/>
          <w:szCs w:val="20"/>
          <w:lang w:eastAsia="pl-PL"/>
          <w14:ligatures w14:val="none"/>
        </w:rPr>
        <w:t>2</w:t>
      </w:r>
      <w:r w:rsidR="00554C50">
        <w:rPr>
          <w:rFonts w:ascii="Times" w:eastAsia="Times New Roman" w:hAnsi="Times" w:cs="Arial"/>
          <w:kern w:val="0"/>
          <w:sz w:val="24"/>
          <w:szCs w:val="20"/>
          <w:lang w:eastAsia="pl-PL"/>
          <w14:ligatures w14:val="none"/>
        </w:rPr>
        <w:t>3</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ust. 9</w:t>
      </w:r>
      <w:bookmarkEnd w:id="75"/>
      <w:r w:rsidRPr="00076A91">
        <w:rPr>
          <w:rFonts w:ascii="Times" w:eastAsia="Times New Roman" w:hAnsi="Times" w:cs="Arial"/>
          <w:kern w:val="0"/>
          <w:sz w:val="24"/>
          <w:szCs w:val="20"/>
          <w:lang w:eastAsia="pl-PL"/>
          <w14:ligatures w14:val="none"/>
        </w:rPr>
        <w:t>, przepisów wydanych na podstawie art. 4 ust. 6, art. 12 lub art. 14, przepisów art. 22 ust. 3, art. 40 ust. 2, art. 64 ust. 8 lub art. 65–82 rozporządzenia 2023/1114, przepisów aktów delegowanych wydanych na podstawie art. 66 ust. 6, art. 68 ust. 10, art. 71 ust. 5, art. 72 ust. 5 lub art. 76 ust. 16 rozporządzenia 2023/1114 lub przepisów aktu wykonawczego wydanego na podstawie art. 22 ust. 7 rozporządzenia 2023/1114, Komisja może nałożyć na:</w:t>
      </w:r>
    </w:p>
    <w:p w14:paraId="7C854F9D"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 xml:space="preserve">dostawcę usług w zakresie kryptoaktywów </w:t>
      </w:r>
      <w:r w:rsidRPr="00076A91">
        <w:rPr>
          <w:rFonts w:ascii="Times" w:eastAsia="Times New Roman" w:hAnsi="Times" w:cs="Arial"/>
          <w:bCs/>
          <w:kern w:val="0"/>
          <w:sz w:val="24"/>
          <w:szCs w:val="20"/>
          <w:lang w:eastAsia="pl-PL"/>
          <w14:ligatures w14:val="none"/>
        </w:rPr>
        <w:sym w:font="Symbol" w:char="F02D"/>
      </w:r>
      <w:r w:rsidRPr="00076A91">
        <w:rPr>
          <w:rFonts w:ascii="Times" w:eastAsia="Times New Roman" w:hAnsi="Times" w:cs="Arial"/>
          <w:bCs/>
          <w:kern w:val="0"/>
          <w:sz w:val="24"/>
          <w:szCs w:val="20"/>
          <w:lang w:eastAsia="pl-PL"/>
          <w14:ligatures w14:val="none"/>
        </w:rPr>
        <w:t xml:space="preserve"> karę pieniężną do wysokości 22 284 000 zł albo kwoty stanowiącej równowartość 5 % całkowitego rocznego przychodu dostawcy usług w zakresie kryptoaktywów wykazanego w ostatnim zbadanym sprawozdaniu finansowym za rok obrotowy, jeżeli kwota stanowiąca tę równowartość przekracza 22 284 000 zł;</w:t>
      </w:r>
    </w:p>
    <w:p w14:paraId="214C46C1"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osobę odpowiedzialną za naruszenie – karę pieniężną do wysokości 3 119 700 zł.</w:t>
      </w:r>
    </w:p>
    <w:p w14:paraId="06431263"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W przypadku, o którym mowa w ust. 1, Komisja niezależnie od zastosowania kary pieniężnej, o której mowa w ust. 1, może zakazać świadczenia usług w zakresie kryptoaktywów – w przypadku podmiotów, o których mowa w art. 59 ust. 1 lit. b rozporządzenia 2023/1114.</w:t>
      </w:r>
    </w:p>
    <w:p w14:paraId="56252340"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 W przypadku gdy jest możliwe ustalenie kwoty korzyści osiągniętej lub straty unikniętej w wyniku naruszenia, o którym mowa w ust. 1, kara pieniężna, o której mowa w ust. 1, może być nałożona do wysokości dwukrotności kwoty korzyści osiągniętej lub straty unikniętej.</w:t>
      </w:r>
    </w:p>
    <w:p w14:paraId="69C62C6F"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bookmarkStart w:id="76" w:name="_Hlk164957651"/>
      <w:r w:rsidRPr="00076A91">
        <w:rPr>
          <w:rFonts w:ascii="Times" w:eastAsia="Times New Roman" w:hAnsi="Times" w:cs="Arial"/>
          <w:bCs/>
          <w:kern w:val="0"/>
          <w:sz w:val="24"/>
          <w:szCs w:val="20"/>
          <w:lang w:eastAsia="pl-PL"/>
          <w14:ligatures w14:val="none"/>
        </w:rPr>
        <w:t xml:space="preserve">4. W przypadku gdy dostawca usług w zakresie kryptoaktywów jest jednostką dominującą, która sporządza skonsolidowane sprawozdanie finansowe, albo jednostką zależną od tej jednostki dominującej, całkowity roczny przychód, o którym mowa w ust. 1 pkt 1, stanowi kwota całkowitego skonsolidowanego rocznego przychodu tej jednostki dominującej </w:t>
      </w:r>
      <w:r w:rsidRPr="00076A91">
        <w:rPr>
          <w:rFonts w:ascii="Times" w:eastAsia="Times New Roman" w:hAnsi="Times" w:cs="Arial"/>
          <w:bCs/>
          <w:kern w:val="0"/>
          <w:sz w:val="24"/>
          <w:szCs w:val="20"/>
          <w:lang w:eastAsia="pl-PL"/>
          <w14:ligatures w14:val="none"/>
        </w:rPr>
        <w:lastRenderedPageBreak/>
        <w:t>wykazana w ostatnim zbadanym skonsolidowanym sprawozdaniu finansowym za rok obrotowy.</w:t>
      </w:r>
    </w:p>
    <w:bookmarkEnd w:id="76"/>
    <w:p w14:paraId="72A38486"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5. W przypadku, o którym mowa w ust. 1, Komisja może także:</w:t>
      </w:r>
    </w:p>
    <w:p w14:paraId="061FFF98"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nakazać dostawcy usług w zakresie kryptoaktywów zaprzestanie działań skutkujących powstaniem tego naruszenia i niepodejmowanie takich działań w przyszłości;</w:t>
      </w:r>
    </w:p>
    <w:p w14:paraId="149D27E3"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 xml:space="preserve">zakazać osobie odpowiedzialnej za naruszenie pełnienia funkcji członka organu zarządzającego lub funkcji kierowniczych w podmiotach będących dostawcami usług w zakresie kryptoaktywów, przez okres nie krótszy niż miesiąc i nie dłuższy niż rok, przy czym w przypadku ponownego naruszenia </w:t>
      </w:r>
      <w:r w:rsidRPr="00076A91">
        <w:rPr>
          <w:rFonts w:ascii="Times" w:eastAsia="Times New Roman" w:hAnsi="Times" w:cs="Arial"/>
          <w:bCs/>
          <w:kern w:val="0"/>
          <w:sz w:val="24"/>
          <w:szCs w:val="20"/>
          <w:lang w:eastAsia="pl-PL"/>
          <w14:ligatures w14:val="none"/>
        </w:rPr>
        <w:sym w:font="Symbol" w:char="F02D"/>
      </w:r>
      <w:r w:rsidRPr="00076A91">
        <w:rPr>
          <w:rFonts w:ascii="Times" w:eastAsia="Times New Roman" w:hAnsi="Times" w:cs="Arial"/>
          <w:bCs/>
          <w:kern w:val="0"/>
          <w:sz w:val="24"/>
          <w:szCs w:val="20"/>
          <w:lang w:eastAsia="pl-PL"/>
          <w14:ligatures w14:val="none"/>
        </w:rPr>
        <w:t xml:space="preserve"> przez okres nie krótszy niż 10 lat i nie dłuższy niż 15 lat;</w:t>
      </w:r>
    </w:p>
    <w:p w14:paraId="6C0FF5BF"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wystąpić z wnioskiem o odwołanie ze składu organu zarządzającego osoby, o której mowa w pkt 2, w przypadku gdy naruszenie to ma charakter poważny.</w:t>
      </w:r>
    </w:p>
    <w:p w14:paraId="3B5388C3" w14:textId="59B80B11"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6. Przepisy ust. 1</w:t>
      </w:r>
      <w:r w:rsidRPr="00076A91">
        <w:rPr>
          <w:rFonts w:ascii="Times" w:eastAsia="Times New Roman" w:hAnsi="Times" w:cs="Arial"/>
          <w:bCs/>
          <w:kern w:val="0"/>
          <w:sz w:val="24"/>
          <w:szCs w:val="20"/>
          <w:lang w:eastAsia="pl-PL"/>
          <w14:ligatures w14:val="none"/>
        </w:rPr>
        <w:sym w:font="Symbol" w:char="F02D"/>
      </w:r>
      <w:r w:rsidRPr="00076A91">
        <w:rPr>
          <w:rFonts w:ascii="Times" w:eastAsia="Times New Roman" w:hAnsi="Times" w:cs="Arial"/>
          <w:bCs/>
          <w:kern w:val="0"/>
          <w:sz w:val="24"/>
          <w:szCs w:val="20"/>
          <w:lang w:eastAsia="pl-PL"/>
          <w14:ligatures w14:val="none"/>
        </w:rPr>
        <w:t xml:space="preserve">5 stosuje się odpowiednio w przypadku niewykonania albo nienależytego wykonania obowiązków, o których mowa w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5</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w:t>
      </w:r>
    </w:p>
    <w:p w14:paraId="0EB27BBB"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7. </w:t>
      </w:r>
      <w:bookmarkStart w:id="77" w:name="_Hlk190076576"/>
      <w:r w:rsidRPr="00027D06">
        <w:rPr>
          <w:rFonts w:ascii="Times" w:eastAsia="Times New Roman" w:hAnsi="Times" w:cs="Arial"/>
          <w:bCs/>
          <w:kern w:val="0"/>
          <w:sz w:val="24"/>
          <w:szCs w:val="20"/>
          <w:lang w:eastAsia="pl-PL"/>
          <w14:ligatures w14:val="none"/>
        </w:rPr>
        <w:t>Komisja w przypadku cofnięcia zezwolenia zgodnie z art. 64 ust. 1 lit. d–g rozporządzenia 2023/1114</w:t>
      </w:r>
      <w:bookmarkEnd w:id="77"/>
      <w:r w:rsidRPr="00027D06">
        <w:rPr>
          <w:rFonts w:ascii="Times" w:eastAsia="Times New Roman" w:hAnsi="Times" w:cs="Arial"/>
          <w:bCs/>
          <w:kern w:val="0"/>
          <w:sz w:val="24"/>
          <w:szCs w:val="20"/>
          <w:lang w:eastAsia="pl-PL"/>
          <w14:ligatures w14:val="none"/>
        </w:rPr>
        <w:t>, jeżeli uzasadnia to charakter naruszenia, może również nałożyć środki i sankcje, o których mowa w ust. 1 i 5.</w:t>
      </w:r>
    </w:p>
    <w:p w14:paraId="70417512" w14:textId="6ECD7BED"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10</w:t>
      </w:r>
      <w:r w:rsidR="000A668B">
        <w:rPr>
          <w:rFonts w:ascii="Times" w:eastAsia="Times New Roman" w:hAnsi="Times" w:cs="Arial"/>
          <w:b/>
          <w:kern w:val="0"/>
          <w:sz w:val="24"/>
          <w:szCs w:val="20"/>
          <w:lang w:eastAsia="pl-PL"/>
          <w14:ligatures w14:val="none"/>
        </w:rPr>
        <w:t>6</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gdy emitent kryptoaktywów, oferujący lub osoba ubiegająca się o dopuszczenie kryptoaktywów do obrotu nie wykonuje obowiązków, o których mowa w art. 88 ust. 1 lub 3 rozporządzenia 2023/1114 lub w przepisach aktu wykonawczego wydanego na podstawie art. 88 ust. 4 rozporządzenia 2023/1114, albo wykonuje je nienależycie, Komisja może nałożyć na ten podmiot:</w:t>
      </w:r>
    </w:p>
    <w:p w14:paraId="1A351FF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będący osobą fizyczną</w:t>
      </w:r>
      <w:bookmarkStart w:id="78" w:name="_Hlk181181808"/>
      <w:r w:rsidRPr="00027D06">
        <w:rPr>
          <w:rFonts w:ascii="Times" w:eastAsia="Times New Roman" w:hAnsi="Times" w:cs="Arial"/>
          <w:bCs/>
          <w:kern w:val="0"/>
          <w:sz w:val="24"/>
          <w:szCs w:val="20"/>
          <w:lang w:eastAsia="pl-PL"/>
          <w14:ligatures w14:val="none"/>
        </w:rPr>
        <w:t xml:space="preserve"> – karę pieniężną do wysokości 4 456 800 zł</w:t>
      </w:r>
      <w:bookmarkEnd w:id="78"/>
      <w:r w:rsidRPr="00027D06">
        <w:rPr>
          <w:rFonts w:ascii="Times" w:eastAsia="Times New Roman" w:hAnsi="Times" w:cs="Arial"/>
          <w:bCs/>
          <w:kern w:val="0"/>
          <w:sz w:val="24"/>
          <w:szCs w:val="20"/>
          <w:lang w:eastAsia="pl-PL"/>
          <w14:ligatures w14:val="none"/>
        </w:rPr>
        <w:t>;</w:t>
      </w:r>
    </w:p>
    <w:p w14:paraId="0317F3EB"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r>
      <w:bookmarkStart w:id="79" w:name="_Hlk181181849"/>
      <w:bookmarkStart w:id="80" w:name="_Hlk181182835"/>
      <w:r w:rsidRPr="00027D06">
        <w:rPr>
          <w:rFonts w:ascii="Times" w:eastAsia="Times New Roman" w:hAnsi="Times" w:cs="Arial"/>
          <w:bCs/>
          <w:kern w:val="0"/>
          <w:sz w:val="24"/>
          <w:szCs w:val="20"/>
          <w:lang w:eastAsia="pl-PL"/>
          <w14:ligatures w14:val="none"/>
        </w:rPr>
        <w:t xml:space="preserve">będący osobą prawną lub jednostką organizacyjną nieposiadającą osobowości prawnej – karę pieniężną do wysokości 11 142 000 zł </w:t>
      </w:r>
      <w:bookmarkEnd w:id="79"/>
      <w:r w:rsidRPr="00027D06">
        <w:rPr>
          <w:rFonts w:ascii="Times" w:eastAsia="Times New Roman" w:hAnsi="Times" w:cs="Arial"/>
          <w:bCs/>
          <w:kern w:val="0"/>
          <w:sz w:val="24"/>
          <w:szCs w:val="20"/>
          <w:lang w:eastAsia="pl-PL"/>
          <w14:ligatures w14:val="none"/>
        </w:rPr>
        <w:t>albo kwoty stanowiącej równowartość 2 % całkowitego rocznego przychodu tego emitenta, oferującego lub osoby ubiegającej się o dopuszczenie kryptoaktywów do obrotu, wykazanego w ostatnim zbadanym sprawozdaniu finansowym za rok obrotowy, jeżeli kwota stanowiąca tę równowartość przekracza 11 142 000 zł</w:t>
      </w:r>
      <w:bookmarkEnd w:id="80"/>
      <w:r w:rsidRPr="00027D06">
        <w:rPr>
          <w:rFonts w:ascii="Times" w:eastAsia="Times New Roman" w:hAnsi="Times" w:cs="Arial"/>
          <w:bCs/>
          <w:kern w:val="0"/>
          <w:sz w:val="24"/>
          <w:szCs w:val="20"/>
          <w:lang w:eastAsia="pl-PL"/>
          <w14:ligatures w14:val="none"/>
        </w:rPr>
        <w:t>.</w:t>
      </w:r>
    </w:p>
    <w:p w14:paraId="48F51FCA"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7ED162AC"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3.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41C34C9B" w14:textId="349BEBFC"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10</w:t>
      </w:r>
      <w:r w:rsidR="000A668B">
        <w:rPr>
          <w:rFonts w:ascii="Times" w:eastAsia="Times New Roman" w:hAnsi="Times" w:cs="Arial"/>
          <w:b/>
          <w:kern w:val="0"/>
          <w:sz w:val="24"/>
          <w:szCs w:val="20"/>
          <w:lang w:eastAsia="pl-PL"/>
          <w14:ligatures w14:val="none"/>
        </w:rPr>
        <w:t>7</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naruszenia zakazu, o którym mowa w art. 89 ust. 2 lub 3, art. 90 ust. 1 lub art. 91 ust. 1 rozporządzenia 2023/1114, Komisja może nałożyć karę pieniężną do wysokości:</w:t>
      </w:r>
    </w:p>
    <w:p w14:paraId="7C5EB457"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r>
      <w:bookmarkStart w:id="81" w:name="_Hlk181181927"/>
      <w:r w:rsidRPr="00027D06">
        <w:rPr>
          <w:rFonts w:ascii="Times" w:eastAsia="Times New Roman" w:hAnsi="Times" w:cs="Arial"/>
          <w:bCs/>
          <w:kern w:val="0"/>
          <w:sz w:val="24"/>
          <w:szCs w:val="20"/>
          <w:lang w:eastAsia="pl-PL"/>
          <w14:ligatures w14:val="none"/>
        </w:rPr>
        <w:t xml:space="preserve">22 284 000 zł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na podmiot, który dopuścił się naruszenia, będący osobą fizyczną</w:t>
      </w:r>
      <w:bookmarkEnd w:id="81"/>
      <w:r w:rsidRPr="00027D06">
        <w:rPr>
          <w:rFonts w:ascii="Times" w:eastAsia="Times New Roman" w:hAnsi="Times" w:cs="Arial"/>
          <w:bCs/>
          <w:kern w:val="0"/>
          <w:sz w:val="24"/>
          <w:szCs w:val="20"/>
          <w:lang w:eastAsia="pl-PL"/>
          <w14:ligatures w14:val="none"/>
        </w:rPr>
        <w:t>;</w:t>
      </w:r>
    </w:p>
    <w:p w14:paraId="58396C3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r>
      <w:bookmarkStart w:id="82" w:name="_Hlk181181945"/>
      <w:bookmarkStart w:id="83" w:name="_Hlk181182805"/>
      <w:r w:rsidRPr="00027D06">
        <w:rPr>
          <w:rFonts w:ascii="Times" w:eastAsia="Times New Roman" w:hAnsi="Times" w:cs="Arial"/>
          <w:bCs/>
          <w:kern w:val="0"/>
          <w:sz w:val="24"/>
          <w:szCs w:val="20"/>
          <w:lang w:eastAsia="pl-PL"/>
          <w14:ligatures w14:val="none"/>
        </w:rPr>
        <w:t>66 852 000 zł</w:t>
      </w:r>
      <w:bookmarkEnd w:id="82"/>
      <w:r w:rsidRPr="00027D06">
        <w:rPr>
          <w:rFonts w:ascii="Times" w:eastAsia="Times New Roman" w:hAnsi="Times" w:cs="Arial"/>
          <w:bCs/>
          <w:kern w:val="0"/>
          <w:sz w:val="24"/>
          <w:szCs w:val="20"/>
          <w:lang w:eastAsia="pl-PL"/>
          <w14:ligatures w14:val="none"/>
        </w:rPr>
        <w:t xml:space="preserve"> </w:t>
      </w:r>
      <w:bookmarkStart w:id="84" w:name="_Hlk181182770"/>
      <w:bookmarkEnd w:id="83"/>
      <w:r w:rsidRPr="00027D06">
        <w:rPr>
          <w:rFonts w:ascii="Times" w:eastAsia="Times New Roman" w:hAnsi="Times" w:cs="Arial"/>
          <w:bCs/>
          <w:kern w:val="0"/>
          <w:sz w:val="24"/>
          <w:szCs w:val="20"/>
          <w:lang w:eastAsia="pl-PL"/>
          <w14:ligatures w14:val="none"/>
        </w:rPr>
        <w:t xml:space="preserve">albo kwoty stanowiącej równowartość 15 % całkowitego rocznego przychodu podmiotu, który dopuścił się naruszenia, według ostatniego zbadanego sprawozdania finansowego za rok obrotowy, jeżeli kwota stanowiąca tę równowartość przekracza 66 852 000 zł </w:t>
      </w:r>
      <w:bookmarkEnd w:id="84"/>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w:t>
      </w:r>
      <w:bookmarkStart w:id="85" w:name="_Hlk181181956"/>
      <w:r w:rsidRPr="00027D06">
        <w:rPr>
          <w:rFonts w:ascii="Times" w:eastAsia="Times New Roman" w:hAnsi="Times" w:cs="Arial"/>
          <w:bCs/>
          <w:kern w:val="0"/>
          <w:sz w:val="24"/>
          <w:szCs w:val="20"/>
          <w:lang w:eastAsia="pl-PL"/>
          <w14:ligatures w14:val="none"/>
        </w:rPr>
        <w:t>na podmiot będący osobą prawną lub jednostką organizacyjną nieposiadającą osobowości prawnej</w:t>
      </w:r>
      <w:bookmarkEnd w:id="85"/>
      <w:r w:rsidRPr="00027D06">
        <w:rPr>
          <w:rFonts w:ascii="Times" w:eastAsia="Times New Roman" w:hAnsi="Times" w:cs="Arial"/>
          <w:bCs/>
          <w:kern w:val="0"/>
          <w:sz w:val="24"/>
          <w:szCs w:val="20"/>
          <w:lang w:eastAsia="pl-PL"/>
          <w14:ligatures w14:val="none"/>
        </w:rPr>
        <w:t>.</w:t>
      </w:r>
    </w:p>
    <w:p w14:paraId="2DFA12BD"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6DADA770"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39FD582B" w14:textId="7011685E"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10</w:t>
      </w:r>
      <w:r w:rsidR="000A668B">
        <w:rPr>
          <w:rFonts w:ascii="Times" w:eastAsia="Times New Roman" w:hAnsi="Times" w:cs="Arial"/>
          <w:b/>
          <w:kern w:val="0"/>
          <w:sz w:val="24"/>
          <w:szCs w:val="20"/>
          <w:lang w:eastAsia="pl-PL"/>
          <w14:ligatures w14:val="none"/>
        </w:rPr>
        <w:t>8</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naruszenia obowiązków, o których mowa w art. 92 ust. 1 rozporządzenia 2023/1114 lub w przepisach aktu delegowanego wydanego na podstawie art. 92 ust. 2 rozporządzenia 2023/1114, Komisja może nałożyć karę pieniężną do wysokości:</w:t>
      </w:r>
    </w:p>
    <w:p w14:paraId="472C336D"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r>
      <w:bookmarkStart w:id="86" w:name="_Hlk181182544"/>
      <w:r w:rsidRPr="00027D06">
        <w:rPr>
          <w:rFonts w:ascii="Times" w:eastAsia="Times New Roman" w:hAnsi="Times" w:cs="Arial"/>
          <w:bCs/>
          <w:kern w:val="0"/>
          <w:sz w:val="24"/>
          <w:szCs w:val="20"/>
          <w:lang w:eastAsia="pl-PL"/>
          <w14:ligatures w14:val="none"/>
        </w:rPr>
        <w:t xml:space="preserve">22 284 000 zł </w:t>
      </w:r>
      <w:bookmarkEnd w:id="86"/>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na osobę fizyczną zawodowo pośredniczącą w zawieraniu transakcji lub realizującą transakcje związane z kryptoaktywami;</w:t>
      </w:r>
    </w:p>
    <w:p w14:paraId="05BDB338"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r>
      <w:bookmarkStart w:id="87" w:name="_Hlk181182730"/>
      <w:r w:rsidRPr="00027D06">
        <w:rPr>
          <w:rFonts w:ascii="Times" w:eastAsia="Times New Roman" w:hAnsi="Times" w:cs="Arial"/>
          <w:bCs/>
          <w:kern w:val="0"/>
          <w:sz w:val="24"/>
          <w:szCs w:val="20"/>
          <w:lang w:eastAsia="pl-PL"/>
          <w14:ligatures w14:val="none"/>
        </w:rPr>
        <w:t xml:space="preserve">66 852 000 zł </w:t>
      </w:r>
      <w:bookmarkEnd w:id="87"/>
      <w:r w:rsidRPr="00027D06">
        <w:rPr>
          <w:rFonts w:ascii="Times" w:eastAsia="Times New Roman" w:hAnsi="Times" w:cs="Arial"/>
          <w:bCs/>
          <w:kern w:val="0"/>
          <w:sz w:val="24"/>
          <w:szCs w:val="20"/>
          <w:lang w:eastAsia="pl-PL"/>
          <w14:ligatures w14:val="none"/>
        </w:rPr>
        <w:t xml:space="preserve">albo kwoty stanowiącej równowartość 15 % całkowitego rocznego przychodu osoby zawodowo pośredniczącej w zawieraniu transakcji lub realizującej </w:t>
      </w:r>
      <w:r w:rsidRPr="00027D06">
        <w:rPr>
          <w:rFonts w:ascii="Times" w:eastAsia="Times New Roman" w:hAnsi="Times" w:cs="Arial"/>
          <w:bCs/>
          <w:kern w:val="0"/>
          <w:sz w:val="24"/>
          <w:szCs w:val="20"/>
          <w:lang w:eastAsia="pl-PL"/>
          <w14:ligatures w14:val="none"/>
        </w:rPr>
        <w:lastRenderedPageBreak/>
        <w:t xml:space="preserve">transakcje związane z kryptoaktywami według ostatniego zbadanego sprawozdania finansowego za rok obrotowy, jeżeli kwota stanowiąca tę równowartość przekracza 66 852 000 zł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na </w:t>
      </w:r>
      <w:bookmarkStart w:id="88" w:name="_Hlk181182650"/>
      <w:r w:rsidRPr="00027D06">
        <w:rPr>
          <w:rFonts w:ascii="Times" w:eastAsia="Times New Roman" w:hAnsi="Times" w:cs="Arial"/>
          <w:bCs/>
          <w:kern w:val="0"/>
          <w:sz w:val="24"/>
          <w:szCs w:val="20"/>
          <w:lang w:eastAsia="pl-PL"/>
          <w14:ligatures w14:val="none"/>
        </w:rPr>
        <w:t>osobę prawną lub jednostkę organizacyjną nieposiadającą osobowości prawnej zawodowo pośredniczącą w zawieraniu transakcji lub realizującą transakcje związane z kryptoaktywami.</w:t>
      </w:r>
      <w:bookmarkEnd w:id="88"/>
    </w:p>
    <w:p w14:paraId="59911DEB"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2F35B184"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naruszenia, o którym mowa w ust. 1, Komisja może również:</w:t>
      </w:r>
    </w:p>
    <w:p w14:paraId="39E7D312"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zakazać świadczenia usług w zakresie kryptoaktywów – w przypadku podmiotów, o których mowa w art. 59 ust. 1 lit. b rozporządzenia 2023/1114;</w:t>
      </w:r>
    </w:p>
    <w:p w14:paraId="0D992346"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nakazać osobie odpowiedzialnej za to naruszenie zaprzestanie działań skutkujących powstaniem tego naruszenia i niepodejmowanie takich działań w przyszłości.</w:t>
      </w:r>
    </w:p>
    <w:p w14:paraId="46EADDB7"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3B48928B"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 Komisja w przypadku cofnięcia zezwolenia zgodnie z art. 64 ust. 1 lit. d–g rozporządzenia 2023/1114, jeżeli uzasadnia to charakter naruszenia, może również nałożyć sankcję i środek, o których mowa w ust. 1 i ust. 3 pkt 2.</w:t>
      </w:r>
    </w:p>
    <w:p w14:paraId="6A2AA8E6" w14:textId="132E35DD"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10</w:t>
      </w:r>
      <w:r w:rsidR="000A668B">
        <w:rPr>
          <w:rFonts w:ascii="Times" w:eastAsia="Times New Roman" w:hAnsi="Times" w:cs="Arial"/>
          <w:b/>
          <w:kern w:val="0"/>
          <w:sz w:val="24"/>
          <w:szCs w:val="20"/>
          <w:lang w:eastAsia="pl-PL"/>
          <w14:ligatures w14:val="none"/>
        </w:rPr>
        <w:t>9</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W przypadku naruszenia przepisów art. 88 ust. 1</w:t>
      </w:r>
      <w:r w:rsidRPr="00027D06">
        <w:rPr>
          <w:rFonts w:ascii="Times" w:eastAsia="Times New Roman" w:hAnsi="Times" w:cs="Arial"/>
          <w:kern w:val="0"/>
          <w:sz w:val="24"/>
          <w:szCs w:val="20"/>
          <w:lang w:eastAsia="pl-PL"/>
          <w14:ligatures w14:val="none"/>
        </w:rPr>
        <w:sym w:font="Symbol" w:char="F02D"/>
      </w:r>
      <w:r w:rsidRPr="00027D06">
        <w:rPr>
          <w:rFonts w:ascii="Times" w:eastAsia="Times New Roman" w:hAnsi="Times" w:cs="Arial"/>
          <w:kern w:val="0"/>
          <w:sz w:val="24"/>
          <w:szCs w:val="20"/>
          <w:lang w:eastAsia="pl-PL"/>
          <w14:ligatures w14:val="none"/>
        </w:rPr>
        <w:t xml:space="preserve">3, art. 89 ust. 2 lub 3, art. 90 ust. 1, art. 91 ust. 1 lub art. 92 ust. 1 rozporządzenia 2023/1114, przepisów aktu wykonawczego wydanego na podstawie art. 88 ust. 4 rozporządzenia 2023/1114 lub </w:t>
      </w:r>
      <w:bookmarkStart w:id="89" w:name="_Hlk190077155"/>
      <w:r w:rsidRPr="00027D06">
        <w:rPr>
          <w:rFonts w:ascii="Times" w:eastAsia="Times New Roman" w:hAnsi="Times" w:cs="Arial"/>
          <w:kern w:val="0"/>
          <w:sz w:val="24"/>
          <w:szCs w:val="20"/>
          <w:lang w:eastAsia="pl-PL"/>
          <w14:ligatures w14:val="none"/>
        </w:rPr>
        <w:t>przepisów aktu delegowanego wydanego na podstawie</w:t>
      </w:r>
      <w:bookmarkEnd w:id="89"/>
      <w:r w:rsidRPr="00027D06">
        <w:rPr>
          <w:rFonts w:ascii="Times" w:eastAsia="Times New Roman" w:hAnsi="Times" w:cs="Arial"/>
          <w:kern w:val="0"/>
          <w:sz w:val="24"/>
          <w:szCs w:val="20"/>
          <w:lang w:eastAsia="pl-PL"/>
          <w14:ligatures w14:val="none"/>
        </w:rPr>
        <w:t xml:space="preserve"> art. 92 ust. 2 rozporządzenia 2023/1114 Komisja może także:</w:t>
      </w:r>
    </w:p>
    <w:p w14:paraId="019E678F"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90" w:name="_Hlk164952940"/>
      <w:r w:rsidRPr="00027D06">
        <w:rPr>
          <w:rFonts w:ascii="Times" w:eastAsia="Times New Roman" w:hAnsi="Times" w:cs="Arial"/>
          <w:bCs/>
          <w:kern w:val="0"/>
          <w:sz w:val="24"/>
          <w:szCs w:val="20"/>
          <w:lang w:eastAsia="pl-PL"/>
          <w14:ligatures w14:val="none"/>
        </w:rPr>
        <w:t>1)</w:t>
      </w:r>
      <w:r w:rsidRPr="00027D06">
        <w:rPr>
          <w:rFonts w:ascii="Times" w:eastAsia="Times New Roman" w:hAnsi="Times" w:cs="Arial"/>
          <w:bCs/>
          <w:kern w:val="0"/>
          <w:sz w:val="24"/>
          <w:szCs w:val="20"/>
          <w:lang w:eastAsia="pl-PL"/>
          <w14:ligatures w14:val="none"/>
        </w:rPr>
        <w:tab/>
        <w:t>nakazać podmiotowi, który dopuścił się naruszenia, wydanie korzyści osiągniętej lub wyrównanie straty unikniętej w wyniku naruszenia, jeżeli możliwe jest ich ustalenie;</w:t>
      </w:r>
    </w:p>
    <w:bookmarkEnd w:id="90"/>
    <w:p w14:paraId="34F790EC"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w:t>
      </w:r>
      <w:r w:rsidRPr="00027D06">
        <w:rPr>
          <w:rFonts w:ascii="Times" w:eastAsia="Times New Roman" w:hAnsi="Times" w:cs="Arial"/>
          <w:bCs/>
          <w:kern w:val="0"/>
          <w:sz w:val="24"/>
          <w:szCs w:val="20"/>
          <w:lang w:eastAsia="pl-PL"/>
          <w14:ligatures w14:val="none"/>
        </w:rPr>
        <w:tab/>
        <w:t xml:space="preserve">zakazać osobie odpowiedzialnej za naruszenie pełnienia funkcji członka organu zarządzającego lub funkcji kierowniczych w podmiotach będących dostawcami usług w zakresie kryptoaktywów, przez okres nie krótszy niż miesiąc i nie dłuższy niż rok, przy </w:t>
      </w:r>
      <w:r w:rsidRPr="00027D06">
        <w:rPr>
          <w:rFonts w:ascii="Times" w:eastAsia="Times New Roman" w:hAnsi="Times" w:cs="Arial"/>
          <w:bCs/>
          <w:kern w:val="0"/>
          <w:sz w:val="24"/>
          <w:szCs w:val="20"/>
          <w:lang w:eastAsia="pl-PL"/>
          <w14:ligatures w14:val="none"/>
        </w:rPr>
        <w:lastRenderedPageBreak/>
        <w:t xml:space="preserve">czym w przypadku ponownego naruszenia </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 xml:space="preserve"> przez okres nie krótszy niż 10 lat i nie dłuższy niż 15 lat;</w:t>
      </w:r>
    </w:p>
    <w:p w14:paraId="187F7B84"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Pr="00027D06">
        <w:rPr>
          <w:rFonts w:ascii="Times" w:eastAsia="Times New Roman" w:hAnsi="Times" w:cs="Arial"/>
          <w:bCs/>
          <w:kern w:val="0"/>
          <w:sz w:val="24"/>
          <w:szCs w:val="20"/>
          <w:lang w:eastAsia="pl-PL"/>
          <w14:ligatures w14:val="none"/>
        </w:rPr>
        <w:tab/>
        <w:t>zakazać członkom organu zarządzającego dostawcy usług w zakresie kryptoaktywów lub innym osobom odpowiedzialnym za naruszenie zawierania transakcji na własny rachunek, których przedmiotem są kryptoaktywa, przez okres nie krótszy niż miesiąc i nie dłuższy niż rok;</w:t>
      </w:r>
    </w:p>
    <w:p w14:paraId="6DB22465" w14:textId="77777777" w:rsidR="00027D06" w:rsidRPr="00027D06"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w:t>
      </w:r>
      <w:r w:rsidRPr="00027D06">
        <w:rPr>
          <w:rFonts w:ascii="Times" w:eastAsia="Times New Roman" w:hAnsi="Times" w:cs="Arial"/>
          <w:bCs/>
          <w:kern w:val="0"/>
          <w:sz w:val="24"/>
          <w:szCs w:val="20"/>
          <w:lang w:eastAsia="pl-PL"/>
          <w14:ligatures w14:val="none"/>
        </w:rPr>
        <w:tab/>
        <w:t>nakazać osobie odpowiedzialnej za naruszenie zaprzestanie działań skutkujących powstaniem naruszenia i niepodejmowanie takich działań w przyszłości.</w:t>
      </w:r>
    </w:p>
    <w:p w14:paraId="662B2A0B" w14:textId="11B7949D"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1</w:t>
      </w:r>
      <w:r w:rsidR="000A668B">
        <w:rPr>
          <w:rFonts w:ascii="Times" w:eastAsia="Times New Roman" w:hAnsi="Times" w:cs="Arial"/>
          <w:b/>
          <w:kern w:val="0"/>
          <w:sz w:val="24"/>
          <w:szCs w:val="20"/>
          <w:lang w:eastAsia="pl-PL"/>
          <w14:ligatures w14:val="none"/>
        </w:rPr>
        <w:t>10</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W przypadku naruszenia zakazu lub </w:t>
      </w:r>
      <w:r w:rsidRPr="00076A91">
        <w:rPr>
          <w:rFonts w:ascii="Times" w:eastAsia="Times New Roman" w:hAnsi="Times" w:cs="Arial"/>
          <w:kern w:val="0"/>
          <w:sz w:val="24"/>
          <w:szCs w:val="20"/>
          <w:lang w:eastAsia="pl-PL"/>
          <w14:ligatures w14:val="none"/>
        </w:rPr>
        <w:t>ograniczenia, o których mowa w art. 103, art. 104 lub art. 105 rozporządzenia 2023/1114, Komisja może nałożyć na podmiot, który dopuścił się tego naruszenia, karę pieniężną do wysokości 20 000 000 zł albo kwoty stanowiącej równowartość 10 % całkowitego rocznego przychodu wykazanego w ostatnim zbadanym sprawozdaniu finansowym, jeżeli kwota stanowiąca tę równowartość przekracza 20 000 000 zł.</w:t>
      </w:r>
    </w:p>
    <w:p w14:paraId="20F8C715"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W przypadku gdy podmiot, o którym mowa w ust. 1, jest jednostką dominującą, która sporządza skonsolidowane sprawozdanie finansowe, albo jednostką zależną od tej jednostki dominującej, całkowity roczny przychód, o którym mowa w ust. 1, stanowi kwota całkowitego skonsolidowanego rocznego przychodu tej jednostki dominującej wykazana w ostatnim zbadanym skonsolidowanym sprawozdaniu finansowym za rok obrotowy.</w:t>
      </w:r>
    </w:p>
    <w:p w14:paraId="02FA375E" w14:textId="5ABF0071"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11</w:t>
      </w:r>
      <w:r w:rsidR="000A668B">
        <w:rPr>
          <w:rFonts w:ascii="Times" w:eastAsia="Times New Roman" w:hAnsi="Times" w:cs="Arial"/>
          <w:b/>
          <w:kern w:val="0"/>
          <w:sz w:val="24"/>
          <w:szCs w:val="20"/>
          <w:lang w:eastAsia="pl-PL"/>
          <w14:ligatures w14:val="none"/>
        </w:rPr>
        <w:t>1</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Komisja, nakładając sankcje i środki, o których mowa w art. </w:t>
      </w:r>
      <w:r w:rsidR="00554C50" w:rsidRPr="00076A91">
        <w:rPr>
          <w:rFonts w:ascii="Times" w:eastAsia="Times New Roman" w:hAnsi="Times" w:cs="Arial"/>
          <w:kern w:val="0"/>
          <w:sz w:val="24"/>
          <w:szCs w:val="20"/>
          <w:lang w:eastAsia="pl-PL"/>
          <w14:ligatures w14:val="none"/>
        </w:rPr>
        <w:t>9</w:t>
      </w:r>
      <w:r w:rsidR="00554C50">
        <w:rPr>
          <w:rFonts w:ascii="Times" w:eastAsia="Times New Roman" w:hAnsi="Times" w:cs="Arial"/>
          <w:kern w:val="0"/>
          <w:sz w:val="24"/>
          <w:szCs w:val="20"/>
          <w:lang w:eastAsia="pl-PL"/>
          <w14:ligatures w14:val="none"/>
        </w:rPr>
        <w:t>6</w:t>
      </w:r>
      <w:r w:rsidR="00E53CB5">
        <w:rPr>
          <w:rFonts w:ascii="Times" w:eastAsia="Times New Roman" w:hAnsi="Times" w:cs="Arial"/>
          <w:kern w:val="0"/>
          <w:sz w:val="24"/>
          <w:szCs w:val="20"/>
          <w:lang w:eastAsia="pl-PL"/>
          <w14:ligatures w14:val="none"/>
        </w:rPr>
        <w:t xml:space="preserve"> </w:t>
      </w:r>
      <w:r w:rsidR="00554C50" w:rsidRPr="00076A91">
        <w:rPr>
          <w:rFonts w:ascii="Times" w:eastAsia="Times New Roman" w:hAnsi="Times" w:cs="Arial"/>
          <w:kern w:val="0"/>
          <w:sz w:val="24"/>
          <w:szCs w:val="20"/>
          <w:lang w:eastAsia="pl-PL"/>
          <w14:ligatures w14:val="none"/>
        </w:rPr>
        <w:t>ust</w:t>
      </w:r>
      <w:r w:rsidRPr="00076A91">
        <w:rPr>
          <w:rFonts w:ascii="Times" w:eastAsia="Times New Roman" w:hAnsi="Times" w:cs="Arial"/>
          <w:kern w:val="0"/>
          <w:sz w:val="24"/>
          <w:szCs w:val="20"/>
          <w:lang w:eastAsia="pl-PL"/>
          <w14:ligatures w14:val="none"/>
        </w:rPr>
        <w:t xml:space="preserve">. 7, art. </w:t>
      </w:r>
      <w:r w:rsidR="00554C50">
        <w:rPr>
          <w:rFonts w:ascii="Times" w:eastAsia="Times New Roman" w:hAnsi="Times" w:cs="Arial"/>
          <w:kern w:val="0"/>
          <w:sz w:val="24"/>
          <w:szCs w:val="20"/>
          <w:lang w:eastAsia="pl-PL"/>
          <w14:ligatures w14:val="none"/>
        </w:rPr>
        <w:t>100</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2 i art. </w:t>
      </w:r>
      <w:r w:rsidR="00554C50" w:rsidRPr="00076A91">
        <w:rPr>
          <w:rFonts w:ascii="Times" w:eastAsia="Times New Roman" w:hAnsi="Times" w:cs="Arial"/>
          <w:kern w:val="0"/>
          <w:sz w:val="24"/>
          <w:szCs w:val="20"/>
          <w:lang w:eastAsia="pl-PL"/>
          <w14:ligatures w14:val="none"/>
        </w:rPr>
        <w:t>10</w:t>
      </w:r>
      <w:r w:rsidR="00554C50">
        <w:rPr>
          <w:rFonts w:ascii="Times" w:eastAsia="Times New Roman" w:hAnsi="Times" w:cs="Arial"/>
          <w:kern w:val="0"/>
          <w:sz w:val="24"/>
          <w:szCs w:val="20"/>
          <w:lang w:eastAsia="pl-PL"/>
          <w14:ligatures w14:val="none"/>
        </w:rPr>
        <w:t>1</w:t>
      </w:r>
      <w:r w:rsidRPr="00076A91">
        <w:rPr>
          <w:rFonts w:ascii="Times" w:eastAsia="Times New Roman" w:hAnsi="Times" w:cs="Arial"/>
          <w:kern w:val="0"/>
          <w:sz w:val="24"/>
          <w:szCs w:val="20"/>
          <w:lang w:eastAsia="pl-PL"/>
          <w14:ligatures w14:val="none"/>
        </w:rPr>
        <w:t>–</w:t>
      </w:r>
      <w:r w:rsidR="00554C50" w:rsidRPr="00076A91">
        <w:rPr>
          <w:rFonts w:ascii="Times" w:eastAsia="Times New Roman" w:hAnsi="Times" w:cs="Arial"/>
          <w:kern w:val="0"/>
          <w:sz w:val="24"/>
          <w:szCs w:val="20"/>
          <w:lang w:eastAsia="pl-PL"/>
          <w14:ligatures w14:val="none"/>
        </w:rPr>
        <w:t>1</w:t>
      </w:r>
      <w:r w:rsidR="00554C50">
        <w:rPr>
          <w:rFonts w:ascii="Times" w:eastAsia="Times New Roman" w:hAnsi="Times" w:cs="Arial"/>
          <w:kern w:val="0"/>
          <w:sz w:val="24"/>
          <w:szCs w:val="20"/>
          <w:lang w:eastAsia="pl-PL"/>
          <w14:ligatures w14:val="none"/>
        </w:rPr>
        <w:t>10</w:t>
      </w:r>
      <w:r w:rsidRPr="00076A91">
        <w:rPr>
          <w:rFonts w:ascii="Times" w:eastAsia="Times New Roman" w:hAnsi="Times" w:cs="Arial"/>
          <w:kern w:val="0"/>
          <w:sz w:val="24"/>
          <w:szCs w:val="20"/>
          <w:lang w:eastAsia="pl-PL"/>
          <w14:ligatures w14:val="none"/>
        </w:rPr>
        <w:t>, uwzględnia okoliczności określone w art. 112 ust. 1 rozporządzenia 2023/1114.</w:t>
      </w:r>
    </w:p>
    <w:p w14:paraId="542AB03E" w14:textId="13E9756D"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11</w:t>
      </w:r>
      <w:r w:rsidR="000A668B">
        <w:rPr>
          <w:rFonts w:ascii="Times" w:eastAsia="Times New Roman" w:hAnsi="Times" w:cs="Arial"/>
          <w:b/>
          <w:kern w:val="0"/>
          <w:sz w:val="24"/>
          <w:szCs w:val="20"/>
          <w:lang w:eastAsia="pl-PL"/>
          <w14:ligatures w14:val="none"/>
        </w:rPr>
        <w:t>2</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przypadku gdy dane finansowe w sprawozdaniu finansowym, o którym mowa w art. </w:t>
      </w:r>
      <w:r w:rsidR="00554C50" w:rsidRPr="00076A91">
        <w:rPr>
          <w:rFonts w:ascii="Times" w:eastAsia="Times New Roman" w:hAnsi="Times" w:cs="Arial"/>
          <w:kern w:val="0"/>
          <w:sz w:val="24"/>
          <w:szCs w:val="20"/>
          <w:lang w:eastAsia="pl-PL"/>
          <w14:ligatures w14:val="none"/>
        </w:rPr>
        <w:t>10</w:t>
      </w:r>
      <w:r w:rsidR="00554C50">
        <w:rPr>
          <w:rFonts w:ascii="Times" w:eastAsia="Times New Roman" w:hAnsi="Times" w:cs="Arial"/>
          <w:kern w:val="0"/>
          <w:sz w:val="24"/>
          <w:szCs w:val="20"/>
          <w:lang w:eastAsia="pl-PL"/>
          <w14:ligatures w14:val="none"/>
        </w:rPr>
        <w:t>4</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2 i 5, art. </w:t>
      </w:r>
      <w:r w:rsidR="00554C50" w:rsidRPr="00076A91">
        <w:rPr>
          <w:rFonts w:ascii="Times" w:eastAsia="Times New Roman" w:hAnsi="Times" w:cs="Arial"/>
          <w:kern w:val="0"/>
          <w:sz w:val="24"/>
          <w:szCs w:val="20"/>
          <w:lang w:eastAsia="pl-PL"/>
          <w14:ligatures w14:val="none"/>
        </w:rPr>
        <w:t>10</w:t>
      </w:r>
      <w:r w:rsidR="00554C50">
        <w:rPr>
          <w:rFonts w:ascii="Times" w:eastAsia="Times New Roman" w:hAnsi="Times" w:cs="Arial"/>
          <w:kern w:val="0"/>
          <w:sz w:val="24"/>
          <w:szCs w:val="20"/>
          <w:lang w:eastAsia="pl-PL"/>
          <w14:ligatures w14:val="none"/>
        </w:rPr>
        <w:t>5</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pkt 1 i ust. 4, art. </w:t>
      </w:r>
      <w:r w:rsidR="00554C50" w:rsidRPr="00076A91">
        <w:rPr>
          <w:rFonts w:ascii="Times" w:eastAsia="Times New Roman" w:hAnsi="Times" w:cs="Arial"/>
          <w:kern w:val="0"/>
          <w:sz w:val="24"/>
          <w:szCs w:val="20"/>
          <w:lang w:eastAsia="pl-PL"/>
          <w14:ligatures w14:val="none"/>
        </w:rPr>
        <w:t>10</w:t>
      </w:r>
      <w:r w:rsidR="00554C50">
        <w:rPr>
          <w:rFonts w:ascii="Times" w:eastAsia="Times New Roman" w:hAnsi="Times" w:cs="Arial"/>
          <w:kern w:val="0"/>
          <w:sz w:val="24"/>
          <w:szCs w:val="20"/>
          <w:lang w:eastAsia="pl-PL"/>
          <w14:ligatures w14:val="none"/>
        </w:rPr>
        <w:t>6</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pkt 2 i ust. 3, art. </w:t>
      </w:r>
      <w:r w:rsidR="00554C50" w:rsidRPr="00076A91">
        <w:rPr>
          <w:rFonts w:ascii="Times" w:eastAsia="Times New Roman" w:hAnsi="Times" w:cs="Arial"/>
          <w:kern w:val="0"/>
          <w:sz w:val="24"/>
          <w:szCs w:val="20"/>
          <w:lang w:eastAsia="pl-PL"/>
          <w14:ligatures w14:val="none"/>
        </w:rPr>
        <w:t>10</w:t>
      </w:r>
      <w:r w:rsidR="00554C50">
        <w:rPr>
          <w:rFonts w:ascii="Times" w:eastAsia="Times New Roman" w:hAnsi="Times" w:cs="Arial"/>
          <w:kern w:val="0"/>
          <w:sz w:val="24"/>
          <w:szCs w:val="20"/>
          <w:lang w:eastAsia="pl-PL"/>
          <w14:ligatures w14:val="none"/>
        </w:rPr>
        <w:t>7</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pkt 2 i ust. 3, art. </w:t>
      </w:r>
      <w:r w:rsidR="00554C50" w:rsidRPr="00076A91">
        <w:rPr>
          <w:rFonts w:ascii="Times" w:eastAsia="Times New Roman" w:hAnsi="Times" w:cs="Arial"/>
          <w:kern w:val="0"/>
          <w:sz w:val="24"/>
          <w:szCs w:val="20"/>
          <w:lang w:eastAsia="pl-PL"/>
          <w14:ligatures w14:val="none"/>
        </w:rPr>
        <w:t>10</w:t>
      </w:r>
      <w:r w:rsidR="00554C50">
        <w:rPr>
          <w:rFonts w:ascii="Times" w:eastAsia="Times New Roman" w:hAnsi="Times" w:cs="Arial"/>
          <w:kern w:val="0"/>
          <w:sz w:val="24"/>
          <w:szCs w:val="20"/>
          <w:lang w:eastAsia="pl-PL"/>
          <w14:ligatures w14:val="none"/>
        </w:rPr>
        <w:t>8</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pkt 2 i ust. 4 oraz art. </w:t>
      </w:r>
      <w:r w:rsidR="00554C50" w:rsidRPr="00076A91">
        <w:rPr>
          <w:rFonts w:ascii="Times" w:eastAsia="Times New Roman" w:hAnsi="Times" w:cs="Arial"/>
          <w:kern w:val="0"/>
          <w:sz w:val="24"/>
          <w:szCs w:val="20"/>
          <w:lang w:eastAsia="pl-PL"/>
          <w14:ligatures w14:val="none"/>
        </w:rPr>
        <w:t>1</w:t>
      </w:r>
      <w:r w:rsidR="00554C50">
        <w:rPr>
          <w:rFonts w:ascii="Times" w:eastAsia="Times New Roman" w:hAnsi="Times" w:cs="Arial"/>
          <w:kern w:val="0"/>
          <w:sz w:val="24"/>
          <w:szCs w:val="20"/>
          <w:lang w:eastAsia="pl-PL"/>
          <w14:ligatures w14:val="none"/>
        </w:rPr>
        <w:t>10</w:t>
      </w:r>
      <w:r w:rsidRPr="00076A91">
        <w:rPr>
          <w:rFonts w:ascii="Times" w:eastAsia="Times New Roman" w:hAnsi="Times" w:cs="Arial"/>
          <w:kern w:val="0"/>
          <w:sz w:val="24"/>
          <w:szCs w:val="20"/>
          <w:lang w:eastAsia="pl-PL"/>
          <w14:ligatures w14:val="none"/>
        </w:rPr>
        <w:t>, są podane w walucie innej niż waluta polska, równowartość w złotych kwoty w walucie obcej oblicza się według średniego kursu tej waluty ogłoszonego przez Narodowy Bank Polski w dniu bilansowym, na który zostało sporządzone to sprawozdanie finansowe.</w:t>
      </w:r>
    </w:p>
    <w:p w14:paraId="04B822FB" w14:textId="43F41952"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11</w:t>
      </w:r>
      <w:r w:rsidR="000A668B">
        <w:rPr>
          <w:rFonts w:ascii="Times" w:eastAsia="Times New Roman" w:hAnsi="Times" w:cs="Arial"/>
          <w:b/>
          <w:kern w:val="0"/>
          <w:sz w:val="24"/>
          <w:szCs w:val="20"/>
          <w:lang w:eastAsia="pl-PL"/>
          <w14:ligatures w14:val="none"/>
        </w:rPr>
        <w:t>3</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Komisja, w drodze uchwały, podaje do publicznej wiadomości informacje o wydaniu decyzji w sprawach, o których mowa w art. </w:t>
      </w:r>
      <w:r w:rsidR="00554C50" w:rsidRPr="00076A91">
        <w:rPr>
          <w:rFonts w:ascii="Times" w:eastAsia="Times New Roman" w:hAnsi="Times" w:cs="Arial"/>
          <w:kern w:val="0"/>
          <w:sz w:val="24"/>
          <w:szCs w:val="20"/>
          <w:lang w:eastAsia="pl-PL"/>
          <w14:ligatures w14:val="none"/>
        </w:rPr>
        <w:t>9</w:t>
      </w:r>
      <w:r w:rsidR="00554C50">
        <w:rPr>
          <w:rFonts w:ascii="Times" w:eastAsia="Times New Roman" w:hAnsi="Times" w:cs="Arial"/>
          <w:kern w:val="0"/>
          <w:sz w:val="24"/>
          <w:szCs w:val="20"/>
          <w:lang w:eastAsia="pl-PL"/>
          <w14:ligatures w14:val="none"/>
        </w:rPr>
        <w:t>6</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7, art. </w:t>
      </w:r>
      <w:r w:rsidR="00554C50">
        <w:rPr>
          <w:rFonts w:ascii="Times" w:eastAsia="Times New Roman" w:hAnsi="Times" w:cs="Arial"/>
          <w:kern w:val="0"/>
          <w:sz w:val="24"/>
          <w:szCs w:val="20"/>
          <w:lang w:eastAsia="pl-PL"/>
          <w14:ligatures w14:val="none"/>
        </w:rPr>
        <w:t>100</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2 i art. </w:t>
      </w:r>
      <w:r w:rsidR="00554C50" w:rsidRPr="00076A91">
        <w:rPr>
          <w:rFonts w:ascii="Times" w:eastAsia="Times New Roman" w:hAnsi="Times" w:cs="Arial"/>
          <w:kern w:val="0"/>
          <w:sz w:val="24"/>
          <w:szCs w:val="20"/>
          <w:lang w:eastAsia="pl-PL"/>
          <w14:ligatures w14:val="none"/>
        </w:rPr>
        <w:t>10</w:t>
      </w:r>
      <w:r w:rsidR="00554C50">
        <w:rPr>
          <w:rFonts w:ascii="Times" w:eastAsia="Times New Roman" w:hAnsi="Times" w:cs="Arial"/>
          <w:kern w:val="0"/>
          <w:sz w:val="24"/>
          <w:szCs w:val="20"/>
          <w:lang w:eastAsia="pl-PL"/>
          <w14:ligatures w14:val="none"/>
        </w:rPr>
        <w:t>1</w:t>
      </w:r>
      <w:r w:rsidRPr="00076A91">
        <w:rPr>
          <w:rFonts w:ascii="Times" w:eastAsia="Times New Roman" w:hAnsi="Times" w:cs="Arial"/>
          <w:kern w:val="0"/>
          <w:sz w:val="24"/>
          <w:szCs w:val="20"/>
          <w:lang w:eastAsia="pl-PL"/>
          <w14:ligatures w14:val="none"/>
        </w:rPr>
        <w:t>–</w:t>
      </w:r>
      <w:r w:rsidR="00554C50" w:rsidRPr="00076A91">
        <w:rPr>
          <w:rFonts w:ascii="Times" w:eastAsia="Times New Roman" w:hAnsi="Times" w:cs="Arial"/>
          <w:kern w:val="0"/>
          <w:sz w:val="24"/>
          <w:szCs w:val="20"/>
          <w:lang w:eastAsia="pl-PL"/>
          <w14:ligatures w14:val="none"/>
        </w:rPr>
        <w:t>1</w:t>
      </w:r>
      <w:r w:rsidR="00554C50">
        <w:rPr>
          <w:rFonts w:ascii="Times" w:eastAsia="Times New Roman" w:hAnsi="Times" w:cs="Arial"/>
          <w:kern w:val="0"/>
          <w:sz w:val="24"/>
          <w:szCs w:val="20"/>
          <w:lang w:eastAsia="pl-PL"/>
          <w14:ligatures w14:val="none"/>
        </w:rPr>
        <w:t>10</w:t>
      </w:r>
      <w:r w:rsidRPr="00076A91">
        <w:rPr>
          <w:rFonts w:ascii="Times" w:eastAsia="Times New Roman" w:hAnsi="Times" w:cs="Arial"/>
          <w:kern w:val="0"/>
          <w:sz w:val="24"/>
          <w:szCs w:val="20"/>
          <w:lang w:eastAsia="pl-PL"/>
          <w14:ligatures w14:val="none"/>
        </w:rPr>
        <w:t>, w zakresie określonym w art. 114 rozporządzenia 2023/1114 i w sposób określony w art. 114 rozporządzenia 2023/1114.</w:t>
      </w:r>
    </w:p>
    <w:p w14:paraId="2722A33E"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2. Informacje, o których mowa w ust. 1, są dostępne na stronie internetowej Komisji przez okres nie dłuższy niż 5 lat, licząc od dnia ich opublikowania, z tym że informacje o imieniu i nazwisku albo firmie (nazwie) są dostępne na tej stronie przez okres nie dłuższy niż rok.</w:t>
      </w:r>
    </w:p>
    <w:p w14:paraId="76DD53DE" w14:textId="4A9291A0"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11</w:t>
      </w:r>
      <w:r w:rsidR="000A668B">
        <w:rPr>
          <w:rFonts w:ascii="Times" w:eastAsia="Times New Roman" w:hAnsi="Times" w:cs="Arial"/>
          <w:b/>
          <w:kern w:val="0"/>
          <w:sz w:val="24"/>
          <w:szCs w:val="20"/>
          <w:lang w:eastAsia="pl-PL"/>
          <w14:ligatures w14:val="none"/>
        </w:rPr>
        <w:t>4</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Sankcje i środki, o których mowa w niniejszym oddziale, Komisja nakłada w drodze decyzji.</w:t>
      </w:r>
    </w:p>
    <w:p w14:paraId="23E75D64" w14:textId="606A4F70"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2. Decyzja o zastosowaniu środków, o których mowa w art. </w:t>
      </w:r>
      <w:bookmarkStart w:id="91" w:name="_Hlk174092770"/>
      <w:r w:rsidR="00554C50" w:rsidRPr="00076A91">
        <w:rPr>
          <w:rFonts w:ascii="Times" w:eastAsia="Times New Roman" w:hAnsi="Times" w:cs="Arial"/>
          <w:bCs/>
          <w:kern w:val="0"/>
          <w:sz w:val="24"/>
          <w:szCs w:val="20"/>
          <w:lang w:eastAsia="pl-PL"/>
          <w14:ligatures w14:val="none"/>
        </w:rPr>
        <w:t>8</w:t>
      </w:r>
      <w:r w:rsidR="00554C50">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 art. </w:t>
      </w:r>
      <w:r w:rsidR="00554C50" w:rsidRPr="00076A91">
        <w:rPr>
          <w:rFonts w:ascii="Times" w:eastAsia="Times New Roman" w:hAnsi="Times" w:cs="Arial"/>
          <w:bCs/>
          <w:kern w:val="0"/>
          <w:sz w:val="24"/>
          <w:szCs w:val="20"/>
          <w:lang w:eastAsia="pl-PL"/>
          <w14:ligatures w14:val="none"/>
        </w:rPr>
        <w:t>8</w:t>
      </w:r>
      <w:r w:rsidR="00554C50">
        <w:rPr>
          <w:rFonts w:ascii="Times" w:eastAsia="Times New Roman" w:hAnsi="Times" w:cs="Arial"/>
          <w:bCs/>
          <w:kern w:val="0"/>
          <w:sz w:val="24"/>
          <w:szCs w:val="20"/>
          <w:lang w:eastAsia="pl-PL"/>
          <w14:ligatures w14:val="none"/>
        </w:rPr>
        <w:t>8</w:t>
      </w:r>
      <w:r w:rsidRPr="00076A91">
        <w:rPr>
          <w:rFonts w:ascii="Times" w:eastAsia="Times New Roman" w:hAnsi="Times" w:cs="Arial"/>
          <w:bCs/>
          <w:kern w:val="0"/>
          <w:sz w:val="24"/>
          <w:szCs w:val="20"/>
          <w:lang w:eastAsia="pl-PL"/>
          <w14:ligatures w14:val="none"/>
        </w:rPr>
        <w:t xml:space="preserve">, art. </w:t>
      </w:r>
      <w:r w:rsidR="00554C50" w:rsidRPr="00076A91">
        <w:rPr>
          <w:rFonts w:ascii="Times" w:eastAsia="Times New Roman" w:hAnsi="Times" w:cs="Arial"/>
          <w:bCs/>
          <w:kern w:val="0"/>
          <w:sz w:val="24"/>
          <w:szCs w:val="20"/>
          <w:lang w:eastAsia="pl-PL"/>
          <w14:ligatures w14:val="none"/>
        </w:rPr>
        <w:t>8</w:t>
      </w:r>
      <w:r w:rsidR="00554C50">
        <w:rPr>
          <w:rFonts w:ascii="Times" w:eastAsia="Times New Roman" w:hAnsi="Times" w:cs="Arial"/>
          <w:bCs/>
          <w:kern w:val="0"/>
          <w:sz w:val="24"/>
          <w:szCs w:val="20"/>
          <w:lang w:eastAsia="pl-PL"/>
          <w14:ligatures w14:val="none"/>
        </w:rPr>
        <w:t>9</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pkt 1 i 2, art. </w:t>
      </w:r>
      <w:r w:rsidR="00554C50">
        <w:rPr>
          <w:rFonts w:ascii="Times" w:eastAsia="Times New Roman" w:hAnsi="Times" w:cs="Arial"/>
          <w:bCs/>
          <w:kern w:val="0"/>
          <w:sz w:val="24"/>
          <w:szCs w:val="20"/>
          <w:lang w:eastAsia="pl-PL"/>
          <w14:ligatures w14:val="none"/>
        </w:rPr>
        <w:t>90</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pkt 1 i 2 i ust. 4 pkt 1 i 2,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2</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pkt 1 i 2,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3</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pkt 1 i 2,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 xml:space="preserve">,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5</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oraz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9</w:t>
      </w:r>
      <w:r w:rsidRPr="00076A91">
        <w:rPr>
          <w:rFonts w:ascii="Times" w:eastAsia="Times New Roman" w:hAnsi="Times" w:cs="Arial"/>
          <w:bCs/>
          <w:kern w:val="0"/>
          <w:sz w:val="24"/>
          <w:szCs w:val="20"/>
          <w:lang w:eastAsia="pl-PL"/>
          <w14:ligatures w14:val="none"/>
        </w:rPr>
        <w:t xml:space="preserve">, </w:t>
      </w:r>
      <w:bookmarkEnd w:id="91"/>
      <w:r w:rsidRPr="00076A91">
        <w:rPr>
          <w:rFonts w:ascii="Times" w:eastAsia="Times New Roman" w:hAnsi="Times" w:cs="Arial"/>
          <w:bCs/>
          <w:kern w:val="0"/>
          <w:sz w:val="24"/>
          <w:szCs w:val="20"/>
          <w:lang w:eastAsia="pl-PL"/>
          <w14:ligatures w14:val="none"/>
        </w:rPr>
        <w:t>podlega natychmiastowemu wykonaniu. Uzasadnienie decyzji doręcza się w terminie 14 dni od dnia doręczenia decyzji. Termin na złożenie wniosku o ponowne rozpatrzenie sprawy biegnie od dnia doręczenia uzasadnienia decyzji.</w:t>
      </w:r>
    </w:p>
    <w:p w14:paraId="7DF694F9" w14:textId="28EEB6C9"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3. W przypadku gdy oferta publiczna kryptoaktywów lub ubieganie się o dopuszczenie kryptoaktywów do obrotu są przeprowadzane za pośrednictwem dostawcy usług w zakresie kryptoaktywów, postanowienie o wszczęciu postępowania w sprawie zastosowania środków, o których mowa w art. </w:t>
      </w:r>
      <w:r w:rsidR="00554C50" w:rsidRPr="00076A91">
        <w:rPr>
          <w:rFonts w:ascii="Times" w:eastAsia="Times New Roman" w:hAnsi="Times" w:cs="Arial"/>
          <w:bCs/>
          <w:kern w:val="0"/>
          <w:sz w:val="24"/>
          <w:szCs w:val="20"/>
          <w:lang w:eastAsia="pl-PL"/>
          <w14:ligatures w14:val="none"/>
        </w:rPr>
        <w:t>8</w:t>
      </w:r>
      <w:r w:rsidR="00554C50">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 xml:space="preserve">, art. </w:t>
      </w:r>
      <w:r w:rsidR="00554C50" w:rsidRPr="00076A91">
        <w:rPr>
          <w:rFonts w:ascii="Times" w:eastAsia="Times New Roman" w:hAnsi="Times" w:cs="Arial"/>
          <w:bCs/>
          <w:kern w:val="0"/>
          <w:sz w:val="24"/>
          <w:szCs w:val="20"/>
          <w:lang w:eastAsia="pl-PL"/>
          <w14:ligatures w14:val="none"/>
        </w:rPr>
        <w:t>8</w:t>
      </w:r>
      <w:r w:rsidR="00554C50">
        <w:rPr>
          <w:rFonts w:ascii="Times" w:eastAsia="Times New Roman" w:hAnsi="Times" w:cs="Arial"/>
          <w:bCs/>
          <w:kern w:val="0"/>
          <w:sz w:val="24"/>
          <w:szCs w:val="20"/>
          <w:lang w:eastAsia="pl-PL"/>
          <w14:ligatures w14:val="none"/>
        </w:rPr>
        <w:t>8</w:t>
      </w:r>
      <w:r w:rsidRPr="00076A91">
        <w:rPr>
          <w:rFonts w:ascii="Times" w:eastAsia="Times New Roman" w:hAnsi="Times" w:cs="Arial"/>
          <w:bCs/>
          <w:kern w:val="0"/>
          <w:sz w:val="24"/>
          <w:szCs w:val="20"/>
          <w:lang w:eastAsia="pl-PL"/>
          <w14:ligatures w14:val="none"/>
        </w:rPr>
        <w:t xml:space="preserve">, art. </w:t>
      </w:r>
      <w:r w:rsidR="00554C50" w:rsidRPr="00076A91">
        <w:rPr>
          <w:rFonts w:ascii="Times" w:eastAsia="Times New Roman" w:hAnsi="Times" w:cs="Arial"/>
          <w:bCs/>
          <w:kern w:val="0"/>
          <w:sz w:val="24"/>
          <w:szCs w:val="20"/>
          <w:lang w:eastAsia="pl-PL"/>
          <w14:ligatures w14:val="none"/>
        </w:rPr>
        <w:t>8</w:t>
      </w:r>
      <w:r w:rsidR="00554C50">
        <w:rPr>
          <w:rFonts w:ascii="Times" w:eastAsia="Times New Roman" w:hAnsi="Times" w:cs="Arial"/>
          <w:bCs/>
          <w:kern w:val="0"/>
          <w:sz w:val="24"/>
          <w:szCs w:val="20"/>
          <w:lang w:eastAsia="pl-PL"/>
          <w14:ligatures w14:val="none"/>
        </w:rPr>
        <w:t>9</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pkt 1 i 2, art. </w:t>
      </w:r>
      <w:r w:rsidR="00554C50">
        <w:rPr>
          <w:rFonts w:ascii="Times" w:eastAsia="Times New Roman" w:hAnsi="Times" w:cs="Arial"/>
          <w:bCs/>
          <w:kern w:val="0"/>
          <w:sz w:val="24"/>
          <w:szCs w:val="20"/>
          <w:lang w:eastAsia="pl-PL"/>
          <w14:ligatures w14:val="none"/>
        </w:rPr>
        <w:t>90</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pkt 1 i 2,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1</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lub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2</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pkt 1 i 2, i decyzję o ich zastosowaniu doręcza się temu dostawcy.</w:t>
      </w:r>
    </w:p>
    <w:p w14:paraId="77BE17E1" w14:textId="4A9C234E"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4. W przypadku pośrednictwa więcej niż jednego dostawcy usług w zakresie kryptoaktywów, o którym mowa w ust. 3, postanowienie o wszczęciu postępowania w sprawie zastosowania środków, o których mowa w art. </w:t>
      </w:r>
      <w:r w:rsidR="00554C50" w:rsidRPr="00076A91">
        <w:rPr>
          <w:rFonts w:ascii="Times" w:eastAsia="Times New Roman" w:hAnsi="Times" w:cs="Arial"/>
          <w:bCs/>
          <w:kern w:val="0"/>
          <w:sz w:val="24"/>
          <w:szCs w:val="20"/>
          <w:lang w:eastAsia="pl-PL"/>
          <w14:ligatures w14:val="none"/>
        </w:rPr>
        <w:t>8</w:t>
      </w:r>
      <w:r w:rsidR="00554C50">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 xml:space="preserve">, art. </w:t>
      </w:r>
      <w:r w:rsidR="00554C50" w:rsidRPr="00076A91">
        <w:rPr>
          <w:rFonts w:ascii="Times" w:eastAsia="Times New Roman" w:hAnsi="Times" w:cs="Arial"/>
          <w:bCs/>
          <w:kern w:val="0"/>
          <w:sz w:val="24"/>
          <w:szCs w:val="20"/>
          <w:lang w:eastAsia="pl-PL"/>
          <w14:ligatures w14:val="none"/>
        </w:rPr>
        <w:t>8</w:t>
      </w:r>
      <w:r w:rsidR="00554C50">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 xml:space="preserve">, art. </w:t>
      </w:r>
      <w:r w:rsidR="00554C50" w:rsidRPr="00076A91">
        <w:rPr>
          <w:rFonts w:ascii="Times" w:eastAsia="Times New Roman" w:hAnsi="Times" w:cs="Arial"/>
          <w:bCs/>
          <w:kern w:val="0"/>
          <w:sz w:val="24"/>
          <w:szCs w:val="20"/>
          <w:lang w:eastAsia="pl-PL"/>
          <w14:ligatures w14:val="none"/>
        </w:rPr>
        <w:t>8</w:t>
      </w:r>
      <w:r w:rsidR="00554C50">
        <w:rPr>
          <w:rFonts w:ascii="Times" w:eastAsia="Times New Roman" w:hAnsi="Times" w:cs="Arial"/>
          <w:bCs/>
          <w:kern w:val="0"/>
          <w:sz w:val="24"/>
          <w:szCs w:val="20"/>
          <w:lang w:eastAsia="pl-PL"/>
          <w14:ligatures w14:val="none"/>
        </w:rPr>
        <w:t>9</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pkt 1 i 2, art. </w:t>
      </w:r>
      <w:r w:rsidR="00554C50">
        <w:rPr>
          <w:rFonts w:ascii="Times" w:eastAsia="Times New Roman" w:hAnsi="Times" w:cs="Arial"/>
          <w:bCs/>
          <w:kern w:val="0"/>
          <w:sz w:val="24"/>
          <w:szCs w:val="20"/>
          <w:lang w:eastAsia="pl-PL"/>
          <w14:ligatures w14:val="none"/>
        </w:rPr>
        <w:t>90</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pkt 1 i 2,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1</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lub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2</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pkt 1 i 2, i decyzję o ich zastosowaniu doręcza się tylko jednemu z nich. Doręczenie decyzji dostawcy usług w zakresie kryptoaktywów uważa się za doręczenie stronie postępowania.</w:t>
      </w:r>
    </w:p>
    <w:p w14:paraId="52A703A8"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5. W przypadku braku pośrednictwa dostawcy usług w zakresie kryptoaktywów, o którym mowa w ust. 3, doręczenie postanowienia o wszczęciu postępowania i decyzji następuje także przez ich opublikowanie na stronie internetowej Komisji i jest skuteczne z dniem publikacji.</w:t>
      </w:r>
    </w:p>
    <w:p w14:paraId="6C4413AD" w14:textId="3F690FD0"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6. Niezwłocznie po wydaniu postanowienia o wszczęciu postępowania w sprawie zastosowania środków, o których mowa w art. </w:t>
      </w:r>
      <w:r w:rsidR="00554C50" w:rsidRPr="00076A91">
        <w:rPr>
          <w:rFonts w:ascii="Times" w:eastAsia="Times New Roman" w:hAnsi="Times" w:cs="Arial"/>
          <w:bCs/>
          <w:kern w:val="0"/>
          <w:sz w:val="24"/>
          <w:szCs w:val="20"/>
          <w:lang w:eastAsia="pl-PL"/>
          <w14:ligatures w14:val="none"/>
        </w:rPr>
        <w:t>8</w:t>
      </w:r>
      <w:r w:rsidR="00554C50">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 xml:space="preserve">, art. </w:t>
      </w:r>
      <w:r w:rsidR="00554C50" w:rsidRPr="00076A91">
        <w:rPr>
          <w:rFonts w:ascii="Times" w:eastAsia="Times New Roman" w:hAnsi="Times" w:cs="Arial"/>
          <w:bCs/>
          <w:kern w:val="0"/>
          <w:sz w:val="24"/>
          <w:szCs w:val="20"/>
          <w:lang w:eastAsia="pl-PL"/>
          <w14:ligatures w14:val="none"/>
        </w:rPr>
        <w:t>8</w:t>
      </w:r>
      <w:r w:rsidR="00554C50">
        <w:rPr>
          <w:rFonts w:ascii="Times" w:eastAsia="Times New Roman" w:hAnsi="Times" w:cs="Arial"/>
          <w:bCs/>
          <w:kern w:val="0"/>
          <w:sz w:val="24"/>
          <w:szCs w:val="20"/>
          <w:lang w:eastAsia="pl-PL"/>
          <w14:ligatures w14:val="none"/>
        </w:rPr>
        <w:t>8</w:t>
      </w:r>
      <w:r w:rsidRPr="00076A91">
        <w:rPr>
          <w:rFonts w:ascii="Times" w:eastAsia="Times New Roman" w:hAnsi="Times" w:cs="Arial"/>
          <w:bCs/>
          <w:kern w:val="0"/>
          <w:sz w:val="24"/>
          <w:szCs w:val="20"/>
          <w:lang w:eastAsia="pl-PL"/>
          <w14:ligatures w14:val="none"/>
        </w:rPr>
        <w:t xml:space="preserve">, art. </w:t>
      </w:r>
      <w:r w:rsidR="00554C50" w:rsidRPr="00076A91">
        <w:rPr>
          <w:rFonts w:ascii="Times" w:eastAsia="Times New Roman" w:hAnsi="Times" w:cs="Arial"/>
          <w:bCs/>
          <w:kern w:val="0"/>
          <w:sz w:val="24"/>
          <w:szCs w:val="20"/>
          <w:lang w:eastAsia="pl-PL"/>
          <w14:ligatures w14:val="none"/>
        </w:rPr>
        <w:t>8</w:t>
      </w:r>
      <w:r w:rsidR="00554C50">
        <w:rPr>
          <w:rFonts w:ascii="Times" w:eastAsia="Times New Roman" w:hAnsi="Times" w:cs="Arial"/>
          <w:bCs/>
          <w:kern w:val="0"/>
          <w:sz w:val="24"/>
          <w:szCs w:val="20"/>
          <w:lang w:eastAsia="pl-PL"/>
          <w14:ligatures w14:val="none"/>
        </w:rPr>
        <w:t>9</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pkt 1 i 2, art. </w:t>
      </w:r>
      <w:r w:rsidR="00554C50">
        <w:rPr>
          <w:rFonts w:ascii="Times" w:eastAsia="Times New Roman" w:hAnsi="Times" w:cs="Arial"/>
          <w:bCs/>
          <w:kern w:val="0"/>
          <w:sz w:val="24"/>
          <w:szCs w:val="20"/>
          <w:lang w:eastAsia="pl-PL"/>
          <w14:ligatures w14:val="none"/>
        </w:rPr>
        <w:t>90</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pkt 1 i 2 i ust. 4 pkt 1 i 2,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 xml:space="preserve">,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2</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pkt 1 i 2,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3</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pkt 1 i 2,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 xml:space="preserve">,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6</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8</w:t>
      </w:r>
      <w:r w:rsidR="00554C50"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pkt 2 lub art. </w:t>
      </w:r>
      <w:r w:rsidR="00554C50" w:rsidRPr="00076A91">
        <w:rPr>
          <w:rFonts w:ascii="Times" w:eastAsia="Times New Roman" w:hAnsi="Times" w:cs="Arial"/>
          <w:bCs/>
          <w:kern w:val="0"/>
          <w:sz w:val="24"/>
          <w:szCs w:val="20"/>
          <w:lang w:eastAsia="pl-PL"/>
          <w14:ligatures w14:val="none"/>
        </w:rPr>
        <w:t>9</w:t>
      </w:r>
      <w:r w:rsidR="00554C50">
        <w:rPr>
          <w:rFonts w:ascii="Times" w:eastAsia="Times New Roman" w:hAnsi="Times" w:cs="Arial"/>
          <w:bCs/>
          <w:kern w:val="0"/>
          <w:sz w:val="24"/>
          <w:szCs w:val="20"/>
          <w:lang w:eastAsia="pl-PL"/>
          <w14:ligatures w14:val="none"/>
        </w:rPr>
        <w:t>9</w:t>
      </w:r>
      <w:r w:rsidRPr="00076A91">
        <w:rPr>
          <w:rFonts w:ascii="Times" w:eastAsia="Times New Roman" w:hAnsi="Times" w:cs="Arial"/>
          <w:bCs/>
          <w:kern w:val="0"/>
          <w:sz w:val="24"/>
          <w:szCs w:val="20"/>
          <w:lang w:eastAsia="pl-PL"/>
          <w14:ligatures w14:val="none"/>
        </w:rPr>
        <w:t>, lub decyzji o ich zastosowaniu na stronie internetowej Komisji zamieszcza się komunikat o wszczęciu tego postępowania lub zastosowaniu tych środków.</w:t>
      </w:r>
    </w:p>
    <w:p w14:paraId="0AB3D747" w14:textId="7A5FD0FC"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11</w:t>
      </w:r>
      <w:r w:rsidR="000A668B">
        <w:rPr>
          <w:rFonts w:ascii="Times" w:eastAsia="Times New Roman" w:hAnsi="Times" w:cs="Arial"/>
          <w:b/>
          <w:kern w:val="0"/>
          <w:sz w:val="24"/>
          <w:szCs w:val="20"/>
          <w:lang w:eastAsia="pl-PL"/>
          <w14:ligatures w14:val="none"/>
        </w:rPr>
        <w:t>5</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przypadku ustania przyczyn zastosowania środków, o których mowa w art. </w:t>
      </w:r>
      <w:r w:rsidR="00554C50" w:rsidRPr="00076A91">
        <w:rPr>
          <w:rFonts w:ascii="Times" w:eastAsia="Times New Roman" w:hAnsi="Times" w:cs="Arial"/>
          <w:kern w:val="0"/>
          <w:sz w:val="24"/>
          <w:szCs w:val="20"/>
          <w:lang w:eastAsia="pl-PL"/>
          <w14:ligatures w14:val="none"/>
        </w:rPr>
        <w:t>8</w:t>
      </w:r>
      <w:r w:rsidR="00554C50">
        <w:rPr>
          <w:rFonts w:ascii="Times" w:eastAsia="Times New Roman" w:hAnsi="Times" w:cs="Arial"/>
          <w:kern w:val="0"/>
          <w:sz w:val="24"/>
          <w:szCs w:val="20"/>
          <w:lang w:eastAsia="pl-PL"/>
          <w14:ligatures w14:val="none"/>
        </w:rPr>
        <w:t>3</w:t>
      </w:r>
      <w:r w:rsidRPr="00076A91">
        <w:rPr>
          <w:rFonts w:ascii="Times" w:eastAsia="Times New Roman" w:hAnsi="Times" w:cs="Arial"/>
          <w:kern w:val="0"/>
          <w:sz w:val="24"/>
          <w:szCs w:val="20"/>
          <w:lang w:eastAsia="pl-PL"/>
          <w14:ligatures w14:val="none"/>
        </w:rPr>
        <w:t xml:space="preserve">, art. </w:t>
      </w:r>
      <w:r w:rsidR="00554C50" w:rsidRPr="00076A91">
        <w:rPr>
          <w:rFonts w:ascii="Times" w:eastAsia="Times New Roman" w:hAnsi="Times" w:cs="Arial"/>
          <w:kern w:val="0"/>
          <w:sz w:val="24"/>
          <w:szCs w:val="20"/>
          <w:lang w:eastAsia="pl-PL"/>
          <w14:ligatures w14:val="none"/>
        </w:rPr>
        <w:t>8</w:t>
      </w:r>
      <w:r w:rsidR="00554C50">
        <w:rPr>
          <w:rFonts w:ascii="Times" w:eastAsia="Times New Roman" w:hAnsi="Times" w:cs="Arial"/>
          <w:kern w:val="0"/>
          <w:sz w:val="24"/>
          <w:szCs w:val="20"/>
          <w:lang w:eastAsia="pl-PL"/>
          <w14:ligatures w14:val="none"/>
        </w:rPr>
        <w:t>8</w:t>
      </w:r>
      <w:r w:rsidRPr="00076A91">
        <w:rPr>
          <w:rFonts w:ascii="Times" w:eastAsia="Times New Roman" w:hAnsi="Times" w:cs="Arial"/>
          <w:kern w:val="0"/>
          <w:sz w:val="24"/>
          <w:szCs w:val="20"/>
          <w:lang w:eastAsia="pl-PL"/>
          <w14:ligatures w14:val="none"/>
        </w:rPr>
        <w:t xml:space="preserve">, art. </w:t>
      </w:r>
      <w:r w:rsidR="00554C50" w:rsidRPr="00076A91">
        <w:rPr>
          <w:rFonts w:ascii="Times" w:eastAsia="Times New Roman" w:hAnsi="Times" w:cs="Arial"/>
          <w:kern w:val="0"/>
          <w:sz w:val="24"/>
          <w:szCs w:val="20"/>
          <w:lang w:eastAsia="pl-PL"/>
          <w14:ligatures w14:val="none"/>
        </w:rPr>
        <w:t>8</w:t>
      </w:r>
      <w:r w:rsidR="00554C50">
        <w:rPr>
          <w:rFonts w:ascii="Times" w:eastAsia="Times New Roman" w:hAnsi="Times" w:cs="Arial"/>
          <w:kern w:val="0"/>
          <w:sz w:val="24"/>
          <w:szCs w:val="20"/>
          <w:lang w:eastAsia="pl-PL"/>
          <w14:ligatures w14:val="none"/>
        </w:rPr>
        <w:t>9</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pkt 1 i 2, art. </w:t>
      </w:r>
      <w:r w:rsidR="00554C50">
        <w:rPr>
          <w:rFonts w:ascii="Times" w:eastAsia="Times New Roman" w:hAnsi="Times" w:cs="Arial"/>
          <w:kern w:val="0"/>
          <w:sz w:val="24"/>
          <w:szCs w:val="20"/>
          <w:lang w:eastAsia="pl-PL"/>
          <w14:ligatures w14:val="none"/>
        </w:rPr>
        <w:t>90</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pkt 1 i 2 i ust. 4 pkt 1 i 2, art. </w:t>
      </w:r>
      <w:r w:rsidR="00554C50" w:rsidRPr="00076A91">
        <w:rPr>
          <w:rFonts w:ascii="Times" w:eastAsia="Times New Roman" w:hAnsi="Times" w:cs="Arial"/>
          <w:kern w:val="0"/>
          <w:sz w:val="24"/>
          <w:szCs w:val="20"/>
          <w:lang w:eastAsia="pl-PL"/>
          <w14:ligatures w14:val="none"/>
        </w:rPr>
        <w:t>9</w:t>
      </w:r>
      <w:r w:rsidR="00554C50">
        <w:rPr>
          <w:rFonts w:ascii="Times" w:eastAsia="Times New Roman" w:hAnsi="Times" w:cs="Arial"/>
          <w:kern w:val="0"/>
          <w:sz w:val="24"/>
          <w:szCs w:val="20"/>
          <w:lang w:eastAsia="pl-PL"/>
          <w14:ligatures w14:val="none"/>
        </w:rPr>
        <w:t>2</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pkt 1 i 2, </w:t>
      </w:r>
      <w:r w:rsidRPr="00076A91">
        <w:rPr>
          <w:rFonts w:ascii="Times" w:eastAsia="Times New Roman" w:hAnsi="Times" w:cs="Arial"/>
          <w:kern w:val="0"/>
          <w:sz w:val="24"/>
          <w:szCs w:val="20"/>
          <w:lang w:eastAsia="pl-PL"/>
          <w14:ligatures w14:val="none"/>
        </w:rPr>
        <w:lastRenderedPageBreak/>
        <w:t xml:space="preserve">art. </w:t>
      </w:r>
      <w:r w:rsidR="00554C50" w:rsidRPr="00076A91">
        <w:rPr>
          <w:rFonts w:ascii="Times" w:eastAsia="Times New Roman" w:hAnsi="Times" w:cs="Arial"/>
          <w:kern w:val="0"/>
          <w:sz w:val="24"/>
          <w:szCs w:val="20"/>
          <w:lang w:eastAsia="pl-PL"/>
          <w14:ligatures w14:val="none"/>
        </w:rPr>
        <w:t>9</w:t>
      </w:r>
      <w:r w:rsidR="00554C50">
        <w:rPr>
          <w:rFonts w:ascii="Times" w:eastAsia="Times New Roman" w:hAnsi="Times" w:cs="Arial"/>
          <w:kern w:val="0"/>
          <w:sz w:val="24"/>
          <w:szCs w:val="20"/>
          <w:lang w:eastAsia="pl-PL"/>
          <w14:ligatures w14:val="none"/>
        </w:rPr>
        <w:t>3</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pkt 1 i 2, art. </w:t>
      </w:r>
      <w:r w:rsidR="00554C50" w:rsidRPr="00076A91">
        <w:rPr>
          <w:rFonts w:ascii="Times" w:eastAsia="Times New Roman" w:hAnsi="Times" w:cs="Arial"/>
          <w:kern w:val="0"/>
          <w:sz w:val="24"/>
          <w:szCs w:val="20"/>
          <w:lang w:eastAsia="pl-PL"/>
          <w14:ligatures w14:val="none"/>
        </w:rPr>
        <w:t>9</w:t>
      </w:r>
      <w:r w:rsidR="00554C50">
        <w:rPr>
          <w:rFonts w:ascii="Times" w:eastAsia="Times New Roman" w:hAnsi="Times" w:cs="Arial"/>
          <w:kern w:val="0"/>
          <w:sz w:val="24"/>
          <w:szCs w:val="20"/>
          <w:lang w:eastAsia="pl-PL"/>
          <w14:ligatures w14:val="none"/>
        </w:rPr>
        <w:t>4</w:t>
      </w:r>
      <w:r w:rsidRPr="00076A91">
        <w:rPr>
          <w:rFonts w:ascii="Times" w:eastAsia="Times New Roman" w:hAnsi="Times" w:cs="Arial"/>
          <w:kern w:val="0"/>
          <w:sz w:val="24"/>
          <w:szCs w:val="20"/>
          <w:lang w:eastAsia="pl-PL"/>
          <w14:ligatures w14:val="none"/>
        </w:rPr>
        <w:t xml:space="preserve">, art. </w:t>
      </w:r>
      <w:r w:rsidR="00554C50" w:rsidRPr="00076A91">
        <w:rPr>
          <w:rFonts w:ascii="Times" w:eastAsia="Times New Roman" w:hAnsi="Times" w:cs="Arial"/>
          <w:kern w:val="0"/>
          <w:sz w:val="24"/>
          <w:szCs w:val="20"/>
          <w:lang w:eastAsia="pl-PL"/>
          <w14:ligatures w14:val="none"/>
        </w:rPr>
        <w:t>9</w:t>
      </w:r>
      <w:r w:rsidR="00554C50">
        <w:rPr>
          <w:rFonts w:ascii="Times" w:eastAsia="Times New Roman" w:hAnsi="Times" w:cs="Arial"/>
          <w:kern w:val="0"/>
          <w:sz w:val="24"/>
          <w:szCs w:val="20"/>
          <w:lang w:eastAsia="pl-PL"/>
          <w14:ligatures w14:val="none"/>
        </w:rPr>
        <w:t>6</w:t>
      </w:r>
      <w:r w:rsidR="00554C50"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oraz art. </w:t>
      </w:r>
      <w:r w:rsidR="00554C50" w:rsidRPr="00076A91">
        <w:rPr>
          <w:rFonts w:ascii="Times" w:eastAsia="Times New Roman" w:hAnsi="Times" w:cs="Arial"/>
          <w:kern w:val="0"/>
          <w:sz w:val="24"/>
          <w:szCs w:val="20"/>
          <w:lang w:eastAsia="pl-PL"/>
          <w14:ligatures w14:val="none"/>
        </w:rPr>
        <w:t>9</w:t>
      </w:r>
      <w:r w:rsidR="00554C50">
        <w:rPr>
          <w:rFonts w:ascii="Times" w:eastAsia="Times New Roman" w:hAnsi="Times" w:cs="Arial"/>
          <w:kern w:val="0"/>
          <w:sz w:val="24"/>
          <w:szCs w:val="20"/>
          <w:lang w:eastAsia="pl-PL"/>
          <w14:ligatures w14:val="none"/>
        </w:rPr>
        <w:t>9</w:t>
      </w:r>
      <w:r w:rsidRPr="00076A91">
        <w:rPr>
          <w:rFonts w:ascii="Times" w:eastAsia="Times New Roman" w:hAnsi="Times" w:cs="Arial"/>
          <w:kern w:val="0"/>
          <w:sz w:val="24"/>
          <w:szCs w:val="20"/>
          <w:lang w:eastAsia="pl-PL"/>
          <w14:ligatures w14:val="none"/>
        </w:rPr>
        <w:t>, Komisja może, na wniosek strony albo z urzędu, uchylić decyzję o ich zastosowaniu.</w:t>
      </w:r>
    </w:p>
    <w:p w14:paraId="305662FC" w14:textId="0AAA1323"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11</w:t>
      </w:r>
      <w:r w:rsidR="000A668B">
        <w:rPr>
          <w:rFonts w:ascii="Times" w:eastAsia="Times New Roman" w:hAnsi="Times" w:cs="Arial"/>
          <w:b/>
          <w:kern w:val="0"/>
          <w:sz w:val="24"/>
          <w:szCs w:val="20"/>
          <w:lang w:eastAsia="pl-PL"/>
          <w14:ligatures w14:val="none"/>
        </w:rPr>
        <w:t>6</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Decyzje Komisji o wprowadzeniu zakazu lub ograniczenia, o których mowa w art. 105 ust. 1 rozporządzenia 2023/1114, oraz ich cofnięciu w przypadku, o którym mowa w art. 105 ust. 6 rozporządzenia 2023/1114, podlegają ogłoszeniu w Dzienniku Urzędowym Komisji Nadzoru Finansowego.</w:t>
      </w:r>
    </w:p>
    <w:p w14:paraId="7D202D1E"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Informację o wydaniu decyzji, o których mowa w ust. 1, Komisja podaje niezwłocznie do publicznej wiadomości za pośrednictwem agencji informacyjnej, o której mowa w art. 58 ust. 1 ustawy z dnia 29 lipca 2005 r. o ofercie publicznej i warunkach wprowadzania instrumentów finansowych do zorganizowanego systemu obrotu oraz o spółkach publicznych.</w:t>
      </w:r>
    </w:p>
    <w:p w14:paraId="566FD45A"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3. Do decyzji, o których mowa w ust. 1, przepisy ustawy z dnia 14 czerwca 1960 r. </w:t>
      </w:r>
      <w:r w:rsidRPr="00076A91">
        <w:rPr>
          <w:rFonts w:ascii="Times" w:eastAsia="Times New Roman" w:hAnsi="Times" w:cs="Arial"/>
          <w:bCs/>
          <w:kern w:val="0"/>
          <w:sz w:val="24"/>
          <w:szCs w:val="20"/>
          <w:lang w:eastAsia="pl-PL"/>
          <w14:ligatures w14:val="none"/>
        </w:rPr>
        <w:sym w:font="Symbol" w:char="F02D"/>
      </w:r>
      <w:r w:rsidRPr="00076A91">
        <w:rPr>
          <w:rFonts w:ascii="Times" w:eastAsia="Times New Roman" w:hAnsi="Times" w:cs="Arial"/>
          <w:bCs/>
          <w:kern w:val="0"/>
          <w:sz w:val="24"/>
          <w:szCs w:val="20"/>
          <w:lang w:eastAsia="pl-PL"/>
          <w14:ligatures w14:val="none"/>
        </w:rPr>
        <w:t xml:space="preserve"> Kodeks postępowania administracyjnego stosuje się odpowiednio.</w:t>
      </w:r>
    </w:p>
    <w:p w14:paraId="1B3275A9"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p>
    <w:p w14:paraId="79D89C9F" w14:textId="77777777" w:rsidR="00027D06" w:rsidRPr="00076A91" w:rsidRDefault="00027D06" w:rsidP="00027D06">
      <w:pPr>
        <w:suppressAutoHyphens/>
        <w:autoSpaceDE w:val="0"/>
        <w:autoSpaceDN w:val="0"/>
        <w:adjustRightInd w:val="0"/>
        <w:spacing w:after="0" w:line="360" w:lineRule="auto"/>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                                                                   Oddział 6</w:t>
      </w:r>
    </w:p>
    <w:p w14:paraId="285D33DA" w14:textId="6C36F8C6" w:rsidR="00605FC9" w:rsidRPr="00076A91" w:rsidRDefault="005111A5" w:rsidP="005111A5">
      <w:pPr>
        <w:suppressAutoHyphens/>
        <w:autoSpaceDE w:val="0"/>
        <w:autoSpaceDN w:val="0"/>
        <w:adjustRightInd w:val="0"/>
        <w:spacing w:after="0" w:line="360" w:lineRule="auto"/>
        <w:jc w:val="center"/>
        <w:rPr>
          <w:rFonts w:ascii="Times" w:eastAsia="Times New Roman" w:hAnsi="Times" w:cs="Arial"/>
          <w:b/>
          <w:kern w:val="0"/>
          <w:sz w:val="24"/>
          <w:szCs w:val="20"/>
          <w:lang w:eastAsia="pl-PL"/>
          <w14:ligatures w14:val="none"/>
        </w:rPr>
      </w:pPr>
      <w:r w:rsidRPr="00076A91">
        <w:rPr>
          <w:rFonts w:ascii="Times" w:eastAsia="Times New Roman" w:hAnsi="Times" w:cs="Arial"/>
          <w:b/>
          <w:kern w:val="0"/>
          <w:sz w:val="24"/>
          <w:szCs w:val="20"/>
          <w:lang w:eastAsia="pl-PL"/>
          <w14:ligatures w14:val="none"/>
        </w:rPr>
        <w:t>Rada do spraw kryptoaktywów oraz technologii finansowych</w:t>
      </w:r>
    </w:p>
    <w:p w14:paraId="05FD83DD" w14:textId="5D2D4E4D"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
          <w:kern w:val="0"/>
          <w:sz w:val="24"/>
          <w:szCs w:val="20"/>
          <w:lang w:eastAsia="pl-PL"/>
          <w14:ligatures w14:val="none"/>
        </w:rPr>
        <w:t xml:space="preserve">Art. </w:t>
      </w:r>
      <w:r w:rsidR="000A668B" w:rsidRPr="00076A91">
        <w:rPr>
          <w:rFonts w:ascii="Times" w:eastAsia="Times New Roman" w:hAnsi="Times" w:cs="Arial"/>
          <w:b/>
          <w:kern w:val="0"/>
          <w:sz w:val="24"/>
          <w:szCs w:val="20"/>
          <w:lang w:eastAsia="pl-PL"/>
          <w14:ligatures w14:val="none"/>
        </w:rPr>
        <w:t>11</w:t>
      </w:r>
      <w:r w:rsidR="000A668B">
        <w:rPr>
          <w:rFonts w:ascii="Times" w:eastAsia="Times New Roman" w:hAnsi="Times" w:cs="Arial"/>
          <w:b/>
          <w:kern w:val="0"/>
          <w:sz w:val="24"/>
          <w:szCs w:val="20"/>
          <w:lang w:eastAsia="pl-PL"/>
          <w14:ligatures w14:val="none"/>
        </w:rPr>
        <w:t>7</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1. Ustanawia się Radę do spraw kryptoaktywów oraz technologii finansowych, zwaną dalej </w:t>
      </w:r>
      <w:r w:rsidR="00607578">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Radą</w:t>
      </w:r>
      <w:r w:rsidR="00607578">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w:t>
      </w:r>
    </w:p>
    <w:p w14:paraId="69B871C0" w14:textId="2E21D5FC"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Rada jest organem wyższego stopnia w sprawach określonych w ustawie, rozstrzyganych w drodze decyzji przez Komisję, a do jej kompetencji należy w szczególności</w:t>
      </w:r>
      <w:r w:rsidR="00607578">
        <w:rPr>
          <w:rFonts w:ascii="Times" w:eastAsia="Times New Roman" w:hAnsi="Times" w:cs="Arial"/>
          <w:bCs/>
          <w:kern w:val="0"/>
          <w:sz w:val="24"/>
          <w:szCs w:val="20"/>
          <w:lang w:eastAsia="pl-PL"/>
          <w14:ligatures w14:val="none"/>
        </w:rPr>
        <w:t>:</w:t>
      </w:r>
    </w:p>
    <w:p w14:paraId="63F0C2FE"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1) rozpatrywanie odwołań od decyzji wydanych przez Komisję; </w:t>
      </w:r>
    </w:p>
    <w:p w14:paraId="267567DC"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rozpatrywanie ponagleń w sprawach prowadzonych przez Komisję;</w:t>
      </w:r>
    </w:p>
    <w:p w14:paraId="011E37BF"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 przedkładanie Sejmowi corocznej informacji z sytuacji na rynku kryptoaktywów oraz technologii finansowych oraz oceny działań nadzorczych Komisji.</w:t>
      </w:r>
    </w:p>
    <w:p w14:paraId="7F4D3F2C" w14:textId="4AF1F74F"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
          <w:kern w:val="0"/>
          <w:sz w:val="24"/>
          <w:szCs w:val="20"/>
          <w:lang w:eastAsia="pl-PL"/>
          <w14:ligatures w14:val="none"/>
        </w:rPr>
        <w:t xml:space="preserve">Art. </w:t>
      </w:r>
      <w:r w:rsidR="000A668B" w:rsidRPr="00076A91">
        <w:rPr>
          <w:rFonts w:ascii="Times" w:eastAsia="Times New Roman" w:hAnsi="Times" w:cs="Arial"/>
          <w:b/>
          <w:kern w:val="0"/>
          <w:sz w:val="24"/>
          <w:szCs w:val="20"/>
          <w:lang w:eastAsia="pl-PL"/>
          <w14:ligatures w14:val="none"/>
        </w:rPr>
        <w:t>11</w:t>
      </w:r>
      <w:r w:rsidR="000A668B">
        <w:rPr>
          <w:rFonts w:ascii="Times" w:eastAsia="Times New Roman" w:hAnsi="Times" w:cs="Arial"/>
          <w:b/>
          <w:kern w:val="0"/>
          <w:sz w:val="24"/>
          <w:szCs w:val="20"/>
          <w:lang w:eastAsia="pl-PL"/>
          <w14:ligatures w14:val="none"/>
        </w:rPr>
        <w:t>8</w:t>
      </w:r>
      <w:r w:rsidRPr="00076A91">
        <w:rPr>
          <w:rFonts w:ascii="Times" w:eastAsia="Times New Roman" w:hAnsi="Times" w:cs="Arial"/>
          <w:bCs/>
          <w:kern w:val="0"/>
          <w:sz w:val="24"/>
          <w:szCs w:val="20"/>
          <w:lang w:eastAsia="pl-PL"/>
          <w14:ligatures w14:val="none"/>
        </w:rPr>
        <w:t>. 1. W skład Rady wchodzi:</w:t>
      </w:r>
    </w:p>
    <w:p w14:paraId="517D824E"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 Przedstawiciel Przewodniczącego Komisji;</w:t>
      </w:r>
    </w:p>
    <w:p w14:paraId="56FCD15C"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Przedstawiciel Prezesa Narodowego Banku Polskiego;</w:t>
      </w:r>
    </w:p>
    <w:p w14:paraId="3BF8AD42"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3) Przedstawiciel Prezydenta RP; </w:t>
      </w:r>
    </w:p>
    <w:p w14:paraId="4E1B99F6"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4) Przedstawiciel Prezesa Rady Ministrów; </w:t>
      </w:r>
    </w:p>
    <w:p w14:paraId="13EE5C2B"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5) trzech przedstawicieli branży kryptoaktywów, wybranych w wyborach.</w:t>
      </w:r>
    </w:p>
    <w:p w14:paraId="3A52A361"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Kadencja każdego z członków Rady wynosi 4 lata. Mandat członka Rady wygasa wskutek rezygnacji, odwołania z ważnych powodów przez podmiot wskazujący przedstawiciela lub skazania za przestępstwo popełnione z winy umyślnej.</w:t>
      </w:r>
    </w:p>
    <w:p w14:paraId="0F529E34" w14:textId="631B019B"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3. Członkiem rady nie może być osoba będąca wspólnikiem, udziałowcem, akcjonariuszem podmiotu, który uzyskał zezwolenie, o którym mowa w art. 16 ust. 1 lit. a lub art. 59 ust. 1 lit. a rozporządzenia 2023/1114 lub stara się o jego uzyskanie oraz osoba zatrudniona na jakiejkolwiek podstawie przez taki podmiot.</w:t>
      </w:r>
    </w:p>
    <w:p w14:paraId="6F8BDBD2" w14:textId="60C47771"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
          <w:kern w:val="0"/>
          <w:sz w:val="24"/>
          <w:szCs w:val="20"/>
          <w:lang w:eastAsia="pl-PL"/>
          <w14:ligatures w14:val="none"/>
        </w:rPr>
        <w:t xml:space="preserve">Art. </w:t>
      </w:r>
      <w:r w:rsidR="000A668B" w:rsidRPr="00076A91">
        <w:rPr>
          <w:rFonts w:ascii="Times" w:eastAsia="Times New Roman" w:hAnsi="Times" w:cs="Arial"/>
          <w:b/>
          <w:kern w:val="0"/>
          <w:sz w:val="24"/>
          <w:szCs w:val="20"/>
          <w:lang w:eastAsia="pl-PL"/>
          <w14:ligatures w14:val="none"/>
        </w:rPr>
        <w:t>11</w:t>
      </w:r>
      <w:r w:rsidR="000A668B">
        <w:rPr>
          <w:rFonts w:ascii="Times" w:eastAsia="Times New Roman" w:hAnsi="Times" w:cs="Arial"/>
          <w:b/>
          <w:kern w:val="0"/>
          <w:sz w:val="24"/>
          <w:szCs w:val="20"/>
          <w:lang w:eastAsia="pl-PL"/>
          <w14:ligatures w14:val="none"/>
        </w:rPr>
        <w:t>9</w:t>
      </w:r>
      <w:r w:rsidR="001F04EF"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Rada wybiera spośród swojego grona Przewodniczącego i Zastępcę Przewodniczącego.</w:t>
      </w:r>
    </w:p>
    <w:p w14:paraId="637D0A90" w14:textId="12CAB715"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
          <w:kern w:val="0"/>
          <w:sz w:val="24"/>
          <w:szCs w:val="20"/>
          <w:lang w:eastAsia="pl-PL"/>
          <w14:ligatures w14:val="none"/>
        </w:rPr>
        <w:t xml:space="preserve">Art. </w:t>
      </w:r>
      <w:r w:rsidR="000A668B" w:rsidRPr="00076A91">
        <w:rPr>
          <w:rFonts w:ascii="Times" w:eastAsia="Times New Roman" w:hAnsi="Times" w:cs="Arial"/>
          <w:b/>
          <w:kern w:val="0"/>
          <w:sz w:val="24"/>
          <w:szCs w:val="20"/>
          <w:lang w:eastAsia="pl-PL"/>
          <w14:ligatures w14:val="none"/>
        </w:rPr>
        <w:t>1</w:t>
      </w:r>
      <w:r w:rsidR="000A668B">
        <w:rPr>
          <w:rFonts w:ascii="Times" w:eastAsia="Times New Roman" w:hAnsi="Times" w:cs="Arial"/>
          <w:b/>
          <w:kern w:val="0"/>
          <w:sz w:val="24"/>
          <w:szCs w:val="20"/>
          <w:lang w:eastAsia="pl-PL"/>
          <w14:ligatures w14:val="none"/>
        </w:rPr>
        <w:t>20</w:t>
      </w:r>
      <w:r w:rsidRPr="00076A91">
        <w:rPr>
          <w:rFonts w:ascii="Times" w:eastAsia="Times New Roman" w:hAnsi="Times" w:cs="Arial"/>
          <w:bCs/>
          <w:kern w:val="0"/>
          <w:sz w:val="24"/>
          <w:szCs w:val="20"/>
          <w:lang w:eastAsia="pl-PL"/>
          <w14:ligatures w14:val="none"/>
        </w:rPr>
        <w:t>. 1. Wybory przedstawicieli branży kryptoaktywów są tajne, bezpośrednie i powszechne.</w:t>
      </w:r>
    </w:p>
    <w:p w14:paraId="4F0B1924" w14:textId="1E198814"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2. Czynne prawo wyborcze przysługuje wszystkim podmiotom, które uzyskały w Polsce zezwolenie, o którym mowa w art. 16 ust. 1 lit. a lub art. 59 ust. 1 lit. a rozporządzenia 2023/1114. </w:t>
      </w:r>
    </w:p>
    <w:p w14:paraId="77D06A51"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3. Szczegółowy regulamin wyborów określa Prezes Rady Ministrów. </w:t>
      </w:r>
    </w:p>
    <w:p w14:paraId="118BA961" w14:textId="3E5D84D8"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
          <w:kern w:val="0"/>
          <w:sz w:val="24"/>
          <w:szCs w:val="20"/>
          <w:lang w:eastAsia="pl-PL"/>
          <w14:ligatures w14:val="none"/>
        </w:rPr>
        <w:t xml:space="preserve">Art. </w:t>
      </w:r>
      <w:r w:rsidR="000A668B" w:rsidRPr="00076A91">
        <w:rPr>
          <w:rFonts w:ascii="Times" w:eastAsia="Times New Roman" w:hAnsi="Times" w:cs="Arial"/>
          <w:b/>
          <w:kern w:val="0"/>
          <w:sz w:val="24"/>
          <w:szCs w:val="20"/>
          <w:lang w:eastAsia="pl-PL"/>
          <w14:ligatures w14:val="none"/>
        </w:rPr>
        <w:t>12</w:t>
      </w:r>
      <w:r w:rsidR="000A668B">
        <w:rPr>
          <w:rFonts w:ascii="Times" w:eastAsia="Times New Roman" w:hAnsi="Times" w:cs="Arial"/>
          <w:b/>
          <w:kern w:val="0"/>
          <w:sz w:val="24"/>
          <w:szCs w:val="20"/>
          <w:lang w:eastAsia="pl-PL"/>
          <w14:ligatures w14:val="none"/>
        </w:rPr>
        <w:t>1</w:t>
      </w:r>
      <w:r w:rsidR="001F04EF"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Wynagrodzenie:</w:t>
      </w:r>
    </w:p>
    <w:p w14:paraId="35ED9CC5" w14:textId="070513E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00605FC9"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Przewodniczącego Rady wynosi 130 % wynagrodzenia członka Komisji;</w:t>
      </w:r>
    </w:p>
    <w:p w14:paraId="77A403AF" w14:textId="6E896C8E"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00605FC9"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Zastępcy Przewodniczącego Rady wynosi 120 % wynagrodzeni</w:t>
      </w:r>
      <w:r w:rsidRPr="00027D06">
        <w:rPr>
          <w:rFonts w:ascii="Times" w:eastAsia="Times New Roman" w:hAnsi="Times" w:cs="Arial"/>
          <w:bCs/>
          <w:kern w:val="0"/>
          <w:sz w:val="24"/>
          <w:szCs w:val="20"/>
          <w:lang w:eastAsia="pl-PL"/>
          <w14:ligatures w14:val="none"/>
        </w:rPr>
        <w:t>a Członka Komisji;</w:t>
      </w:r>
    </w:p>
    <w:p w14:paraId="6A2E53C5" w14:textId="5D3E2B69"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w:t>
      </w:r>
      <w:r w:rsidR="00605FC9">
        <w:rPr>
          <w:rFonts w:ascii="Times" w:eastAsia="Times New Roman" w:hAnsi="Times" w:cs="Arial"/>
          <w:bCs/>
          <w:kern w:val="0"/>
          <w:sz w:val="24"/>
          <w:szCs w:val="20"/>
          <w:lang w:eastAsia="pl-PL"/>
          <w14:ligatures w14:val="none"/>
        </w:rPr>
        <w:t xml:space="preserve"> </w:t>
      </w:r>
      <w:r w:rsidRPr="00027D06">
        <w:rPr>
          <w:rFonts w:ascii="Times" w:eastAsia="Times New Roman" w:hAnsi="Times" w:cs="Arial"/>
          <w:bCs/>
          <w:kern w:val="0"/>
          <w:sz w:val="24"/>
          <w:szCs w:val="20"/>
          <w:lang w:eastAsia="pl-PL"/>
          <w14:ligatures w14:val="none"/>
        </w:rPr>
        <w:t>Członka Rady wynosi 100% wynagrodzenia Członka Komisji.</w:t>
      </w:r>
    </w:p>
    <w:p w14:paraId="0E50AEDF" w14:textId="61B686DE"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
          <w:kern w:val="0"/>
          <w:sz w:val="24"/>
          <w:szCs w:val="20"/>
          <w:lang w:eastAsia="pl-PL"/>
          <w14:ligatures w14:val="none"/>
        </w:rPr>
        <w:t xml:space="preserve">Art. </w:t>
      </w:r>
      <w:r w:rsidR="000A668B">
        <w:rPr>
          <w:rFonts w:ascii="Times" w:eastAsia="Times New Roman" w:hAnsi="Times" w:cs="Arial"/>
          <w:b/>
          <w:kern w:val="0"/>
          <w:sz w:val="24"/>
          <w:szCs w:val="20"/>
          <w:lang w:eastAsia="pl-PL"/>
          <w14:ligatures w14:val="none"/>
        </w:rPr>
        <w:t>122</w:t>
      </w:r>
      <w:r w:rsidR="001F04EF">
        <w:rPr>
          <w:rFonts w:ascii="Times" w:eastAsia="Times New Roman" w:hAnsi="Times" w:cs="Arial"/>
          <w:bCs/>
          <w:kern w:val="0"/>
          <w:sz w:val="24"/>
          <w:szCs w:val="20"/>
          <w:lang w:eastAsia="pl-PL"/>
          <w14:ligatures w14:val="none"/>
        </w:rPr>
        <w:t>.</w:t>
      </w:r>
      <w:r w:rsidRPr="00027D06">
        <w:rPr>
          <w:rFonts w:ascii="Times" w:eastAsia="Times New Roman" w:hAnsi="Times" w:cs="Arial"/>
          <w:bCs/>
          <w:kern w:val="0"/>
          <w:sz w:val="24"/>
          <w:szCs w:val="20"/>
          <w:lang w:eastAsia="pl-PL"/>
          <w14:ligatures w14:val="none"/>
        </w:rPr>
        <w:t xml:space="preserve"> Decyzje Rady zapadają zwykłą większością głosów. W razie równej liczby głosów, Przewodniczącemu Rady przysługuje głos rozstrzygający.</w:t>
      </w:r>
    </w:p>
    <w:p w14:paraId="48514F9E" w14:textId="73EE232B"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
          <w:kern w:val="0"/>
          <w:sz w:val="24"/>
          <w:szCs w:val="20"/>
          <w:lang w:eastAsia="pl-PL"/>
          <w14:ligatures w14:val="none"/>
        </w:rPr>
        <w:t xml:space="preserve">Art. </w:t>
      </w:r>
      <w:r w:rsidR="000A668B">
        <w:rPr>
          <w:rFonts w:ascii="Times" w:eastAsia="Times New Roman" w:hAnsi="Times" w:cs="Arial"/>
          <w:b/>
          <w:kern w:val="0"/>
          <w:sz w:val="24"/>
          <w:szCs w:val="20"/>
          <w:lang w:eastAsia="pl-PL"/>
          <w14:ligatures w14:val="none"/>
        </w:rPr>
        <w:t>123</w:t>
      </w:r>
      <w:r w:rsidR="001F04EF" w:rsidRPr="001F04EF">
        <w:rPr>
          <w:rFonts w:ascii="Times" w:eastAsia="Times New Roman" w:hAnsi="Times" w:cs="Arial"/>
          <w:b/>
          <w:kern w:val="0"/>
          <w:sz w:val="24"/>
          <w:szCs w:val="20"/>
          <w:lang w:eastAsia="pl-PL"/>
          <w14:ligatures w14:val="none"/>
        </w:rPr>
        <w:t>.</w:t>
      </w:r>
      <w:r w:rsidRPr="00027D06">
        <w:rPr>
          <w:rFonts w:ascii="Times" w:eastAsia="Times New Roman" w:hAnsi="Times" w:cs="Arial"/>
          <w:b/>
          <w:kern w:val="0"/>
          <w:sz w:val="24"/>
          <w:szCs w:val="20"/>
          <w:lang w:eastAsia="pl-PL"/>
          <w14:ligatures w14:val="none"/>
        </w:rPr>
        <w:t xml:space="preserve"> </w:t>
      </w:r>
      <w:r w:rsidRPr="00027D06">
        <w:rPr>
          <w:rFonts w:ascii="Times" w:eastAsia="Times New Roman" w:hAnsi="Times" w:cs="Arial"/>
          <w:bCs/>
          <w:kern w:val="0"/>
          <w:sz w:val="24"/>
          <w:szCs w:val="20"/>
          <w:lang w:eastAsia="pl-PL"/>
          <w14:ligatures w14:val="none"/>
        </w:rPr>
        <w:t>1. Obsługę administracyjno-biurową Rady zapewnia Kancelaria Prezesa Rady Ministrów.</w:t>
      </w:r>
    </w:p>
    <w:p w14:paraId="7268397C" w14:textId="7B247DF8"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2. Koszty działania Rady, w tym wynagrodzenia jej członków, </w:t>
      </w:r>
      <w:r w:rsidR="00607578" w:rsidRPr="00027D06">
        <w:rPr>
          <w:rFonts w:ascii="Times" w:eastAsia="Times New Roman" w:hAnsi="Times" w:cs="Arial"/>
          <w:bCs/>
          <w:kern w:val="0"/>
          <w:sz w:val="24"/>
          <w:szCs w:val="20"/>
          <w:lang w:eastAsia="pl-PL"/>
          <w14:ligatures w14:val="none"/>
        </w:rPr>
        <w:t>pokrywane</w:t>
      </w:r>
      <w:r w:rsidR="00607578" w:rsidRPr="00027D06">
        <w:rPr>
          <w:rFonts w:ascii="Times" w:eastAsia="Times New Roman" w:hAnsi="Times" w:cs="Arial"/>
          <w:bCs/>
          <w:kern w:val="0"/>
          <w:sz w:val="24"/>
          <w:szCs w:val="20"/>
          <w:lang w:eastAsia="pl-PL"/>
          <w14:ligatures w14:val="none"/>
        </w:rPr>
        <w:t xml:space="preserve"> </w:t>
      </w:r>
      <w:r w:rsidRPr="00027D06">
        <w:rPr>
          <w:rFonts w:ascii="Times" w:eastAsia="Times New Roman" w:hAnsi="Times" w:cs="Arial"/>
          <w:bCs/>
          <w:kern w:val="0"/>
          <w:sz w:val="24"/>
          <w:szCs w:val="20"/>
          <w:lang w:eastAsia="pl-PL"/>
          <w14:ligatures w14:val="none"/>
        </w:rPr>
        <w:t xml:space="preserve">są </w:t>
      </w:r>
      <w:r w:rsidR="00607578">
        <w:rPr>
          <w:rFonts w:ascii="Times" w:eastAsia="Times New Roman" w:hAnsi="Times" w:cs="Arial"/>
          <w:bCs/>
          <w:kern w:val="0"/>
          <w:sz w:val="24"/>
          <w:szCs w:val="20"/>
          <w:lang w:eastAsia="pl-PL"/>
          <w14:ligatures w14:val="none"/>
        </w:rPr>
        <w:t xml:space="preserve">z </w:t>
      </w:r>
      <w:r w:rsidR="00607578" w:rsidRPr="00027D06">
        <w:rPr>
          <w:rFonts w:ascii="Times" w:eastAsia="Times New Roman" w:hAnsi="Times" w:cs="Arial"/>
          <w:bCs/>
          <w:kern w:val="0"/>
          <w:sz w:val="24"/>
          <w:szCs w:val="20"/>
          <w:lang w:eastAsia="pl-PL"/>
          <w14:ligatures w14:val="none"/>
        </w:rPr>
        <w:t>budżetu państwa</w:t>
      </w:r>
      <w:r w:rsidR="00607578" w:rsidRPr="00027D06">
        <w:rPr>
          <w:rFonts w:ascii="Times" w:eastAsia="Times New Roman" w:hAnsi="Times" w:cs="Arial"/>
          <w:bCs/>
          <w:kern w:val="0"/>
          <w:sz w:val="24"/>
          <w:szCs w:val="20"/>
          <w:lang w:eastAsia="pl-PL"/>
          <w14:ligatures w14:val="none"/>
        </w:rPr>
        <w:t xml:space="preserve"> </w:t>
      </w:r>
      <w:r w:rsidRPr="00027D06">
        <w:rPr>
          <w:rFonts w:ascii="Times" w:eastAsia="Times New Roman" w:hAnsi="Times" w:cs="Arial"/>
          <w:bCs/>
          <w:kern w:val="0"/>
          <w:sz w:val="24"/>
          <w:szCs w:val="20"/>
          <w:lang w:eastAsia="pl-PL"/>
          <w14:ligatures w14:val="none"/>
        </w:rPr>
        <w:t xml:space="preserve">z części, </w:t>
      </w:r>
      <w:r w:rsidR="00607578">
        <w:rPr>
          <w:rFonts w:ascii="Times" w:eastAsia="Times New Roman" w:hAnsi="Times" w:cs="Arial"/>
          <w:bCs/>
          <w:kern w:val="0"/>
          <w:sz w:val="24"/>
          <w:szCs w:val="20"/>
          <w:lang w:eastAsia="pl-PL"/>
          <w14:ligatures w14:val="none"/>
        </w:rPr>
        <w:t xml:space="preserve">której </w:t>
      </w:r>
      <w:r w:rsidRPr="00027D06">
        <w:rPr>
          <w:rFonts w:ascii="Times" w:eastAsia="Times New Roman" w:hAnsi="Times" w:cs="Arial"/>
          <w:bCs/>
          <w:kern w:val="0"/>
          <w:sz w:val="24"/>
          <w:szCs w:val="20"/>
          <w:lang w:eastAsia="pl-PL"/>
          <w14:ligatures w14:val="none"/>
        </w:rPr>
        <w:t>dyspo</w:t>
      </w:r>
      <w:r w:rsidR="00607578">
        <w:rPr>
          <w:rFonts w:ascii="Times" w:eastAsia="Times New Roman" w:hAnsi="Times" w:cs="Arial"/>
          <w:bCs/>
          <w:kern w:val="0"/>
          <w:sz w:val="24"/>
          <w:szCs w:val="20"/>
          <w:lang w:eastAsia="pl-PL"/>
          <w14:ligatures w14:val="none"/>
        </w:rPr>
        <w:t>nentem jest</w:t>
      </w:r>
      <w:r w:rsidRPr="00027D06">
        <w:rPr>
          <w:rFonts w:ascii="Times" w:eastAsia="Times New Roman" w:hAnsi="Times" w:cs="Arial"/>
          <w:bCs/>
          <w:kern w:val="0"/>
          <w:sz w:val="24"/>
          <w:szCs w:val="20"/>
          <w:lang w:eastAsia="pl-PL"/>
          <w14:ligatures w14:val="none"/>
        </w:rPr>
        <w:t xml:space="preserve"> </w:t>
      </w:r>
      <w:r w:rsidR="00607578">
        <w:rPr>
          <w:rFonts w:ascii="Times" w:eastAsia="Times New Roman" w:hAnsi="Times" w:cs="Arial"/>
          <w:bCs/>
          <w:kern w:val="0"/>
          <w:sz w:val="24"/>
          <w:szCs w:val="20"/>
          <w:lang w:eastAsia="pl-PL"/>
          <w14:ligatures w14:val="none"/>
        </w:rPr>
        <w:t xml:space="preserve">Szef </w:t>
      </w:r>
      <w:r w:rsidRPr="00027D06">
        <w:rPr>
          <w:rFonts w:ascii="Times" w:eastAsia="Times New Roman" w:hAnsi="Times" w:cs="Arial"/>
          <w:bCs/>
          <w:kern w:val="0"/>
          <w:sz w:val="24"/>
          <w:szCs w:val="20"/>
          <w:lang w:eastAsia="pl-PL"/>
          <w14:ligatures w14:val="none"/>
        </w:rPr>
        <w:t>Kancelarii Prezesa Rady Ministrów.</w:t>
      </w:r>
    </w:p>
    <w:p w14:paraId="23724921" w14:textId="6D5CA0CF" w:rsidR="00027D06" w:rsidRPr="00027D06" w:rsidRDefault="00027D06" w:rsidP="001F04EF">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
          <w:kern w:val="0"/>
          <w:sz w:val="24"/>
          <w:szCs w:val="20"/>
          <w:lang w:eastAsia="pl-PL"/>
          <w14:ligatures w14:val="none"/>
        </w:rPr>
        <w:t xml:space="preserve">Art. </w:t>
      </w:r>
      <w:r w:rsidR="000A668B">
        <w:rPr>
          <w:rFonts w:ascii="Times" w:eastAsia="Times New Roman" w:hAnsi="Times" w:cs="Arial"/>
          <w:b/>
          <w:kern w:val="0"/>
          <w:sz w:val="24"/>
          <w:szCs w:val="20"/>
          <w:lang w:eastAsia="pl-PL"/>
          <w14:ligatures w14:val="none"/>
        </w:rPr>
        <w:t>124</w:t>
      </w:r>
      <w:r w:rsidR="001F04EF">
        <w:rPr>
          <w:rFonts w:ascii="Times" w:eastAsia="Times New Roman" w:hAnsi="Times" w:cs="Arial"/>
          <w:bCs/>
          <w:kern w:val="0"/>
          <w:sz w:val="24"/>
          <w:szCs w:val="20"/>
          <w:lang w:eastAsia="pl-PL"/>
          <w14:ligatures w14:val="none"/>
        </w:rPr>
        <w:t>.</w:t>
      </w:r>
      <w:r w:rsidRPr="00027D06">
        <w:rPr>
          <w:rFonts w:ascii="Times" w:eastAsia="Times New Roman" w:hAnsi="Times" w:cs="Arial"/>
          <w:bCs/>
          <w:kern w:val="0"/>
          <w:sz w:val="24"/>
          <w:szCs w:val="20"/>
          <w:lang w:eastAsia="pl-PL"/>
          <w14:ligatures w14:val="none"/>
        </w:rPr>
        <w:t xml:space="preserve"> Do spraw nieuregulowanych dotyczących działalności Rady stosuje się odpowiednio przepisy dotyczące Komisji.”</w:t>
      </w:r>
    </w:p>
    <w:p w14:paraId="726C2CDC" w14:textId="77777777" w:rsidR="00027D06" w:rsidRPr="00027D06"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27D06">
        <w:rPr>
          <w:rFonts w:ascii="Times" w:eastAsia="Times New Roman" w:hAnsi="Times" w:cs="Arial"/>
          <w:bCs/>
          <w:kern w:val="24"/>
          <w:sz w:val="24"/>
          <w:szCs w:val="24"/>
          <w:lang w:eastAsia="pl-PL"/>
          <w14:ligatures w14:val="none"/>
        </w:rPr>
        <w:t>Rozdział 8</w:t>
      </w:r>
    </w:p>
    <w:p w14:paraId="3B01E4C4" w14:textId="77777777" w:rsidR="00027D06" w:rsidRPr="00027D06"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27D06">
        <w:rPr>
          <w:rFonts w:ascii="Times" w:eastAsia="Times New Roman" w:hAnsi="Times" w:cs="Times New Roman"/>
          <w:b/>
          <w:bCs/>
          <w:kern w:val="0"/>
          <w:sz w:val="24"/>
          <w:szCs w:val="24"/>
          <w:lang w:eastAsia="pl-PL"/>
          <w14:ligatures w14:val="none"/>
        </w:rPr>
        <w:t>Przepisy karne</w:t>
      </w:r>
    </w:p>
    <w:p w14:paraId="52B1FBF5" w14:textId="158EFBB3"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Pr>
          <w:rFonts w:ascii="Times" w:eastAsia="Times New Roman" w:hAnsi="Times" w:cs="Arial"/>
          <w:b/>
          <w:kern w:val="0"/>
          <w:sz w:val="24"/>
          <w:szCs w:val="20"/>
          <w:lang w:eastAsia="pl-PL"/>
          <w14:ligatures w14:val="none"/>
        </w:rPr>
        <w:t>125</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Kto dokonuje oferty publicznej kryptoaktywa innego niż tokeny powiązane z aktywami lub tokeny będące e-pieniądzem lub ubiega się o dopuszczenie takiego kryptoaktywa do obrotu bez wymaganego przepisami rozporządzenia 2023/1114 sporządzenia, zgłoszenia Komisji lub opublikowania dokumentu informacyjnego dotyczącego tego kryptoaktywa,</w:t>
      </w:r>
    </w:p>
    <w:p w14:paraId="111BCE28" w14:textId="77777777" w:rsidR="00027D06" w:rsidRPr="00027D06" w:rsidRDefault="00027D06" w:rsidP="00027D06">
      <w:pPr>
        <w:suppressAutoHyphens/>
        <w:autoSpaceDE w:val="0"/>
        <w:autoSpaceDN w:val="0"/>
        <w:adjustRightInd w:val="0"/>
        <w:spacing w:after="0" w:line="360" w:lineRule="auto"/>
        <w:ind w:left="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podlega grzywnie do 10 000 000 zł albo karze pozbawienia wolności do lat 2, albo obu tym karom łącznie.</w:t>
      </w:r>
    </w:p>
    <w:p w14:paraId="72C09A70"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Tej samej karze podlega, kto dokonuje oferty publicznej tokenów powiązanych z aktywami lub ubiega się o ich dopuszczenie do obrotu bez wymaganego przepisami rozporządzenia 2023/1114 zezwolenia lub bez sporządzenia, zgłoszenia Komisji do zatwierdzenia lub opublikowania zatwierdzonego dokumentu informacyjnego dotyczącego tych tokenów lub bez złożenia Komisji powiadomienia, o którym mowa w art. 17 ust. 1 lit. b rozporządzenia 2023/1114.</w:t>
      </w:r>
    </w:p>
    <w:p w14:paraId="61F1A69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Tej samej karze podlega, kto dokonuje oferty publicznej tokenów będących e-pieniądzem lub ubiega się o ich dopuszczenie do obrotu bez wymaganego przepisami rozporządzenia 2023/1114 zezwolenia lub bez sporządzenia, zgłoszenia Komisji lub opublikowania dokumentu informacyjnego dotyczącego tych tokenów.</w:t>
      </w:r>
    </w:p>
    <w:p w14:paraId="0E90918D"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Tej samej karze podlega, kto dopuszcza się czynu określonego w ust. 1</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3, działając w imieniu lub interesie osoby prawnej lub jednostki organizacyjnej nieposiadającej osobowości prawnej.</w:t>
      </w:r>
    </w:p>
    <w:p w14:paraId="5B2C8585"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5. W przypadku mniejszej wagi sprawca czynu określonego w ust. 1</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4 podlega grzywnie do 2 500 000 zł.</w:t>
      </w:r>
    </w:p>
    <w:p w14:paraId="7FFCEF58" w14:textId="29C4D1D7" w:rsidR="00A7749A" w:rsidRDefault="00027D06" w:rsidP="00A7749A">
      <w:pPr>
        <w:suppressAutoHyphens/>
        <w:autoSpaceDE w:val="0"/>
        <w:autoSpaceDN w:val="0"/>
        <w:adjustRightInd w:val="0"/>
        <w:spacing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Pr>
          <w:rFonts w:ascii="Times" w:eastAsia="Times New Roman" w:hAnsi="Times" w:cs="Arial"/>
          <w:b/>
          <w:kern w:val="0"/>
          <w:sz w:val="24"/>
          <w:szCs w:val="20"/>
          <w:lang w:eastAsia="pl-PL"/>
          <w14:ligatures w14:val="none"/>
        </w:rPr>
        <w:t>126</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w:t>
      </w:r>
      <w:r w:rsidR="00A7749A">
        <w:rPr>
          <w:rFonts w:ascii="Times" w:eastAsia="Times New Roman" w:hAnsi="Times" w:cs="Arial"/>
          <w:kern w:val="0"/>
          <w:sz w:val="24"/>
          <w:szCs w:val="20"/>
          <w:lang w:eastAsia="pl-PL"/>
          <w14:ligatures w14:val="none"/>
        </w:rPr>
        <w:t xml:space="preserve">. </w:t>
      </w:r>
      <w:r w:rsidR="00A7749A" w:rsidRPr="00A7749A">
        <w:rPr>
          <w:rFonts w:ascii="Times" w:eastAsia="Times New Roman" w:hAnsi="Times" w:cs="Arial"/>
          <w:kern w:val="0"/>
          <w:sz w:val="24"/>
          <w:szCs w:val="20"/>
          <w:lang w:eastAsia="pl-PL"/>
          <w14:ligatures w14:val="none"/>
        </w:rPr>
        <w:t>Kto na terytorium jednego państwa członkowskiego Unii Europejskiej udostępnia co najmniej 150 osobom lub nieoznaczonemu adresatowi materiały marketingowe dotyczące oferty publicznej kryptoaktywa innego niż tokeny powiązane z aktywami lub tokeny będące e-pieniądzem, w przypadku, o którym mowa w art. 4 ust. 2 lit. a rozporządzenia 2023/1114</w:t>
      </w:r>
      <w:r w:rsidR="00A7749A">
        <w:rPr>
          <w:rFonts w:ascii="Times" w:eastAsia="Times New Roman" w:hAnsi="Times" w:cs="Arial"/>
          <w:kern w:val="0"/>
          <w:sz w:val="24"/>
          <w:szCs w:val="20"/>
          <w:lang w:eastAsia="pl-PL"/>
          <w14:ligatures w14:val="none"/>
        </w:rPr>
        <w:t>,</w:t>
      </w:r>
    </w:p>
    <w:p w14:paraId="031BA1D8" w14:textId="02FEB1F0" w:rsidR="00027D06" w:rsidRPr="00A7749A" w:rsidRDefault="00027D06" w:rsidP="00A7749A">
      <w:pPr>
        <w:suppressAutoHyphens/>
        <w:autoSpaceDE w:val="0"/>
        <w:autoSpaceDN w:val="0"/>
        <w:adjustRightInd w:val="0"/>
        <w:spacing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Cs/>
          <w:kern w:val="0"/>
          <w:sz w:val="24"/>
          <w:szCs w:val="20"/>
          <w:lang w:eastAsia="pl-PL"/>
          <w14:ligatures w14:val="none"/>
        </w:rPr>
        <w:t>podlega grzywnie do 10 000 000 zł albo karze pozbawienia wolności do lat 2, albo obu tym karom łącznie.</w:t>
      </w:r>
    </w:p>
    <w:p w14:paraId="561C9670"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Tej samej karze podlega, kto dopuszcza się czynu określonego w ust. 1, działając w imieniu lub interesie osoby prawnej lub jednostki organizacyjnej nieposiadającej osobowości prawnej.</w:t>
      </w:r>
    </w:p>
    <w:p w14:paraId="21C41EA8"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W przypadku mniejszej wagi sprawca czynu określonego w ust. 1 lub 2 podlega grzywnie do 2 500 000 zł.</w:t>
      </w:r>
    </w:p>
    <w:p w14:paraId="7BD8E6F3" w14:textId="61976176"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Pr>
          <w:rFonts w:ascii="Times" w:eastAsia="Times New Roman" w:hAnsi="Times" w:cs="Arial"/>
          <w:b/>
          <w:kern w:val="0"/>
          <w:sz w:val="24"/>
          <w:szCs w:val="20"/>
          <w:lang w:eastAsia="pl-PL"/>
          <w14:ligatures w14:val="none"/>
        </w:rPr>
        <w:t>127</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Kto, działając w imieniu lub interesie osoby prawnej lub jednostki organizacyjnej nieposiadającej osobowości prawnej, wbrew obowiązkowi nie dokonuje zmiany opublikowanego dokumentu informacyjnego dotyczącego kryptoaktywów, nie </w:t>
      </w:r>
      <w:r w:rsidRPr="00027D06">
        <w:rPr>
          <w:rFonts w:ascii="Times" w:eastAsia="Times New Roman" w:hAnsi="Times" w:cs="Arial"/>
          <w:kern w:val="0"/>
          <w:sz w:val="24"/>
          <w:szCs w:val="20"/>
          <w:lang w:eastAsia="pl-PL"/>
          <w14:ligatures w14:val="none"/>
        </w:rPr>
        <w:lastRenderedPageBreak/>
        <w:t>przekazuje Komisji zmienionego dokumentu informacyjnego lub nie publikuje takiego dokumentu informacyjnego,</w:t>
      </w:r>
    </w:p>
    <w:p w14:paraId="4B20E2E6" w14:textId="77777777" w:rsidR="00027D06" w:rsidRPr="00027D06" w:rsidRDefault="00027D06" w:rsidP="00027D06">
      <w:pPr>
        <w:suppressAutoHyphens/>
        <w:autoSpaceDE w:val="0"/>
        <w:autoSpaceDN w:val="0"/>
        <w:adjustRightInd w:val="0"/>
        <w:spacing w:after="0" w:line="360" w:lineRule="auto"/>
        <w:ind w:left="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podlega grzywnie do 1 000 000 zł albo karze pozbawienia wolności do lat 2, albo obu tym karom łącznie.</w:t>
      </w:r>
    </w:p>
    <w:p w14:paraId="47AD7DAD" w14:textId="37A98ABE"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Pr>
          <w:rFonts w:ascii="Times" w:eastAsia="Times New Roman" w:hAnsi="Times" w:cs="Arial"/>
          <w:b/>
          <w:kern w:val="0"/>
          <w:sz w:val="24"/>
          <w:szCs w:val="20"/>
          <w:lang w:eastAsia="pl-PL"/>
          <w14:ligatures w14:val="none"/>
        </w:rPr>
        <w:t>128</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Kto, będąc odpowiedzialnym za informacje zawarte w dokumencie informacyjnym dotyczącym tokenów powiązanych z aktywami lub w dokumencie informacyjnym dotyczącym tokenów będących e-pieniądzem, podaje nieprawdziwe dane lub zataja prawdziwe dane, w istotny sposób wpływające na treść informacji,</w:t>
      </w:r>
    </w:p>
    <w:p w14:paraId="65BB33CE" w14:textId="77777777" w:rsidR="00027D06" w:rsidRPr="00027D06" w:rsidRDefault="00027D06" w:rsidP="00027D06">
      <w:pPr>
        <w:suppressAutoHyphens/>
        <w:autoSpaceDE w:val="0"/>
        <w:autoSpaceDN w:val="0"/>
        <w:adjustRightInd w:val="0"/>
        <w:spacing w:after="0" w:line="360" w:lineRule="auto"/>
        <w:ind w:left="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podlega grzywnie do 5 000 000 zł albo karze pozbawienia wolności do lat 5, albo obu tym karom łącznie.</w:t>
      </w:r>
    </w:p>
    <w:p w14:paraId="59BF5D7F"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Tej samej karze podlega, kto, będąc odpowiedzialnym za informacje zawarte w zmienionym dokumencie informacyjnym, o którym mowa w ust. 1, podaje nieprawdziwe dane lub zataja prawdziwe dane, w istotny sposób wpływające na wycenę kryptoaktywów.</w:t>
      </w:r>
    </w:p>
    <w:p w14:paraId="1D72AE0D"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3. Tej samej karze podlega, kto dopuszcza się czynu określonego w ust. 1 lub 2, działając w imieniu lub interesie osoby prawnej lub jednostki organizacyjnej nieposiadającej osobowości prawnej.</w:t>
      </w:r>
    </w:p>
    <w:p w14:paraId="538BE530"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4. W przypadku mniejszej wagi sprawca czynu określonego w ust. 1</w:t>
      </w:r>
      <w:r w:rsidRPr="00027D06">
        <w:rPr>
          <w:rFonts w:ascii="Times" w:eastAsia="Times New Roman" w:hAnsi="Times" w:cs="Arial"/>
          <w:bCs/>
          <w:kern w:val="0"/>
          <w:sz w:val="24"/>
          <w:szCs w:val="20"/>
          <w:lang w:eastAsia="pl-PL"/>
          <w14:ligatures w14:val="none"/>
        </w:rPr>
        <w:sym w:font="Symbol" w:char="F02D"/>
      </w:r>
      <w:r w:rsidRPr="00027D06">
        <w:rPr>
          <w:rFonts w:ascii="Times" w:eastAsia="Times New Roman" w:hAnsi="Times" w:cs="Arial"/>
          <w:bCs/>
          <w:kern w:val="0"/>
          <w:sz w:val="24"/>
          <w:szCs w:val="20"/>
          <w:lang w:eastAsia="pl-PL"/>
          <w14:ligatures w14:val="none"/>
        </w:rPr>
        <w:t>3 podlega grzywnie do 1 000 000 zł.</w:t>
      </w:r>
    </w:p>
    <w:p w14:paraId="38E452AE" w14:textId="60D53C7E"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12</w:t>
      </w:r>
      <w:r w:rsidR="000A668B">
        <w:rPr>
          <w:rFonts w:ascii="Times" w:eastAsia="Times New Roman" w:hAnsi="Times" w:cs="Arial"/>
          <w:b/>
          <w:kern w:val="0"/>
          <w:sz w:val="24"/>
          <w:szCs w:val="20"/>
          <w:lang w:eastAsia="pl-PL"/>
          <w14:ligatures w14:val="none"/>
        </w:rPr>
        <w:t>9</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Kto, nie będąc do tego uprawnionym, prowadzi działalność związaną ze świadczeniem usług w zakresie kryptoaktywów, o której mowa w art. 59 lub art. 60 rozporządzenia 2023/1114,</w:t>
      </w:r>
    </w:p>
    <w:p w14:paraId="2A44BACC" w14:textId="77777777" w:rsidR="00027D06" w:rsidRPr="00027D06" w:rsidRDefault="00027D06" w:rsidP="00027D06">
      <w:pPr>
        <w:suppressAutoHyphens/>
        <w:autoSpaceDE w:val="0"/>
        <w:autoSpaceDN w:val="0"/>
        <w:adjustRightInd w:val="0"/>
        <w:spacing w:after="0" w:line="360" w:lineRule="auto"/>
        <w:ind w:left="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podlega grzywnie do 5 000 000 zł albo karze pozbawienia wolności do lat 5, albo obu tym karom łącznie.</w:t>
      </w:r>
    </w:p>
    <w:p w14:paraId="29BEF8EE"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2. Tej samej karze podlega, kto dopuszcza się czynu określonego w ust. 1, działając w imieniu lub interesie osoby prawnej lub jednostki organizacyjnej nieposiadającej osobowości prawnej.</w:t>
      </w:r>
    </w:p>
    <w:p w14:paraId="1E608D9E" w14:textId="449419F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Pr>
          <w:rFonts w:ascii="Times" w:eastAsia="Times New Roman" w:hAnsi="Times" w:cs="Arial"/>
          <w:b/>
          <w:kern w:val="0"/>
          <w:sz w:val="24"/>
          <w:szCs w:val="20"/>
          <w:lang w:eastAsia="pl-PL"/>
          <w14:ligatures w14:val="none"/>
        </w:rPr>
        <w:t>130</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Kto, będąc obowiązanym do zachowania tajemnicy zawodowej, o której mowa w art. 17, ujawnia lub wykorzystuje informację stanowiącą taką tajemnicę,</w:t>
      </w:r>
    </w:p>
    <w:p w14:paraId="7925A0FD" w14:textId="77777777" w:rsidR="00027D06" w:rsidRPr="00027D06" w:rsidRDefault="00027D06" w:rsidP="00027D06">
      <w:pPr>
        <w:suppressAutoHyphens/>
        <w:autoSpaceDE w:val="0"/>
        <w:autoSpaceDN w:val="0"/>
        <w:adjustRightInd w:val="0"/>
        <w:spacing w:after="0" w:line="360" w:lineRule="auto"/>
        <w:ind w:left="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podlega grzywnie do 1 000 000 zł albo karze pozbawienia wolności do lat 3, albo obu tym karom łącznie.</w:t>
      </w:r>
    </w:p>
    <w:p w14:paraId="339E0BC3" w14:textId="77777777" w:rsidR="00027D06" w:rsidRPr="00027D06"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lastRenderedPageBreak/>
        <w:t>2. Tej samej karze podlega, kto dopuszcza się czynu określonego w ust. 1, działając w imieniu lub interesie osoby prawnej lub jednostki organizacyjnej nieposiadającej osobowości prawnej.</w:t>
      </w:r>
    </w:p>
    <w:p w14:paraId="51360970" w14:textId="69068CB4"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27D06">
        <w:rPr>
          <w:rFonts w:ascii="Times" w:eastAsia="Times New Roman" w:hAnsi="Times" w:cs="Arial"/>
          <w:b/>
          <w:kern w:val="0"/>
          <w:sz w:val="24"/>
          <w:szCs w:val="20"/>
          <w:lang w:eastAsia="pl-PL"/>
          <w14:ligatures w14:val="none"/>
        </w:rPr>
        <w:t>Art. </w:t>
      </w:r>
      <w:r w:rsidR="000A668B" w:rsidRPr="00027D06">
        <w:rPr>
          <w:rFonts w:ascii="Times" w:eastAsia="Times New Roman" w:hAnsi="Times" w:cs="Arial"/>
          <w:b/>
          <w:kern w:val="0"/>
          <w:sz w:val="24"/>
          <w:szCs w:val="20"/>
          <w:lang w:eastAsia="pl-PL"/>
          <w14:ligatures w14:val="none"/>
        </w:rPr>
        <w:t>1</w:t>
      </w:r>
      <w:r w:rsidR="000A668B">
        <w:rPr>
          <w:rFonts w:ascii="Times" w:eastAsia="Times New Roman" w:hAnsi="Times" w:cs="Arial"/>
          <w:b/>
          <w:kern w:val="0"/>
          <w:sz w:val="24"/>
          <w:szCs w:val="20"/>
          <w:lang w:eastAsia="pl-PL"/>
          <w14:ligatures w14:val="none"/>
        </w:rPr>
        <w:t>31</w:t>
      </w:r>
      <w:r w:rsidRPr="00027D06">
        <w:rPr>
          <w:rFonts w:ascii="Times" w:eastAsia="Times New Roman" w:hAnsi="Times" w:cs="Arial"/>
          <w:b/>
          <w:kern w:val="0"/>
          <w:sz w:val="24"/>
          <w:szCs w:val="20"/>
          <w:lang w:eastAsia="pl-PL"/>
          <w14:ligatures w14:val="none"/>
        </w:rPr>
        <w:t>.</w:t>
      </w:r>
      <w:r w:rsidRPr="00027D06">
        <w:rPr>
          <w:rFonts w:ascii="Times" w:eastAsia="Times New Roman" w:hAnsi="Times" w:cs="Arial"/>
          <w:kern w:val="0"/>
          <w:sz w:val="24"/>
          <w:szCs w:val="20"/>
          <w:lang w:eastAsia="pl-PL"/>
          <w14:ligatures w14:val="none"/>
        </w:rPr>
        <w:t xml:space="preserve"> 1. Kto, nie będąc do tego uprawnionym, używa w firmie (nazwie), nazwie handlowej, reklamie, informacji reklamowej lub do określenia wykonywanej przez siebie działalności gospodarczej określeń wskazujących, że jest dostawcą usług w zakresie kryptoaktywów, lub mogących wprowadzać w tym względzie w błąd klientów, inwestorów lub uczestników rynku,</w:t>
      </w:r>
    </w:p>
    <w:p w14:paraId="2114E01C" w14:textId="77777777" w:rsidR="00027D06" w:rsidRPr="00076A91" w:rsidRDefault="00027D06" w:rsidP="00027D06">
      <w:pPr>
        <w:suppressAutoHyphens/>
        <w:autoSpaceDE w:val="0"/>
        <w:autoSpaceDN w:val="0"/>
        <w:adjustRightInd w:val="0"/>
        <w:spacing w:after="0" w:line="360" w:lineRule="auto"/>
        <w:ind w:left="510"/>
        <w:jc w:val="both"/>
        <w:rPr>
          <w:rFonts w:ascii="Times" w:eastAsia="Times New Roman" w:hAnsi="Times" w:cs="Arial"/>
          <w:bCs/>
          <w:kern w:val="0"/>
          <w:sz w:val="24"/>
          <w:szCs w:val="20"/>
          <w:lang w:eastAsia="pl-PL"/>
          <w14:ligatures w14:val="none"/>
        </w:rPr>
      </w:pPr>
      <w:r w:rsidRPr="00027D06">
        <w:rPr>
          <w:rFonts w:ascii="Times" w:eastAsia="Times New Roman" w:hAnsi="Times" w:cs="Arial"/>
          <w:bCs/>
          <w:kern w:val="0"/>
          <w:sz w:val="24"/>
          <w:szCs w:val="20"/>
          <w:lang w:eastAsia="pl-PL"/>
          <w14:ligatures w14:val="none"/>
        </w:rPr>
        <w:t xml:space="preserve">podlega grzywnie do 1 000 000 zł albo karze </w:t>
      </w:r>
      <w:r w:rsidRPr="00076A91">
        <w:rPr>
          <w:rFonts w:ascii="Times" w:eastAsia="Times New Roman" w:hAnsi="Times" w:cs="Arial"/>
          <w:bCs/>
          <w:kern w:val="0"/>
          <w:sz w:val="24"/>
          <w:szCs w:val="20"/>
          <w:lang w:eastAsia="pl-PL"/>
          <w14:ligatures w14:val="none"/>
        </w:rPr>
        <w:t>pozbawienia wolności do lat 2, albo obu tym karom łącznie.</w:t>
      </w:r>
    </w:p>
    <w:p w14:paraId="38E66485"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Tej samej karze podlega, kto dopuszcza się czynu określonego w ust. 1, działając w imieniu lub interesie osoby prawnej lub jednostki organizacyjnej nieposiadającej osobowości prawnej.</w:t>
      </w:r>
    </w:p>
    <w:p w14:paraId="79AB0DB1" w14:textId="1F68F124"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13</w:t>
      </w:r>
      <w:r w:rsidR="000A668B">
        <w:rPr>
          <w:rFonts w:ascii="Times" w:eastAsia="Times New Roman" w:hAnsi="Times" w:cs="Arial"/>
          <w:b/>
          <w:kern w:val="0"/>
          <w:sz w:val="24"/>
          <w:szCs w:val="20"/>
          <w:lang w:eastAsia="pl-PL"/>
          <w14:ligatures w14:val="none"/>
        </w:rPr>
        <w:t>2</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Kto nie wykonuje obowiązku, o którym mowa w art. </w:t>
      </w:r>
      <w:r w:rsidR="00557DE6" w:rsidRPr="00076A91">
        <w:rPr>
          <w:rFonts w:ascii="Times" w:eastAsia="Times New Roman" w:hAnsi="Times" w:cs="Arial"/>
          <w:kern w:val="0"/>
          <w:sz w:val="24"/>
          <w:szCs w:val="20"/>
          <w:lang w:eastAsia="pl-PL"/>
          <w14:ligatures w14:val="none"/>
        </w:rPr>
        <w:t>3</w:t>
      </w:r>
      <w:r w:rsidR="00557DE6">
        <w:rPr>
          <w:rFonts w:ascii="Times" w:eastAsia="Times New Roman" w:hAnsi="Times" w:cs="Arial"/>
          <w:kern w:val="0"/>
          <w:sz w:val="24"/>
          <w:szCs w:val="20"/>
          <w:lang w:eastAsia="pl-PL"/>
          <w14:ligatures w14:val="none"/>
        </w:rPr>
        <w:t>8</w:t>
      </w:r>
      <w:r w:rsidR="00557DE6"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ust. 1, 2 lub 3 albo wykonuje go nienależycie,</w:t>
      </w:r>
    </w:p>
    <w:p w14:paraId="3239352A" w14:textId="77777777" w:rsidR="00027D06" w:rsidRPr="00076A91" w:rsidRDefault="00027D06" w:rsidP="00027D06">
      <w:pPr>
        <w:suppressAutoHyphens/>
        <w:autoSpaceDE w:val="0"/>
        <w:autoSpaceDN w:val="0"/>
        <w:adjustRightInd w:val="0"/>
        <w:spacing w:after="0" w:line="360" w:lineRule="auto"/>
        <w:ind w:left="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podlega grzywnie do 500 000 zł, karze ograniczenia wolności albo pozbawienia wolności do lat 2.</w:t>
      </w:r>
    </w:p>
    <w:p w14:paraId="57B95B75" w14:textId="311DF553"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13</w:t>
      </w:r>
      <w:r w:rsidR="000A668B">
        <w:rPr>
          <w:rFonts w:ascii="Times" w:eastAsia="Times New Roman" w:hAnsi="Times" w:cs="Arial"/>
          <w:b/>
          <w:kern w:val="0"/>
          <w:sz w:val="24"/>
          <w:szCs w:val="20"/>
          <w:lang w:eastAsia="pl-PL"/>
          <w14:ligatures w14:val="none"/>
        </w:rPr>
        <w:t>3</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Kto, działając w imieniu lub interesie dostawcy usług w zakresie kryptoaktywów, nie dopełnia obowiązku dokonania blokady, o której mowa w art. </w:t>
      </w:r>
      <w:r w:rsidR="00557DE6" w:rsidRPr="00076A91">
        <w:rPr>
          <w:rFonts w:ascii="Times" w:eastAsia="Times New Roman" w:hAnsi="Times" w:cs="Arial"/>
          <w:kern w:val="0"/>
          <w:sz w:val="24"/>
          <w:szCs w:val="20"/>
          <w:lang w:eastAsia="pl-PL"/>
          <w14:ligatures w14:val="none"/>
        </w:rPr>
        <w:t>6</w:t>
      </w:r>
      <w:r w:rsidR="00557DE6">
        <w:rPr>
          <w:rFonts w:ascii="Times" w:eastAsia="Times New Roman" w:hAnsi="Times" w:cs="Arial"/>
          <w:kern w:val="0"/>
          <w:sz w:val="24"/>
          <w:szCs w:val="20"/>
          <w:lang w:eastAsia="pl-PL"/>
          <w14:ligatures w14:val="none"/>
        </w:rPr>
        <w:t>3</w:t>
      </w:r>
      <w:r w:rsidR="00557DE6"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 1, lub przedłużenia blokady lub wstrzymania transakcji, o których mowa w art. </w:t>
      </w:r>
      <w:r w:rsidR="00557DE6" w:rsidRPr="00076A91">
        <w:rPr>
          <w:rFonts w:ascii="Times" w:eastAsia="Times New Roman" w:hAnsi="Times" w:cs="Arial"/>
          <w:kern w:val="0"/>
          <w:sz w:val="24"/>
          <w:szCs w:val="20"/>
          <w:lang w:eastAsia="pl-PL"/>
          <w14:ligatures w14:val="none"/>
        </w:rPr>
        <w:t>6</w:t>
      </w:r>
      <w:r w:rsidR="00557DE6">
        <w:rPr>
          <w:rFonts w:ascii="Times" w:eastAsia="Times New Roman" w:hAnsi="Times" w:cs="Arial"/>
          <w:kern w:val="0"/>
          <w:sz w:val="24"/>
          <w:szCs w:val="20"/>
          <w:lang w:eastAsia="pl-PL"/>
          <w14:ligatures w14:val="none"/>
        </w:rPr>
        <w:t>3</w:t>
      </w:r>
      <w:r w:rsidR="00557DE6"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ust. 7,</w:t>
      </w:r>
    </w:p>
    <w:p w14:paraId="7CF6711D" w14:textId="77777777" w:rsidR="00027D06" w:rsidRPr="00076A91" w:rsidRDefault="00027D06" w:rsidP="00027D06">
      <w:pPr>
        <w:suppressAutoHyphens/>
        <w:autoSpaceDE w:val="0"/>
        <w:autoSpaceDN w:val="0"/>
        <w:adjustRightInd w:val="0"/>
        <w:spacing w:after="0" w:line="360" w:lineRule="auto"/>
        <w:ind w:left="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podlega grzywnie do 1 000 000 zł albo karze pozbawienia wolności do lat 3, albo obu tym karom łącznie.</w:t>
      </w:r>
    </w:p>
    <w:p w14:paraId="155E6F08" w14:textId="51B3931C"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13</w:t>
      </w:r>
      <w:r w:rsidR="000A668B">
        <w:rPr>
          <w:rFonts w:ascii="Times" w:eastAsia="Times New Roman" w:hAnsi="Times" w:cs="Arial"/>
          <w:b/>
          <w:kern w:val="0"/>
          <w:sz w:val="24"/>
          <w:szCs w:val="20"/>
          <w:lang w:eastAsia="pl-PL"/>
          <w14:ligatures w14:val="none"/>
        </w:rPr>
        <w:t>4</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Kto utrudnia lub udaremnia przeprowadzenie kontroli,</w:t>
      </w:r>
    </w:p>
    <w:p w14:paraId="62D6455E" w14:textId="77777777" w:rsidR="00027D06" w:rsidRPr="00076A91" w:rsidRDefault="00027D06" w:rsidP="00027D06">
      <w:pPr>
        <w:suppressAutoHyphens/>
        <w:autoSpaceDE w:val="0"/>
        <w:autoSpaceDN w:val="0"/>
        <w:adjustRightInd w:val="0"/>
        <w:spacing w:after="0" w:line="360" w:lineRule="auto"/>
        <w:ind w:left="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podlega grzywnie do 500 000 zł, karze ograniczenia wolności albo pozbawienia wolności do lat 2.</w:t>
      </w:r>
    </w:p>
    <w:p w14:paraId="51302195"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Tej samej karze podlega, kto dopuszcza się czynu określonego w ust. 1, działając w imieniu lub interesie osoby prawnej lub jednostki organizacyjnej nieposiadającej osobowości prawnej.</w:t>
      </w:r>
    </w:p>
    <w:p w14:paraId="3E852353" w14:textId="55AA77C9"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13</w:t>
      </w:r>
      <w:r w:rsidR="000A668B">
        <w:rPr>
          <w:rFonts w:ascii="Times" w:eastAsia="Times New Roman" w:hAnsi="Times" w:cs="Arial"/>
          <w:b/>
          <w:kern w:val="0"/>
          <w:sz w:val="24"/>
          <w:szCs w:val="20"/>
          <w:lang w:eastAsia="pl-PL"/>
          <w14:ligatures w14:val="none"/>
        </w:rPr>
        <w:t>5</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Kto, działając w imieniu lub interesie osoby prawnej lub jednostki organizacyjnej nieposiadającej osobowości prawnej, wbrew:</w:t>
      </w:r>
    </w:p>
    <w:p w14:paraId="14A90AF6"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1)</w:t>
      </w:r>
      <w:r w:rsidRPr="00076A91">
        <w:rPr>
          <w:rFonts w:ascii="Times" w:eastAsia="Times New Roman" w:hAnsi="Times" w:cs="Arial"/>
          <w:bCs/>
          <w:kern w:val="0"/>
          <w:sz w:val="24"/>
          <w:szCs w:val="20"/>
          <w:lang w:eastAsia="pl-PL"/>
          <w14:ligatures w14:val="none"/>
        </w:rPr>
        <w:tab/>
        <w:t>nakazowi, o którym mowa w art. 6 ust. 5, nie dokonuje przeniesienia na innego dostawcę usług w zakresie kryptoaktywów praw i obowiązków wynikających z umów zawartych z klientami,</w:t>
      </w:r>
    </w:p>
    <w:p w14:paraId="341630BF"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obowiązkowi, o którym mowa w art. 6 ust. 6, nie wydaje dokumentów, o których mowa w art. 6 ust. 6,</w:t>
      </w:r>
    </w:p>
    <w:p w14:paraId="5258DDC3"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obowiązkowi, o którym mowa w art. 7 ust. 1, nie przechowuje na trwałym nośniku dokumentów związanych z prowadzeniem działalności jako dostawca usług w zakresie kryptoaktywów,</w:t>
      </w:r>
    </w:p>
    <w:p w14:paraId="36405B88"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żądaniu, o którym mowa w art. 7 ust. 4, nie przekazuje kopii dokumentów, o których mowa w art. 7 ust. 1,</w:t>
      </w:r>
    </w:p>
    <w:p w14:paraId="5E043424" w14:textId="77777777" w:rsidR="00027D06" w:rsidRPr="00076A91" w:rsidRDefault="00027D06" w:rsidP="00027D06">
      <w:pPr>
        <w:suppressAutoHyphens/>
        <w:autoSpaceDE w:val="0"/>
        <w:autoSpaceDN w:val="0"/>
        <w:adjustRightInd w:val="0"/>
        <w:spacing w:after="0" w:line="360" w:lineRule="auto"/>
        <w:ind w:left="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podlega karze aresztu, ograniczenia wolności albo grzywny.</w:t>
      </w:r>
    </w:p>
    <w:p w14:paraId="62512AB5" w14:textId="2FD04318"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2. Tej samej karze podlega, kto wbrew żądaniu, o którym mowa w art. </w:t>
      </w:r>
      <w:r w:rsidR="00557DE6" w:rsidRPr="00076A91">
        <w:rPr>
          <w:rFonts w:ascii="Times" w:eastAsia="Times New Roman" w:hAnsi="Times" w:cs="Arial"/>
          <w:bCs/>
          <w:kern w:val="0"/>
          <w:sz w:val="24"/>
          <w:szCs w:val="20"/>
          <w:lang w:eastAsia="pl-PL"/>
          <w14:ligatures w14:val="none"/>
        </w:rPr>
        <w:t>4</w:t>
      </w:r>
      <w:r w:rsidR="00557DE6">
        <w:rPr>
          <w:rFonts w:ascii="Times" w:eastAsia="Times New Roman" w:hAnsi="Times" w:cs="Arial"/>
          <w:bCs/>
          <w:kern w:val="0"/>
          <w:sz w:val="24"/>
          <w:szCs w:val="20"/>
          <w:lang w:eastAsia="pl-PL"/>
          <w14:ligatures w14:val="none"/>
        </w:rPr>
        <w:t>4</w:t>
      </w:r>
      <w:r w:rsidR="00557DE6"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lub art. </w:t>
      </w:r>
      <w:r w:rsidR="00557DE6">
        <w:rPr>
          <w:rFonts w:ascii="Times" w:eastAsia="Times New Roman" w:hAnsi="Times" w:cs="Arial"/>
          <w:bCs/>
          <w:kern w:val="0"/>
          <w:sz w:val="24"/>
          <w:szCs w:val="20"/>
          <w:lang w:eastAsia="pl-PL"/>
          <w14:ligatures w14:val="none"/>
        </w:rPr>
        <w:t>50</w:t>
      </w:r>
      <w:r w:rsidRPr="00076A91">
        <w:rPr>
          <w:rFonts w:ascii="Times" w:eastAsia="Times New Roman" w:hAnsi="Times" w:cs="Arial"/>
          <w:bCs/>
          <w:kern w:val="0"/>
          <w:sz w:val="24"/>
          <w:szCs w:val="20"/>
          <w:lang w:eastAsia="pl-PL"/>
          <w14:ligatures w14:val="none"/>
        </w:rPr>
        <w:t>, nie sporządza lub nie przekazuje informacji, o których mowa w tych przepisach.</w:t>
      </w:r>
    </w:p>
    <w:p w14:paraId="5EE05597"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 Orzekanie w sprawach o czyny, o których mowa w ust. 1 i 2, następuje w trybie przepisów ustawy z dnia 24 sierpnia 2001 r. – Kodeks postępowania w sprawach o wykroczenia (Dz. U. z 2025 r. poz. 860, 1178 i 1661).</w:t>
      </w:r>
    </w:p>
    <w:p w14:paraId="5F407B03" w14:textId="77777777" w:rsidR="00027D06" w:rsidRPr="00076A91"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bookmarkStart w:id="92" w:name="_Hlk173855886"/>
      <w:bookmarkEnd w:id="1"/>
      <w:r w:rsidRPr="00076A91">
        <w:rPr>
          <w:rFonts w:ascii="Times" w:eastAsia="Times New Roman" w:hAnsi="Times" w:cs="Arial"/>
          <w:bCs/>
          <w:kern w:val="24"/>
          <w:sz w:val="24"/>
          <w:szCs w:val="24"/>
          <w:lang w:eastAsia="pl-PL"/>
          <w14:ligatures w14:val="none"/>
        </w:rPr>
        <w:t>Rozdział 9</w:t>
      </w:r>
    </w:p>
    <w:p w14:paraId="47BC1747" w14:textId="77777777" w:rsidR="00027D06" w:rsidRPr="00076A91"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76A91">
        <w:rPr>
          <w:rFonts w:ascii="Times" w:eastAsia="Times New Roman" w:hAnsi="Times" w:cs="Times New Roman"/>
          <w:b/>
          <w:bCs/>
          <w:kern w:val="0"/>
          <w:sz w:val="24"/>
          <w:szCs w:val="24"/>
          <w:lang w:eastAsia="pl-PL"/>
          <w14:ligatures w14:val="none"/>
        </w:rPr>
        <w:t>Zmiany w przepisach</w:t>
      </w:r>
    </w:p>
    <w:p w14:paraId="15D5DBEF" w14:textId="4AFE02D2"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13</w:t>
      </w:r>
      <w:r w:rsidR="000A668B">
        <w:rPr>
          <w:rFonts w:ascii="Times" w:eastAsia="Times New Roman" w:hAnsi="Times" w:cs="Arial"/>
          <w:b/>
          <w:kern w:val="0"/>
          <w:sz w:val="24"/>
          <w:szCs w:val="20"/>
          <w:lang w:eastAsia="pl-PL"/>
          <w14:ligatures w14:val="none"/>
        </w:rPr>
        <w:t>6</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17 listopada 1964 r. – Kodeks postępowania cywilnego (</w:t>
      </w:r>
      <w:bookmarkStart w:id="93" w:name="_Hlk192839311"/>
      <w:r w:rsidRPr="00076A91">
        <w:rPr>
          <w:rFonts w:ascii="Times" w:eastAsia="Times New Roman" w:hAnsi="Times" w:cs="Arial"/>
          <w:kern w:val="0"/>
          <w:sz w:val="24"/>
          <w:szCs w:val="20"/>
          <w:lang w:eastAsia="pl-PL"/>
          <w14:ligatures w14:val="none"/>
        </w:rPr>
        <w:t>Dz. U. z 2024 r. poz. 1568, późn. zm.</w:t>
      </w:r>
      <w:r w:rsidRPr="00076A91">
        <w:rPr>
          <w:rFonts w:ascii="Times" w:eastAsia="Times New Roman" w:hAnsi="Times" w:cs="Times New Roman"/>
          <w:kern w:val="0"/>
          <w:sz w:val="24"/>
          <w:szCs w:val="20"/>
          <w:vertAlign w:val="superscript"/>
          <w:lang w:eastAsia="pl-PL"/>
          <w14:ligatures w14:val="none"/>
        </w:rPr>
        <w:footnoteReference w:id="9"/>
      </w:r>
      <w:r w:rsidRPr="00076A91">
        <w:rPr>
          <w:rFonts w:ascii="Times" w:eastAsia="Times New Roman" w:hAnsi="Times" w:cs="Arial"/>
          <w:kern w:val="0"/>
          <w:sz w:val="24"/>
          <w:szCs w:val="20"/>
          <w:lang w:eastAsia="pl-PL"/>
          <w14:ligatures w14:val="none"/>
        </w:rPr>
        <w:t>)</w:t>
      </w:r>
      <w:bookmarkEnd w:id="93"/>
      <w:r w:rsidRPr="00076A91">
        <w:rPr>
          <w:rFonts w:ascii="Times" w:eastAsia="Times New Roman" w:hAnsi="Times" w:cs="Arial"/>
          <w:kern w:val="0"/>
          <w:sz w:val="24"/>
          <w:szCs w:val="20"/>
          <w:lang w:eastAsia="pl-PL"/>
          <w14:ligatures w14:val="none"/>
        </w:rPr>
        <w:t xml:space="preserve"> w art. 829 w pkt 9 kropkę zastępuje się średnikiem i dodaje się pkt 10–13 w brzmieniu:</w:t>
      </w:r>
    </w:p>
    <w:p w14:paraId="48630AD5"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„10)</w:t>
      </w:r>
      <w:r w:rsidRPr="00076A91">
        <w:rPr>
          <w:rFonts w:ascii="Times" w:eastAsia="Times New Roman" w:hAnsi="Times" w:cs="Arial"/>
          <w:bCs/>
          <w:kern w:val="0"/>
          <w:sz w:val="24"/>
          <w:szCs w:val="20"/>
          <w:lang w:eastAsia="pl-PL"/>
          <w14:ligatures w14:val="none"/>
        </w:rPr>
        <w:tab/>
        <w:t>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10"/>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 xml:space="preserve">), powierzone dłużnikowi będącemu dostawcą usług w zakresie kryptoaktywów w rozumieniu art. 3 ust. 1 pkt 15 tego rozporządzenia, w związku ze świadczeniem przez tego dłużnika usług w zakresie kryptoaktywów w rozumieniu art. 3 ust. 1 pkt 16 tego rozporządzenia; </w:t>
      </w:r>
    </w:p>
    <w:p w14:paraId="1AA37143"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11)</w:t>
      </w:r>
      <w:r w:rsidRPr="00076A91">
        <w:rPr>
          <w:rFonts w:ascii="Times" w:eastAsia="Times New Roman" w:hAnsi="Times" w:cs="Arial"/>
          <w:bCs/>
          <w:kern w:val="0"/>
          <w:sz w:val="24"/>
          <w:szCs w:val="20"/>
          <w:lang w:eastAsia="pl-PL"/>
          <w14:ligatures w14:val="none"/>
        </w:rPr>
        <w:tab/>
        <w:t>środki pieniężne klienta w rozumieniu art. 3 ust. 1 pkt 39 rozporządzenia Parlamentu Europejskiego i Rady (UE) 2023/1114 z dnia 31 maja 2023 r. w sprawie rynków kryptoaktywów oraz zmiany rozporządzeń (UE) nr 1093/2010 i (UE) nr 1095/2010 oraz dyrektyw 2013/36/UE i (UE) 2019/1937, powierzone dłużnikowi będącemu dostawcą usług w zakresie kryptoaktywów w rozumieniu art. 3 ust. 1 pkt 15 tego rozporządzenia, w przypadku, o którym mowa w art. 70 ust. 3 tego rozporządzenia;</w:t>
      </w:r>
    </w:p>
    <w:p w14:paraId="0B3CCFB1"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12)</w:t>
      </w:r>
      <w:r w:rsidRPr="00076A91">
        <w:rPr>
          <w:rFonts w:ascii="Times" w:eastAsia="Times New Roman" w:hAnsi="Times" w:cs="Arial"/>
          <w:bCs/>
          <w:kern w:val="0"/>
          <w:sz w:val="24"/>
          <w:szCs w:val="20"/>
          <w:lang w:eastAsia="pl-PL"/>
          <w14:ligatures w14:val="none"/>
        </w:rPr>
        <w:ta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dłużnika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prowadzonym przez tego dłużnika;</w:t>
      </w:r>
    </w:p>
    <w:p w14:paraId="36F85D31"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13)</w:t>
      </w:r>
      <w:r w:rsidRPr="00076A91">
        <w:rPr>
          <w:rFonts w:ascii="Times" w:eastAsia="Times New Roman" w:hAnsi="Times" w:cs="Arial"/>
          <w:bCs/>
          <w:kern w:val="0"/>
          <w:sz w:val="24"/>
          <w:szCs w:val="20"/>
          <w:lang w:eastAsia="pl-PL"/>
          <w14:ligatures w14:val="none"/>
        </w:rPr>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p>
    <w:p w14:paraId="711BFADD" w14:textId="0A5A270A"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13</w:t>
      </w:r>
      <w:r w:rsidR="000A668B">
        <w:rPr>
          <w:rFonts w:ascii="Times" w:eastAsia="Times New Roman" w:hAnsi="Times" w:cs="Arial"/>
          <w:b/>
          <w:kern w:val="0"/>
          <w:sz w:val="24"/>
          <w:szCs w:val="20"/>
          <w:lang w:eastAsia="pl-PL"/>
          <w14:ligatures w14:val="none"/>
        </w:rPr>
        <w:t>7</w:t>
      </w:r>
      <w:r w:rsidRPr="00076A91">
        <w:rPr>
          <w:rFonts w:ascii="Times" w:eastAsia="Times New Roman" w:hAnsi="Times" w:cs="Arial"/>
          <w:b/>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W </w:t>
      </w:r>
      <w:bookmarkStart w:id="94" w:name="_Hlk190083522"/>
      <w:r w:rsidRPr="00076A91">
        <w:rPr>
          <w:rFonts w:ascii="Times" w:eastAsia="Times New Roman" w:hAnsi="Times" w:cs="Arial"/>
          <w:kern w:val="0"/>
          <w:sz w:val="24"/>
          <w:szCs w:val="20"/>
          <w:lang w:eastAsia="pl-PL"/>
          <w14:ligatures w14:val="none"/>
        </w:rPr>
        <w:t>ustawie z dnia 17 czerwca 1966 r. o postępowaniu egzekucyjnym w administracji (Dz. U. z 2025 r. poz. 132</w:t>
      </w:r>
      <w:bookmarkEnd w:id="94"/>
      <w:r w:rsidRPr="00076A91">
        <w:rPr>
          <w:rFonts w:ascii="Times" w:eastAsia="Times New Roman" w:hAnsi="Times" w:cs="Arial"/>
          <w:kern w:val="0"/>
          <w:sz w:val="24"/>
          <w:szCs w:val="20"/>
          <w:lang w:eastAsia="pl-PL"/>
          <w14:ligatures w14:val="none"/>
        </w:rPr>
        <w:t>, 620 i 1302) w art. 8 w § 1 w pkt 19 kropkę zastępuje się średnikiem i dodaje się pkt 20–23 w brzmieniu:</w:t>
      </w:r>
    </w:p>
    <w:p w14:paraId="5973D6DC"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„20)</w:t>
      </w:r>
      <w:r w:rsidRPr="00076A91">
        <w:rPr>
          <w:rFonts w:ascii="Times" w:eastAsia="Times New Roman" w:hAnsi="Times" w:cs="Arial"/>
          <w:bCs/>
          <w:kern w:val="0"/>
          <w:sz w:val="24"/>
          <w:szCs w:val="20"/>
          <w:lang w:eastAsia="pl-PL"/>
          <w14:ligatures w14:val="none"/>
        </w:rPr>
        <w:tab/>
        <w:t>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11"/>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 xml:space="preserve">), powierzone zobowiązanemu będącemu dostawcą usług w </w:t>
      </w:r>
      <w:r w:rsidRPr="00076A91">
        <w:rPr>
          <w:rFonts w:ascii="Times" w:eastAsia="Times New Roman" w:hAnsi="Times" w:cs="Arial"/>
          <w:bCs/>
          <w:kern w:val="0"/>
          <w:sz w:val="24"/>
          <w:szCs w:val="20"/>
          <w:lang w:eastAsia="pl-PL"/>
          <w14:ligatures w14:val="none"/>
        </w:rPr>
        <w:lastRenderedPageBreak/>
        <w:t xml:space="preserve">zakresie kryptoaktywów w rozumieniu art. 3 ust. 1 pkt 15 tego rozporządzenia, w związku ze świadczeniem przez tego zobowiązanego usług w zakresie kryptoaktywów w rozumieniu art. 3 ust. 1 pkt 16 tego rozporządzenia; </w:t>
      </w:r>
    </w:p>
    <w:p w14:paraId="4C06A963"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21)</w:t>
      </w:r>
      <w:r w:rsidRPr="00076A91">
        <w:rPr>
          <w:rFonts w:ascii="Times" w:eastAsia="Times New Roman" w:hAnsi="Times" w:cs="Arial"/>
          <w:bCs/>
          <w:kern w:val="0"/>
          <w:sz w:val="24"/>
          <w:szCs w:val="20"/>
          <w:lang w:eastAsia="pl-PL"/>
          <w14:ligatures w14:val="none"/>
        </w:rPr>
        <w:tab/>
        <w:t>środki pieniężne klienta w rozumieniu art. 3 ust. 1 pkt 39 rozporządzenia Parlamentu Europejskiego i Rady (UE) 2023/1114 z dnia 31 maja 2023 r. w sprawie rynków kryptoaktywów oraz zmiany rozporządzeń (UE) nr 1093/2010 i (UE) nr 1095/2010 oraz dyrektyw 2013/36/UE i (UE) 2019/1937, powierzone zobowiązanemu będącemu dostawcą usług w zakresie kryptoaktywów w rozumieniu art. 3 ust. 1 pkt 15 tego rozporządzenia, w przypadku, o którym mowa w art. 70 ust. 3 tego rozporządzenia;</w:t>
      </w:r>
    </w:p>
    <w:p w14:paraId="369D1148"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22)</w:t>
      </w:r>
      <w:r w:rsidRPr="00076A91">
        <w:rPr>
          <w:rFonts w:ascii="Times" w:eastAsia="Times New Roman" w:hAnsi="Times" w:cs="Arial"/>
          <w:bCs/>
          <w:kern w:val="0"/>
          <w:sz w:val="24"/>
          <w:szCs w:val="20"/>
          <w:lang w:eastAsia="pl-PL"/>
          <w14:ligatures w14:val="none"/>
        </w:rPr>
        <w:ta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zobowiązanego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prowadzonym przez tego zobowiązanego;</w:t>
      </w:r>
    </w:p>
    <w:p w14:paraId="42ACDA96"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23)</w:t>
      </w:r>
      <w:r w:rsidRPr="00076A91">
        <w:rPr>
          <w:rFonts w:ascii="Times" w:eastAsia="Times New Roman" w:hAnsi="Times" w:cs="Arial"/>
          <w:bCs/>
          <w:kern w:val="0"/>
          <w:sz w:val="24"/>
          <w:szCs w:val="20"/>
          <w:lang w:eastAsia="pl-PL"/>
          <w14:ligatures w14:val="none"/>
        </w:rPr>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p>
    <w:p w14:paraId="7C4A87C0" w14:textId="4BDE1451"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13</w:t>
      </w:r>
      <w:r w:rsidR="000A668B">
        <w:rPr>
          <w:rFonts w:ascii="Times" w:eastAsia="Times New Roman" w:hAnsi="Times" w:cs="Arial"/>
          <w:b/>
          <w:kern w:val="0"/>
          <w:sz w:val="24"/>
          <w:szCs w:val="20"/>
          <w:lang w:eastAsia="pl-PL"/>
          <w14:ligatures w14:val="none"/>
        </w:rPr>
        <w:t>8</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6 kwietnia 1990 r. o Policji </w:t>
      </w:r>
      <w:bookmarkStart w:id="95" w:name="_Hlk174097287"/>
      <w:r w:rsidRPr="00076A91">
        <w:rPr>
          <w:rFonts w:ascii="Times" w:eastAsia="Times New Roman" w:hAnsi="Times" w:cs="Arial"/>
          <w:kern w:val="0"/>
          <w:sz w:val="24"/>
          <w:szCs w:val="20"/>
          <w:lang w:eastAsia="pl-PL"/>
          <w14:ligatures w14:val="none"/>
        </w:rPr>
        <w:t xml:space="preserve">(Dz. U. z 2025 r. poz. 636, 718 i 1366) </w:t>
      </w:r>
      <w:bookmarkEnd w:id="95"/>
      <w:r w:rsidRPr="00076A91">
        <w:rPr>
          <w:rFonts w:ascii="Times" w:eastAsia="Times New Roman" w:hAnsi="Times" w:cs="Arial"/>
          <w:kern w:val="0"/>
          <w:sz w:val="24"/>
          <w:szCs w:val="20"/>
          <w:lang w:eastAsia="pl-PL"/>
          <w14:ligatures w14:val="none"/>
        </w:rPr>
        <w:t>w art. 20:</w:t>
      </w:r>
    </w:p>
    <w:p w14:paraId="5246DA18"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ust. 3 w pkt 12 kropkę zastępuje się średnikiem i dodaje się pkt 13 w brzmieniu:</w:t>
      </w:r>
    </w:p>
    <w:p w14:paraId="0329A29D" w14:textId="49E56C30"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„13)</w:t>
      </w:r>
      <w:r w:rsidRPr="00076A91">
        <w:rPr>
          <w:rFonts w:ascii="Times" w:eastAsia="Times New Roman" w:hAnsi="Times" w:cs="Arial"/>
          <w:bCs/>
          <w:kern w:val="0"/>
          <w:sz w:val="24"/>
          <w:szCs w:val="20"/>
          <w:lang w:eastAsia="pl-PL"/>
          <w14:ligatures w14:val="none"/>
        </w:rPr>
        <w:tab/>
        <w:t xml:space="preserve">stanowiących tajemnicę zawodową, o której mowa w art. </w:t>
      </w:r>
      <w:r w:rsidR="00AE4CBF" w:rsidRPr="00076A91">
        <w:rPr>
          <w:rFonts w:ascii="Times" w:eastAsia="Times New Roman" w:hAnsi="Times" w:cs="Arial"/>
          <w:bCs/>
          <w:kern w:val="0"/>
          <w:sz w:val="24"/>
          <w:szCs w:val="20"/>
          <w:lang w:eastAsia="pl-PL"/>
          <w14:ligatures w14:val="none"/>
        </w:rPr>
        <w:t>1</w:t>
      </w:r>
      <w:r w:rsidR="00AE4CBF">
        <w:rPr>
          <w:rFonts w:ascii="Times" w:eastAsia="Times New Roman" w:hAnsi="Times" w:cs="Arial"/>
          <w:bCs/>
          <w:kern w:val="0"/>
          <w:sz w:val="24"/>
          <w:szCs w:val="20"/>
          <w:lang w:eastAsia="pl-PL"/>
          <w14:ligatures w14:val="none"/>
        </w:rPr>
        <w:t>7</w:t>
      </w:r>
      <w:r w:rsidR="00AE4CBF"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ustawy z dnia </w:t>
      </w:r>
      <w:r w:rsidR="00483C0F"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o rynku kryptoaktywów (Dz. U. poz. …).”;</w:t>
      </w:r>
    </w:p>
    <w:p w14:paraId="6F5016FB"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ust. 5a w pkt 10 na końcu dodaje się przecinek i dodaje się pkt 11 w brzmieniu:</w:t>
      </w:r>
    </w:p>
    <w:p w14:paraId="6E8E92FE" w14:textId="74EA48DA"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„11)</w:t>
      </w:r>
      <w:r w:rsidRPr="00076A91">
        <w:rPr>
          <w:rFonts w:ascii="Times" w:eastAsia="Times New Roman" w:hAnsi="Times" w:cs="Arial"/>
          <w:bCs/>
          <w:kern w:val="0"/>
          <w:sz w:val="24"/>
          <w:szCs w:val="20"/>
          <w:lang w:eastAsia="pl-PL"/>
          <w14:ligatures w14:val="none"/>
        </w:rPr>
        <w:tab/>
        <w:t xml:space="preserve">dotyczące ustalenia, czy osoba fizyczna lub prawna, a także podmiot nieposiadający osobowości prawnej jest stroną umowy lub innej czynności prawnej dotyczącej świadczenia usług w zakresie kryptoaktywów, o której mowa w ustawie z dnia </w:t>
      </w:r>
      <w:r w:rsidR="003739FF"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o rynku kryptoaktywów”.</w:t>
      </w:r>
    </w:p>
    <w:p w14:paraId="6EAA1C1F" w14:textId="1629B88A"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13</w:t>
      </w:r>
      <w:r w:rsidR="000A668B">
        <w:rPr>
          <w:rFonts w:ascii="Times" w:eastAsia="Times New Roman" w:hAnsi="Times" w:cs="Arial"/>
          <w:b/>
          <w:kern w:val="0"/>
          <w:sz w:val="24"/>
          <w:szCs w:val="20"/>
          <w:lang w:eastAsia="pl-PL"/>
          <w14:ligatures w14:val="none"/>
        </w:rPr>
        <w:t>9</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12 października 1990 r. o Straży Granicznej (Dz. U. z 2025 r. poz. 914 i 1366) w art. 10c:</w:t>
      </w:r>
    </w:p>
    <w:p w14:paraId="0F05C93A"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ust. 1 w pkt 12 kropkę zastępuje się średnikiem i dodaje się pkt 13 w brzmieniu:</w:t>
      </w:r>
    </w:p>
    <w:p w14:paraId="6C056233" w14:textId="0699D058"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„13)</w:t>
      </w:r>
      <w:r w:rsidRPr="00076A91">
        <w:rPr>
          <w:rFonts w:ascii="Times" w:eastAsia="Times New Roman" w:hAnsi="Times" w:cs="Arial"/>
          <w:bCs/>
          <w:kern w:val="0"/>
          <w:sz w:val="24"/>
          <w:szCs w:val="20"/>
          <w:lang w:eastAsia="pl-PL"/>
          <w14:ligatures w14:val="none"/>
        </w:rPr>
        <w:tab/>
        <w:t xml:space="preserve">stanowiących tajemnicę zawodową, o której mowa w art. </w:t>
      </w:r>
      <w:r w:rsidR="00AE4CBF" w:rsidRPr="00076A91">
        <w:rPr>
          <w:rFonts w:ascii="Times" w:eastAsia="Times New Roman" w:hAnsi="Times" w:cs="Arial"/>
          <w:bCs/>
          <w:kern w:val="0"/>
          <w:sz w:val="24"/>
          <w:szCs w:val="20"/>
          <w:lang w:eastAsia="pl-PL"/>
          <w14:ligatures w14:val="none"/>
        </w:rPr>
        <w:t>1</w:t>
      </w:r>
      <w:r w:rsidR="00AE4CBF">
        <w:rPr>
          <w:rFonts w:ascii="Times" w:eastAsia="Times New Roman" w:hAnsi="Times" w:cs="Arial"/>
          <w:bCs/>
          <w:kern w:val="0"/>
          <w:sz w:val="24"/>
          <w:szCs w:val="20"/>
          <w:lang w:eastAsia="pl-PL"/>
          <w14:ligatures w14:val="none"/>
        </w:rPr>
        <w:t>7</w:t>
      </w:r>
      <w:r w:rsidR="00AE4CBF"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ustawy z dnia </w:t>
      </w:r>
      <w:r w:rsidR="003739FF"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o rynku kryptoaktywów (Dz. U. poz. …).”;</w:t>
      </w:r>
    </w:p>
    <w:p w14:paraId="25953E35"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 xml:space="preserve">w ust. 4 w pkt 10 na końcu dodaje się przecinek i dodaje się pkt 11 w brzmieniu: </w:t>
      </w:r>
    </w:p>
    <w:p w14:paraId="69803E82" w14:textId="183DD00D"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„11)</w:t>
      </w:r>
      <w:r w:rsidRPr="00076A91">
        <w:rPr>
          <w:rFonts w:ascii="Times" w:eastAsia="Times New Roman" w:hAnsi="Times" w:cs="Arial"/>
          <w:bCs/>
          <w:kern w:val="0"/>
          <w:sz w:val="24"/>
          <w:szCs w:val="20"/>
          <w:lang w:eastAsia="pl-PL"/>
          <w14:ligatures w14:val="none"/>
        </w:rPr>
        <w:tab/>
        <w:t xml:space="preserve">dotyczące ustalenia, czy osoba fizyczna, osoba prawna lub podmiot nieposiadający osobowości prawnej jest stroną umowy lub innej czynności prawnej dotyczącej świadczenia usług w zakresie kryptoaktywów, o której mowa w ustawie z dnia </w:t>
      </w:r>
      <w:r w:rsidR="003739FF"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o rynku kryptoaktywów”.</w:t>
      </w:r>
    </w:p>
    <w:p w14:paraId="77EAF776" w14:textId="4018300F"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w:t>
      </w:r>
      <w:r w:rsidR="000A668B">
        <w:rPr>
          <w:rFonts w:ascii="Times" w:eastAsia="Times New Roman" w:hAnsi="Times" w:cs="Arial"/>
          <w:b/>
          <w:kern w:val="0"/>
          <w:sz w:val="24"/>
          <w:szCs w:val="20"/>
          <w:lang w:eastAsia="pl-PL"/>
          <w14:ligatures w14:val="none"/>
        </w:rPr>
        <w:t>40</w:t>
      </w:r>
      <w:r w:rsidRPr="00076A91">
        <w:rPr>
          <w:rFonts w:ascii="Times" w:eastAsia="Times New Roman" w:hAnsi="Times" w:cs="Arial"/>
          <w:b/>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W ustawie z dnia 26 lipca 1991 r. o podatku dochodowym od osób fizycznych (Dz. U. z 2025 r. poz. 163, z późn. zm.</w:t>
      </w:r>
      <w:r w:rsidRPr="00076A91">
        <w:rPr>
          <w:rFonts w:ascii="Times" w:eastAsia="Times New Roman" w:hAnsi="Times" w:cs="Times New Roman"/>
          <w:kern w:val="0"/>
          <w:sz w:val="24"/>
          <w:szCs w:val="20"/>
          <w:vertAlign w:val="superscript"/>
          <w:lang w:eastAsia="pl-PL"/>
          <w14:ligatures w14:val="none"/>
        </w:rPr>
        <w:footnoteReference w:id="12"/>
      </w:r>
      <w:r w:rsidRPr="00076A91">
        <w:rPr>
          <w:rFonts w:ascii="Times" w:eastAsia="Times New Roman" w:hAnsi="Times" w:cs="Arial"/>
          <w:kern w:val="0"/>
          <w:sz w:val="24"/>
          <w:szCs w:val="20"/>
          <w:vertAlign w:val="superscript"/>
          <w:lang w:eastAsia="pl-PL"/>
          <w14:ligatures w14:val="none"/>
        </w:rPr>
        <w:t>)</w:t>
      </w:r>
      <w:r w:rsidRPr="00076A91">
        <w:rPr>
          <w:rFonts w:ascii="Times" w:eastAsia="Times New Roman" w:hAnsi="Times" w:cs="Arial"/>
          <w:kern w:val="0"/>
          <w:sz w:val="24"/>
          <w:szCs w:val="20"/>
          <w:lang w:eastAsia="pl-PL"/>
          <w14:ligatures w14:val="none"/>
        </w:rPr>
        <w:t>) wprowadza się następujące zmiany:</w:t>
      </w:r>
    </w:p>
    <w:p w14:paraId="0C245BD6"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96" w:name="_Hlk165015498"/>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art. 5a:</w:t>
      </w:r>
    </w:p>
    <w:p w14:paraId="69E3DEDB"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pkt 33a otrzymuje brzmienie:</w:t>
      </w:r>
    </w:p>
    <w:p w14:paraId="65E967A6"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„33a)</w:t>
      </w:r>
      <w:r w:rsidRPr="00076A91">
        <w:rPr>
          <w:rFonts w:ascii="Times" w:eastAsia="Times New Roman" w:hAnsi="Times" w:cs="Arial"/>
          <w:bCs/>
          <w:kern w:val="0"/>
          <w:sz w:val="24"/>
          <w:szCs w:val="20"/>
          <w:lang w:eastAsia="pl-PL"/>
          <w14:ligatures w14:val="none"/>
        </w:rPr>
        <w:tab/>
        <w:t>walucie wirtualnej – oznacza to cyfrowe odwzorowanie wartości, które nie jest:</w:t>
      </w:r>
    </w:p>
    <w:bookmarkEnd w:id="96"/>
    <w:p w14:paraId="463A4151"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prawnym środkiem płatniczym emitowanym przez Narodowy Bank Polski, zagraniczne banki centralne lub inne organy administracji publicznej,</w:t>
      </w:r>
    </w:p>
    <w:p w14:paraId="43E89D7D"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międzynarodową jednostką rozrachunkową ustanawianą przez organizację międzynarodową i akceptowaną przez poszczególne kraje należące do tej organizacji lub z nią współpracujące,</w:t>
      </w:r>
    </w:p>
    <w:p w14:paraId="4DEE8ED0"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c)</w:t>
      </w:r>
      <w:r w:rsidRPr="00076A91">
        <w:rPr>
          <w:rFonts w:ascii="Times" w:eastAsia="Times New Roman" w:hAnsi="Times" w:cs="Arial"/>
          <w:bCs/>
          <w:kern w:val="0"/>
          <w:sz w:val="24"/>
          <w:szCs w:val="20"/>
          <w:lang w:eastAsia="pl-PL"/>
          <w14:ligatures w14:val="none"/>
        </w:rPr>
        <w:tab/>
        <w:t xml:space="preserve">pieniądzem elektronicznym w rozumieniu art. 2 pkt 21a ustawy z dnia 19 sierpnia 2011 r. o usługach płatniczych (Dz. U. z 2025 r. poz. 611 i 1069), z wyjątkiem tokena będącego e-pieniądzem w rozumieniu art. 3 ust. 1 pkt 7 rozporządzenia Parlamentu Europejskiego i Rady (UE) 2023/1114 z dnia </w:t>
      </w:r>
      <w:r w:rsidRPr="00076A91">
        <w:rPr>
          <w:rFonts w:ascii="Times" w:eastAsia="Times New Roman" w:hAnsi="Times" w:cs="Arial"/>
          <w:bCs/>
          <w:kern w:val="0"/>
          <w:sz w:val="24"/>
          <w:szCs w:val="20"/>
          <w:lang w:eastAsia="pl-PL"/>
          <w14:ligatures w14:val="none"/>
        </w:rPr>
        <w:lastRenderedPageBreak/>
        <w:t>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13"/>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 o ile podatnik lub spółka niebędąca osobą prawną, w której podatnik jest wspólnikiem, dla celów prowadzenia ksiąg rachunkowych zgodnie z przepisami o rachunkowości nie kwalifikuje tego tokena jako pieniądza elektronicznego w rozumieniu art. 2 pkt 21a ustawy z dnia 19 sierpnia 2011 r. o usługach płatniczych lub instrumentu finansowego w rozumieniu art. 2 ustawy z dnia 29 lipca 2005 r. o obrocie instrumentami finansowymi,</w:t>
      </w:r>
    </w:p>
    <w:p w14:paraId="53E9A990"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d)</w:t>
      </w:r>
      <w:r w:rsidRPr="00076A91">
        <w:rPr>
          <w:rFonts w:ascii="Times" w:eastAsia="Times New Roman" w:hAnsi="Times" w:cs="Arial"/>
          <w:bCs/>
          <w:kern w:val="0"/>
          <w:sz w:val="24"/>
          <w:szCs w:val="20"/>
          <w:lang w:eastAsia="pl-PL"/>
          <w14:ligatures w14:val="none"/>
        </w:rPr>
        <w:tab/>
        <w:t>instrumentem finansowym w rozumieniu art. 2 ustawy z dnia 29 lipca 2005 r. o obrocie instrumentami finansowymi,</w:t>
      </w:r>
    </w:p>
    <w:p w14:paraId="461AD7A6"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e)</w:t>
      </w:r>
      <w:r w:rsidRPr="00076A91">
        <w:rPr>
          <w:rFonts w:ascii="Times" w:eastAsia="Times New Roman" w:hAnsi="Times" w:cs="Arial"/>
          <w:bCs/>
          <w:kern w:val="0"/>
          <w:sz w:val="24"/>
          <w:szCs w:val="20"/>
          <w:lang w:eastAsia="pl-PL"/>
          <w14:ligatures w14:val="none"/>
        </w:rPr>
        <w:tab/>
        <w:t>wekslem lub czekiem</w:t>
      </w:r>
    </w:p>
    <w:p w14:paraId="0ECFC915" w14:textId="77777777" w:rsidR="00027D06" w:rsidRPr="00076A91" w:rsidRDefault="00027D06" w:rsidP="00027D06">
      <w:pPr>
        <w:spacing w:after="0" w:line="360" w:lineRule="auto"/>
        <w:ind w:left="1497"/>
        <w:jc w:val="both"/>
        <w:rPr>
          <w:rFonts w:ascii="Times" w:eastAsia="Times New Roman" w:hAnsi="Times" w:cs="Arial"/>
          <w:bCs/>
          <w:kern w:val="0"/>
          <w:sz w:val="24"/>
          <w:szCs w:val="24"/>
          <w:lang w:eastAsia="pl-PL"/>
          <w14:ligatures w14:val="none"/>
        </w:rPr>
      </w:pPr>
      <w:r w:rsidRPr="00076A91">
        <w:rPr>
          <w:rFonts w:ascii="Times" w:eastAsia="Times New Roman" w:hAnsi="Times" w:cs="Arial"/>
          <w:bCs/>
          <w:kern w:val="0"/>
          <w:sz w:val="24"/>
          <w:szCs w:val="24"/>
          <w:lang w:eastAsia="pl-PL"/>
          <w14:ligatures w14:val="none"/>
        </w:rPr>
        <w:t>– oraz jest wymienialne w obrocie gospodarczym na prawne środki płatnicze i akceptowane jako środek wymiany, a także może być elektronicznie przechowywane lub przeniesione albo może być przedmiotem handlu elektronicznego;”,</w:t>
      </w:r>
    </w:p>
    <w:p w14:paraId="5461F2EF"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po pkt 33a dodaje się pkt 33aa w brzmieniu:</w:t>
      </w:r>
    </w:p>
    <w:p w14:paraId="4CB19F87"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„33aa)</w:t>
      </w:r>
      <w:r w:rsidRPr="00076A91">
        <w:rPr>
          <w:rFonts w:ascii="Times" w:eastAsia="Times New Roman" w:hAnsi="Times" w:cs="Arial"/>
          <w:bCs/>
          <w:kern w:val="0"/>
          <w:sz w:val="24"/>
          <w:szCs w:val="20"/>
          <w:lang w:eastAsia="pl-PL"/>
          <w14:ligatures w14:val="none"/>
        </w:rPr>
        <w:tab/>
        <w:t>podmiotach prowadzących działalność w zakresie obrotu walutami wirtualnymi – oznacza to:</w:t>
      </w:r>
    </w:p>
    <w:p w14:paraId="5541DCAD"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 podmioty prowadzące działalność gospodarczą polegającą na świadczeniu usług w zakresie:</w:t>
      </w:r>
    </w:p>
    <w:p w14:paraId="5ABBC27F"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   a)</w:t>
      </w:r>
      <w:r w:rsidRPr="00076A91">
        <w:rPr>
          <w:rFonts w:ascii="Times" w:eastAsia="Times New Roman" w:hAnsi="Times" w:cs="Arial"/>
          <w:bCs/>
          <w:kern w:val="0"/>
          <w:sz w:val="24"/>
          <w:szCs w:val="20"/>
          <w:lang w:eastAsia="pl-PL"/>
          <w14:ligatures w14:val="none"/>
        </w:rPr>
        <w:tab/>
        <w:t>wymiany pomiędzy walutami wirtualnymi i środkami płatniczymi,</w:t>
      </w:r>
    </w:p>
    <w:p w14:paraId="70216052"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   b)</w:t>
      </w:r>
      <w:r w:rsidRPr="00076A91">
        <w:rPr>
          <w:rFonts w:ascii="Times" w:eastAsia="Times New Roman" w:hAnsi="Times" w:cs="Arial"/>
          <w:bCs/>
          <w:kern w:val="0"/>
          <w:sz w:val="24"/>
          <w:szCs w:val="20"/>
          <w:lang w:eastAsia="pl-PL"/>
          <w14:ligatures w14:val="none"/>
        </w:rPr>
        <w:tab/>
        <w:t>wymiany pomiędzy walutami wirtualnymi,</w:t>
      </w:r>
    </w:p>
    <w:p w14:paraId="4B790FFE"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   c)</w:t>
      </w:r>
      <w:r w:rsidRPr="00076A91">
        <w:rPr>
          <w:rFonts w:ascii="Times" w:eastAsia="Times New Roman" w:hAnsi="Times" w:cs="Arial"/>
          <w:bCs/>
          <w:kern w:val="0"/>
          <w:sz w:val="24"/>
          <w:szCs w:val="20"/>
          <w:lang w:eastAsia="pl-PL"/>
          <w14:ligatures w14:val="none"/>
        </w:rPr>
        <w:tab/>
        <w:t>pośrednictwa w wymianie, o której mowa w lit. a lub b,</w:t>
      </w:r>
    </w:p>
    <w:p w14:paraId="7E6753D1"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   d)</w:t>
      </w:r>
      <w:r w:rsidRPr="00076A91">
        <w:rPr>
          <w:rFonts w:ascii="Times" w:eastAsia="Times New Roman" w:hAnsi="Times" w:cs="Arial"/>
          <w:bCs/>
          <w:kern w:val="0"/>
          <w:sz w:val="24"/>
          <w:szCs w:val="20"/>
          <w:lang w:eastAsia="pl-PL"/>
          <w14:ligatures w14:val="none"/>
        </w:rPr>
        <w:tab/>
        <w:t>prowadzenia w formie elektronicznej zbioru danych identyfikacyjnych zapewniających osobom uprawnionym możliwość korzystania z jednostek walut wirtualnych, w tym przeprowadzania transakcji ich wymiany,</w:t>
      </w:r>
    </w:p>
    <w:p w14:paraId="5D07833E"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emitentów kryptoaktywów, w zakresie, w jakim emisja dotyczy walut wirtualnych;”</w:t>
      </w:r>
    </w:p>
    <w:p w14:paraId="10E69BC5"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c)</w:t>
      </w:r>
      <w:r w:rsidRPr="00076A91">
        <w:rPr>
          <w:rFonts w:ascii="Times" w:eastAsia="Times New Roman" w:hAnsi="Times" w:cs="Arial"/>
          <w:bCs/>
          <w:kern w:val="0"/>
          <w:sz w:val="24"/>
          <w:szCs w:val="20"/>
          <w:lang w:eastAsia="pl-PL"/>
          <w14:ligatures w14:val="none"/>
        </w:rPr>
        <w:tab/>
        <w:t>uchyla się pkt 33c;</w:t>
      </w:r>
    </w:p>
    <w:p w14:paraId="79F28065"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2)</w:t>
      </w:r>
      <w:r w:rsidRPr="00076A91">
        <w:rPr>
          <w:rFonts w:ascii="Times" w:eastAsia="Times New Roman" w:hAnsi="Times" w:cs="Arial"/>
          <w:bCs/>
          <w:kern w:val="0"/>
          <w:sz w:val="24"/>
          <w:szCs w:val="20"/>
          <w:lang w:eastAsia="pl-PL"/>
          <w14:ligatures w14:val="none"/>
        </w:rPr>
        <w:tab/>
        <w:t>w art. 17 w ust. 1g wyrazy „art. 2 ust. 1 pkt 12 ustawy o przeciwdziałaniu praniu pieniędzy oraz finansowaniu terroryzmu” zastępuje się wyrazami „art. 5a pkt 33aa”;</w:t>
      </w:r>
    </w:p>
    <w:p w14:paraId="6734ACDB"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w art. 22 w ust. 14 wyrazy „podmiotów, o których mowa w art. 2 ust. 1 pkt 12 ustawy o przeciwdziałaniu praniu pieniędzy oraz finansowaniu terroryzmu” zastępuje się wyrazami „podmiotów prowadzących działalność w zakresie obrotu walutami wirtualnymi”.</w:t>
      </w:r>
    </w:p>
    <w:p w14:paraId="6AD84BA9" w14:textId="2F3A634D"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14</w:t>
      </w:r>
      <w:r w:rsidR="000A668B">
        <w:rPr>
          <w:rFonts w:ascii="Times" w:eastAsia="Times New Roman" w:hAnsi="Times" w:cs="Arial"/>
          <w:b/>
          <w:kern w:val="0"/>
          <w:sz w:val="24"/>
          <w:szCs w:val="20"/>
          <w:lang w:eastAsia="pl-PL"/>
          <w14:ligatures w14:val="none"/>
        </w:rPr>
        <w:t>1</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15 lutego 1992 r. o podatku dochodowym od osób prawnych (Dz. U. z 2025 r. poz. 278, z późn. zm.</w:t>
      </w:r>
      <w:r w:rsidRPr="00076A91">
        <w:rPr>
          <w:rFonts w:ascii="Times" w:eastAsia="Times New Roman" w:hAnsi="Times" w:cs="Times New Roman"/>
          <w:kern w:val="0"/>
          <w:sz w:val="24"/>
          <w:szCs w:val="20"/>
          <w:vertAlign w:val="superscript"/>
          <w:lang w:eastAsia="pl-PL"/>
          <w14:ligatures w14:val="none"/>
        </w:rPr>
        <w:footnoteReference w:id="14"/>
      </w:r>
      <w:r w:rsidRPr="00076A91">
        <w:rPr>
          <w:rFonts w:ascii="Times" w:eastAsia="Times New Roman" w:hAnsi="Times" w:cs="Arial"/>
          <w:kern w:val="0"/>
          <w:sz w:val="24"/>
          <w:szCs w:val="20"/>
          <w:vertAlign w:val="superscript"/>
          <w:lang w:eastAsia="pl-PL"/>
          <w14:ligatures w14:val="none"/>
        </w:rPr>
        <w:t>)</w:t>
      </w:r>
      <w:r w:rsidRPr="00076A91">
        <w:rPr>
          <w:rFonts w:ascii="Times" w:eastAsia="Times New Roman" w:hAnsi="Times" w:cs="Arial"/>
          <w:kern w:val="0"/>
          <w:sz w:val="24"/>
          <w:szCs w:val="20"/>
          <w:lang w:eastAsia="pl-PL"/>
          <w14:ligatures w14:val="none"/>
        </w:rPr>
        <w:t>) wprowadza się następujące zmiany:</w:t>
      </w:r>
    </w:p>
    <w:p w14:paraId="06DB8723"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art. 4a:</w:t>
      </w:r>
    </w:p>
    <w:p w14:paraId="2EDBFD31"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pkt 22a otrzymuje brzmienie:</w:t>
      </w:r>
    </w:p>
    <w:p w14:paraId="488D1279"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„22a)</w:t>
      </w:r>
      <w:r w:rsidRPr="00076A91">
        <w:rPr>
          <w:rFonts w:ascii="Times" w:eastAsia="Times New Roman" w:hAnsi="Times" w:cs="Arial"/>
          <w:bCs/>
          <w:kern w:val="0"/>
          <w:sz w:val="24"/>
          <w:szCs w:val="20"/>
          <w:lang w:eastAsia="pl-PL"/>
          <w14:ligatures w14:val="none"/>
        </w:rPr>
        <w:tab/>
        <w:t>walucie wirtualnej – oznacza to cyfrowe odwzorowanie wartości, które nie jest:</w:t>
      </w:r>
    </w:p>
    <w:p w14:paraId="670A8558"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prawnym środkiem płatniczym emitowanym przez Narodowy Bank Polski, zagraniczne banki centralne lub inne organy administracji publicznej,</w:t>
      </w:r>
    </w:p>
    <w:p w14:paraId="19AA758F"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międzynarodową jednostką rozrachunkową ustanawianą przez organizację międzynarodową i akceptowaną przez poszczególne kraje należące do tej organizacji lub z nią współpracujące,</w:t>
      </w:r>
    </w:p>
    <w:p w14:paraId="3B6CBAB4"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c)</w:t>
      </w:r>
      <w:r w:rsidRPr="00076A91">
        <w:rPr>
          <w:rFonts w:ascii="Times" w:eastAsia="Times New Roman" w:hAnsi="Times" w:cs="Arial"/>
          <w:bCs/>
          <w:kern w:val="0"/>
          <w:sz w:val="24"/>
          <w:szCs w:val="20"/>
          <w:lang w:eastAsia="pl-PL"/>
          <w14:ligatures w14:val="none"/>
        </w:rPr>
        <w:tab/>
        <w:t>pieniądzem elektronicznym w rozumieniu art. 2 pkt 21a ustawy z dnia 19 sierpnia 2011 r. o usługach płatniczych (Dz. U. z 2025 r. poz. 611 i 1069), z wyjątkiem tokena będącego e-pieniądzem w rozumieniu art. 3 ust. 1 pkt 7 rozporządzenia 2023/1114, o ile podatnik lub spółka niebędąca osobą prawną, w której podatnik jest wspólnikiem, dla celów prowadzenia ksiąg rachunkowych zgodnie z przepisami o rachunkowości nie kwalifikuje tego tokena jako pieniądza elektronicznego w rozumieniu art. 2 pkt 21a ustawy z dnia 19 sierpnia 2011 r. o usługach płatniczych lub instrumentu finansowego w rozumieniu art. 2 ustawy z dnia 29 lipca 2005 r. o obrocie instrumentami finansowymi,</w:t>
      </w:r>
    </w:p>
    <w:p w14:paraId="5543575E"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d)</w:t>
      </w:r>
      <w:r w:rsidRPr="00076A91">
        <w:rPr>
          <w:rFonts w:ascii="Times" w:eastAsia="Times New Roman" w:hAnsi="Times" w:cs="Arial"/>
          <w:bCs/>
          <w:kern w:val="0"/>
          <w:sz w:val="24"/>
          <w:szCs w:val="20"/>
          <w:lang w:eastAsia="pl-PL"/>
          <w14:ligatures w14:val="none"/>
        </w:rPr>
        <w:tab/>
        <w:t>instrumentem finansowym w rozumieniu art. 2 ustawy z dnia 29 lipca 2005 r. o obrocie instrumentami finansowymi,</w:t>
      </w:r>
    </w:p>
    <w:p w14:paraId="137B9209"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e)</w:t>
      </w:r>
      <w:r w:rsidRPr="00076A91">
        <w:rPr>
          <w:rFonts w:ascii="Times" w:eastAsia="Times New Roman" w:hAnsi="Times" w:cs="Arial"/>
          <w:bCs/>
          <w:kern w:val="0"/>
          <w:sz w:val="24"/>
          <w:szCs w:val="20"/>
          <w:lang w:eastAsia="pl-PL"/>
          <w14:ligatures w14:val="none"/>
        </w:rPr>
        <w:tab/>
        <w:t>wekslem lub czekiem</w:t>
      </w:r>
    </w:p>
    <w:p w14:paraId="069E116E" w14:textId="77777777" w:rsidR="00027D06" w:rsidRPr="00076A91" w:rsidRDefault="00027D06" w:rsidP="00027D06">
      <w:pPr>
        <w:spacing w:after="0" w:line="360" w:lineRule="auto"/>
        <w:ind w:left="1497"/>
        <w:jc w:val="both"/>
        <w:rPr>
          <w:rFonts w:ascii="Times" w:eastAsia="Times New Roman" w:hAnsi="Times" w:cs="Arial"/>
          <w:bCs/>
          <w:kern w:val="0"/>
          <w:sz w:val="24"/>
          <w:szCs w:val="24"/>
          <w:lang w:eastAsia="pl-PL"/>
          <w14:ligatures w14:val="none"/>
        </w:rPr>
      </w:pPr>
      <w:r w:rsidRPr="00076A91">
        <w:rPr>
          <w:rFonts w:ascii="Times" w:eastAsia="Times New Roman" w:hAnsi="Times" w:cs="Arial"/>
          <w:bCs/>
          <w:kern w:val="0"/>
          <w:sz w:val="24"/>
          <w:szCs w:val="24"/>
          <w:lang w:eastAsia="pl-PL"/>
          <w14:ligatures w14:val="none"/>
        </w:rPr>
        <w:lastRenderedPageBreak/>
        <w:t>– oraz jest wymienialne w obrocie gospodarczym na prawne środki płatnicze i akceptowane jako środek wymiany, a także może być elektronicznie przechowywane lub przeniesione albo może być przedmiotem handlu elektronicznego;”,</w:t>
      </w:r>
    </w:p>
    <w:p w14:paraId="790F583D"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uchyla się pkt 22b,</w:t>
      </w:r>
    </w:p>
    <w:p w14:paraId="5CB90D9A"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c)</w:t>
      </w:r>
      <w:r w:rsidRPr="00076A91">
        <w:rPr>
          <w:rFonts w:ascii="Times" w:eastAsia="Times New Roman" w:hAnsi="Times" w:cs="Arial"/>
          <w:bCs/>
          <w:kern w:val="0"/>
          <w:sz w:val="24"/>
          <w:szCs w:val="20"/>
          <w:lang w:eastAsia="pl-PL"/>
          <w14:ligatures w14:val="none"/>
        </w:rPr>
        <w:tab/>
        <w:t>po pkt 22b dodaje się pkt 22c w brzmieniu:</w:t>
      </w:r>
    </w:p>
    <w:p w14:paraId="424BA716"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„22c)</w:t>
      </w:r>
      <w:r w:rsidRPr="00076A91">
        <w:rPr>
          <w:rFonts w:ascii="Times" w:eastAsia="Times New Roman" w:hAnsi="Times" w:cs="Arial"/>
          <w:bCs/>
          <w:kern w:val="0"/>
          <w:sz w:val="24"/>
          <w:szCs w:val="20"/>
          <w:lang w:eastAsia="pl-PL"/>
          <w14:ligatures w14:val="none"/>
        </w:rPr>
        <w:tab/>
        <w:t xml:space="preserve"> podmiotach prowadzących działalność w zakresie obrotu walutami wirtualnymi – oznacza to:</w:t>
      </w:r>
    </w:p>
    <w:p w14:paraId="6B55BE2C"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 podmioty prowadzące działalność gospodarczą polegającą na świadczeniu usług w zakresie:</w:t>
      </w:r>
    </w:p>
    <w:p w14:paraId="536D8D41"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    a)</w:t>
      </w:r>
      <w:r w:rsidRPr="00076A91">
        <w:rPr>
          <w:rFonts w:ascii="Times" w:eastAsia="Times New Roman" w:hAnsi="Times" w:cs="Arial"/>
          <w:bCs/>
          <w:kern w:val="0"/>
          <w:sz w:val="24"/>
          <w:szCs w:val="20"/>
          <w:lang w:eastAsia="pl-PL"/>
          <w14:ligatures w14:val="none"/>
        </w:rPr>
        <w:tab/>
        <w:t>wymiany pomiędzy walutami wirtualnymi i środkami płatniczymi,</w:t>
      </w:r>
    </w:p>
    <w:p w14:paraId="2CD0C66A"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    b)</w:t>
      </w:r>
      <w:r w:rsidRPr="00076A91">
        <w:rPr>
          <w:rFonts w:ascii="Times" w:eastAsia="Times New Roman" w:hAnsi="Times" w:cs="Arial"/>
          <w:bCs/>
          <w:kern w:val="0"/>
          <w:sz w:val="24"/>
          <w:szCs w:val="20"/>
          <w:lang w:eastAsia="pl-PL"/>
          <w14:ligatures w14:val="none"/>
        </w:rPr>
        <w:tab/>
        <w:t>wymiany pomiędzy walutami wirtualnymi,</w:t>
      </w:r>
    </w:p>
    <w:p w14:paraId="60589524"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    c)</w:t>
      </w:r>
      <w:r w:rsidRPr="00076A91">
        <w:rPr>
          <w:rFonts w:ascii="Times" w:eastAsia="Times New Roman" w:hAnsi="Times" w:cs="Arial"/>
          <w:bCs/>
          <w:kern w:val="0"/>
          <w:sz w:val="24"/>
          <w:szCs w:val="20"/>
          <w:lang w:eastAsia="pl-PL"/>
          <w14:ligatures w14:val="none"/>
        </w:rPr>
        <w:tab/>
        <w:t>pośrednictwa w wymianie, o której mowa w lit. a lub b,</w:t>
      </w:r>
    </w:p>
    <w:p w14:paraId="415E6E9A"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    d)</w:t>
      </w:r>
      <w:r w:rsidRPr="00076A91">
        <w:rPr>
          <w:rFonts w:ascii="Times" w:eastAsia="Times New Roman" w:hAnsi="Times" w:cs="Arial"/>
          <w:bCs/>
          <w:kern w:val="0"/>
          <w:sz w:val="24"/>
          <w:szCs w:val="20"/>
          <w:lang w:eastAsia="pl-PL"/>
          <w14:ligatures w14:val="none"/>
        </w:rPr>
        <w:tab/>
        <w:t>prowadzenia w formie elektronicznej zbioru danych identyfikacyjnych zapewniających osobom uprawnionym możliwość korzystania z jednostek walut wirtualnych, w tym przeprowadzania transakcji ich wymiany,</w:t>
      </w:r>
    </w:p>
    <w:p w14:paraId="5EC5F2B2" w14:textId="77777777" w:rsidR="00027D06" w:rsidRPr="00076A91" w:rsidRDefault="00027D06" w:rsidP="00027D06">
      <w:pPr>
        <w:spacing w:after="0" w:line="360" w:lineRule="auto"/>
        <w:ind w:left="197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emitentów kryptoaktywów, w zakresie, w jakim emisja dotyczy walut wirtualnych;”,</w:t>
      </w:r>
    </w:p>
    <w:p w14:paraId="6AFC6DF4"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d)</w:t>
      </w:r>
      <w:r w:rsidRPr="00076A91">
        <w:rPr>
          <w:rFonts w:ascii="Times" w:eastAsia="Times New Roman" w:hAnsi="Times" w:cs="Arial"/>
          <w:bCs/>
          <w:kern w:val="0"/>
          <w:sz w:val="24"/>
          <w:szCs w:val="20"/>
          <w:lang w:eastAsia="pl-PL"/>
          <w14:ligatures w14:val="none"/>
        </w:rPr>
        <w:tab/>
        <w:t>w pkt 36 kropkę zastępuje się średnikiem i dodaje się pkt 37 w brzmieniu:</w:t>
      </w:r>
    </w:p>
    <w:p w14:paraId="71131AEE"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„37)</w:t>
      </w:r>
      <w:r w:rsidRPr="00076A91">
        <w:rPr>
          <w:rFonts w:ascii="Times" w:eastAsia="Times New Roman" w:hAnsi="Times" w:cs="Arial"/>
          <w:bCs/>
          <w:kern w:val="0"/>
          <w:sz w:val="24"/>
          <w:szCs w:val="20"/>
          <w:lang w:eastAsia="pl-PL"/>
          <w14:ligatures w14:val="none"/>
        </w:rPr>
        <w:tab/>
        <w:t>rozporządzeniu 2023/1114 – oznacza to rozporządzenie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15"/>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w:t>
      </w:r>
    </w:p>
    <w:p w14:paraId="04FD0EE1"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art. 7b w ust. 3 wyrazy „art. 2 ust. 1 pkt 12 ustawy o przeciwdziałaniu praniu pieniędzy oraz finansowaniu terroryzmu” zastępuje się wyrazami „art. 4a pkt 22c”;</w:t>
      </w:r>
    </w:p>
    <w:p w14:paraId="7B308F4C"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w art. 12 w ust. 4:</w:t>
      </w:r>
    </w:p>
    <w:p w14:paraId="10F65458"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       a) po pkt 27 dodaje się pkt 27a w brzmieniu: </w:t>
      </w:r>
    </w:p>
    <w:p w14:paraId="550E5FA7"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„27a)</w:t>
      </w:r>
      <w:r w:rsidRPr="00076A91">
        <w:rPr>
          <w:rFonts w:ascii="Times" w:eastAsia="Times New Roman" w:hAnsi="Times" w:cs="Arial"/>
          <w:bCs/>
          <w:kern w:val="0"/>
          <w:sz w:val="24"/>
          <w:szCs w:val="20"/>
          <w:lang w:eastAsia="pl-PL"/>
          <w14:ligatures w14:val="none"/>
        </w:rPr>
        <w:tab/>
        <w:t xml:space="preserve">u emitentów tokenów powiązanych z aktywami lub tokenów będących pieniądzem elektronicznym w rozumieniu odpowiednio art. 3 ust. 1 pkt 6 i 7 </w:t>
      </w:r>
      <w:r w:rsidRPr="00076A91">
        <w:rPr>
          <w:rFonts w:ascii="Times" w:eastAsia="Times New Roman" w:hAnsi="Times" w:cs="Arial"/>
          <w:bCs/>
          <w:kern w:val="0"/>
          <w:sz w:val="24"/>
          <w:szCs w:val="20"/>
          <w:lang w:eastAsia="pl-PL"/>
          <w14:ligatures w14:val="none"/>
        </w:rPr>
        <w:lastRenderedPageBreak/>
        <w:t>rozporządzenia 2023/1114 – przychodów uzyskanych z tytułu ich emisji, do czasu odkupu poszczególnych tokenów;”,</w:t>
      </w:r>
    </w:p>
    <w:p w14:paraId="23785F8A"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 w pkt 30 kropkę zastępuje się średnikiem i dodaje się pkt 31 w brzmieniu:</w:t>
      </w:r>
    </w:p>
    <w:p w14:paraId="5BF5EAC0"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„31) wartości środków pieniężnych lub kryptoaktywów otrzymanych przez podatnika w zamian za pierwotną emisję kryptoaktywów w rozumieniu art. 3 ust. 1 pkt 5 rozporządzenia (UE) 2023/1114, o ile środki te zostały przeznaczone na podwyższenie kapitałów własnych lub finansowanie działalności gospodarczej podatnika oraz nie zostały wypłacone wspólnikom, akcjonariuszom lub udziałowcom przed upływem trzech lat od dnia ich otrzymania.”,</w:t>
      </w:r>
    </w:p>
    <w:p w14:paraId="043BBBBE"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w art. 15:</w:t>
      </w:r>
    </w:p>
    <w:p w14:paraId="029E2266"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w ust. 11 wyrazy „podmiotów, o których mowa w art. 2 ust. 1 pkt 12 ustawy o przeciwdziałaniu praniu pieniędzy oraz finansowaniu terroryzmu” zastępuje się wyrazami „podmiotów prowadzących działalność w zakresie obrotu walutami wirtualnymi”,</w:t>
      </w:r>
    </w:p>
    <w:p w14:paraId="079A4347"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po ust. 11 dodaje się ust. 11a w brzmieniu:</w:t>
      </w:r>
    </w:p>
    <w:p w14:paraId="4413B251" w14:textId="77777777" w:rsidR="00027D06" w:rsidRPr="00076A91" w:rsidRDefault="00027D06" w:rsidP="00027D06">
      <w:pPr>
        <w:suppressAutoHyphens/>
        <w:autoSpaceDE w:val="0"/>
        <w:autoSpaceDN w:val="0"/>
        <w:adjustRightInd w:val="0"/>
        <w:spacing w:after="0" w:line="360" w:lineRule="auto"/>
        <w:ind w:left="987"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„11a. U emitentów tokenów powiązanych z aktywami lub tokenów będących pieniądzem elektronicznym w rozumieniu odpowiednio art. 3 ust. 1 pkt 6 i 7 rozporządzenia 2023/1114 koszty uzyskania przychodów, o których mowa w art. 7b ust. 1 pkt 6 lit. f, stanowią wydatki bezpośrednio poniesione na odkup wyemitowanego tokena oraz koszty związane z jego emisją.”;</w:t>
      </w:r>
    </w:p>
    <w:p w14:paraId="42ACAEC0" w14:textId="77777777" w:rsidR="00027D06" w:rsidRPr="00076A91" w:rsidRDefault="00027D06" w:rsidP="00027D06">
      <w:pPr>
        <w:suppressAutoHyphens/>
        <w:autoSpaceDE w:val="0"/>
        <w:autoSpaceDN w:val="0"/>
        <w:adjustRightInd w:val="0"/>
        <w:spacing w:after="0" w:line="360" w:lineRule="auto"/>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5) w art. 15c w ust. 16 po pkt 16 dodaje się pkt 17 w brzmieniu:</w:t>
      </w:r>
    </w:p>
    <w:p w14:paraId="75B8C46D" w14:textId="09EDCECE" w:rsidR="00027D06" w:rsidRPr="00076A91" w:rsidRDefault="00027D06" w:rsidP="005111A5">
      <w:pPr>
        <w:suppressAutoHyphens/>
        <w:autoSpaceDE w:val="0"/>
        <w:autoSpaceDN w:val="0"/>
        <w:adjustRightInd w:val="0"/>
        <w:spacing w:after="0" w:line="360" w:lineRule="auto"/>
        <w:ind w:left="510" w:firstLine="90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„17) dostawcę usług w zakresie kryptoaktywów w rozumieniu przepisów ustawy o rynku kryptoaktywów.”</w:t>
      </w:r>
    </w:p>
    <w:p w14:paraId="4C549124" w14:textId="1FA95B89"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14</w:t>
      </w:r>
      <w:r w:rsidR="000A668B">
        <w:rPr>
          <w:rFonts w:ascii="Times" w:eastAsia="Times New Roman" w:hAnsi="Times" w:cs="Arial"/>
          <w:b/>
          <w:kern w:val="0"/>
          <w:sz w:val="24"/>
          <w:szCs w:val="20"/>
          <w:lang w:eastAsia="pl-PL"/>
          <w14:ligatures w14:val="none"/>
        </w:rPr>
        <w:t>2</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29 września 1994 r. o rachunkowości (Dz. U. z 2023 r. poz. 120, z późn. zm.</w:t>
      </w:r>
      <w:r w:rsidRPr="00076A91">
        <w:rPr>
          <w:rFonts w:ascii="Times" w:eastAsia="Times New Roman" w:hAnsi="Times" w:cs="Times New Roman"/>
          <w:kern w:val="0"/>
          <w:sz w:val="24"/>
          <w:szCs w:val="20"/>
          <w:vertAlign w:val="superscript"/>
          <w:lang w:eastAsia="pl-PL"/>
          <w14:ligatures w14:val="none"/>
        </w:rPr>
        <w:footnoteReference w:id="16"/>
      </w:r>
      <w:r w:rsidRPr="00076A91">
        <w:rPr>
          <w:rFonts w:ascii="Times" w:eastAsia="Times New Roman" w:hAnsi="Times" w:cs="Arial"/>
          <w:kern w:val="0"/>
          <w:sz w:val="24"/>
          <w:szCs w:val="20"/>
          <w:vertAlign w:val="superscript"/>
          <w:lang w:eastAsia="pl-PL"/>
          <w14:ligatures w14:val="none"/>
        </w:rPr>
        <w:t>)</w:t>
      </w:r>
      <w:r w:rsidRPr="00076A91">
        <w:rPr>
          <w:rFonts w:ascii="Times" w:eastAsia="Times New Roman" w:hAnsi="Times" w:cs="Arial"/>
          <w:kern w:val="0"/>
          <w:sz w:val="24"/>
          <w:szCs w:val="20"/>
          <w:lang w:eastAsia="pl-PL"/>
          <w14:ligatures w14:val="none"/>
        </w:rPr>
        <w:t>) wprowadza się następujące zmiany:</w:t>
      </w:r>
    </w:p>
    <w:p w14:paraId="6351028B"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97" w:name="_Hlk165018304"/>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art. 48 po ust. 1 dodaje się ust. 1a w brzmieniu:</w:t>
      </w:r>
    </w:p>
    <w:bookmarkEnd w:id="97"/>
    <w:p w14:paraId="35DB80FD"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„1a. W informacji dodatkowej sporządzanej przez dostawcę usług w zakresie kryptoaktywów w rozumieniu art. 3 ust. 1 pkt 15 rozporządzenia Parlamentu Europejskiego i Rady (UE) 2023/1114 z dnia 31 maja 2023 r. w sprawie rynków kryptoaktywów oraz zmiany rozporządzeń (UE) nr 1093/2010 i (UE) nr 1095/2010 oraz dyrektyw 2013/36/UE i (UE) 2019/1937 (Dz. Urz. UE L 150 z 09.06.2023, str. 40</w:t>
      </w:r>
      <w:bookmarkStart w:id="98" w:name="_Hlk172726948"/>
      <w:r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lastRenderedPageBreak/>
        <w:t>z późn. zm.</w:t>
      </w:r>
      <w:r w:rsidRPr="00076A91">
        <w:rPr>
          <w:rFonts w:ascii="Times" w:eastAsia="Times New Roman" w:hAnsi="Times" w:cs="Arial"/>
          <w:kern w:val="0"/>
          <w:sz w:val="24"/>
          <w:szCs w:val="20"/>
          <w:vertAlign w:val="superscript"/>
          <w:lang w:eastAsia="pl-PL"/>
          <w14:ligatures w14:val="none"/>
        </w:rPr>
        <w:footnoteReference w:id="17"/>
      </w:r>
      <w:r w:rsidRPr="00076A91">
        <w:rPr>
          <w:rFonts w:ascii="Times" w:eastAsia="Times New Roman" w:hAnsi="Times" w:cs="Arial"/>
          <w:kern w:val="0"/>
          <w:sz w:val="24"/>
          <w:szCs w:val="20"/>
          <w:vertAlign w:val="superscript"/>
          <w:lang w:eastAsia="pl-PL"/>
          <w14:ligatures w14:val="none"/>
        </w:rPr>
        <w:t>)</w:t>
      </w:r>
      <w:r w:rsidRPr="00076A91">
        <w:rPr>
          <w:rFonts w:ascii="Times" w:eastAsia="Times New Roman" w:hAnsi="Times" w:cs="Arial"/>
          <w:kern w:val="0"/>
          <w:sz w:val="24"/>
          <w:szCs w:val="20"/>
          <w:lang w:eastAsia="pl-PL"/>
          <w14:ligatures w14:val="none"/>
        </w:rPr>
        <w:t>)</w:t>
      </w:r>
      <w:bookmarkEnd w:id="98"/>
      <w:r w:rsidRPr="00076A91">
        <w:rPr>
          <w:rFonts w:ascii="Times" w:eastAsia="Times New Roman" w:hAnsi="Times" w:cs="Arial"/>
          <w:kern w:val="0"/>
          <w:sz w:val="24"/>
          <w:szCs w:val="20"/>
          <w:lang w:eastAsia="pl-PL"/>
          <w14:ligatures w14:val="none"/>
        </w:rPr>
        <w:t xml:space="preserve"> wykazuje się również wartość przychodów z tytułu świadczenia usług w zakresie kryptoaktywów </w:t>
      </w:r>
      <w:bookmarkStart w:id="99" w:name="_Hlk181621853"/>
      <w:r w:rsidRPr="00076A91">
        <w:rPr>
          <w:rFonts w:ascii="Times" w:eastAsia="Times New Roman" w:hAnsi="Times" w:cs="Arial"/>
          <w:kern w:val="0"/>
          <w:sz w:val="24"/>
          <w:szCs w:val="20"/>
          <w:lang w:eastAsia="pl-PL"/>
          <w14:ligatures w14:val="none"/>
        </w:rPr>
        <w:t>w rozumieniu art. 3 ust. 1 pkt 16 tego rozporządzenia</w:t>
      </w:r>
      <w:bookmarkEnd w:id="99"/>
      <w:r w:rsidRPr="00076A91">
        <w:rPr>
          <w:rFonts w:ascii="Times" w:eastAsia="Times New Roman" w:hAnsi="Times" w:cs="Arial"/>
          <w:kern w:val="0"/>
          <w:sz w:val="24"/>
          <w:szCs w:val="20"/>
          <w:lang w:eastAsia="pl-PL"/>
          <w14:ligatures w14:val="none"/>
        </w:rPr>
        <w:t>.”;</w:t>
      </w:r>
    </w:p>
    <w:p w14:paraId="40F0325E"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100" w:name="_Hlk171075946"/>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r>
      <w:bookmarkStart w:id="101" w:name="_Hlk165024411"/>
      <w:bookmarkEnd w:id="100"/>
      <w:r w:rsidRPr="00076A91">
        <w:rPr>
          <w:rFonts w:ascii="Times" w:eastAsia="Times New Roman" w:hAnsi="Times" w:cs="Arial"/>
          <w:bCs/>
          <w:kern w:val="0"/>
          <w:sz w:val="24"/>
          <w:szCs w:val="20"/>
          <w:lang w:eastAsia="pl-PL"/>
          <w14:ligatures w14:val="none"/>
        </w:rPr>
        <w:t>w art. 64 w ust. 1 po pkt 2b dodaje się pkt 2c w brzmieniu:</w:t>
      </w:r>
    </w:p>
    <w:p w14:paraId="59C90C6D"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„2c)</w:t>
      </w:r>
      <w:r w:rsidRPr="00076A91">
        <w:rPr>
          <w:rFonts w:ascii="Times" w:eastAsia="Times New Roman" w:hAnsi="Times" w:cs="Arial"/>
          <w:bCs/>
          <w:kern w:val="0"/>
          <w:sz w:val="24"/>
          <w:szCs w:val="20"/>
          <w:lang w:eastAsia="pl-PL"/>
          <w14:ligatures w14:val="none"/>
        </w:rPr>
        <w:tab/>
        <w:t>jednostek działających na podstawie przepisów rozporządzenia Parlamentu Europejskiego i Rady (UE) 2023/1114 z dnia 31 maja 2023 r. w sprawie rynków kryptoaktywów oraz zmiany rozporządzeń (UE) nr 1093/2010 i (UE) nr 1095/2010 oraz dyrektyw 2013/36/UE i (UE) 2019/1937;”;</w:t>
      </w:r>
    </w:p>
    <w:p w14:paraId="10EE87FE"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w art. 81:</w:t>
      </w:r>
    </w:p>
    <w:p w14:paraId="29E3DF4F"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     a)  w ust. 2 po pkt 2 dodaje się pkt 2a w brzmieniu:</w:t>
      </w:r>
    </w:p>
    <w:p w14:paraId="25FAB0D8" w14:textId="4F9C8125"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„2a)</w:t>
      </w:r>
      <w:r w:rsidRPr="00076A91">
        <w:rPr>
          <w:rFonts w:ascii="Times" w:eastAsia="Times New Roman" w:hAnsi="Times" w:cs="Arial"/>
          <w:bCs/>
          <w:kern w:val="0"/>
          <w:sz w:val="24"/>
          <w:szCs w:val="20"/>
          <w:lang w:eastAsia="pl-PL"/>
          <w14:ligatures w14:val="none"/>
        </w:rPr>
        <w:tab/>
        <w:t xml:space="preserve">po zasięgnięciu opinii Przewodniczącego Komisji Nadzoru Finansowego, szczególne zasady rachunkowości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w:t>
      </w:r>
      <w:bookmarkStart w:id="102" w:name="_Hlk193294508"/>
      <w:r w:rsidRPr="00076A91">
        <w:rPr>
          <w:rFonts w:ascii="Times" w:eastAsia="Times New Roman" w:hAnsi="Times" w:cs="Arial"/>
          <w:bCs/>
          <w:kern w:val="0"/>
          <w:sz w:val="24"/>
          <w:szCs w:val="20"/>
          <w:lang w:eastAsia="pl-PL"/>
          <w14:ligatures w14:val="none"/>
        </w:rPr>
        <w:t xml:space="preserve">dla których wpłatą na pokrycie kosztów nadzoru w rozumieniu art. 19a ust. 2 pkt 1 ustawy z dnia 21 lipca 2006 r. o nadzorze nad rynkiem finansowym (Dz. U. z 2025 r. poz. 640, 1069 i ...) jest wpłata wnoszona na podstawie art. </w:t>
      </w:r>
      <w:r w:rsidR="00DB37ED" w:rsidRPr="00076A91">
        <w:rPr>
          <w:rFonts w:ascii="Times" w:eastAsia="Times New Roman" w:hAnsi="Times" w:cs="Arial"/>
          <w:bCs/>
          <w:kern w:val="0"/>
          <w:sz w:val="24"/>
          <w:szCs w:val="20"/>
          <w:lang w:eastAsia="pl-PL"/>
          <w14:ligatures w14:val="none"/>
        </w:rPr>
        <w:t xml:space="preserve">77 </w:t>
      </w:r>
      <w:r w:rsidRPr="00076A91">
        <w:rPr>
          <w:rFonts w:ascii="Times" w:eastAsia="Times New Roman" w:hAnsi="Times" w:cs="Arial"/>
          <w:bCs/>
          <w:kern w:val="0"/>
          <w:sz w:val="24"/>
          <w:szCs w:val="20"/>
          <w:lang w:eastAsia="pl-PL"/>
          <w14:ligatures w14:val="none"/>
        </w:rPr>
        <w:t xml:space="preserve">ustawy z dnia </w:t>
      </w:r>
      <w:r w:rsidR="00DB37ED"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o rynku kryptoaktywów</w:t>
      </w:r>
      <w:bookmarkEnd w:id="102"/>
      <w:r w:rsidRPr="00076A91">
        <w:rPr>
          <w:rFonts w:ascii="Times" w:eastAsia="Times New Roman" w:hAnsi="Times" w:cs="Arial"/>
          <w:bCs/>
          <w:kern w:val="0"/>
          <w:sz w:val="24"/>
          <w:szCs w:val="20"/>
          <w:lang w:eastAsia="pl-PL"/>
          <w14:ligatures w14:val="none"/>
        </w:rPr>
        <w:t xml:space="preserve"> (Dz. U. poz. …), w tym:</w:t>
      </w:r>
    </w:p>
    <w:p w14:paraId="1D5F0B76"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bookmarkStart w:id="103" w:name="_Hlk193294696"/>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sposób ujmowania w księgach rachunkowych operacji dotyczących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środków pieniężnych i kryptoaktywów w rozumieniu art. 3 ust. 1 pkt 5 tego rozporządzenia klientów w rozumieniu art. 3 ust. 1 pkt 39 tego rozporządzenia,</w:t>
      </w:r>
    </w:p>
    <w:p w14:paraId="62478229"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 xml:space="preserve">sposób wyceny aktywów i pasywów dostawców usług w zakresie kryptoaktywów w rozumieniu art. 3 ust. 1 pkt 15 rozporządzenia Parlamentu Europejskiego i Rady (UE) 2023/1114 z dnia 31 maja 2023 r. w sprawie rynków kryptoaktywów oraz zmiany rozporządzeń (UE) nr 1093/2010 i (UE) nr </w:t>
      </w:r>
      <w:r w:rsidRPr="00076A91">
        <w:rPr>
          <w:rFonts w:ascii="Times" w:eastAsia="Times New Roman" w:hAnsi="Times" w:cs="Arial"/>
          <w:bCs/>
          <w:kern w:val="0"/>
          <w:sz w:val="24"/>
          <w:szCs w:val="20"/>
          <w:lang w:eastAsia="pl-PL"/>
          <w14:ligatures w14:val="none"/>
        </w:rPr>
        <w:lastRenderedPageBreak/>
        <w:t>1095/2010 oraz dyrektyw 2013/36/UE i (UE) 2019/1937 oraz ich klientów w rozumieniu art. 3 ust. 1 pkt 39 tego rozporządzenia,</w:t>
      </w:r>
    </w:p>
    <w:p w14:paraId="6C5945FE"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c)</w:t>
      </w:r>
      <w:r w:rsidRPr="00076A91">
        <w:rPr>
          <w:rFonts w:ascii="Times" w:eastAsia="Times New Roman" w:hAnsi="Times" w:cs="Arial"/>
          <w:bCs/>
          <w:kern w:val="0"/>
          <w:sz w:val="24"/>
          <w:szCs w:val="20"/>
          <w:lang w:eastAsia="pl-PL"/>
          <w14:ligatures w14:val="none"/>
        </w:rPr>
        <w:tab/>
        <w:t>zakres informacji wykazywanych w jednostkowych i skonsolidowanych sprawozdaniach finansowych grup kapitałowych, z uwzględnieniem informacji dotyczących spełniania wymogów adekwatności kapitałowej,</w:t>
      </w:r>
    </w:p>
    <w:p w14:paraId="37DF1F14"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d)</w:t>
      </w:r>
      <w:r w:rsidRPr="00076A91">
        <w:rPr>
          <w:rFonts w:ascii="Times" w:eastAsia="Times New Roman" w:hAnsi="Times" w:cs="Arial"/>
          <w:bCs/>
          <w:kern w:val="0"/>
          <w:sz w:val="24"/>
          <w:szCs w:val="20"/>
          <w:lang w:eastAsia="pl-PL"/>
          <w14:ligatures w14:val="none"/>
        </w:rPr>
        <w:tab/>
        <w:t>zakres informacji wykazywanych w sprawozdaniach z działalności obejmujących istotne informacje o działalności oraz o stanie majątkowym i sytuacji finansowej, a także ocenę uzyskiwanych efektów oraz wskazanie czynników ryzyka i opis zagrożeń</w:t>
      </w:r>
    </w:p>
    <w:bookmarkEnd w:id="103"/>
    <w:p w14:paraId="05B81B36" w14:textId="77777777" w:rsidR="00027D06" w:rsidRPr="00076A91" w:rsidRDefault="00027D06" w:rsidP="00027D06">
      <w:pPr>
        <w:spacing w:after="0" w:line="360" w:lineRule="auto"/>
        <w:ind w:left="1021"/>
        <w:jc w:val="both"/>
        <w:rPr>
          <w:rFonts w:ascii="Times" w:eastAsia="Times New Roman" w:hAnsi="Times" w:cs="Arial"/>
          <w:bCs/>
          <w:kern w:val="0"/>
          <w:sz w:val="24"/>
          <w:szCs w:val="24"/>
          <w:lang w:eastAsia="pl-PL"/>
          <w14:ligatures w14:val="none"/>
        </w:rPr>
      </w:pPr>
      <w:r w:rsidRPr="00076A91">
        <w:rPr>
          <w:rFonts w:ascii="Times" w:eastAsia="Times New Roman" w:hAnsi="Times" w:cs="Arial"/>
          <w:bCs/>
          <w:kern w:val="0"/>
          <w:sz w:val="24"/>
          <w:szCs w:val="24"/>
          <w:lang w:eastAsia="pl-PL"/>
          <w14:ligatures w14:val="none"/>
        </w:rPr>
        <w:sym w:font="Symbol" w:char="F02D"/>
      </w:r>
      <w:r w:rsidRPr="00076A91">
        <w:rPr>
          <w:rFonts w:ascii="Times" w:eastAsia="Times New Roman" w:hAnsi="Times" w:cs="Arial"/>
          <w:bCs/>
          <w:kern w:val="0"/>
          <w:sz w:val="24"/>
          <w:szCs w:val="24"/>
          <w:lang w:eastAsia="pl-PL"/>
          <w14:ligatures w14:val="none"/>
        </w:rPr>
        <w:t xml:space="preserve"> uwzględniając specyfikę działalności tych dostawców usług w zakresie kryptoaktywów, potrzebę zapewnienia możliwości wyliczenia rocznej wpłaty na pokrycie kosztów nadzoru oraz konieczność sprawowania efektywnego nadzoru nad rynkiem kryptoaktywów;”;</w:t>
      </w:r>
    </w:p>
    <w:p w14:paraId="02F88B09" w14:textId="77777777" w:rsidR="00027D06" w:rsidRPr="00076A91" w:rsidRDefault="00027D06" w:rsidP="00027D06">
      <w:pPr>
        <w:suppressAutoHyphens/>
        <w:autoSpaceDE w:val="0"/>
        <w:autoSpaceDN w:val="0"/>
        <w:adjustRightInd w:val="0"/>
        <w:spacing w:after="0" w:line="360" w:lineRule="auto"/>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 xml:space="preserve">      b) dodaje się ust. 3 w brzmieniu:</w:t>
      </w:r>
    </w:p>
    <w:p w14:paraId="13FA9663" w14:textId="029D6D1A" w:rsidR="00027D06" w:rsidRPr="00076A91" w:rsidRDefault="00027D06" w:rsidP="00027D06">
      <w:pPr>
        <w:suppressAutoHyphens/>
        <w:autoSpaceDE w:val="0"/>
        <w:autoSpaceDN w:val="0"/>
        <w:adjustRightInd w:val="0"/>
        <w:spacing w:after="0" w:line="360" w:lineRule="auto"/>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ab/>
        <w:t>„3. Dostawcy usług w zakresie kryptoaktywów, dla których wpłata na pokrycie kosztów nadzoru, o której mowa w ust. 2 pkt 2a nie jest jedyną wpłatą na pokrycie tych kosztów, stosują szczególne zasady rachunkowości, o których mowa w ust. 2 pkt 2a, wyłącznie w celu obliczenia wysok</w:t>
      </w:r>
      <w:r w:rsidR="003D1E59">
        <w:rPr>
          <w:rFonts w:ascii="Times" w:eastAsia="Times New Roman" w:hAnsi="Times" w:cs="Arial"/>
          <w:kern w:val="0"/>
          <w:sz w:val="24"/>
          <w:szCs w:val="20"/>
          <w:lang w:eastAsia="pl-PL"/>
          <w14:ligatures w14:val="none"/>
        </w:rPr>
        <w:t>ości wpłaty określonej w art. 8</w:t>
      </w:r>
      <w:r w:rsidR="005536F0">
        <w:rPr>
          <w:rFonts w:ascii="Times" w:eastAsia="Times New Roman" w:hAnsi="Times" w:cs="Arial"/>
          <w:kern w:val="0"/>
          <w:sz w:val="24"/>
          <w:szCs w:val="20"/>
          <w:lang w:eastAsia="pl-PL"/>
          <w14:ligatures w14:val="none"/>
        </w:rPr>
        <w:t>1</w:t>
      </w:r>
      <w:r w:rsidRPr="00076A91">
        <w:rPr>
          <w:rFonts w:ascii="Times" w:eastAsia="Times New Roman" w:hAnsi="Times" w:cs="Arial"/>
          <w:kern w:val="0"/>
          <w:sz w:val="24"/>
          <w:szCs w:val="20"/>
          <w:lang w:eastAsia="pl-PL"/>
          <w14:ligatures w14:val="none"/>
        </w:rPr>
        <w:t>.”;</w:t>
      </w:r>
    </w:p>
    <w:bookmarkEnd w:id="101"/>
    <w:p w14:paraId="0F681DB3" w14:textId="5E32D6DB"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14</w:t>
      </w:r>
      <w:r w:rsidR="000A668B">
        <w:rPr>
          <w:rFonts w:ascii="Times" w:eastAsia="Times New Roman" w:hAnsi="Times" w:cs="Arial"/>
          <w:b/>
          <w:kern w:val="0"/>
          <w:sz w:val="24"/>
          <w:szCs w:val="20"/>
          <w:lang w:eastAsia="pl-PL"/>
          <w14:ligatures w14:val="none"/>
        </w:rPr>
        <w:t>3</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21 czerwca 1996 r. o szczególnych formach sprawowania nadzoru przez ministra właściwego do spraw wewnętrznych (Dz. U. z 2025 r. poz. 529) w art. 11p:</w:t>
      </w:r>
    </w:p>
    <w:p w14:paraId="28481C51"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ust. 1 w pkt 11 kropkę zastępuje się średnikiem i dodaje się pkt 12 w brzmieniu:</w:t>
      </w:r>
    </w:p>
    <w:p w14:paraId="7173236B" w14:textId="46D8AAA8"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„12)</w:t>
      </w:r>
      <w:r w:rsidRPr="00076A91">
        <w:rPr>
          <w:rFonts w:ascii="Times" w:eastAsia="Times New Roman" w:hAnsi="Times" w:cs="Arial"/>
          <w:bCs/>
          <w:kern w:val="0"/>
          <w:sz w:val="24"/>
          <w:szCs w:val="20"/>
          <w:lang w:eastAsia="pl-PL"/>
          <w14:ligatures w14:val="none"/>
        </w:rPr>
        <w:tab/>
        <w:t xml:space="preserve">stanowiących tajemnicę zawodową, o której mowa w art. </w:t>
      </w:r>
      <w:r w:rsidR="00AE4CBF" w:rsidRPr="00076A91">
        <w:rPr>
          <w:rFonts w:ascii="Times" w:eastAsia="Times New Roman" w:hAnsi="Times" w:cs="Arial"/>
          <w:bCs/>
          <w:kern w:val="0"/>
          <w:sz w:val="24"/>
          <w:szCs w:val="20"/>
          <w:lang w:eastAsia="pl-PL"/>
          <w14:ligatures w14:val="none"/>
        </w:rPr>
        <w:t>1</w:t>
      </w:r>
      <w:r w:rsidR="00AE4CBF">
        <w:rPr>
          <w:rFonts w:ascii="Times" w:eastAsia="Times New Roman" w:hAnsi="Times" w:cs="Arial"/>
          <w:bCs/>
          <w:kern w:val="0"/>
          <w:sz w:val="24"/>
          <w:szCs w:val="20"/>
          <w:lang w:eastAsia="pl-PL"/>
          <w14:ligatures w14:val="none"/>
        </w:rPr>
        <w:t>7</w:t>
      </w:r>
      <w:r w:rsidR="00AE4CBF"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ustawy z dnia </w:t>
      </w:r>
      <w:r w:rsidR="00D47881"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o rynku kryptoaktywów (Dz. U. poz. …).”;</w:t>
      </w:r>
    </w:p>
    <w:p w14:paraId="6922B176"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ust. 4 w pkt 9 na końcu dodaje się przecinek i dodaje się pkt 10 w brzmieniu:</w:t>
      </w:r>
    </w:p>
    <w:p w14:paraId="72FEE3CA" w14:textId="785132C4"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„10)</w:t>
      </w:r>
      <w:r w:rsidRPr="00076A91">
        <w:rPr>
          <w:rFonts w:ascii="Times" w:eastAsia="Times New Roman" w:hAnsi="Times" w:cs="Arial"/>
          <w:bCs/>
          <w:kern w:val="0"/>
          <w:sz w:val="24"/>
          <w:szCs w:val="20"/>
          <w:lang w:eastAsia="pl-PL"/>
          <w14:ligatures w14:val="none"/>
        </w:rPr>
        <w:tab/>
        <w:t xml:space="preserve">dotyczące ustalenia, czy osoba fizyczna lub prawna, a także podmiot nieposiadający osobowości prawnej jest stroną umowy lub innej czynności prawnej dotyczącej świadczenia usług w zakresie kryptoaktywów, o której mowa w ustawie z dnia </w:t>
      </w:r>
      <w:r w:rsidR="00D47881"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o rynku kryptoaktywów”.</w:t>
      </w:r>
    </w:p>
    <w:p w14:paraId="3775BA1D" w14:textId="10297C90"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14</w:t>
      </w:r>
      <w:r w:rsidR="000A668B">
        <w:rPr>
          <w:rFonts w:ascii="Times" w:eastAsia="Times New Roman" w:hAnsi="Times" w:cs="Arial"/>
          <w:b/>
          <w:kern w:val="0"/>
          <w:sz w:val="24"/>
          <w:szCs w:val="20"/>
          <w:lang w:eastAsia="pl-PL"/>
          <w14:ligatures w14:val="none"/>
        </w:rPr>
        <w:t>4</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6 czerwca 1997 r. </w:t>
      </w:r>
      <w:r w:rsidRPr="00076A91">
        <w:rPr>
          <w:rFonts w:ascii="Times" w:eastAsia="Times New Roman" w:hAnsi="Times" w:cs="Arial"/>
          <w:kern w:val="0"/>
          <w:sz w:val="24"/>
          <w:szCs w:val="20"/>
          <w:lang w:eastAsia="pl-PL"/>
          <w14:ligatures w14:val="none"/>
        </w:rPr>
        <w:sym w:font="Symbol" w:char="F02D"/>
      </w:r>
      <w:r w:rsidRPr="00076A91">
        <w:rPr>
          <w:rFonts w:ascii="Times" w:eastAsia="Times New Roman" w:hAnsi="Times" w:cs="Arial"/>
          <w:kern w:val="0"/>
          <w:sz w:val="24"/>
          <w:szCs w:val="20"/>
          <w:lang w:eastAsia="pl-PL"/>
          <w14:ligatures w14:val="none"/>
        </w:rPr>
        <w:t xml:space="preserve"> Kodeks postępowania karnego (Dz. U. z 2025 r. poz. 46, 304, 1178 i 1420) art. 236b otrzymuje brzmienie:</w:t>
      </w:r>
    </w:p>
    <w:p w14:paraId="3A71BC95"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lastRenderedPageBreak/>
        <w:t>„Art. 236b. § 1. Rzeczą lub przedmiotem w rozumieniu przepisów niniejszego rozdziału są również środki na rachunku oraz kryptoaktywa w rozumieniu art. 3 ust. 1 pkt 5 rozporządzenia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kern w:val="0"/>
          <w:sz w:val="24"/>
          <w:szCs w:val="20"/>
          <w:vertAlign w:val="superscript"/>
          <w:lang w:eastAsia="pl-PL"/>
          <w14:ligatures w14:val="none"/>
        </w:rPr>
        <w:footnoteReference w:id="18"/>
      </w:r>
      <w:r w:rsidRPr="00076A91">
        <w:rPr>
          <w:rFonts w:ascii="Times" w:eastAsia="Times New Roman" w:hAnsi="Times" w:cs="Arial"/>
          <w:kern w:val="0"/>
          <w:sz w:val="24"/>
          <w:szCs w:val="20"/>
          <w:vertAlign w:val="superscript"/>
          <w:lang w:eastAsia="pl-PL"/>
          <w14:ligatures w14:val="none"/>
        </w:rPr>
        <w:t>)</w:t>
      </w:r>
      <w:r w:rsidRPr="00076A91">
        <w:rPr>
          <w:rFonts w:ascii="Times" w:eastAsia="Times New Roman" w:hAnsi="Times" w:cs="Arial"/>
          <w:kern w:val="0"/>
          <w:sz w:val="24"/>
          <w:szCs w:val="20"/>
          <w:lang w:eastAsia="pl-PL"/>
          <w14:ligatures w14:val="none"/>
        </w:rPr>
        <w:t>).</w:t>
      </w:r>
    </w:p>
    <w:p w14:paraId="385C75FF"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 2. Postanowienie w przedmiocie dowodów rzeczowych może dotyczyć środków na rachunku lub kryptoaktywów w rozumieniu art. 3 ust. 1 pkt 5 rozporządzenia Parlamentu Europejskiego i Rady (UE) 2023/1114 z dnia 31 maja 2023 r. w sprawie rynków kryptoaktywów oraz zmiany rozporządzeń (UE) nr 1093/2010 i (UE) nr 1095/2010 oraz dyrektyw 2013/36/UE i (UE) 2019/1937, jeżeli zostały zatrzymane jako dowód w sprawie.”.</w:t>
      </w:r>
    </w:p>
    <w:p w14:paraId="4E27979F" w14:textId="3B90EF7A"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14</w:t>
      </w:r>
      <w:r w:rsidR="000A668B">
        <w:rPr>
          <w:rFonts w:ascii="Times" w:eastAsia="Times New Roman" w:hAnsi="Times" w:cs="Arial"/>
          <w:b/>
          <w:kern w:val="0"/>
          <w:sz w:val="24"/>
          <w:szCs w:val="20"/>
          <w:lang w:eastAsia="pl-PL"/>
          <w14:ligatures w14:val="none"/>
        </w:rPr>
        <w:t>5</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29 sierpnia 1997 r. – Prawo bankowe (Dz. U. z 2024 r. poz. 1646, z późn. zm.</w:t>
      </w:r>
      <w:r w:rsidRPr="00076A91">
        <w:rPr>
          <w:rFonts w:ascii="Times" w:eastAsia="Times New Roman" w:hAnsi="Times" w:cs="Arial"/>
          <w:kern w:val="0"/>
          <w:sz w:val="24"/>
          <w:szCs w:val="20"/>
          <w:vertAlign w:val="superscript"/>
          <w:lang w:eastAsia="pl-PL"/>
          <w14:ligatures w14:val="none"/>
        </w:rPr>
        <w:footnoteReference w:id="19"/>
      </w:r>
      <w:r w:rsidRPr="00076A91">
        <w:rPr>
          <w:rFonts w:ascii="Times" w:eastAsia="Times New Roman" w:hAnsi="Times" w:cs="Arial"/>
          <w:kern w:val="0"/>
          <w:sz w:val="24"/>
          <w:szCs w:val="20"/>
          <w:vertAlign w:val="superscript"/>
          <w:lang w:eastAsia="pl-PL"/>
          <w14:ligatures w14:val="none"/>
        </w:rPr>
        <w:t>)</w:t>
      </w:r>
      <w:r w:rsidRPr="00076A91">
        <w:rPr>
          <w:rFonts w:ascii="Times" w:eastAsia="Times New Roman" w:hAnsi="Times" w:cs="Arial"/>
          <w:kern w:val="0"/>
          <w:sz w:val="24"/>
          <w:szCs w:val="20"/>
          <w:lang w:eastAsia="pl-PL"/>
          <w14:ligatures w14:val="none"/>
        </w:rPr>
        <w:t>) wprowadza się następujące zmiany:</w:t>
      </w:r>
    </w:p>
    <w:p w14:paraId="5FF07C63"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art. 5 w ust. 2:</w:t>
      </w:r>
    </w:p>
    <w:p w14:paraId="27E0C2B3"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w pkt 3 skreśla się wyrazy „oraz wydawanie pieniądza elektronicznego”,</w:t>
      </w:r>
    </w:p>
    <w:p w14:paraId="749A139B"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bookmarkStart w:id="104" w:name="_Hlk165015611"/>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po pkt 3 dodaje się pkt 3a w brzmieniu:</w:t>
      </w:r>
    </w:p>
    <w:p w14:paraId="55EF258E"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„3a)</w:t>
      </w:r>
      <w:r w:rsidRPr="00076A91">
        <w:rPr>
          <w:rFonts w:ascii="Times" w:eastAsia="Times New Roman" w:hAnsi="Times" w:cs="Arial"/>
          <w:bCs/>
          <w:kern w:val="0"/>
          <w:sz w:val="24"/>
          <w:szCs w:val="20"/>
          <w:lang w:eastAsia="pl-PL"/>
          <w14:ligatures w14:val="none"/>
        </w:rPr>
        <w:tab/>
        <w:t>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20"/>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 zwanego dalej „rozporządzeniem 2023/1114”;”,</w:t>
      </w:r>
    </w:p>
    <w:bookmarkEnd w:id="104"/>
    <w:p w14:paraId="5280A95A"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c)</w:t>
      </w:r>
      <w:r w:rsidRPr="00076A91">
        <w:rPr>
          <w:rFonts w:ascii="Times" w:eastAsia="Times New Roman" w:hAnsi="Times" w:cs="Arial"/>
          <w:bCs/>
          <w:kern w:val="0"/>
          <w:sz w:val="24"/>
          <w:szCs w:val="20"/>
          <w:lang w:eastAsia="pl-PL"/>
          <w14:ligatures w14:val="none"/>
        </w:rPr>
        <w:tab/>
        <w:t>w pkt 13 kropkę zastępuje się średnikiem i dodaje się pkt 14 i 15 w brzmieniu:</w:t>
      </w:r>
    </w:p>
    <w:p w14:paraId="2CEDC9B3"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„14)</w:t>
      </w:r>
      <w:r w:rsidRPr="00076A91">
        <w:rPr>
          <w:rFonts w:ascii="Times" w:eastAsia="Times New Roman" w:hAnsi="Times" w:cs="Arial"/>
          <w:bCs/>
          <w:kern w:val="0"/>
          <w:sz w:val="24"/>
          <w:szCs w:val="20"/>
          <w:lang w:eastAsia="pl-PL"/>
          <w14:ligatures w14:val="none"/>
        </w:rPr>
        <w:tab/>
        <w:t>emisja tokenów powiązanych z aktywami w rozumieniu art. 3 ust. 1 pkt 6 rozporządzenia 2023/1114;</w:t>
      </w:r>
    </w:p>
    <w:p w14:paraId="395F9000"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15)</w:t>
      </w:r>
      <w:r w:rsidRPr="00076A91">
        <w:rPr>
          <w:rFonts w:ascii="Times" w:eastAsia="Times New Roman" w:hAnsi="Times" w:cs="Arial"/>
          <w:bCs/>
          <w:kern w:val="0"/>
          <w:sz w:val="24"/>
          <w:szCs w:val="20"/>
          <w:lang w:eastAsia="pl-PL"/>
          <w14:ligatures w14:val="none"/>
        </w:rPr>
        <w:tab/>
        <w:t>świadczenie usług w zakresie kryptoaktywów w rozumieniu art. 3 ust. 1 pkt 16 rozporządzenia 2023/1114.”;</w:t>
      </w:r>
    </w:p>
    <w:p w14:paraId="22241DC7"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art. 106d:</w:t>
      </w:r>
    </w:p>
    <w:p w14:paraId="5E972399"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w ust. 1:</w:t>
      </w:r>
    </w:p>
    <w:p w14:paraId="673D8949"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we wprowadzeniu do wyliczenia wyrazy „oraz podmioty, o których mowa w art. 59d ustawy z dnia 12 maja 2011 r. o kredycie konsumenckim” zastępuje się wyrazami „podmioty, o których mowa w art. 59d ustawy z dnia 12 maja 2011 r. o kredycie konsumenckim, oraz dostawcy usług w zakresie kryptoaktywów w rozumieniu art. 3 ust. 1 pkt 15 rozporządzenia 2023/1114”,</w:t>
      </w:r>
    </w:p>
    <w:p w14:paraId="3EC89428"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w pkt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2FE885D1"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w ust.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0662811D" w14:textId="509A5788"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bookmarkStart w:id="105" w:name="_Hlk165024668"/>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14</w:t>
      </w:r>
      <w:r w:rsidR="000A668B">
        <w:rPr>
          <w:rFonts w:ascii="Times" w:eastAsia="Times New Roman" w:hAnsi="Times" w:cs="Arial"/>
          <w:b/>
          <w:kern w:val="0"/>
          <w:sz w:val="24"/>
          <w:szCs w:val="20"/>
          <w:lang w:eastAsia="pl-PL"/>
          <w14:ligatures w14:val="none"/>
        </w:rPr>
        <w:t>6</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9 września 2000 r. o podatku od czynności cywilnoprawnych (Dz. U. z 2024 r. poz. 295 oraz z 2025 r. poz. 680) w art. 9 pkt 1a otrzymuje brzmienie:</w:t>
      </w:r>
    </w:p>
    <w:bookmarkEnd w:id="105"/>
    <w:p w14:paraId="0BFFF561"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„1a)</w:t>
      </w:r>
      <w:r w:rsidRPr="00076A91">
        <w:rPr>
          <w:rFonts w:ascii="Times" w:eastAsia="Times New Roman" w:hAnsi="Times" w:cs="Arial"/>
          <w:bCs/>
          <w:kern w:val="0"/>
          <w:sz w:val="24"/>
          <w:szCs w:val="20"/>
          <w:lang w:eastAsia="pl-PL"/>
          <w14:ligatures w14:val="none"/>
        </w:rPr>
        <w:tab/>
        <w:t>sprzedaż i zamianę kryptoaktywów w rozumieniu art. 3 ust. 1 pkt 5 rozporządzenia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21"/>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w:t>
      </w:r>
    </w:p>
    <w:p w14:paraId="7575346C" w14:textId="244E8994"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14</w:t>
      </w:r>
      <w:r w:rsidR="000A668B">
        <w:rPr>
          <w:rFonts w:ascii="Times" w:eastAsia="Times New Roman" w:hAnsi="Times" w:cs="Arial"/>
          <w:b/>
          <w:kern w:val="0"/>
          <w:sz w:val="24"/>
          <w:szCs w:val="20"/>
          <w:lang w:eastAsia="pl-PL"/>
          <w14:ligatures w14:val="none"/>
        </w:rPr>
        <w:t>7</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7 grudnia 2000 r. o funkcjonowaniu banków spółdzielczych, ich zrzeszaniu się i bankach zrzeszających (Dz. U. z 2025 r. poz. 265 i 1191) w art. 6 w ust. 1:</w:t>
      </w:r>
    </w:p>
    <w:p w14:paraId="2C68F731"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pkt 9 skreśla się wyrazy „oraz wydawanie pieniądza elektronicznego”;</w:t>
      </w:r>
    </w:p>
    <w:p w14:paraId="51DFD244"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po pkt 9 dodaje się pkt 9a w brzmieniu:</w:t>
      </w:r>
    </w:p>
    <w:p w14:paraId="12924EC7"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„9a)</w:t>
      </w:r>
      <w:r w:rsidRPr="00076A91">
        <w:rPr>
          <w:rFonts w:ascii="Times" w:eastAsia="Times New Roman" w:hAnsi="Times" w:cs="Arial"/>
          <w:bCs/>
          <w:kern w:val="0"/>
          <w:sz w:val="24"/>
          <w:szCs w:val="20"/>
          <w:lang w:eastAsia="pl-PL"/>
          <w14:ligatures w14:val="none"/>
        </w:rPr>
        <w:tab/>
        <w:t>wydawanie pieniądza elektronicznego w rozumieniu ustawy z dnia 19 sierpnia 2011 r. o usługach płatniczych,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22"/>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w:t>
      </w:r>
    </w:p>
    <w:p w14:paraId="11E4D421" w14:textId="10879254"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14</w:t>
      </w:r>
      <w:r w:rsidR="000A668B">
        <w:rPr>
          <w:rFonts w:ascii="Times" w:eastAsia="Times New Roman" w:hAnsi="Times" w:cs="Arial"/>
          <w:b/>
          <w:kern w:val="0"/>
          <w:sz w:val="24"/>
          <w:szCs w:val="20"/>
          <w:lang w:eastAsia="pl-PL"/>
          <w14:ligatures w14:val="none"/>
        </w:rPr>
        <w:t>8</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24 sierpnia 2001 r. o Żandarmerii Wojskowej i wojskowych organach porządkowych (Dz. U. z 2025 r. poz. 12 i 179) w art. 40b: </w:t>
      </w:r>
    </w:p>
    <w:p w14:paraId="12AAB36F"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ust. 1 w pkt 11 kropkę zastępuje się średnikiem i dodaje się pkt 12 w brzmieniu:</w:t>
      </w:r>
    </w:p>
    <w:p w14:paraId="39B25AB4" w14:textId="0E788AC1"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„12)</w:t>
      </w:r>
      <w:r w:rsidRPr="00076A91">
        <w:rPr>
          <w:rFonts w:ascii="Times" w:eastAsia="Times New Roman" w:hAnsi="Times" w:cs="Arial"/>
          <w:bCs/>
          <w:kern w:val="0"/>
          <w:sz w:val="24"/>
          <w:szCs w:val="20"/>
          <w:lang w:eastAsia="pl-PL"/>
          <w14:ligatures w14:val="none"/>
        </w:rPr>
        <w:tab/>
        <w:t xml:space="preserve">stanowiących tajemnicę zawodową, o której mowa w art. </w:t>
      </w:r>
      <w:r w:rsidR="00AE4CBF" w:rsidRPr="00076A91">
        <w:rPr>
          <w:rFonts w:ascii="Times" w:eastAsia="Times New Roman" w:hAnsi="Times" w:cs="Arial"/>
          <w:bCs/>
          <w:kern w:val="0"/>
          <w:sz w:val="24"/>
          <w:szCs w:val="20"/>
          <w:lang w:eastAsia="pl-PL"/>
          <w14:ligatures w14:val="none"/>
        </w:rPr>
        <w:t>1</w:t>
      </w:r>
      <w:r w:rsidR="00AE4CBF">
        <w:rPr>
          <w:rFonts w:ascii="Times" w:eastAsia="Times New Roman" w:hAnsi="Times" w:cs="Arial"/>
          <w:bCs/>
          <w:kern w:val="0"/>
          <w:sz w:val="24"/>
          <w:szCs w:val="20"/>
          <w:lang w:eastAsia="pl-PL"/>
          <w14:ligatures w14:val="none"/>
        </w:rPr>
        <w:t>7</w:t>
      </w:r>
      <w:r w:rsidR="00AE4CBF"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ustawy z dnia </w:t>
      </w:r>
      <w:r w:rsidR="00B83CDD"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o rynku kryptoaktywów (Dz. U. poz. …).”;</w:t>
      </w:r>
    </w:p>
    <w:p w14:paraId="0A4E79C5"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ust. 4 w pkt 9 na końcu dodaje się przecinek i dodaje się pkt 10 w brzmieniu:</w:t>
      </w:r>
    </w:p>
    <w:p w14:paraId="7FA22DE4" w14:textId="42AEA130"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„10)</w:t>
      </w:r>
      <w:r w:rsidRPr="00076A91">
        <w:rPr>
          <w:rFonts w:ascii="Times" w:eastAsia="Times New Roman" w:hAnsi="Times" w:cs="Arial"/>
          <w:bCs/>
          <w:kern w:val="0"/>
          <w:sz w:val="24"/>
          <w:szCs w:val="20"/>
          <w:lang w:eastAsia="pl-PL"/>
          <w14:ligatures w14:val="none"/>
        </w:rPr>
        <w:tab/>
        <w:t xml:space="preserve">dotyczące ustalenia, czy osoba fizyczna lub prawna, a także podmiot nieposiadający osobowości prawnej jest stroną umowy lub innej czynności prawnej dotyczącej świadczenia usług w zakresie kryptoaktywów, o której mowa w ustawie z dnia </w:t>
      </w:r>
      <w:r w:rsidR="00D47881"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o rynku kryptoaktywów”.</w:t>
      </w:r>
    </w:p>
    <w:p w14:paraId="0BC76DEE" w14:textId="67FDE0FE"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14</w:t>
      </w:r>
      <w:r w:rsidR="000A668B">
        <w:rPr>
          <w:rFonts w:ascii="Times" w:eastAsia="Times New Roman" w:hAnsi="Times" w:cs="Arial"/>
          <w:b/>
          <w:kern w:val="0"/>
          <w:sz w:val="24"/>
          <w:szCs w:val="20"/>
          <w:lang w:eastAsia="pl-PL"/>
          <w14:ligatures w14:val="none"/>
        </w:rPr>
        <w:t>9</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24 maja 2002 r. o Agencji Bezpieczeństwa Wewnętrznego oraz Agencji Wywiadu (Dz. U. z 2025 r. poz. 902 i 1366) w art. 34a:</w:t>
      </w:r>
    </w:p>
    <w:p w14:paraId="7CD0FEBA"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ust. 1 po wyrazach „świadczenia usług płatniczych,” dodaje się wyrazy „świadczenia usług w zakresie kryptoaktywów,”;</w:t>
      </w:r>
    </w:p>
    <w:p w14:paraId="78C91968"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ust. 2 w pkt 8 kropkę zastępuje się średnikiem i dodaje się pkt 9 w brzmieniu:</w:t>
      </w:r>
    </w:p>
    <w:p w14:paraId="55E0A417" w14:textId="7D421BB6"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„9)</w:t>
      </w:r>
      <w:r w:rsidRPr="00076A91">
        <w:rPr>
          <w:rFonts w:ascii="Times" w:eastAsia="Times New Roman" w:hAnsi="Times" w:cs="Arial"/>
          <w:bCs/>
          <w:kern w:val="0"/>
          <w:sz w:val="24"/>
          <w:szCs w:val="20"/>
          <w:lang w:eastAsia="pl-PL"/>
          <w14:ligatures w14:val="none"/>
        </w:rPr>
        <w:tab/>
        <w:t xml:space="preserve">osób, o których mowa w art. </w:t>
      </w:r>
      <w:r w:rsidR="00AE4CBF" w:rsidRPr="00076A91">
        <w:rPr>
          <w:rFonts w:ascii="Times" w:eastAsia="Times New Roman" w:hAnsi="Times" w:cs="Arial"/>
          <w:bCs/>
          <w:kern w:val="0"/>
          <w:sz w:val="24"/>
          <w:szCs w:val="20"/>
          <w:lang w:eastAsia="pl-PL"/>
          <w14:ligatures w14:val="none"/>
        </w:rPr>
        <w:t>1</w:t>
      </w:r>
      <w:r w:rsidR="00AE4CBF">
        <w:rPr>
          <w:rFonts w:ascii="Times" w:eastAsia="Times New Roman" w:hAnsi="Times" w:cs="Arial"/>
          <w:bCs/>
          <w:kern w:val="0"/>
          <w:sz w:val="24"/>
          <w:szCs w:val="20"/>
          <w:lang w:eastAsia="pl-PL"/>
          <w14:ligatures w14:val="none"/>
        </w:rPr>
        <w:t>8</w:t>
      </w:r>
      <w:r w:rsidR="00AE4CBF"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ustawy z dnia </w:t>
      </w:r>
      <w:r w:rsidR="00B83CDD"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o rynku kryptoaktywów (Dz. U. poz. …).”.</w:t>
      </w:r>
    </w:p>
    <w:p w14:paraId="2603E332" w14:textId="65EBC945"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w:t>
      </w:r>
      <w:r w:rsidR="000A668B">
        <w:rPr>
          <w:rFonts w:ascii="Times" w:eastAsia="Times New Roman" w:hAnsi="Times" w:cs="Arial"/>
          <w:b/>
          <w:kern w:val="0"/>
          <w:sz w:val="24"/>
          <w:szCs w:val="20"/>
          <w:lang w:eastAsia="pl-PL"/>
          <w14:ligatures w14:val="none"/>
        </w:rPr>
        <w:t>50</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27 lipca 2002 r. – Prawo dewizowe (Dz. U. z 2024 r. poz. 1131) wprowadza się następujące zmiany:</w:t>
      </w:r>
    </w:p>
    <w:p w14:paraId="7E2FAAA9"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r>
      <w:bookmarkStart w:id="106" w:name="_Hlk178941986"/>
      <w:r w:rsidRPr="00076A91">
        <w:rPr>
          <w:rFonts w:ascii="Times" w:eastAsia="Times New Roman" w:hAnsi="Times" w:cs="Arial"/>
          <w:bCs/>
          <w:kern w:val="0"/>
          <w:sz w:val="24"/>
          <w:szCs w:val="20"/>
          <w:lang w:eastAsia="pl-PL"/>
          <w14:ligatures w14:val="none"/>
        </w:rPr>
        <w:t>w art. 2 w ust. 1 po pkt 18 dodaje się pkt 18a–18c w brzmieniu:</w:t>
      </w:r>
      <w:bookmarkEnd w:id="106"/>
    </w:p>
    <w:p w14:paraId="05B309C3"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„18a)</w:t>
      </w:r>
      <w:bookmarkStart w:id="107" w:name="_Hlk178942040"/>
      <w:bookmarkStart w:id="108" w:name="_Hlk178942025"/>
      <w:r w:rsidRPr="00076A91">
        <w:rPr>
          <w:rFonts w:ascii="Times" w:eastAsia="Times New Roman" w:hAnsi="Times" w:cs="Arial"/>
          <w:bCs/>
          <w:kern w:val="0"/>
          <w:sz w:val="24"/>
          <w:szCs w:val="20"/>
          <w:lang w:eastAsia="pl-PL"/>
          <w14:ligatures w14:val="none"/>
        </w:rPr>
        <w:tab/>
        <w:t>bezgotówkowymi krajowymi środkami płatniczymi są środki pieniężne w postaci zapisów księgowych odnoszących się do waluty polskiej;</w:t>
      </w:r>
      <w:bookmarkEnd w:id="107"/>
    </w:p>
    <w:bookmarkEnd w:id="108"/>
    <w:p w14:paraId="408A34C3"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18b)</w:t>
      </w:r>
      <w:r w:rsidRPr="00076A91">
        <w:rPr>
          <w:rFonts w:ascii="Times" w:eastAsia="Times New Roman" w:hAnsi="Times" w:cs="Arial"/>
          <w:bCs/>
          <w:kern w:val="0"/>
          <w:sz w:val="24"/>
          <w:szCs w:val="20"/>
          <w:lang w:eastAsia="pl-PL"/>
          <w14:ligatures w14:val="none"/>
        </w:rPr>
        <w:tab/>
        <w:t>bezgotówkowymi zagranicznymi środkami płatniczymi są środki pieniężne w postaci zapisów księgowych odnoszących się do walut obcych;</w:t>
      </w:r>
    </w:p>
    <w:p w14:paraId="1116FC27"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18c)</w:t>
      </w:r>
      <w:r w:rsidRPr="00076A91">
        <w:rPr>
          <w:rFonts w:ascii="Times" w:eastAsia="Times New Roman" w:hAnsi="Times" w:cs="Arial"/>
          <w:bCs/>
          <w:kern w:val="0"/>
          <w:sz w:val="24"/>
          <w:szCs w:val="20"/>
          <w:lang w:eastAsia="pl-PL"/>
          <w14:ligatures w14:val="none"/>
        </w:rPr>
        <w:tab/>
        <w:t>bezgotówkową wymianą walut jest wymiana bezgotówkowych krajowych środków płatniczych na bezgotówkowe zagraniczne środki płatnicze albo wymiana bezgotówkowych zagranicznych środków płatniczych na bezgotówkowe krajowe środki płatnicze lub na inne bezgotówkowe zagraniczne środki płatnicze;”;</w:t>
      </w:r>
    </w:p>
    <w:p w14:paraId="39D41971"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po art. 3 dodaje się art. 3a w brzmieniu:</w:t>
      </w:r>
    </w:p>
    <w:p w14:paraId="18E0E383"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„Art. 3a. 1. Bezgotówkowa wymiana walut może być dokonywana wyłącznie za pośrednictwem rachunków płatniczych w rozumieniu art. 2 pkt 25 ustawy z dnia 19 sierpnia 2011 r. o usługach płatniczych (Dz. U. z 2025 r. poz. 611 i 1069).</w:t>
      </w:r>
    </w:p>
    <w:p w14:paraId="0684DBCE"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2. Działalność gospodarcza w zakresie usług bezgotówkowej wymiany walut może być wykonywana wyłącznie przez dostawcę usług płatniczych w rozumieniu ustawy z dnia 19 sierpnia 2011 r. o usługach płatniczych prowadzącego dla usługobiorcy bezgotówkowej wymiany walut rachunek płatniczy w rozumieniu art. 2 pkt 25 tej ustawy.</w:t>
      </w:r>
    </w:p>
    <w:p w14:paraId="31F11EB1"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 xml:space="preserve">3. Przepisu ust. 2 nie stosuje się do usług bezgotówkowej wymiany walut świadczonych między jednostką dominującą w rozumieniu art. 3 ust. 1 pkt </w:t>
      </w:r>
      <w:bookmarkStart w:id="109" w:name="_Hlk209431007"/>
      <w:r w:rsidRPr="00076A91">
        <w:rPr>
          <w:rFonts w:ascii="Times" w:eastAsia="Times New Roman" w:hAnsi="Times" w:cs="Arial"/>
          <w:kern w:val="0"/>
          <w:sz w:val="24"/>
          <w:szCs w:val="20"/>
          <w:lang w:eastAsia="pl-PL"/>
          <w14:ligatures w14:val="none"/>
        </w:rPr>
        <w:t>37 ustawy z dnia 29 września 1994 r. o rachunkowości</w:t>
      </w:r>
      <w:bookmarkEnd w:id="109"/>
      <w:r w:rsidRPr="00076A91">
        <w:rPr>
          <w:rFonts w:ascii="Times" w:eastAsia="Times New Roman" w:hAnsi="Times" w:cs="Arial"/>
          <w:kern w:val="0"/>
          <w:sz w:val="24"/>
          <w:szCs w:val="20"/>
          <w:lang w:eastAsia="pl-PL"/>
          <w14:ligatures w14:val="none"/>
        </w:rPr>
        <w:t xml:space="preserve"> (Dz. U. z 2023 r. poz. 120, z późn. zm.</w:t>
      </w:r>
      <w:r w:rsidRPr="00076A91">
        <w:rPr>
          <w:rFonts w:ascii="Times" w:eastAsia="Times New Roman" w:hAnsi="Times" w:cs="Arial"/>
          <w:kern w:val="0"/>
          <w:sz w:val="24"/>
          <w:szCs w:val="20"/>
          <w:vertAlign w:val="superscript"/>
          <w:lang w:eastAsia="pl-PL"/>
          <w14:ligatures w14:val="none"/>
        </w:rPr>
        <w:footnoteReference w:id="23"/>
      </w:r>
      <w:r w:rsidRPr="00076A91">
        <w:rPr>
          <w:rFonts w:ascii="Times" w:eastAsia="Times New Roman" w:hAnsi="Times" w:cs="Arial"/>
          <w:kern w:val="0"/>
          <w:sz w:val="24"/>
          <w:szCs w:val="20"/>
          <w:vertAlign w:val="superscript"/>
          <w:lang w:eastAsia="pl-PL"/>
          <w14:ligatures w14:val="none"/>
        </w:rPr>
        <w:t>)</w:t>
      </w:r>
      <w:r w:rsidRPr="00076A91">
        <w:rPr>
          <w:rFonts w:ascii="Times" w:eastAsia="Times New Roman" w:hAnsi="Times" w:cs="Arial"/>
          <w:kern w:val="0"/>
          <w:sz w:val="24"/>
          <w:szCs w:val="20"/>
          <w:lang w:eastAsia="pl-PL"/>
          <w14:ligatures w14:val="none"/>
        </w:rPr>
        <w:t>) a jednostką zależną w rozumieniu art. 3 ust. 1 pkt 39 tej ustawy lub między jednostkami zależnymi od tej samej jednostki dominującej.”.</w:t>
      </w:r>
    </w:p>
    <w:p w14:paraId="0A333044" w14:textId="03E40DBC"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15</w:t>
      </w:r>
      <w:r w:rsidR="000A668B">
        <w:rPr>
          <w:rFonts w:ascii="Times" w:eastAsia="Times New Roman" w:hAnsi="Times" w:cs="Arial"/>
          <w:b/>
          <w:kern w:val="0"/>
          <w:sz w:val="24"/>
          <w:szCs w:val="20"/>
          <w:lang w:eastAsia="pl-PL"/>
          <w14:ligatures w14:val="none"/>
        </w:rPr>
        <w:t>1</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28 października 2002 r. o odpowiedzialności podmiotów zbiorowych za czyny zabronione pod groźbą kary (Dz. U. z 2024 r. poz. 1822) w art. 16 w ust. 1 w pkt 2:</w:t>
      </w:r>
    </w:p>
    <w:p w14:paraId="68CF4A83"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wprowadzenie do wyliczenia otrzymuje brzmienie:</w:t>
      </w:r>
    </w:p>
    <w:p w14:paraId="736A6B10" w14:textId="77777777" w:rsidR="00027D06" w:rsidRPr="00076A91" w:rsidRDefault="00027D06" w:rsidP="00027D06">
      <w:pPr>
        <w:suppressAutoHyphens/>
        <w:autoSpaceDE w:val="0"/>
        <w:autoSpaceDN w:val="0"/>
        <w:adjustRightInd w:val="0"/>
        <w:spacing w:after="0" w:line="360" w:lineRule="auto"/>
        <w:ind w:left="510"/>
        <w:jc w:val="both"/>
        <w:rPr>
          <w:rFonts w:ascii="Times New Roman" w:eastAsia="Times New Roman" w:hAnsi="Times New Roman" w:cs="Arial"/>
          <w:kern w:val="0"/>
          <w:sz w:val="24"/>
          <w:szCs w:val="20"/>
          <w:lang w:eastAsia="pl-PL"/>
          <w14:ligatures w14:val="none"/>
        </w:rPr>
      </w:pPr>
      <w:r w:rsidRPr="00076A91">
        <w:rPr>
          <w:rFonts w:ascii="Times New Roman" w:eastAsia="Times New Roman" w:hAnsi="Times New Roman" w:cs="Arial"/>
          <w:kern w:val="0"/>
          <w:sz w:val="24"/>
          <w:szCs w:val="20"/>
          <w:lang w:eastAsia="pl-PL"/>
          <w14:ligatures w14:val="none"/>
        </w:rPr>
        <w:t>„przeciwko obrotowi pieniędzmi, papierami wartościowymi oraz kryptoaktywami, określone w:”;</w:t>
      </w:r>
    </w:p>
    <w:p w14:paraId="549A3F18"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lit. e średnik zastępuje się przecinkiem i dodaje się lit. f w brzmieniu:</w:t>
      </w:r>
    </w:p>
    <w:p w14:paraId="3C736658" w14:textId="61A5E6E6"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„f)</w:t>
      </w:r>
      <w:r w:rsidRPr="00076A91">
        <w:rPr>
          <w:rFonts w:ascii="Times" w:eastAsia="Times New Roman" w:hAnsi="Times" w:cs="Arial"/>
          <w:bCs/>
          <w:kern w:val="0"/>
          <w:sz w:val="24"/>
          <w:szCs w:val="20"/>
          <w:lang w:eastAsia="pl-PL"/>
          <w14:ligatures w14:val="none"/>
        </w:rPr>
        <w:tab/>
        <w:t xml:space="preserve">art. </w:t>
      </w:r>
      <w:r w:rsidR="00AE4CBF" w:rsidRPr="00076A91">
        <w:rPr>
          <w:rFonts w:ascii="Times" w:eastAsia="Times New Roman" w:hAnsi="Times" w:cs="Arial"/>
          <w:bCs/>
          <w:kern w:val="0"/>
          <w:sz w:val="24"/>
          <w:szCs w:val="20"/>
          <w:lang w:eastAsia="pl-PL"/>
          <w14:ligatures w14:val="none"/>
        </w:rPr>
        <w:t>12</w:t>
      </w:r>
      <w:r w:rsidR="00AE4CBF">
        <w:rPr>
          <w:rFonts w:ascii="Times" w:eastAsia="Times New Roman" w:hAnsi="Times" w:cs="Arial"/>
          <w:bCs/>
          <w:kern w:val="0"/>
          <w:sz w:val="24"/>
          <w:szCs w:val="20"/>
          <w:lang w:eastAsia="pl-PL"/>
          <w14:ligatures w14:val="none"/>
        </w:rPr>
        <w:t>5</w:t>
      </w:r>
      <w:r w:rsidR="00AE4CBF"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i art. </w:t>
      </w:r>
      <w:r w:rsidR="00AE4CBF" w:rsidRPr="00076A91">
        <w:rPr>
          <w:rFonts w:ascii="Times" w:eastAsia="Times New Roman" w:hAnsi="Times" w:cs="Arial"/>
          <w:bCs/>
          <w:kern w:val="0"/>
          <w:sz w:val="24"/>
          <w:szCs w:val="20"/>
          <w:lang w:eastAsia="pl-PL"/>
          <w14:ligatures w14:val="none"/>
        </w:rPr>
        <w:t>12</w:t>
      </w:r>
      <w:r w:rsidR="00AE4CBF">
        <w:rPr>
          <w:rFonts w:ascii="Times" w:eastAsia="Times New Roman" w:hAnsi="Times" w:cs="Arial"/>
          <w:bCs/>
          <w:kern w:val="0"/>
          <w:sz w:val="24"/>
          <w:szCs w:val="20"/>
          <w:lang w:eastAsia="pl-PL"/>
          <w14:ligatures w14:val="none"/>
        </w:rPr>
        <w:t>9</w:t>
      </w:r>
      <w:r w:rsidRPr="00076A91">
        <w:rPr>
          <w:rFonts w:ascii="Times" w:eastAsia="Times New Roman" w:hAnsi="Times" w:cs="Arial"/>
          <w:bCs/>
          <w:kern w:val="0"/>
          <w:sz w:val="24"/>
          <w:szCs w:val="20"/>
          <w:lang w:eastAsia="pl-PL"/>
          <w14:ligatures w14:val="none"/>
        </w:rPr>
        <w:t>–</w:t>
      </w:r>
      <w:r w:rsidR="00AE4CBF" w:rsidRPr="00076A91">
        <w:rPr>
          <w:rFonts w:ascii="Times" w:eastAsia="Times New Roman" w:hAnsi="Times" w:cs="Arial"/>
          <w:bCs/>
          <w:kern w:val="0"/>
          <w:sz w:val="24"/>
          <w:szCs w:val="20"/>
          <w:lang w:eastAsia="pl-PL"/>
          <w14:ligatures w14:val="none"/>
        </w:rPr>
        <w:t>13</w:t>
      </w:r>
      <w:r w:rsidR="00AE4CBF">
        <w:rPr>
          <w:rFonts w:ascii="Times" w:eastAsia="Times New Roman" w:hAnsi="Times" w:cs="Arial"/>
          <w:bCs/>
          <w:kern w:val="0"/>
          <w:sz w:val="24"/>
          <w:szCs w:val="20"/>
          <w:lang w:eastAsia="pl-PL"/>
          <w14:ligatures w14:val="none"/>
        </w:rPr>
        <w:t>1</w:t>
      </w:r>
      <w:r w:rsidR="00AE4CBF"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ustawy z dnia </w:t>
      </w:r>
      <w:r w:rsidR="006B1A3A"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r. o rynku kryptoaktywów (Dz. U. poz. …);”.</w:t>
      </w:r>
    </w:p>
    <w:p w14:paraId="322A03A7" w14:textId="619E0390"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15</w:t>
      </w:r>
      <w:r w:rsidR="000A668B">
        <w:rPr>
          <w:rFonts w:ascii="Times" w:eastAsia="Times New Roman" w:hAnsi="Times" w:cs="Arial"/>
          <w:b/>
          <w:kern w:val="0"/>
          <w:sz w:val="24"/>
          <w:szCs w:val="20"/>
          <w:lang w:eastAsia="pl-PL"/>
          <w14:ligatures w14:val="none"/>
        </w:rPr>
        <w:t>2</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27 maja 2004 r. o funduszach inwestycyjnych i zarządzaniu alternatywnymi funduszami inwestycyjnymi (Dz. U. z 2024 r. poz. 1034, z późn. zm.</w:t>
      </w:r>
      <w:r w:rsidRPr="00076A91">
        <w:rPr>
          <w:rFonts w:ascii="Times" w:eastAsia="Times New Roman" w:hAnsi="Times" w:cs="Times New Roman"/>
          <w:kern w:val="0"/>
          <w:sz w:val="24"/>
          <w:szCs w:val="20"/>
          <w:vertAlign w:val="superscript"/>
          <w:lang w:eastAsia="pl-PL"/>
          <w14:ligatures w14:val="none"/>
        </w:rPr>
        <w:footnoteReference w:id="24"/>
      </w:r>
      <w:r w:rsidRPr="00076A91">
        <w:rPr>
          <w:rFonts w:ascii="Times" w:eastAsia="Times New Roman" w:hAnsi="Times" w:cs="Arial"/>
          <w:kern w:val="0"/>
          <w:sz w:val="24"/>
          <w:szCs w:val="20"/>
          <w:vertAlign w:val="superscript"/>
          <w:lang w:eastAsia="pl-PL"/>
          <w14:ligatures w14:val="none"/>
        </w:rPr>
        <w:t>)</w:t>
      </w:r>
      <w:r w:rsidRPr="00076A91">
        <w:rPr>
          <w:rFonts w:ascii="Times" w:eastAsia="Times New Roman" w:hAnsi="Times" w:cs="Arial"/>
          <w:kern w:val="0"/>
          <w:sz w:val="24"/>
          <w:szCs w:val="20"/>
          <w:lang w:eastAsia="pl-PL"/>
          <w14:ligatures w14:val="none"/>
        </w:rPr>
        <w:t>) wprowadza się następujące zmiany:</w:t>
      </w:r>
    </w:p>
    <w:p w14:paraId="10DAF4AA"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art. 2 :</w:t>
      </w:r>
    </w:p>
    <w:p w14:paraId="3AE8CCD0"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a)</w:t>
      </w:r>
      <w:r w:rsidRPr="00076A91">
        <w:rPr>
          <w:rFonts w:ascii="Times" w:eastAsia="Times New Roman" w:hAnsi="Times" w:cs="Arial"/>
          <w:bCs/>
          <w:kern w:val="0"/>
          <w:sz w:val="24"/>
          <w:szCs w:val="20"/>
          <w:lang w:eastAsia="pl-PL"/>
          <w14:ligatures w14:val="none"/>
        </w:rPr>
        <w:tab/>
        <w:t>po pkt 2m dodaje się pkt 2n w brzmieniu:</w:t>
      </w:r>
    </w:p>
    <w:p w14:paraId="1006241A"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„2n)</w:t>
      </w:r>
      <w:r w:rsidRPr="00076A91">
        <w:rPr>
          <w:rFonts w:ascii="Times" w:eastAsia="Times New Roman" w:hAnsi="Times" w:cs="Arial"/>
          <w:bCs/>
          <w:kern w:val="0"/>
          <w:sz w:val="24"/>
          <w:szCs w:val="20"/>
          <w:lang w:eastAsia="pl-PL"/>
          <w14:ligatures w14:val="none"/>
        </w:rPr>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25"/>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w:t>
      </w:r>
    </w:p>
    <w:p w14:paraId="56A3B96F"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po pkt 20a dodaje się pkt 20b i 20c w brzmieniu:</w:t>
      </w:r>
    </w:p>
    <w:p w14:paraId="620DB5CF"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„20b)</w:t>
      </w:r>
      <w:r w:rsidRPr="00076A91">
        <w:rPr>
          <w:rFonts w:ascii="Times" w:eastAsia="Times New Roman" w:hAnsi="Times" w:cs="Arial"/>
          <w:bCs/>
          <w:kern w:val="0"/>
          <w:sz w:val="24"/>
          <w:szCs w:val="20"/>
          <w:lang w:eastAsia="pl-PL"/>
          <w14:ligatures w14:val="none"/>
        </w:rPr>
        <w:tab/>
        <w:t>tokenie powiązanym z aktywami – rozumie się przez to token powiązany z aktywami w rozumieniu art. 3 ust. 1 pkt 6 rozporządzenia 2023/1114;</w:t>
      </w:r>
    </w:p>
    <w:p w14:paraId="4304A1E9"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20c)</w:t>
      </w:r>
      <w:r w:rsidRPr="00076A91">
        <w:rPr>
          <w:rFonts w:ascii="Times" w:eastAsia="Times New Roman" w:hAnsi="Times" w:cs="Arial"/>
          <w:bCs/>
          <w:kern w:val="0"/>
          <w:sz w:val="24"/>
          <w:szCs w:val="20"/>
          <w:lang w:eastAsia="pl-PL"/>
          <w14:ligatures w14:val="none"/>
        </w:rPr>
        <w:tab/>
        <w:t>tokenie będącym e-pieniądzem – rozumie się przez to token będący pieniądzem elektronicznym w rozumieniu art. 3 ust. 1 pkt 7 rozporządzenia 2023/1114;”;</w:t>
      </w:r>
    </w:p>
    <w:p w14:paraId="23C44E13"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art. 45 po ust. 2a dodaje się ust. 2b w brzmieniu:</w:t>
      </w:r>
    </w:p>
    <w:p w14:paraId="3CF3EDFE"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„2b. Towarzystwo może świadczyć usługi w zakresie kryptoaktywów, o których mowa w art. 60 ust. 5 rozporządzenia 2023/1114, na zasadach określonych w tym rozporządzeniu.”;</w:t>
      </w:r>
    </w:p>
    <w:p w14:paraId="74FE00DD"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w art. 145:</w:t>
      </w:r>
    </w:p>
    <w:p w14:paraId="4F740516"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w ust. 1 w pkt 7 na końcu dodaje się przecinek i dodaje się pkt 8 w brzmieniu:</w:t>
      </w:r>
    </w:p>
    <w:p w14:paraId="30F3FEED"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„8)</w:t>
      </w:r>
      <w:r w:rsidRPr="00076A91">
        <w:rPr>
          <w:rFonts w:ascii="Times" w:eastAsia="Times New Roman" w:hAnsi="Times" w:cs="Arial"/>
          <w:bCs/>
          <w:kern w:val="0"/>
          <w:sz w:val="24"/>
          <w:szCs w:val="20"/>
          <w:lang w:eastAsia="pl-PL"/>
          <w14:ligatures w14:val="none"/>
        </w:rPr>
        <w:tab/>
        <w:t>oferowane publicznie lub dopuszczone do obrotu tokeny powiązane z aktywami lub tokeny będące e-pieniądzem”,</w:t>
      </w:r>
    </w:p>
    <w:p w14:paraId="1B878D16"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ust. 3 otrzymuje brzmienie:</w:t>
      </w:r>
    </w:p>
    <w:p w14:paraId="3A3C474E" w14:textId="77777777" w:rsidR="00027D06" w:rsidRPr="00076A91" w:rsidRDefault="00027D06" w:rsidP="00027D06">
      <w:pPr>
        <w:suppressAutoHyphens/>
        <w:autoSpaceDE w:val="0"/>
        <w:autoSpaceDN w:val="0"/>
        <w:adjustRightInd w:val="0"/>
        <w:spacing w:after="0" w:line="360" w:lineRule="auto"/>
        <w:ind w:left="987"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 Papiery wartościowe, instrumenty rynku pieniężnego lub oferowane publicznie lub dopuszczone do obrotu tokeny powiązane z aktywami lub tokeny będące e-pieniądzem, wyemitowane przez jeden podmiot, wierzytelności wobec tego podmiotu i udziały w tym podmiocie nie mogą stanowić, z zastrzeżeniem ust. 4, łącznie więcej niż 20 % wartości aktywów funduszu, przy czym w przypadku zawarcia przez fundusz wierzytelności umowy, o której mowa w art. 183 ust. 5, ograniczenie to odnosi się do poszczególnych wierzytelności, o których mowa w art. 183 ust. 1.”,</w:t>
      </w:r>
    </w:p>
    <w:p w14:paraId="35884BA9"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c)</w:t>
      </w:r>
      <w:r w:rsidRPr="00076A91">
        <w:rPr>
          <w:rFonts w:ascii="Times" w:eastAsia="Times New Roman" w:hAnsi="Times" w:cs="Arial"/>
          <w:bCs/>
          <w:kern w:val="0"/>
          <w:sz w:val="24"/>
          <w:szCs w:val="20"/>
          <w:lang w:eastAsia="pl-PL"/>
          <w14:ligatures w14:val="none"/>
        </w:rPr>
        <w:tab/>
        <w:t>po ust. 3 dodaje się ust. 3a w brzmieniu:</w:t>
      </w:r>
    </w:p>
    <w:p w14:paraId="48CB6172" w14:textId="77777777" w:rsidR="00027D06" w:rsidRPr="00076A91" w:rsidRDefault="00027D06" w:rsidP="00027D06">
      <w:pPr>
        <w:suppressAutoHyphens/>
        <w:autoSpaceDE w:val="0"/>
        <w:autoSpaceDN w:val="0"/>
        <w:adjustRightInd w:val="0"/>
        <w:spacing w:after="0" w:line="360" w:lineRule="auto"/>
        <w:ind w:left="987"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„3a. </w:t>
      </w:r>
      <w:bookmarkStart w:id="110" w:name="_Hlk180749867"/>
      <w:r w:rsidRPr="00076A91">
        <w:rPr>
          <w:rFonts w:ascii="Times" w:eastAsia="Times New Roman" w:hAnsi="Times" w:cs="Arial"/>
          <w:bCs/>
          <w:kern w:val="0"/>
          <w:sz w:val="24"/>
          <w:szCs w:val="20"/>
          <w:lang w:eastAsia="pl-PL"/>
          <w14:ligatures w14:val="none"/>
        </w:rPr>
        <w:t xml:space="preserve">Oferowane publicznie lub dopuszczone do obrotu tokeny powiązane z aktywami lub tokeny będące e-pieniądzem </w:t>
      </w:r>
      <w:bookmarkEnd w:id="110"/>
      <w:r w:rsidRPr="00076A91">
        <w:rPr>
          <w:rFonts w:ascii="Times" w:eastAsia="Times New Roman" w:hAnsi="Times" w:cs="Arial"/>
          <w:bCs/>
          <w:kern w:val="0"/>
          <w:sz w:val="24"/>
          <w:szCs w:val="20"/>
          <w:lang w:eastAsia="pl-PL"/>
          <w14:ligatures w14:val="none"/>
        </w:rPr>
        <w:t xml:space="preserve">nie mogą stanowić więcej niż 20 % </w:t>
      </w:r>
      <w:r w:rsidRPr="00076A91">
        <w:rPr>
          <w:rFonts w:ascii="Times" w:eastAsia="Times New Roman" w:hAnsi="Times" w:cs="Arial"/>
          <w:bCs/>
          <w:kern w:val="0"/>
          <w:sz w:val="24"/>
          <w:szCs w:val="20"/>
          <w:lang w:eastAsia="pl-PL"/>
          <w14:ligatures w14:val="none"/>
        </w:rPr>
        <w:lastRenderedPageBreak/>
        <w:t>wartości aktywów funduszu inwestycyjnego zamkniętego, przy czym wyemitowane przez jeden podmiot oferowane publicznie lub dopuszczone do obrotu tokeny powiązane z aktywami lub tokeny będące e-pieniądzem nie mogą stanowić więcej niż 10 % wartości aktywów funduszu inwestycyjnego zamkniętego.”,</w:t>
      </w:r>
    </w:p>
    <w:p w14:paraId="3D661E18"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d)</w:t>
      </w:r>
      <w:r w:rsidRPr="00076A91">
        <w:rPr>
          <w:rFonts w:ascii="Times" w:eastAsia="Times New Roman" w:hAnsi="Times" w:cs="Arial"/>
          <w:bCs/>
          <w:kern w:val="0"/>
          <w:sz w:val="24"/>
          <w:szCs w:val="20"/>
          <w:lang w:eastAsia="pl-PL"/>
          <w14:ligatures w14:val="none"/>
        </w:rPr>
        <w:tab/>
        <w:t>w ust. 7 dodaje się zdanie drugie w brzmieniu:</w:t>
      </w:r>
    </w:p>
    <w:p w14:paraId="119D43BB" w14:textId="77777777" w:rsidR="00027D06" w:rsidRPr="00076A91" w:rsidRDefault="00027D06" w:rsidP="00027D06">
      <w:pPr>
        <w:suppressAutoHyphens/>
        <w:autoSpaceDE w:val="0"/>
        <w:autoSpaceDN w:val="0"/>
        <w:adjustRightInd w:val="0"/>
        <w:spacing w:after="0" w:line="360" w:lineRule="auto"/>
        <w:ind w:left="987"/>
        <w:jc w:val="both"/>
        <w:rPr>
          <w:rFonts w:ascii="Times New Roman" w:eastAsia="Times New Roman" w:hAnsi="Times New Roman" w:cs="Arial"/>
          <w:bCs/>
          <w:kern w:val="0"/>
          <w:sz w:val="24"/>
          <w:szCs w:val="20"/>
          <w:lang w:eastAsia="pl-PL"/>
          <w14:ligatures w14:val="none"/>
        </w:rPr>
      </w:pPr>
      <w:r w:rsidRPr="00076A91">
        <w:rPr>
          <w:rFonts w:ascii="Times New Roman" w:eastAsia="Times New Roman" w:hAnsi="Times New Roman" w:cs="Arial"/>
          <w:bCs/>
          <w:kern w:val="0"/>
          <w:sz w:val="24"/>
          <w:szCs w:val="20"/>
          <w:lang w:eastAsia="pl-PL"/>
          <w14:ligatures w14:val="none"/>
        </w:rPr>
        <w:t>„W limicie tym uwzględnia się wartość tokenów powiązanych z aktywami, które są powiązane z walutą obcą lub euro.”,</w:t>
      </w:r>
    </w:p>
    <w:p w14:paraId="593C1B93"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e)</w:t>
      </w:r>
      <w:r w:rsidRPr="00076A91">
        <w:rPr>
          <w:rFonts w:ascii="Times" w:eastAsia="Times New Roman" w:hAnsi="Times" w:cs="Arial"/>
          <w:bCs/>
          <w:kern w:val="0"/>
          <w:sz w:val="24"/>
          <w:szCs w:val="20"/>
          <w:lang w:eastAsia="pl-PL"/>
          <w14:ligatures w14:val="none"/>
        </w:rPr>
        <w:tab/>
        <w:t>dodaje się ust. 10 w brzmieniu:</w:t>
      </w:r>
    </w:p>
    <w:p w14:paraId="71FAAA8B" w14:textId="77777777" w:rsidR="00027D06" w:rsidRPr="00076A91" w:rsidRDefault="00027D06" w:rsidP="00027D06">
      <w:pPr>
        <w:suppressAutoHyphens/>
        <w:autoSpaceDE w:val="0"/>
        <w:autoSpaceDN w:val="0"/>
        <w:adjustRightInd w:val="0"/>
        <w:spacing w:after="0" w:line="360" w:lineRule="auto"/>
        <w:ind w:left="987"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„10. Jeżeli fundusz inwestycyjny zamknięty zamierza dokonywać lokat, o których mowa w ust. 1 pkt 8, statut funduszu powinien określać warunki, jakie powinny spełniać podmioty emitujące oferowane publicznie lub dopuszczone do obrotu tokeny powiązane z aktywami lub tokeny będące e-pieniądzem będące przedmiotem lokat funduszu, rodzaje ryzyk związanych z tymi lokatami oraz zasady pomiaru tych ryzyk, a także kryteria doboru tych lokat oraz warunki ich zastosowania.”;</w:t>
      </w:r>
    </w:p>
    <w:p w14:paraId="386D9606"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w art. 154 ust. 1 otrzymuje brzmienie:</w:t>
      </w:r>
    </w:p>
    <w:p w14:paraId="5F214403"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„1. Przy stosowaniu limitów inwestycyjnych, o których mowa w art. 145 ust. 3–4 lub 7, fundusz inwestycyjny zamknięty jest obowiązany uwzględniać wartość papierów wartościowych, instrumentów rynku pieniężnego, oferowanych publicznie lub dopuszczonych do obrotu tokenów powiązanych z aktywami lub tokenów będących e-pieniądzem lub walut stanowiących bazę instrumentów pochodnych.”.</w:t>
      </w:r>
    </w:p>
    <w:p w14:paraId="1A3B0D25" w14:textId="13D64163"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15</w:t>
      </w:r>
      <w:r w:rsidR="000A668B">
        <w:rPr>
          <w:rFonts w:ascii="Times" w:eastAsia="Times New Roman" w:hAnsi="Times" w:cs="Arial"/>
          <w:b/>
          <w:kern w:val="0"/>
          <w:sz w:val="24"/>
          <w:szCs w:val="20"/>
          <w:lang w:eastAsia="pl-PL"/>
          <w14:ligatures w14:val="none"/>
        </w:rPr>
        <w:t>3</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29 lipca 2005 r. o nadzorze nad rynkiem kapitałowym (Dz. U. z 2024 r. poz. 1161 i 1222 oraz z 2025 r. poz. 146 i 1069) w art. 17 po ust. 8 dodaje się ust. 8a w brzmieniu:</w:t>
      </w:r>
    </w:p>
    <w:p w14:paraId="6674070D" w14:textId="5A1E29A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 xml:space="preserve">„8a. W przypadku gdy dostawca usług w zakresie kryptoaktywów jest obowiązany do wnoszenia opłat na pokrycie kosztów nadzoru, o których mowa w ust. 1, ustalanych na podstawie średniej wartości przychodów, wartości tych przychodów nie wlicza się do przychodów stanowiących podstawę ustalenia wysokości rocznej wpłaty, o której mowa w art. </w:t>
      </w:r>
      <w:r w:rsidR="00223F4E" w:rsidRPr="00076A91">
        <w:rPr>
          <w:rFonts w:ascii="Times" w:eastAsia="Times New Roman" w:hAnsi="Times" w:cs="Arial"/>
          <w:kern w:val="0"/>
          <w:sz w:val="24"/>
          <w:szCs w:val="20"/>
          <w:lang w:eastAsia="pl-PL"/>
          <w14:ligatures w14:val="none"/>
        </w:rPr>
        <w:t>7</w:t>
      </w:r>
      <w:r w:rsidR="00223F4E">
        <w:rPr>
          <w:rFonts w:ascii="Times" w:eastAsia="Times New Roman" w:hAnsi="Times" w:cs="Arial"/>
          <w:kern w:val="0"/>
          <w:sz w:val="24"/>
          <w:szCs w:val="20"/>
          <w:lang w:eastAsia="pl-PL"/>
          <w14:ligatures w14:val="none"/>
        </w:rPr>
        <w:t>8</w:t>
      </w:r>
      <w:r w:rsidR="00223F4E"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 xml:space="preserve">ustawy z dnia </w:t>
      </w:r>
      <w:r w:rsidR="006B1A3A" w:rsidRPr="00076A91">
        <w:rPr>
          <w:rFonts w:ascii="Times" w:eastAsia="Times New Roman" w:hAnsi="Times" w:cs="Arial"/>
          <w:kern w:val="0"/>
          <w:sz w:val="24"/>
          <w:szCs w:val="20"/>
          <w:lang w:eastAsia="pl-PL"/>
          <w14:ligatures w14:val="none"/>
        </w:rPr>
        <w:t>…</w:t>
      </w:r>
      <w:r w:rsidRPr="00076A91">
        <w:rPr>
          <w:rFonts w:ascii="Times" w:eastAsia="Times New Roman" w:hAnsi="Times" w:cs="Arial"/>
          <w:kern w:val="0"/>
          <w:sz w:val="24"/>
          <w:szCs w:val="20"/>
          <w:lang w:eastAsia="pl-PL"/>
          <w14:ligatures w14:val="none"/>
        </w:rPr>
        <w:t> r. o rynku kryptoaktywów (Dz. U. poz. …).”.</w:t>
      </w:r>
    </w:p>
    <w:p w14:paraId="0C3F69EC" w14:textId="1770C5D8"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bookmarkStart w:id="111" w:name="_Hlk165025923"/>
      <w:r w:rsidRPr="00076A91">
        <w:rPr>
          <w:rFonts w:ascii="Times" w:eastAsia="Times New Roman" w:hAnsi="Times" w:cs="Arial"/>
          <w:b/>
          <w:kern w:val="0"/>
          <w:sz w:val="24"/>
          <w:szCs w:val="20"/>
          <w:lang w:eastAsia="pl-PL"/>
          <w14:ligatures w14:val="none"/>
        </w:rPr>
        <w:lastRenderedPageBreak/>
        <w:t>Art. </w:t>
      </w:r>
      <w:r w:rsidR="000A668B" w:rsidRPr="00076A91">
        <w:rPr>
          <w:rFonts w:ascii="Times" w:eastAsia="Times New Roman" w:hAnsi="Times" w:cs="Arial"/>
          <w:b/>
          <w:kern w:val="0"/>
          <w:sz w:val="24"/>
          <w:szCs w:val="20"/>
          <w:lang w:eastAsia="pl-PL"/>
          <w14:ligatures w14:val="none"/>
        </w:rPr>
        <w:t>15</w:t>
      </w:r>
      <w:r w:rsidR="000A668B">
        <w:rPr>
          <w:rFonts w:ascii="Times" w:eastAsia="Times New Roman" w:hAnsi="Times" w:cs="Arial"/>
          <w:b/>
          <w:kern w:val="0"/>
          <w:sz w:val="24"/>
          <w:szCs w:val="20"/>
          <w:lang w:eastAsia="pl-PL"/>
          <w14:ligatures w14:val="none"/>
        </w:rPr>
        <w:t>4</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29 lipca 2005 r. o obrocie instrumentami finansowymi (Dz. U. z 2024 r. poz. 722, z późn. zm.</w:t>
      </w:r>
      <w:r w:rsidRPr="00076A91">
        <w:rPr>
          <w:rFonts w:ascii="Times" w:eastAsia="Times New Roman" w:hAnsi="Times" w:cs="Times New Roman"/>
          <w:kern w:val="0"/>
          <w:sz w:val="24"/>
          <w:szCs w:val="20"/>
          <w:vertAlign w:val="superscript"/>
          <w:lang w:eastAsia="pl-PL"/>
          <w14:ligatures w14:val="none"/>
        </w:rPr>
        <w:footnoteReference w:id="26"/>
      </w:r>
      <w:r w:rsidRPr="00076A91">
        <w:rPr>
          <w:rFonts w:ascii="Times" w:eastAsia="Times New Roman" w:hAnsi="Times" w:cs="Arial"/>
          <w:kern w:val="0"/>
          <w:sz w:val="24"/>
          <w:szCs w:val="20"/>
          <w:vertAlign w:val="superscript"/>
          <w:lang w:eastAsia="pl-PL"/>
          <w14:ligatures w14:val="none"/>
        </w:rPr>
        <w:t>)</w:t>
      </w:r>
      <w:r w:rsidRPr="00076A91">
        <w:rPr>
          <w:rFonts w:ascii="Times" w:eastAsia="Times New Roman" w:hAnsi="Times" w:cs="Arial"/>
          <w:kern w:val="0"/>
          <w:sz w:val="24"/>
          <w:szCs w:val="20"/>
          <w:lang w:eastAsia="pl-PL"/>
          <w14:ligatures w14:val="none"/>
        </w:rPr>
        <w:t>) wprowadza się następujące zmiany:</w:t>
      </w:r>
    </w:p>
    <w:bookmarkEnd w:id="111"/>
    <w:p w14:paraId="77CF414C"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art. 3 po pkt 4zg dodaje się pkt 4zh w brzmieniu:</w:t>
      </w:r>
    </w:p>
    <w:p w14:paraId="6508F426"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„4zh)</w:t>
      </w:r>
      <w:r w:rsidRPr="00076A91">
        <w:rPr>
          <w:rFonts w:ascii="Times" w:eastAsia="Times New Roman" w:hAnsi="Times" w:cs="Arial"/>
          <w:bCs/>
          <w:kern w:val="0"/>
          <w:sz w:val="24"/>
          <w:szCs w:val="20"/>
          <w:lang w:eastAsia="pl-PL"/>
          <w14:ligatures w14:val="none"/>
        </w:rPr>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27"/>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w:t>
      </w:r>
    </w:p>
    <w:p w14:paraId="238B333E"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art. 21 po ust. 2c dodaje się ust. 2d w brzmieniu:</w:t>
      </w:r>
    </w:p>
    <w:p w14:paraId="2E399868"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„2d. Spółka prowadząca rynek regulowany może świadczyć usługi w zakresie kryptoaktywów, o których mowa w art. 60 ust. 6 rozporządzenia 2023/1114, na zasadach określonych w tym rozporządzeniu.”;</w:t>
      </w:r>
    </w:p>
    <w:p w14:paraId="7298A12C"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112" w:name="_Hlk165029300"/>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w art. 48 po ust. 5a dodaje się ust. 5aa w brzmieniu:</w:t>
      </w:r>
    </w:p>
    <w:p w14:paraId="646C1B8E"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„5aa. Krajowy Depozyt może świadczyć usługi w zakresie kryptoaktywów, o których mowa w art. 60 ust. 2 rozporządzenia 2023/1114, na zasadach określonych w tym rozporządzeniu.”;</w:t>
      </w:r>
    </w:p>
    <w:bookmarkEnd w:id="112"/>
    <w:p w14:paraId="2269F91E"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 w art. 69 w ust. 4 dodaje się pkt 9 w brzmieniu:</w:t>
      </w:r>
    </w:p>
    <w:p w14:paraId="5686C844" w14:textId="5C9E73DA"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b/>
      </w:r>
      <w:r w:rsidRPr="00076A91">
        <w:rPr>
          <w:rFonts w:ascii="Times" w:eastAsia="Times New Roman" w:hAnsi="Times" w:cs="Arial"/>
          <w:bCs/>
          <w:kern w:val="0"/>
          <w:sz w:val="24"/>
          <w:szCs w:val="20"/>
          <w:lang w:eastAsia="pl-PL"/>
          <w14:ligatures w14:val="none"/>
        </w:rPr>
        <w:tab/>
        <w:t xml:space="preserve"> „9) świadczeniu usług zakresie kryptoaktywów, o których mowa w art. 60 ust. 3 rozporządzenia 2023/1114, na zasadach określonych w tym rozporządzeniu.”,</w:t>
      </w:r>
    </w:p>
    <w:p w14:paraId="0BBDC6C7"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5) w art. 77 w ust. 2 po wyrazach „działalności kantorowej” dodaje się wyrazy „ani działalności gospodarczej w zakresie usług bezgotówkowej wymiany walut”;</w:t>
      </w:r>
    </w:p>
    <w:p w14:paraId="0A7F6D41"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113" w:name="_Hlk165026737"/>
      <w:r w:rsidRPr="00076A91">
        <w:rPr>
          <w:rFonts w:ascii="Times" w:eastAsia="Times New Roman" w:hAnsi="Times" w:cs="Arial"/>
          <w:bCs/>
          <w:kern w:val="0"/>
          <w:sz w:val="24"/>
          <w:szCs w:val="20"/>
          <w:lang w:eastAsia="pl-PL"/>
          <w14:ligatures w14:val="none"/>
        </w:rPr>
        <w:t>6)</w:t>
      </w:r>
      <w:r w:rsidRPr="00076A91">
        <w:rPr>
          <w:rFonts w:ascii="Times" w:eastAsia="Times New Roman" w:hAnsi="Times" w:cs="Arial"/>
          <w:bCs/>
          <w:kern w:val="0"/>
          <w:sz w:val="24"/>
          <w:szCs w:val="20"/>
          <w:lang w:eastAsia="pl-PL"/>
          <w14:ligatures w14:val="none"/>
        </w:rPr>
        <w:tab/>
        <w:t>w art. 111 w ust. 5 wyrazy „z zastrzeżeniem art. 112a i art. 113” zastępuje się wyrazami „z zastrzeżeniem art. 112a–113</w:t>
      </w:r>
      <w:bookmarkStart w:id="114" w:name="_Hlk165028248"/>
      <w:r w:rsidRPr="00076A91">
        <w:rPr>
          <w:rFonts w:ascii="Times" w:eastAsia="Times New Roman" w:hAnsi="Times" w:cs="Arial"/>
          <w:bCs/>
          <w:kern w:val="0"/>
          <w:sz w:val="24"/>
          <w:szCs w:val="20"/>
          <w:lang w:eastAsia="pl-PL"/>
          <w14:ligatures w14:val="none"/>
        </w:rPr>
        <w:t>”;</w:t>
      </w:r>
      <w:bookmarkEnd w:id="114"/>
    </w:p>
    <w:p w14:paraId="558F097D"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7)</w:t>
      </w:r>
      <w:r w:rsidRPr="00076A91">
        <w:rPr>
          <w:rFonts w:ascii="Times" w:eastAsia="Times New Roman" w:hAnsi="Times" w:cs="Arial"/>
          <w:bCs/>
          <w:kern w:val="0"/>
          <w:sz w:val="24"/>
          <w:szCs w:val="20"/>
          <w:lang w:eastAsia="pl-PL"/>
          <w14:ligatures w14:val="none"/>
        </w:rPr>
        <w:tab/>
        <w:t>w art. 111a w ust. 4 wyrazy „art. 112a, art. 113” zastępuje się wyrazami „art. 112a–113”;</w:t>
      </w:r>
    </w:p>
    <w:p w14:paraId="6B6BE70F"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115" w:name="_Hlk165028061"/>
      <w:bookmarkEnd w:id="113"/>
      <w:r w:rsidRPr="00076A91">
        <w:rPr>
          <w:rFonts w:ascii="Times" w:eastAsia="Times New Roman" w:hAnsi="Times" w:cs="Arial"/>
          <w:bCs/>
          <w:kern w:val="0"/>
          <w:sz w:val="24"/>
          <w:szCs w:val="20"/>
          <w:lang w:eastAsia="pl-PL"/>
          <w14:ligatures w14:val="none"/>
        </w:rPr>
        <w:t>8)</w:t>
      </w:r>
      <w:r w:rsidRPr="00076A91">
        <w:rPr>
          <w:rFonts w:ascii="Times" w:eastAsia="Times New Roman" w:hAnsi="Times" w:cs="Arial"/>
          <w:bCs/>
          <w:kern w:val="0"/>
          <w:sz w:val="24"/>
          <w:szCs w:val="20"/>
          <w:lang w:eastAsia="pl-PL"/>
          <w14:ligatures w14:val="none"/>
        </w:rPr>
        <w:tab/>
        <w:t>po art. 112a dodaje się art. 112b w brzmieniu:</w:t>
      </w:r>
    </w:p>
    <w:p w14:paraId="258C24CF"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„Art. 112b. Bank może świadczyć usługi w zakresie kryptoaktywów w rozumieniu art. 3 ust. 1 pkt 16 rozporządzenia 2023/1114 w ramach jednostki wydzielonej organizacyjnie zgodnie z art. 111 ust. 5.”.</w:t>
      </w:r>
      <w:bookmarkEnd w:id="115"/>
    </w:p>
    <w:p w14:paraId="0C6CE481" w14:textId="0636A80A"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lastRenderedPageBreak/>
        <w:t>Art. </w:t>
      </w:r>
      <w:r w:rsidR="000A668B" w:rsidRPr="00076A91">
        <w:rPr>
          <w:rFonts w:ascii="Times" w:eastAsia="Times New Roman" w:hAnsi="Times" w:cs="Arial"/>
          <w:b/>
          <w:kern w:val="0"/>
          <w:sz w:val="24"/>
          <w:szCs w:val="20"/>
          <w:lang w:eastAsia="pl-PL"/>
          <w14:ligatures w14:val="none"/>
        </w:rPr>
        <w:t>15</w:t>
      </w:r>
      <w:r w:rsidR="000A668B">
        <w:rPr>
          <w:rFonts w:ascii="Times" w:eastAsia="Times New Roman" w:hAnsi="Times" w:cs="Arial"/>
          <w:b/>
          <w:kern w:val="0"/>
          <w:sz w:val="24"/>
          <w:szCs w:val="20"/>
          <w:lang w:eastAsia="pl-PL"/>
          <w14:ligatures w14:val="none"/>
        </w:rPr>
        <w:t>5</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9 czerwca 2006 r. o Centralnym Biurze Antykorupcyjnym (Dz. U. z 2025 r. poz. 712 i 718) w art. 23:</w:t>
      </w:r>
    </w:p>
    <w:p w14:paraId="4886F165"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ust. 1 wyrazy „lub świadczenia usług finansowania społecznościowego dla przedsięwzięć gospodarczych” zastępuje się wyrazami „ , świadczenia usług finansowania społecznościowego dla przedsięwzięć gospodarczych lub świadczenia usług w zakresie kryptoaktywów”;</w:t>
      </w:r>
    </w:p>
    <w:p w14:paraId="7BE782EF"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ust. 2 w pkt 6 kropkę zastępuje się średnikiem i dodaje się pkt 7 w brzmieniu:</w:t>
      </w:r>
    </w:p>
    <w:p w14:paraId="7B970375" w14:textId="4B932363"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„7)</w:t>
      </w:r>
      <w:r w:rsidRPr="00076A91">
        <w:rPr>
          <w:rFonts w:ascii="Times" w:eastAsia="Times New Roman" w:hAnsi="Times" w:cs="Arial"/>
          <w:bCs/>
          <w:kern w:val="0"/>
          <w:sz w:val="24"/>
          <w:szCs w:val="20"/>
          <w:lang w:eastAsia="pl-PL"/>
          <w14:ligatures w14:val="none"/>
        </w:rPr>
        <w:tab/>
        <w:t xml:space="preserve">osób, o których mowa w art. </w:t>
      </w:r>
      <w:r w:rsidR="00223F4E" w:rsidRPr="00076A91">
        <w:rPr>
          <w:rFonts w:ascii="Times" w:eastAsia="Times New Roman" w:hAnsi="Times" w:cs="Arial"/>
          <w:bCs/>
          <w:kern w:val="0"/>
          <w:sz w:val="24"/>
          <w:szCs w:val="20"/>
          <w:lang w:eastAsia="pl-PL"/>
          <w14:ligatures w14:val="none"/>
        </w:rPr>
        <w:t>1</w:t>
      </w:r>
      <w:r w:rsidR="00223F4E">
        <w:rPr>
          <w:rFonts w:ascii="Times" w:eastAsia="Times New Roman" w:hAnsi="Times" w:cs="Arial"/>
          <w:bCs/>
          <w:kern w:val="0"/>
          <w:sz w:val="24"/>
          <w:szCs w:val="20"/>
          <w:lang w:eastAsia="pl-PL"/>
          <w14:ligatures w14:val="none"/>
        </w:rPr>
        <w:t>8</w:t>
      </w:r>
      <w:r w:rsidR="00223F4E"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ustawy z dnia </w:t>
      </w:r>
      <w:r w:rsidR="00B83CDD"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o rynku kryptoaktywów (Dz. U. poz. …).”.</w:t>
      </w:r>
    </w:p>
    <w:p w14:paraId="6B6C8A6D" w14:textId="726D1EEB"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15</w:t>
      </w:r>
      <w:r w:rsidR="000A668B">
        <w:rPr>
          <w:rFonts w:ascii="Times" w:eastAsia="Times New Roman" w:hAnsi="Times" w:cs="Arial"/>
          <w:b/>
          <w:kern w:val="0"/>
          <w:sz w:val="24"/>
          <w:szCs w:val="20"/>
          <w:lang w:eastAsia="pl-PL"/>
          <w14:ligatures w14:val="none"/>
        </w:rPr>
        <w:t>6</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21 lipca 2006 r. o nadzorze nad rynkiem finansowym (Dz. U. z 2025 r. poz. 640 i 1069) wprowadza się następujące zmiany:</w:t>
      </w:r>
    </w:p>
    <w:p w14:paraId="3E07593B"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art. 1 w ust. 2 w pkt 17 kropkę zastępuje się średnikiem i dodaje się pkt 18 w brzmieniu:</w:t>
      </w:r>
    </w:p>
    <w:p w14:paraId="3AF6F9FC" w14:textId="4EB5814D"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„18)</w:t>
      </w:r>
      <w:r w:rsidRPr="00076A91">
        <w:rPr>
          <w:rFonts w:ascii="Times" w:eastAsia="Times New Roman" w:hAnsi="Times" w:cs="Arial"/>
          <w:bCs/>
          <w:kern w:val="0"/>
          <w:sz w:val="24"/>
          <w:szCs w:val="20"/>
          <w:lang w:eastAsia="pl-PL"/>
          <w14:ligatures w14:val="none"/>
        </w:rPr>
        <w:tab/>
        <w:t>nadzór w zakresie przewidzianym przepisami rozporządzenia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28"/>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 xml:space="preserve">), zwanego dalej „rozporządzeniem 2023/1114”, oraz ustawy z dnia </w:t>
      </w:r>
      <w:r w:rsidR="00B83CDD"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o rynku kryptoaktywów (Dz. U. poz. …), zwanej dalej „ustawą o rynku kryptoaktywów”.”;</w:t>
      </w:r>
    </w:p>
    <w:p w14:paraId="2FE11250"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art. 6 w ust. 2 w pkt 1 wyrazy „oraz ustawie z dnia 20 grudnia 2024 r. o podmiotach obsługujących kredyty i nabywcach kredytów” zastępuje się wyrazami „ , ustawie z dnia 20 grudnia 2024 r. o podmiotach obsługujących kredyty i nabywcach kredytów oraz ustawie o rynku kryptoaktywów”;</w:t>
      </w:r>
    </w:p>
    <w:p w14:paraId="688851C4" w14:textId="5D95B6FA"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w art. 6b w ust. 1 wyrazy „lub art. 50 ustawy z dnia 20 grudnia 2024 r. o podmiotach obsługujących kredyty i nabywcach kredytów” zastępuje się wyrazami „ , art. 50 ustawy z dnia 20 grudnia 2024 r. o podmiotach obsługujących kredyty i nabywcach kredytów lub art. </w:t>
      </w:r>
      <w:r w:rsidR="00223F4E" w:rsidRPr="00076A91">
        <w:rPr>
          <w:rFonts w:ascii="Times" w:eastAsia="Times New Roman" w:hAnsi="Times" w:cs="Arial"/>
          <w:bCs/>
          <w:kern w:val="0"/>
          <w:sz w:val="24"/>
          <w:szCs w:val="20"/>
          <w:lang w:eastAsia="pl-PL"/>
          <w14:ligatures w14:val="none"/>
        </w:rPr>
        <w:t>12</w:t>
      </w:r>
      <w:r w:rsidR="00223F4E">
        <w:rPr>
          <w:rFonts w:ascii="Times" w:eastAsia="Times New Roman" w:hAnsi="Times" w:cs="Arial"/>
          <w:bCs/>
          <w:kern w:val="0"/>
          <w:sz w:val="24"/>
          <w:szCs w:val="20"/>
          <w:lang w:eastAsia="pl-PL"/>
          <w14:ligatures w14:val="none"/>
        </w:rPr>
        <w:t>5</w:t>
      </w:r>
      <w:r w:rsidRPr="00076A91">
        <w:rPr>
          <w:rFonts w:ascii="Times" w:eastAsia="Times New Roman" w:hAnsi="Times" w:cs="Arial"/>
          <w:bCs/>
          <w:kern w:val="0"/>
          <w:sz w:val="24"/>
          <w:szCs w:val="20"/>
          <w:lang w:eastAsia="pl-PL"/>
          <w14:ligatures w14:val="none"/>
        </w:rPr>
        <w:sym w:font="Symbol" w:char="F02D"/>
      </w:r>
      <w:r w:rsidR="00223F4E" w:rsidRPr="00076A91">
        <w:rPr>
          <w:rFonts w:ascii="Times" w:eastAsia="Times New Roman" w:hAnsi="Times" w:cs="Arial"/>
          <w:bCs/>
          <w:kern w:val="0"/>
          <w:sz w:val="24"/>
          <w:szCs w:val="20"/>
          <w:lang w:eastAsia="pl-PL"/>
          <w14:ligatures w14:val="none"/>
        </w:rPr>
        <w:t>13</w:t>
      </w:r>
      <w:r w:rsidR="00223F4E">
        <w:rPr>
          <w:rFonts w:ascii="Times" w:eastAsia="Times New Roman" w:hAnsi="Times" w:cs="Arial"/>
          <w:bCs/>
          <w:kern w:val="0"/>
          <w:sz w:val="24"/>
          <w:szCs w:val="20"/>
          <w:lang w:eastAsia="pl-PL"/>
          <w14:ligatures w14:val="none"/>
        </w:rPr>
        <w:t>4</w:t>
      </w:r>
      <w:r w:rsidR="00223F4E"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ustawy o rynku kryptoaktywów”;</w:t>
      </w:r>
    </w:p>
    <w:p w14:paraId="50B5A9B7"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w art. 12 w ust. 2 w pkt 7 w lit. c kropkę zastępuje się średnikiem i dodaje się pkt 8 w brzmieniu:</w:t>
      </w:r>
    </w:p>
    <w:p w14:paraId="643C9F54"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„8)</w:t>
      </w:r>
      <w:r w:rsidRPr="00076A91">
        <w:rPr>
          <w:rFonts w:ascii="Times" w:eastAsia="Times New Roman" w:hAnsi="Times" w:cs="Arial"/>
          <w:bCs/>
          <w:kern w:val="0"/>
          <w:sz w:val="24"/>
          <w:szCs w:val="20"/>
          <w:lang w:eastAsia="pl-PL"/>
          <w14:ligatures w14:val="none"/>
        </w:rPr>
        <w:tab/>
        <w:t>nadzoru nad rynkiem kryptoaktywów w sprawach:</w:t>
      </w:r>
    </w:p>
    <w:p w14:paraId="04B94F28"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a)</w:t>
      </w:r>
      <w:r w:rsidRPr="00076A91">
        <w:rPr>
          <w:rFonts w:ascii="Times" w:eastAsia="Times New Roman" w:hAnsi="Times" w:cs="Arial"/>
          <w:bCs/>
          <w:kern w:val="0"/>
          <w:sz w:val="24"/>
          <w:szCs w:val="20"/>
          <w:lang w:eastAsia="pl-PL"/>
          <w14:ligatures w14:val="none"/>
        </w:rPr>
        <w:tab/>
        <w:t>udzielania zezwolenia, o którym mowa w art. 16 rozporządzenia 2023/1114, oraz cofania tego zezwolenia na podstawie art. 24 rozporządzenia 2023/1114,</w:t>
      </w:r>
    </w:p>
    <w:p w14:paraId="541E6BC0"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udzielania zezwolenia, o którym mowa w art. 59 rozporządzenia 2023/1114, oraz cofania tego zezwolenia na podstawie art. 64 rozporządzenia 2023/1114,</w:t>
      </w:r>
    </w:p>
    <w:p w14:paraId="2E1883C3"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c)</w:t>
      </w:r>
      <w:r w:rsidRPr="00076A91">
        <w:rPr>
          <w:rFonts w:ascii="Times" w:eastAsia="Times New Roman" w:hAnsi="Times" w:cs="Arial"/>
          <w:bCs/>
          <w:kern w:val="0"/>
          <w:sz w:val="24"/>
          <w:szCs w:val="20"/>
          <w:lang w:eastAsia="pl-PL"/>
          <w14:ligatures w14:val="none"/>
        </w:rPr>
        <w:tab/>
        <w:t>nakładania kar pieniężnych,</w:t>
      </w:r>
    </w:p>
    <w:p w14:paraId="7D838F9A" w14:textId="55AEE158"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d)</w:t>
      </w:r>
      <w:r w:rsidRPr="00076A91">
        <w:rPr>
          <w:rFonts w:ascii="Times" w:eastAsia="Times New Roman" w:hAnsi="Times" w:cs="Arial"/>
          <w:bCs/>
          <w:kern w:val="0"/>
          <w:sz w:val="24"/>
          <w:szCs w:val="20"/>
          <w:lang w:eastAsia="pl-PL"/>
          <w14:ligatures w14:val="none"/>
        </w:rPr>
        <w:tab/>
        <w:t xml:space="preserve">wpisu do rejestru, o którym mowa w art. </w:t>
      </w:r>
      <w:r w:rsidR="00C20C58" w:rsidRPr="00076A91">
        <w:rPr>
          <w:rFonts w:ascii="Times" w:eastAsia="Times New Roman" w:hAnsi="Times" w:cs="Arial"/>
          <w:bCs/>
          <w:kern w:val="0"/>
          <w:sz w:val="24"/>
          <w:szCs w:val="20"/>
          <w:lang w:eastAsia="pl-PL"/>
          <w14:ligatures w14:val="none"/>
        </w:rPr>
        <w:t>6</w:t>
      </w:r>
      <w:r w:rsidR="00C20C58">
        <w:rPr>
          <w:rFonts w:ascii="Times" w:eastAsia="Times New Roman" w:hAnsi="Times" w:cs="Arial"/>
          <w:bCs/>
          <w:kern w:val="0"/>
          <w:sz w:val="24"/>
          <w:szCs w:val="20"/>
          <w:lang w:eastAsia="pl-PL"/>
          <w14:ligatures w14:val="none"/>
        </w:rPr>
        <w:t>6</w:t>
      </w:r>
      <w:r w:rsidR="00C20C58"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ustawy o rynku kryptoaktywów, i wykreślania z tego rejestru,</w:t>
      </w:r>
    </w:p>
    <w:p w14:paraId="3B28F6E4" w14:textId="113BDA4B"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e)</w:t>
      </w:r>
      <w:r w:rsidRPr="00076A91">
        <w:rPr>
          <w:rFonts w:ascii="Times" w:eastAsia="Times New Roman" w:hAnsi="Times" w:cs="Arial"/>
          <w:bCs/>
          <w:kern w:val="0"/>
          <w:sz w:val="24"/>
          <w:szCs w:val="20"/>
          <w:lang w:eastAsia="pl-PL"/>
          <w14:ligatures w14:val="none"/>
        </w:rPr>
        <w:tab/>
        <w:t>zakazu świadczenia usług w zakresie kryptoaktywów, o którym mowa w art. </w:t>
      </w:r>
      <w:r w:rsidR="00C20C58" w:rsidRPr="00076A91">
        <w:rPr>
          <w:rFonts w:ascii="Times" w:eastAsia="Times New Roman" w:hAnsi="Times" w:cs="Arial"/>
          <w:bCs/>
          <w:kern w:val="0"/>
          <w:sz w:val="24"/>
          <w:szCs w:val="20"/>
          <w:lang w:eastAsia="pl-PL"/>
          <w14:ligatures w14:val="none"/>
        </w:rPr>
        <w:t>10</w:t>
      </w:r>
      <w:r w:rsidR="00C20C58">
        <w:rPr>
          <w:rFonts w:ascii="Times" w:eastAsia="Times New Roman" w:hAnsi="Times" w:cs="Arial"/>
          <w:bCs/>
          <w:kern w:val="0"/>
          <w:sz w:val="24"/>
          <w:szCs w:val="20"/>
          <w:lang w:eastAsia="pl-PL"/>
          <w14:ligatures w14:val="none"/>
        </w:rPr>
        <w:t>5</w:t>
      </w:r>
      <w:r w:rsidR="00C20C58" w:rsidRPr="00076A91">
        <w:rPr>
          <w:rFonts w:ascii="Times" w:eastAsia="Times New Roman" w:hAnsi="Times" w:cs="Arial"/>
          <w:bCs/>
          <w:kern w:val="0"/>
          <w:sz w:val="24"/>
          <w:szCs w:val="20"/>
          <w:lang w:eastAsia="pl-PL"/>
          <w14:ligatures w14:val="none"/>
        </w:rPr>
        <w:t> </w:t>
      </w:r>
      <w:r w:rsidRPr="00076A91">
        <w:rPr>
          <w:rFonts w:ascii="Times" w:eastAsia="Times New Roman" w:hAnsi="Times" w:cs="Arial"/>
          <w:bCs/>
          <w:kern w:val="0"/>
          <w:sz w:val="24"/>
          <w:szCs w:val="20"/>
          <w:lang w:eastAsia="pl-PL"/>
          <w14:ligatures w14:val="none"/>
        </w:rPr>
        <w:t xml:space="preserve">ust. 2 i art. </w:t>
      </w:r>
      <w:r w:rsidR="00A54D39" w:rsidRPr="00076A91">
        <w:rPr>
          <w:rFonts w:ascii="Times" w:eastAsia="Times New Roman" w:hAnsi="Times" w:cs="Arial"/>
          <w:bCs/>
          <w:kern w:val="0"/>
          <w:sz w:val="24"/>
          <w:szCs w:val="20"/>
          <w:lang w:eastAsia="pl-PL"/>
          <w14:ligatures w14:val="none"/>
        </w:rPr>
        <w:t>10</w:t>
      </w:r>
      <w:r w:rsidR="00A54D39">
        <w:rPr>
          <w:rFonts w:ascii="Times" w:eastAsia="Times New Roman" w:hAnsi="Times" w:cs="Arial"/>
          <w:bCs/>
          <w:kern w:val="0"/>
          <w:sz w:val="24"/>
          <w:szCs w:val="20"/>
          <w:lang w:eastAsia="pl-PL"/>
          <w14:ligatures w14:val="none"/>
        </w:rPr>
        <w:t>8</w:t>
      </w:r>
      <w:r w:rsidR="00A54D39"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3 pkt 1 ustawy o rynku kryptoaktywów – w przypadku podmiotów, o których mowa w art. 59 ust. 1 lit. b rozporządzenia 2023/1114,</w:t>
      </w:r>
    </w:p>
    <w:p w14:paraId="2D944AB1"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f)</w:t>
      </w:r>
      <w:r w:rsidRPr="00076A91">
        <w:rPr>
          <w:rFonts w:ascii="Times" w:eastAsia="Times New Roman" w:hAnsi="Times" w:cs="Arial"/>
          <w:bCs/>
          <w:kern w:val="0"/>
          <w:sz w:val="24"/>
          <w:szCs w:val="20"/>
          <w:lang w:eastAsia="pl-PL"/>
          <w14:ligatures w14:val="none"/>
        </w:rPr>
        <w:tab/>
        <w:t>występowania z wnioskiem o odwołanie osoby wchodzącej w skład organu zarządzającego odpowiedzialnego za naruszenie,</w:t>
      </w:r>
    </w:p>
    <w:p w14:paraId="2D02352E" w14:textId="451B262D"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g)</w:t>
      </w:r>
      <w:r w:rsidRPr="00076A91">
        <w:rPr>
          <w:rFonts w:ascii="Times" w:eastAsia="Times New Roman" w:hAnsi="Times" w:cs="Arial"/>
          <w:bCs/>
          <w:kern w:val="0"/>
          <w:sz w:val="24"/>
          <w:szCs w:val="20"/>
          <w:lang w:eastAsia="pl-PL"/>
          <w14:ligatures w14:val="none"/>
        </w:rPr>
        <w:tab/>
        <w:t xml:space="preserve">nakazu, o którym mowa w art. </w:t>
      </w:r>
      <w:r w:rsidR="00A54D39" w:rsidRPr="00076A91">
        <w:rPr>
          <w:rFonts w:ascii="Times" w:eastAsia="Times New Roman" w:hAnsi="Times" w:cs="Arial"/>
          <w:bCs/>
          <w:kern w:val="0"/>
          <w:sz w:val="24"/>
          <w:szCs w:val="20"/>
          <w:lang w:eastAsia="pl-PL"/>
          <w14:ligatures w14:val="none"/>
        </w:rPr>
        <w:t>9</w:t>
      </w:r>
      <w:r w:rsidR="00A54D39">
        <w:rPr>
          <w:rFonts w:ascii="Times" w:eastAsia="Times New Roman" w:hAnsi="Times" w:cs="Arial"/>
          <w:bCs/>
          <w:kern w:val="0"/>
          <w:sz w:val="24"/>
          <w:szCs w:val="20"/>
          <w:lang w:eastAsia="pl-PL"/>
          <w14:ligatures w14:val="none"/>
        </w:rPr>
        <w:t>9</w:t>
      </w:r>
      <w:r w:rsidR="00A54D39"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ustawy o rynku kryptoaktywów.”.</w:t>
      </w:r>
    </w:p>
    <w:p w14:paraId="48BEE720" w14:textId="4F320B22"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15</w:t>
      </w:r>
      <w:r w:rsidR="000A668B">
        <w:rPr>
          <w:rFonts w:ascii="Times" w:eastAsia="Times New Roman" w:hAnsi="Times" w:cs="Arial"/>
          <w:b/>
          <w:kern w:val="0"/>
          <w:sz w:val="24"/>
          <w:szCs w:val="20"/>
          <w:lang w:eastAsia="pl-PL"/>
          <w14:ligatures w14:val="none"/>
        </w:rPr>
        <w:t>7</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5 listopada 2009 r. o spółdzielczych kasach oszczędnościowo-kredytowych (Dz. U. z 2025 r. poz. 379, 820, 1069, 1170 i 1191) w art. 3 ust. 3 otrzymuje brzmienie:</w:t>
      </w:r>
    </w:p>
    <w:p w14:paraId="5EB5800E"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„3. Kasy, z wyłączeniem małych kas, oraz Kasa Krajowa są uprawnione do wydawania pieniądza elektronicznego na rzecz członków kas, na zasadach określonych w ustawie z dnia 19 sierpnia 2011 r. o usługach płatniczych, przy czym uprawnienie to nie obejmuje emisji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kern w:val="0"/>
          <w:sz w:val="24"/>
          <w:szCs w:val="20"/>
          <w:vertAlign w:val="superscript"/>
          <w:lang w:eastAsia="pl-PL"/>
          <w14:ligatures w14:val="none"/>
        </w:rPr>
        <w:footnoteReference w:id="29"/>
      </w:r>
      <w:r w:rsidRPr="00076A91">
        <w:rPr>
          <w:rFonts w:ascii="Times" w:eastAsia="Times New Roman" w:hAnsi="Times" w:cs="Arial"/>
          <w:kern w:val="0"/>
          <w:sz w:val="24"/>
          <w:szCs w:val="20"/>
          <w:vertAlign w:val="superscript"/>
          <w:lang w:eastAsia="pl-PL"/>
          <w14:ligatures w14:val="none"/>
        </w:rPr>
        <w:t>)</w:t>
      </w:r>
      <w:r w:rsidRPr="00076A91">
        <w:rPr>
          <w:rFonts w:ascii="Times" w:eastAsia="Times New Roman" w:hAnsi="Times" w:cs="Arial"/>
          <w:kern w:val="0"/>
          <w:sz w:val="24"/>
          <w:szCs w:val="20"/>
          <w:lang w:eastAsia="pl-PL"/>
          <w14:ligatures w14:val="none"/>
        </w:rPr>
        <w:t>).”.</w:t>
      </w:r>
    </w:p>
    <w:p w14:paraId="73FE7339" w14:textId="7EC96B90"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15</w:t>
      </w:r>
      <w:r w:rsidR="000A668B">
        <w:rPr>
          <w:rFonts w:ascii="Times" w:eastAsia="Times New Roman" w:hAnsi="Times" w:cs="Arial"/>
          <w:b/>
          <w:kern w:val="0"/>
          <w:sz w:val="24"/>
          <w:szCs w:val="20"/>
          <w:lang w:eastAsia="pl-PL"/>
          <w14:ligatures w14:val="none"/>
        </w:rPr>
        <w:t>8</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19 sierpnia 2011 r. </w:t>
      </w:r>
      <w:bookmarkStart w:id="116" w:name="_Hlk190079671"/>
      <w:r w:rsidRPr="00076A91">
        <w:rPr>
          <w:rFonts w:ascii="Times" w:eastAsia="Times New Roman" w:hAnsi="Times" w:cs="Arial"/>
          <w:kern w:val="0"/>
          <w:sz w:val="24"/>
          <w:szCs w:val="20"/>
          <w:lang w:eastAsia="pl-PL"/>
          <w14:ligatures w14:val="none"/>
        </w:rPr>
        <w:t>o usługach płatniczych</w:t>
      </w:r>
      <w:bookmarkEnd w:id="116"/>
      <w:r w:rsidRPr="00076A91">
        <w:rPr>
          <w:rFonts w:ascii="Times" w:eastAsia="Times New Roman" w:hAnsi="Times" w:cs="Arial"/>
          <w:kern w:val="0"/>
          <w:sz w:val="24"/>
          <w:szCs w:val="20"/>
          <w:lang w:eastAsia="pl-PL"/>
          <w14:ligatures w14:val="none"/>
        </w:rPr>
        <w:t xml:space="preserve"> </w:t>
      </w:r>
      <w:bookmarkStart w:id="117" w:name="_Hlk165025963"/>
      <w:r w:rsidRPr="00076A91">
        <w:rPr>
          <w:rFonts w:ascii="Times" w:eastAsia="Times New Roman" w:hAnsi="Times" w:cs="Arial"/>
          <w:kern w:val="0"/>
          <w:sz w:val="24"/>
          <w:szCs w:val="20"/>
          <w:lang w:eastAsia="pl-PL"/>
          <w14:ligatures w14:val="none"/>
        </w:rPr>
        <w:t xml:space="preserve">(Dz. U. z 2025 r. poz. 611 i 1069) </w:t>
      </w:r>
      <w:bookmarkEnd w:id="117"/>
      <w:r w:rsidRPr="00076A91">
        <w:rPr>
          <w:rFonts w:ascii="Times" w:eastAsia="Times New Roman" w:hAnsi="Times" w:cs="Arial"/>
          <w:kern w:val="0"/>
          <w:sz w:val="24"/>
          <w:szCs w:val="20"/>
          <w:lang w:eastAsia="pl-PL"/>
          <w14:ligatures w14:val="none"/>
        </w:rPr>
        <w:t>wprowadza się następujące zmiany:</w:t>
      </w:r>
    </w:p>
    <w:p w14:paraId="03973F42"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art. 74 ust. 2 otrzymuje brzmienie:</w:t>
      </w:r>
    </w:p>
    <w:p w14:paraId="5C6269AB"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 xml:space="preserve">„2. Świadczenie przez krajową instytucję płatniczą usługi przeliczenia waluty w ramach wykonania transakcji płatniczej lub wydania pieniądza elektronicznego nie </w:t>
      </w:r>
      <w:r w:rsidRPr="00076A91">
        <w:rPr>
          <w:rFonts w:ascii="Times" w:eastAsia="Times New Roman" w:hAnsi="Times" w:cs="Arial"/>
          <w:kern w:val="0"/>
          <w:sz w:val="24"/>
          <w:szCs w:val="20"/>
          <w:lang w:eastAsia="pl-PL"/>
          <w14:ligatures w14:val="none"/>
        </w:rPr>
        <w:lastRenderedPageBreak/>
        <w:t>stanowi działalności kantorowej w rozumieniu art. 2 ust. 1 pkt 19 ustawy z dnia 27 lipca 2002 r. – Prawo dewizowe (Dz. U. z 2024 r. poz. 1131) ani bezgotówkowej wymiany walut w rozumieniu art. 2 ust. 1 pkt 18c tej ustawy.”;</w:t>
      </w:r>
    </w:p>
    <w:p w14:paraId="467CA2C8"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art. 132a ust. 1 otrzymuje brzmienie:</w:t>
      </w:r>
    </w:p>
    <w:p w14:paraId="367DAE72"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„1. 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kern w:val="0"/>
          <w:sz w:val="24"/>
          <w:szCs w:val="20"/>
          <w:vertAlign w:val="superscript"/>
          <w:lang w:eastAsia="pl-PL"/>
          <w14:ligatures w14:val="none"/>
        </w:rPr>
        <w:footnoteReference w:id="30"/>
      </w:r>
      <w:r w:rsidRPr="00076A91">
        <w:rPr>
          <w:rFonts w:ascii="Times" w:eastAsia="Times New Roman" w:hAnsi="Times" w:cs="Arial"/>
          <w:kern w:val="0"/>
          <w:sz w:val="24"/>
          <w:szCs w:val="20"/>
          <w:vertAlign w:val="superscript"/>
          <w:lang w:eastAsia="pl-PL"/>
          <w14:ligatures w14:val="none"/>
        </w:rPr>
        <w:t>)</w:t>
      </w:r>
      <w:r w:rsidRPr="00076A91">
        <w:rPr>
          <w:rFonts w:ascii="Times" w:eastAsia="Times New Roman" w:hAnsi="Times" w:cs="Arial"/>
          <w:kern w:val="0"/>
          <w:sz w:val="24"/>
          <w:szCs w:val="20"/>
          <w:lang w:eastAsia="pl-PL"/>
          <w14:ligatures w14:val="none"/>
        </w:rPr>
        <w:t>), oraz świadczenie usług płatniczych w charakterze krajowej instytucji pieniądza elektronicznego wymaga uzyskania zezwolenia KNF.”;</w:t>
      </w:r>
    </w:p>
    <w:p w14:paraId="0E9A1273"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w art. 132j w ust. 1 po pkt 2 dodaje się pkt 2a w brzmieniu:</w:t>
      </w:r>
    </w:p>
    <w:p w14:paraId="47C280BF"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„2a)</w:t>
      </w:r>
      <w:r w:rsidRPr="00076A91">
        <w:rPr>
          <w:rFonts w:ascii="Times" w:eastAsia="Times New Roman" w:hAnsi="Times" w:cs="Arial"/>
          <w:bCs/>
          <w:kern w:val="0"/>
          <w:sz w:val="24"/>
          <w:szCs w:val="20"/>
          <w:lang w:eastAsia="pl-PL"/>
          <w14:ligatures w14:val="none"/>
        </w:rPr>
        <w:tab/>
        <w:t>świadczyć usługi w zakresie kryptoaktywów, o których mowa w art. 60 ust. 4 rozporządzenia Parlamentu Europejskiego i Rady (UE) 2023/1114 z dnia 31 maja 2023 r. w sprawie rynków kryptoaktywów oraz zmiany rozporządzeń (UE) nr 1093/2010 i (UE) nr 1095/2010 oraz dyrektyw 2013/36/UE i (UE) 2019/1937, na zasadach określonych w tym rozporządzeniu</w:t>
      </w:r>
      <w:bookmarkStart w:id="118" w:name="_Hlk165298325"/>
      <w:r w:rsidRPr="00076A91">
        <w:rPr>
          <w:rFonts w:ascii="Times" w:eastAsia="Times New Roman" w:hAnsi="Times" w:cs="Arial"/>
          <w:bCs/>
          <w:kern w:val="0"/>
          <w:sz w:val="24"/>
          <w:szCs w:val="20"/>
          <w:lang w:eastAsia="pl-PL"/>
          <w14:ligatures w14:val="none"/>
        </w:rPr>
        <w:t>;”;</w:t>
      </w:r>
      <w:bookmarkEnd w:id="118"/>
    </w:p>
    <w:p w14:paraId="0BD1F75B"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w art. 150 po ust. 1 dodaje się ust. 1a w brzmieniu:</w:t>
      </w:r>
    </w:p>
    <w:p w14:paraId="110B1AFA"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„1a. Tej samej karze podlega, kto prowadzi działalność w zakresie usług bezgotówkowej wymiany walut z naruszeniem warunków określonych w art. 3a ust. 1 lub 2 ustawy z dnia 27 lipca 2002 r. – Prawo dewizowe.”.</w:t>
      </w:r>
    </w:p>
    <w:p w14:paraId="7216B625" w14:textId="4BF77E01"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15</w:t>
      </w:r>
      <w:r w:rsidR="000A668B">
        <w:rPr>
          <w:rFonts w:ascii="Times" w:eastAsia="Times New Roman" w:hAnsi="Times" w:cs="Arial"/>
          <w:b/>
          <w:kern w:val="0"/>
          <w:sz w:val="24"/>
          <w:szCs w:val="20"/>
          <w:lang w:eastAsia="pl-PL"/>
          <w14:ligatures w14:val="none"/>
        </w:rPr>
        <w:t>9</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30 maja 2014 r. o prawach konsumenta (Dz. U. z 2024 r. poz. 1796 oraz z 2025 r. poz. 1172) w art. 4 ust. 2 otrzymuje brzmienie:</w:t>
      </w:r>
    </w:p>
    <w:p w14:paraId="6C5694A9"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„2. Przepisów ustawy nie stosuje się do umów dotyczących usług finansowych, w szczególności: czynności bankowych, umowy kredytu konsumenckiego, czynności ubezpieczeniowych, czynności z zakresu obrotu instrumentami finansowymi, usług w zakresie kryptoaktywów i usług płatniczych, z wyjątkiem umów dotyczących usług finansowych zawieranych na odległość, do których stosuje się przepisy rozdziałów 1 i 5, i umów dotyczących usług finansowych zawieranych poza lokalem przedsiębiorstwa, do których stosuje się przepis art. 7ab.”.</w:t>
      </w:r>
    </w:p>
    <w:p w14:paraId="509214E6" w14:textId="03DB4694"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lastRenderedPageBreak/>
        <w:t>Art. </w:t>
      </w:r>
      <w:r w:rsidR="000A668B" w:rsidRPr="00076A91">
        <w:rPr>
          <w:rFonts w:ascii="Times" w:eastAsia="Times New Roman" w:hAnsi="Times" w:cs="Arial"/>
          <w:b/>
          <w:kern w:val="0"/>
          <w:sz w:val="24"/>
          <w:szCs w:val="20"/>
          <w:lang w:eastAsia="pl-PL"/>
          <w14:ligatures w14:val="none"/>
        </w:rPr>
        <w:t>1</w:t>
      </w:r>
      <w:r w:rsidR="000A668B">
        <w:rPr>
          <w:rFonts w:ascii="Times" w:eastAsia="Times New Roman" w:hAnsi="Times" w:cs="Arial"/>
          <w:b/>
          <w:kern w:val="0"/>
          <w:sz w:val="24"/>
          <w:szCs w:val="20"/>
          <w:lang w:eastAsia="pl-PL"/>
          <w14:ligatures w14:val="none"/>
        </w:rPr>
        <w:t>60</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15 maja 2015 r. </w:t>
      </w:r>
      <w:r w:rsidRPr="00076A91">
        <w:rPr>
          <w:rFonts w:ascii="Times" w:eastAsia="Times New Roman" w:hAnsi="Times" w:cs="Arial"/>
          <w:kern w:val="0"/>
          <w:sz w:val="24"/>
          <w:szCs w:val="20"/>
          <w:lang w:eastAsia="pl-PL"/>
          <w14:ligatures w14:val="none"/>
        </w:rPr>
        <w:sym w:font="Symbol" w:char="F02D"/>
      </w:r>
      <w:r w:rsidRPr="00076A91">
        <w:rPr>
          <w:rFonts w:ascii="Times" w:eastAsia="Times New Roman" w:hAnsi="Times" w:cs="Arial"/>
          <w:kern w:val="0"/>
          <w:sz w:val="24"/>
          <w:szCs w:val="20"/>
          <w:lang w:eastAsia="pl-PL"/>
          <w14:ligatures w14:val="none"/>
        </w:rPr>
        <w:t xml:space="preserve"> Prawo restrukturyzacyjne (Dz. U. z 2024 r. poz. 1428 oraz z 2025 r. poz. 1085, 1170 i 1172) w art. 4 w ust. 2 po pkt 8 dodaje się pkt 8a i 8b w brzmieniu:</w:t>
      </w:r>
    </w:p>
    <w:p w14:paraId="0F389EFD"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„8a)</w:t>
      </w:r>
      <w:r w:rsidRPr="00076A91">
        <w:rPr>
          <w:rFonts w:ascii="Times" w:eastAsia="Times New Roman" w:hAnsi="Times" w:cs="Arial"/>
          <w:bCs/>
          <w:kern w:val="0"/>
          <w:sz w:val="24"/>
          <w:szCs w:val="20"/>
          <w:lang w:eastAsia="pl-PL"/>
          <w14:ligatures w14:val="none"/>
        </w:rPr>
        <w:tab/>
        <w:t>dostawców usług w zakresie kryptoaktywów, o których mowa w art. 59 ust. 1 lit. a rozporządzenia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31"/>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w:t>
      </w:r>
    </w:p>
    <w:p w14:paraId="0A3804D0"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8b)</w:t>
      </w:r>
      <w:r w:rsidRPr="00076A91">
        <w:rPr>
          <w:rFonts w:ascii="Times" w:eastAsia="Times New Roman" w:hAnsi="Times" w:cs="Arial"/>
          <w:bCs/>
          <w:kern w:val="0"/>
          <w:sz w:val="24"/>
          <w:szCs w:val="20"/>
          <w:lang w:eastAsia="pl-PL"/>
          <w14:ligatures w14:val="none"/>
        </w:rPr>
        <w:tab/>
        <w:t>emitentów tokenów powiązanych z aktywami, o których mowa w art. 3 ust. 1 pkt 6 rozporządzenia Parlamentu Europejskiego i Rady (UE) 2023/1114 z dnia 31 maja 2023 r. w sprawie rynków kryptoaktywów oraz zmiany rozporządzeń (UE) nr 1093/2010 i (UE) nr 1095/2010 oraz dyrektyw 2013/36/UE i (UE) 2019/1937;”.</w:t>
      </w:r>
    </w:p>
    <w:p w14:paraId="221D5C2F" w14:textId="44B65A9E"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16</w:t>
      </w:r>
      <w:r w:rsidR="000A668B">
        <w:rPr>
          <w:rFonts w:ascii="Times" w:eastAsia="Times New Roman" w:hAnsi="Times" w:cs="Arial"/>
          <w:b/>
          <w:kern w:val="0"/>
          <w:sz w:val="24"/>
          <w:szCs w:val="20"/>
          <w:lang w:eastAsia="pl-PL"/>
          <w14:ligatures w14:val="none"/>
        </w:rPr>
        <w:t>1</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5 sierpnia 2015 r. o rozpatrywaniu reklamacji przez podmioty rynku finansowego, o Rzeczniku Finansowym i o Funduszu Edukacji Finansowej (Dz. U. z 2024 r. poz. 1109 oraz z 2025 r. poz. 146 i 1069) wprowadza się następujące zmiany:</w:t>
      </w:r>
    </w:p>
    <w:p w14:paraId="5B662887"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art. 2:</w:t>
      </w:r>
    </w:p>
    <w:p w14:paraId="792D9862"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w pkt 1:</w:t>
      </w:r>
    </w:p>
    <w:p w14:paraId="653BE388"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w lit. d wyrazy „oraz klienta przedsiębiorcy wykonującego działalność lombardową, o którym mowa w ustawie z dnia 14 kwietnia 2023 r. o konsumenckiej pożyczce lombardowej (Dz. U. poz. 1285 oraz z 2024 r. poz. 653)” zastępuje się wyrazami „klienta przedsiębiorcy wykonującego działalność lombardową, o którym mowa w ustawie z dnia 14 kwietnia 2023 r. o konsumenckiej pożyczce lombardowej (Dz. U. z 2024 r. poz. 1111), oraz posiadacza tokenów powiązanych z aktywami nabytych od emitenta tokenów powiązanych z aktywami posiadającego zezwolenie na ofertę publiczną tokenów powiązanych z aktywami lub na ubieganie się o dopuszczenie takich tokenów do obrotu, dla którego właściwym organem w rozumieniu art. 93 ust. 1 rozporządzenia 2023/1114 jest Komisja Nadzoru Finansowego”,</w:t>
      </w:r>
    </w:p>
    <w:p w14:paraId="4594C307"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w lit. k średnik zastępuje się przecinkiem i dodaje się lit. l w brzmieniu:</w:t>
      </w:r>
    </w:p>
    <w:p w14:paraId="770ACF96" w14:textId="77777777" w:rsidR="00027D06" w:rsidRPr="00076A91" w:rsidRDefault="00027D06" w:rsidP="00027D06">
      <w:pPr>
        <w:spacing w:after="0" w:line="360" w:lineRule="auto"/>
        <w:ind w:left="1893"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„l)</w:t>
      </w:r>
      <w:r w:rsidRPr="00076A91">
        <w:rPr>
          <w:rFonts w:ascii="Times" w:eastAsia="Times New Roman" w:hAnsi="Times" w:cs="Arial"/>
          <w:bCs/>
          <w:kern w:val="0"/>
          <w:sz w:val="24"/>
          <w:szCs w:val="20"/>
          <w:lang w:eastAsia="pl-PL"/>
          <w14:ligatures w14:val="none"/>
        </w:rPr>
        <w:tab/>
        <w:t>będącego osobą fizyczną klienta w rozumieniu art. 3 ust. 1 pkt 39 rozporządzenia 2023/1114, dla którego właściwym organem w rozumieniu art. 93 ust. 1 tego rozporządzenia jest Komisja Nadzoru Finansowego;”,</w:t>
      </w:r>
    </w:p>
    <w:p w14:paraId="74CAAAD8"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w pkt 3 w lit. r średnik zastępuje się przecinkiem i dodaje się lit. s i t w brzmieniu:</w:t>
      </w:r>
    </w:p>
    <w:p w14:paraId="1E091C54" w14:textId="77777777" w:rsidR="00027D06" w:rsidRPr="00076A91" w:rsidRDefault="00027D06" w:rsidP="00027D06">
      <w:pPr>
        <w:spacing w:after="0" w:line="360" w:lineRule="auto"/>
        <w:ind w:left="146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„s)</w:t>
      </w:r>
      <w:r w:rsidRPr="00076A91">
        <w:rPr>
          <w:rFonts w:ascii="Times" w:eastAsia="Times New Roman" w:hAnsi="Times" w:cs="Arial"/>
          <w:bCs/>
          <w:kern w:val="0"/>
          <w:sz w:val="24"/>
          <w:szCs w:val="20"/>
          <w:lang w:eastAsia="pl-PL"/>
          <w14:ligatures w14:val="none"/>
        </w:rPr>
        <w:tab/>
        <w:t>dostawcę usług w zakresie kryptoaktywów w rozumieniu art. 3 ust. 1 pkt 15 rozporządzenia 2023/1114, dla którego właściwym organem w rozumieniu art. 93 ust. 1 tego rozporządzenia jest Komisja Nadzoru Finansowego,</w:t>
      </w:r>
    </w:p>
    <w:p w14:paraId="5E907FBB" w14:textId="77777777" w:rsidR="00027D06" w:rsidRPr="00076A91" w:rsidRDefault="00027D06" w:rsidP="00027D06">
      <w:pPr>
        <w:spacing w:after="0" w:line="360" w:lineRule="auto"/>
        <w:ind w:left="1463"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t)</w:t>
      </w:r>
      <w:r w:rsidRPr="00076A91">
        <w:rPr>
          <w:rFonts w:ascii="Times" w:eastAsia="Times New Roman" w:hAnsi="Times" w:cs="Arial"/>
          <w:bCs/>
          <w:kern w:val="0"/>
          <w:sz w:val="24"/>
          <w:szCs w:val="20"/>
          <w:lang w:eastAsia="pl-PL"/>
          <w14:ligatures w14:val="none"/>
        </w:rPr>
        <w:tab/>
        <w:t>emitenta tokenów powiązanych z aktywami posiadającego zezwolenie na ofertę publiczną tokenów powiązanych z aktywami lub na ubieganie się o dopuszczenie takich tokenów do obrotu, dla którego właściwym organem w rozumieniu art. 93 ust. 1 rozporządzenia 2023/1114 jest Komisja Nadzoru Finansowego;”,</w:t>
      </w:r>
    </w:p>
    <w:p w14:paraId="68811221"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c)</w:t>
      </w:r>
      <w:r w:rsidRPr="00076A91">
        <w:rPr>
          <w:rFonts w:ascii="Times" w:eastAsia="Times New Roman" w:hAnsi="Times" w:cs="Arial"/>
          <w:bCs/>
          <w:kern w:val="0"/>
          <w:sz w:val="24"/>
          <w:szCs w:val="20"/>
          <w:lang w:eastAsia="pl-PL"/>
          <w14:ligatures w14:val="none"/>
        </w:rPr>
        <w:tab/>
        <w:t>po pkt 4 dodaje się pkt 4a w brzmieniu:</w:t>
      </w:r>
    </w:p>
    <w:p w14:paraId="3AA17D17"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„4a) token powiązany z aktywami – token powiązany z aktywami w rozumieniu art. 3 ust. 1 pkt 6 rozporządzenia 2023/1114;”,</w:t>
      </w:r>
    </w:p>
    <w:p w14:paraId="6048B3EB"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d)</w:t>
      </w:r>
      <w:r w:rsidRPr="00076A91">
        <w:rPr>
          <w:rFonts w:ascii="Times" w:eastAsia="Times New Roman" w:hAnsi="Times" w:cs="Arial"/>
          <w:bCs/>
          <w:kern w:val="0"/>
          <w:sz w:val="24"/>
          <w:szCs w:val="20"/>
          <w:lang w:eastAsia="pl-PL"/>
          <w14:ligatures w14:val="none"/>
        </w:rPr>
        <w:tab/>
        <w:t>w pkt 5 kropkę zastępuje się średnikiem i dodaje się pkt 6 w brzmieniu:</w:t>
      </w:r>
    </w:p>
    <w:p w14:paraId="602B3308"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„6)</w:t>
      </w:r>
      <w:r w:rsidRPr="00076A91">
        <w:rPr>
          <w:rFonts w:ascii="Times" w:eastAsia="Times New Roman" w:hAnsi="Times" w:cs="Arial"/>
          <w:bCs/>
          <w:kern w:val="0"/>
          <w:sz w:val="24"/>
          <w:szCs w:val="20"/>
          <w:lang w:eastAsia="pl-PL"/>
          <w14:ligatures w14:val="none"/>
        </w:rPr>
        <w:tab/>
        <w:t>rozporządzenie 2023/1114 – rozporządzenie Parlamentu Europejskiego i Rady (UE) 2023/1114 z dnia 31 maja 2023 r. w sprawie rynków kryptoaktywów oraz zmiany rozporządzeń (UE) nr 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32"/>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w:t>
      </w:r>
    </w:p>
    <w:p w14:paraId="7451B2FD"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po art. 10 dodaje się art. 10a w brzmieniu:</w:t>
      </w:r>
    </w:p>
    <w:p w14:paraId="7D4C8220"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 xml:space="preserve">„Art. 10a. W przypadku reklamacji składanych przez będącego osobą fizyczną klienta w rozumieniu art. 3 ust. 1 pkt 39 rozporządzenia 2023/1114 oraz będącego osobą fizyczną posiadacza tokenów powiązanych z aktywami nabytych od emitenta tokenów powiązanych z aktywami posiadającego zezwolenie na ofertę publiczną tokenów powiązanych z aktywami lub na ubieganie się o dopuszczenie takich tokenów do obrotu do terminów przewidzianych na rozpatrzenie reklamacji, o których mowa w art. 6 i art. 7 pkt 3, stosuje się odpowiednio przepisy art. 6 ust. 2 i 3 rozporządzenia delegowanego Komisji (UE) 2025/294 z dnia 1 października 2024 r. uzupełniającego rozporządzenie Parlamentu Europejskiego i Rady (UE) 2023/1114 w odniesieniu do regulacyjnych </w:t>
      </w:r>
      <w:r w:rsidRPr="00076A91">
        <w:rPr>
          <w:rFonts w:ascii="Times" w:eastAsia="Times New Roman" w:hAnsi="Times" w:cs="Arial"/>
          <w:kern w:val="0"/>
          <w:sz w:val="24"/>
          <w:szCs w:val="20"/>
          <w:lang w:eastAsia="pl-PL"/>
          <w14:ligatures w14:val="none"/>
        </w:rPr>
        <w:lastRenderedPageBreak/>
        <w:t>standardów technicznych określających wymogi, wzory i procedury dotyczące rozpatrywania skarg przez dostawców usług w zakresie kryptoaktywów (Dz. Urz. UE L 2025/294 z 13.02.2025).”;</w:t>
      </w:r>
    </w:p>
    <w:p w14:paraId="7B290D51"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w art. 20 w ust. 1 w pkt 14 kropkę zastępuje się średnikiem i dodaje się pkt 15 w brzmieniu:</w:t>
      </w:r>
    </w:p>
    <w:p w14:paraId="70F0DAD4"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„15)</w:t>
      </w:r>
      <w:r w:rsidRPr="00076A91">
        <w:rPr>
          <w:rFonts w:ascii="Times" w:eastAsia="Times New Roman" w:hAnsi="Times" w:cs="Arial"/>
          <w:bCs/>
          <w:kern w:val="0"/>
          <w:sz w:val="24"/>
          <w:szCs w:val="20"/>
          <w:lang w:eastAsia="pl-PL"/>
          <w14:ligatures w14:val="none"/>
        </w:rPr>
        <w:tab/>
        <w:t xml:space="preserve">wartości przychodów z tytułu świadczenia usług w zakresie kryptoaktywów w rozumieniu art. 3 ust. 1 pkt 16 rozporządzenia 2023/1114 w roku poprzedzającym o 2 lata rok, za który opłata jest należna, i stawki 0,025 % </w:t>
      </w:r>
      <w:r w:rsidRPr="00076A91">
        <w:rPr>
          <w:rFonts w:ascii="Times" w:eastAsia="Times New Roman" w:hAnsi="Times" w:cs="Arial"/>
          <w:bCs/>
          <w:kern w:val="0"/>
          <w:sz w:val="24"/>
          <w:szCs w:val="20"/>
          <w:lang w:eastAsia="pl-PL"/>
          <w14:ligatures w14:val="none"/>
        </w:rPr>
        <w:sym w:font="Symbol" w:char="F02D"/>
      </w:r>
      <w:r w:rsidRPr="00076A91">
        <w:rPr>
          <w:rFonts w:ascii="Times" w:eastAsia="Times New Roman" w:hAnsi="Times" w:cs="Arial"/>
          <w:bCs/>
          <w:kern w:val="0"/>
          <w:sz w:val="24"/>
          <w:szCs w:val="20"/>
          <w:lang w:eastAsia="pl-PL"/>
          <w14:ligatures w14:val="none"/>
        </w:rPr>
        <w:t xml:space="preserve"> w przypadku dostawcy usług w zakresie kryptoaktywów w rozumieniu art. 3 ust. 1 pkt 15 rozporządzenia 2023/1114.”;</w:t>
      </w:r>
    </w:p>
    <w:p w14:paraId="6307E156"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w art. 20a w ust. 1 w pkt 10 kropkę zastępuje się średnikiem i dodaje się pkt 11 w brzmieniu:</w:t>
      </w:r>
    </w:p>
    <w:p w14:paraId="405C96DB"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„11)</w:t>
      </w:r>
      <w:r w:rsidRPr="00076A91">
        <w:rPr>
          <w:rFonts w:ascii="Times" w:eastAsia="Times New Roman" w:hAnsi="Times" w:cs="Arial"/>
          <w:bCs/>
          <w:kern w:val="0"/>
          <w:sz w:val="24"/>
          <w:szCs w:val="20"/>
          <w:lang w:eastAsia="pl-PL"/>
          <w14:ligatures w14:val="none"/>
        </w:rPr>
        <w:tab/>
        <w:t>wartości przychodów uzyskanych z tytułu świadczenia usług w zakresie kryptoaktywów w rozumieniu art. 3 ust. 1 pkt 16 rozporządzenia 2023/1114.”.</w:t>
      </w:r>
    </w:p>
    <w:p w14:paraId="3B1417A4" w14:textId="0DE9257E"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16</w:t>
      </w:r>
      <w:r w:rsidR="000A668B">
        <w:rPr>
          <w:rFonts w:ascii="Times" w:eastAsia="Times New Roman" w:hAnsi="Times" w:cs="Arial"/>
          <w:b/>
          <w:kern w:val="0"/>
          <w:sz w:val="24"/>
          <w:szCs w:val="20"/>
          <w:lang w:eastAsia="pl-PL"/>
          <w14:ligatures w14:val="none"/>
        </w:rPr>
        <w:t>2</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16 listopada 2016 r. o Krajowej Administracji Skarbowej (Dz. U. z 2025 r. poz. 1131 i 1423) w art. 127a:</w:t>
      </w:r>
    </w:p>
    <w:p w14:paraId="0CDBBE61"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ust. 1 wyrazy „lub świadczenia usług finansowania społecznościowego dla przedsięwzięć gospodarczych” zastępuje się wyrazami „ , świadczenia usług finansowania społecznościowego dla przedsięwzięć gospodarczych lub świadczenia usług w zakresie kryptoaktywów”;</w:t>
      </w:r>
    </w:p>
    <w:p w14:paraId="652353DF"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ust. 2 w pkt 6 kropkę zastępuje się średnikiem i dodaje się pkt 7 w brzmieniu:</w:t>
      </w:r>
    </w:p>
    <w:p w14:paraId="17557A8A" w14:textId="51F7DEC8"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„7)</w:t>
      </w:r>
      <w:r w:rsidRPr="00076A91">
        <w:rPr>
          <w:rFonts w:ascii="Times" w:eastAsia="Times New Roman" w:hAnsi="Times" w:cs="Arial"/>
          <w:bCs/>
          <w:kern w:val="0"/>
          <w:sz w:val="24"/>
          <w:szCs w:val="20"/>
          <w:lang w:eastAsia="pl-PL"/>
          <w14:ligatures w14:val="none"/>
        </w:rPr>
        <w:tab/>
        <w:t xml:space="preserve">osób, o których mowa w art. </w:t>
      </w:r>
      <w:r w:rsidR="0022520E" w:rsidRPr="00076A91">
        <w:rPr>
          <w:rFonts w:ascii="Times" w:eastAsia="Times New Roman" w:hAnsi="Times" w:cs="Arial"/>
          <w:bCs/>
          <w:kern w:val="0"/>
          <w:sz w:val="24"/>
          <w:szCs w:val="20"/>
          <w:lang w:eastAsia="pl-PL"/>
          <w14:ligatures w14:val="none"/>
        </w:rPr>
        <w:t>1</w:t>
      </w:r>
      <w:r w:rsidR="0022520E">
        <w:rPr>
          <w:rFonts w:ascii="Times" w:eastAsia="Times New Roman" w:hAnsi="Times" w:cs="Arial"/>
          <w:bCs/>
          <w:kern w:val="0"/>
          <w:sz w:val="24"/>
          <w:szCs w:val="20"/>
          <w:lang w:eastAsia="pl-PL"/>
          <w14:ligatures w14:val="none"/>
        </w:rPr>
        <w:t>8</w:t>
      </w:r>
      <w:r w:rsidR="0022520E"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ustawy z dnia </w:t>
      </w:r>
      <w:r w:rsidR="00B83CDD"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 xml:space="preserve"> o rynku kryptoaktywów (Dz. U. poz. …).</w:t>
      </w:r>
      <w:bookmarkStart w:id="119" w:name="_Hlk165298341"/>
      <w:r w:rsidRPr="00076A91">
        <w:rPr>
          <w:rFonts w:ascii="Times" w:eastAsia="Times New Roman" w:hAnsi="Times" w:cs="Arial"/>
          <w:bCs/>
          <w:kern w:val="0"/>
          <w:sz w:val="24"/>
          <w:szCs w:val="20"/>
          <w:lang w:eastAsia="pl-PL"/>
          <w14:ligatures w14:val="none"/>
        </w:rPr>
        <w:t>”.</w:t>
      </w:r>
      <w:bookmarkEnd w:id="119"/>
    </w:p>
    <w:p w14:paraId="454AC285" w14:textId="4B3536FA"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16</w:t>
      </w:r>
      <w:r w:rsidR="000A668B">
        <w:rPr>
          <w:rFonts w:ascii="Times" w:eastAsia="Times New Roman" w:hAnsi="Times" w:cs="Arial"/>
          <w:b/>
          <w:kern w:val="0"/>
          <w:sz w:val="24"/>
          <w:szCs w:val="20"/>
          <w:lang w:eastAsia="pl-PL"/>
          <w14:ligatures w14:val="none"/>
        </w:rPr>
        <w:t>3</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 ustawie z dnia 11 maja 2017 r. o biegłych rewidentach, firmach audytorskich oraz nadzorze publicznym (Dz. U. z 2024 r. poz. 1035 i 1863) w art. 2 w pkt 9 w lit. i średnik zastępuje się przecinkiem i dodaje się lit. j w brzmieniu:</w:t>
      </w:r>
    </w:p>
    <w:p w14:paraId="60153F9B"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„j)</w:t>
      </w:r>
      <w:r w:rsidRPr="00076A91">
        <w:rPr>
          <w:rFonts w:ascii="Times" w:eastAsia="Times New Roman" w:hAnsi="Times" w:cs="Arial"/>
          <w:bCs/>
          <w:kern w:val="0"/>
          <w:sz w:val="24"/>
          <w:szCs w:val="20"/>
          <w:lang w:eastAsia="pl-PL"/>
          <w14:ligatures w14:val="none"/>
        </w:rPr>
        <w:tab/>
        <w:t xml:space="preserve">emitentów znaczących tokenów powiązanych z aktywami, o których mowa w art. 43 i art. 44 rozporządzenia Parlamentu Europejskiego i Rady (UE) 2023/1114 z dnia 31 maja 2023 r. w sprawie rynków kryptoaktywów oraz zmiany rozporządzeń (UE) nr </w:t>
      </w:r>
      <w:r w:rsidRPr="00076A91">
        <w:rPr>
          <w:rFonts w:ascii="Times" w:eastAsia="Times New Roman" w:hAnsi="Times" w:cs="Arial"/>
          <w:bCs/>
          <w:kern w:val="0"/>
          <w:sz w:val="24"/>
          <w:szCs w:val="20"/>
          <w:lang w:eastAsia="pl-PL"/>
          <w14:ligatures w14:val="none"/>
        </w:rPr>
        <w:lastRenderedPageBreak/>
        <w:t>1093/2010 i (UE) nr 1095/2010 oraz dyrektyw 2013/36/UE i (UE) 2019/1937 (Dz. Urz. UE L 150 z 09.06.2023, str. 40, z późn. zm.</w:t>
      </w:r>
      <w:bookmarkStart w:id="120" w:name="_Hlk191540642"/>
      <w:r w:rsidRPr="00076A91">
        <w:rPr>
          <w:rFonts w:ascii="Times" w:eastAsia="Times New Roman" w:hAnsi="Times" w:cs="Arial"/>
          <w:bCs/>
          <w:kern w:val="0"/>
          <w:sz w:val="24"/>
          <w:szCs w:val="20"/>
          <w:vertAlign w:val="superscript"/>
          <w:lang w:eastAsia="pl-PL"/>
          <w14:ligatures w14:val="none"/>
        </w:rPr>
        <w:footnoteReference w:id="33"/>
      </w:r>
      <w:r w:rsidRPr="00076A91">
        <w:rPr>
          <w:rFonts w:ascii="Times" w:eastAsia="Times New Roman" w:hAnsi="Times" w:cs="Arial"/>
          <w:bCs/>
          <w:kern w:val="0"/>
          <w:sz w:val="24"/>
          <w:szCs w:val="20"/>
          <w:vertAlign w:val="superscript"/>
          <w:lang w:eastAsia="pl-PL"/>
          <w14:ligatures w14:val="none"/>
        </w:rPr>
        <w:t>)</w:t>
      </w:r>
      <w:bookmarkEnd w:id="120"/>
      <w:r w:rsidRPr="00076A91">
        <w:rPr>
          <w:rFonts w:ascii="Times" w:eastAsia="Times New Roman" w:hAnsi="Times" w:cs="Arial"/>
          <w:bCs/>
          <w:kern w:val="0"/>
          <w:sz w:val="24"/>
          <w:szCs w:val="20"/>
          <w:lang w:eastAsia="pl-PL"/>
          <w14:ligatures w14:val="none"/>
        </w:rPr>
        <w:t>);”.</w:t>
      </w:r>
    </w:p>
    <w:p w14:paraId="2A360E9A" w14:textId="19280ABB"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16</w:t>
      </w:r>
      <w:r w:rsidR="000A668B">
        <w:rPr>
          <w:rFonts w:ascii="Times" w:eastAsia="Times New Roman" w:hAnsi="Times" w:cs="Arial"/>
          <w:b/>
          <w:kern w:val="0"/>
          <w:sz w:val="24"/>
          <w:szCs w:val="20"/>
          <w:lang w:eastAsia="pl-PL"/>
          <w14:ligatures w14:val="none"/>
        </w:rPr>
        <w:t>4</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W ustawie z dnia 1 marca 2018 r. o przeciwdziałaniu praniu pieniędzy oraz finansowaniu terroryzmu (Dz. U. z 2025 r. poz. 644) wprowadza się następujące zmiany:</w:t>
      </w:r>
    </w:p>
    <w:p w14:paraId="76DAF5FF"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odnośniku do tytułu ustawy:</w:t>
      </w:r>
    </w:p>
    <w:p w14:paraId="491C1F7D"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pkt 1 otrzymuje brzmienie:</w:t>
      </w:r>
    </w:p>
    <w:p w14:paraId="56F0CEF5"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bookmarkStart w:id="121" w:name="_Hlk193299167"/>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 zakresie swojej regulacji wdraża dyrektywę Parlamentu Europejskiego i Rady (UE) 2015/849 z dnia 20 maja 2015 r. w sprawie zapobiegania wykorzystywaniu systemu finansowego do prania pieniędzy lub finansowania terroryzmu, zmieniającą rozporządzenie Parlamentu Europejskiego i Rady (UE) nr 648/2012 i uchylającą dyrektywę Parlamentu Europejskiego i Rady 2005/60/WE oraz dyrektywę Komisji 2006/70/WE (Dz. Urz. UE L 141 z 05.06.2015, str. 73, Dz. Urz. UE L 156 z 19.06.2018, str. 43, Dz. Urz. UE L 334 z 27.12.2019, str. 155 oraz Dz. Urz. UE L 150 z 31.05.2023, str. 1);”,</w:t>
      </w:r>
    </w:p>
    <w:bookmarkEnd w:id="121"/>
    <w:p w14:paraId="6F4070F5"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w pkt 2 wyrazy „rozporządzenia Parlamentu Europejskiego i Rady (UE) 2015/847 z dnia 20 maja 2015 r. w sprawie informacji towarzyszących transferom środków pieniężnych i uchylenia rozporządzenia (WE) nr 1781/2006 (Dz. Urz. UE L 141 z 05.06.2015, str. 1)” zastępuje się wyrazami „rozporządzenia Parlamentu Europejskiego i Rady (UE) 2023/1113 z dnia 31 maja 2023 r. w sprawie informacji towarzyszących transferom środków pieniężnych i niektórych kryptoaktywów oraz zmiany dyrektywy (UE) 2015/849 (Dz. Urz. UE L 150 z 09.06.2023, str. 1)”;</w:t>
      </w:r>
    </w:p>
    <w:p w14:paraId="163A4CAF"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 art. 1 pkt 2 otrzymuje brzmienie:</w:t>
      </w:r>
    </w:p>
    <w:p w14:paraId="559C9BC8"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warunki wykonywania działalności gospodarczej na rzecz spółek lub trustów.”;</w:t>
      </w:r>
    </w:p>
    <w:p w14:paraId="7411290F"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w art. 2:</w:t>
      </w:r>
    </w:p>
    <w:p w14:paraId="516129BF"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w ust. 1 pkt 12 otrzymuje brzmienie:</w:t>
      </w:r>
    </w:p>
    <w:p w14:paraId="178B63A0" w14:textId="77777777" w:rsidR="00027D06" w:rsidRPr="00076A91" w:rsidRDefault="00027D06" w:rsidP="00027D06">
      <w:pPr>
        <w:spacing w:after="0" w:line="360" w:lineRule="auto"/>
        <w:ind w:left="1497"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„12)</w:t>
      </w:r>
      <w:r w:rsidRPr="00076A91">
        <w:rPr>
          <w:rFonts w:ascii="Times" w:eastAsia="Times New Roman" w:hAnsi="Times" w:cs="Arial"/>
          <w:bCs/>
          <w:kern w:val="0"/>
          <w:sz w:val="24"/>
          <w:szCs w:val="20"/>
          <w:lang w:eastAsia="pl-PL"/>
          <w14:ligatures w14:val="none"/>
        </w:rPr>
        <w:tab/>
        <w:t>dostawcy usług w zakresie kryptoaktywów w rozumieniu art. 3 ust. 1 pkt 15 rozporządzenia 2023/1114 świadczący co najmniej jedną z usług w zakresie kryptoaktywów w rozumieniu art. 3 ust. 1 pkt 16 rozporządzenia 2023/1114, z wyjątkiem usługi doradztwa w zakresie kryptoaktywów, o której mowa w art. 3 ust. 1 pkt 16 lit. h rozporządzenia 2023/1114;”,</w:t>
      </w:r>
    </w:p>
    <w:p w14:paraId="59799F6E"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w ust. 2:</w:t>
      </w:r>
    </w:p>
    <w:p w14:paraId="29E6228B"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w:t>
      </w:r>
      <w:r w:rsidRPr="00076A91">
        <w:rPr>
          <w:rFonts w:ascii="Times" w:eastAsia="Times New Roman" w:hAnsi="Times" w:cs="Arial"/>
          <w:bCs/>
          <w:kern w:val="0"/>
          <w:sz w:val="24"/>
          <w:szCs w:val="20"/>
          <w:lang w:eastAsia="pl-PL"/>
          <w14:ligatures w14:val="none"/>
        </w:rPr>
        <w:tab/>
        <w:t>po pkt 1c dodaje się pkt 1d i 1e w brzmieniu:</w:t>
      </w:r>
    </w:p>
    <w:p w14:paraId="7CC7F154" w14:textId="77777777" w:rsidR="00027D06" w:rsidRPr="00076A91" w:rsidRDefault="00027D06" w:rsidP="00027D06">
      <w:pPr>
        <w:spacing w:after="0" w:line="360" w:lineRule="auto"/>
        <w:ind w:left="1893"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„1d)</w:t>
      </w:r>
      <w:r w:rsidRPr="00076A91">
        <w:rPr>
          <w:rFonts w:ascii="Times" w:eastAsia="Times New Roman" w:hAnsi="Times" w:cs="Arial"/>
          <w:bCs/>
          <w:kern w:val="0"/>
          <w:sz w:val="24"/>
          <w:szCs w:val="20"/>
          <w:lang w:eastAsia="pl-PL"/>
          <w14:ligatures w14:val="none"/>
        </w:rPr>
        <w:tab/>
        <w:t>adresie niehostowanym – rozumie się przez to adres niehostowany w rozumieniu art. 3 pkt 20 rozporządzenia 2023/1113;</w:t>
      </w:r>
    </w:p>
    <w:p w14:paraId="1D82249F" w14:textId="77777777" w:rsidR="00027D06" w:rsidRPr="00076A91" w:rsidRDefault="00027D06" w:rsidP="00027D06">
      <w:pPr>
        <w:spacing w:after="0" w:line="360" w:lineRule="auto"/>
        <w:ind w:left="1893"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1e)</w:t>
      </w:r>
      <w:r w:rsidRPr="00076A91">
        <w:rPr>
          <w:rFonts w:ascii="Times" w:eastAsia="Times New Roman" w:hAnsi="Times" w:cs="Arial"/>
          <w:bCs/>
          <w:kern w:val="0"/>
          <w:sz w:val="24"/>
          <w:szCs w:val="20"/>
          <w:lang w:eastAsia="pl-PL"/>
          <w14:ligatures w14:val="none"/>
        </w:rPr>
        <w:tab/>
        <w:t>beneficjencie transferu – rozumie się przez to beneficjenta w rozumieniu art. 3 pkt 22 rozporządzenia 2023/1113;”,</w:t>
      </w:r>
    </w:p>
    <w:p w14:paraId="24C39A0A"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po pkt 7 dodaje się pkt 7a w brzmieniu:</w:t>
      </w:r>
    </w:p>
    <w:p w14:paraId="7EF946E6" w14:textId="77777777" w:rsidR="00027D06" w:rsidRPr="00076A91" w:rsidRDefault="00027D06" w:rsidP="00027D06">
      <w:pPr>
        <w:spacing w:after="0" w:line="360" w:lineRule="auto"/>
        <w:ind w:left="1893"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„7a)</w:t>
      </w:r>
      <w:r w:rsidRPr="00076A91">
        <w:rPr>
          <w:rFonts w:ascii="Times" w:eastAsia="Times New Roman" w:hAnsi="Times" w:cs="Arial"/>
          <w:bCs/>
          <w:kern w:val="0"/>
          <w:sz w:val="24"/>
          <w:szCs w:val="20"/>
          <w:lang w:eastAsia="pl-PL"/>
          <w14:ligatures w14:val="none"/>
        </w:rPr>
        <w:tab/>
        <w:t>inicjatorze transferu – rozumie się przez to inicjatora w rozumieniu art. 3 pkt 21 rozporządzenia 2023/1113;”,</w:t>
      </w:r>
    </w:p>
    <w:p w14:paraId="3C21DA85"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po pkt 10a dodaje się pkt 10b w brzmieniu:</w:t>
      </w:r>
    </w:p>
    <w:p w14:paraId="79C8E89E" w14:textId="77777777" w:rsidR="00027D06" w:rsidRPr="00076A91" w:rsidRDefault="00027D06" w:rsidP="00027D06">
      <w:pPr>
        <w:spacing w:after="0" w:line="360" w:lineRule="auto"/>
        <w:ind w:left="1893"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„10b) kryptoaktywie – rozumie się przez to kryptoaktywo, o którym mowa w art. 3 pkt 14 rozporządzenia 2023/1113;”,</w:t>
      </w:r>
    </w:p>
    <w:p w14:paraId="2B910078"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w pkt 17 w lit. e wyrazy „jednostek walut wirtualnych” zastępuje się wyrazem „kryptoaktywów”,</w:t>
      </w:r>
    </w:p>
    <w:p w14:paraId="74CBB3DD"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w pkt 18 lit. b otrzymuje brzmienie:</w:t>
      </w:r>
    </w:p>
    <w:p w14:paraId="45C00EEF" w14:textId="77777777" w:rsidR="00027D06" w:rsidRPr="00076A91" w:rsidRDefault="00027D06" w:rsidP="00027D06">
      <w:pPr>
        <w:spacing w:after="0" w:line="360" w:lineRule="auto"/>
        <w:ind w:left="1859"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relacje między instytucjami kredytowymi, instytucjami finansowymi oraz między instytucjami kredytowymi i finansowymi, w tym relacje, w ramach których są świadczone podobne usługi przez instytucję będącą korespondentem na rzecz instytucji będącej respondentem, oraz relacje, które zostały ustanowione na potrzeby:</w:t>
      </w:r>
    </w:p>
    <w:p w14:paraId="7409C528" w14:textId="77777777" w:rsidR="00027D06" w:rsidRPr="00076A91" w:rsidRDefault="00027D06" w:rsidP="00027D06">
      <w:pPr>
        <w:spacing w:after="0" w:line="360" w:lineRule="auto"/>
        <w:ind w:left="2257"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transakcji dotyczących papierów wartościowych,</w:t>
      </w:r>
    </w:p>
    <w:p w14:paraId="35DD83AC" w14:textId="77777777" w:rsidR="00027D06" w:rsidRPr="00076A91" w:rsidRDefault="00027D06" w:rsidP="00027D06">
      <w:pPr>
        <w:spacing w:after="0" w:line="360" w:lineRule="auto"/>
        <w:ind w:left="2257"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transferów środków pieniężnych,</w:t>
      </w:r>
    </w:p>
    <w:p w14:paraId="0E1125F2" w14:textId="77777777" w:rsidR="00027D06" w:rsidRPr="00076A91" w:rsidRDefault="00027D06" w:rsidP="00027D06">
      <w:pPr>
        <w:spacing w:after="0" w:line="360" w:lineRule="auto"/>
        <w:ind w:left="2257"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transakcji na kryptoaktywach,</w:t>
      </w:r>
    </w:p>
    <w:p w14:paraId="42E95AD4" w14:textId="77777777" w:rsidR="00027D06" w:rsidRPr="00076A91" w:rsidRDefault="00027D06" w:rsidP="00027D06">
      <w:pPr>
        <w:spacing w:after="0" w:line="360" w:lineRule="auto"/>
        <w:ind w:left="2257"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transferów kryptoaktywów;”,</w:t>
      </w:r>
    </w:p>
    <w:p w14:paraId="0D4E4D69"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pkt 19 otrzymuje brzmienie:</w:t>
      </w:r>
    </w:p>
    <w:p w14:paraId="0FFC792F" w14:textId="77777777" w:rsidR="00027D06" w:rsidRPr="00076A91" w:rsidRDefault="00027D06" w:rsidP="00027D06">
      <w:pPr>
        <w:spacing w:after="0" w:line="360" w:lineRule="auto"/>
        <w:ind w:left="1893"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„19)</w:t>
      </w:r>
      <w:r w:rsidRPr="00076A91">
        <w:rPr>
          <w:rFonts w:ascii="Times" w:eastAsia="Times New Roman" w:hAnsi="Times" w:cs="Arial"/>
          <w:bCs/>
          <w:kern w:val="0"/>
          <w:sz w:val="24"/>
          <w:szCs w:val="20"/>
          <w:lang w:eastAsia="pl-PL"/>
          <w14:ligatures w14:val="none"/>
        </w:rPr>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p>
    <w:p w14:paraId="63C1B0DA"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po pkt 19b dodaje się pkt 19ba w brzmieniu:</w:t>
      </w:r>
    </w:p>
    <w:p w14:paraId="18AA7E8E" w14:textId="77777777" w:rsidR="00027D06" w:rsidRPr="00076A91" w:rsidRDefault="00027D06" w:rsidP="00027D06">
      <w:pPr>
        <w:spacing w:after="0" w:line="360" w:lineRule="auto"/>
        <w:ind w:left="1893"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„19ba)</w:t>
      </w:r>
      <w:r w:rsidRPr="00076A91">
        <w:rPr>
          <w:rFonts w:ascii="Times" w:eastAsia="Times New Roman" w:hAnsi="Times" w:cs="Arial"/>
          <w:bCs/>
          <w:kern w:val="0"/>
          <w:sz w:val="24"/>
          <w:szCs w:val="20"/>
          <w:lang w:eastAsia="pl-PL"/>
          <w14:ligatures w14:val="none"/>
        </w:rPr>
        <w:tab/>
      </w:r>
      <w:r w:rsidRPr="00076A91">
        <w:rPr>
          <w:rFonts w:ascii="Times" w:eastAsia="Times New Roman" w:hAnsi="Times" w:cs="Arial"/>
          <w:bCs/>
          <w:kern w:val="0"/>
          <w:sz w:val="24"/>
          <w:szCs w:val="20"/>
          <w:lang w:eastAsia="pl-PL"/>
          <w14:ligatures w14:val="none"/>
        </w:rPr>
        <w:tab/>
        <w:t xml:space="preserve">rozporządzeniu 2023/1114 – rozumie się przez to rozporządzenie Parlamentu Europejskiego i Rady (UE) 2023/1114 z dnia 31 maja 2023 r. w sprawie rynków kryptoaktywów oraz zmiany rozporządzeń (UE) nr </w:t>
      </w:r>
      <w:r w:rsidRPr="00076A91">
        <w:rPr>
          <w:rFonts w:ascii="Times" w:eastAsia="Times New Roman" w:hAnsi="Times" w:cs="Arial"/>
          <w:bCs/>
          <w:kern w:val="0"/>
          <w:sz w:val="24"/>
          <w:szCs w:val="20"/>
          <w:lang w:eastAsia="pl-PL"/>
          <w14:ligatures w14:val="none"/>
        </w:rPr>
        <w:lastRenderedPageBreak/>
        <w:t>1093/2010 i (UE) nr 1095/2010 oraz dyrektyw 2013/36/UE i (UE) 2019/1937 (Dz. Urz. UE L 150 z 09.06.2023, str. 40, z późn. zm.</w:t>
      </w:r>
      <w:r w:rsidRPr="00076A91">
        <w:rPr>
          <w:rFonts w:ascii="Times" w:eastAsia="Times New Roman" w:hAnsi="Times" w:cs="Arial"/>
          <w:bCs/>
          <w:kern w:val="0"/>
          <w:sz w:val="24"/>
          <w:szCs w:val="20"/>
          <w:vertAlign w:val="superscript"/>
          <w:lang w:eastAsia="pl-PL"/>
          <w14:ligatures w14:val="none"/>
        </w:rPr>
        <w:footnoteReference w:id="34"/>
      </w:r>
      <w:r w:rsidRPr="00076A91">
        <w:rPr>
          <w:rFonts w:ascii="Times" w:eastAsia="Times New Roman" w:hAnsi="Times" w:cs="Arial"/>
          <w:bCs/>
          <w:kern w:val="0"/>
          <w:sz w:val="24"/>
          <w:szCs w:val="20"/>
          <w:vertAlign w:val="superscript"/>
          <w:lang w:eastAsia="pl-PL"/>
          <w14:ligatures w14:val="none"/>
        </w:rPr>
        <w:t>)</w:t>
      </w:r>
      <w:r w:rsidRPr="00076A91">
        <w:rPr>
          <w:rFonts w:ascii="Times" w:eastAsia="Times New Roman" w:hAnsi="Times" w:cs="Arial"/>
          <w:bCs/>
          <w:kern w:val="0"/>
          <w:sz w:val="24"/>
          <w:szCs w:val="20"/>
          <w:lang w:eastAsia="pl-PL"/>
          <w14:ligatures w14:val="none"/>
        </w:rPr>
        <w:t>);”,</w:t>
      </w:r>
    </w:p>
    <w:p w14:paraId="5FC5BB84"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po pkt 22 dodaje się pkt 22a w brzmieniu:</w:t>
      </w:r>
    </w:p>
    <w:p w14:paraId="3FB79E0E" w14:textId="77777777" w:rsidR="00027D06" w:rsidRPr="00076A91" w:rsidRDefault="00027D06" w:rsidP="00027D06">
      <w:pPr>
        <w:spacing w:after="0" w:line="360" w:lineRule="auto"/>
        <w:ind w:left="1893"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„22a)</w:t>
      </w:r>
      <w:r w:rsidRPr="00076A91">
        <w:rPr>
          <w:rFonts w:ascii="Times" w:eastAsia="Times New Roman" w:hAnsi="Times" w:cs="Arial"/>
          <w:bCs/>
          <w:kern w:val="0"/>
          <w:sz w:val="24"/>
          <w:szCs w:val="20"/>
          <w:lang w:eastAsia="pl-PL"/>
          <w14:ligatures w14:val="none"/>
        </w:rPr>
        <w:tab/>
        <w:t xml:space="preserve">transferze kryptoaktywów </w:t>
      </w:r>
      <w:r w:rsidRPr="00076A91">
        <w:rPr>
          <w:rFonts w:ascii="Times" w:eastAsia="Times New Roman" w:hAnsi="Times" w:cs="Arial"/>
          <w:bCs/>
          <w:kern w:val="0"/>
          <w:sz w:val="24"/>
          <w:szCs w:val="20"/>
          <w:lang w:eastAsia="pl-PL"/>
          <w14:ligatures w14:val="none"/>
        </w:rPr>
        <w:sym w:font="Symbol" w:char="F02D"/>
      </w:r>
      <w:r w:rsidRPr="00076A91">
        <w:rPr>
          <w:rFonts w:ascii="Times" w:eastAsia="Times New Roman" w:hAnsi="Times" w:cs="Arial"/>
          <w:bCs/>
          <w:kern w:val="0"/>
          <w:sz w:val="24"/>
          <w:szCs w:val="20"/>
          <w:lang w:eastAsia="pl-PL"/>
          <w14:ligatures w14:val="none"/>
        </w:rPr>
        <w:t xml:space="preserve"> rozumie się przez to transfer kryptoaktywów w rozumieniu art. 3 pkt 10 rozporządzenia 2023/1113;”,</w:t>
      </w:r>
    </w:p>
    <w:p w14:paraId="02375688"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w pkt 23 wyrazy „rozporządzenia 2015/847” zastępuje się wyrazami „art. 3 pkt 9 rozporządzenia 2023/1113”,</w:t>
      </w:r>
    </w:p>
    <w:p w14:paraId="1FFF51E9"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uchyla się pkt 26,</w:t>
      </w:r>
    </w:p>
    <w:p w14:paraId="20F61B76" w14:textId="77777777" w:rsidR="00027D06" w:rsidRPr="00076A91" w:rsidRDefault="00027D06" w:rsidP="00027D06">
      <w:pPr>
        <w:spacing w:after="0" w:line="360" w:lineRule="auto"/>
        <w:ind w:left="1384" w:hanging="397"/>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w:t>
      </w:r>
      <w:r w:rsidRPr="00076A91">
        <w:rPr>
          <w:rFonts w:ascii="Times" w:eastAsia="Times New Roman" w:hAnsi="Times" w:cs="Arial"/>
          <w:bCs/>
          <w:kern w:val="0"/>
          <w:sz w:val="24"/>
          <w:szCs w:val="20"/>
          <w:lang w:eastAsia="pl-PL"/>
          <w14:ligatures w14:val="none"/>
        </w:rPr>
        <w:tab/>
        <w:t>w pkt 27 wyrazy „waluty wirtualne” zastępuje się wyrazem „kryptoaktywa”;</w:t>
      </w:r>
    </w:p>
    <w:p w14:paraId="1C8830BF"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 xml:space="preserve">w art. 4 we wprowadzeniu do wyliczenia wyrazy </w:t>
      </w:r>
      <w:bookmarkStart w:id="122" w:name="_Hlk188965480"/>
      <w:r w:rsidRPr="00076A91">
        <w:rPr>
          <w:rFonts w:ascii="Times" w:eastAsia="Times New Roman" w:hAnsi="Times" w:cs="Arial"/>
          <w:bCs/>
          <w:kern w:val="0"/>
          <w:sz w:val="24"/>
          <w:szCs w:val="20"/>
          <w:lang w:eastAsia="pl-PL"/>
          <w14:ligatures w14:val="none"/>
        </w:rPr>
        <w:t>„rozporządzenia 2015/847” zastępuje się wyrazami „rozporządzenia 2023/1113”</w:t>
      </w:r>
      <w:bookmarkEnd w:id="122"/>
      <w:r w:rsidRPr="00076A91">
        <w:rPr>
          <w:rFonts w:ascii="Times" w:eastAsia="Times New Roman" w:hAnsi="Times" w:cs="Arial"/>
          <w:bCs/>
          <w:kern w:val="0"/>
          <w:sz w:val="24"/>
          <w:szCs w:val="20"/>
          <w:lang w:eastAsia="pl-PL"/>
          <w14:ligatures w14:val="none"/>
        </w:rPr>
        <w:t>;</w:t>
      </w:r>
    </w:p>
    <w:p w14:paraId="2FC2CFAD"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5)</w:t>
      </w:r>
      <w:r w:rsidRPr="00076A91">
        <w:rPr>
          <w:rFonts w:ascii="Times" w:eastAsia="Times New Roman" w:hAnsi="Times" w:cs="Arial"/>
          <w:bCs/>
          <w:kern w:val="0"/>
          <w:sz w:val="24"/>
          <w:szCs w:val="20"/>
          <w:lang w:eastAsia="pl-PL"/>
          <w14:ligatures w14:val="none"/>
        </w:rPr>
        <w:tab/>
        <w:t>w art. 35 w ust. 1 w pkt 2 lit. c otrzymuje brzmienie:</w:t>
      </w:r>
    </w:p>
    <w:p w14:paraId="5FA5F3D7"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„c)</w:t>
      </w:r>
      <w:r w:rsidRPr="00076A91">
        <w:rPr>
          <w:rFonts w:ascii="Times" w:eastAsia="Times New Roman" w:hAnsi="Times" w:cs="Arial"/>
          <w:bCs/>
          <w:kern w:val="0"/>
          <w:sz w:val="24"/>
          <w:szCs w:val="20"/>
          <w:lang w:eastAsia="pl-PL"/>
          <w14:ligatures w14:val="none"/>
        </w:rPr>
        <w:tab/>
        <w:t>z wykorzystaniem kryptoaktywów o równowartości 1000 euro lub większej, bez względu na to, czy transakcja jest przeprowadzana jako pojedyncza operacja, czy kilka operacji, które wydają się ze sobą powiązane – w przypadku instytucji obowiązanych, o których mowa w art. 2 ust. 1 pkt 12;”;</w:t>
      </w:r>
    </w:p>
    <w:p w14:paraId="7C8870B2"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bookmarkStart w:id="123" w:name="_Hlk192149785"/>
      <w:r w:rsidRPr="00076A91">
        <w:rPr>
          <w:rFonts w:ascii="Times" w:eastAsia="Times New Roman" w:hAnsi="Times" w:cs="Arial"/>
          <w:bCs/>
          <w:kern w:val="0"/>
          <w:sz w:val="24"/>
          <w:szCs w:val="20"/>
          <w:lang w:eastAsia="pl-PL"/>
          <w14:ligatures w14:val="none"/>
        </w:rPr>
        <w:t>6)</w:t>
      </w:r>
      <w:bookmarkEnd w:id="123"/>
      <w:r w:rsidRPr="00076A91">
        <w:rPr>
          <w:rFonts w:ascii="Times" w:eastAsia="Times New Roman" w:hAnsi="Times" w:cs="Arial"/>
          <w:bCs/>
          <w:kern w:val="0"/>
          <w:sz w:val="24"/>
          <w:szCs w:val="20"/>
          <w:lang w:eastAsia="pl-PL"/>
          <w14:ligatures w14:val="none"/>
        </w:rPr>
        <w:tab/>
        <w:t>w art. 39 ust. 3 otrzymuje brzmienie:</w:t>
      </w:r>
    </w:p>
    <w:p w14:paraId="19584498"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„3. Instytucje obowiązane, o których mowa w art. 2 ust. 1 pkt 1–5, 7–12, 24 i 25, mogą zawrzeć umowę o prowadzenie rachunku pod warunkiem, że środki bezpieczeństwa finansowego, o których mowa w art. 34 ust. 1 pkt 1 i 2, zostaną zastosowane przed przeprowadzeniem transakcji z wykorzystaniem tego rachunku.”;</w:t>
      </w:r>
    </w:p>
    <w:p w14:paraId="6A4C2C4B"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7)</w:t>
      </w:r>
      <w:r w:rsidRPr="00076A91">
        <w:rPr>
          <w:rFonts w:ascii="Times" w:eastAsia="Times New Roman" w:hAnsi="Times" w:cs="Arial"/>
          <w:bCs/>
          <w:kern w:val="0"/>
          <w:sz w:val="24"/>
          <w:szCs w:val="20"/>
          <w:lang w:eastAsia="pl-PL"/>
          <w14:ligatures w14:val="none"/>
        </w:rPr>
        <w:tab/>
        <w:t>użyte w art. 44c w ust. 1 i 2, w art. 45 w ust. 2, w art. 150 w ust. 3 oraz w art. 152 w ust. 7 wyrazy „w art. 2 ust. 1 pkt 1–5, 7–11, 24 i 25” zastępuje się wyrazami „w art. 2 ust. 1 pkt 1–5, 7–12, 24 i 25”;</w:t>
      </w:r>
    </w:p>
    <w:p w14:paraId="074C387A"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8)</w:t>
      </w:r>
      <w:r w:rsidRPr="00076A91">
        <w:rPr>
          <w:rFonts w:ascii="Times" w:eastAsia="Times New Roman" w:hAnsi="Times" w:cs="Arial"/>
          <w:bCs/>
          <w:kern w:val="0"/>
          <w:sz w:val="24"/>
          <w:szCs w:val="20"/>
          <w:lang w:eastAsia="pl-PL"/>
          <w14:ligatures w14:val="none"/>
        </w:rPr>
        <w:tab/>
        <w:t>w art. 45 dodaje się ust. 3–6 w brzmieniu:</w:t>
      </w:r>
    </w:p>
    <w:p w14:paraId="121F6422"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 xml:space="preserve">„3. W przypadku transgranicznych relacji korespondenckich obejmujących świadczenie usług w zakresie kryptoaktywów, o których mowa w art. 3 ust. 1 pkt 16 lit. a–g, i oraz j rozporządzenia 2023/1114, w ramach zawartej umowy z instytucją będącą respondentem z państwa trzeciego świadczącą podobne usługi, w tym usługę transferu kryptoaktywów, instytucje obowiązane, o których mowa w art. 2 ust. 1 pkt 12, będące instytucjami korespondentami, stosują środki bezpieczeństwa finansowego oraz </w:t>
      </w:r>
      <w:r w:rsidRPr="00076A91">
        <w:rPr>
          <w:rFonts w:ascii="Times" w:eastAsia="Times New Roman" w:hAnsi="Times" w:cs="Arial"/>
          <w:kern w:val="0"/>
          <w:sz w:val="24"/>
          <w:szCs w:val="20"/>
          <w:lang w:eastAsia="pl-PL"/>
          <w14:ligatures w14:val="none"/>
        </w:rPr>
        <w:lastRenderedPageBreak/>
        <w:t>podejmują wobec instytucji będącej respondentem działania, o których mowa w ust. 1 pkt 2–6, oraz ustalają, czy instytucja będąca respondentem posiada zezwolenie lub dopełniła obowiązku rejestracji związanego ze świadczeniem usług w zakresie kryptoaktywów.</w:t>
      </w:r>
    </w:p>
    <w:p w14:paraId="59512E96"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4. Instytucje obowiązane, o których mowa w art. 2 ust. 1 pkt 12, wykorzystują informacje pozyskane w wyniku stosowania środków bezpieczeństwa finansowego, podjętych działań, o których mowa w ust. 1 pkt 2–6, oraz przeprowadzonego ustalenia, o którym mowa w ust. 3, jako podstawę do podjęcia, w oparciu o stwierdzone ryzyka, działań mających na celu ograniczenie ryzyka związanego z instytucją będącą respondentem.</w:t>
      </w:r>
    </w:p>
    <w:p w14:paraId="1A752036"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5. Instytucje obowiązane, o których mowa w art. 2 ust. 1 pkt 12, zapewniają aktualizowanie informacji pozyskanych w wyniku stosowania środków bezpieczeństwa finansowego, podjętych działań, o których mowa w ust. 1 pkt 2–6, oraz przeprowadzonego ustalenia, o którym mowa w ust. 3, a także aktualizowanie informacji dotyczących ryzyka związanego z instytucją będącą respondentem.</w:t>
      </w:r>
    </w:p>
    <w:p w14:paraId="1A618ACA"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6. W przypadku podjęcia przez instytucje obowiązane, o których mowa w art. 2 ust. 1 pkt 12, decyzji o zakończeniu transgranicznych relacji korespondenckich z powodów związanych z przeciwdziałaniem praniu pieniędzy i finansowaniu terroryzmu, instytucje te dokumentują i rejestrują tę decyzję.”;</w:t>
      </w:r>
    </w:p>
    <w:p w14:paraId="2B1632B0"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9)</w:t>
      </w:r>
      <w:r w:rsidRPr="00076A91">
        <w:rPr>
          <w:rFonts w:ascii="Times" w:eastAsia="Times New Roman" w:hAnsi="Times" w:cs="Arial"/>
          <w:bCs/>
          <w:kern w:val="0"/>
          <w:sz w:val="24"/>
          <w:szCs w:val="20"/>
          <w:lang w:eastAsia="pl-PL"/>
          <w14:ligatures w14:val="none"/>
        </w:rPr>
        <w:tab/>
        <w:t>po art. 45 dodaje się art. 45a w brzmieniu:</w:t>
      </w:r>
    </w:p>
    <w:p w14:paraId="0DA35279"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„Art. 45a. 1. Instytucje obowiązane, o których mowa w art. 2 ust. 1 pkt 12:</w:t>
      </w:r>
    </w:p>
    <w:p w14:paraId="4D9F98D7"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identyfikują i oceniają ryzyko prania pieniędzy oraz finansowania terroryzmu związane z transferami kryptoaktywów kierowanymi do adresu niehostowanego lub pochodzącymi z adresu niehostowanego;</w:t>
      </w:r>
    </w:p>
    <w:p w14:paraId="7EB74260"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określają w wewnętrznej procedurze instytucji obowiązanej, o której mowa w art. 50 ust. 1, zasady identyfikacji i oceny ryzyka, o którym mowa w pkt 1.</w:t>
      </w:r>
    </w:p>
    <w:p w14:paraId="577A47A6"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2. W przypadku stosunków gospodarczych lub transakcji okazjonalnych, związanych z transferami kryptoaktywów kierowanymi do adresu niehostowanego lub pochodzącymi z adresu niehostowanego, instytucje obowiązane, o których mowa w art. 2 ust. 1 pkt 12, oprócz stosowania środków bezpieczeństwa finansowego, z uwzględnieniem zidentyfikowanego ryzyka, o którym mowa w ust. 1 pkt 1, podejmują co najmniej jedno z działań:</w:t>
      </w:r>
    </w:p>
    <w:p w14:paraId="091B7F01"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 xml:space="preserve">pozyskują w oparciu o analizę ryzyka informacje w celu identyfikacji i weryfikacji tożsamości inicjatora transferu lub beneficjenta transferu kierowanego do adresu </w:t>
      </w:r>
      <w:r w:rsidRPr="00076A91">
        <w:rPr>
          <w:rFonts w:ascii="Times" w:eastAsia="Times New Roman" w:hAnsi="Times" w:cs="Arial"/>
          <w:bCs/>
          <w:kern w:val="0"/>
          <w:sz w:val="24"/>
          <w:szCs w:val="20"/>
          <w:lang w:eastAsia="pl-PL"/>
          <w14:ligatures w14:val="none"/>
        </w:rPr>
        <w:lastRenderedPageBreak/>
        <w:t>niehostowanego lub pochodzącego z adresu niehostowanego, lub beneficjenta rzeczywistego inicjatora lub beneficjenta takiego transferu, w tym przez podmioty trzecie;</w:t>
      </w:r>
    </w:p>
    <w:p w14:paraId="7EE3F8B7"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żądają dodatkowych informacji na temat pochodzenia i przeznaczenia transferowanych kryptoaktywów;</w:t>
      </w:r>
    </w:p>
    <w:p w14:paraId="0AC97CE5"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intensyfikują stosowanie środka bezpieczeństwa finansowego, o którym mowa w art. 34 ust. 1 pkt 4;</w:t>
      </w:r>
    </w:p>
    <w:p w14:paraId="6EC90CC5"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inne działania niż działania wymienione w pkt 1–3, mające na celu ograniczenie ryzyka prania pieniędzy i finansowania terroryzmu oraz zarządzanie tym ryzykiem, a także ryzyka niewdrożenia i uchylania się od stosowania środków ograniczających, w tym szczególnych środków ograniczających.”;</w:t>
      </w:r>
    </w:p>
    <w:p w14:paraId="31FBC885"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10)</w:t>
      </w:r>
      <w:r w:rsidRPr="00076A91">
        <w:rPr>
          <w:rFonts w:ascii="Times" w:eastAsia="Times New Roman" w:hAnsi="Times" w:cs="Arial"/>
          <w:bCs/>
          <w:kern w:val="0"/>
          <w:sz w:val="24"/>
          <w:szCs w:val="20"/>
          <w:lang w:eastAsia="pl-PL"/>
          <w14:ligatures w14:val="none"/>
        </w:rPr>
        <w:tab/>
        <w:t>w art. 54 w ust. 2 w pkt 4 wyrazy „w art. 2 ust. 1 pkt 1–5, 7–11, 13–15a, 17, 24 i 25” zastępuje się wyrazami „w art. 2 ust. 1 pkt 1–5, 7–15a, 17, 24 i 25”;</w:t>
      </w:r>
    </w:p>
    <w:p w14:paraId="23485FF9"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11)</w:t>
      </w:r>
      <w:r w:rsidRPr="00076A91">
        <w:rPr>
          <w:rFonts w:ascii="Times" w:eastAsia="Times New Roman" w:hAnsi="Times" w:cs="Arial"/>
          <w:bCs/>
          <w:kern w:val="0"/>
          <w:sz w:val="24"/>
          <w:szCs w:val="20"/>
          <w:lang w:eastAsia="pl-PL"/>
          <w14:ligatures w14:val="none"/>
        </w:rPr>
        <w:tab/>
        <w:t>w art. 106 po ust. 1a dodaje się ust. 1b w brzmieniu:</w:t>
      </w:r>
    </w:p>
    <w:p w14:paraId="2A969C24"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„1b. Generalny Inspektor udostępnia z urzędu organowi właściwemu w sprawach rejestru działalności na rzecz spółek lub trustów informację o dwukrotnym niedopełnieniu obowiązku przekazania lub udostępnienia informacji na podstawie żądania, o którym mowa w art. 76.”;</w:t>
      </w:r>
    </w:p>
    <w:p w14:paraId="6EF0CBE5"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12)</w:t>
      </w:r>
      <w:r w:rsidRPr="00076A91">
        <w:rPr>
          <w:rFonts w:ascii="Times" w:eastAsia="Times New Roman" w:hAnsi="Times" w:cs="Arial"/>
          <w:bCs/>
          <w:kern w:val="0"/>
          <w:sz w:val="24"/>
          <w:szCs w:val="20"/>
          <w:lang w:eastAsia="pl-PL"/>
          <w14:ligatures w14:val="none"/>
        </w:rPr>
        <w:tab/>
        <w:t>tytuł rozdziału 11a otrzymuje brzmienie:</w:t>
      </w:r>
    </w:p>
    <w:p w14:paraId="26CB0096" w14:textId="77777777" w:rsidR="00027D06" w:rsidRPr="00076A91" w:rsidRDefault="00027D06" w:rsidP="00027D06">
      <w:pPr>
        <w:keepNext/>
        <w:suppressAutoHyphens/>
        <w:spacing w:before="120" w:after="120" w:line="360" w:lineRule="auto"/>
        <w:ind w:left="510"/>
        <w:jc w:val="center"/>
        <w:rPr>
          <w:rFonts w:ascii="Times" w:eastAsia="Times New Roman" w:hAnsi="Times" w:cs="Times New Roman"/>
          <w:bCs/>
          <w:kern w:val="0"/>
          <w:sz w:val="24"/>
          <w:szCs w:val="24"/>
          <w:lang w:eastAsia="pl-PL"/>
          <w14:ligatures w14:val="none"/>
        </w:rPr>
      </w:pPr>
      <w:r w:rsidRPr="00076A91">
        <w:rPr>
          <w:rFonts w:ascii="Times" w:eastAsia="Times New Roman" w:hAnsi="Times" w:cs="Times New Roman"/>
          <w:bCs/>
          <w:kern w:val="0"/>
          <w:sz w:val="24"/>
          <w:szCs w:val="24"/>
          <w:lang w:eastAsia="pl-PL"/>
          <w14:ligatures w14:val="none"/>
        </w:rPr>
        <w:t>„Działalność na rzecz spółek lub trustów”;</w:t>
      </w:r>
    </w:p>
    <w:p w14:paraId="54E23FA6"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13)</w:t>
      </w:r>
      <w:r w:rsidRPr="00076A91">
        <w:rPr>
          <w:rFonts w:ascii="Times" w:eastAsia="Times New Roman" w:hAnsi="Times" w:cs="Arial"/>
          <w:bCs/>
          <w:kern w:val="0"/>
          <w:sz w:val="24"/>
          <w:szCs w:val="20"/>
          <w:lang w:eastAsia="pl-PL"/>
          <w14:ligatures w14:val="none"/>
        </w:rPr>
        <w:tab/>
        <w:t>w art. 129b ust. 1 otrzymuje brzmienie:</w:t>
      </w:r>
    </w:p>
    <w:p w14:paraId="06B0B640"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„1. Działalność na rzecz spółek lub trustów może być wykonywana przez:</w:t>
      </w:r>
    </w:p>
    <w:p w14:paraId="444C5ACA"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 xml:space="preserve">osobę fizyczną wpisaną do Centralnej Ewidencji i Informacji o Działalności Gospodarczej, która nie została prawomocnie skazana za umyślne przestępstwo przeciwko działalności instytucji państwowych oraz samorządu terytorialnego, przeciwko wymiarowi sprawiedliwości, przeciwko wiarygodności dokumentów, przeciwko mieniu, przeciwko obrotowi gospodarczemu i interesom majątkowym w obrocie cywilnoprawnym, przeciwko obrotowi pieniędzmi i papierami wartościowymi, przestępstwo, o którym mowa w art. 165a </w:t>
      </w:r>
      <w:bookmarkStart w:id="124" w:name="_Hlk174093051"/>
      <w:r w:rsidRPr="00076A91">
        <w:rPr>
          <w:rFonts w:ascii="Times" w:eastAsia="Times New Roman" w:hAnsi="Times" w:cs="Arial"/>
          <w:bCs/>
          <w:kern w:val="0"/>
          <w:sz w:val="24"/>
          <w:szCs w:val="20"/>
          <w:lang w:eastAsia="pl-PL"/>
          <w14:ligatures w14:val="none"/>
        </w:rPr>
        <w:t>ustawy z dnia 6 czerwca 1997 r. – Kodeks karny</w:t>
      </w:r>
      <w:bookmarkEnd w:id="124"/>
      <w:r w:rsidRPr="00076A91">
        <w:rPr>
          <w:rFonts w:ascii="Times" w:eastAsia="Times New Roman" w:hAnsi="Times" w:cs="Arial"/>
          <w:bCs/>
          <w:kern w:val="0"/>
          <w:sz w:val="24"/>
          <w:szCs w:val="20"/>
          <w:lang w:eastAsia="pl-PL"/>
          <w14:ligatures w14:val="none"/>
        </w:rPr>
        <w:t>, przestępstwo popełnione w celu osiągnięcia korzyści majątkowej lub osobistej lub umyślne przestępstwo skarbowe;</w:t>
      </w:r>
    </w:p>
    <w:p w14:paraId="4043D14C"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2)</w:t>
      </w:r>
      <w:r w:rsidRPr="00076A91">
        <w:rPr>
          <w:rFonts w:ascii="Times" w:eastAsia="Times New Roman" w:hAnsi="Times" w:cs="Arial"/>
          <w:bCs/>
          <w:kern w:val="0"/>
          <w:sz w:val="24"/>
          <w:szCs w:val="20"/>
          <w:lang w:eastAsia="pl-PL"/>
          <w14:ligatures w14:val="none"/>
        </w:rPr>
        <w:tab/>
        <w:t>osobę prawną lub jednostkę organizacyjną nieposiadającą osobowości prawnej, wpisaną do rejestru przedsiębiorców Krajowego Rejestru Sądowego, w której wspólnicy, którym powierzono prowadzenie spraw spółki, lub uprawnieni do reprezentacji spółki, lub członkowie organów zarządzających nie zostali prawomocnie skazani za przestępstwo, o którym mowa w pkt 1, lub umyślne przestępstwo skarbowe.”;</w:t>
      </w:r>
    </w:p>
    <w:p w14:paraId="04C12941"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14)</w:t>
      </w:r>
      <w:r w:rsidRPr="00076A91">
        <w:rPr>
          <w:rFonts w:ascii="Times" w:eastAsia="Times New Roman" w:hAnsi="Times" w:cs="Arial"/>
          <w:bCs/>
          <w:kern w:val="0"/>
          <w:sz w:val="24"/>
          <w:szCs w:val="20"/>
          <w:lang w:eastAsia="pl-PL"/>
          <w14:ligatures w14:val="none"/>
        </w:rPr>
        <w:tab/>
        <w:t>w art. 129f w ust. 1 pkt 1 i 2 otrzymują brzmienie:</w:t>
      </w:r>
    </w:p>
    <w:p w14:paraId="01585186"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imię i nazwisko przedsiębiorcy oraz jego adres zgodny z adresem do doręczeń ujawnionym w Centralnej Ewidencji i Informacji o Działalności Gospodarczej albo nazwę (firmę) przedsiębiorcy, numer w rejestrze przedsiębiorców Krajowego Rejestru Sądowego oraz jego adres zgodny z siedzibą i adresem ujawnionym w tym rejestrze;</w:t>
      </w:r>
    </w:p>
    <w:p w14:paraId="343C29EB"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NIP przedsiębiorcy oraz w przypadku osoby fizycznej oświadczenie przedsiębiorcy o wpisie do Centralnej Ewidencji i Informacji o Działalności Gospodarczej;”;</w:t>
      </w:r>
    </w:p>
    <w:p w14:paraId="0320E49B"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15)</w:t>
      </w:r>
      <w:r w:rsidRPr="00076A91">
        <w:rPr>
          <w:rFonts w:ascii="Times" w:eastAsia="Times New Roman" w:hAnsi="Times" w:cs="Arial"/>
          <w:bCs/>
          <w:kern w:val="0"/>
          <w:sz w:val="24"/>
          <w:szCs w:val="20"/>
          <w:lang w:eastAsia="pl-PL"/>
          <w14:ligatures w14:val="none"/>
        </w:rPr>
        <w:tab/>
        <w:t>w art. 129h pkt 3 otrzymuje brzmienie:</w:t>
      </w:r>
    </w:p>
    <w:p w14:paraId="1FEED12F"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bookmarkStart w:id="125" w:name="_Hlk169084176"/>
      <w:r w:rsidRPr="00076A91">
        <w:rPr>
          <w:rFonts w:ascii="Times" w:eastAsia="Times New Roman" w:hAnsi="Times" w:cs="Arial"/>
          <w:bCs/>
          <w:kern w:val="0"/>
          <w:sz w:val="24"/>
          <w:szCs w:val="20"/>
          <w:lang w:eastAsia="pl-PL"/>
          <w14:ligatures w14:val="none"/>
        </w:rPr>
        <w:tab/>
        <w:t>numer w rejestrze przedsiębiorców Krajowego Rejestru Sądowego oraz siedzibę i adres ujawnione w tym rejestrze albo adres do doręczeń zgodny z adresem ujawnionym w Centralnej Ewidencji i Informacji o Działalności Gospodarczej, oraz NIP</w:t>
      </w:r>
      <w:bookmarkEnd w:id="125"/>
      <w:r w:rsidRPr="00076A91">
        <w:rPr>
          <w:rFonts w:ascii="Times" w:eastAsia="Times New Roman" w:hAnsi="Times" w:cs="Arial"/>
          <w:bCs/>
          <w:kern w:val="0"/>
          <w:sz w:val="24"/>
          <w:szCs w:val="20"/>
          <w:lang w:eastAsia="pl-PL"/>
          <w14:ligatures w14:val="none"/>
        </w:rPr>
        <w:t>;”;</w:t>
      </w:r>
    </w:p>
    <w:p w14:paraId="27DBC31E"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16)</w:t>
      </w:r>
      <w:r w:rsidRPr="00076A91">
        <w:rPr>
          <w:rFonts w:ascii="Times" w:eastAsia="Times New Roman" w:hAnsi="Times" w:cs="Arial"/>
          <w:bCs/>
          <w:kern w:val="0"/>
          <w:sz w:val="24"/>
          <w:szCs w:val="20"/>
          <w:lang w:eastAsia="pl-PL"/>
          <w14:ligatures w14:val="none"/>
        </w:rPr>
        <w:tab/>
        <w:t>w art. 129i dodaje się ust. 3 w brzmieniu:</w:t>
      </w:r>
    </w:p>
    <w:p w14:paraId="34D9303A"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„3. W przypadku zmiany danych podmiotu, o którym mowa w art. 129b ust. 1 pkt 2, dotyczących:</w:t>
      </w:r>
    </w:p>
    <w:p w14:paraId="0B1BE67F"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listy wspólników,</w:t>
      </w:r>
    </w:p>
    <w:p w14:paraId="4866418F"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beneficjenta rzeczywistego,</w:t>
      </w:r>
    </w:p>
    <w:p w14:paraId="15EDDB9D"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sposobu reprezentacji,</w:t>
      </w:r>
    </w:p>
    <w:p w14:paraId="610ECAEF"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 xml:space="preserve">osób uprawnionych do reprezentowania </w:t>
      </w:r>
    </w:p>
    <w:p w14:paraId="0F8C15CF" w14:textId="77777777" w:rsidR="00027D06" w:rsidRPr="00076A91" w:rsidRDefault="00027D06" w:rsidP="00027D06">
      <w:pPr>
        <w:spacing w:after="0" w:line="360" w:lineRule="auto"/>
        <w:ind w:left="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podmiot ten składa informację o zmianach do organu właściwego w sprawach rejestru działalności na rzecz spółek lub trustów w terminie 14 dni od dnia ich dokonania, przedstawiając zakres zmian.”;</w:t>
      </w:r>
    </w:p>
    <w:p w14:paraId="0C2D57A8"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17)</w:t>
      </w:r>
      <w:r w:rsidRPr="00076A91">
        <w:rPr>
          <w:rFonts w:ascii="Times" w:eastAsia="Times New Roman" w:hAnsi="Times" w:cs="Arial"/>
          <w:bCs/>
          <w:kern w:val="0"/>
          <w:sz w:val="24"/>
          <w:szCs w:val="20"/>
          <w:lang w:eastAsia="pl-PL"/>
          <w14:ligatures w14:val="none"/>
        </w:rPr>
        <w:tab/>
        <w:t>art. 129k otrzymuje brzmienie:</w:t>
      </w:r>
    </w:p>
    <w:p w14:paraId="42887703"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„Art. 129k. 1. Organ właściwy w sprawach rejestru działalności na rzecz spółek i trustów wykreśla, w drodze decyzji, podmiot wykonujący działalność na rzecz spółek lub trustów z tego rejestru:</w:t>
      </w:r>
    </w:p>
    <w:p w14:paraId="084A83A9"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1)</w:t>
      </w:r>
      <w:r w:rsidRPr="00076A91">
        <w:rPr>
          <w:rFonts w:ascii="Times" w:eastAsia="Times New Roman" w:hAnsi="Times" w:cs="Arial"/>
          <w:bCs/>
          <w:kern w:val="0"/>
          <w:sz w:val="24"/>
          <w:szCs w:val="20"/>
          <w:lang w:eastAsia="pl-PL"/>
          <w14:ligatures w14:val="none"/>
        </w:rPr>
        <w:tab/>
        <w:t>na wniosek podmiotu, wniesiony w formie elektronicznej;</w:t>
      </w:r>
    </w:p>
    <w:p w14:paraId="2DA9AE81"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po uzyskaniu informacji o wykreśleniu podmiotu z Centralnej Ewidencji i Informacji o Działalności Gospodarczej albo z rejestru przedsiębiorców Krajowego Rejestru Sądowego;</w:t>
      </w:r>
    </w:p>
    <w:p w14:paraId="619868F9"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w przypadku stwierdzenia:</w:t>
      </w:r>
    </w:p>
    <w:p w14:paraId="2EFFF7B1"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niespełniania przez podmiot warunków wymaganych prawem do wykonywania działalności na rzecz spółek lub trustów,</w:t>
      </w:r>
    </w:p>
    <w:p w14:paraId="2CCE15F9"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że podmiot złożył oświadczenie, o którym mowa w art. 129f ust. 2, niezgodne ze stanem faktycznym,</w:t>
      </w:r>
    </w:p>
    <w:p w14:paraId="792DAEAC"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c)</w:t>
      </w:r>
      <w:r w:rsidRPr="00076A91">
        <w:rPr>
          <w:rFonts w:ascii="Times" w:eastAsia="Times New Roman" w:hAnsi="Times" w:cs="Arial"/>
          <w:bCs/>
          <w:kern w:val="0"/>
          <w:sz w:val="24"/>
          <w:szCs w:val="20"/>
          <w:lang w:eastAsia="pl-PL"/>
          <w14:ligatures w14:val="none"/>
        </w:rPr>
        <w:tab/>
        <w:t>że podmiot dwukrotnie nie odpowiedział na kierowane do niego, na adres zgodny z adresem do doręczeń ujawnionym w Centralnej Ewidencji i Informacji o Działalności Gospodarczej albo z siedzibą i adresem ujawnionymi w rejestrze przedsiębiorców Krajowego Rejestru Sądowego, żądanie w związku z kontrolą, o której mowa w art. 43 ust. 7 ustawy z dnia 6 marca 2018 r. – Prawo przedsiębiorców,</w:t>
      </w:r>
    </w:p>
    <w:p w14:paraId="6892E5AE"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d)</w:t>
      </w:r>
      <w:r w:rsidRPr="00076A91">
        <w:rPr>
          <w:rFonts w:ascii="Times" w:eastAsia="Times New Roman" w:hAnsi="Times" w:cs="Arial"/>
          <w:bCs/>
          <w:kern w:val="0"/>
          <w:sz w:val="24"/>
          <w:szCs w:val="20"/>
          <w:lang w:eastAsia="pl-PL"/>
          <w14:ligatures w14:val="none"/>
        </w:rPr>
        <w:tab/>
        <w:t>odmowy przyjęcia albo niepodjęcia przez podmiot kierowanego do niego zawiadomienia o zamiarze wszczęcia kontroli, o której mowa w art. 43 ust. 7 ustawy z dnia 6 marca 2018 r. – Prawo przedsiębiorców,</w:t>
      </w:r>
    </w:p>
    <w:p w14:paraId="6682454F"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e)</w:t>
      </w:r>
      <w:bookmarkStart w:id="126" w:name="_Hlk171069198"/>
      <w:r w:rsidRPr="00076A91">
        <w:rPr>
          <w:rFonts w:ascii="Times" w:eastAsia="Times New Roman" w:hAnsi="Times" w:cs="Arial"/>
          <w:bCs/>
          <w:kern w:val="0"/>
          <w:sz w:val="24"/>
          <w:szCs w:val="20"/>
          <w:lang w:eastAsia="pl-PL"/>
          <w14:ligatures w14:val="none"/>
        </w:rPr>
        <w:tab/>
        <w:t>wykreślenia z rejestru przedsiębiorców Krajowego Rejestru Sądowego organu uprawnionego do reprezentacji podmiotu lub osób wchodzących w skład tego organu i niewpisania do rejestru przedsiębiorców Krajowego Rejestru Sądowego nowego organu uprawnionego do reprezentacji podmiotu lub nowych osób wchodzących w skład tego organu,</w:t>
      </w:r>
    </w:p>
    <w:p w14:paraId="2EA9E6A1" w14:textId="77777777" w:rsidR="00027D06" w:rsidRPr="00076A91" w:rsidRDefault="00027D06" w:rsidP="00027D06">
      <w:pPr>
        <w:spacing w:after="0" w:line="360" w:lineRule="auto"/>
        <w:ind w:left="1497"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f)</w:t>
      </w:r>
      <w:r w:rsidRPr="00076A91">
        <w:rPr>
          <w:rFonts w:ascii="Times" w:eastAsia="Times New Roman" w:hAnsi="Times" w:cs="Arial"/>
          <w:bCs/>
          <w:kern w:val="0"/>
          <w:sz w:val="24"/>
          <w:szCs w:val="20"/>
          <w:lang w:eastAsia="pl-PL"/>
          <w14:ligatures w14:val="none"/>
        </w:rPr>
        <w:tab/>
        <w:t>wykreślenia z rejestru przedsiębiorców Krajowego Rejestru Sądowego adresu podmiotu i niewpisania do tego rejestru nowego adresu podmiotu;</w:t>
      </w:r>
    </w:p>
    <w:bookmarkEnd w:id="126"/>
    <w:p w14:paraId="47017CCA"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na wniosek Generalnego Inspektora po nałożeniu kary administracyjnej, o której mowa w art. 150 ust. 1 pkt 2, w zakresie, w jakim nakazano zaprzestania podejmowania przez instytucję obowiązaną określonych czynności;</w:t>
      </w:r>
    </w:p>
    <w:p w14:paraId="1F1D241B"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5)</w:t>
      </w:r>
      <w:r w:rsidRPr="00076A91">
        <w:rPr>
          <w:rFonts w:ascii="Times" w:eastAsia="Times New Roman" w:hAnsi="Times" w:cs="Arial"/>
          <w:bCs/>
          <w:kern w:val="0"/>
          <w:sz w:val="24"/>
          <w:szCs w:val="20"/>
          <w:lang w:eastAsia="pl-PL"/>
          <w14:ligatures w14:val="none"/>
        </w:rPr>
        <w:tab/>
        <w:t>po uzyskaniu informacji od Generalnego Inspektora o dwukrotnym niedopełnieniu przez podmiot obowiązku przekazania lub udostępnienia informacji, o którym mowa w art. 76.</w:t>
      </w:r>
    </w:p>
    <w:p w14:paraId="3BFEE7AA"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 xml:space="preserve">2. W przypadku wszczęcia postępowania na podstawie ust. 1, jeżeli podany przez osobę prawną lub jednostkę organizacyjną nieposiadającą osobowości prawnej adres nie </w:t>
      </w:r>
      <w:r w:rsidRPr="00076A91">
        <w:rPr>
          <w:rFonts w:ascii="Times" w:eastAsia="Times New Roman" w:hAnsi="Times" w:cs="Arial"/>
          <w:kern w:val="0"/>
          <w:sz w:val="24"/>
          <w:szCs w:val="20"/>
          <w:lang w:eastAsia="pl-PL"/>
          <w14:ligatures w14:val="none"/>
        </w:rPr>
        <w:lastRenderedPageBreak/>
        <w:t>istnieje, został wykreślony z rejestru przedsiębiorców Krajowego Rejestru Sądowego albo jest niezgodny z adresem zawartym w tym rejestrze i nie można ustalić miejsca prowadzenia działalności, pismo doręcza się osobie fizycznej upoważnionej do reprezentowania adresata, także wtedy, gdy reprezentacja ma charakter łączny z innymi osobami. W przypadku niemożności ustalenia adresu osoby fizycznej upoważnionej do reprezentowania adresata pismo pozostawia się w aktach sprawy ze skutkiem doręczenia, przy czym w takim przypadku doręczenie uważa się za dokonane z dniem sporządzenia adnotacji o niemożności ustalenia adresu osoby fizycznej upoważnionej do reprezentowania adresata.</w:t>
      </w:r>
    </w:p>
    <w:p w14:paraId="3D0A4604"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3. W przypadku wszczęcia postępowania na podstawie ust. 1 brak organu lub brak w składzie organu osób uprawnionych do reprezentacji podmiotu podlegającego wpisowi do rejestru przedsiębiorców Krajowego Rejestru Sądowego nie stanowi przeszkody do wykreślenia przedsiębiorcy z rejestru działalności na rzecz spółek i trustów, przy czym w takim przypadku pisma i decyzje doręcza się na ostatni adres wskazany w rejestrze przedsiębiorców Krajowego Rejestru Sądowego.</w:t>
      </w:r>
    </w:p>
    <w:p w14:paraId="4E2CD873"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4. Podmiot, który wykreślono z rejestru działalności na rzecz spółek lub trustów na podstawie ust. 1 pkt 3 lit. c</w:t>
      </w:r>
      <w:r w:rsidRPr="00076A91">
        <w:rPr>
          <w:rFonts w:ascii="Times" w:eastAsia="Times New Roman" w:hAnsi="Times" w:cs="Arial"/>
          <w:kern w:val="0"/>
          <w:sz w:val="24"/>
          <w:szCs w:val="20"/>
          <w:lang w:eastAsia="pl-PL"/>
          <w14:ligatures w14:val="none"/>
        </w:rPr>
        <w:sym w:font="Symbol" w:char="F02D"/>
      </w:r>
      <w:r w:rsidRPr="00076A91">
        <w:rPr>
          <w:rFonts w:ascii="Times" w:eastAsia="Times New Roman" w:hAnsi="Times" w:cs="Arial"/>
          <w:kern w:val="0"/>
          <w:sz w:val="24"/>
          <w:szCs w:val="20"/>
          <w:lang w:eastAsia="pl-PL"/>
          <w14:ligatures w14:val="none"/>
        </w:rPr>
        <w:t>f oraz pkt 4 i 5, może uzyskać ponowny wpis do tego rejestru nie wcześniej niż po upływie 3 lat od dnia, w którym decyzja, o której mowa w ust. 1, stała się ostateczna.”;</w:t>
      </w:r>
      <w:bookmarkStart w:id="127" w:name="_Hlk164672913"/>
      <w:bookmarkStart w:id="128" w:name="_Hlk162259379"/>
    </w:p>
    <w:bookmarkEnd w:id="127"/>
    <w:bookmarkEnd w:id="128"/>
    <w:p w14:paraId="29789B2E"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18)</w:t>
      </w:r>
      <w:r w:rsidRPr="00076A91">
        <w:rPr>
          <w:rFonts w:ascii="Times" w:eastAsia="Times New Roman" w:hAnsi="Times" w:cs="Arial"/>
          <w:bCs/>
          <w:kern w:val="0"/>
          <w:sz w:val="24"/>
          <w:szCs w:val="20"/>
          <w:lang w:eastAsia="pl-PL"/>
          <w14:ligatures w14:val="none"/>
        </w:rPr>
        <w:tab/>
        <w:t>uchyla się art. 129m–129x;</w:t>
      </w:r>
    </w:p>
    <w:p w14:paraId="12E600AA"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19)</w:t>
      </w:r>
      <w:r w:rsidRPr="00076A91">
        <w:rPr>
          <w:rFonts w:ascii="Times" w:eastAsia="Times New Roman" w:hAnsi="Times" w:cs="Arial"/>
          <w:bCs/>
          <w:kern w:val="0"/>
          <w:sz w:val="24"/>
          <w:szCs w:val="20"/>
          <w:lang w:eastAsia="pl-PL"/>
          <w14:ligatures w14:val="none"/>
        </w:rPr>
        <w:tab/>
        <w:t>art. 129y otrzymuje brzmienie:</w:t>
      </w:r>
    </w:p>
    <w:p w14:paraId="1CB44224"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„Art. 129y. Dane, o których mowa w art. 129h, są przechowywane przez okres 5 lat, licząc od dnia, w którym dokonano wykreślenia podmiotu z rejestru działalności na rzecz spółek lub trustów.”;</w:t>
      </w:r>
    </w:p>
    <w:p w14:paraId="4A5A2463"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20)</w:t>
      </w:r>
      <w:r w:rsidRPr="00076A91">
        <w:rPr>
          <w:rFonts w:ascii="Times" w:eastAsia="Times New Roman" w:hAnsi="Times" w:cs="Arial"/>
          <w:bCs/>
          <w:kern w:val="0"/>
          <w:sz w:val="24"/>
          <w:szCs w:val="20"/>
          <w:lang w:eastAsia="pl-PL"/>
          <w14:ligatures w14:val="none"/>
        </w:rPr>
        <w:tab/>
        <w:t>art. 148 otrzymuje brzmienie:</w:t>
      </w:r>
    </w:p>
    <w:p w14:paraId="7F32C47A" w14:textId="77777777" w:rsidR="00027D06" w:rsidRPr="00076A91" w:rsidRDefault="00027D06" w:rsidP="00027D06">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„Art. 148. Instytucja obowiązana, która nie dopełnia obowiązku:</w:t>
      </w:r>
    </w:p>
    <w:p w14:paraId="59A86658"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zapewnienia, aby transferowi środków pieniężnych towarzyszyły informacje o płatniku lub odbiorcy, o którym mowa w art. 4</w:t>
      </w:r>
      <w:bookmarkStart w:id="129" w:name="_Hlk167872270"/>
      <w:r w:rsidRPr="00076A91">
        <w:rPr>
          <w:rFonts w:ascii="Times" w:eastAsia="Times New Roman" w:hAnsi="Times" w:cs="Arial"/>
          <w:bCs/>
          <w:kern w:val="0"/>
          <w:sz w:val="24"/>
          <w:szCs w:val="20"/>
          <w:lang w:eastAsia="pl-PL"/>
          <w14:ligatures w14:val="none"/>
        </w:rPr>
        <w:sym w:font="Symbol" w:char="F02D"/>
      </w:r>
      <w:bookmarkEnd w:id="129"/>
      <w:r w:rsidRPr="00076A91">
        <w:rPr>
          <w:rFonts w:ascii="Times" w:eastAsia="Times New Roman" w:hAnsi="Times" w:cs="Arial"/>
          <w:bCs/>
          <w:kern w:val="0"/>
          <w:sz w:val="24"/>
          <w:szCs w:val="20"/>
          <w:lang w:eastAsia="pl-PL"/>
          <w14:ligatures w14:val="none"/>
        </w:rPr>
        <w:t>6 rozporządzenia 2023/1113,</w:t>
      </w:r>
    </w:p>
    <w:p w14:paraId="2C6B18B5"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wdrożenia skutecznych procedur pozwalających na wykrywanie brakujących informacji o płatniku lub odbiorcy, o których mowa w art. 7, art. 8, art. 11 i art. 12 rozporządzenia 2023/1113,</w:t>
      </w:r>
    </w:p>
    <w:p w14:paraId="239FB052"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3)</w:t>
      </w:r>
      <w:r w:rsidRPr="00076A91">
        <w:rPr>
          <w:rFonts w:ascii="Times" w:eastAsia="Times New Roman" w:hAnsi="Times" w:cs="Arial"/>
          <w:bCs/>
          <w:kern w:val="0"/>
          <w:sz w:val="24"/>
          <w:szCs w:val="20"/>
          <w:lang w:eastAsia="pl-PL"/>
          <w14:ligatures w14:val="none"/>
        </w:rPr>
        <w:tab/>
        <w:t>informowania Generalnego Inspektora o nieprzekazywaniu wymaganych informacji o płatniku lub odbiorcy oraz o podjętych działaniach, o którym mowa w art. 8 rozporządzenia 2023/1113,</w:t>
      </w:r>
    </w:p>
    <w:p w14:paraId="403C0817"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zachowania wszystkich otrzymanych informacji o płatniku i odbiorcy, które towarzyszą transferowi, o którym mowa w art. 10 rozporządzenia 2023/1113,</w:t>
      </w:r>
    </w:p>
    <w:p w14:paraId="5A0F2D13"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5)</w:t>
      </w:r>
      <w:r w:rsidRPr="00076A91">
        <w:rPr>
          <w:rFonts w:ascii="Times" w:eastAsia="Times New Roman" w:hAnsi="Times" w:cs="Arial"/>
          <w:bCs/>
          <w:kern w:val="0"/>
          <w:sz w:val="24"/>
          <w:szCs w:val="20"/>
          <w:lang w:eastAsia="pl-PL"/>
          <w14:ligatures w14:val="none"/>
        </w:rPr>
        <w:tab/>
        <w:t>udzielania Generalnemu Inspektorowi informacji, o którym mowa w art. 24 rozporządzenia 2023/1113,</w:t>
      </w:r>
    </w:p>
    <w:p w14:paraId="13412020"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6)</w:t>
      </w:r>
      <w:r w:rsidRPr="00076A91">
        <w:rPr>
          <w:rFonts w:ascii="Times" w:eastAsia="Times New Roman" w:hAnsi="Times" w:cs="Arial"/>
          <w:bCs/>
          <w:kern w:val="0"/>
          <w:sz w:val="24"/>
          <w:szCs w:val="20"/>
          <w:lang w:eastAsia="pl-PL"/>
          <w14:ligatures w14:val="none"/>
        </w:rPr>
        <w:tab/>
        <w:t>przechowywania dokumentacji, o którym mowa w art. 26 rozporządzenia 2023/1113,</w:t>
      </w:r>
    </w:p>
    <w:p w14:paraId="447A2685"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7)</w:t>
      </w:r>
      <w:r w:rsidRPr="00076A91">
        <w:rPr>
          <w:rFonts w:ascii="Times" w:eastAsia="Times New Roman" w:hAnsi="Times" w:cs="Arial"/>
          <w:bCs/>
          <w:kern w:val="0"/>
          <w:sz w:val="24"/>
          <w:szCs w:val="20"/>
          <w:lang w:eastAsia="pl-PL"/>
          <w14:ligatures w14:val="none"/>
        </w:rPr>
        <w:tab/>
        <w:t>zapewnienia, aby transferowi kryptoaktywów towarzyszyły informacje o inicjatorze transferu lub beneficjencie transferu, o którym mowa w art. 14 i art. 15 rozporządzenia 2023/1113,</w:t>
      </w:r>
    </w:p>
    <w:p w14:paraId="1D248D51"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8)</w:t>
      </w:r>
      <w:r w:rsidRPr="00076A91">
        <w:rPr>
          <w:rFonts w:ascii="Times" w:eastAsia="Times New Roman" w:hAnsi="Times" w:cs="Arial"/>
          <w:bCs/>
          <w:kern w:val="0"/>
          <w:sz w:val="24"/>
          <w:szCs w:val="20"/>
          <w:lang w:eastAsia="pl-PL"/>
          <w14:ligatures w14:val="none"/>
        </w:rPr>
        <w:tab/>
        <w:t>wdrożenia skutecznych procedur pozwalających na wykrywanie brakujących informacji o inicjatorze transferu lub beneficjencie transferu, o których mowa w art. 16 i art. 17 rozporządzenia 2023/1113, lub obowiązków, o których mowa w art. 11, art. 12, art. 20 i art. 21 rozporządzenia 2023/1113,</w:t>
      </w:r>
    </w:p>
    <w:p w14:paraId="1E4E1D77"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9)</w:t>
      </w:r>
      <w:r w:rsidRPr="00076A91">
        <w:rPr>
          <w:rFonts w:ascii="Times" w:eastAsia="Times New Roman" w:hAnsi="Times" w:cs="Arial"/>
          <w:bCs/>
          <w:kern w:val="0"/>
          <w:sz w:val="24"/>
          <w:szCs w:val="20"/>
          <w:lang w:eastAsia="pl-PL"/>
          <w14:ligatures w14:val="none"/>
        </w:rPr>
        <w:tab/>
        <w:t>informowania Generalnego Inspektora o nieprzekazywaniu wymaganych informacji o inicjatorze transferu lub beneficjencie transferu oraz o podjętych działaniach, o którym mowa w art. 17 rozporządzenia 2023/1113,</w:t>
      </w:r>
    </w:p>
    <w:p w14:paraId="35CD2B2F"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10)</w:t>
      </w:r>
      <w:r w:rsidRPr="00076A91">
        <w:rPr>
          <w:rFonts w:ascii="Times" w:eastAsia="Times New Roman" w:hAnsi="Times" w:cs="Arial"/>
          <w:bCs/>
          <w:kern w:val="0"/>
          <w:sz w:val="24"/>
          <w:szCs w:val="20"/>
          <w:lang w:eastAsia="pl-PL"/>
          <w14:ligatures w14:val="none"/>
        </w:rPr>
        <w:tab/>
        <w:t>zachowania wszystkich otrzymanych informacji o inicjatorze transferu i beneficjencie transferu, które towarzyszą transferowi, o którym mowa w art. 19 rozporządzenia 2023/1113,</w:t>
      </w:r>
    </w:p>
    <w:p w14:paraId="1AFE7275" w14:textId="77777777" w:rsidR="00027D06" w:rsidRPr="00076A91" w:rsidRDefault="00027D06" w:rsidP="00027D06">
      <w:pPr>
        <w:spacing w:after="0" w:line="360" w:lineRule="auto"/>
        <w:ind w:left="102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11)</w:t>
      </w:r>
      <w:r w:rsidRPr="00076A91">
        <w:rPr>
          <w:rFonts w:ascii="Times" w:eastAsia="Times New Roman" w:hAnsi="Times" w:cs="Arial"/>
          <w:bCs/>
          <w:kern w:val="0"/>
          <w:sz w:val="24"/>
          <w:szCs w:val="20"/>
          <w:lang w:eastAsia="pl-PL"/>
          <w14:ligatures w14:val="none"/>
        </w:rPr>
        <w:tab/>
        <w:t>posiadania wewnętrznych polityk, procedur i mechanizmów kontroli, o którym mowa w art. 23 rozporządzenia 2023/1113</w:t>
      </w:r>
    </w:p>
    <w:p w14:paraId="2E79B7D0" w14:textId="77777777" w:rsidR="00027D06" w:rsidRPr="00076A91" w:rsidRDefault="00027D06" w:rsidP="00027D06">
      <w:pPr>
        <w:spacing w:after="0" w:line="360" w:lineRule="auto"/>
        <w:ind w:left="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podlega karze administracyjnej.”;</w:t>
      </w:r>
    </w:p>
    <w:p w14:paraId="0E8D8114"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21)</w:t>
      </w:r>
      <w:r w:rsidRPr="00076A91">
        <w:rPr>
          <w:rFonts w:ascii="Times" w:eastAsia="Times New Roman" w:hAnsi="Times" w:cs="Arial"/>
          <w:bCs/>
          <w:kern w:val="0"/>
          <w:sz w:val="24"/>
          <w:szCs w:val="20"/>
          <w:lang w:eastAsia="pl-PL"/>
          <w14:ligatures w14:val="none"/>
        </w:rPr>
        <w:tab/>
        <w:t>uchyla się art. 153b.</w:t>
      </w:r>
    </w:p>
    <w:bookmarkEnd w:id="92"/>
    <w:p w14:paraId="659D9FED" w14:textId="77777777" w:rsidR="00027D06" w:rsidRPr="00076A91" w:rsidRDefault="00027D06" w:rsidP="00027D06">
      <w:pPr>
        <w:keepNext/>
        <w:suppressAutoHyphens/>
        <w:spacing w:before="120" w:after="0" w:line="360" w:lineRule="auto"/>
        <w:jc w:val="center"/>
        <w:rPr>
          <w:rFonts w:ascii="Times" w:eastAsia="Times New Roman" w:hAnsi="Times" w:cs="Arial"/>
          <w:bCs/>
          <w:kern w:val="24"/>
          <w:sz w:val="24"/>
          <w:szCs w:val="24"/>
          <w:lang w:eastAsia="pl-PL"/>
          <w14:ligatures w14:val="none"/>
        </w:rPr>
      </w:pPr>
      <w:r w:rsidRPr="00076A91">
        <w:rPr>
          <w:rFonts w:ascii="Times" w:eastAsia="Times New Roman" w:hAnsi="Times" w:cs="Arial"/>
          <w:bCs/>
          <w:kern w:val="24"/>
          <w:sz w:val="24"/>
          <w:szCs w:val="24"/>
          <w:lang w:eastAsia="pl-PL"/>
          <w14:ligatures w14:val="none"/>
        </w:rPr>
        <w:t>Rozdział 10</w:t>
      </w:r>
    </w:p>
    <w:p w14:paraId="6B0D21C2" w14:textId="77777777" w:rsidR="00027D06" w:rsidRPr="00076A91" w:rsidRDefault="00027D06" w:rsidP="00027D06">
      <w:pPr>
        <w:keepNext/>
        <w:suppressAutoHyphens/>
        <w:spacing w:before="120" w:after="0" w:line="360" w:lineRule="auto"/>
        <w:jc w:val="center"/>
        <w:rPr>
          <w:rFonts w:ascii="Times" w:eastAsia="Times New Roman" w:hAnsi="Times" w:cs="Times New Roman"/>
          <w:b/>
          <w:bCs/>
          <w:kern w:val="0"/>
          <w:sz w:val="24"/>
          <w:szCs w:val="24"/>
          <w:lang w:eastAsia="pl-PL"/>
          <w14:ligatures w14:val="none"/>
        </w:rPr>
      </w:pPr>
      <w:r w:rsidRPr="00076A91">
        <w:rPr>
          <w:rFonts w:ascii="Times" w:eastAsia="Times New Roman" w:hAnsi="Times" w:cs="Times New Roman"/>
          <w:b/>
          <w:bCs/>
          <w:kern w:val="0"/>
          <w:sz w:val="24"/>
          <w:szCs w:val="24"/>
          <w:lang w:eastAsia="pl-PL"/>
          <w14:ligatures w14:val="none"/>
        </w:rPr>
        <w:t>Przepisy przejściowe, dostosowujące i przepis końcowy</w:t>
      </w:r>
    </w:p>
    <w:p w14:paraId="71D5076F" w14:textId="03884F1A"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16</w:t>
      </w:r>
      <w:r w:rsidR="000A668B">
        <w:rPr>
          <w:rFonts w:ascii="Times" w:eastAsia="Times New Roman" w:hAnsi="Times" w:cs="Arial"/>
          <w:b/>
          <w:kern w:val="0"/>
          <w:sz w:val="24"/>
          <w:szCs w:val="20"/>
          <w:lang w:eastAsia="pl-PL"/>
          <w14:ligatures w14:val="none"/>
        </w:rPr>
        <w:t>5</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Bank uprawniony do wydawania pieniądza elektronicznego, zamierzający od dnia wejścia w życie ustawy podjąć działalność w zakresie emisji tokenów będących e-pieniądzem, może prowadzić tę działalność po dostosowaniu swojego statutu do zakresu czynności bankowych określonego w:</w:t>
      </w:r>
    </w:p>
    <w:p w14:paraId="148B2630" w14:textId="02833388"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1)</w:t>
      </w:r>
      <w:r w:rsidRPr="00076A91">
        <w:rPr>
          <w:rFonts w:ascii="Times" w:eastAsia="Times New Roman" w:hAnsi="Times" w:cs="Arial"/>
          <w:bCs/>
          <w:kern w:val="0"/>
          <w:sz w:val="24"/>
          <w:szCs w:val="20"/>
          <w:lang w:eastAsia="pl-PL"/>
          <w14:ligatures w14:val="none"/>
        </w:rPr>
        <w:tab/>
        <w:t xml:space="preserve">art. 5 ust. 2 pkt 3a ustawy zmienianej w art. </w:t>
      </w:r>
      <w:r w:rsidR="0022520E" w:rsidRPr="00076A91">
        <w:rPr>
          <w:rFonts w:ascii="Times" w:eastAsia="Times New Roman" w:hAnsi="Times" w:cs="Arial"/>
          <w:bCs/>
          <w:kern w:val="0"/>
          <w:sz w:val="24"/>
          <w:szCs w:val="20"/>
          <w:lang w:eastAsia="pl-PL"/>
          <w14:ligatures w14:val="none"/>
        </w:rPr>
        <w:t>14</w:t>
      </w:r>
      <w:r w:rsidR="0022520E">
        <w:rPr>
          <w:rFonts w:ascii="Times" w:eastAsia="Times New Roman" w:hAnsi="Times" w:cs="Arial"/>
          <w:bCs/>
          <w:kern w:val="0"/>
          <w:sz w:val="24"/>
          <w:szCs w:val="20"/>
          <w:lang w:eastAsia="pl-PL"/>
          <w14:ligatures w14:val="none"/>
        </w:rPr>
        <w:t>5</w:t>
      </w:r>
      <w:r w:rsidRPr="00076A91">
        <w:rPr>
          <w:rFonts w:ascii="Times" w:eastAsia="Times New Roman" w:hAnsi="Times" w:cs="Arial"/>
          <w:bCs/>
          <w:kern w:val="0"/>
          <w:sz w:val="24"/>
          <w:szCs w:val="20"/>
          <w:lang w:eastAsia="pl-PL"/>
          <w14:ligatures w14:val="none"/>
        </w:rPr>
        <w:t>;</w:t>
      </w:r>
    </w:p>
    <w:p w14:paraId="3944B277" w14:textId="6BB1D686"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 xml:space="preserve">art. 6 ust. 1 pkt 9a ustawy zmienianej w art. </w:t>
      </w:r>
      <w:r w:rsidR="0022520E" w:rsidRPr="00076A91">
        <w:rPr>
          <w:rFonts w:ascii="Times" w:eastAsia="Times New Roman" w:hAnsi="Times" w:cs="Arial"/>
          <w:bCs/>
          <w:kern w:val="0"/>
          <w:sz w:val="24"/>
          <w:szCs w:val="20"/>
          <w:lang w:eastAsia="pl-PL"/>
          <w14:ligatures w14:val="none"/>
        </w:rPr>
        <w:t>14</w:t>
      </w:r>
      <w:r w:rsidR="0022520E">
        <w:rPr>
          <w:rFonts w:ascii="Times" w:eastAsia="Times New Roman" w:hAnsi="Times" w:cs="Arial"/>
          <w:bCs/>
          <w:kern w:val="0"/>
          <w:sz w:val="24"/>
          <w:szCs w:val="20"/>
          <w:lang w:eastAsia="pl-PL"/>
          <w14:ligatures w14:val="none"/>
        </w:rPr>
        <w:t>7</w:t>
      </w:r>
      <w:r w:rsidR="0022520E"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w przypadku banku spółdzielczego, innego niż bank spółdzielczy, o którym mowa w art. 1 ust. 2 tej ustawy.</w:t>
      </w:r>
    </w:p>
    <w:p w14:paraId="1B7F4D75"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Bank uprawniony do wydawania pieniądza elektronicznego, który przed dniem wejścia w życie ustawy prowadził działalność w zakresie emisji tokenów będących e-pieniądzem, może prowadzić tę działalność od dnia wejścia w życie ustawy na podstawie dotychczasowego statutu do dnia jego dostosowania do zakresu czynności bankowych określonego w:</w:t>
      </w:r>
    </w:p>
    <w:p w14:paraId="7DCB4D41" w14:textId="0F4A2A0D"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 xml:space="preserve">art. 5 ust. 2 pkt 3a ustawy zmienianej w art. </w:t>
      </w:r>
      <w:r w:rsidR="0022520E" w:rsidRPr="00076A91">
        <w:rPr>
          <w:rFonts w:ascii="Times" w:eastAsia="Times New Roman" w:hAnsi="Times" w:cs="Arial"/>
          <w:bCs/>
          <w:kern w:val="0"/>
          <w:sz w:val="24"/>
          <w:szCs w:val="20"/>
          <w:lang w:eastAsia="pl-PL"/>
          <w14:ligatures w14:val="none"/>
        </w:rPr>
        <w:t>14</w:t>
      </w:r>
      <w:r w:rsidR="0022520E">
        <w:rPr>
          <w:rFonts w:ascii="Times" w:eastAsia="Times New Roman" w:hAnsi="Times" w:cs="Arial"/>
          <w:bCs/>
          <w:kern w:val="0"/>
          <w:sz w:val="24"/>
          <w:szCs w:val="20"/>
          <w:lang w:eastAsia="pl-PL"/>
          <w14:ligatures w14:val="none"/>
        </w:rPr>
        <w:t>5</w:t>
      </w:r>
      <w:r w:rsidRPr="00076A91">
        <w:rPr>
          <w:rFonts w:ascii="Times" w:eastAsia="Times New Roman" w:hAnsi="Times" w:cs="Arial"/>
          <w:bCs/>
          <w:kern w:val="0"/>
          <w:sz w:val="24"/>
          <w:szCs w:val="20"/>
          <w:lang w:eastAsia="pl-PL"/>
          <w14:ligatures w14:val="none"/>
        </w:rPr>
        <w:t>,</w:t>
      </w:r>
    </w:p>
    <w:p w14:paraId="7B5FA8F3" w14:textId="44CD3DF0"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 xml:space="preserve">art. 6 ust. 1 pkt 9a ustawy zmienianej w art. </w:t>
      </w:r>
      <w:r w:rsidR="0022520E" w:rsidRPr="00076A91">
        <w:rPr>
          <w:rFonts w:ascii="Times" w:eastAsia="Times New Roman" w:hAnsi="Times" w:cs="Arial"/>
          <w:bCs/>
          <w:kern w:val="0"/>
          <w:sz w:val="24"/>
          <w:szCs w:val="20"/>
          <w:lang w:eastAsia="pl-PL"/>
          <w14:ligatures w14:val="none"/>
        </w:rPr>
        <w:t>14</w:t>
      </w:r>
      <w:r w:rsidR="0022520E">
        <w:rPr>
          <w:rFonts w:ascii="Times" w:eastAsia="Times New Roman" w:hAnsi="Times" w:cs="Arial"/>
          <w:bCs/>
          <w:kern w:val="0"/>
          <w:sz w:val="24"/>
          <w:szCs w:val="20"/>
          <w:lang w:eastAsia="pl-PL"/>
          <w14:ligatures w14:val="none"/>
        </w:rPr>
        <w:t>7</w:t>
      </w:r>
      <w:r w:rsidR="0022520E"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w przypadku banku spółdzielczego, z wyłączeniem banku spółdzielczego, o którym mowa w art. 1 ust. 2 tej ustawy</w:t>
      </w:r>
    </w:p>
    <w:p w14:paraId="1FE179AD" w14:textId="77777777" w:rsidR="00027D06" w:rsidRPr="00076A91" w:rsidRDefault="00027D06" w:rsidP="00027D06">
      <w:pPr>
        <w:spacing w:after="0" w:line="360" w:lineRule="auto"/>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nie dłużej jednak niż przez okres 6 miesięcy od dnia wejścia w życie ustawy.</w:t>
      </w:r>
    </w:p>
    <w:p w14:paraId="28059E04" w14:textId="13DB6CBE"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3. Do dostosowania statutu, o którym mowa w ust. 1 i 2, przepis art. 34 ustawy zmienianej w art. </w:t>
      </w:r>
      <w:r w:rsidR="00CB42EC" w:rsidRPr="00076A91">
        <w:rPr>
          <w:rFonts w:ascii="Times" w:eastAsia="Times New Roman" w:hAnsi="Times" w:cs="Arial"/>
          <w:bCs/>
          <w:kern w:val="0"/>
          <w:sz w:val="24"/>
          <w:szCs w:val="20"/>
          <w:lang w:eastAsia="pl-PL"/>
          <w14:ligatures w14:val="none"/>
        </w:rPr>
        <w:t xml:space="preserve">144 </w:t>
      </w:r>
      <w:r w:rsidRPr="00076A91">
        <w:rPr>
          <w:rFonts w:ascii="Times" w:eastAsia="Times New Roman" w:hAnsi="Times" w:cs="Arial"/>
          <w:bCs/>
          <w:kern w:val="0"/>
          <w:sz w:val="24"/>
          <w:szCs w:val="20"/>
          <w:lang w:eastAsia="pl-PL"/>
          <w14:ligatures w14:val="none"/>
        </w:rPr>
        <w:t>stosuje się odpowiednio.</w:t>
      </w:r>
    </w:p>
    <w:p w14:paraId="7A8BD3D2" w14:textId="0CBB3699"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16</w:t>
      </w:r>
      <w:r w:rsidR="000A668B">
        <w:rPr>
          <w:rFonts w:ascii="Times" w:eastAsia="Times New Roman" w:hAnsi="Times" w:cs="Arial"/>
          <w:b/>
          <w:kern w:val="0"/>
          <w:sz w:val="24"/>
          <w:szCs w:val="20"/>
          <w:lang w:eastAsia="pl-PL"/>
          <w14:ligatures w14:val="none"/>
        </w:rPr>
        <w:t>6</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Podmiot niebędący dostawcą usług płatniczych, o którym mowa w art. 4 ust. 1 i 2 ustawy zmienianej w art. </w:t>
      </w:r>
      <w:r w:rsidR="0022520E" w:rsidRPr="00076A91">
        <w:rPr>
          <w:rFonts w:ascii="Times" w:eastAsia="Times New Roman" w:hAnsi="Times" w:cs="Arial"/>
          <w:kern w:val="0"/>
          <w:sz w:val="24"/>
          <w:szCs w:val="20"/>
          <w:lang w:eastAsia="pl-PL"/>
          <w14:ligatures w14:val="none"/>
        </w:rPr>
        <w:t>15</w:t>
      </w:r>
      <w:r w:rsidR="0022520E">
        <w:rPr>
          <w:rFonts w:ascii="Times" w:eastAsia="Times New Roman" w:hAnsi="Times" w:cs="Arial"/>
          <w:kern w:val="0"/>
          <w:sz w:val="24"/>
          <w:szCs w:val="20"/>
          <w:lang w:eastAsia="pl-PL"/>
          <w14:ligatures w14:val="none"/>
        </w:rPr>
        <w:t>8</w:t>
      </w:r>
      <w:r w:rsidRPr="00076A91">
        <w:rPr>
          <w:rFonts w:ascii="Times" w:eastAsia="Times New Roman" w:hAnsi="Times" w:cs="Arial"/>
          <w:kern w:val="0"/>
          <w:sz w:val="24"/>
          <w:szCs w:val="20"/>
          <w:lang w:eastAsia="pl-PL"/>
          <w14:ligatures w14:val="none"/>
        </w:rPr>
        <w:t xml:space="preserve">, który w dniu wejścia w życie ustawy prowadzi działalność gospodarczą w zakresie usług bezgotówkowej wymiany walut w rozumieniu art. 2 ust. 1 pkt 18c ustawy zmienianej w art. </w:t>
      </w:r>
      <w:r w:rsidR="0022520E" w:rsidRPr="00076A91">
        <w:rPr>
          <w:rFonts w:ascii="Times" w:eastAsia="Times New Roman" w:hAnsi="Times" w:cs="Arial"/>
          <w:kern w:val="0"/>
          <w:sz w:val="24"/>
          <w:szCs w:val="20"/>
          <w:lang w:eastAsia="pl-PL"/>
          <w14:ligatures w14:val="none"/>
        </w:rPr>
        <w:t>1</w:t>
      </w:r>
      <w:r w:rsidR="0022520E">
        <w:rPr>
          <w:rFonts w:ascii="Times" w:eastAsia="Times New Roman" w:hAnsi="Times" w:cs="Arial"/>
          <w:kern w:val="0"/>
          <w:sz w:val="24"/>
          <w:szCs w:val="20"/>
          <w:lang w:eastAsia="pl-PL"/>
          <w14:ligatures w14:val="none"/>
        </w:rPr>
        <w:t>50</w:t>
      </w:r>
      <w:r w:rsidRPr="00076A91">
        <w:rPr>
          <w:rFonts w:ascii="Times" w:eastAsia="Times New Roman" w:hAnsi="Times" w:cs="Arial"/>
          <w:kern w:val="0"/>
          <w:sz w:val="24"/>
          <w:szCs w:val="20"/>
          <w:lang w:eastAsia="pl-PL"/>
          <w14:ligatures w14:val="none"/>
        </w:rPr>
        <w:t xml:space="preserve">, jest obowiązany w terminie 6 miesięcy od dnia wejścia w życie ustawy dostosować tę działalność do warunku określonego w art. 3a ust. 2 ustawy zmienianej w art. </w:t>
      </w:r>
      <w:r w:rsidR="0022520E" w:rsidRPr="00076A91">
        <w:rPr>
          <w:rFonts w:ascii="Times" w:eastAsia="Times New Roman" w:hAnsi="Times" w:cs="Arial"/>
          <w:kern w:val="0"/>
          <w:sz w:val="24"/>
          <w:szCs w:val="20"/>
          <w:lang w:eastAsia="pl-PL"/>
          <w14:ligatures w14:val="none"/>
        </w:rPr>
        <w:t>1</w:t>
      </w:r>
      <w:r w:rsidR="0022520E">
        <w:rPr>
          <w:rFonts w:ascii="Times" w:eastAsia="Times New Roman" w:hAnsi="Times" w:cs="Arial"/>
          <w:kern w:val="0"/>
          <w:sz w:val="24"/>
          <w:szCs w:val="20"/>
          <w:lang w:eastAsia="pl-PL"/>
          <w14:ligatures w14:val="none"/>
        </w:rPr>
        <w:t>50</w:t>
      </w:r>
      <w:r w:rsidR="0022520E"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albo zakończyć tę działalność.</w:t>
      </w:r>
    </w:p>
    <w:p w14:paraId="614A0D5B"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Jeżeli do dostosowania działalności, o którym mowa w ust. 1, niezbędne jest uzyskanie zezwolenia Komisji albo wpis do rejestru prowadzonego przez Komisję, podmiot, o którym mowa w ust. 1, może od dnia wejścia w życie ustawy kontynuować działalność w zakresie usług bezgotówkowej wymiany walut na dotychczasowych zasadach, do czasu wydania przez Komisję rozstrzygnięcia w przedmiocie tego zezwolenia albo dokonania tego wpisu do rejestru, pod warunkiem złożenia wniosku o wydanie tego zezwolenia albo dokonanie tego wpisu w terminie, o którym mowa w ust. 1.</w:t>
      </w:r>
    </w:p>
    <w:p w14:paraId="70EF55D0" w14:textId="7C7FD683"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3. Do działalności w zakresie usług bezgotówkowej wymiany walut prowadzonej zgodnie z ust. 1 lub 2 przepisu art. 150 ust. 1a ustawy zmienianej w art. </w:t>
      </w:r>
      <w:r w:rsidR="0022520E" w:rsidRPr="00076A91">
        <w:rPr>
          <w:rFonts w:ascii="Times" w:eastAsia="Times New Roman" w:hAnsi="Times" w:cs="Arial"/>
          <w:bCs/>
          <w:kern w:val="0"/>
          <w:sz w:val="24"/>
          <w:szCs w:val="20"/>
          <w:lang w:eastAsia="pl-PL"/>
          <w14:ligatures w14:val="none"/>
        </w:rPr>
        <w:t>15</w:t>
      </w:r>
      <w:r w:rsidR="0022520E">
        <w:rPr>
          <w:rFonts w:ascii="Times" w:eastAsia="Times New Roman" w:hAnsi="Times" w:cs="Arial"/>
          <w:bCs/>
          <w:kern w:val="0"/>
          <w:sz w:val="24"/>
          <w:szCs w:val="20"/>
          <w:lang w:eastAsia="pl-PL"/>
          <w14:ligatures w14:val="none"/>
        </w:rPr>
        <w:t>8</w:t>
      </w:r>
      <w:r w:rsidR="0022520E"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nie stosuje się.</w:t>
      </w:r>
    </w:p>
    <w:p w14:paraId="28BC1323" w14:textId="5E08CF03"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16</w:t>
      </w:r>
      <w:r w:rsidR="000A668B">
        <w:rPr>
          <w:rFonts w:ascii="Times" w:eastAsia="Times New Roman" w:hAnsi="Times" w:cs="Arial"/>
          <w:b/>
          <w:kern w:val="0"/>
          <w:sz w:val="24"/>
          <w:szCs w:val="20"/>
          <w:lang w:eastAsia="pl-PL"/>
          <w14:ligatures w14:val="none"/>
        </w:rPr>
        <w:t>7</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Z rejestru działalności na rzecz spółek lub trustów wykreśla się, w drodze decyzji, podmiot wpisany na dzień wejścia w życie ustawy do tego rejestru, który na ten dzień nie spełnia warunku, o którym mowa w art. 129b ust. 1 pkt 1 ustawy zmienianej w art. </w:t>
      </w:r>
      <w:r w:rsidR="0022520E" w:rsidRPr="00076A91">
        <w:rPr>
          <w:rFonts w:ascii="Times" w:eastAsia="Times New Roman" w:hAnsi="Times" w:cs="Arial"/>
          <w:kern w:val="0"/>
          <w:sz w:val="24"/>
          <w:szCs w:val="20"/>
          <w:lang w:eastAsia="pl-PL"/>
          <w14:ligatures w14:val="none"/>
        </w:rPr>
        <w:t>16</w:t>
      </w:r>
      <w:r w:rsidR="0022520E">
        <w:rPr>
          <w:rFonts w:ascii="Times" w:eastAsia="Times New Roman" w:hAnsi="Times" w:cs="Arial"/>
          <w:kern w:val="0"/>
          <w:sz w:val="24"/>
          <w:szCs w:val="20"/>
          <w:lang w:eastAsia="pl-PL"/>
          <w14:ligatures w14:val="none"/>
        </w:rPr>
        <w:t>4</w:t>
      </w:r>
      <w:r w:rsidRPr="00076A91">
        <w:rPr>
          <w:rFonts w:ascii="Times" w:eastAsia="Times New Roman" w:hAnsi="Times" w:cs="Arial"/>
          <w:kern w:val="0"/>
          <w:sz w:val="24"/>
          <w:szCs w:val="20"/>
          <w:lang w:eastAsia="pl-PL"/>
          <w14:ligatures w14:val="none"/>
        </w:rPr>
        <w:t xml:space="preserve">, w brzmieniu nadanym niniejszą ustawą, w zakresie wpisu do Centralnej Ewidencji i Informacji o </w:t>
      </w:r>
      <w:r w:rsidRPr="00076A91">
        <w:rPr>
          <w:rFonts w:ascii="Times" w:eastAsia="Times New Roman" w:hAnsi="Times" w:cs="Arial"/>
          <w:kern w:val="0"/>
          <w:sz w:val="24"/>
          <w:szCs w:val="20"/>
          <w:lang w:eastAsia="pl-PL"/>
          <w14:ligatures w14:val="none"/>
        </w:rPr>
        <w:lastRenderedPageBreak/>
        <w:t xml:space="preserve">Działalności Gospodarczej, albo warunku, o którym mowa w art. 129b ust. 1 pkt 2 ustawy zmienianej w art. </w:t>
      </w:r>
      <w:r w:rsidR="0022520E" w:rsidRPr="00076A91">
        <w:rPr>
          <w:rFonts w:ascii="Times" w:eastAsia="Times New Roman" w:hAnsi="Times" w:cs="Arial"/>
          <w:kern w:val="0"/>
          <w:sz w:val="24"/>
          <w:szCs w:val="20"/>
          <w:lang w:eastAsia="pl-PL"/>
          <w14:ligatures w14:val="none"/>
        </w:rPr>
        <w:t>16</w:t>
      </w:r>
      <w:r w:rsidR="0022520E">
        <w:rPr>
          <w:rFonts w:ascii="Times" w:eastAsia="Times New Roman" w:hAnsi="Times" w:cs="Arial"/>
          <w:kern w:val="0"/>
          <w:sz w:val="24"/>
          <w:szCs w:val="20"/>
          <w:lang w:eastAsia="pl-PL"/>
          <w14:ligatures w14:val="none"/>
        </w:rPr>
        <w:t>4</w:t>
      </w:r>
      <w:r w:rsidRPr="00076A91">
        <w:rPr>
          <w:rFonts w:ascii="Times" w:eastAsia="Times New Roman" w:hAnsi="Times" w:cs="Arial"/>
          <w:kern w:val="0"/>
          <w:sz w:val="24"/>
          <w:szCs w:val="20"/>
          <w:lang w:eastAsia="pl-PL"/>
          <w14:ligatures w14:val="none"/>
        </w:rPr>
        <w:t>, w brzmieniu nadanym niniejszą ustawą, w zakresie wpisu do rejestru przedsiębiorców Krajowego Rejestru Sądowego, jeżeli w terminie 30 dni od dnia wejścia w życie ustawy podmiot ten nie uzyska:</w:t>
      </w:r>
    </w:p>
    <w:p w14:paraId="5236E1E2"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wpisu do Centralnej Ewidencji i Informacji o Działalności Gospodarczej – w przypadku osoby fizycznej;</w:t>
      </w:r>
    </w:p>
    <w:p w14:paraId="1E846F79"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wpisu do rejestru przedsiębiorców Krajowego Rejestru Sądowego – w przypadku osoby prawnej oraz jednostki organizacyjnej nieposiadającej osobowości prawnej.</w:t>
      </w:r>
    </w:p>
    <w:p w14:paraId="59B53CAA"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 Z rejestru działalności na rzecz spółek lub trustów wykreśla się, w drodze decyzji, podmiot wpisany na dzień wejścia w życie ustawy do tego rejestru, jeżeli w terminie 6 miesięcy od dnia wejścia w życie ustawy podmiot ten nie wskaże organowi prowadzącemu rejestr aktualnej siedziby i adresu ujawnionego w Krajowym Rejestrze Sądowym albo adresu do doręczeń zgodnego z adresem ujawnionym w Centralnej Ewidencji i Informacji o Działalności Gospodarczej.</w:t>
      </w:r>
    </w:p>
    <w:p w14:paraId="18E51915" w14:textId="4EFD576D"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16</w:t>
      </w:r>
      <w:r w:rsidR="000A668B">
        <w:rPr>
          <w:rFonts w:ascii="Times" w:eastAsia="Times New Roman" w:hAnsi="Times" w:cs="Arial"/>
          <w:b/>
          <w:kern w:val="0"/>
          <w:sz w:val="24"/>
          <w:szCs w:val="20"/>
          <w:lang w:eastAsia="pl-PL"/>
          <w14:ligatures w14:val="none"/>
        </w:rPr>
        <w:t>8</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Podmiot, który złożył wniosek o wpis do rejestru działalności na rzecz spółek lub trustów, który nie został rozpatrzony przed dniem wejścia w życie ustawy, jest obowiązany uzupełnić go zgodnie z art. 129f ust. 1 pkt 1 i 2 ustawy zmienianej w art. </w:t>
      </w:r>
      <w:r w:rsidR="0022520E" w:rsidRPr="00076A91">
        <w:rPr>
          <w:rFonts w:ascii="Times" w:eastAsia="Times New Roman" w:hAnsi="Times" w:cs="Arial"/>
          <w:kern w:val="0"/>
          <w:sz w:val="24"/>
          <w:szCs w:val="20"/>
          <w:lang w:eastAsia="pl-PL"/>
          <w14:ligatures w14:val="none"/>
        </w:rPr>
        <w:t>16</w:t>
      </w:r>
      <w:r w:rsidR="0022520E">
        <w:rPr>
          <w:rFonts w:ascii="Times" w:eastAsia="Times New Roman" w:hAnsi="Times" w:cs="Arial"/>
          <w:kern w:val="0"/>
          <w:sz w:val="24"/>
          <w:szCs w:val="20"/>
          <w:lang w:eastAsia="pl-PL"/>
          <w14:ligatures w14:val="none"/>
        </w:rPr>
        <w:t>4</w:t>
      </w:r>
      <w:r w:rsidRPr="00076A91">
        <w:rPr>
          <w:rFonts w:ascii="Times" w:eastAsia="Times New Roman" w:hAnsi="Times" w:cs="Arial"/>
          <w:kern w:val="0"/>
          <w:sz w:val="24"/>
          <w:szCs w:val="20"/>
          <w:lang w:eastAsia="pl-PL"/>
          <w14:ligatures w14:val="none"/>
        </w:rPr>
        <w:t>, w brzmieniu nadanym niniejszą ustawą, w terminie 30 dni od dnia wejścia w życie ustawy. Wniosek nieuzupełniony w tym terminie pozostawia się bez rozpatrzenia.</w:t>
      </w:r>
    </w:p>
    <w:p w14:paraId="27FFED82" w14:textId="11C010CB"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16</w:t>
      </w:r>
      <w:r w:rsidR="000A668B">
        <w:rPr>
          <w:rFonts w:ascii="Times" w:eastAsia="Times New Roman" w:hAnsi="Times" w:cs="Arial"/>
          <w:b/>
          <w:kern w:val="0"/>
          <w:sz w:val="24"/>
          <w:szCs w:val="20"/>
          <w:lang w:eastAsia="pl-PL"/>
          <w14:ligatures w14:val="none"/>
        </w:rPr>
        <w:t>9</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W okresie od dnia wejścia w życie ustawy do dnia uzyskania zezwolenia, o którym mowa w art. 59 ust. 1 lit. a rozporządzenia 2023/1114, albo odmowy udzielenia tego zezwolenia podmiot świadczący w dniu 29 grudnia 2024 r. usługi w zakresie kryptoaktywów niebędące działalnością gospodarczą polegającą na świadczeniu usług, o których mowa w art. 2 ust. 1 pkt 12 ustawy zmienianej w art. </w:t>
      </w:r>
      <w:r w:rsidR="0022520E" w:rsidRPr="00076A91">
        <w:rPr>
          <w:rFonts w:ascii="Times" w:eastAsia="Times New Roman" w:hAnsi="Times" w:cs="Arial"/>
          <w:kern w:val="0"/>
          <w:sz w:val="24"/>
          <w:szCs w:val="20"/>
          <w:lang w:eastAsia="pl-PL"/>
          <w14:ligatures w14:val="none"/>
        </w:rPr>
        <w:t>16</w:t>
      </w:r>
      <w:r w:rsidR="0022520E">
        <w:rPr>
          <w:rFonts w:ascii="Times" w:eastAsia="Times New Roman" w:hAnsi="Times" w:cs="Arial"/>
          <w:kern w:val="0"/>
          <w:sz w:val="24"/>
          <w:szCs w:val="20"/>
          <w:lang w:eastAsia="pl-PL"/>
          <w14:ligatures w14:val="none"/>
        </w:rPr>
        <w:t>4</w:t>
      </w:r>
      <w:r w:rsidRPr="00076A91">
        <w:rPr>
          <w:rFonts w:ascii="Times" w:eastAsia="Times New Roman" w:hAnsi="Times" w:cs="Arial"/>
          <w:kern w:val="0"/>
          <w:sz w:val="24"/>
          <w:szCs w:val="20"/>
          <w:lang w:eastAsia="pl-PL"/>
          <w14:ligatures w14:val="none"/>
        </w:rPr>
        <w:t>, w brzmieniu dotychczasowym, może świadczyć te usługi w zakresie kryptoaktywów na dotychczasowych zasadach, nie dłużej jednak niż do dnia 1 lipca 2026 r.</w:t>
      </w:r>
    </w:p>
    <w:p w14:paraId="20475484" w14:textId="08FDD71C"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kern w:val="0"/>
          <w:sz w:val="24"/>
          <w:szCs w:val="20"/>
          <w:lang w:eastAsia="pl-PL"/>
          <w14:ligatures w14:val="none"/>
        </w:rPr>
        <w:t xml:space="preserve">2. Pierwsze wybory, o których mowa w art. </w:t>
      </w:r>
      <w:r w:rsidR="00C53186" w:rsidRPr="00076A91">
        <w:rPr>
          <w:rFonts w:ascii="Times" w:eastAsia="Times New Roman" w:hAnsi="Times" w:cs="Arial"/>
          <w:kern w:val="0"/>
          <w:sz w:val="24"/>
          <w:szCs w:val="20"/>
          <w:lang w:eastAsia="pl-PL"/>
          <w14:ligatures w14:val="none"/>
        </w:rPr>
        <w:t xml:space="preserve">120 </w:t>
      </w:r>
      <w:r w:rsidRPr="00076A91">
        <w:rPr>
          <w:rFonts w:ascii="Times" w:eastAsia="Times New Roman" w:hAnsi="Times" w:cs="Arial"/>
          <w:kern w:val="0"/>
          <w:sz w:val="24"/>
          <w:szCs w:val="20"/>
          <w:lang w:eastAsia="pl-PL"/>
          <w14:ligatures w14:val="none"/>
        </w:rPr>
        <w:t>przeprowadza się w terminie 5 miesięcy od dnia wejścia w życie ustawy. Czynne prawo wyborcze przysługuje w nich wszystkim podmiotom, które złożyły i opłaciły wniosek o wydanie zezwolenia, o którym mowa w: art. 16 ust. 1 lit. a lub art. 59 ust. 1 lit. a rozporządzenia 2023/1114 – w terminie 3 miesięcy od dnia wejścia w życie ustawy. Komisja niezwłocznie przekazuje Kancelarii Prezesa Rady Ministrów informację o liście uprawnionych podmiotów.</w:t>
      </w:r>
    </w:p>
    <w:p w14:paraId="6B821FF2" w14:textId="70A0D3AC"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lastRenderedPageBreak/>
        <w:t>Art. </w:t>
      </w:r>
      <w:r w:rsidR="000A668B" w:rsidRPr="00076A91">
        <w:rPr>
          <w:rFonts w:ascii="Times" w:eastAsia="Times New Roman" w:hAnsi="Times" w:cs="Arial"/>
          <w:b/>
          <w:kern w:val="0"/>
          <w:sz w:val="24"/>
          <w:szCs w:val="20"/>
          <w:lang w:eastAsia="pl-PL"/>
          <w14:ligatures w14:val="none"/>
        </w:rPr>
        <w:t>1</w:t>
      </w:r>
      <w:r w:rsidR="000A668B">
        <w:rPr>
          <w:rFonts w:ascii="Times" w:eastAsia="Times New Roman" w:hAnsi="Times" w:cs="Arial"/>
          <w:b/>
          <w:kern w:val="0"/>
          <w:sz w:val="24"/>
          <w:szCs w:val="20"/>
          <w:lang w:eastAsia="pl-PL"/>
          <w14:ligatures w14:val="none"/>
        </w:rPr>
        <w:t>70</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W okresie od dnia wejścia w życie ustawy do dnia uzyskania zezwolenia, o którym mowa w art. 59 ust. 1 lit. a rozporządzenia 2023/1114, albo odmowy udzielenia tego zezwolenia podmiot wpisany na dzień wejścia w życie ustawy do rejestru działalności w zakresie walut wirtualnych może prowadzić działalność gospodarczą polegającą na świadczeniu usług, o których mowa w art. 2 ust. 1 pkt 12 ustawy zmienianej w art. </w:t>
      </w:r>
      <w:r w:rsidR="002A18D3" w:rsidRPr="00076A91">
        <w:rPr>
          <w:rFonts w:ascii="Times" w:eastAsia="Times New Roman" w:hAnsi="Times" w:cs="Arial"/>
          <w:kern w:val="0"/>
          <w:sz w:val="24"/>
          <w:szCs w:val="20"/>
          <w:lang w:eastAsia="pl-PL"/>
          <w14:ligatures w14:val="none"/>
        </w:rPr>
        <w:t>163</w:t>
      </w:r>
      <w:r w:rsidRPr="00076A91">
        <w:rPr>
          <w:rFonts w:ascii="Times" w:eastAsia="Times New Roman" w:hAnsi="Times" w:cs="Arial"/>
          <w:kern w:val="0"/>
          <w:sz w:val="24"/>
          <w:szCs w:val="20"/>
          <w:lang w:eastAsia="pl-PL"/>
          <w14:ligatures w14:val="none"/>
        </w:rPr>
        <w:t>, w brzmieniu dotychczasowym, na dotychczasowych zasadach, nie dłużej jednak niż do dnia 1 lipca 2026 r., chyba że przed upływem tego terminu zostanie wykreślony z rejestru działalności w zakresie walut wirtualnych.</w:t>
      </w:r>
    </w:p>
    <w:p w14:paraId="7A107881" w14:textId="051EBCA5"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2. Organ właściwy w sprawach rejestru działalności w zakresie walut wirtualnych, o którym mowa w art. 129p ustawy zmienianej w art. </w:t>
      </w:r>
      <w:r w:rsidR="002A18D3" w:rsidRPr="00076A91">
        <w:rPr>
          <w:rFonts w:ascii="Times" w:eastAsia="Times New Roman" w:hAnsi="Times" w:cs="Arial"/>
          <w:bCs/>
          <w:kern w:val="0"/>
          <w:sz w:val="24"/>
          <w:szCs w:val="20"/>
          <w:lang w:eastAsia="pl-PL"/>
          <w14:ligatures w14:val="none"/>
        </w:rPr>
        <w:t>163</w:t>
      </w:r>
      <w:r w:rsidRPr="00076A91">
        <w:rPr>
          <w:rFonts w:ascii="Times" w:eastAsia="Times New Roman" w:hAnsi="Times" w:cs="Arial"/>
          <w:bCs/>
          <w:kern w:val="0"/>
          <w:sz w:val="24"/>
          <w:szCs w:val="20"/>
          <w:lang w:eastAsia="pl-PL"/>
          <w14:ligatures w14:val="none"/>
        </w:rPr>
        <w:t>, zwany dalej „organem właściwym w sprawach rejestru”, wykreśla z rejestru podmiot, o którym mowa w ust. 1, prowadzący działalność gospodarczą, o której mowa w tym przepisie, na dotychczasowych zasadach także w przypadku:</w:t>
      </w:r>
    </w:p>
    <w:p w14:paraId="64EBD4C9"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braku wpisu do Centralnej Ewidencji i Informacji o Działalności Gospodarczej – w przypadku osób fizycznych albo do rejestru przedsiębiorców Krajowego Rejestru Sądowego – w przypadku osób prawnych lub jednostek organizacyjnych nieposiadających osobowości prawnej;</w:t>
      </w:r>
    </w:p>
    <w:p w14:paraId="464F20D3"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stwierdzenia, że w okresie tym:</w:t>
      </w:r>
    </w:p>
    <w:p w14:paraId="64AB1784"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a)</w:t>
      </w:r>
      <w:r w:rsidRPr="00076A91">
        <w:rPr>
          <w:rFonts w:ascii="Times" w:eastAsia="Times New Roman" w:hAnsi="Times" w:cs="Arial"/>
          <w:bCs/>
          <w:kern w:val="0"/>
          <w:sz w:val="24"/>
          <w:szCs w:val="20"/>
          <w:lang w:eastAsia="pl-PL"/>
          <w14:ligatures w14:val="none"/>
        </w:rPr>
        <w:tab/>
        <w:t>dwukrotnie nie odpowiedział na kierowane do niego, na adres zgodny z adresem do doręczeń ujawnionym w Centralnej Ewidencji i Informacji o Działalności Gospodarczej albo z siedzibą i adresem ujawnionymi w rejestrze przedsiębiorców Krajowego Rejestru Sądowego, żądanie w związku z kontrolą, o której mowa w art. 43 ust. 7 ustawy z dnia 6 marca 2018 r. – Prawo przedsiębiorców (Dz. U. z 2025 r. poz. 1480),</w:t>
      </w:r>
    </w:p>
    <w:p w14:paraId="12B20D21"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b)</w:t>
      </w:r>
      <w:r w:rsidRPr="00076A91">
        <w:rPr>
          <w:rFonts w:ascii="Times" w:eastAsia="Times New Roman" w:hAnsi="Times" w:cs="Arial"/>
          <w:bCs/>
          <w:kern w:val="0"/>
          <w:sz w:val="24"/>
          <w:szCs w:val="20"/>
          <w:lang w:eastAsia="pl-PL"/>
          <w14:ligatures w14:val="none"/>
        </w:rPr>
        <w:tab/>
        <w:t>odmówił przyjęcia albo nie podjął kierowanego do niego zawiadomienia o zamiarze wszczęcia kontroli, o której mowa w art. 43 ust. 7 ustawy z dnia 6 marca 2018 r. – Prawo przedsiębiorców,</w:t>
      </w:r>
    </w:p>
    <w:p w14:paraId="53AE6D39"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c)</w:t>
      </w:r>
      <w:r w:rsidRPr="00076A91">
        <w:rPr>
          <w:rFonts w:ascii="Times" w:eastAsia="Times New Roman" w:hAnsi="Times" w:cs="Arial"/>
          <w:bCs/>
          <w:kern w:val="0"/>
          <w:sz w:val="24"/>
          <w:szCs w:val="20"/>
          <w:lang w:eastAsia="pl-PL"/>
          <w14:ligatures w14:val="none"/>
        </w:rPr>
        <w:tab/>
        <w:t>wykreślono z rejestru przedsiębiorców Krajowego Rejestru Sądowego organ uprawniony do reprezentacji podmiotu lub osoby wchodzące w skład tego organu i nie wpisano do tego rejestru nowego organu uprawnionego do reprezentacji podmiotu lub nowych osób wchodzących w skład tego organu,</w:t>
      </w:r>
    </w:p>
    <w:p w14:paraId="65A1136C" w14:textId="77777777" w:rsidR="00027D06" w:rsidRPr="00076A91" w:rsidRDefault="00027D06" w:rsidP="00027D06">
      <w:pPr>
        <w:spacing w:after="0" w:line="360" w:lineRule="auto"/>
        <w:ind w:left="986" w:hanging="476"/>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d)</w:t>
      </w:r>
      <w:r w:rsidRPr="00076A91">
        <w:rPr>
          <w:rFonts w:ascii="Times" w:eastAsia="Times New Roman" w:hAnsi="Times" w:cs="Arial"/>
          <w:bCs/>
          <w:kern w:val="0"/>
          <w:sz w:val="24"/>
          <w:szCs w:val="20"/>
          <w:lang w:eastAsia="pl-PL"/>
          <w14:ligatures w14:val="none"/>
        </w:rPr>
        <w:tab/>
        <w:t>wykreślono z rejestru przedsiębiorców Krajowego Rejestru Sądowego adres podmiotu i nie wpisano do tego rejestru nowego adresu podmiotu;</w:t>
      </w:r>
    </w:p>
    <w:p w14:paraId="6F730FC4"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3)</w:t>
      </w:r>
      <w:r w:rsidRPr="00076A91">
        <w:rPr>
          <w:rFonts w:ascii="Times" w:eastAsia="Times New Roman" w:hAnsi="Times" w:cs="Arial"/>
          <w:bCs/>
          <w:kern w:val="0"/>
          <w:sz w:val="24"/>
          <w:szCs w:val="20"/>
          <w:lang w:eastAsia="pl-PL"/>
          <w14:ligatures w14:val="none"/>
        </w:rPr>
        <w:tab/>
        <w:t>uzyskania od Generalnego Inspektora Informacji Finansowej informacji o dwukrotnym niedopełnieniu w tym okresie obowiązku, o którym mowa w art. 76 ustawy zmienianej w art. 156.</w:t>
      </w:r>
    </w:p>
    <w:p w14:paraId="2C30C3DF"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 W przypadku zmiany danych dotyczących:</w:t>
      </w:r>
    </w:p>
    <w:p w14:paraId="65D70A9E"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listy wspólników,</w:t>
      </w:r>
    </w:p>
    <w:p w14:paraId="05BF299E"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beneficjenta rzeczywistego,</w:t>
      </w:r>
    </w:p>
    <w:p w14:paraId="11AC3A30"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3)</w:t>
      </w:r>
      <w:r w:rsidRPr="00076A91">
        <w:rPr>
          <w:rFonts w:ascii="Times" w:eastAsia="Times New Roman" w:hAnsi="Times" w:cs="Arial"/>
          <w:bCs/>
          <w:kern w:val="0"/>
          <w:sz w:val="24"/>
          <w:szCs w:val="20"/>
          <w:lang w:eastAsia="pl-PL"/>
          <w14:ligatures w14:val="none"/>
        </w:rPr>
        <w:tab/>
        <w:t>sposobu reprezentacji,</w:t>
      </w:r>
    </w:p>
    <w:p w14:paraId="17410839"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ab/>
        <w:t>osób uprawnionych do reprezentowania podmiotu</w:t>
      </w:r>
    </w:p>
    <w:p w14:paraId="34E542CE" w14:textId="77777777" w:rsidR="00027D06" w:rsidRPr="00076A91" w:rsidRDefault="00027D06" w:rsidP="00027D06">
      <w:pPr>
        <w:spacing w:after="0" w:line="360" w:lineRule="auto"/>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sym w:font="Symbol" w:char="F02D"/>
      </w:r>
      <w:r w:rsidRPr="00076A91">
        <w:rPr>
          <w:rFonts w:ascii="Times" w:eastAsia="Times New Roman" w:hAnsi="Times" w:cs="Arial"/>
          <w:bCs/>
          <w:kern w:val="0"/>
          <w:sz w:val="24"/>
          <w:szCs w:val="20"/>
          <w:lang w:eastAsia="pl-PL"/>
          <w14:ligatures w14:val="none"/>
        </w:rPr>
        <w:t xml:space="preserve"> podmiot, o którym mowa w ust. 1, składa informację o tych zmianach do organu właściwego w sprawach rejestru w terminie 14 dni od dnia ich dokonania, przedstawiając zakres zmian.</w:t>
      </w:r>
    </w:p>
    <w:p w14:paraId="5A40B958" w14:textId="77777777"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4. Od dnia wejścia w życie ustawy działalność gospodarcza, o której mowa w ust. 1, prowadzona na dotychczasowych zasadach przez podmiot, o którym mowa w tym przepisie, jest nadal działalnością regulowaną w rozumieniu przepisów ustawy z dnia 6 marca 2018 r. – Prawo przedsiębiorców.</w:t>
      </w:r>
    </w:p>
    <w:p w14:paraId="00133D04" w14:textId="4C8D6A16"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5. Wykonywanie przez podmioty, o których mowa w ust. 1, obowiązków w zakresie przeciwdziałania praniu pieniędzy oraz finansowaniu terroryzmu na dotychczasowych zasadach podlega kontroli, o której mowa w art. 130 ust. 1 ustawy zmienianej w art. </w:t>
      </w:r>
      <w:r w:rsidR="002A18D3" w:rsidRPr="00076A91">
        <w:rPr>
          <w:rFonts w:ascii="Times" w:eastAsia="Times New Roman" w:hAnsi="Times" w:cs="Arial"/>
          <w:bCs/>
          <w:kern w:val="0"/>
          <w:sz w:val="24"/>
          <w:szCs w:val="20"/>
          <w:lang w:eastAsia="pl-PL"/>
          <w14:ligatures w14:val="none"/>
        </w:rPr>
        <w:t>163</w:t>
      </w:r>
      <w:r w:rsidRPr="00076A91">
        <w:rPr>
          <w:rFonts w:ascii="Times" w:eastAsia="Times New Roman" w:hAnsi="Times" w:cs="Arial"/>
          <w:bCs/>
          <w:kern w:val="0"/>
          <w:sz w:val="24"/>
          <w:szCs w:val="20"/>
          <w:lang w:eastAsia="pl-PL"/>
          <w14:ligatures w14:val="none"/>
        </w:rPr>
        <w:t xml:space="preserve">. Przepisy rozdziału 12 ustawy zmienianej w art. </w:t>
      </w:r>
      <w:r w:rsidR="002A18D3" w:rsidRPr="00076A91">
        <w:rPr>
          <w:rFonts w:ascii="Times" w:eastAsia="Times New Roman" w:hAnsi="Times" w:cs="Arial"/>
          <w:bCs/>
          <w:kern w:val="0"/>
          <w:sz w:val="24"/>
          <w:szCs w:val="20"/>
          <w:lang w:eastAsia="pl-PL"/>
          <w14:ligatures w14:val="none"/>
        </w:rPr>
        <w:t xml:space="preserve">163 </w:t>
      </w:r>
      <w:r w:rsidRPr="00076A91">
        <w:rPr>
          <w:rFonts w:ascii="Times" w:eastAsia="Times New Roman" w:hAnsi="Times" w:cs="Arial"/>
          <w:bCs/>
          <w:kern w:val="0"/>
          <w:sz w:val="24"/>
          <w:szCs w:val="20"/>
          <w:lang w:eastAsia="pl-PL"/>
          <w14:ligatures w14:val="none"/>
        </w:rPr>
        <w:t>stosuje się odpowiednio.</w:t>
      </w:r>
    </w:p>
    <w:p w14:paraId="7D185FF9" w14:textId="29FDBDE3"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6. Do postępowań administracyjnych dotyczących wykreślenia podmiotu z rejestru działalności w zakresie walut wirtualnych na podstawie ust. 1 i 2 stosuje się odpowiednio art. 129k ust. 2 i 3 ustawy zmienianej w art. </w:t>
      </w:r>
      <w:r w:rsidR="002A18D3" w:rsidRPr="00076A91">
        <w:rPr>
          <w:rFonts w:ascii="Times" w:eastAsia="Times New Roman" w:hAnsi="Times" w:cs="Arial"/>
          <w:bCs/>
          <w:kern w:val="0"/>
          <w:sz w:val="24"/>
          <w:szCs w:val="20"/>
          <w:lang w:eastAsia="pl-PL"/>
          <w14:ligatures w14:val="none"/>
        </w:rPr>
        <w:t>163</w:t>
      </w:r>
      <w:r w:rsidRPr="00076A91">
        <w:rPr>
          <w:rFonts w:ascii="Times" w:eastAsia="Times New Roman" w:hAnsi="Times" w:cs="Arial"/>
          <w:bCs/>
          <w:kern w:val="0"/>
          <w:sz w:val="24"/>
          <w:szCs w:val="20"/>
          <w:lang w:eastAsia="pl-PL"/>
          <w14:ligatures w14:val="none"/>
        </w:rPr>
        <w:t>, w brzmieniu nadanym niniejszą ustawą.</w:t>
      </w:r>
    </w:p>
    <w:p w14:paraId="2B26C307" w14:textId="5FCC2604"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7. W przypadkach, o których mowa w ust. 1 i 2, w zakresie organu właściwego w sprawach rejestru oraz organu wyznaczonego na podstawie art. 129x ustawy zmienianej w art. 156 stosuje się przepisy ustawy zmienianej w art. </w:t>
      </w:r>
      <w:r w:rsidR="00C90CE9" w:rsidRPr="00076A91">
        <w:rPr>
          <w:rFonts w:ascii="Times" w:eastAsia="Times New Roman" w:hAnsi="Times" w:cs="Arial"/>
          <w:bCs/>
          <w:kern w:val="0"/>
          <w:sz w:val="24"/>
          <w:szCs w:val="20"/>
          <w:lang w:eastAsia="pl-PL"/>
          <w14:ligatures w14:val="none"/>
        </w:rPr>
        <w:t>163</w:t>
      </w:r>
      <w:r w:rsidRPr="00076A91">
        <w:rPr>
          <w:rFonts w:ascii="Times" w:eastAsia="Times New Roman" w:hAnsi="Times" w:cs="Arial"/>
          <w:bCs/>
          <w:kern w:val="0"/>
          <w:sz w:val="24"/>
          <w:szCs w:val="20"/>
          <w:lang w:eastAsia="pl-PL"/>
          <w14:ligatures w14:val="none"/>
        </w:rPr>
        <w:t>, w brzmieniu dotychczasowym.</w:t>
      </w:r>
    </w:p>
    <w:p w14:paraId="0914B67E" w14:textId="5F56ADD5"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8. Generalny Inspektor Informacji Finansowej udostępnia z urzędu organowi właściwemu w sprawach rejestru posiadane informacje dotyczące dwukrotnego niedopełnienia obowiązku, o którym mowa w art. 76 ustawy zmienianej w art. </w:t>
      </w:r>
      <w:r w:rsidR="00C90CE9" w:rsidRPr="00076A91">
        <w:rPr>
          <w:rFonts w:ascii="Times" w:eastAsia="Times New Roman" w:hAnsi="Times" w:cs="Arial"/>
          <w:bCs/>
          <w:kern w:val="0"/>
          <w:sz w:val="24"/>
          <w:szCs w:val="20"/>
          <w:lang w:eastAsia="pl-PL"/>
          <w14:ligatures w14:val="none"/>
        </w:rPr>
        <w:t>163</w:t>
      </w:r>
      <w:r w:rsidRPr="00076A91">
        <w:rPr>
          <w:rFonts w:ascii="Times" w:eastAsia="Times New Roman" w:hAnsi="Times" w:cs="Arial"/>
          <w:bCs/>
          <w:kern w:val="0"/>
          <w:sz w:val="24"/>
          <w:szCs w:val="20"/>
          <w:lang w:eastAsia="pl-PL"/>
          <w14:ligatures w14:val="none"/>
        </w:rPr>
        <w:t>, przez podmiot, o którym mowa w ust. 1, prowadzący działalność gospodarczą, o której mowa w ust. 1, na dotychczasowych zasadach.</w:t>
      </w:r>
    </w:p>
    <w:p w14:paraId="7AA9B62B" w14:textId="1AEA3705"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17</w:t>
      </w:r>
      <w:r w:rsidR="000A668B">
        <w:rPr>
          <w:rFonts w:ascii="Times" w:eastAsia="Times New Roman" w:hAnsi="Times" w:cs="Arial"/>
          <w:b/>
          <w:kern w:val="0"/>
          <w:sz w:val="24"/>
          <w:szCs w:val="20"/>
          <w:lang w:eastAsia="pl-PL"/>
          <w14:ligatures w14:val="none"/>
        </w:rPr>
        <w:t>1</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Komisja niezwłocznie informuje organ właściwy w sprawach rejestru o udzieleniu zezwolenia</w:t>
      </w:r>
      <w:bookmarkStart w:id="130" w:name="_Hlk196908154"/>
      <w:r w:rsidRPr="00076A91">
        <w:rPr>
          <w:rFonts w:ascii="Times" w:eastAsia="Times New Roman" w:hAnsi="Times" w:cs="Arial"/>
          <w:kern w:val="0"/>
          <w:sz w:val="24"/>
          <w:szCs w:val="20"/>
          <w:lang w:eastAsia="pl-PL"/>
          <w14:ligatures w14:val="none"/>
        </w:rPr>
        <w:t xml:space="preserve">, o którym mowa w art. 59 ust. 1 lit. a rozporządzenia 2023/1114, </w:t>
      </w:r>
      <w:bookmarkEnd w:id="130"/>
      <w:r w:rsidRPr="00076A91">
        <w:rPr>
          <w:rFonts w:ascii="Times" w:eastAsia="Times New Roman" w:hAnsi="Times" w:cs="Arial"/>
          <w:kern w:val="0"/>
          <w:sz w:val="24"/>
          <w:szCs w:val="20"/>
          <w:lang w:eastAsia="pl-PL"/>
          <w14:ligatures w14:val="none"/>
        </w:rPr>
        <w:t xml:space="preserve">albo o odmowie jego udzielenia podmiotowi, o którym mowa w art. </w:t>
      </w:r>
      <w:r w:rsidR="0022520E" w:rsidRPr="00076A91">
        <w:rPr>
          <w:rFonts w:ascii="Times" w:eastAsia="Times New Roman" w:hAnsi="Times" w:cs="Arial"/>
          <w:kern w:val="0"/>
          <w:sz w:val="24"/>
          <w:szCs w:val="20"/>
          <w:lang w:eastAsia="pl-PL"/>
          <w14:ligatures w14:val="none"/>
        </w:rPr>
        <w:t>1</w:t>
      </w:r>
      <w:r w:rsidR="0022520E">
        <w:rPr>
          <w:rFonts w:ascii="Times" w:eastAsia="Times New Roman" w:hAnsi="Times" w:cs="Arial"/>
          <w:kern w:val="0"/>
          <w:sz w:val="24"/>
          <w:szCs w:val="20"/>
          <w:lang w:eastAsia="pl-PL"/>
          <w14:ligatures w14:val="none"/>
        </w:rPr>
        <w:t>70</w:t>
      </w:r>
      <w:r w:rsidR="0022520E" w:rsidRPr="00076A91">
        <w:rPr>
          <w:rFonts w:ascii="Times" w:eastAsia="Times New Roman" w:hAnsi="Times" w:cs="Arial"/>
          <w:kern w:val="0"/>
          <w:sz w:val="24"/>
          <w:szCs w:val="20"/>
          <w:lang w:eastAsia="pl-PL"/>
          <w14:ligatures w14:val="none"/>
        </w:rPr>
        <w:t xml:space="preserve"> </w:t>
      </w:r>
      <w:r w:rsidRPr="00076A91">
        <w:rPr>
          <w:rFonts w:ascii="Times" w:eastAsia="Times New Roman" w:hAnsi="Times" w:cs="Arial"/>
          <w:kern w:val="0"/>
          <w:sz w:val="24"/>
          <w:szCs w:val="20"/>
          <w:lang w:eastAsia="pl-PL"/>
          <w14:ligatures w14:val="none"/>
        </w:rPr>
        <w:t>ust. 1.</w:t>
      </w:r>
    </w:p>
    <w:p w14:paraId="5BBE8AE0" w14:textId="73CBA543"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 xml:space="preserve">2. W przypadku informacji, o której mowa w ust. 1, organ właściwy w sprawach rejestru niezwłocznie wykreśla podmiot, o którym mowa w art. </w:t>
      </w:r>
      <w:r w:rsidR="0022520E" w:rsidRPr="00076A91">
        <w:rPr>
          <w:rFonts w:ascii="Times" w:eastAsia="Times New Roman" w:hAnsi="Times" w:cs="Arial"/>
          <w:bCs/>
          <w:kern w:val="0"/>
          <w:sz w:val="24"/>
          <w:szCs w:val="20"/>
          <w:lang w:eastAsia="pl-PL"/>
          <w14:ligatures w14:val="none"/>
        </w:rPr>
        <w:t>1</w:t>
      </w:r>
      <w:r w:rsidR="0022520E">
        <w:rPr>
          <w:rFonts w:ascii="Times" w:eastAsia="Times New Roman" w:hAnsi="Times" w:cs="Arial"/>
          <w:bCs/>
          <w:kern w:val="0"/>
          <w:sz w:val="24"/>
          <w:szCs w:val="20"/>
          <w:lang w:eastAsia="pl-PL"/>
          <w14:ligatures w14:val="none"/>
        </w:rPr>
        <w:t>70</w:t>
      </w:r>
      <w:r w:rsidR="0022520E"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prowadzący działalność gospodarczą, o której mowa w tym przepisie, na dotychczasowych zasadach z rejestru działalności w zakresie walut wirtualnych.</w:t>
      </w:r>
    </w:p>
    <w:p w14:paraId="37E2ABEF" w14:textId="627AA1CC"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3. Organ właściwy w sprawach rejestru niezwłocznie po upływie terminu, o którym mowa w art. </w:t>
      </w:r>
      <w:r w:rsidR="0022520E" w:rsidRPr="00076A91">
        <w:rPr>
          <w:rFonts w:ascii="Times" w:eastAsia="Times New Roman" w:hAnsi="Times" w:cs="Arial"/>
          <w:bCs/>
          <w:kern w:val="0"/>
          <w:sz w:val="24"/>
          <w:szCs w:val="20"/>
          <w:lang w:eastAsia="pl-PL"/>
          <w14:ligatures w14:val="none"/>
        </w:rPr>
        <w:t>1</w:t>
      </w:r>
      <w:r w:rsidR="0022520E">
        <w:rPr>
          <w:rFonts w:ascii="Times" w:eastAsia="Times New Roman" w:hAnsi="Times" w:cs="Arial"/>
          <w:bCs/>
          <w:kern w:val="0"/>
          <w:sz w:val="24"/>
          <w:szCs w:val="20"/>
          <w:lang w:eastAsia="pl-PL"/>
          <w14:ligatures w14:val="none"/>
        </w:rPr>
        <w:t>70</w:t>
      </w:r>
      <w:r w:rsidR="0022520E"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 xml:space="preserve">ust. 1, wykreśla z rejestru działalności w zakresie walut wirtualnych podmiot, o którym mowa w art. </w:t>
      </w:r>
      <w:r w:rsidR="0022520E" w:rsidRPr="00076A91">
        <w:rPr>
          <w:rFonts w:ascii="Times" w:eastAsia="Times New Roman" w:hAnsi="Times" w:cs="Arial"/>
          <w:bCs/>
          <w:kern w:val="0"/>
          <w:sz w:val="24"/>
          <w:szCs w:val="20"/>
          <w:lang w:eastAsia="pl-PL"/>
          <w14:ligatures w14:val="none"/>
        </w:rPr>
        <w:t>1</w:t>
      </w:r>
      <w:r w:rsidR="0022520E">
        <w:rPr>
          <w:rFonts w:ascii="Times" w:eastAsia="Times New Roman" w:hAnsi="Times" w:cs="Arial"/>
          <w:bCs/>
          <w:kern w:val="0"/>
          <w:sz w:val="24"/>
          <w:szCs w:val="20"/>
          <w:lang w:eastAsia="pl-PL"/>
          <w14:ligatures w14:val="none"/>
        </w:rPr>
        <w:t>70</w:t>
      </w:r>
      <w:r w:rsidR="0022520E"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prowadzący działalność gospodarczą, o której mowa w tym przepisie, na dotychczasowych zasadach, bez wydania decyzji i konieczności zawiadamiania tego podmiotu o wykreśleniu.</w:t>
      </w:r>
    </w:p>
    <w:p w14:paraId="0DEAD3A2" w14:textId="44B8459A"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17</w:t>
      </w:r>
      <w:r w:rsidR="000A668B">
        <w:rPr>
          <w:rFonts w:ascii="Times" w:eastAsia="Times New Roman" w:hAnsi="Times" w:cs="Arial"/>
          <w:b/>
          <w:kern w:val="0"/>
          <w:sz w:val="24"/>
          <w:szCs w:val="20"/>
          <w:lang w:eastAsia="pl-PL"/>
          <w14:ligatures w14:val="none"/>
        </w:rPr>
        <w:t>2</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Do kontroli w zakresie:</w:t>
      </w:r>
    </w:p>
    <w:p w14:paraId="04C59F3C" w14:textId="0ABCCA58"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 xml:space="preserve">wykonywania przez podmioty prowadzące działalność gospodarczą polegającą na świadczeniu usług, o których mowa w art. 2 ust. 1 pkt 12 ustawy zmienianej w art. </w:t>
      </w:r>
      <w:r w:rsidR="00820285" w:rsidRPr="00076A91">
        <w:rPr>
          <w:rFonts w:ascii="Times" w:eastAsia="Times New Roman" w:hAnsi="Times" w:cs="Arial"/>
          <w:bCs/>
          <w:kern w:val="0"/>
          <w:sz w:val="24"/>
          <w:szCs w:val="20"/>
          <w:lang w:eastAsia="pl-PL"/>
          <w14:ligatures w14:val="none"/>
        </w:rPr>
        <w:t>16</w:t>
      </w:r>
      <w:r w:rsidR="00820285">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 w brzmieniu dotychczasowym, obowiązków w zakresie przeciwdziałania praniu pieniędzy oraz finansowaniu terroryzmu,</w:t>
      </w:r>
    </w:p>
    <w:p w14:paraId="2C7A68CF" w14:textId="7ABE9C73"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 xml:space="preserve">spełniania przez podmioty prowadzące działalność gospodarczą polegającą na świadczeniu usług, o których mowa w art. 2 ust. 1 pkt 12 ustawy zmienianej w art. </w:t>
      </w:r>
      <w:r w:rsidR="00820285" w:rsidRPr="00076A91">
        <w:rPr>
          <w:rFonts w:ascii="Times" w:eastAsia="Times New Roman" w:hAnsi="Times" w:cs="Arial"/>
          <w:bCs/>
          <w:kern w:val="0"/>
          <w:sz w:val="24"/>
          <w:szCs w:val="20"/>
          <w:lang w:eastAsia="pl-PL"/>
          <w14:ligatures w14:val="none"/>
        </w:rPr>
        <w:t>16</w:t>
      </w:r>
      <w:r w:rsidR="00820285">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 w brzmieniu dotychczasowym, warunków wykonywania tej działalności</w:t>
      </w:r>
    </w:p>
    <w:p w14:paraId="6F13A6E3" w14:textId="77777777" w:rsidR="00027D06" w:rsidRPr="00076A91" w:rsidRDefault="00027D06" w:rsidP="00027D06">
      <w:pPr>
        <w:spacing w:after="0" w:line="360" w:lineRule="auto"/>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sym w:font="Symbol" w:char="F02D"/>
      </w:r>
      <w:r w:rsidRPr="00076A91">
        <w:rPr>
          <w:rFonts w:ascii="Times" w:eastAsia="Times New Roman" w:hAnsi="Times" w:cs="Arial"/>
          <w:bCs/>
          <w:kern w:val="0"/>
          <w:sz w:val="24"/>
          <w:szCs w:val="20"/>
          <w:lang w:eastAsia="pl-PL"/>
          <w14:ligatures w14:val="none"/>
        </w:rPr>
        <w:t xml:space="preserve"> wszczętych i niezakończonych przed dniem wejścia w życie ustawy, stosuje się przepisy dotychczasowe.</w:t>
      </w:r>
    </w:p>
    <w:p w14:paraId="5FF63C90" w14:textId="3AA88F79"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17</w:t>
      </w:r>
      <w:r w:rsidR="000A668B">
        <w:rPr>
          <w:rFonts w:ascii="Times" w:eastAsia="Times New Roman" w:hAnsi="Times" w:cs="Arial"/>
          <w:b/>
          <w:kern w:val="0"/>
          <w:sz w:val="24"/>
          <w:szCs w:val="20"/>
          <w:lang w:eastAsia="pl-PL"/>
          <w14:ligatures w14:val="none"/>
        </w:rPr>
        <w:t>3</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Do postępowań w sprawie nałożenia kar administracyjnych, o których mowa w rozdziale 13 ustawy zmienianej w art. </w:t>
      </w:r>
      <w:r w:rsidR="00820285" w:rsidRPr="00076A91">
        <w:rPr>
          <w:rFonts w:ascii="Times" w:eastAsia="Times New Roman" w:hAnsi="Times" w:cs="Arial"/>
          <w:kern w:val="0"/>
          <w:sz w:val="24"/>
          <w:szCs w:val="20"/>
          <w:lang w:eastAsia="pl-PL"/>
          <w14:ligatures w14:val="none"/>
        </w:rPr>
        <w:t>16</w:t>
      </w:r>
      <w:r w:rsidR="00820285">
        <w:rPr>
          <w:rFonts w:ascii="Times" w:eastAsia="Times New Roman" w:hAnsi="Times" w:cs="Arial"/>
          <w:kern w:val="0"/>
          <w:sz w:val="24"/>
          <w:szCs w:val="20"/>
          <w:lang w:eastAsia="pl-PL"/>
          <w14:ligatures w14:val="none"/>
        </w:rPr>
        <w:t>4</w:t>
      </w:r>
      <w:r w:rsidRPr="00076A91">
        <w:rPr>
          <w:rFonts w:ascii="Times" w:eastAsia="Times New Roman" w:hAnsi="Times" w:cs="Arial"/>
          <w:kern w:val="0"/>
          <w:sz w:val="24"/>
          <w:szCs w:val="20"/>
          <w:lang w:eastAsia="pl-PL"/>
          <w14:ligatures w14:val="none"/>
        </w:rPr>
        <w:t xml:space="preserve">, w brzmieniu dotychczasowym, na podmioty prowadzące działalność gospodarczą polegającą na świadczeniu usług, o których mowa w art. 2 ust. 1 pkt 12 ustawy zmienianej w art. </w:t>
      </w:r>
      <w:r w:rsidR="00820285" w:rsidRPr="00076A91">
        <w:rPr>
          <w:rFonts w:ascii="Times" w:eastAsia="Times New Roman" w:hAnsi="Times" w:cs="Arial"/>
          <w:kern w:val="0"/>
          <w:sz w:val="24"/>
          <w:szCs w:val="20"/>
          <w:lang w:eastAsia="pl-PL"/>
          <w14:ligatures w14:val="none"/>
        </w:rPr>
        <w:t>16</w:t>
      </w:r>
      <w:r w:rsidR="00820285">
        <w:rPr>
          <w:rFonts w:ascii="Times" w:eastAsia="Times New Roman" w:hAnsi="Times" w:cs="Arial"/>
          <w:kern w:val="0"/>
          <w:sz w:val="24"/>
          <w:szCs w:val="20"/>
          <w:lang w:eastAsia="pl-PL"/>
          <w14:ligatures w14:val="none"/>
        </w:rPr>
        <w:t>4</w:t>
      </w:r>
      <w:r w:rsidRPr="00076A91">
        <w:rPr>
          <w:rFonts w:ascii="Times" w:eastAsia="Times New Roman" w:hAnsi="Times" w:cs="Arial"/>
          <w:kern w:val="0"/>
          <w:sz w:val="24"/>
          <w:szCs w:val="20"/>
          <w:lang w:eastAsia="pl-PL"/>
          <w14:ligatures w14:val="none"/>
        </w:rPr>
        <w:t>, w brzmieniu dotychczasowym, wszczętych i niezakończonych przed dniem wejścia w życie ustawy, stosuje się przepisy ustawy zmienianej w art. 156, w brzmieniu dotychczasowym.</w:t>
      </w:r>
    </w:p>
    <w:p w14:paraId="047E41F3" w14:textId="08F08DFB"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2. Postępowania w sprawie nałożenia kar administracyjnych, o których mowa w rozdziale 13 ustawy zmienianej w art. </w:t>
      </w:r>
      <w:r w:rsidR="00820285" w:rsidRPr="00076A91">
        <w:rPr>
          <w:rFonts w:ascii="Times" w:eastAsia="Times New Roman" w:hAnsi="Times" w:cs="Arial"/>
          <w:bCs/>
          <w:kern w:val="0"/>
          <w:sz w:val="24"/>
          <w:szCs w:val="20"/>
          <w:lang w:eastAsia="pl-PL"/>
          <w14:ligatures w14:val="none"/>
        </w:rPr>
        <w:t>16</w:t>
      </w:r>
      <w:r w:rsidR="00820285">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 xml:space="preserve">, w brzmieniu dotychczasowym, mogą być wszczynane i prowadzone po dniu wejścia w życie ustawy w wyniku kontroli, o której mowa w art. 130 ust. 1 ustawy zmienianej w art. </w:t>
      </w:r>
      <w:r w:rsidR="00820285" w:rsidRPr="00076A91">
        <w:rPr>
          <w:rFonts w:ascii="Times" w:eastAsia="Times New Roman" w:hAnsi="Times" w:cs="Arial"/>
          <w:bCs/>
          <w:kern w:val="0"/>
          <w:sz w:val="24"/>
          <w:szCs w:val="20"/>
          <w:lang w:eastAsia="pl-PL"/>
          <w14:ligatures w14:val="none"/>
        </w:rPr>
        <w:t>16</w:t>
      </w:r>
      <w:r w:rsidR="00820285">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w:t>
      </w:r>
    </w:p>
    <w:p w14:paraId="7AB4AE63"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1)</w:t>
      </w:r>
      <w:r w:rsidRPr="00076A91">
        <w:rPr>
          <w:rFonts w:ascii="Times" w:eastAsia="Times New Roman" w:hAnsi="Times" w:cs="Arial"/>
          <w:bCs/>
          <w:kern w:val="0"/>
          <w:sz w:val="24"/>
          <w:szCs w:val="20"/>
          <w:lang w:eastAsia="pl-PL"/>
          <w14:ligatures w14:val="none"/>
        </w:rPr>
        <w:tab/>
        <w:t>która zakończyła się przed dniem wejścia w życie ustawy, a postępowanie w sprawie nałożenia kar administracyjnych nie zostało wszczęte przed tym dniem;</w:t>
      </w:r>
    </w:p>
    <w:p w14:paraId="00930521" w14:textId="77777777"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2)</w:t>
      </w:r>
      <w:r w:rsidRPr="00076A91">
        <w:rPr>
          <w:rFonts w:ascii="Times" w:eastAsia="Times New Roman" w:hAnsi="Times" w:cs="Arial"/>
          <w:bCs/>
          <w:kern w:val="0"/>
          <w:sz w:val="24"/>
          <w:szCs w:val="20"/>
          <w:lang w:eastAsia="pl-PL"/>
          <w14:ligatures w14:val="none"/>
        </w:rPr>
        <w:tab/>
        <w:t>która rozpoczęła się przed dniem wejścia w życie ustawy i zakończyła się po tym dniu;</w:t>
      </w:r>
    </w:p>
    <w:p w14:paraId="23386B87" w14:textId="295A67C0" w:rsidR="00027D06" w:rsidRPr="00076A91" w:rsidRDefault="00027D06" w:rsidP="00027D06">
      <w:pPr>
        <w:spacing w:after="0" w:line="360" w:lineRule="auto"/>
        <w:ind w:left="510" w:hanging="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lastRenderedPageBreak/>
        <w:t>3)</w:t>
      </w:r>
      <w:r w:rsidRPr="00076A91">
        <w:rPr>
          <w:rFonts w:ascii="Times" w:eastAsia="Times New Roman" w:hAnsi="Times" w:cs="Arial"/>
          <w:bCs/>
          <w:kern w:val="0"/>
          <w:sz w:val="24"/>
          <w:szCs w:val="20"/>
          <w:lang w:eastAsia="pl-PL"/>
          <w14:ligatures w14:val="none"/>
        </w:rPr>
        <w:tab/>
        <w:t xml:space="preserve">wobec podmiotu, o którym mowa w art. </w:t>
      </w:r>
      <w:r w:rsidR="00820285" w:rsidRPr="00076A91">
        <w:rPr>
          <w:rFonts w:ascii="Times" w:eastAsia="Times New Roman" w:hAnsi="Times" w:cs="Arial"/>
          <w:bCs/>
          <w:kern w:val="0"/>
          <w:sz w:val="24"/>
          <w:szCs w:val="20"/>
          <w:lang w:eastAsia="pl-PL"/>
          <w14:ligatures w14:val="none"/>
        </w:rPr>
        <w:t>1</w:t>
      </w:r>
      <w:r w:rsidR="00820285">
        <w:rPr>
          <w:rFonts w:ascii="Times" w:eastAsia="Times New Roman" w:hAnsi="Times" w:cs="Arial"/>
          <w:bCs/>
          <w:kern w:val="0"/>
          <w:sz w:val="24"/>
          <w:szCs w:val="20"/>
          <w:lang w:eastAsia="pl-PL"/>
          <w14:ligatures w14:val="none"/>
        </w:rPr>
        <w:t>70</w:t>
      </w:r>
      <w:r w:rsidR="00820285" w:rsidRPr="00076A91">
        <w:rPr>
          <w:rFonts w:ascii="Times" w:eastAsia="Times New Roman" w:hAnsi="Times" w:cs="Arial"/>
          <w:bCs/>
          <w:kern w:val="0"/>
          <w:sz w:val="24"/>
          <w:szCs w:val="20"/>
          <w:lang w:eastAsia="pl-PL"/>
          <w14:ligatures w14:val="none"/>
        </w:rPr>
        <w:t xml:space="preserve"> </w:t>
      </w:r>
      <w:r w:rsidRPr="00076A91">
        <w:rPr>
          <w:rFonts w:ascii="Times" w:eastAsia="Times New Roman" w:hAnsi="Times" w:cs="Arial"/>
          <w:bCs/>
          <w:kern w:val="0"/>
          <w:sz w:val="24"/>
          <w:szCs w:val="20"/>
          <w:lang w:eastAsia="pl-PL"/>
          <w14:ligatures w14:val="none"/>
        </w:rPr>
        <w:t>ust. 1, prowadzącego działalność gospodarczą, o której mowa w tym przepisie, na dotychczasowych zasadach, która rozpoczęła się w dniu wejścia w życie ustawy albo po tym dniu.</w:t>
      </w:r>
    </w:p>
    <w:p w14:paraId="4681D7C9" w14:textId="6A8A42BE"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3. Do postępowań, o których mowa w ust. 2, stosuje się przepisy ustawy zmienianej w art. </w:t>
      </w:r>
      <w:r w:rsidR="00820285" w:rsidRPr="00076A91">
        <w:rPr>
          <w:rFonts w:ascii="Times" w:eastAsia="Times New Roman" w:hAnsi="Times" w:cs="Arial"/>
          <w:bCs/>
          <w:kern w:val="0"/>
          <w:sz w:val="24"/>
          <w:szCs w:val="20"/>
          <w:lang w:eastAsia="pl-PL"/>
          <w14:ligatures w14:val="none"/>
        </w:rPr>
        <w:t>16</w:t>
      </w:r>
      <w:r w:rsidR="00820285">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 w brzmieniu dotychczasowym.</w:t>
      </w:r>
    </w:p>
    <w:p w14:paraId="7E4012C5" w14:textId="413EC9A0"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bookmarkStart w:id="131" w:name="_Hlk173831240"/>
      <w:bookmarkStart w:id="132" w:name="_Hlk173831368"/>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17</w:t>
      </w:r>
      <w:r w:rsidR="000A668B">
        <w:rPr>
          <w:rFonts w:ascii="Times" w:eastAsia="Times New Roman" w:hAnsi="Times" w:cs="Arial"/>
          <w:b/>
          <w:kern w:val="0"/>
          <w:sz w:val="24"/>
          <w:szCs w:val="20"/>
          <w:lang w:eastAsia="pl-PL"/>
          <w14:ligatures w14:val="none"/>
        </w:rPr>
        <w:t>4</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1. Rejestr działalności w zakresie walut wirtualnych likwiduje się </w:t>
      </w:r>
      <w:bookmarkStart w:id="133" w:name="_Hlk193270143"/>
      <w:bookmarkStart w:id="134" w:name="_Hlk192673087"/>
      <w:r w:rsidRPr="00076A91">
        <w:rPr>
          <w:rFonts w:ascii="Times" w:eastAsia="Times New Roman" w:hAnsi="Times" w:cs="Arial"/>
          <w:kern w:val="0"/>
          <w:sz w:val="24"/>
          <w:szCs w:val="20"/>
          <w:lang w:eastAsia="pl-PL"/>
          <w14:ligatures w14:val="none"/>
        </w:rPr>
        <w:t xml:space="preserve">z dniem </w:t>
      </w:r>
      <w:bookmarkEnd w:id="133"/>
      <w:r w:rsidRPr="00076A91">
        <w:rPr>
          <w:rFonts w:ascii="Times" w:eastAsia="Times New Roman" w:hAnsi="Times" w:cs="Arial"/>
          <w:kern w:val="0"/>
          <w:sz w:val="24"/>
          <w:szCs w:val="20"/>
          <w:lang w:eastAsia="pl-PL"/>
          <w14:ligatures w14:val="none"/>
        </w:rPr>
        <w:t>2 lipca 2026 r.</w:t>
      </w:r>
      <w:bookmarkEnd w:id="134"/>
    </w:p>
    <w:p w14:paraId="7B1D0281" w14:textId="1DE03B40" w:rsidR="00027D06" w:rsidRPr="00076A91" w:rsidRDefault="00027D06" w:rsidP="00027D06">
      <w:pPr>
        <w:suppressAutoHyphens/>
        <w:autoSpaceDE w:val="0"/>
        <w:autoSpaceDN w:val="0"/>
        <w:adjustRightInd w:val="0"/>
        <w:spacing w:after="0" w:line="360" w:lineRule="auto"/>
        <w:ind w:firstLine="510"/>
        <w:jc w:val="both"/>
        <w:rPr>
          <w:rFonts w:ascii="Times" w:eastAsia="Times New Roman" w:hAnsi="Times" w:cs="Arial"/>
          <w:bCs/>
          <w:kern w:val="0"/>
          <w:sz w:val="24"/>
          <w:szCs w:val="20"/>
          <w:lang w:eastAsia="pl-PL"/>
          <w14:ligatures w14:val="none"/>
        </w:rPr>
      </w:pPr>
      <w:r w:rsidRPr="00076A91">
        <w:rPr>
          <w:rFonts w:ascii="Times" w:eastAsia="Times New Roman" w:hAnsi="Times" w:cs="Arial"/>
          <w:bCs/>
          <w:kern w:val="0"/>
          <w:sz w:val="24"/>
          <w:szCs w:val="20"/>
          <w:lang w:eastAsia="pl-PL"/>
          <w14:ligatures w14:val="none"/>
        </w:rPr>
        <w:t xml:space="preserve">2. Dane, o których mowa w art. 129t ustawy zmienianej w art. </w:t>
      </w:r>
      <w:r w:rsidR="00820285" w:rsidRPr="00076A91">
        <w:rPr>
          <w:rFonts w:ascii="Times" w:eastAsia="Times New Roman" w:hAnsi="Times" w:cs="Arial"/>
          <w:bCs/>
          <w:kern w:val="0"/>
          <w:sz w:val="24"/>
          <w:szCs w:val="20"/>
          <w:lang w:eastAsia="pl-PL"/>
          <w14:ligatures w14:val="none"/>
        </w:rPr>
        <w:t>16</w:t>
      </w:r>
      <w:r w:rsidR="00820285">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 xml:space="preserve">, w brzmieniu dotychczasowym, dotyczące podmiotu prowadzącego działalność gospodarczą polegającą na świadczeniu usług, o których mowa w art. 2 ust. 1 pkt 12 ustawy zmienianej w art. </w:t>
      </w:r>
      <w:r w:rsidR="00820285" w:rsidRPr="00076A91">
        <w:rPr>
          <w:rFonts w:ascii="Times" w:eastAsia="Times New Roman" w:hAnsi="Times" w:cs="Arial"/>
          <w:bCs/>
          <w:kern w:val="0"/>
          <w:sz w:val="24"/>
          <w:szCs w:val="20"/>
          <w:lang w:eastAsia="pl-PL"/>
          <w14:ligatures w14:val="none"/>
        </w:rPr>
        <w:t>16</w:t>
      </w:r>
      <w:r w:rsidR="00820285">
        <w:rPr>
          <w:rFonts w:ascii="Times" w:eastAsia="Times New Roman" w:hAnsi="Times" w:cs="Arial"/>
          <w:bCs/>
          <w:kern w:val="0"/>
          <w:sz w:val="24"/>
          <w:szCs w:val="20"/>
          <w:lang w:eastAsia="pl-PL"/>
          <w14:ligatures w14:val="none"/>
        </w:rPr>
        <w:t>4</w:t>
      </w:r>
      <w:r w:rsidRPr="00076A91">
        <w:rPr>
          <w:rFonts w:ascii="Times" w:eastAsia="Times New Roman" w:hAnsi="Times" w:cs="Arial"/>
          <w:bCs/>
          <w:kern w:val="0"/>
          <w:sz w:val="24"/>
          <w:szCs w:val="20"/>
          <w:lang w:eastAsia="pl-PL"/>
          <w14:ligatures w14:val="none"/>
        </w:rPr>
        <w:t>, w brzmieniu dotychczasowym, przechowuje się przez okres 5 lat od dnia wykreślenia tego podmiotu z rejestru działalności w zakresie walut wirtualnych albo likwidacji tego rejestru.</w:t>
      </w:r>
    </w:p>
    <w:p w14:paraId="22F60148" w14:textId="095185B1" w:rsidR="00027D06" w:rsidRPr="00076A91"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17</w:t>
      </w:r>
      <w:r w:rsidR="000A668B">
        <w:rPr>
          <w:rFonts w:ascii="Times" w:eastAsia="Times New Roman" w:hAnsi="Times" w:cs="Arial"/>
          <w:b/>
          <w:kern w:val="0"/>
          <w:sz w:val="24"/>
          <w:szCs w:val="20"/>
          <w:lang w:eastAsia="pl-PL"/>
          <w14:ligatures w14:val="none"/>
        </w:rPr>
        <w:t>5</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Dotychczasowe przepisy wykonawcze wydane na podstawie art. 20 ust. 12 ustawy zmienianej w art. </w:t>
      </w:r>
      <w:r w:rsidR="00820285" w:rsidRPr="00076A91">
        <w:rPr>
          <w:rFonts w:ascii="Times" w:eastAsia="Times New Roman" w:hAnsi="Times" w:cs="Arial"/>
          <w:kern w:val="0"/>
          <w:sz w:val="24"/>
          <w:szCs w:val="20"/>
          <w:lang w:eastAsia="pl-PL"/>
          <w14:ligatures w14:val="none"/>
        </w:rPr>
        <w:t>16</w:t>
      </w:r>
      <w:r w:rsidR="00820285">
        <w:rPr>
          <w:rFonts w:ascii="Times" w:eastAsia="Times New Roman" w:hAnsi="Times" w:cs="Arial"/>
          <w:kern w:val="0"/>
          <w:sz w:val="24"/>
          <w:szCs w:val="20"/>
          <w:lang w:eastAsia="pl-PL"/>
          <w14:ligatures w14:val="none"/>
        </w:rPr>
        <w:t xml:space="preserve">1 </w:t>
      </w:r>
      <w:r w:rsidRPr="00076A91">
        <w:rPr>
          <w:rFonts w:ascii="Times" w:eastAsia="Times New Roman" w:hAnsi="Times" w:cs="Arial"/>
          <w:kern w:val="0"/>
          <w:sz w:val="24"/>
          <w:szCs w:val="20"/>
          <w:lang w:eastAsia="pl-PL"/>
          <w14:ligatures w14:val="none"/>
        </w:rPr>
        <w:t xml:space="preserve">zachowują moc do dnia wejścia w życie nowych przepisów wykonawczych wydanych na podstawie art. 20 ust. 12 ustawy zmienianej w art. </w:t>
      </w:r>
      <w:r w:rsidR="00820285" w:rsidRPr="00076A91">
        <w:rPr>
          <w:rFonts w:ascii="Times" w:eastAsia="Times New Roman" w:hAnsi="Times" w:cs="Arial"/>
          <w:kern w:val="0"/>
          <w:sz w:val="24"/>
          <w:szCs w:val="20"/>
          <w:lang w:eastAsia="pl-PL"/>
          <w14:ligatures w14:val="none"/>
        </w:rPr>
        <w:t>16</w:t>
      </w:r>
      <w:r w:rsidR="00820285">
        <w:rPr>
          <w:rFonts w:ascii="Times" w:eastAsia="Times New Roman" w:hAnsi="Times" w:cs="Arial"/>
          <w:kern w:val="0"/>
          <w:sz w:val="24"/>
          <w:szCs w:val="20"/>
          <w:lang w:eastAsia="pl-PL"/>
          <w14:ligatures w14:val="none"/>
        </w:rPr>
        <w:t>1</w:t>
      </w:r>
      <w:r w:rsidRPr="00076A91">
        <w:rPr>
          <w:rFonts w:ascii="Times" w:eastAsia="Times New Roman" w:hAnsi="Times" w:cs="Arial"/>
          <w:kern w:val="0"/>
          <w:sz w:val="24"/>
          <w:szCs w:val="20"/>
          <w:lang w:eastAsia="pl-PL"/>
          <w14:ligatures w14:val="none"/>
        </w:rPr>
        <w:t>, jednak nie dłużej niż przez 12 miesięcy od dnia wejścia w życie ustawy.</w:t>
      </w:r>
    </w:p>
    <w:bookmarkEnd w:id="131"/>
    <w:p w14:paraId="529BE8B8" w14:textId="3F56BD57" w:rsidR="00027D06" w:rsidRPr="00027D06" w:rsidRDefault="00027D06" w:rsidP="00027D06">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076A91">
        <w:rPr>
          <w:rFonts w:ascii="Times" w:eastAsia="Times New Roman" w:hAnsi="Times" w:cs="Arial"/>
          <w:b/>
          <w:kern w:val="0"/>
          <w:sz w:val="24"/>
          <w:szCs w:val="20"/>
          <w:lang w:eastAsia="pl-PL"/>
          <w14:ligatures w14:val="none"/>
        </w:rPr>
        <w:t>Art. </w:t>
      </w:r>
      <w:r w:rsidR="000A668B" w:rsidRPr="00076A91">
        <w:rPr>
          <w:rFonts w:ascii="Times" w:eastAsia="Times New Roman" w:hAnsi="Times" w:cs="Arial"/>
          <w:b/>
          <w:kern w:val="0"/>
          <w:sz w:val="24"/>
          <w:szCs w:val="20"/>
          <w:lang w:eastAsia="pl-PL"/>
          <w14:ligatures w14:val="none"/>
        </w:rPr>
        <w:t>17</w:t>
      </w:r>
      <w:r w:rsidR="000A668B">
        <w:rPr>
          <w:rFonts w:ascii="Times" w:eastAsia="Times New Roman" w:hAnsi="Times" w:cs="Arial"/>
          <w:b/>
          <w:kern w:val="0"/>
          <w:sz w:val="24"/>
          <w:szCs w:val="20"/>
          <w:lang w:eastAsia="pl-PL"/>
          <w14:ligatures w14:val="none"/>
        </w:rPr>
        <w:t>6</w:t>
      </w:r>
      <w:r w:rsidRPr="00076A91">
        <w:rPr>
          <w:rFonts w:ascii="Times" w:eastAsia="Times New Roman" w:hAnsi="Times" w:cs="Arial"/>
          <w:b/>
          <w:kern w:val="0"/>
          <w:sz w:val="24"/>
          <w:szCs w:val="20"/>
          <w:lang w:eastAsia="pl-PL"/>
          <w14:ligatures w14:val="none"/>
        </w:rPr>
        <w:t>.</w:t>
      </w:r>
      <w:r w:rsidRPr="00076A91">
        <w:rPr>
          <w:rFonts w:ascii="Times" w:eastAsia="Times New Roman" w:hAnsi="Times" w:cs="Arial"/>
          <w:kern w:val="0"/>
          <w:sz w:val="24"/>
          <w:szCs w:val="20"/>
          <w:lang w:eastAsia="pl-PL"/>
          <w14:ligatures w14:val="none"/>
        </w:rPr>
        <w:t xml:space="preserve"> </w:t>
      </w:r>
      <w:bookmarkEnd w:id="132"/>
      <w:r w:rsidRPr="00076A91">
        <w:rPr>
          <w:rFonts w:ascii="Times" w:eastAsia="Times New Roman" w:hAnsi="Times" w:cs="Arial"/>
          <w:kern w:val="0"/>
          <w:sz w:val="24"/>
          <w:szCs w:val="20"/>
          <w:lang w:eastAsia="pl-PL"/>
          <w14:ligatures w14:val="none"/>
        </w:rPr>
        <w:t xml:space="preserve">Ustawa wchodzi w życie po upływie 14 dni od dnia ogłoszenia, z wyjątkiem art. </w:t>
      </w:r>
      <w:r w:rsidR="00820285">
        <w:rPr>
          <w:rFonts w:ascii="Times" w:eastAsia="Times New Roman" w:hAnsi="Times" w:cs="Arial"/>
          <w:kern w:val="0"/>
          <w:sz w:val="24"/>
          <w:szCs w:val="20"/>
          <w:lang w:eastAsia="pl-PL"/>
          <w14:ligatures w14:val="none"/>
        </w:rPr>
        <w:t>70</w:t>
      </w:r>
      <w:r w:rsidRPr="00076A91">
        <w:rPr>
          <w:rFonts w:ascii="Times" w:eastAsia="Times New Roman" w:hAnsi="Times" w:cs="Arial"/>
          <w:kern w:val="0"/>
          <w:sz w:val="24"/>
          <w:szCs w:val="20"/>
          <w:lang w:eastAsia="pl-PL"/>
          <w14:ligatures w14:val="none"/>
        </w:rPr>
        <w:t>, który wchodzi w życie po upływie 4 miesięcy od dnia ogłoszenia.</w:t>
      </w:r>
    </w:p>
    <w:p w14:paraId="0A97C0E0" w14:textId="77777777" w:rsidR="00EC7709" w:rsidRDefault="00EC7709"/>
    <w:sectPr w:rsidR="00EC7709" w:rsidSect="00027D06">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BFE8" w14:textId="77777777" w:rsidR="00F230C9" w:rsidRDefault="00F230C9" w:rsidP="00027D06">
      <w:pPr>
        <w:spacing w:after="0" w:line="240" w:lineRule="auto"/>
      </w:pPr>
      <w:r>
        <w:separator/>
      </w:r>
    </w:p>
  </w:endnote>
  <w:endnote w:type="continuationSeparator" w:id="0">
    <w:p w14:paraId="7887853E" w14:textId="77777777" w:rsidR="00F230C9" w:rsidRDefault="00F230C9" w:rsidP="0002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F9BA" w14:textId="77777777" w:rsidR="00F230C9" w:rsidRDefault="00F230C9" w:rsidP="00027D06">
      <w:pPr>
        <w:spacing w:after="0" w:line="240" w:lineRule="auto"/>
      </w:pPr>
      <w:r>
        <w:separator/>
      </w:r>
    </w:p>
  </w:footnote>
  <w:footnote w:type="continuationSeparator" w:id="0">
    <w:p w14:paraId="0847A11B" w14:textId="77777777" w:rsidR="00F230C9" w:rsidRDefault="00F230C9" w:rsidP="00027D06">
      <w:pPr>
        <w:spacing w:after="0" w:line="240" w:lineRule="auto"/>
      </w:pPr>
      <w:r>
        <w:continuationSeparator/>
      </w:r>
    </w:p>
  </w:footnote>
  <w:footnote w:id="1">
    <w:p w14:paraId="423BB236" w14:textId="77777777" w:rsidR="00027D06" w:rsidRDefault="00027D06" w:rsidP="00027D06">
      <w:pPr>
        <w:pStyle w:val="ODNONIKtreodnonika"/>
      </w:pPr>
      <w:r w:rsidRPr="00027D06">
        <w:rPr>
          <w:rStyle w:val="Odwoanieprzypisudolnego"/>
        </w:rPr>
        <w:footnoteRef/>
      </w:r>
      <w:r>
        <w:rPr>
          <w:rStyle w:val="IGindeksgrny"/>
        </w:rPr>
        <w:t>)</w:t>
      </w:r>
      <w:r>
        <w:tab/>
        <w:t xml:space="preserve">Niniejsza ustawa służy stosowaniu: </w:t>
      </w:r>
    </w:p>
    <w:p w14:paraId="07309385" w14:textId="77777777" w:rsidR="00027D06" w:rsidRDefault="00027D06" w:rsidP="00027D06">
      <w:pPr>
        <w:pStyle w:val="PKTODNONIKApunktodnonika"/>
      </w:pPr>
      <w:r>
        <w:t>1)</w:t>
      </w:r>
      <w:r>
        <w:tab/>
        <w:t>rozporządzenia Parlamentu Europejskiego i Rady (UE) 2023/1114 z dnia 31 maja 2023 r. w sprawie rynków kryptoaktywów oraz zmiany rozporządzeń (UE) nr 1093/2010 i (UE) nr 1095/2010 oraz dyrektyw 2013/36/UE i (UE) 2019/1937 (Dz. Urz. UE L 150 z 09.06.2023, str. 40, Dz. Urz. UE L 2023/2869 z 20.12.2023, Dz. Urz. UE L 2024/90275 z 02.05.2024 oraz Dz. Urz. UE L 2024/90658 z 30.10.2024);</w:t>
      </w:r>
    </w:p>
    <w:p w14:paraId="6D97F6E2" w14:textId="77777777" w:rsidR="00027D06" w:rsidRDefault="00027D06" w:rsidP="00027D06">
      <w:pPr>
        <w:pStyle w:val="PKTODNONIKApunktodnonika"/>
      </w:pPr>
      <w:r>
        <w:t>2)</w:t>
      </w:r>
      <w:r>
        <w:tab/>
        <w:t>rozporządzenia Parlamentu Europejskiego i Rady (UE) 2023/1113 z dnia 31 maja 2023 r. w sprawie informacji towarzyszących transferom środków pieniężnych i niektórych kryptoaktywów oraz zmiany dyrektywy (UE) 2015/849 (Dz. Urz. UE L 150 z 09.06.2023, str. 1).</w:t>
      </w:r>
    </w:p>
  </w:footnote>
  <w:footnote w:id="2">
    <w:p w14:paraId="79E72453" w14:textId="77777777" w:rsidR="00027D06" w:rsidRDefault="00027D06" w:rsidP="00027D06">
      <w:pPr>
        <w:pStyle w:val="ODNONIKtreodnonika"/>
      </w:pPr>
      <w:r w:rsidRPr="00027D06">
        <w:rPr>
          <w:rStyle w:val="Odwoanieprzypisudolnego"/>
        </w:rPr>
        <w:footnoteRef/>
      </w:r>
      <w:r>
        <w:rPr>
          <w:rStyle w:val="IGindeksgrny"/>
        </w:rPr>
        <w:t>)</w:t>
      </w:r>
      <w:r>
        <w:tab/>
        <w:t xml:space="preserve">Niniejszą ustawą zmienia się ustawy: ustawę z dnia 17 listopada 1964 r. – Kodeks postępowania cywilnego, ustawę z dnia 17 czerwca 1966 r. o postępowaniu egzekucyjnym w administracji, ustawę z dnia 6 kwietnia 1990 r. o Policji, ustawę z dnia 12 października 1990 r. o Straży Granicznej, ustawę z dnia 26 lipca 1991 r. o podatku dochodowym od osób fizycznych, ustawę z dnia 15 lutego 1992 r. o podatku dochodowym od osób prawnych, ustawę z dnia 29 września 1994 r. o rachunkowości, ustawę z dnia 21 czerwca 1996 r. o szczególnych formach sprawowania nadzoru przez ministra właściwego do spraw wewnętrznych, ustawę z dnia 6 czerwca 1997 r. </w:t>
      </w:r>
      <w:r>
        <w:sym w:font="Symbol" w:char="F02D"/>
      </w:r>
      <w:r>
        <w:t xml:space="preserve"> Kodeks postępowania karnego, ustawę z dnia 29 sierpnia 1997 r. – Prawo bankowe, ustawę z dnia 9 września 2000 r. o podatku od czynności cywilnoprawnych, ustawę z dnia 7 grudnia 2000 r. o funkcjonowaniu banków spółdzielczych, ich zrzeszaniu się i bankach zrzeszających, ustawę z dnia 24 sierpnia 2001 r. o Żandarmerii Wojskowej i wojskowych organach porządkowych, ustawę z dnia 24 maja 2002 r. o Agencji Bezpieczeństwa Wewnętrznego oraz Agencji Wywiadu, ustawę z dnia 27 lipca 2002 r. – Prawo dewizowe, ustawę z dnia 28 października 2002 r. o odpowiedzialności podmiotów zbiorowych za czyny zabronione pod groźbą kary, ustawę z dnia 27 maja 2004 r. o funduszach inwestycyjnych i zarządzaniu alternatywnymi funduszami inwestycyjnymi, ustawę z dnia 29 lipca 2005 r. o nadzorze nad rynkiem kapitałowym, ustawę z dnia 29 lipca 2005 r. o obrocie instrumentami finansowymi, ustawę z dnia 9 czerwca 2006 r. o Centralnym Biurze Antykorupcyjnym, ustawę z dnia 21 lipca 2006 r. o nadzorze nad rynkiem finansowym, ustawę z dnia 5 listopada 2009 r. o spółdzielczych kasach oszczędnościowo-kredytowych, ustawę z dnia 19 sierpnia 2011 r. o usługach płatniczych, ustawę z dnia 30 maja 2014 r. o prawach konsumenta, ustawę z dnia 15 maja 2015 r. </w:t>
      </w:r>
      <w:r>
        <w:sym w:font="Symbol" w:char="F02D"/>
      </w:r>
      <w:r>
        <w:t xml:space="preserve"> Prawo restrukturyzacyjne, ustawę z dnia 5 sierpnia 2015 r. o rozpatrywaniu reklamacji przez podmioty rynku finansowego, o Rzeczniku Finansowym i o Funduszu Edukacji Finansowej, ustawę z dnia 16 listopada 2016 r. o Krajowej Administracji Skarbowej, ustawę z dnia 11 maja 2017 r. o biegłych rewidentach, firmach audytorskich oraz nadzorze publicznym oraz ustawę z dnia 1 marca 2018 r. o przeciwdziałaniu praniu pieniędzy oraz finansowaniu terroryzmu.</w:t>
      </w:r>
    </w:p>
  </w:footnote>
  <w:footnote w:id="3">
    <w:p w14:paraId="33697778" w14:textId="77777777" w:rsidR="00027D06" w:rsidRDefault="00027D06" w:rsidP="00027D06">
      <w:pPr>
        <w:pStyle w:val="ODNONIKtreodnonika"/>
      </w:pPr>
      <w:r w:rsidRPr="00027D06">
        <w:rPr>
          <w:rStyle w:val="Odwoanieprzypisudolnego"/>
        </w:rPr>
        <w:footnoteRef/>
      </w:r>
      <w:r>
        <w:rPr>
          <w:rStyle w:val="IGindeksgrny"/>
        </w:rPr>
        <w:t>)</w:t>
      </w:r>
      <w:r>
        <w:rPr>
          <w:rStyle w:val="IGindeksgrny"/>
        </w:rPr>
        <w:tab/>
      </w:r>
      <w:r>
        <w:t>Zmiany wymienionego rozporządzenia zostały ogłoszone w Dz. Urz. UE L 163 z 29.06.2023, str. 107.</w:t>
      </w:r>
    </w:p>
  </w:footnote>
  <w:footnote w:id="4">
    <w:p w14:paraId="7018FF0C" w14:textId="77777777" w:rsidR="00027D06" w:rsidRDefault="00027D06" w:rsidP="00027D06">
      <w:pPr>
        <w:pStyle w:val="ODNONIKtreodnonika"/>
      </w:pPr>
      <w:r w:rsidRPr="00027D06">
        <w:rPr>
          <w:rStyle w:val="Odwoanieprzypisudolnego"/>
        </w:rPr>
        <w:footnoteRef/>
      </w:r>
      <w:r>
        <w:rPr>
          <w:rStyle w:val="IGindeksgrny"/>
        </w:rPr>
        <w:t>)</w:t>
      </w:r>
      <w:r>
        <w:rPr>
          <w:rStyle w:val="IGindeksgrny"/>
        </w:rPr>
        <w:tab/>
      </w:r>
      <w:r>
        <w:t>Zmiany tekstu jednolitego wymienionej ustawy zostały ogłoszone w Dz. U. z 2023 r. poz. 295 i 1598, z 2024 r. poz. 619, 1685 i 1863 oraz z 2025 r. poz. 1218.</w:t>
      </w:r>
    </w:p>
  </w:footnote>
  <w:footnote w:id="5">
    <w:p w14:paraId="09FD6201"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6">
    <w:p w14:paraId="58A5708A" w14:textId="77777777" w:rsidR="00027D06" w:rsidRDefault="00027D06" w:rsidP="00027D06">
      <w:pPr>
        <w:pStyle w:val="ODNONIKtreodnonika"/>
      </w:pPr>
      <w:r w:rsidRPr="00027D06">
        <w:rPr>
          <w:rStyle w:val="Odwoanieprzypisudolnego"/>
        </w:rPr>
        <w:footnoteRef/>
      </w:r>
      <w:r>
        <w:rPr>
          <w:rStyle w:val="IGindeksgrny"/>
        </w:rPr>
        <w:t>)</w:t>
      </w:r>
      <w:r>
        <w:tab/>
        <w:t>Zmiany tekstu jednolitego wymienionej ustawy zostały ogłoszone w Dz. U. z 2024 r. poz. 1863 oraz z 2025 r. poz. 146, 820, 923, 1014, 1069, 1216 i 1556.</w:t>
      </w:r>
    </w:p>
  </w:footnote>
  <w:footnote w:id="7">
    <w:p w14:paraId="5DDB5677"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208 z 02.08.2013, str. 68, Dz. Urz. UE L 321 z 30.11.2013, str. 6, Dz. Urz. UE L 11 z 17.01.2015, str. 37, Dz. Urz. UE L 171 z 29.06.2016, str. 153, Dz. Urz. UE L 20 z 25.01.2017, str. 4, Dz. Urz. UE L 310 z 25.11.2017, str. 1, Dz. Urz. UE L 345 z 27.12.2017, str. 27, Dz. Urz. UE L 347 z 28.12.2017, str. 1, Dz. Urz. UE L 74 z 16.03.2018, str. 3, Dz. Urz. UE L 111 z 25.04.2019, str. 4, Dz. Urz. UE L 150 z 07.06.2019, str. 1, Dz. Urz. UE L 314 z 05.12.2019, str. 1, Dz. Urz. UE L 328 z 18.12.2019, str. 1, Dz. Urz. UE L 204 z 26.06.2020, str. 4, Dz. Urz. UE L 335 z 13.10.2020, str. 20, Dz. Urz. UE L 405 z 02.12.2020, str. 79, Dz. Urz. UE L 84 z 11.03.2021, str. 1, Dz. Urz. UE L 116 z 06.04.2021, str. 25, Dz. Urz. UE L 225 z 25.06.2021, str. 52, Dz. Urz. UE L 275 z 25.10.2022, str. 1, Dz. Urz. UE L 92 z 30.03.2023, str. 29, Dz. Urz. UE L 2023/2869 z 20.12.2023, Dz. Urz. UE L 2024/1623 z 19.06.2024, Dz. Urz. UE L 2795/2024 z 31.10.2024, Dz. Urz. UE L 2987/2024 z 04.12.2024 oraz Dz. Urz. UE L 90328/2025 z 16.04.2025.</w:t>
      </w:r>
    </w:p>
  </w:footnote>
  <w:footnote w:id="8">
    <w:p w14:paraId="4291087E" w14:textId="77777777" w:rsidR="00027D06" w:rsidRDefault="00027D06" w:rsidP="00027D06">
      <w:pPr>
        <w:pStyle w:val="ODNONIKtreodnonika"/>
      </w:pPr>
      <w:r w:rsidRPr="00027D06">
        <w:rPr>
          <w:rStyle w:val="Odwoanieprzypisudolnego"/>
        </w:rPr>
        <w:footnoteRef/>
      </w:r>
      <w:r>
        <w:rPr>
          <w:rStyle w:val="IGindeksgrny"/>
        </w:rPr>
        <w:t>)</w:t>
      </w:r>
      <w:r>
        <w:tab/>
        <w:t>Zmiany tekstu jednolitego wymienionej ustawy zostały ogłoszone w Dz. U. z 2024 r. poz. 1685 i 1863 oraz z 2025 r. poz. 146, 222, 525, 769, 820, 1069, 1170, 1191 i 1216.</w:t>
      </w:r>
    </w:p>
  </w:footnote>
  <w:footnote w:id="9">
    <w:p w14:paraId="50FFADE0" w14:textId="77777777" w:rsidR="00027D06" w:rsidRDefault="00027D06" w:rsidP="00027D06">
      <w:pPr>
        <w:pStyle w:val="ODNONIKtreodnonika"/>
      </w:pPr>
      <w:r w:rsidRPr="00027D06">
        <w:rPr>
          <w:rStyle w:val="Odwoanieprzypisudolnego"/>
        </w:rPr>
        <w:footnoteRef/>
      </w:r>
      <w:r>
        <w:rPr>
          <w:vertAlign w:val="superscript"/>
        </w:rPr>
        <w:t>)</w:t>
      </w:r>
      <w:r>
        <w:rPr>
          <w:vertAlign w:val="superscript"/>
        </w:rPr>
        <w:tab/>
      </w:r>
      <w:r>
        <w:t>Zmiany tekstu jednolitego wymienionej ustawy zostały ogłoszone w Dz. U. z 2024 r. 1841 oraz z 2025 r. poz. 620, 1172, 1302, 1518 i 1661.</w:t>
      </w:r>
    </w:p>
  </w:footnote>
  <w:footnote w:id="10">
    <w:p w14:paraId="7BBE5DFC"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1">
    <w:p w14:paraId="5128972A"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2">
    <w:p w14:paraId="1D3C0199" w14:textId="77777777" w:rsidR="00027D06" w:rsidRDefault="00027D06" w:rsidP="00027D06">
      <w:pPr>
        <w:pStyle w:val="ODNONIKtreodnonika"/>
      </w:pPr>
      <w:r w:rsidRPr="00027D06">
        <w:rPr>
          <w:rStyle w:val="Odwoanieprzypisudolnego"/>
        </w:rPr>
        <w:footnoteRef/>
      </w:r>
      <w:r>
        <w:rPr>
          <w:rStyle w:val="IGindeksgrny"/>
        </w:rPr>
        <w:t>)</w:t>
      </w:r>
      <w:r>
        <w:tab/>
        <w:t>Zmiany tekstu jednolitego wymienionej ustawy zostały ogłoszone w Dz. U. z 2025 r. poz. 340, 368, 620, 680, 1022, 1180, 1301, 1302 i 1366.</w:t>
      </w:r>
    </w:p>
  </w:footnote>
  <w:footnote w:id="13">
    <w:p w14:paraId="22160E2B"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4">
    <w:p w14:paraId="432A5B51" w14:textId="77777777" w:rsidR="00027D06" w:rsidRDefault="00027D06" w:rsidP="00027D06">
      <w:pPr>
        <w:pStyle w:val="ODNONIKtreodnonika"/>
      </w:pPr>
      <w:r w:rsidRPr="00027D06">
        <w:rPr>
          <w:rStyle w:val="Odwoanieprzypisudolnego"/>
        </w:rPr>
        <w:footnoteRef/>
      </w:r>
      <w:r>
        <w:rPr>
          <w:rStyle w:val="IGindeksgrny"/>
        </w:rPr>
        <w:t>)</w:t>
      </w:r>
      <w:r>
        <w:tab/>
        <w:t>Zmiany tekstu jednolitego wymienionej ustawy zostały ogłoszone w Dz. U. z 2025 r. poz. 340, 620, 680, 1022, 1074, 1218, 1301, 1426, 1657 i 1658.</w:t>
      </w:r>
    </w:p>
  </w:footnote>
  <w:footnote w:id="15">
    <w:p w14:paraId="4AFE0825"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6">
    <w:p w14:paraId="0E8B457E" w14:textId="77777777" w:rsidR="00027D06" w:rsidRDefault="00027D06" w:rsidP="00027D06">
      <w:pPr>
        <w:pStyle w:val="ODNONIKtreodnonika"/>
      </w:pPr>
      <w:r w:rsidRPr="00027D06">
        <w:rPr>
          <w:rStyle w:val="Odwoanieprzypisudolnego"/>
        </w:rPr>
        <w:footnoteRef/>
      </w:r>
      <w:r>
        <w:rPr>
          <w:rStyle w:val="IGindeksgrny"/>
        </w:rPr>
        <w:t>)</w:t>
      </w:r>
      <w:r>
        <w:tab/>
        <w:t>Zmiany tekstu jednolitego wymienionej ustawy zostały ogłoszone w Dz. U. z 2023 r. poz. 295 i 1598, z 2024 r. poz. 619, 1685 i 1863 oraz z 2025 r. poz. 1218.</w:t>
      </w:r>
    </w:p>
  </w:footnote>
  <w:footnote w:id="17">
    <w:p w14:paraId="0FF5A248"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8">
    <w:p w14:paraId="5D5F5DC6"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9">
    <w:p w14:paraId="2E9D68EC" w14:textId="77777777" w:rsidR="00027D06" w:rsidRDefault="00027D06" w:rsidP="00027D06">
      <w:pPr>
        <w:pStyle w:val="ODNONIKtreodnonika"/>
      </w:pPr>
      <w:r w:rsidRPr="00027D06">
        <w:rPr>
          <w:rStyle w:val="Odwoanieprzypisudolnego"/>
        </w:rPr>
        <w:footnoteRef/>
      </w:r>
      <w:r>
        <w:rPr>
          <w:rStyle w:val="IGindeksgrny"/>
        </w:rPr>
        <w:t>)</w:t>
      </w:r>
      <w:r>
        <w:tab/>
        <w:t>Zmiany tekstu jednolitego wymienionej ustawy zostały ogłoszone w Dz. U. z 2024 r. 1685 i 1863 oraz z 2025 r. poz. 146, 222, 525, 769, 820, 1069, 1170, 1191 i 1216.</w:t>
      </w:r>
    </w:p>
  </w:footnote>
  <w:footnote w:id="20">
    <w:p w14:paraId="67CEE01A"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1">
    <w:p w14:paraId="06783265"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2">
    <w:p w14:paraId="4C320436"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3">
    <w:p w14:paraId="35D87C4F" w14:textId="77777777" w:rsidR="00027D06" w:rsidRDefault="00027D06" w:rsidP="00027D06">
      <w:pPr>
        <w:pStyle w:val="ODNONIKtreodnonika"/>
      </w:pPr>
      <w:r w:rsidRPr="00027D06">
        <w:rPr>
          <w:rStyle w:val="Odwoanieprzypisudolnego"/>
        </w:rPr>
        <w:footnoteRef/>
      </w:r>
      <w:r>
        <w:rPr>
          <w:rStyle w:val="IGindeksgrny"/>
        </w:rPr>
        <w:t>)</w:t>
      </w:r>
      <w:r>
        <w:tab/>
        <w:t>Zmiany tekstu jednolitego wymienionej ustawy zostały ogłoszone w Dz. U. z 2023 r. 295, 1598, z 2024 r. poz. 619, 1685 i 1863 oraz z 2025 r. poz. 1218.</w:t>
      </w:r>
    </w:p>
  </w:footnote>
  <w:footnote w:id="24">
    <w:p w14:paraId="4D25C3BB" w14:textId="77777777" w:rsidR="00027D06" w:rsidRDefault="00027D06" w:rsidP="00027D06">
      <w:pPr>
        <w:pStyle w:val="ODNONIKtreodnonika"/>
      </w:pPr>
      <w:r w:rsidRPr="00027D06">
        <w:rPr>
          <w:rStyle w:val="Odwoanieprzypisudolnego"/>
        </w:rPr>
        <w:footnoteRef/>
      </w:r>
      <w:r>
        <w:rPr>
          <w:rStyle w:val="IGindeksgrny"/>
        </w:rPr>
        <w:t>)</w:t>
      </w:r>
      <w:r>
        <w:tab/>
        <w:t>Zmiany tekstu jednolitego wymienionej ustawy zostały ogłoszone w Dz. U. z 2024 r. poz. 1863 oraz z 2025 r. poz. 146, 820, 935, 1069, 1161, 1216 i 1408.</w:t>
      </w:r>
    </w:p>
  </w:footnote>
  <w:footnote w:id="25">
    <w:p w14:paraId="3CD2BF64"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6">
    <w:p w14:paraId="7C052CBA" w14:textId="77777777" w:rsidR="00027D06" w:rsidRDefault="00027D06" w:rsidP="00027D06">
      <w:pPr>
        <w:pStyle w:val="ODNONIKtreodnonika"/>
      </w:pPr>
      <w:r w:rsidRPr="00027D06">
        <w:rPr>
          <w:rStyle w:val="Odwoanieprzypisudolnego"/>
        </w:rPr>
        <w:footnoteRef/>
      </w:r>
      <w:r>
        <w:rPr>
          <w:rStyle w:val="IGindeksgrny"/>
        </w:rPr>
        <w:t>)</w:t>
      </w:r>
      <w:r>
        <w:tab/>
        <w:t>Zmiany tekstu jednolitego wymienionej ustawy zostały ogłoszone w Dz. U. z 2024 r. poz. 1863 oraz z 2025 r. poz. 146, 820, 923, 1014, 1069, 1216 i 1556.</w:t>
      </w:r>
    </w:p>
  </w:footnote>
  <w:footnote w:id="27">
    <w:p w14:paraId="6D91CDC2"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8">
    <w:p w14:paraId="0D8F84CA"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9">
    <w:p w14:paraId="55E5EFDB"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0">
    <w:p w14:paraId="712F806B"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1">
    <w:p w14:paraId="465E7D3C"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2">
    <w:p w14:paraId="31F74415"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3">
    <w:p w14:paraId="75FBB8EF" w14:textId="77777777" w:rsidR="00027D06" w:rsidRDefault="00027D06" w:rsidP="00027D06">
      <w:pPr>
        <w:pStyle w:val="ODNONIKtreodnonika"/>
      </w:pPr>
      <w:r w:rsidRPr="00027D06">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4">
    <w:p w14:paraId="54F2AAD3" w14:textId="77777777" w:rsidR="00027D06" w:rsidRDefault="00027D06" w:rsidP="00027D06">
      <w:pPr>
        <w:pStyle w:val="ODNONIKtreodnonika"/>
      </w:pPr>
      <w:r>
        <w:rPr>
          <w:rStyle w:val="IGindeksgrny"/>
        </w:rPr>
        <w:footnoteRef/>
      </w:r>
      <w:r>
        <w:rPr>
          <w:rStyle w:val="IGindeksgrny"/>
        </w:rPr>
        <w:t>)</w:t>
      </w:r>
      <w:r>
        <w:tab/>
        <w:t>Zmiany wymienionego rozporządzenia zostały ogłoszone w Dz. Urz. UE L 2023/2869 z 20.12.2023, Dz. Urz. UE L 2024/90275 z 02.05.2024 oraz Dz. Urz. UE L 2024/90658 z 30.10.2024.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402F" w14:textId="77777777" w:rsidR="00027D06" w:rsidRPr="00B371CC" w:rsidRDefault="00027D06" w:rsidP="00B371CC">
    <w:pPr>
      <w:pStyle w:val="Nagwek"/>
      <w:jc w:val="center"/>
    </w:pPr>
    <w:r>
      <w:t xml:space="preserve">– </w:t>
    </w:r>
    <w:r>
      <w:fldChar w:fldCharType="begin"/>
    </w:r>
    <w:r>
      <w:instrText xml:space="preserve"> PAGE  \* MERGEFORMAT </w:instrText>
    </w:r>
    <w:r>
      <w:fldChar w:fldCharType="separate"/>
    </w:r>
    <w:r w:rsidR="00436376">
      <w:rPr>
        <w:noProof/>
      </w:rPr>
      <w:t>55</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8E"/>
    <w:rsid w:val="00011954"/>
    <w:rsid w:val="00027D06"/>
    <w:rsid w:val="0005364F"/>
    <w:rsid w:val="00076A91"/>
    <w:rsid w:val="0009670A"/>
    <w:rsid w:val="000A668B"/>
    <w:rsid w:val="000B5A37"/>
    <w:rsid w:val="000C514F"/>
    <w:rsid w:val="000D0CD9"/>
    <w:rsid w:val="001530E6"/>
    <w:rsid w:val="0017713C"/>
    <w:rsid w:val="001E11FF"/>
    <w:rsid w:val="001F04EF"/>
    <w:rsid w:val="00223F4E"/>
    <w:rsid w:val="0022520E"/>
    <w:rsid w:val="00257EE5"/>
    <w:rsid w:val="002678B6"/>
    <w:rsid w:val="002A18D3"/>
    <w:rsid w:val="00351066"/>
    <w:rsid w:val="003739FF"/>
    <w:rsid w:val="003D1E59"/>
    <w:rsid w:val="004015B6"/>
    <w:rsid w:val="00436376"/>
    <w:rsid w:val="00472301"/>
    <w:rsid w:val="00483C0F"/>
    <w:rsid w:val="005111A5"/>
    <w:rsid w:val="00536F0A"/>
    <w:rsid w:val="00547711"/>
    <w:rsid w:val="005536F0"/>
    <w:rsid w:val="00554C50"/>
    <w:rsid w:val="005557C0"/>
    <w:rsid w:val="00557DE6"/>
    <w:rsid w:val="00596383"/>
    <w:rsid w:val="006048DE"/>
    <w:rsid w:val="00605FC9"/>
    <w:rsid w:val="00607578"/>
    <w:rsid w:val="00630561"/>
    <w:rsid w:val="006B1A3A"/>
    <w:rsid w:val="00745C84"/>
    <w:rsid w:val="007E5956"/>
    <w:rsid w:val="00813D94"/>
    <w:rsid w:val="00820285"/>
    <w:rsid w:val="008F7179"/>
    <w:rsid w:val="00905E2C"/>
    <w:rsid w:val="009134CF"/>
    <w:rsid w:val="00943BC7"/>
    <w:rsid w:val="009612CB"/>
    <w:rsid w:val="009B53C7"/>
    <w:rsid w:val="009C7BE3"/>
    <w:rsid w:val="009E0BBB"/>
    <w:rsid w:val="00A06B2C"/>
    <w:rsid w:val="00A45497"/>
    <w:rsid w:val="00A54D39"/>
    <w:rsid w:val="00A75CA3"/>
    <w:rsid w:val="00A7749A"/>
    <w:rsid w:val="00AA3DA8"/>
    <w:rsid w:val="00AB5F80"/>
    <w:rsid w:val="00AB7233"/>
    <w:rsid w:val="00AE4CBF"/>
    <w:rsid w:val="00AE7217"/>
    <w:rsid w:val="00B25356"/>
    <w:rsid w:val="00B2643E"/>
    <w:rsid w:val="00B83CDD"/>
    <w:rsid w:val="00BA7CEC"/>
    <w:rsid w:val="00C003B4"/>
    <w:rsid w:val="00C20C58"/>
    <w:rsid w:val="00C53186"/>
    <w:rsid w:val="00C90CE9"/>
    <w:rsid w:val="00CA3308"/>
    <w:rsid w:val="00CB42EC"/>
    <w:rsid w:val="00CD7DA9"/>
    <w:rsid w:val="00CE738E"/>
    <w:rsid w:val="00D32E54"/>
    <w:rsid w:val="00D3319D"/>
    <w:rsid w:val="00D3467D"/>
    <w:rsid w:val="00D47881"/>
    <w:rsid w:val="00DB37ED"/>
    <w:rsid w:val="00E13FB8"/>
    <w:rsid w:val="00E37E9E"/>
    <w:rsid w:val="00E42592"/>
    <w:rsid w:val="00E53CA9"/>
    <w:rsid w:val="00E53CB5"/>
    <w:rsid w:val="00E93089"/>
    <w:rsid w:val="00EA1338"/>
    <w:rsid w:val="00EC7709"/>
    <w:rsid w:val="00F03C61"/>
    <w:rsid w:val="00F230C9"/>
    <w:rsid w:val="00FA614C"/>
    <w:rsid w:val="00FC1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9686"/>
  <w15:chartTrackingRefBased/>
  <w15:docId w15:val="{B0F6A3AD-94E8-4D9F-A355-261CA85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CE7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9"/>
    <w:semiHidden/>
    <w:unhideWhenUsed/>
    <w:qFormat/>
    <w:rsid w:val="00CE7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9"/>
    <w:semiHidden/>
    <w:unhideWhenUsed/>
    <w:qFormat/>
    <w:rsid w:val="00CE738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E738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E738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E73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73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73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73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E738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9"/>
    <w:semiHidden/>
    <w:rsid w:val="00CE738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9"/>
    <w:semiHidden/>
    <w:rsid w:val="00CE738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E738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E738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E73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73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73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738E"/>
    <w:rPr>
      <w:rFonts w:eastAsiaTheme="majorEastAsia" w:cstheme="majorBidi"/>
      <w:color w:val="272727" w:themeColor="text1" w:themeTint="D8"/>
    </w:rPr>
  </w:style>
  <w:style w:type="paragraph" w:styleId="Tytu">
    <w:name w:val="Title"/>
    <w:basedOn w:val="Normalny"/>
    <w:next w:val="Normalny"/>
    <w:link w:val="TytuZnak"/>
    <w:uiPriority w:val="99"/>
    <w:qFormat/>
    <w:rsid w:val="00CE7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CE73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73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73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738E"/>
    <w:pPr>
      <w:spacing w:before="160"/>
      <w:jc w:val="center"/>
    </w:pPr>
    <w:rPr>
      <w:i/>
      <w:iCs/>
      <w:color w:val="404040" w:themeColor="text1" w:themeTint="BF"/>
    </w:rPr>
  </w:style>
  <w:style w:type="character" w:customStyle="1" w:styleId="CytatZnak">
    <w:name w:val="Cytat Znak"/>
    <w:basedOn w:val="Domylnaczcionkaakapitu"/>
    <w:link w:val="Cytat"/>
    <w:uiPriority w:val="29"/>
    <w:rsid w:val="00CE738E"/>
    <w:rPr>
      <w:i/>
      <w:iCs/>
      <w:color w:val="404040" w:themeColor="text1" w:themeTint="BF"/>
    </w:rPr>
  </w:style>
  <w:style w:type="paragraph" w:styleId="Akapitzlist">
    <w:name w:val="List Paragraph"/>
    <w:basedOn w:val="Normalny"/>
    <w:uiPriority w:val="99"/>
    <w:qFormat/>
    <w:rsid w:val="00CE738E"/>
    <w:pPr>
      <w:ind w:left="720"/>
      <w:contextualSpacing/>
    </w:pPr>
  </w:style>
  <w:style w:type="character" w:styleId="Wyrnienieintensywne">
    <w:name w:val="Intense Emphasis"/>
    <w:basedOn w:val="Domylnaczcionkaakapitu"/>
    <w:uiPriority w:val="21"/>
    <w:qFormat/>
    <w:rsid w:val="00CE738E"/>
    <w:rPr>
      <w:i/>
      <w:iCs/>
      <w:color w:val="0F4761" w:themeColor="accent1" w:themeShade="BF"/>
    </w:rPr>
  </w:style>
  <w:style w:type="paragraph" w:styleId="Cytatintensywny">
    <w:name w:val="Intense Quote"/>
    <w:basedOn w:val="Normalny"/>
    <w:next w:val="Normalny"/>
    <w:link w:val="CytatintensywnyZnak"/>
    <w:uiPriority w:val="30"/>
    <w:qFormat/>
    <w:rsid w:val="00CE7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E738E"/>
    <w:rPr>
      <w:i/>
      <w:iCs/>
      <w:color w:val="0F4761" w:themeColor="accent1" w:themeShade="BF"/>
    </w:rPr>
  </w:style>
  <w:style w:type="character" w:styleId="Odwoanieintensywne">
    <w:name w:val="Intense Reference"/>
    <w:basedOn w:val="Domylnaczcionkaakapitu"/>
    <w:uiPriority w:val="32"/>
    <w:qFormat/>
    <w:rsid w:val="00CE738E"/>
    <w:rPr>
      <w:b/>
      <w:bCs/>
      <w:smallCaps/>
      <w:color w:val="0F4761" w:themeColor="accent1" w:themeShade="BF"/>
      <w:spacing w:val="5"/>
    </w:rPr>
  </w:style>
  <w:style w:type="numbering" w:customStyle="1" w:styleId="Bezlisty1">
    <w:name w:val="Bez listy1"/>
    <w:next w:val="Bezlisty"/>
    <w:uiPriority w:val="99"/>
    <w:semiHidden/>
    <w:unhideWhenUsed/>
    <w:rsid w:val="00027D06"/>
  </w:style>
  <w:style w:type="paragraph" w:customStyle="1" w:styleId="ZLITwPKTzmlitwpktartykuempunktem">
    <w:name w:val="Z/LIT_w_PKT – zm. lit. w pkt artykułem (punktem)"/>
    <w:basedOn w:val="LITlitera"/>
    <w:uiPriority w:val="32"/>
    <w:qFormat/>
    <w:rsid w:val="00027D06"/>
    <w:pPr>
      <w:ind w:left="1497"/>
    </w:pPr>
  </w:style>
  <w:style w:type="paragraph" w:customStyle="1" w:styleId="ZTIRwPKTzmtirwpktartykuempunktem">
    <w:name w:val="Z/TIR_w_PKT – zm. tir. w pkt artykułem (punktem)"/>
    <w:basedOn w:val="TIRtiret"/>
    <w:uiPriority w:val="33"/>
    <w:qFormat/>
    <w:rsid w:val="00027D06"/>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27D06"/>
    <w:pPr>
      <w:ind w:left="1021"/>
    </w:pPr>
  </w:style>
  <w:style w:type="paragraph" w:customStyle="1" w:styleId="2TIRpodwjnytiret">
    <w:name w:val="2TIR – podwójny tiret"/>
    <w:basedOn w:val="TIRtiret"/>
    <w:uiPriority w:val="73"/>
    <w:qFormat/>
    <w:rsid w:val="00027D06"/>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semiHidden/>
    <w:rsid w:val="00027D06"/>
    <w:rPr>
      <w:rFonts w:cs="Times New Roman"/>
      <w:vertAlign w:val="superscript"/>
    </w:rPr>
  </w:style>
  <w:style w:type="paragraph" w:styleId="Nagwek">
    <w:name w:val="header"/>
    <w:basedOn w:val="Normalny"/>
    <w:link w:val="NagwekZnak"/>
    <w:uiPriority w:val="99"/>
    <w:semiHidden/>
    <w:rsid w:val="00027D06"/>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14:ligatures w14:val="none"/>
    </w:rPr>
  </w:style>
  <w:style w:type="character" w:customStyle="1" w:styleId="NagwekZnak">
    <w:name w:val="Nagłówek Znak"/>
    <w:basedOn w:val="Domylnaczcionkaakapitu"/>
    <w:link w:val="Nagwek"/>
    <w:uiPriority w:val="99"/>
    <w:semiHidden/>
    <w:rsid w:val="00027D06"/>
    <w:rPr>
      <w:rFonts w:ascii="Times" w:eastAsia="Times New Roman" w:hAnsi="Times" w:cs="Times New Roman"/>
      <w:kern w:val="1"/>
      <w:sz w:val="24"/>
      <w:szCs w:val="24"/>
      <w:lang w:eastAsia="ar-SA"/>
      <w14:ligatures w14:val="none"/>
    </w:rPr>
  </w:style>
  <w:style w:type="paragraph" w:styleId="Stopka">
    <w:name w:val="footer"/>
    <w:basedOn w:val="Normalny"/>
    <w:link w:val="StopkaZnak"/>
    <w:uiPriority w:val="99"/>
    <w:semiHidden/>
    <w:rsid w:val="00027D06"/>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14:ligatures w14:val="none"/>
    </w:rPr>
  </w:style>
  <w:style w:type="character" w:customStyle="1" w:styleId="StopkaZnak">
    <w:name w:val="Stopka Znak"/>
    <w:basedOn w:val="Domylnaczcionkaakapitu"/>
    <w:link w:val="Stopka"/>
    <w:uiPriority w:val="99"/>
    <w:semiHidden/>
    <w:rsid w:val="00027D06"/>
    <w:rPr>
      <w:rFonts w:ascii="Times" w:eastAsia="Times New Roman" w:hAnsi="Times" w:cs="Times New Roman"/>
      <w:kern w:val="1"/>
      <w:sz w:val="24"/>
      <w:szCs w:val="24"/>
      <w:lang w:eastAsia="ar-SA"/>
      <w14:ligatures w14:val="none"/>
    </w:rPr>
  </w:style>
  <w:style w:type="paragraph" w:styleId="Tekstdymka">
    <w:name w:val="Balloon Text"/>
    <w:basedOn w:val="Normalny"/>
    <w:link w:val="TekstdymkaZnak"/>
    <w:uiPriority w:val="99"/>
    <w:semiHidden/>
    <w:rsid w:val="00027D06"/>
    <w:pPr>
      <w:widowControl w:val="0"/>
      <w:suppressAutoHyphens/>
      <w:spacing w:after="0" w:line="360" w:lineRule="auto"/>
    </w:pPr>
    <w:rPr>
      <w:rFonts w:ascii="Tahoma" w:eastAsia="Times New Roman" w:hAnsi="Tahoma" w:cs="Tahoma"/>
      <w:kern w:val="1"/>
      <w:sz w:val="24"/>
      <w:szCs w:val="16"/>
      <w:lang w:eastAsia="ar-SA"/>
      <w14:ligatures w14:val="none"/>
    </w:rPr>
  </w:style>
  <w:style w:type="character" w:customStyle="1" w:styleId="TekstdymkaZnak">
    <w:name w:val="Tekst dymka Znak"/>
    <w:basedOn w:val="Domylnaczcionkaakapitu"/>
    <w:link w:val="Tekstdymka"/>
    <w:uiPriority w:val="99"/>
    <w:semiHidden/>
    <w:rsid w:val="00027D06"/>
    <w:rPr>
      <w:rFonts w:ascii="Tahoma" w:eastAsia="Times New Roman" w:hAnsi="Tahoma" w:cs="Tahoma"/>
      <w:kern w:val="1"/>
      <w:sz w:val="24"/>
      <w:szCs w:val="16"/>
      <w:lang w:eastAsia="ar-SA"/>
      <w14:ligatures w14:val="none"/>
    </w:rPr>
  </w:style>
  <w:style w:type="paragraph" w:customStyle="1" w:styleId="ARTartustawynprozporzdzenia">
    <w:name w:val="ART(§) – art. ustawy (§ np. rozporządzenia)"/>
    <w:uiPriority w:val="11"/>
    <w:qFormat/>
    <w:rsid w:val="00027D06"/>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14:ligatures w14:val="none"/>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27D06"/>
    <w:pPr>
      <w:ind w:left="1497"/>
    </w:pPr>
  </w:style>
  <w:style w:type="paragraph" w:customStyle="1" w:styleId="ZTIRwLITzmtirwlitartykuempunktem">
    <w:name w:val="Z/TIR_w_LIT – zm. tir. w lit. artykułem (punktem)"/>
    <w:basedOn w:val="TIRtiret"/>
    <w:uiPriority w:val="33"/>
    <w:qFormat/>
    <w:rsid w:val="00027D06"/>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27D06"/>
  </w:style>
  <w:style w:type="paragraph" w:styleId="Bezodstpw">
    <w:name w:val="No Spacing"/>
    <w:uiPriority w:val="99"/>
    <w:qFormat/>
    <w:rsid w:val="00027D06"/>
    <w:pPr>
      <w:widowControl w:val="0"/>
      <w:suppressAutoHyphens/>
      <w:spacing w:after="0" w:line="360" w:lineRule="auto"/>
    </w:pPr>
    <w:rPr>
      <w:rFonts w:ascii="Times" w:eastAsia="Times New Roman" w:hAnsi="Times" w:cs="Times New Roman"/>
      <w:kern w:val="1"/>
      <w:sz w:val="24"/>
      <w:szCs w:val="24"/>
      <w:lang w:eastAsia="ar-SA"/>
      <w14:ligatures w14:val="none"/>
    </w:rPr>
  </w:style>
  <w:style w:type="paragraph" w:customStyle="1" w:styleId="ZPKTzmpktartykuempunktem">
    <w:name w:val="Z/PKT – zm. pkt artykułem (punktem)"/>
    <w:basedOn w:val="PKTpunkt"/>
    <w:uiPriority w:val="33"/>
    <w:qFormat/>
    <w:rsid w:val="00027D06"/>
    <w:pPr>
      <w:ind w:left="1020"/>
    </w:pPr>
  </w:style>
  <w:style w:type="paragraph" w:customStyle="1" w:styleId="ZARTzmartartykuempunktem">
    <w:name w:val="Z/ART(§) – zm. art. (§) artykułem (punktem)"/>
    <w:basedOn w:val="ARTartustawynprozporzdzenia"/>
    <w:uiPriority w:val="30"/>
    <w:qFormat/>
    <w:rsid w:val="00027D06"/>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027D06"/>
    <w:pPr>
      <w:keepNext/>
      <w:suppressAutoHyphens/>
      <w:spacing w:before="120" w:after="120" w:line="360" w:lineRule="auto"/>
      <w:jc w:val="center"/>
    </w:pPr>
    <w:rPr>
      <w:rFonts w:ascii="Times" w:eastAsia="Times New Roman"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027D06"/>
    <w:pPr>
      <w:keepNext/>
      <w:suppressAutoHyphens/>
      <w:spacing w:before="120" w:after="360" w:line="360" w:lineRule="auto"/>
      <w:jc w:val="center"/>
    </w:pPr>
    <w:rPr>
      <w:rFonts w:ascii="Times" w:eastAsia="Times New Roman" w:hAnsi="Times" w:cs="Arial"/>
      <w:b/>
      <w:bCs/>
      <w:kern w:val="0"/>
      <w:sz w:val="24"/>
      <w:szCs w:val="24"/>
      <w:lang w:eastAsia="pl-PL"/>
      <w14:ligatures w14:val="none"/>
    </w:rPr>
  </w:style>
  <w:style w:type="paragraph" w:customStyle="1" w:styleId="CZKSIGAoznaczenieiprzedmiotczcilubksigi">
    <w:name w:val="CZĘŚĆ(KSIĘGA) – oznaczenie i przedmiot części lub księgi"/>
    <w:next w:val="ARTartustawynprozporzdzenia"/>
    <w:uiPriority w:val="8"/>
    <w:qFormat/>
    <w:rsid w:val="00027D06"/>
    <w:pPr>
      <w:keepNext/>
      <w:suppressAutoHyphens/>
      <w:spacing w:before="120" w:after="0" w:line="360" w:lineRule="auto"/>
      <w:jc w:val="center"/>
    </w:pPr>
    <w:rPr>
      <w:rFonts w:ascii="Times" w:eastAsia="Times New Roman" w:hAnsi="Times" w:cs="Times New Roman"/>
      <w:b/>
      <w:bCs/>
      <w:caps/>
      <w:kern w:val="24"/>
      <w:sz w:val="24"/>
      <w:szCs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27D06"/>
    <w:rPr>
      <w:bCs/>
    </w:rPr>
  </w:style>
  <w:style w:type="paragraph" w:customStyle="1" w:styleId="OZNRODZAKTUtznustawalubrozporzdzenieiorganwydajcy">
    <w:name w:val="OZN_RODZ_AKTU – tzn. ustawa lub rozporządzenie i organ wydający"/>
    <w:next w:val="DATAAKTUdatauchwalenialubwydaniaaktu"/>
    <w:uiPriority w:val="5"/>
    <w:qFormat/>
    <w:rsid w:val="00027D06"/>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USTustnpkodeksu">
    <w:name w:val="UST(§) – ust. (§ np. kodeksu)"/>
    <w:basedOn w:val="ARTartustawynprozporzdzenia"/>
    <w:uiPriority w:val="12"/>
    <w:qFormat/>
    <w:rsid w:val="00027D06"/>
    <w:pPr>
      <w:spacing w:before="0"/>
    </w:pPr>
    <w:rPr>
      <w:bCs/>
    </w:rPr>
  </w:style>
  <w:style w:type="paragraph" w:customStyle="1" w:styleId="PKTpunkt">
    <w:name w:val="PKT – punkt"/>
    <w:uiPriority w:val="16"/>
    <w:qFormat/>
    <w:rsid w:val="00027D06"/>
    <w:pPr>
      <w:spacing w:after="0" w:line="360" w:lineRule="auto"/>
      <w:ind w:left="510" w:hanging="510"/>
      <w:jc w:val="both"/>
    </w:pPr>
    <w:rPr>
      <w:rFonts w:ascii="Times" w:eastAsia="Times New Roman" w:hAnsi="Times" w:cs="Arial"/>
      <w:bCs/>
      <w:kern w:val="0"/>
      <w:sz w:val="24"/>
      <w:szCs w:val="20"/>
      <w:lang w:eastAsia="pl-PL"/>
      <w14:ligatures w14:val="none"/>
    </w:rPr>
  </w:style>
  <w:style w:type="paragraph" w:customStyle="1" w:styleId="CZWSPPKTczwsplnapunktw">
    <w:name w:val="CZ_WSP_PKT – część wspólna punktów"/>
    <w:basedOn w:val="PKTpunkt"/>
    <w:next w:val="USTustnpkodeksu"/>
    <w:uiPriority w:val="16"/>
    <w:qFormat/>
    <w:rsid w:val="00027D06"/>
    <w:pPr>
      <w:ind w:left="0" w:firstLine="0"/>
    </w:pPr>
  </w:style>
  <w:style w:type="paragraph" w:customStyle="1" w:styleId="LITlitera">
    <w:name w:val="LIT – litera"/>
    <w:basedOn w:val="PKTpunkt"/>
    <w:uiPriority w:val="17"/>
    <w:qFormat/>
    <w:rsid w:val="00027D06"/>
    <w:pPr>
      <w:ind w:left="986" w:hanging="476"/>
    </w:pPr>
  </w:style>
  <w:style w:type="paragraph" w:customStyle="1" w:styleId="CZWSPLITczwsplnaliter">
    <w:name w:val="CZ_WSP_LIT – część wspólna liter"/>
    <w:basedOn w:val="LITlitera"/>
    <w:next w:val="USTustnpkodeksu"/>
    <w:uiPriority w:val="17"/>
    <w:qFormat/>
    <w:rsid w:val="00027D06"/>
    <w:pPr>
      <w:ind w:left="510" w:firstLine="0"/>
    </w:pPr>
    <w:rPr>
      <w:szCs w:val="24"/>
    </w:rPr>
  </w:style>
  <w:style w:type="paragraph" w:customStyle="1" w:styleId="TIRtiret">
    <w:name w:val="TIR – tiret"/>
    <w:basedOn w:val="LITlitera"/>
    <w:uiPriority w:val="15"/>
    <w:qFormat/>
    <w:rsid w:val="00027D06"/>
    <w:pPr>
      <w:ind w:left="1384" w:hanging="397"/>
    </w:pPr>
  </w:style>
  <w:style w:type="paragraph" w:customStyle="1" w:styleId="CZWSPTIRczwsplnatiret">
    <w:name w:val="CZ_WSP_TIR – część wspólna tiret"/>
    <w:basedOn w:val="TIRtiret"/>
    <w:next w:val="USTustnpkodeksu"/>
    <w:uiPriority w:val="17"/>
    <w:qFormat/>
    <w:rsid w:val="00027D06"/>
    <w:pPr>
      <w:ind w:left="987" w:firstLine="0"/>
    </w:pPr>
  </w:style>
  <w:style w:type="paragraph" w:customStyle="1" w:styleId="CYTcytatnpprzysigi">
    <w:name w:val="CYT – cytat np. przysięgi"/>
    <w:basedOn w:val="USTustnpkodeksu"/>
    <w:next w:val="USTustnpkodeksu"/>
    <w:uiPriority w:val="18"/>
    <w:qFormat/>
    <w:rsid w:val="00027D06"/>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027D06"/>
    <w:pPr>
      <w:keepNext/>
      <w:suppressAutoHyphens/>
      <w:spacing w:before="120" w:after="0" w:line="360" w:lineRule="auto"/>
      <w:jc w:val="center"/>
    </w:pPr>
    <w:rPr>
      <w:rFonts w:ascii="Times" w:eastAsia="Times New Roman" w:hAnsi="Times" w:cs="Times New Roman"/>
      <w:b/>
      <w:bCs/>
      <w:kern w:val="0"/>
      <w:sz w:val="24"/>
      <w:szCs w:val="24"/>
      <w:lang w:eastAsia="pl-PL"/>
      <w14:ligatures w14:val="none"/>
    </w:rPr>
  </w:style>
  <w:style w:type="paragraph" w:customStyle="1" w:styleId="ZLITzmlitartykuempunktem">
    <w:name w:val="Z/LIT – zm. lit. artykułem (punktem)"/>
    <w:basedOn w:val="LITlitera"/>
    <w:uiPriority w:val="32"/>
    <w:qFormat/>
    <w:rsid w:val="00027D06"/>
  </w:style>
  <w:style w:type="paragraph" w:customStyle="1" w:styleId="ZLITCZWSPTIRwLITzmczciwsptirwlitliter">
    <w:name w:val="Z_LIT/CZ_WSP_TIR_w_LIT – zm. części wsp. tir. w lit. literą"/>
    <w:basedOn w:val="CZWSPTIRczwsplnatiret"/>
    <w:next w:val="LITlitera"/>
    <w:uiPriority w:val="51"/>
    <w:qFormat/>
    <w:rsid w:val="00027D06"/>
    <w:pPr>
      <w:ind w:left="1463"/>
    </w:pPr>
  </w:style>
  <w:style w:type="paragraph" w:customStyle="1" w:styleId="ZLITTIRwLITzmtirwlitliter">
    <w:name w:val="Z_LIT/TIR_w_LIT – zm. tir. w lit. literą"/>
    <w:basedOn w:val="TIRtiret"/>
    <w:uiPriority w:val="49"/>
    <w:qFormat/>
    <w:rsid w:val="00027D06"/>
    <w:pPr>
      <w:ind w:left="1860"/>
    </w:pPr>
  </w:style>
  <w:style w:type="paragraph" w:customStyle="1" w:styleId="TYTDZOZNoznaczenietytuulubdziau">
    <w:name w:val="TYT(DZ)_OZN – oznaczenie tytułu lub działu"/>
    <w:next w:val="Normalny"/>
    <w:uiPriority w:val="9"/>
    <w:qFormat/>
    <w:rsid w:val="00027D06"/>
    <w:pPr>
      <w:keepNext/>
      <w:spacing w:before="120" w:after="0" w:line="360" w:lineRule="auto"/>
      <w:jc w:val="center"/>
    </w:pPr>
    <w:rPr>
      <w:rFonts w:ascii="Times" w:eastAsia="Times New Roman" w:hAnsi="Times" w:cs="Arial"/>
      <w:bCs/>
      <w:caps/>
      <w:kern w:val="24"/>
      <w:sz w:val="24"/>
      <w:szCs w:val="24"/>
      <w:lang w:eastAsia="pl-PL"/>
      <w14:ligatures w14:val="none"/>
    </w:rPr>
  </w:style>
  <w:style w:type="paragraph" w:customStyle="1" w:styleId="ZWMATFIZCHEMzmwzorumatfizlubchemartykuempunktem">
    <w:name w:val="Z/W_MAT(FIZ|CHEM) – zm. wzoru mat. (fiz. lub chem.) artykułem (punktem)"/>
    <w:basedOn w:val="WMATFIZCHEMwzrmatfizlubchem"/>
    <w:uiPriority w:val="38"/>
    <w:qFormat/>
    <w:rsid w:val="00027D06"/>
    <w:pPr>
      <w:ind w:left="510"/>
    </w:pPr>
    <w:rPr>
      <w:rFonts w:eastAsiaTheme="minorEastAsia"/>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27D06"/>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027D06"/>
    <w:pPr>
      <w:keepNext/>
      <w:suppressAutoHyphens/>
      <w:spacing w:after="0" w:line="360" w:lineRule="auto"/>
      <w:ind w:left="510"/>
      <w:jc w:val="center"/>
    </w:pPr>
    <w:rPr>
      <w:rFonts w:ascii="Times" w:eastAsia="Times New Roman" w:hAnsi="Times" w:cs="Times New Roman"/>
      <w:kern w:val="0"/>
      <w:sz w:val="24"/>
      <w:szCs w:val="26"/>
      <w:lang w:eastAsia="pl-PL"/>
      <w14:ligatures w14:val="none"/>
    </w:rPr>
  </w:style>
  <w:style w:type="paragraph" w:customStyle="1" w:styleId="ZTIRzmtirartykuempunktem">
    <w:name w:val="Z/TIR – zm. tir. artykułem (punktem)"/>
    <w:basedOn w:val="TIRtiret"/>
    <w:next w:val="PKTpunkt"/>
    <w:uiPriority w:val="33"/>
    <w:qFormat/>
    <w:rsid w:val="00027D06"/>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027D06"/>
    <w:pPr>
      <w:ind w:left="510"/>
    </w:pPr>
  </w:style>
  <w:style w:type="paragraph" w:customStyle="1" w:styleId="ZZLITzmianazmlit">
    <w:name w:val="ZZ/LIT – zmiana zm. lit."/>
    <w:basedOn w:val="ZZPKTzmianazmpkt"/>
    <w:uiPriority w:val="67"/>
    <w:qFormat/>
    <w:rsid w:val="00027D06"/>
    <w:pPr>
      <w:ind w:left="2370" w:hanging="476"/>
    </w:pPr>
  </w:style>
  <w:style w:type="paragraph" w:customStyle="1" w:styleId="ZZTIRzmianazmtir">
    <w:name w:val="ZZ/TIR – zmiana zm. tir."/>
    <w:basedOn w:val="ZZLITzmianazmlit"/>
    <w:uiPriority w:val="67"/>
    <w:qFormat/>
    <w:rsid w:val="00027D06"/>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027D06"/>
    <w:pPr>
      <w:keepNext/>
      <w:suppressAutoHyphens/>
      <w:spacing w:after="0" w:line="360" w:lineRule="auto"/>
      <w:ind w:left="510"/>
      <w:jc w:val="center"/>
    </w:pPr>
    <w:rPr>
      <w:rFonts w:ascii="Times" w:eastAsia="Times New Roman" w:hAnsi="Times" w:cs="Arial"/>
      <w:bCs/>
      <w:kern w:val="24"/>
      <w:sz w:val="24"/>
      <w:szCs w:val="24"/>
      <w:lang w:eastAsia="pl-PL"/>
      <w14:ligatures w14:val="none"/>
    </w:rPr>
  </w:style>
  <w:style w:type="paragraph" w:customStyle="1" w:styleId="ZLITUSTzmustliter">
    <w:name w:val="Z_LIT/UST(§) – zm. ust. (§) literą"/>
    <w:basedOn w:val="USTustnpkodeksu"/>
    <w:uiPriority w:val="46"/>
    <w:qFormat/>
    <w:rsid w:val="00027D06"/>
    <w:pPr>
      <w:ind w:left="987"/>
    </w:pPr>
  </w:style>
  <w:style w:type="paragraph" w:customStyle="1" w:styleId="ZLITPKTzmpktliter">
    <w:name w:val="Z_LIT/PKT – zm. pkt literą"/>
    <w:basedOn w:val="PKTpunkt"/>
    <w:uiPriority w:val="47"/>
    <w:qFormat/>
    <w:rsid w:val="00027D06"/>
    <w:pPr>
      <w:ind w:left="1497"/>
    </w:pPr>
  </w:style>
  <w:style w:type="paragraph" w:customStyle="1" w:styleId="ZZCZWSPPKTzmianazmczciwsppkt">
    <w:name w:val="ZZ/CZ_WSP_PKT – zmiana. zm. części wsp. pkt"/>
    <w:basedOn w:val="ZZARTzmianazmart"/>
    <w:next w:val="ZPKTzmpktartykuempunktem"/>
    <w:uiPriority w:val="68"/>
    <w:qFormat/>
    <w:rsid w:val="00027D06"/>
    <w:pPr>
      <w:ind w:firstLine="0"/>
    </w:pPr>
  </w:style>
  <w:style w:type="paragraph" w:customStyle="1" w:styleId="ZLITLITzmlitliter">
    <w:name w:val="Z_LIT/LIT – zm. lit. literą"/>
    <w:basedOn w:val="LITlitera"/>
    <w:uiPriority w:val="48"/>
    <w:qFormat/>
    <w:rsid w:val="00027D06"/>
    <w:pPr>
      <w:ind w:left="1463"/>
    </w:pPr>
  </w:style>
  <w:style w:type="paragraph" w:customStyle="1" w:styleId="ZLITCZWSPPKTzmczciwsppktliter">
    <w:name w:val="Z_LIT/CZ_WSP_PKT – zm. części wsp. pkt literą"/>
    <w:basedOn w:val="CZWSPLITczwsplnaliter"/>
    <w:next w:val="LITlitera"/>
    <w:uiPriority w:val="50"/>
    <w:qFormat/>
    <w:rsid w:val="00027D06"/>
    <w:pPr>
      <w:ind w:left="987"/>
    </w:pPr>
  </w:style>
  <w:style w:type="paragraph" w:customStyle="1" w:styleId="ZLITTIRzmtirliter">
    <w:name w:val="Z_LIT/TIR – zm. tir. literą"/>
    <w:basedOn w:val="TIRtiret"/>
    <w:uiPriority w:val="49"/>
    <w:qFormat/>
    <w:rsid w:val="00027D06"/>
  </w:style>
  <w:style w:type="paragraph" w:customStyle="1" w:styleId="ZZCZWSPLITwPKTzmianazmczciwsplitwpkt">
    <w:name w:val="ZZ/CZ_WSP_LIT_w_PKT – zmiana zm. części wsp. lit. w pkt"/>
    <w:basedOn w:val="ZZLITwPKTzmianazmlitwpkt"/>
    <w:uiPriority w:val="69"/>
    <w:qFormat/>
    <w:rsid w:val="00027D06"/>
    <w:pPr>
      <w:ind w:left="2404" w:firstLine="0"/>
    </w:pPr>
  </w:style>
  <w:style w:type="paragraph" w:customStyle="1" w:styleId="ZLITLITwPKTzmlitwpktliter">
    <w:name w:val="Z_LIT/LIT_w_PKT – zm. lit. w pkt literą"/>
    <w:basedOn w:val="LITlitera"/>
    <w:uiPriority w:val="48"/>
    <w:qFormat/>
    <w:rsid w:val="00027D06"/>
    <w:pPr>
      <w:ind w:left="1973"/>
    </w:pPr>
  </w:style>
  <w:style w:type="paragraph" w:customStyle="1" w:styleId="ZLITCZWSPLITwPKTzmczciwsplitwpktliter">
    <w:name w:val="Z_LIT/CZ_WSP_LIT_w_PKT – zm. części wsp. lit. w pkt literą"/>
    <w:basedOn w:val="CZWSPLITczwsplnaliter"/>
    <w:next w:val="LITlitera"/>
    <w:uiPriority w:val="51"/>
    <w:qFormat/>
    <w:rsid w:val="00027D06"/>
    <w:pPr>
      <w:ind w:left="1497"/>
    </w:pPr>
  </w:style>
  <w:style w:type="paragraph" w:customStyle="1" w:styleId="ZLITTIRwPKTzmtirwpktliter">
    <w:name w:val="Z_LIT/TIR_w_PKT – zm. tir. w pkt literą"/>
    <w:basedOn w:val="TIRtiret"/>
    <w:uiPriority w:val="49"/>
    <w:qFormat/>
    <w:rsid w:val="00027D06"/>
    <w:pPr>
      <w:ind w:left="2370"/>
    </w:pPr>
  </w:style>
  <w:style w:type="paragraph" w:customStyle="1" w:styleId="ZLITCZWSPTIRwPKTzmczciwsptirwpktliter">
    <w:name w:val="Z_LIT/CZ_WSP_TIR_w_PKT – zm. części wsp. tir. w pkt literą"/>
    <w:basedOn w:val="CZWSPTIRczwsplnatiret"/>
    <w:next w:val="LITlitera"/>
    <w:uiPriority w:val="51"/>
    <w:qFormat/>
    <w:rsid w:val="00027D06"/>
    <w:pPr>
      <w:ind w:left="1973"/>
    </w:pPr>
  </w:style>
  <w:style w:type="paragraph" w:styleId="Tekstprzypisudolnego">
    <w:name w:val="footnote text"/>
    <w:basedOn w:val="Normalny"/>
    <w:link w:val="TekstprzypisudolnegoZnak"/>
    <w:uiPriority w:val="99"/>
    <w:semiHidden/>
    <w:qFormat/>
    <w:rsid w:val="00027D06"/>
    <w:pPr>
      <w:widowControl w:val="0"/>
      <w:autoSpaceDE w:val="0"/>
      <w:autoSpaceDN w:val="0"/>
      <w:adjustRightInd w:val="0"/>
      <w:spacing w:after="0" w:line="360" w:lineRule="auto"/>
    </w:pPr>
    <w:rPr>
      <w:rFonts w:ascii="Times" w:eastAsia="Times New Roman" w:hAnsi="Times" w:cs="Times New Roman"/>
      <w:kern w:val="0"/>
      <w:sz w:val="24"/>
      <w:szCs w:val="24"/>
      <w:lang w:eastAsia="pl-PL"/>
      <w14:ligatures w14:val="none"/>
    </w:rPr>
  </w:style>
  <w:style w:type="character" w:customStyle="1" w:styleId="TekstprzypisudolnegoZnak">
    <w:name w:val="Tekst przypisu dolnego Znak"/>
    <w:basedOn w:val="Domylnaczcionkaakapitu"/>
    <w:link w:val="Tekstprzypisudolnego"/>
    <w:uiPriority w:val="99"/>
    <w:semiHidden/>
    <w:rsid w:val="00027D06"/>
    <w:rPr>
      <w:rFonts w:ascii="Times" w:eastAsia="Times New Roman" w:hAnsi="Times" w:cs="Times New Roman"/>
      <w:kern w:val="0"/>
      <w:sz w:val="24"/>
      <w:szCs w:val="24"/>
      <w:lang w:eastAsia="pl-PL"/>
      <w14:ligatures w14:val="none"/>
    </w:rPr>
  </w:style>
  <w:style w:type="paragraph" w:customStyle="1" w:styleId="ZTIRLITzmlittiret">
    <w:name w:val="Z_TIR/LIT – zm. lit. tiret"/>
    <w:basedOn w:val="LITlitera"/>
    <w:uiPriority w:val="57"/>
    <w:qFormat/>
    <w:rsid w:val="00027D06"/>
    <w:pPr>
      <w:ind w:left="1859"/>
    </w:pPr>
  </w:style>
  <w:style w:type="paragraph" w:customStyle="1" w:styleId="ZTIRCZWSPPKTzmczciwsppkttiret">
    <w:name w:val="Z_TIR/CZ_WSP_PKT – zm. części wsp. pkt tiret"/>
    <w:basedOn w:val="CZWSPLITczwsplnaliter"/>
    <w:next w:val="TIRtiret"/>
    <w:uiPriority w:val="58"/>
    <w:qFormat/>
    <w:rsid w:val="00027D06"/>
    <w:pPr>
      <w:ind w:left="1383"/>
    </w:pPr>
  </w:style>
  <w:style w:type="paragraph" w:customStyle="1" w:styleId="ZTIRTIRzmtirtiret">
    <w:name w:val="Z_TIR/TIR – zm. tir. tiret"/>
    <w:basedOn w:val="TIRtiret"/>
    <w:uiPriority w:val="57"/>
    <w:qFormat/>
    <w:rsid w:val="00027D06"/>
    <w:pPr>
      <w:ind w:left="1780"/>
    </w:pPr>
  </w:style>
  <w:style w:type="paragraph" w:customStyle="1" w:styleId="ZZCZWSPTIRwPKTzmianazmczciwsptirwpkt">
    <w:name w:val="ZZ/CZ_WSP_TIR_w_PKT – zmiana zm. części wsp. tir. w pkt"/>
    <w:basedOn w:val="ZZTIRwPKTzmianazmtirwpkt"/>
    <w:uiPriority w:val="70"/>
    <w:qFormat/>
    <w:rsid w:val="00027D06"/>
    <w:pPr>
      <w:ind w:left="2880" w:firstLine="0"/>
    </w:pPr>
  </w:style>
  <w:style w:type="paragraph" w:customStyle="1" w:styleId="ZZTIRwLITzmianazmtirwlit">
    <w:name w:val="ZZ/TIR_w_LIT – zmiana zm. tir. w lit."/>
    <w:basedOn w:val="ZZTIRzmianazmtir"/>
    <w:uiPriority w:val="67"/>
    <w:qFormat/>
    <w:rsid w:val="00027D06"/>
    <w:pPr>
      <w:ind w:left="2767"/>
    </w:pPr>
  </w:style>
  <w:style w:type="paragraph" w:customStyle="1" w:styleId="ZTIRTIRwLITzmtirwlittiret">
    <w:name w:val="Z_TIR/TIR_w_LIT – zm. tir. w lit. tiret"/>
    <w:basedOn w:val="TIRtiret"/>
    <w:uiPriority w:val="57"/>
    <w:qFormat/>
    <w:rsid w:val="00027D06"/>
    <w:pPr>
      <w:ind w:left="2257"/>
    </w:pPr>
  </w:style>
  <w:style w:type="paragraph" w:customStyle="1" w:styleId="ZTIRCZWSPTIRwLITzmczciwsptirwlittiret">
    <w:name w:val="Z_TIR/CZ_WSP_TIR_w_LIT – zm. części wsp. tir. w lit. tiret"/>
    <w:basedOn w:val="CZWSPTIRczwsplnatiret"/>
    <w:next w:val="TIRtiret"/>
    <w:uiPriority w:val="60"/>
    <w:qFormat/>
    <w:rsid w:val="00027D06"/>
    <w:pPr>
      <w:ind w:left="1860"/>
    </w:pPr>
  </w:style>
  <w:style w:type="paragraph" w:customStyle="1" w:styleId="CZWSP2TIRczwsplnapodwjnychtiret">
    <w:name w:val="CZ_WSP_2TIR – część wspólna podwójnych tiret"/>
    <w:basedOn w:val="CZWSPTIRczwsplnatiret"/>
    <w:next w:val="TIRtiret"/>
    <w:uiPriority w:val="73"/>
    <w:qFormat/>
    <w:rsid w:val="00027D06"/>
    <w:pPr>
      <w:ind w:left="1780"/>
    </w:pPr>
  </w:style>
  <w:style w:type="paragraph" w:customStyle="1" w:styleId="Z2TIRzmpodwtirartykuempunktem">
    <w:name w:val="Z/2TIR – zm. podw. tir. artykułem (punktem)"/>
    <w:basedOn w:val="TIRtiret"/>
    <w:uiPriority w:val="73"/>
    <w:qFormat/>
    <w:rsid w:val="00027D06"/>
    <w:pPr>
      <w:ind w:left="907"/>
    </w:pPr>
  </w:style>
  <w:style w:type="paragraph" w:customStyle="1" w:styleId="ZZCZWSPTIRwLITzmianazmczciwsptirwlit">
    <w:name w:val="ZZ/CZ_WSP_TIR_w_LIT – zmiana zm. części wsp. tir. w lit."/>
    <w:basedOn w:val="ZZTIRwLITzmianazmtirwlit"/>
    <w:uiPriority w:val="70"/>
    <w:qFormat/>
    <w:rsid w:val="00027D06"/>
    <w:pPr>
      <w:ind w:left="2370" w:firstLine="0"/>
    </w:pPr>
  </w:style>
  <w:style w:type="paragraph" w:customStyle="1" w:styleId="ZLIT2TIRzmpodwtirliter">
    <w:name w:val="Z_LIT/2TIR – zm. podw. tir. literą"/>
    <w:basedOn w:val="TIRtiret"/>
    <w:uiPriority w:val="75"/>
    <w:qFormat/>
    <w:rsid w:val="00027D06"/>
  </w:style>
  <w:style w:type="paragraph" w:customStyle="1" w:styleId="ZTIR2TIRzmpodwtirtiret">
    <w:name w:val="Z_TIR/2TIR – zm. podw. tir. tiret"/>
    <w:basedOn w:val="TIRtiret"/>
    <w:uiPriority w:val="78"/>
    <w:qFormat/>
    <w:rsid w:val="00027D06"/>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027D06"/>
    <w:pPr>
      <w:ind w:left="1780"/>
    </w:pPr>
  </w:style>
  <w:style w:type="paragraph" w:customStyle="1" w:styleId="Z2TIRwPKTzmpodwtirwpktartykuempunktem">
    <w:name w:val="Z/2TIR_w_PKT – zm. podw. tir. w pkt artykułem (punktem)"/>
    <w:basedOn w:val="TIRtiret"/>
    <w:next w:val="ZPKTzmpktartykuempunktem"/>
    <w:uiPriority w:val="74"/>
    <w:qFormat/>
    <w:rsid w:val="00027D06"/>
    <w:pPr>
      <w:ind w:left="2291"/>
    </w:pPr>
  </w:style>
  <w:style w:type="paragraph" w:customStyle="1" w:styleId="ZTIRPKTzmpkttiret">
    <w:name w:val="Z_TIR/PKT – zm. pkt tiret"/>
    <w:basedOn w:val="PKTpunkt"/>
    <w:uiPriority w:val="56"/>
    <w:qFormat/>
    <w:rsid w:val="00027D06"/>
    <w:pPr>
      <w:ind w:left="1893"/>
    </w:pPr>
  </w:style>
  <w:style w:type="paragraph" w:customStyle="1" w:styleId="ZTIRLITwPKTzmlitwpkttiret">
    <w:name w:val="Z_TIR/LIT_w_PKT – zm. lit. w pkt tiret"/>
    <w:basedOn w:val="LITlitera"/>
    <w:uiPriority w:val="57"/>
    <w:qFormat/>
    <w:rsid w:val="00027D06"/>
    <w:pPr>
      <w:ind w:left="2336"/>
    </w:pPr>
  </w:style>
  <w:style w:type="paragraph" w:customStyle="1" w:styleId="ZTIRCZWSPLITwPKTzmczciwsplitwpkttiret">
    <w:name w:val="Z_TIR/CZ_WSP_LIT_w_PKT – zm. części wsp. lit. w pkt tiret"/>
    <w:basedOn w:val="CZWSPLITczwsplnaliter"/>
    <w:uiPriority w:val="59"/>
    <w:qFormat/>
    <w:rsid w:val="00027D06"/>
    <w:pPr>
      <w:ind w:left="1860"/>
    </w:pPr>
  </w:style>
  <w:style w:type="paragraph" w:customStyle="1" w:styleId="ZTIR2TIRwLITzmpodwtirwlittiret">
    <w:name w:val="Z_TIR/2TIR_w_LIT – zm. podw. tir. w lit. tiret"/>
    <w:basedOn w:val="TIRtiret"/>
    <w:uiPriority w:val="79"/>
    <w:qFormat/>
    <w:rsid w:val="00027D06"/>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027D06"/>
    <w:pPr>
      <w:ind w:left="2257"/>
    </w:pPr>
  </w:style>
  <w:style w:type="paragraph" w:customStyle="1" w:styleId="ZTIR2TIRwTIRzmpodwtirwtirtiret">
    <w:name w:val="Z_TIR/2TIR_w_TIR – zm. podw. tir. w tir. tiret"/>
    <w:basedOn w:val="TIRtiret"/>
    <w:uiPriority w:val="78"/>
    <w:qFormat/>
    <w:rsid w:val="00027D06"/>
    <w:pPr>
      <w:ind w:left="2177"/>
    </w:pPr>
  </w:style>
  <w:style w:type="paragraph" w:customStyle="1" w:styleId="ZTIRCZWSP2TIRwTIRzmczciwsppodwtirwtirtiret">
    <w:name w:val="Z_TIR/CZ_WSP_2TIR_w_TIR – zm. części wsp. podw. tir. w tir. tiret"/>
    <w:basedOn w:val="CZWSPTIRczwsplnatiret"/>
    <w:uiPriority w:val="79"/>
    <w:qFormat/>
    <w:rsid w:val="00027D06"/>
    <w:pPr>
      <w:ind w:left="1780"/>
    </w:pPr>
  </w:style>
  <w:style w:type="paragraph" w:customStyle="1" w:styleId="Z2TIRLITzmlitpodwjnymtiret">
    <w:name w:val="Z_2TIR/LIT – zm. lit. podwójnym tiret"/>
    <w:basedOn w:val="LITlitera"/>
    <w:uiPriority w:val="84"/>
    <w:qFormat/>
    <w:rsid w:val="00027D06"/>
    <w:pPr>
      <w:ind w:left="2256"/>
    </w:pPr>
  </w:style>
  <w:style w:type="paragraph" w:customStyle="1" w:styleId="ZZ2TIRwTIRzmianazmpodwtirwtir">
    <w:name w:val="ZZ/2TIR_w_TIR – zmiana zm. podw. tir. w tir."/>
    <w:basedOn w:val="ZZCZWSP2TIRzmianazmczciwsppodwtir"/>
    <w:uiPriority w:val="93"/>
    <w:qFormat/>
    <w:rsid w:val="00027D06"/>
    <w:pPr>
      <w:ind w:left="2688" w:hanging="397"/>
    </w:pPr>
  </w:style>
  <w:style w:type="paragraph" w:customStyle="1" w:styleId="ZZ2TIRwLITzmianazmpodwtirwlit">
    <w:name w:val="ZZ/2TIR_w_LIT – zmiana zm. podw. tir. w lit."/>
    <w:basedOn w:val="ZZ2TIRwTIRzmianazmpodwtirwtir"/>
    <w:uiPriority w:val="94"/>
    <w:qFormat/>
    <w:rsid w:val="00027D06"/>
    <w:pPr>
      <w:ind w:left="3164"/>
    </w:pPr>
  </w:style>
  <w:style w:type="paragraph" w:customStyle="1" w:styleId="Z2TIRTIRwLITzmtirwlitpodwjnymtiret">
    <w:name w:val="Z_2TIR/TIR_w_LIT – zm. tir. w lit. podwójnym tiret"/>
    <w:basedOn w:val="TIRtiret"/>
    <w:uiPriority w:val="84"/>
    <w:qFormat/>
    <w:rsid w:val="00027D06"/>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27D06"/>
    <w:pPr>
      <w:ind w:left="2257"/>
    </w:pPr>
  </w:style>
  <w:style w:type="paragraph" w:customStyle="1" w:styleId="ZZ2TIRwPKTzmianazmpodwtirwpkt">
    <w:name w:val="ZZ/2TIR_w_PKT – zmiana zm. podw. tir. w pkt"/>
    <w:basedOn w:val="ZZ2TIRwLITzmianazmpodwtirwlit"/>
    <w:uiPriority w:val="94"/>
    <w:qFormat/>
    <w:rsid w:val="00027D06"/>
    <w:pPr>
      <w:ind w:left="3674"/>
    </w:pPr>
  </w:style>
  <w:style w:type="paragraph" w:customStyle="1" w:styleId="ZZCZWSP2TIRwTIRzmianazmczciwsppodwtirwtir">
    <w:name w:val="ZZ/CZ_WSP_2TIR_w_TIR – zmiana zm. części wsp. podw. tir. w tir."/>
    <w:basedOn w:val="ZZ2TIRwLITzmianazmpodwtirwlit"/>
    <w:uiPriority w:val="94"/>
    <w:qFormat/>
    <w:rsid w:val="00027D06"/>
    <w:pPr>
      <w:ind w:left="2291" w:firstLine="0"/>
    </w:pPr>
  </w:style>
  <w:style w:type="paragraph" w:customStyle="1" w:styleId="Z2TIR2TIRwTIRzmpodwtirwtirpodwjnymtiret">
    <w:name w:val="Z_2TIR/2TIR_w_TIR – zm. podw. tir. w tir. podwójnym tiret"/>
    <w:basedOn w:val="TIRtiret"/>
    <w:uiPriority w:val="85"/>
    <w:qFormat/>
    <w:rsid w:val="00027D06"/>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27D06"/>
    <w:pPr>
      <w:ind w:left="2177"/>
    </w:pPr>
  </w:style>
  <w:style w:type="paragraph" w:customStyle="1" w:styleId="Z2TIR2TIRwLITzmpodwtirwlitpodwjnymtiret">
    <w:name w:val="Z_2TIR/2TIR_w_LIT – zm. podw. tir. w lit. podwójnym tiret"/>
    <w:basedOn w:val="TIRtiret"/>
    <w:uiPriority w:val="86"/>
    <w:qFormat/>
    <w:rsid w:val="00027D06"/>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27D06"/>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027D06"/>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27D06"/>
    <w:pPr>
      <w:spacing w:after="120"/>
      <w:ind w:left="510"/>
    </w:pPr>
    <w:rPr>
      <w:b w:val="0"/>
    </w:rPr>
  </w:style>
  <w:style w:type="character" w:styleId="Odwoaniedokomentarza">
    <w:name w:val="annotation reference"/>
    <w:basedOn w:val="Domylnaczcionkaakapitu"/>
    <w:uiPriority w:val="99"/>
    <w:semiHidden/>
    <w:rsid w:val="00027D06"/>
    <w:rPr>
      <w:sz w:val="16"/>
      <w:szCs w:val="16"/>
    </w:rPr>
  </w:style>
  <w:style w:type="paragraph" w:styleId="Tekstkomentarza">
    <w:name w:val="annotation text"/>
    <w:basedOn w:val="Normalny"/>
    <w:link w:val="TekstkomentarzaZnak"/>
    <w:uiPriority w:val="99"/>
    <w:rsid w:val="00027D06"/>
    <w:pPr>
      <w:widowControl w:val="0"/>
      <w:autoSpaceDE w:val="0"/>
      <w:autoSpaceDN w:val="0"/>
      <w:adjustRightInd w:val="0"/>
      <w:spacing w:after="0" w:line="360" w:lineRule="auto"/>
    </w:pPr>
    <w:rPr>
      <w:rFonts w:ascii="Times" w:eastAsia="Times New Roman" w:hAnsi="Times" w:cs="Times New Roman"/>
      <w:kern w:val="0"/>
      <w:sz w:val="24"/>
      <w:szCs w:val="24"/>
      <w:lang w:eastAsia="pl-PL"/>
      <w14:ligatures w14:val="none"/>
    </w:rPr>
  </w:style>
  <w:style w:type="character" w:customStyle="1" w:styleId="TekstkomentarzaZnak">
    <w:name w:val="Tekst komentarza Znak"/>
    <w:basedOn w:val="Domylnaczcionkaakapitu"/>
    <w:link w:val="Tekstkomentarza"/>
    <w:uiPriority w:val="99"/>
    <w:rsid w:val="00027D06"/>
    <w:rPr>
      <w:rFonts w:ascii="Times" w:eastAsia="Times New Roman" w:hAnsi="Times" w:cs="Times New Roman"/>
      <w:kern w:val="0"/>
      <w:sz w:val="24"/>
      <w:szCs w:val="24"/>
      <w:lang w:eastAsia="pl-PL"/>
      <w14:ligatures w14:val="none"/>
    </w:rPr>
  </w:style>
  <w:style w:type="paragraph" w:styleId="Tematkomentarza">
    <w:name w:val="annotation subject"/>
    <w:basedOn w:val="Tekstkomentarza"/>
    <w:next w:val="Tekstkomentarza"/>
    <w:link w:val="TematkomentarzaZnak"/>
    <w:uiPriority w:val="99"/>
    <w:semiHidden/>
    <w:rsid w:val="00027D06"/>
    <w:rPr>
      <w:b/>
      <w:bCs/>
    </w:rPr>
  </w:style>
  <w:style w:type="character" w:customStyle="1" w:styleId="TematkomentarzaZnak">
    <w:name w:val="Temat komentarza Znak"/>
    <w:basedOn w:val="TekstkomentarzaZnak"/>
    <w:link w:val="Tematkomentarza"/>
    <w:uiPriority w:val="99"/>
    <w:semiHidden/>
    <w:rsid w:val="00027D06"/>
    <w:rPr>
      <w:rFonts w:ascii="Times" w:eastAsia="Times New Roman" w:hAnsi="Times" w:cs="Times New Roman"/>
      <w:b/>
      <w:bCs/>
      <w:kern w:val="0"/>
      <w:sz w:val="24"/>
      <w:szCs w:val="24"/>
      <w:lang w:eastAsia="pl-PL"/>
      <w14:ligatures w14:val="none"/>
    </w:rPr>
  </w:style>
  <w:style w:type="paragraph" w:customStyle="1" w:styleId="ZZARTzmianazmart">
    <w:name w:val="ZZ/ART(§) – zmiana zm. art. (§)"/>
    <w:basedOn w:val="ZARTzmartartykuempunktem"/>
    <w:uiPriority w:val="65"/>
    <w:qFormat/>
    <w:rsid w:val="00027D06"/>
    <w:pPr>
      <w:ind w:left="1894"/>
    </w:pPr>
  </w:style>
  <w:style w:type="paragraph" w:customStyle="1" w:styleId="ZZPKTzmianazmpkt">
    <w:name w:val="ZZ/PKT – zmiana zm. pkt"/>
    <w:basedOn w:val="ZPKTzmpktartykuempunktem"/>
    <w:uiPriority w:val="66"/>
    <w:qFormat/>
    <w:rsid w:val="00027D06"/>
    <w:pPr>
      <w:ind w:left="2404"/>
    </w:pPr>
  </w:style>
  <w:style w:type="paragraph" w:customStyle="1" w:styleId="ZZLITwPKTzmianazmlitwpkt">
    <w:name w:val="ZZ/LIT_w_PKT – zmiana zm. lit. w pkt"/>
    <w:basedOn w:val="ZLITwPKTzmlitwpktartykuempunktem"/>
    <w:uiPriority w:val="67"/>
    <w:qFormat/>
    <w:rsid w:val="00027D06"/>
    <w:pPr>
      <w:ind w:left="2880"/>
    </w:pPr>
  </w:style>
  <w:style w:type="paragraph" w:customStyle="1" w:styleId="ZZTIRwPKTzmianazmtirwpkt">
    <w:name w:val="ZZ/TIR_w_PKT – zmiana zm. tir. w pkt"/>
    <w:basedOn w:val="ZTIRwPKTzmtirwpktartykuempunktem"/>
    <w:uiPriority w:val="67"/>
    <w:qFormat/>
    <w:rsid w:val="00027D06"/>
    <w:pPr>
      <w:ind w:left="3277"/>
    </w:pPr>
  </w:style>
  <w:style w:type="paragraph" w:customStyle="1" w:styleId="ZZWMATFIZCHEMzmwzorumatfizlubchem">
    <w:name w:val="ZZ/W_MAT(FIZ|CHEM) – zm. wzoru mat. (fiz. lub chem.)"/>
    <w:basedOn w:val="ZWMATFIZCHEMzmwzorumatfizlubchemartykuempunktem"/>
    <w:uiPriority w:val="71"/>
    <w:qFormat/>
    <w:rsid w:val="00027D06"/>
    <w:pPr>
      <w:ind w:left="2404"/>
    </w:pPr>
  </w:style>
  <w:style w:type="paragraph" w:customStyle="1" w:styleId="ODNONIKtreodnonika">
    <w:name w:val="ODNOŚNIK – treść odnośnika"/>
    <w:uiPriority w:val="19"/>
    <w:qFormat/>
    <w:rsid w:val="00027D06"/>
    <w:pPr>
      <w:spacing w:after="0" w:line="240" w:lineRule="auto"/>
      <w:ind w:left="284" w:hanging="284"/>
      <w:jc w:val="both"/>
    </w:pPr>
    <w:rPr>
      <w:rFonts w:ascii="Times New Roman" w:eastAsia="Times New Roman" w:hAnsi="Times New Roman" w:cs="Arial"/>
      <w:kern w:val="0"/>
      <w:sz w:val="20"/>
      <w:szCs w:val="20"/>
      <w:lang w:eastAsia="pl-PL"/>
      <w14:ligatures w14:val="none"/>
    </w:rPr>
  </w:style>
  <w:style w:type="paragraph" w:customStyle="1" w:styleId="ZFRAGzmfragmentunpzdaniaartykuempunktem">
    <w:name w:val="Z/FRAG – zm. fragmentu (np. zdania) artykułem (punktem)"/>
    <w:basedOn w:val="ZARTzmartartykuempunktem"/>
    <w:next w:val="PKTpunkt"/>
    <w:uiPriority w:val="36"/>
    <w:qFormat/>
    <w:rsid w:val="00027D06"/>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27D06"/>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27D06"/>
    <w:rPr>
      <w:rFonts w:ascii="Times New Roman" w:hAnsi="Times New Roman"/>
    </w:rPr>
  </w:style>
  <w:style w:type="paragraph" w:customStyle="1" w:styleId="ZTIRTIRwPKTzmtirwpkttiret">
    <w:name w:val="Z_TIR/TIR_w_PKT – zm. tir. w pkt tiret"/>
    <w:basedOn w:val="ZTIRTIRwLITzmtirwlittiret"/>
    <w:uiPriority w:val="57"/>
    <w:qFormat/>
    <w:rsid w:val="00027D06"/>
    <w:pPr>
      <w:ind w:left="2733"/>
    </w:pPr>
  </w:style>
  <w:style w:type="paragraph" w:customStyle="1" w:styleId="ZTIRCZWSPTIRwPKTzmczciwsptirtiret">
    <w:name w:val="Z_TIR/CZ_WSP_TIR_w_PKT – zm. części wsp. tir. tiret"/>
    <w:basedOn w:val="ZTIRTIRwPKTzmtirwpkttiret"/>
    <w:next w:val="TIRtiret"/>
    <w:uiPriority w:val="60"/>
    <w:qFormat/>
    <w:rsid w:val="00027D06"/>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27D06"/>
    <w:pPr>
      <w:ind w:left="510" w:firstLine="0"/>
    </w:pPr>
  </w:style>
  <w:style w:type="paragraph" w:customStyle="1" w:styleId="ROZDZODDZOZNoznaczenierozdziauluboddziau">
    <w:name w:val="ROZDZ(ODDZ)_OZN – oznaczenie rozdziału lub oddziału"/>
    <w:next w:val="ARTartustawynprozporzdzenia"/>
    <w:uiPriority w:val="10"/>
    <w:qFormat/>
    <w:rsid w:val="00027D06"/>
    <w:pPr>
      <w:keepNext/>
      <w:suppressAutoHyphens/>
      <w:spacing w:before="120" w:after="0" w:line="360" w:lineRule="auto"/>
      <w:jc w:val="center"/>
    </w:pPr>
    <w:rPr>
      <w:rFonts w:ascii="Times" w:eastAsia="Times New Roman" w:hAnsi="Times" w:cs="Arial"/>
      <w:bCs/>
      <w:kern w:val="24"/>
      <w:sz w:val="24"/>
      <w:szCs w:val="24"/>
      <w:lang w:eastAsia="pl-PL"/>
      <w14:ligatures w14:val="none"/>
    </w:rPr>
  </w:style>
  <w:style w:type="paragraph" w:customStyle="1" w:styleId="Z2TIR2TIRzmpodwtirpodwjnymtiret">
    <w:name w:val="Z_2TIR/2TIR – zm. podw. tir. podwójnym tiret"/>
    <w:basedOn w:val="TIRtiret"/>
    <w:uiPriority w:val="85"/>
    <w:qFormat/>
    <w:rsid w:val="00027D06"/>
    <w:pPr>
      <w:ind w:left="2177"/>
    </w:pPr>
  </w:style>
  <w:style w:type="paragraph" w:customStyle="1" w:styleId="Z2TIRTIRzmtirpodwjnymtiret">
    <w:name w:val="Z_2TIR/TIR – zm. tir. podwójnym tiret"/>
    <w:basedOn w:val="TIRtiret"/>
    <w:uiPriority w:val="84"/>
    <w:qFormat/>
    <w:rsid w:val="00027D06"/>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27D06"/>
    <w:pPr>
      <w:ind w:left="1021"/>
    </w:pPr>
  </w:style>
  <w:style w:type="paragraph" w:customStyle="1" w:styleId="ZLITSKARNzmsankcjikarnejliter">
    <w:name w:val="Z_LIT/S_KARN – zm. sankcji karnej literą"/>
    <w:basedOn w:val="ZSKARNzmsankcjikarnejwszczeglnociwKodeksiekarnym"/>
    <w:uiPriority w:val="53"/>
    <w:qFormat/>
    <w:rsid w:val="00027D06"/>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027D06"/>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27D06"/>
    <w:pPr>
      <w:ind w:left="1894" w:firstLine="0"/>
    </w:pPr>
  </w:style>
  <w:style w:type="paragraph" w:customStyle="1" w:styleId="Z2TIRwLITzmpodwtirwlitartykuempunktem">
    <w:name w:val="Z/2TIR_w_LIT – zm. podw. tir. w lit. artykułem (punktem)"/>
    <w:basedOn w:val="Z2TIRwPKTzmpodwtirwpktartykuempunktem"/>
    <w:uiPriority w:val="74"/>
    <w:qFormat/>
    <w:rsid w:val="00027D06"/>
    <w:pPr>
      <w:ind w:left="1780"/>
    </w:pPr>
  </w:style>
  <w:style w:type="paragraph" w:customStyle="1" w:styleId="Z2TIRwTIRzmpodwtirwtirartykuempunktem">
    <w:name w:val="Z/2TIR_w_TIR – zm. podw. tir. w tir. artykułem (punktem)"/>
    <w:basedOn w:val="Z2TIRwLITzmpodwtirwlitartykuempunktem"/>
    <w:uiPriority w:val="73"/>
    <w:qFormat/>
    <w:rsid w:val="00027D06"/>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27D06"/>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27D06"/>
    <w:pPr>
      <w:ind w:left="1383" w:firstLine="0"/>
    </w:pPr>
  </w:style>
  <w:style w:type="paragraph" w:customStyle="1" w:styleId="ZZCZWSP2TIRzmianazmczciwsppodwtir">
    <w:name w:val="ZZ/CZ_WSP_2TIR – zmiana zm. części wsp. podw. tir."/>
    <w:basedOn w:val="ZZTIRzmianazmtir"/>
    <w:next w:val="ZZUSTzmianazmust"/>
    <w:uiPriority w:val="94"/>
    <w:qFormat/>
    <w:rsid w:val="00027D06"/>
    <w:pPr>
      <w:ind w:left="1894" w:firstLine="0"/>
    </w:pPr>
  </w:style>
  <w:style w:type="paragraph" w:customStyle="1" w:styleId="PKTODNONIKApunktodnonika">
    <w:name w:val="PKT_ODNOŚNIKA – punkt odnośnika"/>
    <w:basedOn w:val="ODNONIKtreodnonika"/>
    <w:uiPriority w:val="19"/>
    <w:qFormat/>
    <w:rsid w:val="00027D06"/>
    <w:pPr>
      <w:ind w:left="568"/>
    </w:pPr>
  </w:style>
  <w:style w:type="paragraph" w:customStyle="1" w:styleId="ZODNONIKAzmtekstuodnonikaartykuempunktem">
    <w:name w:val="Z/ODNOŚNIKA – zm. tekstu odnośnika artykułem (punktem)"/>
    <w:basedOn w:val="ODNONIKtreodnonika"/>
    <w:uiPriority w:val="39"/>
    <w:qFormat/>
    <w:rsid w:val="00027D06"/>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27D06"/>
    <w:pPr>
      <w:ind w:left="1304"/>
    </w:pPr>
  </w:style>
  <w:style w:type="paragraph" w:customStyle="1" w:styleId="ZPKTODNONIKAzmpktodnonikaartykuempunktem">
    <w:name w:val="Z/PKT_ODNOŚNIKA – zm. pkt odnośnika artykułem (punktem)"/>
    <w:basedOn w:val="ZODNONIKAzmtekstuodnonikaartykuempunktem"/>
    <w:uiPriority w:val="39"/>
    <w:qFormat/>
    <w:rsid w:val="00027D06"/>
  </w:style>
  <w:style w:type="paragraph" w:customStyle="1" w:styleId="ZLIT2TIRwTIRzmpodwtirwtirliter">
    <w:name w:val="Z_LIT/2TIR_w_TIR – zm. podw. tir. w tir. literą"/>
    <w:basedOn w:val="ZLIT2TIRzmpodwtirliter"/>
    <w:uiPriority w:val="75"/>
    <w:qFormat/>
    <w:rsid w:val="00027D06"/>
    <w:pPr>
      <w:ind w:left="1780"/>
    </w:pPr>
  </w:style>
  <w:style w:type="paragraph" w:customStyle="1" w:styleId="ZLIT2TIRwLITzmpodwtirwlitliter">
    <w:name w:val="Z_LIT/2TIR_w_LIT – zm. podw. tir. w lit. literą"/>
    <w:basedOn w:val="ZLIT2TIRwTIRzmpodwtirwtirliter"/>
    <w:uiPriority w:val="76"/>
    <w:qFormat/>
    <w:rsid w:val="00027D06"/>
    <w:pPr>
      <w:ind w:left="2257"/>
    </w:pPr>
  </w:style>
  <w:style w:type="paragraph" w:customStyle="1" w:styleId="ZLIT2TIRwPKTzmpodwtirwpktliter">
    <w:name w:val="Z_LIT/2TIR_w_PKT – zm. podw. tir. w pkt literą"/>
    <w:basedOn w:val="ZLIT2TIRwLITzmpodwtirwlitliter"/>
    <w:uiPriority w:val="76"/>
    <w:qFormat/>
    <w:rsid w:val="00027D06"/>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027D06"/>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27D06"/>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27D06"/>
    <w:pPr>
      <w:ind w:left="2370" w:firstLine="0"/>
    </w:pPr>
  </w:style>
  <w:style w:type="paragraph" w:customStyle="1" w:styleId="ZTIR2TIRwPKTzmpodwtirwpkttiret">
    <w:name w:val="Z_TIR/2TIR_w_PKT – zm. podw. tir. w pkt tiret"/>
    <w:basedOn w:val="ZTIR2TIRwLITzmpodwtirwlittiret"/>
    <w:uiPriority w:val="79"/>
    <w:qFormat/>
    <w:rsid w:val="00027D06"/>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027D06"/>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027D06"/>
    <w:pPr>
      <w:ind w:left="2767"/>
    </w:pPr>
  </w:style>
  <w:style w:type="paragraph" w:customStyle="1" w:styleId="ZZCZWSP2TIRwPKTzmianazmczciwsppodwtirwpkt">
    <w:name w:val="ZZ/CZ_WSP_2TIR_w_PKT – zmiana zm. części wsp. podw. tir. w pkt"/>
    <w:basedOn w:val="ZZ2TIRwLITzmianazmpodwtirwlit"/>
    <w:uiPriority w:val="95"/>
    <w:qFormat/>
    <w:rsid w:val="00027D06"/>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27D06"/>
  </w:style>
  <w:style w:type="paragraph" w:customStyle="1" w:styleId="ZLITCZWSP2TIRzmczciwsppodwtirliter">
    <w:name w:val="Z_LIT/CZ_WSP_2TIR – zm. części wsp. podw. tir. literą"/>
    <w:basedOn w:val="ZLITCZWSPPKTzmczciwsppktliter"/>
    <w:next w:val="LITlitera"/>
    <w:uiPriority w:val="76"/>
    <w:qFormat/>
    <w:rsid w:val="00027D06"/>
  </w:style>
  <w:style w:type="paragraph" w:customStyle="1" w:styleId="ZTIRCZWSP2TIRzmczciwsppodwtirtiret">
    <w:name w:val="Z_TIR/CZ_WSP_2TIR – zm. części wsp. podw. tir. tiret"/>
    <w:basedOn w:val="ZLITCZWSP2TIRzmczciwsppodwtirliter"/>
    <w:next w:val="TIRtiret"/>
    <w:uiPriority w:val="79"/>
    <w:qFormat/>
    <w:rsid w:val="00027D06"/>
  </w:style>
  <w:style w:type="paragraph" w:customStyle="1" w:styleId="ZZ2TIRzmianazmpodwtir">
    <w:name w:val="ZZ/2TIR – zmiana zm. podw. tir."/>
    <w:basedOn w:val="ZZCZWSP2TIRzmianazmczciwsppodwtir"/>
    <w:uiPriority w:val="93"/>
    <w:qFormat/>
    <w:rsid w:val="00027D06"/>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027D06"/>
  </w:style>
  <w:style w:type="paragraph" w:customStyle="1" w:styleId="ZCZWSPTIRzmczciwsptirartykuempunktem">
    <w:name w:val="Z/CZ_WSP_TIR – zm. części wsp. tir. artykułem (punktem)"/>
    <w:basedOn w:val="ZCZWSPPKTzmczciwsppktartykuempunktem"/>
    <w:next w:val="PKTpunkt"/>
    <w:uiPriority w:val="35"/>
    <w:qFormat/>
    <w:rsid w:val="00027D06"/>
  </w:style>
  <w:style w:type="paragraph" w:customStyle="1" w:styleId="ZLITCZWSPLITzmczciwsplitliter">
    <w:name w:val="Z_LIT/CZ_WSP_LIT – zm. części wsp. lit. literą"/>
    <w:basedOn w:val="ZLITCZWSPPKTzmczciwsppktliter"/>
    <w:next w:val="LITlitera"/>
    <w:uiPriority w:val="51"/>
    <w:qFormat/>
    <w:rsid w:val="00027D06"/>
  </w:style>
  <w:style w:type="paragraph" w:customStyle="1" w:styleId="ZLITCZWSPTIRzmczciwsptirliter">
    <w:name w:val="Z_LIT/CZ_WSP_TIR – zm. części wsp. tir. literą"/>
    <w:basedOn w:val="ZLITCZWSPPKTzmczciwsppktliter"/>
    <w:next w:val="LITlitera"/>
    <w:uiPriority w:val="51"/>
    <w:qFormat/>
    <w:rsid w:val="00027D06"/>
  </w:style>
  <w:style w:type="paragraph" w:customStyle="1" w:styleId="ZTIRCZWSPLITzmczciwsplittiret">
    <w:name w:val="Z_TIR/CZ_WSP_LIT – zm. części wsp. lit. tiret"/>
    <w:basedOn w:val="ZTIRCZWSPPKTzmczciwsppkttiret"/>
    <w:next w:val="TIRtiret"/>
    <w:uiPriority w:val="59"/>
    <w:qFormat/>
    <w:rsid w:val="00027D06"/>
  </w:style>
  <w:style w:type="paragraph" w:customStyle="1" w:styleId="ZTIRCZWSPTIRzmczciwsptirtiret">
    <w:name w:val="Z_TIR/CZ_WSP_TIR – zm. części wsp. tir. tiret"/>
    <w:basedOn w:val="ZTIRCZWSPPKTzmczciwsppkttiret"/>
    <w:next w:val="TIRtiret"/>
    <w:uiPriority w:val="60"/>
    <w:qFormat/>
    <w:rsid w:val="00027D06"/>
  </w:style>
  <w:style w:type="paragraph" w:customStyle="1" w:styleId="ZZCZWSPLITzmianazmczciwsplit">
    <w:name w:val="ZZ/CZ_WSP_LIT – zmiana. zm. części wsp. lit."/>
    <w:basedOn w:val="ZZCZWSPPKTzmianazmczciwsppkt"/>
    <w:uiPriority w:val="69"/>
    <w:qFormat/>
    <w:rsid w:val="00027D06"/>
  </w:style>
  <w:style w:type="paragraph" w:customStyle="1" w:styleId="ZZCZWSPTIRzmianazmczciwsptir">
    <w:name w:val="ZZ/CZ_WSP_TIR – zmiana. zm. części wsp. tir."/>
    <w:basedOn w:val="ZZCZWSPPKTzmianazmczciwsppkt"/>
    <w:uiPriority w:val="69"/>
    <w:qFormat/>
    <w:rsid w:val="00027D06"/>
  </w:style>
  <w:style w:type="paragraph" w:customStyle="1" w:styleId="Z2TIRCZWSPTIRzmczciwsptirpodwjnymtiret">
    <w:name w:val="Z_2TIR/CZ_WSP_TIR – zm. części wsp. tir. podwójnym tiret"/>
    <w:basedOn w:val="Z2TIRCZWSPLITzmczciwsplitpodwjnymtiret"/>
    <w:next w:val="2TIRpodwjnytiret"/>
    <w:uiPriority w:val="87"/>
    <w:qFormat/>
    <w:rsid w:val="00027D06"/>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27D06"/>
  </w:style>
  <w:style w:type="paragraph" w:customStyle="1" w:styleId="ZUSTzmustartykuempunktem">
    <w:name w:val="Z/UST(§) – zm. ust. (§) artykułem (punktem)"/>
    <w:basedOn w:val="ZARTzmartartykuempunktem"/>
    <w:uiPriority w:val="30"/>
    <w:qFormat/>
    <w:rsid w:val="00027D06"/>
  </w:style>
  <w:style w:type="paragraph" w:customStyle="1" w:styleId="ZZUSTzmianazmust">
    <w:name w:val="ZZ/UST(§) – zmiana zm. ust. (§)"/>
    <w:basedOn w:val="ZZARTzmianazmart"/>
    <w:uiPriority w:val="65"/>
    <w:qFormat/>
    <w:rsid w:val="00027D06"/>
  </w:style>
  <w:style w:type="paragraph" w:customStyle="1" w:styleId="TYTDZPRZEDMprzedmiotregulacjitytuulubdziau">
    <w:name w:val="TYT(DZ)_PRZEDM – przedmiot regulacji tytułu lub działu"/>
    <w:next w:val="ARTartustawynprozporzdzenia"/>
    <w:uiPriority w:val="9"/>
    <w:qFormat/>
    <w:rsid w:val="00027D06"/>
    <w:pPr>
      <w:keepNext/>
      <w:suppressAutoHyphens/>
      <w:spacing w:before="120" w:after="0" w:line="360" w:lineRule="auto"/>
      <w:jc w:val="center"/>
    </w:pPr>
    <w:rPr>
      <w:rFonts w:ascii="Times" w:eastAsia="Times New Roman" w:hAnsi="Times" w:cs="Times New Roman"/>
      <w:b/>
      <w:kern w:val="0"/>
      <w:sz w:val="24"/>
      <w:szCs w:val="26"/>
      <w:lang w:eastAsia="pl-PL"/>
      <w14:ligatures w14:val="none"/>
    </w:rPr>
  </w:style>
  <w:style w:type="paragraph" w:customStyle="1" w:styleId="ZNIEARTTEKSTzmtekstunieartykuowanego">
    <w:name w:val="Z/NIEART_TEKST – zm. tekstu nieartykułowanego"/>
    <w:basedOn w:val="NIEARTTEKSTtekstnieartykuowanynppodstprawnarozplubpreambua"/>
    <w:uiPriority w:val="37"/>
    <w:qFormat/>
    <w:rsid w:val="00027D06"/>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27D06"/>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27D06"/>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27D06"/>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27D06"/>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27D06"/>
    <w:pPr>
      <w:ind w:left="1894"/>
    </w:pPr>
  </w:style>
  <w:style w:type="paragraph" w:customStyle="1" w:styleId="P1wTABELIpoziom1numeracjiwtabeli">
    <w:name w:val="P1_w_TABELI – poziom 1 numeracji w tabeli"/>
    <w:basedOn w:val="PKTpunkt"/>
    <w:uiPriority w:val="24"/>
    <w:qFormat/>
    <w:rsid w:val="00027D06"/>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027D06"/>
    <w:pPr>
      <w:ind w:left="0" w:firstLine="0"/>
    </w:pPr>
  </w:style>
  <w:style w:type="paragraph" w:customStyle="1" w:styleId="P2wTABELIpoziom2numeracjiwtabeli">
    <w:name w:val="P2_w_TABELI – poziom 2 numeracji w tabeli"/>
    <w:basedOn w:val="P1wTABELIpoziom1numeracjiwtabeli"/>
    <w:uiPriority w:val="24"/>
    <w:qFormat/>
    <w:rsid w:val="00027D06"/>
    <w:pPr>
      <w:ind w:left="794"/>
    </w:pPr>
  </w:style>
  <w:style w:type="paragraph" w:customStyle="1" w:styleId="P3wTABELIpoziom3numeracjiwtabeli">
    <w:name w:val="P3_w_TABELI – poziom 3 numeracji w tabeli"/>
    <w:basedOn w:val="P2wTABELIpoziom2numeracjiwtabeli"/>
    <w:uiPriority w:val="24"/>
    <w:qFormat/>
    <w:rsid w:val="00027D06"/>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027D06"/>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027D06"/>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027D06"/>
    <w:pPr>
      <w:ind w:left="1191"/>
    </w:pPr>
  </w:style>
  <w:style w:type="paragraph" w:customStyle="1" w:styleId="P4wTABELIpoziom4numeracjiwtabeli">
    <w:name w:val="P4_w_TABELI – poziom 4 numeracji w tabeli"/>
    <w:basedOn w:val="P3wTABELIpoziom3numeracjiwtabeli"/>
    <w:uiPriority w:val="24"/>
    <w:qFormat/>
    <w:rsid w:val="00027D06"/>
    <w:pPr>
      <w:ind w:left="1588"/>
    </w:pPr>
  </w:style>
  <w:style w:type="paragraph" w:customStyle="1" w:styleId="TYTTABELItytutabeli">
    <w:name w:val="TYT_TABELI – tytuł tabeli"/>
    <w:basedOn w:val="TYTDZOZNoznaczenietytuulubdziau"/>
    <w:uiPriority w:val="22"/>
    <w:qFormat/>
    <w:rsid w:val="00027D06"/>
    <w:rPr>
      <w:b/>
    </w:rPr>
  </w:style>
  <w:style w:type="paragraph" w:customStyle="1" w:styleId="OZNPROJEKTUwskazaniedatylubwersjiprojektu">
    <w:name w:val="OZN_PROJEKTU – wskazanie daty lub wersji projektu"/>
    <w:next w:val="OZNRODZAKTUtznustawalubrozporzdzenieiorganwydajcy"/>
    <w:uiPriority w:val="5"/>
    <w:qFormat/>
    <w:rsid w:val="00027D06"/>
    <w:pPr>
      <w:spacing w:after="0" w:line="360" w:lineRule="auto"/>
      <w:jc w:val="right"/>
    </w:pPr>
    <w:rPr>
      <w:rFonts w:ascii="Times New Roman" w:eastAsia="Times New Roman" w:hAnsi="Times New Roman" w:cs="Arial"/>
      <w:kern w:val="0"/>
      <w:sz w:val="24"/>
      <w:szCs w:val="20"/>
      <w:u w:val="single"/>
      <w:lang w:eastAsia="pl-PL"/>
      <w14:ligatures w14:val="none"/>
    </w:rPr>
  </w:style>
  <w:style w:type="paragraph" w:customStyle="1" w:styleId="NAZORGWYDnazwaorganuwydajcegoprojektowanyakt">
    <w:name w:val="NAZ_ORG_WYD – nazwa organu wydającego projektowany akt"/>
    <w:basedOn w:val="OZNRODZAKTUtznustawalubrozporzdzenieiorganwydajcy"/>
    <w:uiPriority w:val="27"/>
    <w:qFormat/>
    <w:rsid w:val="00027D06"/>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27D06"/>
    <w:pPr>
      <w:ind w:left="0" w:right="4820"/>
      <w:jc w:val="left"/>
    </w:pPr>
  </w:style>
  <w:style w:type="paragraph" w:customStyle="1" w:styleId="TEKSTwporozumieniu">
    <w:name w:val="TEKST&quot;w porozumieniu:&quot;"/>
    <w:next w:val="NAZORGWPOROZUMIENIUnazwaorganuwporozumieniuzktrymaktjestwydawany"/>
    <w:uiPriority w:val="27"/>
    <w:qFormat/>
    <w:rsid w:val="00027D06"/>
    <w:pPr>
      <w:spacing w:after="0" w:line="360" w:lineRule="auto"/>
    </w:pPr>
    <w:rPr>
      <w:rFonts w:ascii="Times New Roman" w:eastAsia="Times New Roman" w:hAnsi="Times New Roman" w:cs="Arial"/>
      <w:b/>
      <w:kern w:val="0"/>
      <w:sz w:val="24"/>
      <w:szCs w:val="20"/>
      <w:lang w:eastAsia="pl-PL"/>
      <w14:ligatures w14:val="none"/>
    </w:rPr>
  </w:style>
  <w:style w:type="paragraph" w:customStyle="1" w:styleId="CZWSPPKTODNONIKAczwsppunkwodnonika">
    <w:name w:val="CZ_WSP_PKT_ODNOŚNIKA – część wsp. punków odnośnika"/>
    <w:basedOn w:val="PKTODNONIKApunktodnonika"/>
    <w:uiPriority w:val="21"/>
    <w:qFormat/>
    <w:rsid w:val="00027D06"/>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27D06"/>
    <w:pPr>
      <w:ind w:left="510" w:firstLine="0"/>
    </w:pPr>
  </w:style>
  <w:style w:type="paragraph" w:customStyle="1" w:styleId="NOTATKILEGISLATORA">
    <w:name w:val="NOTATKI_LEGISLATORA"/>
    <w:basedOn w:val="Normalny"/>
    <w:uiPriority w:val="5"/>
    <w:qFormat/>
    <w:rsid w:val="00027D06"/>
    <w:pPr>
      <w:widowControl w:val="0"/>
      <w:autoSpaceDE w:val="0"/>
      <w:autoSpaceDN w:val="0"/>
      <w:adjustRightInd w:val="0"/>
      <w:spacing w:after="0" w:line="360" w:lineRule="auto"/>
    </w:pPr>
    <w:rPr>
      <w:rFonts w:ascii="Times New Roman" w:eastAsia="Times New Roman" w:hAnsi="Times New Roman" w:cs="Arial"/>
      <w:b/>
      <w:i/>
      <w:kern w:val="0"/>
      <w:sz w:val="24"/>
      <w:szCs w:val="20"/>
      <w:lang w:eastAsia="pl-PL"/>
      <w14:ligatures w14:val="none"/>
    </w:rPr>
  </w:style>
  <w:style w:type="paragraph" w:customStyle="1" w:styleId="OZNZACZNIKAwskazanienrzacznika">
    <w:name w:val="OZN_ZAŁĄCZNIKA – wskazanie nr załącznika"/>
    <w:basedOn w:val="OZNPROJEKTUwskazaniedatylubwersjiprojektu"/>
    <w:uiPriority w:val="28"/>
    <w:qFormat/>
    <w:rsid w:val="00027D06"/>
    <w:pPr>
      <w:keepNext/>
    </w:pPr>
    <w:rPr>
      <w:b/>
      <w:u w:val="none"/>
    </w:rPr>
  </w:style>
  <w:style w:type="paragraph" w:customStyle="1" w:styleId="OZNPARAFYADNOTACJE">
    <w:name w:val="OZN_PARAFY(ADNOTACJE)"/>
    <w:basedOn w:val="ODNONIKtreodnonika"/>
    <w:uiPriority w:val="26"/>
    <w:qFormat/>
    <w:rsid w:val="00027D06"/>
  </w:style>
  <w:style w:type="paragraph" w:customStyle="1" w:styleId="TEKSTZacznikido">
    <w:name w:val="TEKST&quot;Załącznik(i) do ...&quot;"/>
    <w:uiPriority w:val="28"/>
    <w:qFormat/>
    <w:rsid w:val="00027D06"/>
    <w:pPr>
      <w:keepNext/>
      <w:spacing w:after="240" w:line="240" w:lineRule="auto"/>
      <w:ind w:left="5670"/>
      <w:contextualSpacing/>
    </w:pPr>
    <w:rPr>
      <w:rFonts w:ascii="Times New Roman" w:eastAsia="Times New Roman" w:hAnsi="Times New Roman" w:cs="Arial"/>
      <w:kern w:val="0"/>
      <w:sz w:val="24"/>
      <w:szCs w:val="20"/>
      <w:lang w:eastAsia="pl-PL"/>
      <w14:ligatures w14:val="none"/>
    </w:rPr>
  </w:style>
  <w:style w:type="paragraph" w:customStyle="1" w:styleId="LITODNONIKAliteraodnonika">
    <w:name w:val="LIT_ODNOŚNIKA – litera odnośnika"/>
    <w:basedOn w:val="PKTODNONIKApunktodnonika"/>
    <w:uiPriority w:val="20"/>
    <w:qFormat/>
    <w:rsid w:val="00027D06"/>
    <w:pPr>
      <w:ind w:left="851"/>
    </w:pPr>
  </w:style>
  <w:style w:type="paragraph" w:customStyle="1" w:styleId="CZWSPLITODNONIKAczwspliterodnonika">
    <w:name w:val="CZ_WSP_LIT_ODNOŚNIKA – część wsp. liter odnośnika"/>
    <w:basedOn w:val="LITODNONIKAliteraodnonika"/>
    <w:uiPriority w:val="22"/>
    <w:qFormat/>
    <w:rsid w:val="00027D06"/>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027D06"/>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27D06"/>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27D06"/>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27D06"/>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027D06"/>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027D06"/>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027D06"/>
  </w:style>
  <w:style w:type="paragraph" w:customStyle="1" w:styleId="ZLITwPKTODNONIKAzmlitwpktodnonikaartykuempunktem">
    <w:name w:val="Z/LIT_w_PKT_ODNOŚNIKA – zm. lit. w pkt odnośnika artykułem (punktem)"/>
    <w:basedOn w:val="ZLITODNONIKAzmlitodnonikaartykuempunktem"/>
    <w:uiPriority w:val="40"/>
    <w:qFormat/>
    <w:rsid w:val="00027D06"/>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27D06"/>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27D06"/>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27D06"/>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27D06"/>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27D06"/>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027D06"/>
  </w:style>
  <w:style w:type="paragraph" w:customStyle="1" w:styleId="ZZFRAGzmianazmfragmentunpzdania">
    <w:name w:val="ZZ/FRAG – zmiana zm. fragmentu (np. zdania)"/>
    <w:basedOn w:val="ZZCZWSPPKTzmianazmczciwsppkt"/>
    <w:uiPriority w:val="70"/>
    <w:qFormat/>
    <w:rsid w:val="00027D06"/>
  </w:style>
  <w:style w:type="paragraph" w:customStyle="1" w:styleId="Z2TIRPKTzmpktpodwjnymtiret">
    <w:name w:val="Z_2TIR/PKT – zm. pkt podwójnym tiret"/>
    <w:basedOn w:val="Z2TIRLITzmlitpodwjnymtiret"/>
    <w:uiPriority w:val="83"/>
    <w:qFormat/>
    <w:rsid w:val="00027D06"/>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27D06"/>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27D06"/>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27D06"/>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27D06"/>
    <w:pPr>
      <w:ind w:left="1780" w:firstLine="510"/>
    </w:pPr>
  </w:style>
  <w:style w:type="paragraph" w:customStyle="1" w:styleId="Z2TIRUSTzmustpodwjnymtiret">
    <w:name w:val="Z_2TIR/UST(§) – zm. ust. (§) podwójnym tiret"/>
    <w:basedOn w:val="Z2TIRPKTzmpktpodwjnymtiret"/>
    <w:uiPriority w:val="82"/>
    <w:qFormat/>
    <w:rsid w:val="00027D06"/>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27D06"/>
    <w:pPr>
      <w:ind w:left="3164" w:firstLine="0"/>
    </w:pPr>
  </w:style>
  <w:style w:type="paragraph" w:customStyle="1" w:styleId="Z2TIRCZWSPPKTzmczciwsppktpodwjnymtiret">
    <w:name w:val="Z_2TIR/CZ_WSP_PKT – zm. części wsp. pkt podwójnym tiret"/>
    <w:basedOn w:val="Z2TIRPKTzmpktpodwjnymtiret"/>
    <w:uiPriority w:val="86"/>
    <w:qFormat/>
    <w:rsid w:val="00027D06"/>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27D06"/>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27D06"/>
    <w:pPr>
      <w:ind w:left="2767" w:firstLine="0"/>
    </w:pPr>
  </w:style>
  <w:style w:type="paragraph" w:customStyle="1" w:styleId="ZLITARTzmartliter">
    <w:name w:val="Z_LIT/ART(§) – zm. art. (§) literą"/>
    <w:basedOn w:val="ZLITUSTzmustliter"/>
    <w:uiPriority w:val="46"/>
    <w:qFormat/>
    <w:rsid w:val="00027D06"/>
    <w:rPr>
      <w:rFonts w:ascii="Times New Roman" w:hAnsi="Times New Roman"/>
    </w:rPr>
  </w:style>
  <w:style w:type="paragraph" w:customStyle="1" w:styleId="ZTIRARTzmarttiret">
    <w:name w:val="Z_TIR/ART(§) – zm. art. (§) tiret"/>
    <w:basedOn w:val="ZTIRPKTzmpkttiret"/>
    <w:uiPriority w:val="55"/>
    <w:qFormat/>
    <w:rsid w:val="00027D06"/>
    <w:pPr>
      <w:ind w:left="1383" w:firstLine="510"/>
    </w:pPr>
    <w:rPr>
      <w:rFonts w:ascii="Times New Roman" w:hAnsi="Times New Roman"/>
    </w:rPr>
  </w:style>
  <w:style w:type="paragraph" w:customStyle="1" w:styleId="ZTIRUSTzmusttiret">
    <w:name w:val="Z_TIR/UST(§) – zm. ust. (§) tiret"/>
    <w:basedOn w:val="ZTIRARTzmarttiret"/>
    <w:uiPriority w:val="55"/>
    <w:qFormat/>
    <w:rsid w:val="00027D06"/>
  </w:style>
  <w:style w:type="paragraph" w:customStyle="1" w:styleId="ZLITKSIGIzmozniprzedmksigiliter">
    <w:name w:val="Z_LIT/KSIĘGI – zm. ozn. i przedm. księgi literą"/>
    <w:basedOn w:val="ZCZCIKSIGIzmozniprzedmczciksigiartykuempunktem"/>
    <w:uiPriority w:val="44"/>
    <w:qFormat/>
    <w:rsid w:val="00027D06"/>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27D06"/>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027D06"/>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27D06"/>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27D06"/>
    <w:pPr>
      <w:ind w:left="987"/>
    </w:pPr>
  </w:style>
  <w:style w:type="paragraph" w:customStyle="1" w:styleId="ZTIRDZOZNzmozndziautiret">
    <w:name w:val="Z_TIR/DZ_OZN – zm. ozn. działu tiret"/>
    <w:basedOn w:val="ZLITTYTDZOZNzmozntytuudziauliter"/>
    <w:next w:val="ZTIRDZPRZEDMzmprzedmdziautiret"/>
    <w:uiPriority w:val="54"/>
    <w:qFormat/>
    <w:rsid w:val="00027D06"/>
    <w:pPr>
      <w:ind w:left="1383"/>
    </w:pPr>
  </w:style>
  <w:style w:type="paragraph" w:customStyle="1" w:styleId="ZTIRDZPRZEDMzmprzedmdziautiret">
    <w:name w:val="Z_TIR/DZ_PRZEDM – zm. przedm. działu tiret"/>
    <w:basedOn w:val="ZLITTYTDZPRZEDMzmprzedmtytuudziauliter"/>
    <w:uiPriority w:val="54"/>
    <w:qFormat/>
    <w:rsid w:val="00027D06"/>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27D06"/>
    <w:pPr>
      <w:ind w:left="1383"/>
    </w:pPr>
  </w:style>
  <w:style w:type="paragraph" w:customStyle="1" w:styleId="ZTIRROZDZODDZPRZEDMzmprzedmrozdzoddztiret">
    <w:name w:val="Z_TIR/ROZDZ(ODDZ)_PRZEDM – zm. przedm. rozdz. (oddz.) tiret"/>
    <w:basedOn w:val="ZLITROZDZODDZPRZEDMzmprzedmrozdzoddzliter"/>
    <w:uiPriority w:val="54"/>
    <w:qFormat/>
    <w:rsid w:val="00027D06"/>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27D06"/>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27D06"/>
    <w:pPr>
      <w:ind w:left="1780"/>
    </w:pPr>
  </w:style>
  <w:style w:type="character" w:customStyle="1" w:styleId="IGindeksgrny">
    <w:name w:val="_IG_ – indeks górny"/>
    <w:basedOn w:val="Domylnaczcionkaakapitu"/>
    <w:uiPriority w:val="2"/>
    <w:qFormat/>
    <w:rsid w:val="00027D06"/>
    <w:rPr>
      <w:b w:val="0"/>
      <w:i w:val="0"/>
      <w:vanish w:val="0"/>
      <w:spacing w:val="0"/>
      <w:vertAlign w:val="superscript"/>
    </w:rPr>
  </w:style>
  <w:style w:type="character" w:customStyle="1" w:styleId="IDindeksdolny">
    <w:name w:val="_ID_ – indeks dolny"/>
    <w:basedOn w:val="Domylnaczcionkaakapitu"/>
    <w:uiPriority w:val="3"/>
    <w:qFormat/>
    <w:rsid w:val="00027D06"/>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27D06"/>
    <w:rPr>
      <w:b/>
      <w:vanish w:val="0"/>
      <w:spacing w:val="0"/>
      <w:vertAlign w:val="subscript"/>
    </w:rPr>
  </w:style>
  <w:style w:type="character" w:customStyle="1" w:styleId="IDKindeksdolnyikursywa">
    <w:name w:val="_ID_K_ – indeks dolny i kursywa"/>
    <w:basedOn w:val="Domylnaczcionkaakapitu"/>
    <w:uiPriority w:val="3"/>
    <w:qFormat/>
    <w:rsid w:val="00027D06"/>
    <w:rPr>
      <w:i/>
      <w:vanish w:val="0"/>
      <w:spacing w:val="0"/>
      <w:vertAlign w:val="subscript"/>
    </w:rPr>
  </w:style>
  <w:style w:type="character" w:customStyle="1" w:styleId="IGPindeksgrnyipogrubienie">
    <w:name w:val="_IG_P_ – indeks górny i pogrubienie"/>
    <w:basedOn w:val="Domylnaczcionkaakapitu"/>
    <w:uiPriority w:val="2"/>
    <w:qFormat/>
    <w:rsid w:val="00027D06"/>
    <w:rPr>
      <w:b/>
      <w:vanish w:val="0"/>
      <w:spacing w:val="0"/>
      <w:vertAlign w:val="superscript"/>
    </w:rPr>
  </w:style>
  <w:style w:type="character" w:customStyle="1" w:styleId="IGKindeksgrnyikursywa">
    <w:name w:val="_IG_K_ – indeks górny i kursywa"/>
    <w:basedOn w:val="Domylnaczcionkaakapitu"/>
    <w:uiPriority w:val="2"/>
    <w:qFormat/>
    <w:rsid w:val="00027D06"/>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27D06"/>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27D06"/>
    <w:rPr>
      <w:b/>
      <w:i/>
      <w:vanish w:val="0"/>
      <w:spacing w:val="0"/>
      <w:vertAlign w:val="subscript"/>
    </w:rPr>
  </w:style>
  <w:style w:type="character" w:customStyle="1" w:styleId="Ppogrubienie">
    <w:name w:val="_P_ – pogrubienie"/>
    <w:basedOn w:val="Domylnaczcionkaakapitu"/>
    <w:uiPriority w:val="1"/>
    <w:qFormat/>
    <w:rsid w:val="00027D06"/>
    <w:rPr>
      <w:b/>
    </w:rPr>
  </w:style>
  <w:style w:type="character" w:customStyle="1" w:styleId="Kkursywa">
    <w:name w:val="_K_ – kursywa"/>
    <w:basedOn w:val="Domylnaczcionkaakapitu"/>
    <w:uiPriority w:val="1"/>
    <w:qFormat/>
    <w:rsid w:val="00027D06"/>
    <w:rPr>
      <w:i/>
    </w:rPr>
  </w:style>
  <w:style w:type="character" w:customStyle="1" w:styleId="PKpogrubieniekursywa">
    <w:name w:val="_P_K_ – pogrubienie kursywa"/>
    <w:basedOn w:val="Domylnaczcionkaakapitu"/>
    <w:uiPriority w:val="1"/>
    <w:qFormat/>
    <w:rsid w:val="00027D06"/>
    <w:rPr>
      <w:b/>
      <w:i/>
    </w:rPr>
  </w:style>
  <w:style w:type="character" w:customStyle="1" w:styleId="TEKSTOZNACZONYWDOKUMENCIERDOWYMJAKOUKRYTY">
    <w:name w:val="_TEKST_OZNACZONY_W_DOKUMENCIE_ŹRÓDŁOWYM_JAKO_UKRYTY_"/>
    <w:basedOn w:val="Domylnaczcionkaakapitu"/>
    <w:uiPriority w:val="4"/>
    <w:unhideWhenUsed/>
    <w:qFormat/>
    <w:rsid w:val="00027D06"/>
    <w:rPr>
      <w:vanish w:val="0"/>
      <w:color w:val="FF0000"/>
      <w:u w:val="single" w:color="FF0000"/>
    </w:rPr>
  </w:style>
  <w:style w:type="character" w:customStyle="1" w:styleId="BEZWERSALIKW">
    <w:name w:val="_BEZ_WERSALIKÓW_"/>
    <w:basedOn w:val="Domylnaczcionkaakapitu"/>
    <w:uiPriority w:val="4"/>
    <w:qFormat/>
    <w:rsid w:val="00027D06"/>
    <w:rPr>
      <w:caps/>
    </w:rPr>
  </w:style>
  <w:style w:type="character" w:customStyle="1" w:styleId="IIGPindeksgrnyindeksugrnegoipogrubienie">
    <w:name w:val="_IIG_P_ – indeks górny indeksu górnego i pogrubienie"/>
    <w:basedOn w:val="Domylnaczcionkaakapitu"/>
    <w:uiPriority w:val="3"/>
    <w:qFormat/>
    <w:rsid w:val="00027D06"/>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27D06"/>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027D06"/>
    <w:pPr>
      <w:spacing w:after="0" w:line="240" w:lineRule="auto"/>
      <w:ind w:left="283" w:hanging="170"/>
    </w:pPr>
    <w:rPr>
      <w:rFonts w:ascii="Times New Roman" w:eastAsia="Times New Roman" w:hAnsi="Times New Roman" w:cs="Arial"/>
      <w:kern w:val="0"/>
      <w:sz w:val="20"/>
      <w:szCs w:val="20"/>
      <w:lang w:eastAsia="pl-PL"/>
      <w14:ligatures w14:val="none"/>
    </w:rPr>
  </w:style>
  <w:style w:type="paragraph" w:customStyle="1" w:styleId="TEKSTwTABELItekstzwcitympierwwierszem">
    <w:name w:val="TEKST_w_TABELI – tekst z wciętym pierw. wierszem"/>
    <w:basedOn w:val="Normalny"/>
    <w:uiPriority w:val="23"/>
    <w:qFormat/>
    <w:rsid w:val="00027D06"/>
    <w:pPr>
      <w:suppressAutoHyphens/>
      <w:autoSpaceDE w:val="0"/>
      <w:autoSpaceDN w:val="0"/>
      <w:adjustRightInd w:val="0"/>
      <w:spacing w:after="0" w:line="360" w:lineRule="auto"/>
      <w:ind w:firstLine="510"/>
    </w:pPr>
    <w:rPr>
      <w:rFonts w:ascii="Times" w:eastAsia="Times New Roman" w:hAnsi="Times" w:cs="Arial"/>
      <w:bCs/>
      <w:kern w:val="24"/>
      <w:sz w:val="24"/>
      <w:szCs w:val="20"/>
      <w:lang w:eastAsia="pl-PL"/>
      <w14:ligatures w14:val="none"/>
    </w:rPr>
  </w:style>
  <w:style w:type="paragraph" w:customStyle="1" w:styleId="TEKSTwTABELIWYRODKOWANYtekstwyrodkowanywpoziomie">
    <w:name w:val="TEKST_w_TABELI_WYŚRODKOWANY – tekst wyśrodkowany w poziomie"/>
    <w:basedOn w:val="Normalny"/>
    <w:uiPriority w:val="23"/>
    <w:qFormat/>
    <w:rsid w:val="00027D06"/>
    <w:pPr>
      <w:suppressAutoHyphens/>
      <w:autoSpaceDE w:val="0"/>
      <w:autoSpaceDN w:val="0"/>
      <w:adjustRightInd w:val="0"/>
      <w:spacing w:after="0" w:line="360" w:lineRule="auto"/>
      <w:jc w:val="center"/>
    </w:pPr>
    <w:rPr>
      <w:rFonts w:ascii="Times" w:eastAsia="Times New Roman" w:hAnsi="Times" w:cs="Arial"/>
      <w:bCs/>
      <w:kern w:val="24"/>
      <w:sz w:val="24"/>
      <w:szCs w:val="20"/>
      <w:lang w:eastAsia="pl-PL"/>
      <w14:ligatures w14:val="none"/>
    </w:rPr>
  </w:style>
  <w:style w:type="paragraph" w:customStyle="1" w:styleId="ZTIRSKARNzmsankcjikarnejtiret">
    <w:name w:val="Z_TIR/S_KARN – zm. sankcji karnej tiret"/>
    <w:basedOn w:val="ZLITSKARNzmsankcjikarnejliter"/>
    <w:next w:val="ZTIRARTzmarttiret"/>
    <w:uiPriority w:val="61"/>
    <w:qFormat/>
    <w:rsid w:val="00027D06"/>
    <w:pPr>
      <w:ind w:left="1894"/>
    </w:pPr>
  </w:style>
  <w:style w:type="paragraph" w:customStyle="1" w:styleId="ZZSKARNzmianazmsankcjikarnej">
    <w:name w:val="ZZ/S_KARN – zmiana zm. sankcji karnej"/>
    <w:basedOn w:val="ZZFRAGzmianazmfragmentunpzdania"/>
    <w:uiPriority w:val="71"/>
    <w:qFormat/>
    <w:rsid w:val="00027D06"/>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027D06"/>
    <w:pPr>
      <w:ind w:left="2291" w:firstLine="0"/>
    </w:pPr>
  </w:style>
  <w:style w:type="paragraph" w:customStyle="1" w:styleId="WMATFIZCHEMwzrmatfizlubchem">
    <w:name w:val="W_MAT(FIZ|CHEM) – wzór mat. (fiz. lub chem.)"/>
    <w:uiPriority w:val="18"/>
    <w:qFormat/>
    <w:rsid w:val="00027D06"/>
    <w:pPr>
      <w:spacing w:after="0" w:line="360" w:lineRule="auto"/>
      <w:jc w:val="center"/>
    </w:pPr>
    <w:rPr>
      <w:rFonts w:ascii="Times New Roman" w:eastAsia="Times New Roman" w:hAnsi="Times New Roman" w:cs="Arial"/>
      <w:kern w:val="0"/>
      <w:sz w:val="24"/>
      <w:szCs w:val="20"/>
      <w:lang w:eastAsia="pl-PL"/>
      <w14:ligatures w14:val="none"/>
    </w:rPr>
  </w:style>
  <w:style w:type="paragraph" w:customStyle="1" w:styleId="LEGWMATFIZCHEMlegendawzorumatfizlubchem">
    <w:name w:val="LEG_W_MAT(FIZ|CHEM) – legenda wzoru mat. (fiz. lub chem.)"/>
    <w:basedOn w:val="WMATFIZCHEMwzrmatfizlubchem"/>
    <w:uiPriority w:val="19"/>
    <w:qFormat/>
    <w:rsid w:val="00027D06"/>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27D06"/>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027D06"/>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27D06"/>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027D06"/>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027D06"/>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27D06"/>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027D06"/>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27D06"/>
    <w:pPr>
      <w:ind w:left="3085"/>
    </w:pPr>
  </w:style>
  <w:style w:type="paragraph" w:customStyle="1" w:styleId="ZLITCYTzmcytatunpprzysigiliter">
    <w:name w:val="Z_LIT/CYT – zm. cytatu np. przysięgi literą"/>
    <w:basedOn w:val="ZCYTzmcytatunpprzysigiartykuempunktem"/>
    <w:uiPriority w:val="53"/>
    <w:qFormat/>
    <w:rsid w:val="00027D06"/>
    <w:pPr>
      <w:ind w:left="1497"/>
    </w:pPr>
  </w:style>
  <w:style w:type="paragraph" w:customStyle="1" w:styleId="ZTIRCYTzmcytatunpprzysigitiret">
    <w:name w:val="Z_TIR/CYT – zm. cytatu np. przysięgi tiret"/>
    <w:basedOn w:val="ZLITCYTzmcytatunpprzysigiliter"/>
    <w:next w:val="ZTIRUSTzmusttiret"/>
    <w:uiPriority w:val="61"/>
    <w:qFormat/>
    <w:rsid w:val="00027D06"/>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027D06"/>
    <w:pPr>
      <w:ind w:left="2291"/>
    </w:pPr>
  </w:style>
  <w:style w:type="paragraph" w:customStyle="1" w:styleId="ZZCYTzmianazmcytatunpprzysigi">
    <w:name w:val="ZZ/CYT – zmiana zm. cytatu np. przysięgi"/>
    <w:basedOn w:val="ZZFRAGzmianazmfragmentunpzdania"/>
    <w:next w:val="ZZUSTzmianazmust"/>
    <w:uiPriority w:val="71"/>
    <w:qFormat/>
    <w:rsid w:val="00027D06"/>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027D06"/>
    <w:pPr>
      <w:ind w:left="1780"/>
    </w:pPr>
  </w:style>
  <w:style w:type="table" w:styleId="Tabela-Siatka">
    <w:name w:val="Table Grid"/>
    <w:basedOn w:val="Standardowy"/>
    <w:rsid w:val="00027D06"/>
    <w:pPr>
      <w:spacing w:after="0" w:line="240" w:lineRule="auto"/>
    </w:pPr>
    <w:rPr>
      <w:rFonts w:ascii="Times" w:eastAsia="Times New Roman" w:hAnsi="Times" w:cs="Times New Roman"/>
      <w:kern w:val="0"/>
      <w:sz w:val="24"/>
      <w:szCs w:val="24"/>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027D06"/>
    <w:pPr>
      <w:widowControl w:val="0"/>
      <w:autoSpaceDE w:val="0"/>
      <w:autoSpaceDN w:val="0"/>
      <w:adjustRightInd w:val="0"/>
      <w:spacing w:after="0" w:line="360" w:lineRule="auto"/>
      <w:jc w:val="both"/>
    </w:pPr>
    <w:rPr>
      <w:rFonts w:ascii="Times" w:eastAsia="Times New Roman" w:hAnsi="Times" w:cs="Times New Roman"/>
      <w:kern w:val="0"/>
      <w:sz w:val="24"/>
      <w:szCs w:val="24"/>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27D06"/>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027D06"/>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027D06"/>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027D06"/>
    <w:rPr>
      <w:color w:val="808080"/>
    </w:rPr>
  </w:style>
  <w:style w:type="character" w:styleId="Hipercze">
    <w:name w:val="Hyperlink"/>
    <w:basedOn w:val="Domylnaczcionkaakapitu"/>
    <w:uiPriority w:val="99"/>
    <w:unhideWhenUsed/>
    <w:rsid w:val="00027D06"/>
    <w:rPr>
      <w:color w:val="0000FF"/>
      <w:u w:val="single"/>
    </w:rPr>
  </w:style>
  <w:style w:type="character" w:customStyle="1" w:styleId="Nierozpoznanawzmianka1">
    <w:name w:val="Nierozpoznana wzmianka1"/>
    <w:basedOn w:val="Domylnaczcionkaakapitu"/>
    <w:uiPriority w:val="99"/>
    <w:semiHidden/>
    <w:unhideWhenUsed/>
    <w:rsid w:val="00027D06"/>
    <w:rPr>
      <w:color w:val="605E5C"/>
      <w:shd w:val="clear" w:color="auto" w:fill="E1DFDD"/>
    </w:rPr>
  </w:style>
  <w:style w:type="paragraph" w:customStyle="1" w:styleId="Poprawka1">
    <w:name w:val="Poprawka1"/>
    <w:next w:val="Poprawka"/>
    <w:hidden/>
    <w:uiPriority w:val="99"/>
    <w:semiHidden/>
    <w:rsid w:val="00027D06"/>
    <w:pPr>
      <w:spacing w:after="0" w:line="240" w:lineRule="auto"/>
    </w:pPr>
    <w:rPr>
      <w:rFonts w:ascii="Times New Roman" w:eastAsia="Times New Roman" w:hAnsi="Times New Roman" w:cs="Arial"/>
      <w:kern w:val="0"/>
      <w:sz w:val="24"/>
      <w:szCs w:val="20"/>
      <w:lang w:eastAsia="pl-PL"/>
      <w14:ligatures w14:val="none"/>
    </w:rPr>
  </w:style>
  <w:style w:type="character" w:styleId="Uwydatnienie">
    <w:name w:val="Emphasis"/>
    <w:basedOn w:val="Domylnaczcionkaakapitu"/>
    <w:uiPriority w:val="20"/>
    <w:qFormat/>
    <w:rsid w:val="00027D06"/>
    <w:rPr>
      <w:i/>
      <w:iCs/>
    </w:rPr>
  </w:style>
  <w:style w:type="character" w:customStyle="1" w:styleId="UyteHipercze1">
    <w:name w:val="UżyteHiperłącze1"/>
    <w:basedOn w:val="Domylnaczcionkaakapitu"/>
    <w:uiPriority w:val="99"/>
    <w:semiHidden/>
    <w:unhideWhenUsed/>
    <w:rsid w:val="00027D06"/>
    <w:rPr>
      <w:color w:val="800080"/>
      <w:u w:val="single"/>
    </w:rPr>
  </w:style>
  <w:style w:type="paragraph" w:styleId="NormalnyWeb">
    <w:name w:val="Normal (Web)"/>
    <w:basedOn w:val="Normalny"/>
    <w:semiHidden/>
    <w:unhideWhenUsed/>
    <w:rsid w:val="00027D06"/>
    <w:pPr>
      <w:widowControl w:val="0"/>
      <w:autoSpaceDE w:val="0"/>
      <w:autoSpaceDN w:val="0"/>
      <w:adjustRightInd w:val="0"/>
      <w:spacing w:before="113" w:after="0" w:line="220" w:lineRule="exact"/>
      <w:jc w:val="both"/>
    </w:pPr>
    <w:rPr>
      <w:rFonts w:ascii="Times" w:eastAsia="Times New Roman" w:hAnsi="Times" w:cs="Times New Roman"/>
      <w:kern w:val="0"/>
      <w:sz w:val="20"/>
      <w:szCs w:val="24"/>
      <w:lang w:eastAsia="pl-PL"/>
      <w14:ligatures w14:val="none"/>
    </w:rPr>
  </w:style>
  <w:style w:type="paragraph" w:styleId="Tekstprzypisukocowego">
    <w:name w:val="endnote text"/>
    <w:basedOn w:val="Normalny"/>
    <w:link w:val="TekstprzypisukocowegoZnak"/>
    <w:semiHidden/>
    <w:unhideWhenUsed/>
    <w:rsid w:val="00027D06"/>
    <w:pPr>
      <w:widowControl w:val="0"/>
      <w:autoSpaceDE w:val="0"/>
      <w:autoSpaceDN w:val="0"/>
      <w:adjustRightInd w:val="0"/>
      <w:spacing w:before="113" w:after="0" w:line="240" w:lineRule="auto"/>
      <w:jc w:val="both"/>
    </w:pPr>
    <w:rPr>
      <w:rFonts w:ascii="Calibri" w:eastAsia="Calibri" w:hAnsi="Calibri"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semiHidden/>
    <w:rsid w:val="00027D06"/>
    <w:rPr>
      <w:rFonts w:ascii="Calibri" w:eastAsia="Calibri" w:hAnsi="Calibri" w:cs="Times New Roman"/>
      <w:kern w:val="0"/>
      <w:sz w:val="20"/>
      <w:szCs w:val="20"/>
      <w:lang w:eastAsia="pl-PL"/>
      <w14:ligatures w14:val="none"/>
    </w:rPr>
  </w:style>
  <w:style w:type="paragraph" w:customStyle="1" w:styleId="Tekstpodstawowy1">
    <w:name w:val="Tekst podstawowy1"/>
    <w:basedOn w:val="Normalny"/>
    <w:next w:val="Tekstpodstawowy"/>
    <w:link w:val="TekstpodstawowyZnak"/>
    <w:uiPriority w:val="99"/>
    <w:semiHidden/>
    <w:unhideWhenUsed/>
    <w:rsid w:val="00027D06"/>
    <w:pPr>
      <w:widowControl w:val="0"/>
      <w:suppressAutoHyphens/>
      <w:autoSpaceDN w:val="0"/>
      <w:spacing w:before="60" w:after="120" w:line="240" w:lineRule="auto"/>
      <w:jc w:val="both"/>
    </w:pPr>
    <w:rPr>
      <w:rFonts w:ascii="Calibri" w:eastAsia="Calibri" w:hAnsi="Calibri" w:cs="Times New Roman"/>
      <w:sz w:val="20"/>
    </w:rPr>
  </w:style>
  <w:style w:type="character" w:customStyle="1" w:styleId="TekstpodstawowyZnak">
    <w:name w:val="Tekst podstawowy Znak"/>
    <w:basedOn w:val="Domylnaczcionkaakapitu"/>
    <w:link w:val="Tekstpodstawowy1"/>
    <w:uiPriority w:val="99"/>
    <w:semiHidden/>
    <w:rsid w:val="00027D06"/>
    <w:rPr>
      <w:rFonts w:ascii="Calibri" w:eastAsia="Calibri" w:hAnsi="Calibri" w:cs="Times New Roman"/>
      <w:sz w:val="20"/>
      <w:szCs w:val="22"/>
      <w:lang w:eastAsia="en-US"/>
    </w:rPr>
  </w:style>
  <w:style w:type="paragraph" w:styleId="Tekstpodstawowywcity">
    <w:name w:val="Body Text Indent"/>
    <w:basedOn w:val="Normalny"/>
    <w:link w:val="TekstpodstawowywcityZnak"/>
    <w:uiPriority w:val="99"/>
    <w:semiHidden/>
    <w:unhideWhenUsed/>
    <w:rsid w:val="00027D06"/>
    <w:pPr>
      <w:widowControl w:val="0"/>
      <w:autoSpaceDE w:val="0"/>
      <w:autoSpaceDN w:val="0"/>
      <w:adjustRightInd w:val="0"/>
      <w:spacing w:before="113" w:after="0" w:line="220" w:lineRule="exact"/>
      <w:ind w:firstLine="900"/>
      <w:jc w:val="both"/>
    </w:pPr>
    <w:rPr>
      <w:rFonts w:ascii="Times" w:eastAsia="Times New Roman" w:hAnsi="Times" w:cs="Times New Roman"/>
      <w:b/>
      <w:kern w:val="0"/>
      <w:sz w:val="26"/>
      <w:szCs w:val="20"/>
      <w:lang w:eastAsia="pl-PL"/>
      <w14:ligatures w14:val="none"/>
    </w:rPr>
  </w:style>
  <w:style w:type="character" w:customStyle="1" w:styleId="TekstpodstawowywcityZnak">
    <w:name w:val="Tekst podstawowy wcięty Znak"/>
    <w:basedOn w:val="Domylnaczcionkaakapitu"/>
    <w:link w:val="Tekstpodstawowywcity"/>
    <w:uiPriority w:val="99"/>
    <w:semiHidden/>
    <w:rsid w:val="00027D06"/>
    <w:rPr>
      <w:rFonts w:ascii="Times" w:eastAsia="Times New Roman" w:hAnsi="Times" w:cs="Times New Roman"/>
      <w:b/>
      <w:kern w:val="0"/>
      <w:sz w:val="26"/>
      <w:szCs w:val="20"/>
      <w:lang w:eastAsia="pl-PL"/>
      <w14:ligatures w14:val="none"/>
    </w:rPr>
  </w:style>
  <w:style w:type="paragraph" w:styleId="Tekstpodstawowy">
    <w:name w:val="Body Text"/>
    <w:basedOn w:val="Normalny"/>
    <w:link w:val="TekstpodstawowyZnak1"/>
    <w:uiPriority w:val="99"/>
    <w:semiHidden/>
    <w:unhideWhenUsed/>
    <w:rsid w:val="00027D06"/>
    <w:pPr>
      <w:spacing w:after="120"/>
    </w:pPr>
  </w:style>
  <w:style w:type="character" w:customStyle="1" w:styleId="TekstpodstawowyZnak1">
    <w:name w:val="Tekst podstawowy Znak1"/>
    <w:basedOn w:val="Domylnaczcionkaakapitu"/>
    <w:link w:val="Tekstpodstawowy"/>
    <w:uiPriority w:val="99"/>
    <w:semiHidden/>
    <w:rsid w:val="00027D06"/>
  </w:style>
  <w:style w:type="paragraph" w:styleId="Tekstpodstawowyzwciciem">
    <w:name w:val="Body Text First Indent"/>
    <w:basedOn w:val="Tekstpodstawowy"/>
    <w:link w:val="TekstpodstawowyzwciciemZnak"/>
    <w:uiPriority w:val="99"/>
    <w:semiHidden/>
    <w:unhideWhenUsed/>
    <w:rsid w:val="00027D06"/>
    <w:pPr>
      <w:autoSpaceDN w:val="0"/>
      <w:spacing w:before="60" w:after="60" w:line="240" w:lineRule="auto"/>
      <w:ind w:firstLine="360"/>
      <w:jc w:val="both"/>
    </w:pPr>
    <w:rPr>
      <w:rFonts w:ascii="Calibri" w:hAnsi="Calibri"/>
      <w:kern w:val="0"/>
      <w:sz w:val="20"/>
      <w14:ligatures w14:val="none"/>
    </w:rPr>
  </w:style>
  <w:style w:type="character" w:customStyle="1" w:styleId="TekstpodstawowyzwciciemZnak">
    <w:name w:val="Tekst podstawowy z wcięciem Znak"/>
    <w:basedOn w:val="TekstpodstawowyZnak1"/>
    <w:link w:val="Tekstpodstawowyzwciciem"/>
    <w:uiPriority w:val="99"/>
    <w:semiHidden/>
    <w:rsid w:val="00027D06"/>
    <w:rPr>
      <w:rFonts w:ascii="Calibri" w:hAnsi="Calibri"/>
      <w:kern w:val="0"/>
      <w:sz w:val="20"/>
      <w14:ligatures w14:val="none"/>
    </w:rPr>
  </w:style>
  <w:style w:type="paragraph" w:customStyle="1" w:styleId="Tekstpodstawowyzwciciem21">
    <w:name w:val="Tekst podstawowy z wcięciem 21"/>
    <w:basedOn w:val="Tekstpodstawowywcity"/>
    <w:next w:val="Tekstpodstawowyzwciciem2"/>
    <w:link w:val="Tekstpodstawowyzwciciem2Znak"/>
    <w:uiPriority w:val="99"/>
    <w:semiHidden/>
    <w:unhideWhenUsed/>
    <w:rsid w:val="00027D06"/>
    <w:pPr>
      <w:widowControl/>
      <w:autoSpaceDE/>
      <w:adjustRightInd/>
      <w:spacing w:before="60" w:after="60" w:line="240" w:lineRule="auto"/>
      <w:ind w:left="360" w:firstLine="360"/>
    </w:pPr>
    <w:rPr>
      <w:rFonts w:eastAsia="Calibri"/>
      <w:szCs w:val="22"/>
      <w:lang w:eastAsia="en-US"/>
    </w:rPr>
  </w:style>
  <w:style w:type="character" w:customStyle="1" w:styleId="Tekstpodstawowyzwciciem2Znak">
    <w:name w:val="Tekst podstawowy z wcięciem 2 Znak"/>
    <w:basedOn w:val="TekstpodstawowywcityZnak"/>
    <w:link w:val="Tekstpodstawowyzwciciem21"/>
    <w:uiPriority w:val="99"/>
    <w:semiHidden/>
    <w:rsid w:val="00027D06"/>
    <w:rPr>
      <w:rFonts w:ascii="Times" w:eastAsia="Calibri" w:hAnsi="Times" w:cs="Times New Roman"/>
      <w:b/>
      <w:kern w:val="0"/>
      <w:sz w:val="26"/>
      <w:szCs w:val="22"/>
      <w:lang w:eastAsia="en-US"/>
      <w14:ligatures w14:val="none"/>
    </w:rPr>
  </w:style>
  <w:style w:type="paragraph" w:styleId="Tekstpodstawowywcity3">
    <w:name w:val="Body Text Indent 3"/>
    <w:basedOn w:val="Normalny"/>
    <w:link w:val="Tekstpodstawowywcity3Znak"/>
    <w:semiHidden/>
    <w:unhideWhenUsed/>
    <w:rsid w:val="00027D06"/>
    <w:pPr>
      <w:widowControl w:val="0"/>
      <w:tabs>
        <w:tab w:val="left" w:pos="0"/>
      </w:tabs>
      <w:autoSpaceDE w:val="0"/>
      <w:autoSpaceDN w:val="0"/>
      <w:adjustRightInd w:val="0"/>
      <w:spacing w:before="113" w:after="0" w:line="240" w:lineRule="auto"/>
      <w:ind w:firstLine="900"/>
      <w:jc w:val="both"/>
    </w:pPr>
    <w:rPr>
      <w:rFonts w:ascii="Times" w:eastAsia="Times New Roman" w:hAnsi="Times" w:cs="Times New Roman"/>
      <w:b/>
      <w:bCs/>
      <w:color w:val="000000"/>
      <w:kern w:val="0"/>
      <w:sz w:val="20"/>
      <w:szCs w:val="24"/>
      <w:lang w:eastAsia="pl-PL"/>
      <w14:ligatures w14:val="none"/>
    </w:rPr>
  </w:style>
  <w:style w:type="character" w:customStyle="1" w:styleId="Tekstpodstawowywcity3Znak">
    <w:name w:val="Tekst podstawowy wcięty 3 Znak"/>
    <w:basedOn w:val="Domylnaczcionkaakapitu"/>
    <w:link w:val="Tekstpodstawowywcity3"/>
    <w:semiHidden/>
    <w:rsid w:val="00027D06"/>
    <w:rPr>
      <w:rFonts w:ascii="Times" w:eastAsia="Times New Roman" w:hAnsi="Times" w:cs="Times New Roman"/>
      <w:b/>
      <w:bCs/>
      <w:color w:val="000000"/>
      <w:kern w:val="0"/>
      <w:sz w:val="20"/>
      <w:szCs w:val="24"/>
      <w:lang w:eastAsia="pl-PL"/>
      <w14:ligatures w14:val="none"/>
    </w:rPr>
  </w:style>
  <w:style w:type="character" w:styleId="Odwoanieprzypisukocowego">
    <w:name w:val="endnote reference"/>
    <w:basedOn w:val="Domylnaczcionkaakapitu"/>
    <w:semiHidden/>
    <w:unhideWhenUsed/>
    <w:rsid w:val="00027D06"/>
    <w:rPr>
      <w:vertAlign w:val="superscript"/>
    </w:rPr>
  </w:style>
  <w:style w:type="paragraph" w:styleId="Poprawka">
    <w:name w:val="Revision"/>
    <w:hidden/>
    <w:uiPriority w:val="99"/>
    <w:semiHidden/>
    <w:rsid w:val="00027D06"/>
    <w:pPr>
      <w:spacing w:after="0" w:line="240" w:lineRule="auto"/>
    </w:pPr>
  </w:style>
  <w:style w:type="character" w:styleId="UyteHipercze">
    <w:name w:val="FollowedHyperlink"/>
    <w:basedOn w:val="Domylnaczcionkaakapitu"/>
    <w:uiPriority w:val="99"/>
    <w:semiHidden/>
    <w:unhideWhenUsed/>
    <w:rsid w:val="00027D06"/>
    <w:rPr>
      <w:color w:val="96607D" w:themeColor="followedHyperlink"/>
      <w:u w:val="single"/>
    </w:rPr>
  </w:style>
  <w:style w:type="paragraph" w:styleId="Tekstpodstawowyzwciciem2">
    <w:name w:val="Body Text First Indent 2"/>
    <w:basedOn w:val="Tekstpodstawowywcity"/>
    <w:link w:val="Tekstpodstawowyzwciciem2Znak1"/>
    <w:uiPriority w:val="99"/>
    <w:semiHidden/>
    <w:unhideWhenUsed/>
    <w:rsid w:val="00027D06"/>
    <w:pPr>
      <w:widowControl/>
      <w:autoSpaceDE/>
      <w:autoSpaceDN/>
      <w:adjustRightInd/>
      <w:spacing w:before="0" w:after="160" w:line="259" w:lineRule="auto"/>
      <w:ind w:left="360" w:firstLine="360"/>
      <w:jc w:val="left"/>
    </w:pPr>
    <w:rPr>
      <w:rFonts w:asciiTheme="minorHAnsi" w:eastAsiaTheme="minorHAnsi" w:hAnsiTheme="minorHAnsi" w:cstheme="minorBidi"/>
      <w:b w:val="0"/>
      <w:kern w:val="2"/>
      <w:sz w:val="22"/>
      <w:szCs w:val="22"/>
      <w:lang w:eastAsia="en-US"/>
      <w14:ligatures w14:val="standardContextual"/>
    </w:rPr>
  </w:style>
  <w:style w:type="character" w:customStyle="1" w:styleId="Tekstpodstawowyzwciciem2Znak1">
    <w:name w:val="Tekst podstawowy z wcięciem 2 Znak1"/>
    <w:basedOn w:val="TekstpodstawowywcityZnak"/>
    <w:link w:val="Tekstpodstawowyzwciciem2"/>
    <w:uiPriority w:val="99"/>
    <w:semiHidden/>
    <w:rsid w:val="00027D06"/>
    <w:rPr>
      <w:rFonts w:ascii="Times" w:eastAsia="Times New Roman" w:hAnsi="Times" w:cs="Times New Roman"/>
      <w:b/>
      <w:kern w:val="0"/>
      <w:sz w:val="26"/>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CE9D4-8465-4053-8E8F-981C5415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109</Pages>
  <Words>33810</Words>
  <Characters>202860</Characters>
  <DocSecurity>0</DocSecurity>
  <Lines>1690</Lines>
  <Paragraphs>472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2026-04-16T06:41:00Z</dcterms:created>
  <dcterms:modified xsi:type="dcterms:W3CDTF">2026-04-16T11:59:00Z</dcterms:modified>
</cp:coreProperties>
</file>