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183A" w14:textId="77777777" w:rsidR="00232E15" w:rsidRPr="00A24FCD" w:rsidRDefault="00232E15" w:rsidP="00232E15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CD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E545FE8" w14:textId="77777777" w:rsidR="00232E15" w:rsidRPr="00A24FCD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Proponowana ustawa stworzona została w oparciu o rządowy projekt ustawy o rynku </w:t>
      </w:r>
      <w:proofErr w:type="spellStart"/>
      <w:r w:rsidRPr="00A24FCD">
        <w:t>kryptoaktywów</w:t>
      </w:r>
      <w:proofErr w:type="spellEnd"/>
      <w:r w:rsidRPr="00A24FCD">
        <w:t>, który w związku z licznymi wątpliwościami prawnymi oraz z powodu nieusunięcia zasadniczych błędów został w lutym 2026 r. zawetowany przez Prezydenta</w:t>
      </w:r>
      <w:r>
        <w:t xml:space="preserve"> RP</w:t>
      </w:r>
      <w:r w:rsidRPr="00A24FCD">
        <w:t xml:space="preserve">. Wcześniej ustawa o niemal identycznej treści różniąca się jedynie wysokością maksymalnej stawki opłaty za nadzór została zawetowana przez Prezydenta </w:t>
      </w:r>
      <w:r>
        <w:t xml:space="preserve">RP </w:t>
      </w:r>
      <w:r w:rsidRPr="00A24FCD">
        <w:t xml:space="preserve">w grudniu 2025 r. </w:t>
      </w:r>
    </w:p>
    <w:p w14:paraId="15F02445" w14:textId="77777777" w:rsidR="00232E15" w:rsidRPr="00A24FCD" w:rsidRDefault="00232E15" w:rsidP="00232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Dwukrotnie proponowana przez rząd ustawa miała umożliwić stosowanie unijnego rozporządzenia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(The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Crypto-Assets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) oraz zakładała wprowadzenie narzędzi nadzorczych wobec podmiotów działających na rynku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>.</w:t>
      </w:r>
    </w:p>
    <w:p w14:paraId="38AC2E81" w14:textId="77777777" w:rsidR="00232E15" w:rsidRPr="00A24FCD" w:rsidRDefault="00232E15" w:rsidP="00232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FF4">
        <w:rPr>
          <w:rFonts w:ascii="Times New Roman" w:hAnsi="Times New Roman" w:cs="Times New Roman"/>
          <w:b/>
          <w:bCs/>
          <w:sz w:val="24"/>
          <w:szCs w:val="24"/>
        </w:rPr>
        <w:t xml:space="preserve">Niniejszy projekt ustawy stanowi kolejną próbę legislacyjną regulującą zasady bezpieczeństwa dla osób inwestujących w </w:t>
      </w:r>
      <w:proofErr w:type="spellStart"/>
      <w:r w:rsidRPr="00033FF4">
        <w:rPr>
          <w:rFonts w:ascii="Times New Roman" w:hAnsi="Times New Roman" w:cs="Times New Roman"/>
          <w:b/>
          <w:bCs/>
          <w:sz w:val="24"/>
          <w:szCs w:val="24"/>
        </w:rPr>
        <w:t>kryptoaktywa</w:t>
      </w:r>
      <w:proofErr w:type="spellEnd"/>
      <w:r w:rsidRPr="00033FF4">
        <w:rPr>
          <w:rFonts w:ascii="Times New Roman" w:hAnsi="Times New Roman" w:cs="Times New Roman"/>
          <w:b/>
          <w:bCs/>
          <w:sz w:val="24"/>
          <w:szCs w:val="24"/>
        </w:rPr>
        <w:t xml:space="preserve"> oraz dostosowującą obowiązujące prawo do wymogów unijnych.</w:t>
      </w:r>
      <w:r w:rsidRPr="00A24FCD">
        <w:rPr>
          <w:rFonts w:ascii="Times New Roman" w:hAnsi="Times New Roman" w:cs="Times New Roman"/>
          <w:sz w:val="24"/>
          <w:szCs w:val="24"/>
        </w:rPr>
        <w:t xml:space="preserve"> Uwzględnia poprawki zgłoszone przez Klub Parlamentarny Prawo i Sprawiedliwość w toku prac nad wcześniejszymi projektami ustawy w tej materii. Poprawki zostały zgłoszone podczas prac Komisji Finansów</w:t>
      </w:r>
      <w:r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A24FCD">
        <w:rPr>
          <w:rFonts w:ascii="Times New Roman" w:hAnsi="Times New Roman" w:cs="Times New Roman"/>
          <w:sz w:val="24"/>
          <w:szCs w:val="24"/>
        </w:rPr>
        <w:t xml:space="preserve"> i niwelują one wszelkie wątpliwości, które pojawiły się w związku z wprowadzeniem proponowanych przez rząd przepisów. </w:t>
      </w:r>
      <w:r w:rsidRPr="00033FF4">
        <w:rPr>
          <w:rFonts w:ascii="Times New Roman" w:hAnsi="Times New Roman" w:cs="Times New Roman"/>
          <w:b/>
          <w:bCs/>
          <w:sz w:val="24"/>
          <w:szCs w:val="24"/>
        </w:rPr>
        <w:t xml:space="preserve">Gwarantują ochronę i zabezpieczają interesy osób inwestujących w </w:t>
      </w:r>
      <w:proofErr w:type="spellStart"/>
      <w:r w:rsidRPr="00033FF4">
        <w:rPr>
          <w:rFonts w:ascii="Times New Roman" w:hAnsi="Times New Roman" w:cs="Times New Roman"/>
          <w:b/>
          <w:bCs/>
          <w:sz w:val="24"/>
          <w:szCs w:val="24"/>
        </w:rPr>
        <w:t>kryptoaktywa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. </w:t>
      </w:r>
      <w:r w:rsidRPr="00C47872">
        <w:rPr>
          <w:rFonts w:ascii="Times New Roman" w:hAnsi="Times New Roman" w:cs="Times New Roman"/>
          <w:b/>
          <w:bCs/>
          <w:sz w:val="24"/>
          <w:szCs w:val="24"/>
        </w:rPr>
        <w:t xml:space="preserve">Jest ona jednocześnie pewnego rodzaju kompromisem pomiędzy inicjatywą rządową, a minimalnymi przynajmniej potrzebami polskiego nowoczesnego sektora innowacji związanych z </w:t>
      </w:r>
      <w:proofErr w:type="spellStart"/>
      <w:r w:rsidRPr="00C47872">
        <w:rPr>
          <w:rFonts w:ascii="Times New Roman" w:hAnsi="Times New Roman" w:cs="Times New Roman"/>
          <w:b/>
          <w:bCs/>
          <w:sz w:val="24"/>
          <w:szCs w:val="24"/>
        </w:rPr>
        <w:t>kryptoaktywami</w:t>
      </w:r>
      <w:proofErr w:type="spellEnd"/>
      <w:r w:rsidRPr="00C47872">
        <w:rPr>
          <w:rFonts w:ascii="Times New Roman" w:hAnsi="Times New Roman" w:cs="Times New Roman"/>
          <w:b/>
          <w:bCs/>
          <w:sz w:val="24"/>
          <w:szCs w:val="24"/>
        </w:rPr>
        <w:t xml:space="preserve">, popartymi przez Klub Parlamentarny Prawo i Sprawiedliwość, aby polski rynek </w:t>
      </w:r>
      <w:proofErr w:type="spellStart"/>
      <w:r w:rsidRPr="00C47872">
        <w:rPr>
          <w:rFonts w:ascii="Times New Roman" w:hAnsi="Times New Roman" w:cs="Times New Roman"/>
          <w:b/>
          <w:bCs/>
          <w:sz w:val="24"/>
          <w:szCs w:val="24"/>
        </w:rPr>
        <w:t>kryptowalut</w:t>
      </w:r>
      <w:proofErr w:type="spellEnd"/>
      <w:r w:rsidRPr="00C47872">
        <w:rPr>
          <w:rFonts w:ascii="Times New Roman" w:hAnsi="Times New Roman" w:cs="Times New Roman"/>
          <w:b/>
          <w:bCs/>
          <w:sz w:val="24"/>
          <w:szCs w:val="24"/>
        </w:rPr>
        <w:t xml:space="preserve"> mógł się rozwijać właśnie w Polsce.</w:t>
      </w:r>
    </w:p>
    <w:p w14:paraId="4080D09F" w14:textId="77777777" w:rsidR="00232E15" w:rsidRPr="00A24FCD" w:rsidRDefault="00232E15" w:rsidP="00232E15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Zgodnie z powyższym celem projektowanej ustawy jest zapewnienie stosowania rozporządzenia Parlamentu Europejskiego i Rady (UE) 2023/1114 z dnia 31 maja 2023 r. w sprawie rynków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oraz zmiany rozporządzeń (UE) nr 1093/2010 i (UE) nr 1095/2010 oraz dyrektyw 2013/36/UE i (UE) 2019/1937 (Dz. Urz. UE L 150 z 09.06.2023, str. 40, z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. zm.), zwanego dalej „rozporządzeniem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>” lub „rozporządzeniem 2023/1114”. Projektowana ustawa poprzez zmianę ustawy z dnia 1 marca 2018 r. o przeciwdziałaniu praniu pieniędzy oraz finansowaniu terroryzmu (Dz. U. z 2025 r. poz. 644), zwanej dalej „ustawą o przeciwdziałaniu praniu pieniędzy oraz finansowaniu terroryzmu” lub „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u.p.p.p.f.t.”</w:t>
      </w:r>
      <w:r w:rsidRPr="00A24FCD">
        <w:rPr>
          <w:rFonts w:ascii="Times New Roman" w:hAnsi="Times New Roman" w:cs="Times New Roman"/>
          <w:sz w:val="24"/>
          <w:szCs w:val="24"/>
        </w:rPr>
        <w:t xml:space="preserve">, służy również zapewnieniu stosowania przepisów rozporządzenia Parlamentu Europejskiego i Rady (UE) 2023/1113 w sprawie informacji towarzyszących transferom środków pieniężnych i niektórych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oraz zmiany dyrektywy (UE) 2015/849 (Dz. Urz. UE L 150 z 09.06.2023, str. 1), zwanego dalej „rozporządzeniem 2023/1113”.</w:t>
      </w:r>
    </w:p>
    <w:p w14:paraId="28D041B9" w14:textId="77777777" w:rsidR="00232E15" w:rsidRPr="00A24FCD" w:rsidRDefault="00232E15" w:rsidP="00232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96055"/>
      <w:r w:rsidRPr="00A24FCD">
        <w:rPr>
          <w:rFonts w:ascii="Times New Roman" w:hAnsi="Times New Roman" w:cs="Times New Roman"/>
          <w:sz w:val="24"/>
          <w:szCs w:val="24"/>
        </w:rPr>
        <w:lastRenderedPageBreak/>
        <w:t xml:space="preserve">Rozporządzenie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określa zharmonizowane dla wszystkich państw członkowskich ramy prawne dla rynków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wprowadzając szczegółowe przepisy dotyczące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związanych z nimi usług i działań, które nie są jeszcze objęte unijnymi aktami ustawodawczymi dotyczącymi usług finansowych. Ramy te mają przede wszystkim służyć wspieraniu innowacji i uczciwej konkurencji, a jednocześnie zapewniać wysoki poziom ochrony posiadaczy detalicznych i integralności rynków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w Unii Europejskiej. Zaproponowanie transparentnych ram prawnych i jednolite uregulowanie przedmiotowej materii ma na celu umożliwienie dostawcom usług w zakresie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zwiększenie skali ich działalności w wymiarze transgranicznym oraz ułatwienie tym podmiotom dostępu do usług bankowych, aby mogły sprawniej prowadzić swoją działalność. Unijne ramy dotyczące rynków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przewidują proporcjonalne traktowanie emitentów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i dostawców usług w zakresie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zapewniając tym samym równe szanse wejścia na rynek oraz bieżący, jak i przyszły rozwój rynków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. Proponowane w rozporządzeniu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rozwiązania mają na celu wsparcie stabilności finansowej i należytego funkcjonowania systemów płatniczych, a także przeciwdziałanie zagrożeniom dla polityki pieniężnej, jakie mogą stwarzać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>. Ponadto właściwe regulacje mają przyczynić się do utrzymania konkurencyjności państw członkowskich Unii Europejskiej na światowych rynkach finansowych i technologicznych oraz zapewnić klientom znaczne korzyści w postaci dostępu do tańszych, szybszych i bezpieczniejszych usług finansowych.</w:t>
      </w:r>
    </w:p>
    <w:p w14:paraId="58762781" w14:textId="77777777" w:rsidR="00232E15" w:rsidRPr="00A24FCD" w:rsidRDefault="00232E15" w:rsidP="00232E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Rozporządzenie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24FCD">
        <w:rPr>
          <w:rFonts w:ascii="Times New Roman" w:hAnsi="Times New Roman" w:cs="Times New Roman"/>
          <w:sz w:val="24"/>
          <w:szCs w:val="24"/>
        </w:rPr>
        <w:t xml:space="preserve">reguluje między innymi emitowanie, publiczne oferowanie i dopuszczanie do obrotu na platformach obrotu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tokenów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powiązanych z aktywami (ang.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asset-referenced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tokens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24FCD">
        <w:rPr>
          <w:rFonts w:ascii="Times New Roman" w:hAnsi="Times New Roman" w:cs="Times New Roman"/>
          <w:sz w:val="24"/>
          <w:szCs w:val="24"/>
        </w:rPr>
        <w:t xml:space="preserve"> ART),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tokenów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będących pieniądzem elektronicznym (ang</w:t>
      </w:r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electronic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money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token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EMT) oraz pewnych kategorii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tokenów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innych niż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tokeny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ART i EMT. Ponadto na podstawie przepisów rozporządzenia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zostaje wprowadzone zezwolenie na prowadzenie działalności w charakterze dostawcy usług w zakresie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(ang.</w:t>
      </w:r>
      <w:r w:rsidRPr="00A24FCD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crypto-servce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asset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24FCD">
        <w:rPr>
          <w:rFonts w:ascii="Times New Roman" w:hAnsi="Times New Roman" w:cs="Times New Roman"/>
          <w:i/>
          <w:iCs/>
          <w:sz w:val="24"/>
          <w:szCs w:val="24"/>
        </w:rPr>
        <w:t>provider</w:t>
      </w:r>
      <w:proofErr w:type="spellEnd"/>
      <w:r w:rsidRPr="00A24F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24FCD">
        <w:rPr>
          <w:rFonts w:ascii="Times New Roman" w:hAnsi="Times New Roman" w:cs="Times New Roman"/>
          <w:sz w:val="24"/>
          <w:szCs w:val="24"/>
        </w:rPr>
        <w:t xml:space="preserve">CASP). Dostawcy po uzyskaniu zezwolenia będą uprawnieni do świadczenia na rzecz klientów usług w zakresie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przewidzianych w przedmiotowym rozporządzeniu. Docelowo rozporządzenie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zobowiązuje państwa członkowskie do wyznaczenia organu właściwego, odpowiedzialnego, wraz z europejskim systemem nadzoru, za nadzór nad podmiotami objętymi regulacją rozporządzenia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w tym przede wszystkim poprzez wydawanie zezwoleń oraz nakładanie sankcji za nieprzestrzeganie rozporządzenia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>.</w:t>
      </w:r>
    </w:p>
    <w:p w14:paraId="47D65CC6" w14:textId="77777777" w:rsidR="00232E15" w:rsidRPr="00BC083D" w:rsidRDefault="00232E15" w:rsidP="00232E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Likwidacja odpowiedzialności za samo przekazywanie informacji o oferowanych przez dostawcę usług w zakresie </w:t>
      </w:r>
      <w:proofErr w:type="spellStart"/>
      <w:r w:rsidRPr="00BC083D">
        <w:rPr>
          <w:rFonts w:ascii="Times New Roman" w:hAnsi="Times New Roman" w:cs="Times New Roman"/>
          <w:b/>
          <w:sz w:val="24"/>
          <w:szCs w:val="24"/>
        </w:rPr>
        <w:t>kryptoaktywów</w:t>
      </w:r>
      <w:proofErr w:type="spellEnd"/>
    </w:p>
    <w:p w14:paraId="05B1FAC4" w14:textId="77777777" w:rsidR="00232E15" w:rsidRDefault="00232E15" w:rsidP="00232E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Projektowana ustawa została poszerzona o poprawki zgłoszone przez Klub Parlamentarny Prawo i Sprawiedliwość zgłoszone na etapie prac legislacyjnych w Komisji Finansów. </w:t>
      </w:r>
      <w:r>
        <w:rPr>
          <w:rFonts w:ascii="Times New Roman" w:hAnsi="Times New Roman" w:cs="Times New Roman"/>
          <w:sz w:val="24"/>
          <w:szCs w:val="24"/>
        </w:rPr>
        <w:t xml:space="preserve"> Rozporządzenie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reguluje udzielanie „porad” klientom jako działalność regulowaną. Polska wersja ustawy w pierwotnym kształcie rozszerzała to na porady i informacje. Chcąc zachować spójność z rozporządzeniem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poprawka ma oczywiście nadal regulować kwestie udzielania „porad”, ale nie rozszerzać tego na niedookreślony katalog „informacji”.</w:t>
      </w:r>
    </w:p>
    <w:p w14:paraId="17EDD4B9" w14:textId="77777777" w:rsidR="00232E15" w:rsidRPr="00A44508" w:rsidRDefault="00232E15" w:rsidP="00232E15">
      <w:pPr>
        <w:spacing w:after="0"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1A06746F" w14:textId="77777777" w:rsidR="00232E15" w:rsidRPr="0054763C" w:rsidRDefault="00232E15" w:rsidP="00232E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63C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Kompetencje członków zarządu kontrolowane przez organ nadzorujący</w:t>
      </w:r>
    </w:p>
    <w:p w14:paraId="04AD74C9" w14:textId="77777777" w:rsidR="00232E15" w:rsidRDefault="00232E15" w:rsidP="00232E15">
      <w:pPr>
        <w:pStyle w:val="NormalnyWeb"/>
        <w:spacing w:after="240" w:afterAutospacing="0" w:line="360" w:lineRule="auto"/>
        <w:ind w:firstLine="708"/>
        <w:jc w:val="both"/>
      </w:pPr>
      <w:r w:rsidRPr="00A24FCD">
        <w:t xml:space="preserve">Jedną z wprowadzonych w niniejszym projekcie ustawy zmian jest dodanie </w:t>
      </w:r>
      <w:r>
        <w:t xml:space="preserve">ust. 7 w art. 4, który </w:t>
      </w:r>
      <w:r w:rsidRPr="00D2488C">
        <w:t>brzmi:</w:t>
      </w:r>
      <w:r w:rsidRPr="00A24FCD">
        <w:rPr>
          <w:b/>
          <w:bCs/>
        </w:rPr>
        <w:t xml:space="preserve"> </w:t>
      </w:r>
      <w:r w:rsidRPr="00A24FCD">
        <w:t xml:space="preserve">„7. Komisja, przyznając zezwolenie zgodnie z tytułem V rozporządzenia (UE) 2023/1114, sprawdza w szczególności czy osoby kierujące działalnością przedsiębiorcy posiadają odpowiednią wiedzę i doświadczenie związane ze świadczeniem usług w zakresie </w:t>
      </w:r>
      <w:proofErr w:type="spellStart"/>
      <w:r w:rsidRPr="00A24FCD">
        <w:t>kryptoaktywów</w:t>
      </w:r>
      <w:proofErr w:type="spellEnd"/>
      <w:r w:rsidRPr="00A24FCD">
        <w:t>.”</w:t>
      </w:r>
      <w:r w:rsidRPr="00A24FCD">
        <w:rPr>
          <w:b/>
          <w:bCs/>
        </w:rPr>
        <w:t xml:space="preserve"> </w:t>
      </w:r>
      <w:r w:rsidRPr="00A24FCD">
        <w:t xml:space="preserve">Wiedza i doświadczenie osób kierujących działalnością dostawcy usług w zakresie </w:t>
      </w:r>
      <w:proofErr w:type="spellStart"/>
      <w:r w:rsidRPr="00A24FCD">
        <w:t>kryptoaktywów</w:t>
      </w:r>
      <w:proofErr w:type="spellEnd"/>
      <w:r w:rsidRPr="00A24FCD">
        <w:t xml:space="preserve">, czyli w szczególności członków zarządu, powinny być sprawdzane przez organ nadzorujący. Przesłanka ta powinna być jedną z głównych przesłanek związanych z udzieleniem zezwolenia. Należy wskazać, że przepisy rozporządzenia </w:t>
      </w:r>
      <w:proofErr w:type="spellStart"/>
      <w:r w:rsidRPr="00A24FCD">
        <w:t>MiCA</w:t>
      </w:r>
      <w:proofErr w:type="spellEnd"/>
      <w:r w:rsidRPr="00A24FCD">
        <w:t xml:space="preserve"> mówią o posiadaniu odpowiedniej wiedzy, umiejętności i doświadczenia do wykonywania swoich obowiązków, nie precyzując, że powinno chodzić o wiedzę i doświadczenie dotyczące właśnie specyficznego rynku świadczenia usług w zakresie </w:t>
      </w:r>
      <w:proofErr w:type="spellStart"/>
      <w:r w:rsidRPr="00A24FCD">
        <w:t>kryptoaktywów</w:t>
      </w:r>
      <w:proofErr w:type="spellEnd"/>
      <w:r w:rsidRPr="00A24FCD">
        <w:t xml:space="preserve">. Wydaje się istotne, dla zapewnienia bezpieczeństwa tego rynku, żeby Komisja kładła nacisk na weryfikację tego aspektu, tak żeby osoby niezwiązane w ogóle z rynkiem </w:t>
      </w:r>
      <w:proofErr w:type="spellStart"/>
      <w:r w:rsidRPr="00A24FCD">
        <w:t>kryptoaktywów</w:t>
      </w:r>
      <w:proofErr w:type="spellEnd"/>
      <w:r w:rsidRPr="00A24FCD">
        <w:t xml:space="preserve"> nie mogły być osobami kierującymi działalnością przedsiębiorcy świadczącego usługi z zakresu </w:t>
      </w:r>
      <w:proofErr w:type="spellStart"/>
      <w:r w:rsidRPr="00A24FCD">
        <w:t>kryptoaktywów</w:t>
      </w:r>
      <w:proofErr w:type="spellEnd"/>
      <w:r w:rsidRPr="00A24FCD">
        <w:t xml:space="preserve">. </w:t>
      </w:r>
    </w:p>
    <w:p w14:paraId="0D65E7D0" w14:textId="77777777" w:rsidR="00232E15" w:rsidRPr="0054763C" w:rsidRDefault="00232E15" w:rsidP="00232E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Ustanowienie R</w:t>
      </w:r>
      <w:r w:rsidRPr="0054763C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ady ds. </w:t>
      </w:r>
      <w:proofErr w:type="spellStart"/>
      <w:r w:rsidRPr="0054763C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kryptoaktywów</w:t>
      </w:r>
      <w:proofErr w:type="spellEnd"/>
      <w:r w:rsidRPr="0054763C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oraz technologii finansowych</w:t>
      </w:r>
    </w:p>
    <w:p w14:paraId="197AD129" w14:textId="77777777" w:rsidR="00232E15" w:rsidRPr="00D2488C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Projekt ustawy proponuje </w:t>
      </w:r>
      <w:r>
        <w:t>również</w:t>
      </w:r>
      <w:r w:rsidRPr="00A24FCD">
        <w:t xml:space="preserve"> wzmocnienie instytucjonalnej kontroli, przy jednoczesnym zapewnieniu szybkiego rozpoznawania spraw, tak aby strona mogła skorzystać ze skutecznego i efektywnego środka odwoławczego. </w:t>
      </w:r>
      <w:r w:rsidRPr="00D2488C">
        <w:t xml:space="preserve">Dlatego też projekt ustawy proponuje ustanowienie Rady do spraw </w:t>
      </w:r>
      <w:proofErr w:type="spellStart"/>
      <w:r w:rsidRPr="00D2488C">
        <w:t>kryptoaktywów</w:t>
      </w:r>
      <w:proofErr w:type="spellEnd"/>
      <w:r w:rsidRPr="00D2488C">
        <w:t xml:space="preserve"> oraz technologii finansowych. Zgodnie z proponowaną regulacją </w:t>
      </w:r>
      <w:r>
        <w:t>Rada będzie</w:t>
      </w:r>
      <w:r w:rsidRPr="00D2488C">
        <w:t xml:space="preserve"> organem wyższego stopnia w sprawach określonych w </w:t>
      </w:r>
      <w:r w:rsidRPr="00D2488C">
        <w:lastRenderedPageBreak/>
        <w:t xml:space="preserve">ustawie, rozstrzyganych w drodze decyzji przez Komisję, a do jej kompetencji </w:t>
      </w:r>
      <w:r>
        <w:t>będzie należeć</w:t>
      </w:r>
      <w:r w:rsidRPr="00D2488C">
        <w:t xml:space="preserve"> w szczególności:</w:t>
      </w:r>
    </w:p>
    <w:p w14:paraId="17B6C705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 xml:space="preserve">1) rozpatrywanie </w:t>
      </w:r>
      <w:proofErr w:type="spellStart"/>
      <w:r w:rsidRPr="00D2488C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D2488C">
        <w:rPr>
          <w:rFonts w:ascii="Times New Roman" w:hAnsi="Times New Roman" w:cs="Times New Roman"/>
          <w:sz w:val="24"/>
          <w:szCs w:val="24"/>
        </w:rPr>
        <w:t xml:space="preserve"> od decyzji wydanych przez Komisję; </w:t>
      </w:r>
    </w:p>
    <w:p w14:paraId="59FDDC56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>2) rozpatrywanie ponagleń w sprawach prowadzonych przez Komisję;</w:t>
      </w:r>
    </w:p>
    <w:p w14:paraId="7AFAC10E" w14:textId="77777777" w:rsidR="00232E15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 xml:space="preserve">3) przedkładanie Sejmowi corocznej informacji z sytuacji na rynku </w:t>
      </w:r>
      <w:proofErr w:type="spellStart"/>
      <w:r w:rsidRPr="00D2488C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D2488C">
        <w:rPr>
          <w:rFonts w:ascii="Times New Roman" w:hAnsi="Times New Roman" w:cs="Times New Roman"/>
          <w:sz w:val="24"/>
          <w:szCs w:val="24"/>
        </w:rPr>
        <w:t xml:space="preserve"> oraz technologii finansowych oraz oceny działań nadzorczych Komisji. </w:t>
      </w:r>
    </w:p>
    <w:p w14:paraId="00CD32EC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>W skład Rady wchodzi</w:t>
      </w:r>
      <w:r>
        <w:rPr>
          <w:rFonts w:ascii="Times New Roman" w:hAnsi="Times New Roman" w:cs="Times New Roman"/>
          <w:sz w:val="24"/>
          <w:szCs w:val="24"/>
        </w:rPr>
        <w:t>ć będzie</w:t>
      </w:r>
      <w:r w:rsidRPr="00D2488C">
        <w:rPr>
          <w:rFonts w:ascii="Times New Roman" w:hAnsi="Times New Roman" w:cs="Times New Roman"/>
          <w:sz w:val="24"/>
          <w:szCs w:val="24"/>
        </w:rPr>
        <w:t>:</w:t>
      </w:r>
    </w:p>
    <w:p w14:paraId="5B272C5F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>1) Przedstawiciel Przewodniczącego Komisji;</w:t>
      </w:r>
    </w:p>
    <w:p w14:paraId="08DE31E7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>2) Przedstawiciel Prezesa Narodowego Banku Polskiego;</w:t>
      </w:r>
    </w:p>
    <w:p w14:paraId="4F2D0D62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 xml:space="preserve">3) Przedstawiciel Prezydenta RP; </w:t>
      </w:r>
    </w:p>
    <w:p w14:paraId="0E6757B9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 xml:space="preserve">4) Przedstawiciel Prezesa Rady Ministrów; </w:t>
      </w:r>
    </w:p>
    <w:p w14:paraId="2D9D15FF" w14:textId="77777777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 xml:space="preserve">5) trzech przedstawicieli branży </w:t>
      </w:r>
      <w:proofErr w:type="spellStart"/>
      <w:r w:rsidRPr="00D2488C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D2488C">
        <w:rPr>
          <w:rFonts w:ascii="Times New Roman" w:hAnsi="Times New Roman" w:cs="Times New Roman"/>
          <w:sz w:val="24"/>
          <w:szCs w:val="24"/>
        </w:rPr>
        <w:t>, wybranych w wyborach.</w:t>
      </w:r>
    </w:p>
    <w:p w14:paraId="7E619D8B" w14:textId="339EB9D5" w:rsidR="00232E15" w:rsidRPr="00D2488C" w:rsidRDefault="00232E15" w:rsidP="0023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8C">
        <w:rPr>
          <w:rFonts w:ascii="Times New Roman" w:hAnsi="Times New Roman" w:cs="Times New Roman"/>
          <w:sz w:val="24"/>
          <w:szCs w:val="24"/>
        </w:rPr>
        <w:t>Kadencja każdego z członków Rady wynosi</w:t>
      </w:r>
      <w:r>
        <w:rPr>
          <w:rFonts w:ascii="Times New Roman" w:hAnsi="Times New Roman" w:cs="Times New Roman"/>
          <w:sz w:val="24"/>
          <w:szCs w:val="24"/>
        </w:rPr>
        <w:t>ć będzie</w:t>
      </w:r>
      <w:r w:rsidRPr="00D2488C"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>lata. Mandat członka Rady wygasać będzie</w:t>
      </w:r>
      <w:r w:rsidRPr="00D2488C">
        <w:rPr>
          <w:rFonts w:ascii="Times New Roman" w:hAnsi="Times New Roman" w:cs="Times New Roman"/>
          <w:sz w:val="24"/>
          <w:szCs w:val="24"/>
        </w:rPr>
        <w:t xml:space="preserve"> wskutek re</w:t>
      </w:r>
      <w:r>
        <w:rPr>
          <w:rFonts w:ascii="Times New Roman" w:hAnsi="Times New Roman" w:cs="Times New Roman"/>
          <w:sz w:val="24"/>
          <w:szCs w:val="24"/>
        </w:rPr>
        <w:t>zygnacji, odwołania z ważnych po</w:t>
      </w:r>
      <w:r w:rsidRPr="00D2488C">
        <w:rPr>
          <w:rFonts w:ascii="Times New Roman" w:hAnsi="Times New Roman" w:cs="Times New Roman"/>
          <w:sz w:val="24"/>
          <w:szCs w:val="24"/>
        </w:rPr>
        <w:t xml:space="preserve">wodów przez podmiot wskazujący przedstawiciela lub skazania za przestępstwo popełnione z winy umyślnej. Członkiem rady nie może być osoba będąca wspólnikiem, udziałowcem, akcjonariuszem podmiotu, który uzyskał zezwolenie, </w:t>
      </w:r>
      <w:r w:rsidRPr="00D2488C">
        <w:rPr>
          <w:rFonts w:ascii="Times New Roman" w:hAnsi="Times New Roman" w:cs="Times New Roman"/>
          <w:bCs/>
          <w:sz w:val="24"/>
          <w:szCs w:val="24"/>
        </w:rPr>
        <w:t>o którym mowa w: art. 16 ust. 1 lit. a lub art. 59 ust. 1 lit. a rozporządzenia 2023/1114 lub stara się o jego uzyskanie oraz osoba zatrudniona na jakiejkolwiek podstawie przez taki podmiot.</w:t>
      </w:r>
      <w:r w:rsidRPr="00D2488C">
        <w:rPr>
          <w:rFonts w:ascii="Times New Roman" w:hAnsi="Times New Roman" w:cs="Times New Roman"/>
          <w:sz w:val="24"/>
          <w:szCs w:val="24"/>
        </w:rPr>
        <w:t xml:space="preserve"> Rada wybiera spośród swojego grona Przewodniczącego i Zastępcę Przewodniczącego. Wybory przedst</w:t>
      </w:r>
      <w:r>
        <w:rPr>
          <w:rFonts w:ascii="Times New Roman" w:hAnsi="Times New Roman" w:cs="Times New Roman"/>
          <w:sz w:val="24"/>
          <w:szCs w:val="24"/>
        </w:rPr>
        <w:t xml:space="preserve">awicieli branży </w:t>
      </w:r>
      <w:proofErr w:type="spellStart"/>
      <w:r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będą</w:t>
      </w:r>
      <w:r w:rsidRPr="00D2488C">
        <w:rPr>
          <w:rFonts w:ascii="Times New Roman" w:hAnsi="Times New Roman" w:cs="Times New Roman"/>
          <w:sz w:val="24"/>
          <w:szCs w:val="24"/>
        </w:rPr>
        <w:t xml:space="preserve"> tajne, bezpośrednie i powszechne. C</w:t>
      </w:r>
      <w:r>
        <w:rPr>
          <w:rFonts w:ascii="Times New Roman" w:hAnsi="Times New Roman" w:cs="Times New Roman"/>
          <w:sz w:val="24"/>
          <w:szCs w:val="24"/>
        </w:rPr>
        <w:t>zynne prawo wyborcze przysługiwać będzie</w:t>
      </w:r>
      <w:r w:rsidRPr="00D2488C">
        <w:rPr>
          <w:rFonts w:ascii="Times New Roman" w:hAnsi="Times New Roman" w:cs="Times New Roman"/>
          <w:sz w:val="24"/>
          <w:szCs w:val="24"/>
        </w:rPr>
        <w:t xml:space="preserve"> wszystkim podmiotom, które uzyskały w Polsce zezwolenie, </w:t>
      </w:r>
      <w:r w:rsidRPr="00D2488C">
        <w:rPr>
          <w:rFonts w:ascii="Times New Roman" w:hAnsi="Times New Roman" w:cs="Times New Roman"/>
          <w:bCs/>
          <w:sz w:val="24"/>
          <w:szCs w:val="24"/>
        </w:rPr>
        <w:t xml:space="preserve">o którym mowa w: art. 16 ust. 1 lit. a lub art. 59 ust. 1 lit. a rozporządzenia 2023/1114. Szczegółowy regulamin wyborów określa Prezes Rady Ministrów. </w:t>
      </w:r>
      <w:r>
        <w:rPr>
          <w:rFonts w:ascii="Times New Roman" w:hAnsi="Times New Roman" w:cs="Times New Roman"/>
          <w:sz w:val="24"/>
          <w:szCs w:val="24"/>
        </w:rPr>
        <w:t>Decyzje Rady zapadać będą</w:t>
      </w:r>
      <w:r w:rsidRPr="00D2488C">
        <w:rPr>
          <w:rFonts w:ascii="Times New Roman" w:hAnsi="Times New Roman" w:cs="Times New Roman"/>
          <w:sz w:val="24"/>
          <w:szCs w:val="24"/>
        </w:rPr>
        <w:t xml:space="preserve"> zwykłą większością głosów. W razie równej liczby głosów, Przewod</w:t>
      </w:r>
      <w:r>
        <w:rPr>
          <w:rFonts w:ascii="Times New Roman" w:hAnsi="Times New Roman" w:cs="Times New Roman"/>
          <w:sz w:val="24"/>
          <w:szCs w:val="24"/>
        </w:rPr>
        <w:t>niczącemu Rady przysługiwać będzie</w:t>
      </w:r>
      <w:r w:rsidRPr="00D2488C">
        <w:rPr>
          <w:rFonts w:ascii="Times New Roman" w:hAnsi="Times New Roman" w:cs="Times New Roman"/>
          <w:sz w:val="24"/>
          <w:szCs w:val="24"/>
        </w:rPr>
        <w:t xml:space="preserve"> głos rozstrzygający. Obsługę admin</w:t>
      </w:r>
      <w:r>
        <w:rPr>
          <w:rFonts w:ascii="Times New Roman" w:hAnsi="Times New Roman" w:cs="Times New Roman"/>
          <w:sz w:val="24"/>
          <w:szCs w:val="24"/>
        </w:rPr>
        <w:t>istracyjno-biurową Rady zapewni</w:t>
      </w:r>
      <w:r w:rsidRPr="00D2488C">
        <w:rPr>
          <w:rFonts w:ascii="Times New Roman" w:hAnsi="Times New Roman" w:cs="Times New Roman"/>
          <w:sz w:val="24"/>
          <w:szCs w:val="24"/>
        </w:rPr>
        <w:t xml:space="preserve"> Kancelaria Prezesa Rady Ministrów. Koszty działania Rady, w t</w:t>
      </w:r>
      <w:r>
        <w:rPr>
          <w:rFonts w:ascii="Times New Roman" w:hAnsi="Times New Roman" w:cs="Times New Roman"/>
          <w:sz w:val="24"/>
          <w:szCs w:val="24"/>
        </w:rPr>
        <w:t>ym wynagrodzenia jej członków, będą</w:t>
      </w:r>
      <w:r w:rsidRPr="00D2488C">
        <w:rPr>
          <w:rFonts w:ascii="Times New Roman" w:hAnsi="Times New Roman" w:cs="Times New Roman"/>
          <w:sz w:val="24"/>
          <w:szCs w:val="24"/>
        </w:rPr>
        <w:t xml:space="preserve"> pokrywane z części budżetu państwa, będącej w dyspozycji </w:t>
      </w:r>
      <w:r w:rsidR="000A55B6">
        <w:rPr>
          <w:rFonts w:ascii="Times New Roman" w:hAnsi="Times New Roman" w:cs="Times New Roman"/>
          <w:sz w:val="24"/>
          <w:szCs w:val="24"/>
        </w:rPr>
        <w:t xml:space="preserve">Szefa </w:t>
      </w:r>
      <w:r w:rsidRPr="00D2488C">
        <w:rPr>
          <w:rFonts w:ascii="Times New Roman" w:hAnsi="Times New Roman" w:cs="Times New Roman"/>
          <w:sz w:val="24"/>
          <w:szCs w:val="24"/>
        </w:rPr>
        <w:t>Kancelarii Prezesa Rady Ministrów.</w:t>
      </w:r>
    </w:p>
    <w:p w14:paraId="01E5C966" w14:textId="77777777" w:rsidR="00232E15" w:rsidRPr="00A24FCD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Wykonując swoje ustawowe zadania KNF dysponuje szerokim katalogiem działań nadzorczych, w tym takich o charakterze sankcyjnym. Kontrola sądowe decyzji w wielu wypadkach nie zapewnia stronie postępowania adekwatnej ochrony prawnej, a to wobec tego, że nawet po ewentualnym stwierdzeniu wadliwości decyzji w toku kontroli sądowej zniesienie </w:t>
      </w:r>
      <w:r w:rsidRPr="00A24FCD">
        <w:lastRenderedPageBreak/>
        <w:t xml:space="preserve">jej negatywnych skutków może nie być możliwe (np. w razie wpisania do Rejestru skutkującego zablokowaniem strony internetowej dostawcy). Za nieskuteczną należy również uznać kontrolę poziomą sprawowaną przez samą Komisję.  </w:t>
      </w:r>
    </w:p>
    <w:p w14:paraId="676BF0BF" w14:textId="77777777" w:rsidR="00232E15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Jednocześnie </w:t>
      </w:r>
      <w:r>
        <w:t xml:space="preserve">proponowana zmiana </w:t>
      </w:r>
      <w:r w:rsidRPr="00A24FCD">
        <w:t xml:space="preserve">ma na celu ograniczenie przewlekłości postępowań toczących się przed Komisją. Jest to o tyle istotne, że w braku zapewnienia sprawnego działania nadzorcy istnieje duże ryzyko, że przedsiębiorcy zdecydują się na to, żeby zarejestrować swoją działalność w innych Państwach Członkowskich. Proponowane rozwiązanie zakłada, że w skład Rady wejdą zarówno przedstawiciele kluczowych organów państwowych, jak i przedstawiciele branży. Jest to przejaw otwartości administracji, który w założeniu ma doprowadzić to tego, że Rada będzie mogła być forum dialogu, na którym będą mogły wybrzmieć różne perspektywy na rynek. Wydaje się to być w ogóle pożądany kierunek, w szczególności zaś w wypadku branży tak dynamicznej jak branża </w:t>
      </w:r>
      <w:proofErr w:type="spellStart"/>
      <w:r w:rsidRPr="00A24FCD">
        <w:t>kryptoaktywów</w:t>
      </w:r>
      <w:proofErr w:type="spellEnd"/>
      <w:r w:rsidRPr="00A24FCD">
        <w:t xml:space="preserve"> – gdzie siłą rzeczy perspektywa administracyjnego regulatora może nie nadążać za tempem zmian. Dzięki temu podmioty, które zdecydują się na zarejestrowanie w Polsce uzyskają wpływ na kształt nadzoru nad rynkiem.</w:t>
      </w:r>
    </w:p>
    <w:p w14:paraId="32FFAD0D" w14:textId="77777777" w:rsidR="00232E15" w:rsidRPr="00192605" w:rsidRDefault="00232E15" w:rsidP="00232E15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92605">
        <w:rPr>
          <w:rStyle w:val="x193iq5w"/>
          <w:rFonts w:eastAsiaTheme="majorEastAsia"/>
          <w:b/>
          <w:bCs/>
        </w:rPr>
        <w:t>Ograniczenie możliwości korzystania z blokady strony internetowej przez Komisję</w:t>
      </w:r>
    </w:p>
    <w:p w14:paraId="159E9827" w14:textId="77777777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Zgodnie z proponowanymi wcześniej przez rząd zapisami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sankcja</w:t>
      </w:r>
      <w:r w:rsidRPr="00A24FCD">
        <w:rPr>
          <w:rFonts w:ascii="Times New Roman" w:hAnsi="Times New Roman" w:cs="Times New Roman"/>
          <w:sz w:val="24"/>
          <w:szCs w:val="24"/>
        </w:rPr>
        <w:t xml:space="preserve"> jaką jest b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lokada możliwości korzystania ze strony internetowej</w:t>
      </w:r>
      <w:r w:rsidRPr="00A24FCD">
        <w:rPr>
          <w:rFonts w:ascii="Times New Roman" w:hAnsi="Times New Roman" w:cs="Times New Roman"/>
          <w:sz w:val="24"/>
          <w:szCs w:val="24"/>
        </w:rPr>
        <w:t xml:space="preserve"> jako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</w:t>
      </w:r>
      <w:r w:rsidRPr="00A24FCD">
        <w:rPr>
          <w:rFonts w:ascii="Times New Roman" w:hAnsi="Times New Roman" w:cs="Times New Roman"/>
          <w:sz w:val="24"/>
          <w:szCs w:val="24"/>
        </w:rPr>
        <w:t xml:space="preserve">ek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o charakterze represyjnym</w:t>
      </w:r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mogła zostać zastosowana przez Komisję wobec każdego podmiotu, który dopuści się jakiegokolwiek naruszenia rozporządzenia 2023/1114, jeśli tylko Komisja sfomułuje opinię, że rodzi to ryzyko wyrządzenia poważnych szkód klientom lub posiadaczom aktywów oraz że brak jest innego, skutecznego środka prowadzącego do zaprzestania naruszenia rozporządzenia 2023/1114.</w:t>
      </w:r>
      <w:r w:rsidRPr="00A2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Przedsiębiorcy nie będą wybierali polskiej jurysdykcji w sytuacji, gdy ich widoczność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zostać wyeliminowana jedną decyzją urzędnika, która to decyzja jest natychmiast wykonalna.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takim stanie prawnym Komisja mogła potencjalnie wyeliminować przedsiębiorcę z branży </w:t>
      </w:r>
      <w:proofErr w:type="spellStart"/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kryptoaktywów</w:t>
      </w:r>
      <w:proofErr w:type="spellEnd"/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biznesu w oparciu o potencjalnie drobne uchybienie, na którym nikt nie ucierpiał. Rozwiązanie to było całkowicie nieproporcjonalne. </w:t>
      </w:r>
      <w:r w:rsidRPr="00A24FCD">
        <w:rPr>
          <w:rFonts w:ascii="Times New Roman" w:hAnsi="Times New Roman" w:cs="Times New Roman"/>
          <w:sz w:val="24"/>
          <w:szCs w:val="24"/>
        </w:rPr>
        <w:t xml:space="preserve">Zgodnie z niniejszym projektem ustawy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przez Komisję </w:t>
      </w:r>
      <w:r w:rsidRPr="00A24FCD">
        <w:rPr>
          <w:rFonts w:ascii="Times New Roman" w:hAnsi="Times New Roman" w:cs="Times New Roman"/>
          <w:sz w:val="24"/>
          <w:szCs w:val="24"/>
        </w:rPr>
        <w:t>b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lokad</w:t>
      </w:r>
      <w:r w:rsidRPr="00A24FCD">
        <w:rPr>
          <w:rFonts w:ascii="Times New Roman" w:hAnsi="Times New Roman" w:cs="Times New Roman"/>
          <w:sz w:val="24"/>
          <w:szCs w:val="24"/>
        </w:rPr>
        <w:t>y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korzystania ze strony internetowej powinno być każdorazowo proporcjonalne.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w niniejszym projekcie ustawy zapisy mają na celu zróżnicowanie sytuacji, w których tak daleko idące działanie może być uzasadnione (tj. wtedy, gdy chodzi o zapobieżenie popełnieniu </w:t>
      </w: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przestępstwa) od tych w których w oczywisty sposób bardziej proporcjonalne i wystarczające byłyby mniej drastyczne środki takie jak ostrzeżenie klientów lub posiadaczy aktywów. Należy zaznaczyć, że możliwość opublikowania wyraźnego ostrzeżenia, jako jednego ze środków nadzorczych została wprost przewidziana w art. 94 rozporządzenia 2023/1114.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3FCE23" w14:textId="77777777" w:rsidR="00232E15" w:rsidRPr="00C47872" w:rsidRDefault="00232E15" w:rsidP="00232E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7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Wprowadzenie limitu rocznej opłaty </w:t>
      </w:r>
      <w:r w:rsidRPr="00C47872">
        <w:rPr>
          <w:rFonts w:ascii="Times New Roman" w:hAnsi="Times New Roman" w:cs="Times New Roman"/>
          <w:b/>
          <w:bCs/>
          <w:sz w:val="24"/>
          <w:szCs w:val="24"/>
        </w:rPr>
        <w:t xml:space="preserve">na pokrycie kosztów nadzoru nad rynkiem </w:t>
      </w:r>
      <w:proofErr w:type="spellStart"/>
      <w:r w:rsidRPr="00C47872">
        <w:rPr>
          <w:rFonts w:ascii="Times New Roman" w:hAnsi="Times New Roman" w:cs="Times New Roman"/>
          <w:b/>
          <w:bCs/>
          <w:sz w:val="24"/>
          <w:szCs w:val="24"/>
        </w:rPr>
        <w:t>kryptoaktywów</w:t>
      </w:r>
      <w:proofErr w:type="spellEnd"/>
    </w:p>
    <w:p w14:paraId="2AD3D082" w14:textId="77777777" w:rsidR="00232E15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Projekt ustawy wprowadza także doprecyzowanie przepisu definiującego sposób obliczania przychodów ogółem dostawcy usług w zakresie </w:t>
      </w:r>
      <w:proofErr w:type="spellStart"/>
      <w:r w:rsidRPr="00A24FCD">
        <w:t>kryptoaktywów</w:t>
      </w:r>
      <w:proofErr w:type="spellEnd"/>
      <w:r w:rsidRPr="00A24FCD">
        <w:t xml:space="preserve">, który wpływa na wysokość rocznej opłaty na pokrycie kosztów nadzoru nad rynkiem </w:t>
      </w:r>
      <w:proofErr w:type="spellStart"/>
      <w:r w:rsidRPr="00A24FCD">
        <w:t>kryptoaktywów</w:t>
      </w:r>
      <w:proofErr w:type="spellEnd"/>
      <w:r w:rsidRPr="00A24FCD">
        <w:t xml:space="preserve">. Wprowadza górny limit kwoty tej opłaty, w wysokości 10 000 euro. Wprowadzenie górnego limitu ma zapobiegać sytuacjom, w którym opłata liczona wyłącznie od przychodu mogłaby być niewspółmiernie wysoka, co stawiałoby polskie przedsiębiorstwa w bardzo niekonkurencyjnej sytuacji na europejskim rynku </w:t>
      </w:r>
      <w:proofErr w:type="spellStart"/>
      <w:r w:rsidRPr="00A24FCD">
        <w:t>kryptoaktywów</w:t>
      </w:r>
      <w:proofErr w:type="spellEnd"/>
      <w:r w:rsidRPr="00A24FCD">
        <w:t xml:space="preserve">.  Należy podkreślić, że opłata za nadzór uiszczania przez podmioty z tradycyjnego rynku finansowego wynosi zazwyczaj kilka tysięcy złotych rocznie. Próg 10 000 euro wydaje się zatem odpowiedni. </w:t>
      </w:r>
      <w:r>
        <w:t>Przedsiębiorcy poszukują jurysdykcji stabilnych w których nie zostaną zaskoczeni opłatami, a tego typu maksymalny próg opłaty będzie prowadził do istnienia pewności prawa.</w:t>
      </w:r>
    </w:p>
    <w:p w14:paraId="1AF2E31F" w14:textId="77777777" w:rsidR="00232E15" w:rsidRPr="00192605" w:rsidRDefault="00232E15" w:rsidP="00232E15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92605">
        <w:rPr>
          <w:b/>
          <w:bCs/>
        </w:rPr>
        <w:t>Status strony</w:t>
      </w:r>
      <w:r>
        <w:rPr>
          <w:b/>
          <w:bCs/>
        </w:rPr>
        <w:t xml:space="preserve"> emitenta</w:t>
      </w:r>
      <w:r w:rsidRPr="00192605">
        <w:rPr>
          <w:b/>
          <w:bCs/>
        </w:rPr>
        <w:t xml:space="preserve"> w postępowaniu administracyjnym</w:t>
      </w:r>
    </w:p>
    <w:p w14:paraId="72FFE098" w14:textId="77777777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FCD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Proponowana ustawa wprowadza także zapis, który ma na celu zagwarantowanie tego, że w toku postępowania administracyjnego, emitent będzie miał możliwość ochrony przysługujących mu praw, co jest zgodne z zasadą szerokiego rozumienia pojęcia strony na gruncie postępowania administracyjnego.</w:t>
      </w:r>
    </w:p>
    <w:p w14:paraId="17F342BF" w14:textId="77777777" w:rsidR="00232E15" w:rsidRPr="00BC083D" w:rsidRDefault="00232E15" w:rsidP="00232E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083D">
        <w:rPr>
          <w:rFonts w:ascii="Times New Roman" w:hAnsi="Times New Roman" w:cs="Times New Roman"/>
          <w:b/>
          <w:bCs/>
          <w:sz w:val="24"/>
          <w:szCs w:val="24"/>
        </w:rPr>
        <w:t xml:space="preserve">Nowa definicja podmiotów prowadzących działalność w zakresie obrotu walutami wirtualnymi uwzględniająca emitentów </w:t>
      </w:r>
      <w:proofErr w:type="spellStart"/>
      <w:r w:rsidRPr="00BC083D">
        <w:rPr>
          <w:rFonts w:ascii="Times New Roman" w:hAnsi="Times New Roman" w:cs="Times New Roman"/>
          <w:b/>
          <w:bCs/>
          <w:sz w:val="24"/>
          <w:szCs w:val="24"/>
        </w:rPr>
        <w:t>kryptoaktywów</w:t>
      </w:r>
      <w:proofErr w:type="spellEnd"/>
    </w:p>
    <w:p w14:paraId="6A544FC8" w14:textId="77777777" w:rsidR="00232E15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Projekt ustawy wprowadza definicję podmiotów prowadzących działalność w zakresie obrotu walutami wirtualnymi w taki sposób, aby obejmował on również emitentów </w:t>
      </w:r>
      <w:proofErr w:type="spellStart"/>
      <w:r w:rsidRPr="00A24FCD">
        <w:t>kryptoaktywów</w:t>
      </w:r>
      <w:proofErr w:type="spellEnd"/>
      <w:r w:rsidRPr="00A24FCD">
        <w:t xml:space="preserve"> w zakresie, w jakim emisja dotyczy walut wirtualnych. Dzięki takiemu rozwiązaniu emisja walut wirtualnych nie będzie dla emitenta </w:t>
      </w:r>
      <w:proofErr w:type="spellStart"/>
      <w:r w:rsidRPr="00A24FCD">
        <w:t>kryptowaluty</w:t>
      </w:r>
      <w:proofErr w:type="spellEnd"/>
      <w:r w:rsidRPr="00A24FCD">
        <w:t xml:space="preserve"> opodatkowana od całości wartości emisji. Będzie to rozwiązanie analogiczne do sytuacji, w której podatnik dokonuje emisji np. akcji. Za pozyskany kapitał emitent oczywiście zapłaci podatek, ale do </w:t>
      </w:r>
      <w:r w:rsidRPr="00A24FCD">
        <w:lastRenderedPageBreak/>
        <w:t xml:space="preserve">obliczenia wysokości podatku będzie mógł uwzględnić koszty związane z emisją.  Jest to rozwiązanie wspierające innowacyjność przedsiębiorstw oraz ich działalność inwestycyjną. </w:t>
      </w:r>
      <w:r>
        <w:t xml:space="preserve">Bez tego przepisu emitent </w:t>
      </w:r>
      <w:proofErr w:type="spellStart"/>
      <w:r>
        <w:t>kryptoaktywów</w:t>
      </w:r>
      <w:proofErr w:type="spellEnd"/>
      <w:r>
        <w:t xml:space="preserve">, gdy pozyska kapitał (zamieni swoje </w:t>
      </w:r>
      <w:proofErr w:type="spellStart"/>
      <w:r>
        <w:t>tokeny</w:t>
      </w:r>
      <w:proofErr w:type="spellEnd"/>
      <w:r>
        <w:t xml:space="preserve"> na </w:t>
      </w:r>
      <w:proofErr w:type="spellStart"/>
      <w:r>
        <w:t>tokeny</w:t>
      </w:r>
      <w:proofErr w:type="spellEnd"/>
      <w:r>
        <w:t xml:space="preserve"> inwestorów i następnie spienięży je) zapłaci od niego 19% podatku dochodowego oraz nie będzie mógł rozliczyć jakichkolwiek kosztów prowadzonej działalności w tym zakresie. Te koszty bowiem będą na podstawowej działalności, a nie na zyskach kapitałowych, gdzie wygenerowany zostałby podatek dochodowy. Dlatego właśnie dodanie emitentów do tego katalogu wskazanego w przepisie jest tak istotne, aby zapewnić równowagę między pozyskaniem kapitału tradycyjną emisją akcji do emisji </w:t>
      </w:r>
      <w:proofErr w:type="spellStart"/>
      <w:r>
        <w:t>kryptoaktywów</w:t>
      </w:r>
      <w:proofErr w:type="spellEnd"/>
      <w:r>
        <w:t>.</w:t>
      </w:r>
    </w:p>
    <w:p w14:paraId="3F85A6EA" w14:textId="77777777" w:rsidR="00232E15" w:rsidRPr="00192605" w:rsidRDefault="00232E15" w:rsidP="00232E15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Rozwiązanie z</w:t>
      </w:r>
      <w:r w:rsidRPr="00BC083D">
        <w:rPr>
          <w:b/>
          <w:bCs/>
        </w:rPr>
        <w:t xml:space="preserve">achęcające podatników do inwestycji w innowacyjnej formule, czyli poprzez pierwotną emisję </w:t>
      </w:r>
      <w:proofErr w:type="spellStart"/>
      <w:r w:rsidRPr="00BC083D">
        <w:rPr>
          <w:b/>
          <w:bCs/>
        </w:rPr>
        <w:t>kryptoaktywów</w:t>
      </w:r>
      <w:proofErr w:type="spellEnd"/>
      <w:r>
        <w:rPr>
          <w:b/>
          <w:bCs/>
        </w:rPr>
        <w:t xml:space="preserve"> - ś</w:t>
      </w:r>
      <w:r w:rsidRPr="00192605">
        <w:rPr>
          <w:b/>
          <w:bCs/>
        </w:rPr>
        <w:t xml:space="preserve">rodki pieniężne lub </w:t>
      </w:r>
      <w:proofErr w:type="spellStart"/>
      <w:r w:rsidRPr="00192605">
        <w:rPr>
          <w:b/>
          <w:bCs/>
        </w:rPr>
        <w:t>kryptoaktywa</w:t>
      </w:r>
      <w:proofErr w:type="spellEnd"/>
      <w:r w:rsidRPr="00192605">
        <w:rPr>
          <w:b/>
          <w:bCs/>
        </w:rPr>
        <w:t xml:space="preserve"> uzyskane w zamian za pierwotną emisję </w:t>
      </w:r>
      <w:proofErr w:type="spellStart"/>
      <w:r w:rsidRPr="00192605">
        <w:rPr>
          <w:b/>
          <w:bCs/>
        </w:rPr>
        <w:t>kryptoaktywów</w:t>
      </w:r>
      <w:proofErr w:type="spellEnd"/>
      <w:r w:rsidRPr="00192605">
        <w:rPr>
          <w:b/>
          <w:bCs/>
        </w:rPr>
        <w:t xml:space="preserve"> nie będą stanowiły przychodu</w:t>
      </w:r>
    </w:p>
    <w:p w14:paraId="05613122" w14:textId="77777777" w:rsidR="00232E15" w:rsidRDefault="00232E15" w:rsidP="00232E15">
      <w:pPr>
        <w:pStyle w:val="NormalnyWeb"/>
        <w:spacing w:line="360" w:lineRule="auto"/>
        <w:ind w:firstLine="708"/>
        <w:jc w:val="both"/>
      </w:pPr>
      <w:r w:rsidRPr="00A24FCD">
        <w:t xml:space="preserve">Projekt ustawy wprowadza także rozwiązanie zachęcające podatników do inwestycji w innowacyjnej formule, czyli poprzez pierwotną emisję </w:t>
      </w:r>
      <w:proofErr w:type="spellStart"/>
      <w:r w:rsidRPr="00A24FCD">
        <w:t>kryptoaktywów</w:t>
      </w:r>
      <w:proofErr w:type="spellEnd"/>
      <w:r w:rsidRPr="00A24FCD">
        <w:t xml:space="preserve">. </w:t>
      </w:r>
      <w:r>
        <w:t>Sposób</w:t>
      </w:r>
      <w:r w:rsidRPr="00A24FCD">
        <w:t xml:space="preserve"> polega na tym, że środki pieniężne lub </w:t>
      </w:r>
      <w:proofErr w:type="spellStart"/>
      <w:r w:rsidRPr="00A24FCD">
        <w:t>kryptoaktywa</w:t>
      </w:r>
      <w:proofErr w:type="spellEnd"/>
      <w:r w:rsidRPr="00A24FCD">
        <w:t xml:space="preserve"> uzyskane w zamian za pierwotną emisję </w:t>
      </w:r>
      <w:proofErr w:type="spellStart"/>
      <w:r w:rsidRPr="00A24FCD">
        <w:t>kryptoaktywów</w:t>
      </w:r>
      <w:proofErr w:type="spellEnd"/>
      <w:r w:rsidRPr="00A24FCD">
        <w:t xml:space="preserve"> nie będą stanowiły przychodu. Rozwiązanie to będzie ograniczone warunkami, zgodnie z którymi ma faktycznie chodzi o cel inwestycyjny, czyli środki uzyskane z emisji będą musiały być spożytkowane na podwyższenie kapitałów własnych lub na sfinansowanie działalności operacyjnej i nie będą mogły być wypłacone wspólnikom lub akcjonariuszom przez min. 3 lata od ich pozyskania. Ponadto, proponuje się wyłączenie dostawców usług z zakresu </w:t>
      </w:r>
      <w:proofErr w:type="spellStart"/>
      <w:r w:rsidRPr="00A24FCD">
        <w:t>kryptoaktywów</w:t>
      </w:r>
      <w:proofErr w:type="spellEnd"/>
      <w:r w:rsidRPr="00A24FCD">
        <w:t xml:space="preserve"> z podlegania tzw. minimalnemu podatkowi CIT, poprzez zawarcie w definicji przedsiębiorstwa finansowego dostawcę usług z zakresu </w:t>
      </w:r>
      <w:proofErr w:type="spellStart"/>
      <w:r w:rsidRPr="00A24FCD">
        <w:t>kryptoaktywów</w:t>
      </w:r>
      <w:proofErr w:type="spellEnd"/>
      <w:r w:rsidRPr="00A24FCD">
        <w:t xml:space="preserve">. Takie wyłączenie jest uzasadnione równym traktowaniem dostawców z zakresu </w:t>
      </w:r>
      <w:proofErr w:type="spellStart"/>
      <w:r w:rsidRPr="00A24FCD">
        <w:t>kryptoaktywów</w:t>
      </w:r>
      <w:proofErr w:type="spellEnd"/>
      <w:r w:rsidRPr="00A24FCD">
        <w:t xml:space="preserve"> z innymi instytucjami finansowymi, takimi jak banki, instytucje kredytowe, firmy inwestycyjne. </w:t>
      </w:r>
    </w:p>
    <w:p w14:paraId="7CA69BD2" w14:textId="77777777" w:rsidR="00232E15" w:rsidRPr="008C4812" w:rsidRDefault="00232E15" w:rsidP="00232E15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8C4812">
        <w:rPr>
          <w:b/>
          <w:bCs/>
        </w:rPr>
        <w:t>Szczególne zasady rachunkowości - jednoznaczny stan prawny</w:t>
      </w:r>
    </w:p>
    <w:p w14:paraId="1EB4C984" w14:textId="77777777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 xml:space="preserve">Projektowana ustawa wprowadza jednoznaczny stan prawny czego efektem będzie także to, że podmiot prowadzący zarówno usługi z zakresu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jak i inne usługi objęte nadzorem nad rynkiem kapitałowym będzie musiał stosować szczególne zasady rachunkowości wynikające z rozporządzenia, w stosunku do świadczonych przez siebie usług z zakresu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, dla celów obliczenia wysokości opłaty. Jednocześnie będzie </w:t>
      </w:r>
      <w:r w:rsidRPr="00A24FCD">
        <w:rPr>
          <w:rFonts w:ascii="Times New Roman" w:hAnsi="Times New Roman" w:cs="Times New Roman"/>
          <w:sz w:val="24"/>
          <w:szCs w:val="24"/>
        </w:rPr>
        <w:lastRenderedPageBreak/>
        <w:t xml:space="preserve">stosował odpowiednie standardowe zasady rachunkowości, a więc zasady ogólne albo inne zasady szczególne, jeśli będą go dotyczyły. </w:t>
      </w:r>
      <w:r>
        <w:rPr>
          <w:rFonts w:ascii="Times New Roman" w:hAnsi="Times New Roman" w:cs="Times New Roman"/>
          <w:sz w:val="24"/>
          <w:szCs w:val="24"/>
        </w:rPr>
        <w:t xml:space="preserve">Bez tego przepisu podmiot prowadzący hybrydową działalność (jako instytucja płatnicza oraz dostawca usług z zakresu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nie miałyby pewności, które zasady stosować. </w:t>
      </w:r>
    </w:p>
    <w:p w14:paraId="18A39AF5" w14:textId="77777777" w:rsidR="00232E15" w:rsidRPr="008B363C" w:rsidRDefault="00232E15" w:rsidP="00232E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63C">
        <w:rPr>
          <w:rFonts w:ascii="Times New Roman" w:hAnsi="Times New Roman" w:cs="Times New Roman"/>
          <w:b/>
          <w:sz w:val="24"/>
          <w:szCs w:val="24"/>
        </w:rPr>
        <w:t xml:space="preserve">Wprowadzenie przepisów wskazujących, że w ramach działalności maklerskiej firmy inwestycyjne mogą świadczyć usługi w zakresie </w:t>
      </w:r>
      <w:proofErr w:type="spellStart"/>
      <w:r w:rsidRPr="008B363C">
        <w:rPr>
          <w:rFonts w:ascii="Times New Roman" w:hAnsi="Times New Roman" w:cs="Times New Roman"/>
          <w:b/>
          <w:sz w:val="24"/>
          <w:szCs w:val="24"/>
        </w:rPr>
        <w:t>kryptoaktywów</w:t>
      </w:r>
      <w:proofErr w:type="spellEnd"/>
    </w:p>
    <w:p w14:paraId="577C5FDA" w14:textId="77777777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CD">
        <w:rPr>
          <w:rFonts w:ascii="Times New Roman" w:hAnsi="Times New Roman" w:cs="Times New Roman"/>
          <w:sz w:val="24"/>
          <w:szCs w:val="24"/>
        </w:rPr>
        <w:t>Na mocy wprowadzenia proponowanych w projekcie ustawy zmian przepisy krajowe będą zawierały przepisy wyraźnie wskazując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24FCD">
        <w:rPr>
          <w:rFonts w:ascii="Times New Roman" w:hAnsi="Times New Roman" w:cs="Times New Roman"/>
          <w:sz w:val="24"/>
          <w:szCs w:val="24"/>
        </w:rPr>
        <w:t xml:space="preserve">, że w ramach działalności maklerskiej firmy inwestycyjne mogą świadczyć usługi w zakresie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. Tego typu wskazanie jest w zakresie możliwości świadczenia usług przez KDPW. Wydaje się zasadnym, żeby analogiczny przepis dotyczył firm inwestycyjnych, skoro rozporządzenie </w:t>
      </w:r>
      <w:proofErr w:type="spellStart"/>
      <w:r w:rsidRPr="00A24FCD">
        <w:rPr>
          <w:rFonts w:ascii="Times New Roman" w:hAnsi="Times New Roman" w:cs="Times New Roman"/>
          <w:sz w:val="24"/>
          <w:szCs w:val="24"/>
        </w:rPr>
        <w:t>MiCA</w:t>
      </w:r>
      <w:proofErr w:type="spellEnd"/>
      <w:r w:rsidRPr="00A24FCD">
        <w:rPr>
          <w:rFonts w:ascii="Times New Roman" w:hAnsi="Times New Roman" w:cs="Times New Roman"/>
          <w:sz w:val="24"/>
          <w:szCs w:val="24"/>
        </w:rPr>
        <w:t xml:space="preserve"> to umożliwia. </w:t>
      </w:r>
    </w:p>
    <w:p w14:paraId="59760689" w14:textId="77777777" w:rsidR="00232E15" w:rsidRDefault="00232E15" w:rsidP="00232E1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63">
        <w:rPr>
          <w:rFonts w:ascii="Times New Roman" w:hAnsi="Times New Roman" w:cs="Times New Roman"/>
          <w:b/>
          <w:sz w:val="24"/>
          <w:szCs w:val="24"/>
        </w:rPr>
        <w:t xml:space="preserve">Obniżenie z 0,5 % do 0,1 % stawki uwzględnianej przy obliczaniu </w:t>
      </w:r>
      <w:r>
        <w:rPr>
          <w:rFonts w:ascii="Times New Roman" w:hAnsi="Times New Roman" w:cs="Times New Roman"/>
          <w:b/>
          <w:sz w:val="24"/>
          <w:szCs w:val="24"/>
        </w:rPr>
        <w:t>wpłaty, którą</w:t>
      </w:r>
      <w:r w:rsidRPr="00601763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01763">
        <w:rPr>
          <w:rFonts w:ascii="Times New Roman" w:hAnsi="Times New Roman" w:cs="Times New Roman"/>
          <w:b/>
          <w:sz w:val="24"/>
          <w:szCs w:val="24"/>
        </w:rPr>
        <w:t xml:space="preserve">mitent </w:t>
      </w:r>
      <w:proofErr w:type="spellStart"/>
      <w:r w:rsidRPr="00601763">
        <w:rPr>
          <w:rFonts w:ascii="Times New Roman" w:hAnsi="Times New Roman" w:cs="Times New Roman"/>
          <w:b/>
          <w:sz w:val="24"/>
          <w:szCs w:val="24"/>
        </w:rPr>
        <w:t>tokenów</w:t>
      </w:r>
      <w:proofErr w:type="spellEnd"/>
      <w:r w:rsidRPr="00601763">
        <w:rPr>
          <w:rFonts w:ascii="Times New Roman" w:hAnsi="Times New Roman" w:cs="Times New Roman"/>
          <w:b/>
          <w:sz w:val="24"/>
          <w:szCs w:val="24"/>
        </w:rPr>
        <w:t xml:space="preserve"> powiązanych z aktywami lub </w:t>
      </w:r>
      <w:proofErr w:type="spellStart"/>
      <w:r w:rsidRPr="00601763">
        <w:rPr>
          <w:rFonts w:ascii="Times New Roman" w:hAnsi="Times New Roman" w:cs="Times New Roman"/>
          <w:b/>
          <w:sz w:val="24"/>
          <w:szCs w:val="24"/>
        </w:rPr>
        <w:t>tokenów</w:t>
      </w:r>
      <w:proofErr w:type="spellEnd"/>
      <w:r w:rsidRPr="00601763">
        <w:rPr>
          <w:rFonts w:ascii="Times New Roman" w:hAnsi="Times New Roman" w:cs="Times New Roman"/>
          <w:b/>
          <w:sz w:val="24"/>
          <w:szCs w:val="24"/>
        </w:rPr>
        <w:t xml:space="preserve"> będących e-pieniądzem</w:t>
      </w:r>
      <w:r>
        <w:rPr>
          <w:rFonts w:ascii="Times New Roman" w:hAnsi="Times New Roman" w:cs="Times New Roman"/>
          <w:b/>
          <w:sz w:val="24"/>
          <w:szCs w:val="24"/>
        </w:rPr>
        <w:t xml:space="preserve"> wpłaca na pokrycie </w:t>
      </w:r>
      <w:r w:rsidRPr="00601763">
        <w:rPr>
          <w:rFonts w:ascii="Times New Roman" w:hAnsi="Times New Roman" w:cs="Times New Roman"/>
          <w:b/>
          <w:sz w:val="24"/>
          <w:szCs w:val="24"/>
        </w:rPr>
        <w:t xml:space="preserve">kosztów nadzoru nad rynkiem </w:t>
      </w:r>
      <w:proofErr w:type="spellStart"/>
      <w:r w:rsidRPr="00601763">
        <w:rPr>
          <w:rFonts w:ascii="Times New Roman" w:hAnsi="Times New Roman" w:cs="Times New Roman"/>
          <w:b/>
          <w:sz w:val="24"/>
          <w:szCs w:val="24"/>
        </w:rPr>
        <w:t>kryptoaktywów</w:t>
      </w:r>
      <w:proofErr w:type="spellEnd"/>
    </w:p>
    <w:p w14:paraId="1FE59588" w14:textId="252A876A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obniża z 0,5% do 0,1%</w:t>
      </w:r>
      <w:r w:rsidR="00E5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stawki </w:t>
      </w:r>
      <w:r w:rsidRPr="00601763">
        <w:rPr>
          <w:rFonts w:ascii="Times New Roman" w:hAnsi="Times New Roman" w:cs="Times New Roman"/>
          <w:sz w:val="24"/>
          <w:szCs w:val="24"/>
        </w:rPr>
        <w:t xml:space="preserve">uwzględnianej przy obliczaniu wpłaty, którą emitent </w:t>
      </w:r>
      <w:proofErr w:type="spellStart"/>
      <w:r w:rsidRPr="00601763">
        <w:rPr>
          <w:rFonts w:ascii="Times New Roman" w:hAnsi="Times New Roman" w:cs="Times New Roman"/>
          <w:sz w:val="24"/>
          <w:szCs w:val="24"/>
        </w:rPr>
        <w:t>tokenów</w:t>
      </w:r>
      <w:proofErr w:type="spellEnd"/>
      <w:r w:rsidRPr="00601763">
        <w:rPr>
          <w:rFonts w:ascii="Times New Roman" w:hAnsi="Times New Roman" w:cs="Times New Roman"/>
          <w:sz w:val="24"/>
          <w:szCs w:val="24"/>
        </w:rPr>
        <w:t xml:space="preserve"> powiązanych z aktywami lub </w:t>
      </w:r>
      <w:proofErr w:type="spellStart"/>
      <w:r w:rsidRPr="00601763">
        <w:rPr>
          <w:rFonts w:ascii="Times New Roman" w:hAnsi="Times New Roman" w:cs="Times New Roman"/>
          <w:sz w:val="24"/>
          <w:szCs w:val="24"/>
        </w:rPr>
        <w:t>tokenów</w:t>
      </w:r>
      <w:proofErr w:type="spellEnd"/>
      <w:r w:rsidRPr="00601763">
        <w:rPr>
          <w:rFonts w:ascii="Times New Roman" w:hAnsi="Times New Roman" w:cs="Times New Roman"/>
          <w:sz w:val="24"/>
          <w:szCs w:val="24"/>
        </w:rPr>
        <w:t xml:space="preserve"> będących e-pieniądzem wpłaca na pokrycie kosztów nadzoru nad rynkiem </w:t>
      </w:r>
      <w:proofErr w:type="spellStart"/>
      <w:r w:rsidRPr="00601763">
        <w:rPr>
          <w:rFonts w:ascii="Times New Roman" w:hAnsi="Times New Roman" w:cs="Times New Roman"/>
          <w:sz w:val="24"/>
          <w:szCs w:val="24"/>
        </w:rPr>
        <w:t>kryptoaktywów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A63B20" w14:textId="77777777" w:rsidR="00232E15" w:rsidRDefault="00232E15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8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0C222B94" w14:textId="346103C2" w:rsidR="0059776A" w:rsidRPr="00D2488C" w:rsidRDefault="0059776A" w:rsidP="00232E1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w życie ustawy będzie wiązało się z koniecznością wydania kilku rozporządzeń na podstawie przepisów niniejszej ustawy; ich treść będzie tożsama z projektami rozporządzeń dołączonych do rządowego projektu ustawy </w:t>
      </w:r>
      <w:r w:rsidRPr="00597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rynku </w:t>
      </w:r>
      <w:proofErr w:type="spellStart"/>
      <w:r w:rsidRPr="0059776A">
        <w:rPr>
          <w:rFonts w:ascii="Times New Roman" w:eastAsia="Times New Roman" w:hAnsi="Times New Roman" w:cs="Times New Roman"/>
          <w:sz w:val="24"/>
          <w:szCs w:val="24"/>
          <w:lang w:eastAsia="pl-PL"/>
        </w:rPr>
        <w:t>kryptoaktywów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(druk 2064).</w:t>
      </w:r>
    </w:p>
    <w:p w14:paraId="153727B9" w14:textId="77777777" w:rsidR="00232E15" w:rsidRPr="00D2488C" w:rsidRDefault="00232E15" w:rsidP="00232E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88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pozytywnie wpłynie na działalność mikro-, małych i średnich przedsiębiorców.</w:t>
      </w:r>
    </w:p>
    <w:p w14:paraId="30CEE2A5" w14:textId="2337907E" w:rsidR="00B209EC" w:rsidRDefault="00232E15" w:rsidP="0059776A">
      <w:pPr>
        <w:spacing w:line="360" w:lineRule="auto"/>
        <w:ind w:firstLine="708"/>
        <w:jc w:val="both"/>
      </w:pPr>
      <w:r w:rsidRPr="00D2488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jest zgodny z prawem Unii Europejskiej.</w:t>
      </w:r>
    </w:p>
    <w:sectPr w:rsidR="00B2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03BE" w14:textId="77777777" w:rsidR="0059776A" w:rsidRDefault="0059776A" w:rsidP="0059776A">
      <w:pPr>
        <w:spacing w:after="0" w:line="240" w:lineRule="auto"/>
      </w:pPr>
      <w:r>
        <w:separator/>
      </w:r>
    </w:p>
  </w:endnote>
  <w:endnote w:type="continuationSeparator" w:id="0">
    <w:p w14:paraId="77500073" w14:textId="77777777" w:rsidR="0059776A" w:rsidRDefault="0059776A" w:rsidP="0059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EF5D" w14:textId="77777777" w:rsidR="0059776A" w:rsidRDefault="0059776A" w:rsidP="0059776A">
      <w:pPr>
        <w:spacing w:after="0" w:line="240" w:lineRule="auto"/>
      </w:pPr>
      <w:r>
        <w:separator/>
      </w:r>
    </w:p>
  </w:footnote>
  <w:footnote w:type="continuationSeparator" w:id="0">
    <w:p w14:paraId="028CC11C" w14:textId="77777777" w:rsidR="0059776A" w:rsidRDefault="0059776A" w:rsidP="0059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59C"/>
    <w:multiLevelType w:val="hybridMultilevel"/>
    <w:tmpl w:val="B3044EA0"/>
    <w:lvl w:ilvl="0" w:tplc="2D8E0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68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15"/>
    <w:rsid w:val="00033FF4"/>
    <w:rsid w:val="000A55B6"/>
    <w:rsid w:val="002223AE"/>
    <w:rsid w:val="00232E15"/>
    <w:rsid w:val="0024374D"/>
    <w:rsid w:val="00250A5B"/>
    <w:rsid w:val="002C601A"/>
    <w:rsid w:val="003D0536"/>
    <w:rsid w:val="0059776A"/>
    <w:rsid w:val="006025BA"/>
    <w:rsid w:val="008B7481"/>
    <w:rsid w:val="0098608B"/>
    <w:rsid w:val="00AA3DA8"/>
    <w:rsid w:val="00B209EC"/>
    <w:rsid w:val="00BF15AA"/>
    <w:rsid w:val="00D11A15"/>
    <w:rsid w:val="00E53442"/>
    <w:rsid w:val="00F80109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DAA"/>
  <w15:chartTrackingRefBased/>
  <w15:docId w15:val="{ED382CF0-00CB-D349-84B3-E42EE09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E15"/>
    <w:pPr>
      <w:spacing w:after="160"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E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E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E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E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E1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3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193iq5w">
    <w:name w:val="x193iq5w"/>
    <w:basedOn w:val="Domylnaczcionkaakapitu"/>
    <w:rsid w:val="00232E1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7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7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2765</Words>
  <Characters>16595</Characters>
  <DocSecurity>0</DocSecurity>
  <Lines>138</Lines>
  <Paragraphs>38</Paragraphs>
  <ScaleCrop>false</ScaleCrop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2026-04-16T06:33:00Z</dcterms:created>
  <dcterms:modified xsi:type="dcterms:W3CDTF">2026-04-16T12:02:00Z</dcterms:modified>
</cp:coreProperties>
</file>