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C4C68" w14:textId="7CADD25E" w:rsidR="00C21D4B" w:rsidRPr="00695ECE" w:rsidRDefault="00C21D4B" w:rsidP="00695ECE">
      <w:pPr>
        <w:spacing w:after="240" w:line="360" w:lineRule="auto"/>
        <w:jc w:val="center"/>
        <w:rPr>
          <w:rFonts w:ascii="Times New Roman" w:hAnsi="Times New Roman" w:cs="Times New Roman"/>
          <w:sz w:val="24"/>
          <w:szCs w:val="24"/>
        </w:rPr>
      </w:pPr>
      <w:bookmarkStart w:id="0" w:name="_GoBack"/>
      <w:bookmarkEnd w:id="0"/>
      <w:r w:rsidRPr="00695ECE">
        <w:rPr>
          <w:rFonts w:ascii="Times New Roman" w:hAnsi="Times New Roman" w:cs="Times New Roman"/>
          <w:sz w:val="24"/>
          <w:szCs w:val="24"/>
        </w:rPr>
        <w:t>UZASADNIENIE</w:t>
      </w:r>
      <w:r w:rsidR="0093287D">
        <w:rPr>
          <w:rFonts w:ascii="Times New Roman" w:hAnsi="Times New Roman" w:cs="Times New Roman"/>
          <w:sz w:val="24"/>
          <w:szCs w:val="24"/>
        </w:rPr>
        <w:t xml:space="preserve"> </w:t>
      </w:r>
    </w:p>
    <w:p w14:paraId="30C933DB" w14:textId="5C6D426E" w:rsidR="003B0889" w:rsidRDefault="003B0889" w:rsidP="003B08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 Wstęp</w:t>
      </w:r>
    </w:p>
    <w:p w14:paraId="618970BA" w14:textId="4ECD7557" w:rsidR="003B0889" w:rsidRPr="00D72510" w:rsidRDefault="003B0889" w:rsidP="003B0889">
      <w:pPr>
        <w:spacing w:line="360" w:lineRule="auto"/>
        <w:jc w:val="both"/>
        <w:rPr>
          <w:rFonts w:ascii="Times New Roman" w:hAnsi="Times New Roman" w:cs="Times New Roman"/>
          <w:sz w:val="24"/>
          <w:szCs w:val="24"/>
        </w:rPr>
      </w:pPr>
      <w:r w:rsidRPr="00FA7379">
        <w:rPr>
          <w:rFonts w:ascii="Times New Roman" w:hAnsi="Times New Roman" w:cs="Times New Roman"/>
          <w:sz w:val="24"/>
          <w:szCs w:val="24"/>
        </w:rPr>
        <w:t>Niniejsz</w:t>
      </w:r>
      <w:r w:rsidR="00816964" w:rsidRPr="00EE4D77">
        <w:rPr>
          <w:rFonts w:ascii="Times New Roman" w:hAnsi="Times New Roman" w:cs="Times New Roman"/>
          <w:sz w:val="24"/>
          <w:szCs w:val="24"/>
        </w:rPr>
        <w:t xml:space="preserve">a </w:t>
      </w:r>
      <w:r w:rsidRPr="00EE4D77">
        <w:rPr>
          <w:rFonts w:ascii="Times New Roman" w:hAnsi="Times New Roman" w:cs="Times New Roman"/>
          <w:sz w:val="24"/>
          <w:szCs w:val="24"/>
        </w:rPr>
        <w:t>inicjatyw</w:t>
      </w:r>
      <w:r w:rsidR="00816964" w:rsidRPr="00EE4D77">
        <w:rPr>
          <w:rFonts w:ascii="Times New Roman" w:hAnsi="Times New Roman" w:cs="Times New Roman"/>
          <w:sz w:val="24"/>
          <w:szCs w:val="24"/>
        </w:rPr>
        <w:t>a</w:t>
      </w:r>
      <w:r w:rsidRPr="00EE4D77">
        <w:rPr>
          <w:rFonts w:ascii="Times New Roman" w:hAnsi="Times New Roman" w:cs="Times New Roman"/>
          <w:sz w:val="24"/>
          <w:szCs w:val="24"/>
        </w:rPr>
        <w:t xml:space="preserve"> ustawodawcz</w:t>
      </w:r>
      <w:r w:rsidR="00816964" w:rsidRPr="00EE4D77">
        <w:rPr>
          <w:rFonts w:ascii="Times New Roman" w:hAnsi="Times New Roman" w:cs="Times New Roman"/>
          <w:sz w:val="24"/>
          <w:szCs w:val="24"/>
        </w:rPr>
        <w:t>a</w:t>
      </w:r>
      <w:r w:rsidRPr="00EE4D77">
        <w:rPr>
          <w:rFonts w:ascii="Times New Roman" w:hAnsi="Times New Roman" w:cs="Times New Roman"/>
          <w:sz w:val="24"/>
          <w:szCs w:val="24"/>
        </w:rPr>
        <w:t xml:space="preserve"> Prezydenta Rzeczypospolitej Polskiej</w:t>
      </w:r>
      <w:r w:rsidR="00816964" w:rsidRPr="00EE4D77">
        <w:rPr>
          <w:rFonts w:ascii="Times New Roman" w:hAnsi="Times New Roman" w:cs="Times New Roman"/>
          <w:sz w:val="24"/>
          <w:szCs w:val="24"/>
        </w:rPr>
        <w:t xml:space="preserve"> jest </w:t>
      </w:r>
      <w:r w:rsidRPr="00EE4D77">
        <w:rPr>
          <w:rFonts w:ascii="Times New Roman" w:hAnsi="Times New Roman" w:cs="Times New Roman"/>
          <w:sz w:val="24"/>
          <w:szCs w:val="24"/>
        </w:rPr>
        <w:t>następstwem nieuwzględnienia przez Sejm</w:t>
      </w:r>
      <w:r w:rsidR="0086436B" w:rsidRPr="00EE4D77">
        <w:rPr>
          <w:rFonts w:ascii="Times New Roman" w:hAnsi="Times New Roman" w:cs="Times New Roman"/>
          <w:sz w:val="24"/>
          <w:szCs w:val="24"/>
        </w:rPr>
        <w:t xml:space="preserve"> Rzeczypospolitej Polskiej</w:t>
      </w:r>
      <w:r w:rsidRPr="00EE4D77">
        <w:rPr>
          <w:rFonts w:ascii="Times New Roman" w:hAnsi="Times New Roman" w:cs="Times New Roman"/>
          <w:sz w:val="24"/>
          <w:szCs w:val="24"/>
        </w:rPr>
        <w:t xml:space="preserve"> i Senat </w:t>
      </w:r>
      <w:r w:rsidR="0086436B" w:rsidRPr="00EE4D77">
        <w:rPr>
          <w:rFonts w:ascii="Times New Roman" w:hAnsi="Times New Roman" w:cs="Times New Roman"/>
          <w:sz w:val="24"/>
          <w:szCs w:val="24"/>
        </w:rPr>
        <w:t xml:space="preserve">Rzeczypospolitej Polskiej </w:t>
      </w:r>
      <w:r w:rsidRPr="00EE4D77">
        <w:rPr>
          <w:rFonts w:ascii="Times New Roman" w:hAnsi="Times New Roman" w:cs="Times New Roman"/>
          <w:sz w:val="24"/>
          <w:szCs w:val="24"/>
        </w:rPr>
        <w:t xml:space="preserve">w pracach nad </w:t>
      </w:r>
      <w:r w:rsidR="0086436B" w:rsidRPr="00EE4D77">
        <w:rPr>
          <w:rFonts w:ascii="Times New Roman" w:hAnsi="Times New Roman" w:cs="Times New Roman"/>
          <w:sz w:val="24"/>
          <w:szCs w:val="24"/>
        </w:rPr>
        <w:t xml:space="preserve">kolejną </w:t>
      </w:r>
      <w:r w:rsidRPr="00EE4D77">
        <w:rPr>
          <w:rFonts w:ascii="Times New Roman" w:hAnsi="Times New Roman" w:cs="Times New Roman"/>
          <w:sz w:val="24"/>
          <w:szCs w:val="24"/>
        </w:rPr>
        <w:t xml:space="preserve">ustawą o rynku </w:t>
      </w:r>
      <w:proofErr w:type="spellStart"/>
      <w:r w:rsidRPr="00EE4D77">
        <w:rPr>
          <w:rFonts w:ascii="Times New Roman" w:hAnsi="Times New Roman" w:cs="Times New Roman"/>
          <w:sz w:val="24"/>
          <w:szCs w:val="24"/>
        </w:rPr>
        <w:t>krypto</w:t>
      </w:r>
      <w:r w:rsidR="0086436B" w:rsidRPr="00EE4D77">
        <w:rPr>
          <w:rFonts w:ascii="Times New Roman" w:hAnsi="Times New Roman" w:cs="Times New Roman"/>
          <w:sz w:val="24"/>
          <w:szCs w:val="24"/>
        </w:rPr>
        <w:t>aktywów</w:t>
      </w:r>
      <w:proofErr w:type="spellEnd"/>
      <w:r w:rsidRPr="00EE4D77">
        <w:rPr>
          <w:rFonts w:ascii="Times New Roman" w:hAnsi="Times New Roman" w:cs="Times New Roman"/>
          <w:sz w:val="24"/>
          <w:szCs w:val="24"/>
        </w:rPr>
        <w:t xml:space="preserve"> (druk sejmowy nr 2064) zastrzeżeń </w:t>
      </w:r>
      <w:r w:rsidR="00D62756" w:rsidRPr="00EE4D77">
        <w:rPr>
          <w:rFonts w:ascii="Times New Roman" w:hAnsi="Times New Roman" w:cs="Times New Roman"/>
          <w:sz w:val="24"/>
          <w:szCs w:val="24"/>
        </w:rPr>
        <w:t xml:space="preserve">sformułowanych </w:t>
      </w:r>
      <w:r w:rsidR="0086436B" w:rsidRPr="00EE4D77">
        <w:rPr>
          <w:rFonts w:ascii="Times New Roman" w:hAnsi="Times New Roman" w:cs="Times New Roman"/>
          <w:sz w:val="24"/>
          <w:szCs w:val="24"/>
        </w:rPr>
        <w:t xml:space="preserve">przez Prezydenta RP </w:t>
      </w:r>
      <w:r w:rsidRPr="00EE4D77">
        <w:rPr>
          <w:rFonts w:ascii="Times New Roman" w:hAnsi="Times New Roman" w:cs="Times New Roman"/>
          <w:sz w:val="24"/>
          <w:szCs w:val="24"/>
        </w:rPr>
        <w:t xml:space="preserve">we wniosku z dnia 1 grudnia 2025 r. o </w:t>
      </w:r>
      <w:r w:rsidR="00AF24AE" w:rsidRPr="00EE4D77">
        <w:rPr>
          <w:rFonts w:ascii="Times New Roman" w:hAnsi="Times New Roman" w:cs="Times New Roman"/>
          <w:sz w:val="24"/>
          <w:szCs w:val="24"/>
        </w:rPr>
        <w:t xml:space="preserve">ponowne rozpatrzenie przez Sejm </w:t>
      </w:r>
      <w:r w:rsidRPr="00EE4D77">
        <w:rPr>
          <w:rFonts w:ascii="Times New Roman" w:hAnsi="Times New Roman" w:cs="Times New Roman"/>
          <w:sz w:val="24"/>
          <w:szCs w:val="24"/>
        </w:rPr>
        <w:t xml:space="preserve">ustawy z dnia 7 listopada 2025 r. o rynku </w:t>
      </w:r>
      <w:proofErr w:type="spellStart"/>
      <w:r w:rsidRPr="00EE4D77">
        <w:rPr>
          <w:rFonts w:ascii="Times New Roman" w:hAnsi="Times New Roman" w:cs="Times New Roman"/>
          <w:sz w:val="24"/>
          <w:szCs w:val="24"/>
        </w:rPr>
        <w:t>kryp</w:t>
      </w:r>
      <w:r w:rsidR="0086436B" w:rsidRPr="00EE4D77">
        <w:rPr>
          <w:rFonts w:ascii="Times New Roman" w:hAnsi="Times New Roman" w:cs="Times New Roman"/>
          <w:sz w:val="24"/>
          <w:szCs w:val="24"/>
        </w:rPr>
        <w:t>toaktywów</w:t>
      </w:r>
      <w:proofErr w:type="spellEnd"/>
      <w:r w:rsidR="0086436B" w:rsidRPr="00EE4D77">
        <w:rPr>
          <w:rFonts w:ascii="Times New Roman" w:hAnsi="Times New Roman" w:cs="Times New Roman"/>
          <w:sz w:val="24"/>
          <w:szCs w:val="24"/>
        </w:rPr>
        <w:t>.</w:t>
      </w:r>
      <w:r w:rsidR="00CC5E25" w:rsidRPr="00EE4D77">
        <w:rPr>
          <w:rFonts w:ascii="Times New Roman" w:hAnsi="Times New Roman" w:cs="Times New Roman"/>
          <w:sz w:val="24"/>
          <w:szCs w:val="24"/>
        </w:rPr>
        <w:t xml:space="preserve"> </w:t>
      </w:r>
      <w:r w:rsidR="0086436B" w:rsidRPr="00EE4D77">
        <w:rPr>
          <w:rFonts w:ascii="Times New Roman" w:hAnsi="Times New Roman" w:cs="Times New Roman"/>
          <w:sz w:val="24"/>
          <w:szCs w:val="24"/>
        </w:rPr>
        <w:t>Sejm w dniu 5 grudnia 2025 r., w wyniku rozpatrzenia wniosku Prezydenta RP, nie uchwalił ponownie ustawy w trybie art. 122 ust. 5 Konstytucji</w:t>
      </w:r>
      <w:r w:rsidR="009A49B5" w:rsidRPr="00EE4D77">
        <w:rPr>
          <w:rFonts w:ascii="Times New Roman" w:hAnsi="Times New Roman" w:cs="Times New Roman"/>
          <w:sz w:val="24"/>
          <w:szCs w:val="24"/>
        </w:rPr>
        <w:t>, to jest nie o</w:t>
      </w:r>
      <w:r w:rsidR="00260F0A" w:rsidRPr="00EE4D77">
        <w:rPr>
          <w:rFonts w:ascii="Times New Roman" w:hAnsi="Times New Roman" w:cs="Times New Roman"/>
          <w:sz w:val="24"/>
          <w:szCs w:val="24"/>
        </w:rPr>
        <w:t>drzucił</w:t>
      </w:r>
      <w:r w:rsidR="00A70E2A" w:rsidRPr="00EE4D77">
        <w:rPr>
          <w:rFonts w:ascii="Times New Roman" w:hAnsi="Times New Roman" w:cs="Times New Roman"/>
          <w:sz w:val="24"/>
          <w:szCs w:val="24"/>
        </w:rPr>
        <w:t xml:space="preserve"> </w:t>
      </w:r>
      <w:r w:rsidR="00260F0A" w:rsidRPr="00EE4D77">
        <w:rPr>
          <w:rFonts w:ascii="Times New Roman" w:hAnsi="Times New Roman" w:cs="Times New Roman"/>
          <w:sz w:val="24"/>
          <w:szCs w:val="24"/>
        </w:rPr>
        <w:t>weta</w:t>
      </w:r>
      <w:r w:rsidR="0086436B" w:rsidRPr="00EE4D77">
        <w:rPr>
          <w:rFonts w:ascii="Times New Roman" w:hAnsi="Times New Roman" w:cs="Times New Roman"/>
          <w:sz w:val="24"/>
          <w:szCs w:val="24"/>
        </w:rPr>
        <w:t xml:space="preserve">. W dniu 10 grudnia 2025 r. Rada Ministrów wniosła do Sejmu projekt ustawy o rynku </w:t>
      </w:r>
      <w:proofErr w:type="spellStart"/>
      <w:r w:rsidR="0086436B" w:rsidRPr="00EE4D77">
        <w:rPr>
          <w:rFonts w:ascii="Times New Roman" w:hAnsi="Times New Roman" w:cs="Times New Roman"/>
          <w:sz w:val="24"/>
          <w:szCs w:val="24"/>
        </w:rPr>
        <w:t>kryptoaktywów</w:t>
      </w:r>
      <w:proofErr w:type="spellEnd"/>
      <w:r w:rsidR="000C5BCE" w:rsidRPr="00EE4D77">
        <w:rPr>
          <w:rFonts w:ascii="Times New Roman" w:hAnsi="Times New Roman" w:cs="Times New Roman"/>
          <w:sz w:val="24"/>
          <w:szCs w:val="24"/>
        </w:rPr>
        <w:t xml:space="preserve"> (</w:t>
      </w:r>
      <w:r w:rsidR="0086436B" w:rsidRPr="00EE4D77">
        <w:rPr>
          <w:rFonts w:ascii="Times New Roman" w:hAnsi="Times New Roman" w:cs="Times New Roman"/>
          <w:sz w:val="24"/>
          <w:szCs w:val="24"/>
        </w:rPr>
        <w:t>druk sejmowy nr 2064</w:t>
      </w:r>
      <w:r w:rsidR="000C5BCE" w:rsidRPr="00EE4D77">
        <w:rPr>
          <w:rFonts w:ascii="Times New Roman" w:hAnsi="Times New Roman" w:cs="Times New Roman"/>
          <w:sz w:val="24"/>
          <w:szCs w:val="24"/>
        </w:rPr>
        <w:t>)</w:t>
      </w:r>
      <w:r w:rsidR="009420EE" w:rsidRPr="00EE4D77">
        <w:rPr>
          <w:rFonts w:ascii="Times New Roman" w:hAnsi="Times New Roman" w:cs="Times New Roman"/>
          <w:sz w:val="24"/>
          <w:szCs w:val="24"/>
        </w:rPr>
        <w:t xml:space="preserve"> zawierający </w:t>
      </w:r>
      <w:r w:rsidR="0086436B" w:rsidRPr="00EE4D77">
        <w:rPr>
          <w:rFonts w:ascii="Times New Roman" w:hAnsi="Times New Roman" w:cs="Times New Roman"/>
          <w:sz w:val="24"/>
          <w:szCs w:val="24"/>
        </w:rPr>
        <w:t xml:space="preserve">tożsame rozwiązania, które z przyczyn konstytucyjnych lub systemowych Prezydent </w:t>
      </w:r>
      <w:r w:rsidR="009420EE" w:rsidRPr="00EE4D77">
        <w:rPr>
          <w:rFonts w:ascii="Times New Roman" w:hAnsi="Times New Roman" w:cs="Times New Roman"/>
          <w:sz w:val="24"/>
          <w:szCs w:val="24"/>
        </w:rPr>
        <w:t xml:space="preserve">RP </w:t>
      </w:r>
      <w:r w:rsidR="0086436B" w:rsidRPr="00EE4D77">
        <w:rPr>
          <w:rFonts w:ascii="Times New Roman" w:hAnsi="Times New Roman" w:cs="Times New Roman"/>
          <w:sz w:val="24"/>
          <w:szCs w:val="24"/>
        </w:rPr>
        <w:t>zakwestionował w powyżej powołanym wniosku</w:t>
      </w:r>
      <w:r w:rsidR="009420EE" w:rsidRPr="00EE4D77">
        <w:rPr>
          <w:rFonts w:ascii="Times New Roman" w:hAnsi="Times New Roman" w:cs="Times New Roman"/>
          <w:sz w:val="24"/>
          <w:szCs w:val="24"/>
        </w:rPr>
        <w:t xml:space="preserve"> o ponowne rozpatrzenie ustawy</w:t>
      </w:r>
      <w:r w:rsidR="0086436B" w:rsidRPr="00EE4D77">
        <w:rPr>
          <w:rFonts w:ascii="Times New Roman" w:hAnsi="Times New Roman" w:cs="Times New Roman"/>
          <w:sz w:val="24"/>
          <w:szCs w:val="24"/>
        </w:rPr>
        <w:t xml:space="preserve">, to jest </w:t>
      </w:r>
      <w:r w:rsidR="001C5EC7" w:rsidRPr="00EE4D77">
        <w:rPr>
          <w:rFonts w:ascii="Times New Roman" w:hAnsi="Times New Roman" w:cs="Times New Roman"/>
          <w:sz w:val="24"/>
          <w:szCs w:val="24"/>
        </w:rPr>
        <w:t xml:space="preserve">w zakresie </w:t>
      </w:r>
      <w:r w:rsidR="00AC3477">
        <w:rPr>
          <w:rFonts w:ascii="Times New Roman" w:hAnsi="Times New Roman" w:cs="Times New Roman"/>
          <w:sz w:val="24"/>
          <w:szCs w:val="24"/>
        </w:rPr>
        <w:t xml:space="preserve">nadmiernych </w:t>
      </w:r>
      <w:r w:rsidR="001C5EC7" w:rsidRPr="00EE4D77">
        <w:rPr>
          <w:rFonts w:ascii="Times New Roman" w:hAnsi="Times New Roman" w:cs="Times New Roman"/>
          <w:sz w:val="24"/>
          <w:szCs w:val="24"/>
        </w:rPr>
        <w:t>kosztów nadzoru</w:t>
      </w:r>
      <w:r w:rsidR="003F5205" w:rsidRPr="00EE4D77">
        <w:rPr>
          <w:rFonts w:ascii="Times New Roman" w:hAnsi="Times New Roman" w:cs="Times New Roman"/>
          <w:sz w:val="24"/>
          <w:szCs w:val="24"/>
        </w:rPr>
        <w:t xml:space="preserve"> jako istotnej bariery regulacyjnej dla przedsiębiorców</w:t>
      </w:r>
      <w:r w:rsidR="001C5EC7" w:rsidRPr="00EE4D77">
        <w:rPr>
          <w:rFonts w:ascii="Times New Roman" w:hAnsi="Times New Roman" w:cs="Times New Roman"/>
          <w:sz w:val="24"/>
          <w:szCs w:val="24"/>
        </w:rPr>
        <w:t xml:space="preserve">, </w:t>
      </w:r>
      <w:r w:rsidR="003F5205" w:rsidRPr="00EE4D77">
        <w:rPr>
          <w:rFonts w:ascii="Times New Roman" w:hAnsi="Times New Roman" w:cs="Times New Roman"/>
          <w:sz w:val="24"/>
          <w:szCs w:val="24"/>
        </w:rPr>
        <w:t xml:space="preserve">mechanizmu </w:t>
      </w:r>
      <w:r w:rsidR="001C5EC7" w:rsidRPr="00EE4D77">
        <w:rPr>
          <w:rFonts w:ascii="Times New Roman" w:hAnsi="Times New Roman" w:cs="Times New Roman"/>
          <w:sz w:val="24"/>
          <w:szCs w:val="24"/>
        </w:rPr>
        <w:t xml:space="preserve">blokady </w:t>
      </w:r>
      <w:r w:rsidR="003F5205" w:rsidRPr="00EE4D77">
        <w:rPr>
          <w:rFonts w:ascii="Times New Roman" w:hAnsi="Times New Roman" w:cs="Times New Roman"/>
          <w:sz w:val="24"/>
          <w:szCs w:val="24"/>
        </w:rPr>
        <w:t xml:space="preserve">domen </w:t>
      </w:r>
      <w:r w:rsidR="00BB44CA">
        <w:rPr>
          <w:rFonts w:ascii="Times New Roman" w:hAnsi="Times New Roman" w:cs="Times New Roman"/>
          <w:sz w:val="24"/>
          <w:szCs w:val="24"/>
        </w:rPr>
        <w:t xml:space="preserve">internetowych </w:t>
      </w:r>
      <w:r w:rsidR="003F5205" w:rsidRPr="00EE4D77">
        <w:rPr>
          <w:rFonts w:ascii="Times New Roman" w:hAnsi="Times New Roman" w:cs="Times New Roman"/>
          <w:sz w:val="24"/>
          <w:szCs w:val="24"/>
        </w:rPr>
        <w:t>oraz</w:t>
      </w:r>
      <w:r w:rsidR="001C5EC7" w:rsidRPr="00EE4D77">
        <w:rPr>
          <w:rFonts w:ascii="Times New Roman" w:hAnsi="Times New Roman" w:cs="Times New Roman"/>
          <w:sz w:val="24"/>
          <w:szCs w:val="24"/>
        </w:rPr>
        <w:t xml:space="preserve"> blokad rachunków</w:t>
      </w:r>
      <w:r w:rsidR="00103524" w:rsidRPr="00EE4D77">
        <w:rPr>
          <w:rFonts w:ascii="Times New Roman" w:hAnsi="Times New Roman" w:cs="Times New Roman"/>
          <w:sz w:val="24"/>
          <w:szCs w:val="24"/>
        </w:rPr>
        <w:t xml:space="preserve"> w trybie administracyjnym</w:t>
      </w:r>
      <w:r w:rsidR="001C5EC7" w:rsidRPr="00EE4D77">
        <w:rPr>
          <w:rFonts w:ascii="Times New Roman" w:hAnsi="Times New Roman" w:cs="Times New Roman"/>
          <w:sz w:val="24"/>
          <w:szCs w:val="24"/>
        </w:rPr>
        <w:t xml:space="preserve">. </w:t>
      </w:r>
      <w:r w:rsidR="00103524" w:rsidRPr="00EE4D77">
        <w:rPr>
          <w:rFonts w:ascii="Times New Roman" w:hAnsi="Times New Roman" w:cs="Times New Roman"/>
          <w:sz w:val="24"/>
          <w:szCs w:val="24"/>
        </w:rPr>
        <w:t>Konstrukcja rozwi</w:t>
      </w:r>
      <w:r w:rsidR="006766A7" w:rsidRPr="00EE4D77">
        <w:rPr>
          <w:rFonts w:ascii="Times New Roman" w:hAnsi="Times New Roman" w:cs="Times New Roman"/>
          <w:sz w:val="24"/>
          <w:szCs w:val="24"/>
        </w:rPr>
        <w:t>ązań, do których Prezydent RP miał fundamentalne zastrzeżenia i uniemożliwiając</w:t>
      </w:r>
      <w:r w:rsidR="00897232">
        <w:rPr>
          <w:rFonts w:ascii="Times New Roman" w:hAnsi="Times New Roman" w:cs="Times New Roman"/>
          <w:sz w:val="24"/>
          <w:szCs w:val="24"/>
        </w:rPr>
        <w:t>a</w:t>
      </w:r>
      <w:r w:rsidR="006766A7" w:rsidRPr="00EE4D77">
        <w:rPr>
          <w:rFonts w:ascii="Times New Roman" w:hAnsi="Times New Roman" w:cs="Times New Roman"/>
          <w:sz w:val="24"/>
          <w:szCs w:val="24"/>
        </w:rPr>
        <w:t xml:space="preserve"> </w:t>
      </w:r>
      <w:r w:rsidR="00A11534" w:rsidRPr="00EE4D77">
        <w:rPr>
          <w:rFonts w:ascii="Times New Roman" w:hAnsi="Times New Roman" w:cs="Times New Roman"/>
          <w:sz w:val="24"/>
          <w:szCs w:val="24"/>
        </w:rPr>
        <w:t>zgodę na ich wejście do porządku prawnego,</w:t>
      </w:r>
      <w:r w:rsidR="001C5EC7" w:rsidRPr="00EE4D77">
        <w:rPr>
          <w:rFonts w:ascii="Times New Roman" w:hAnsi="Times New Roman" w:cs="Times New Roman"/>
          <w:sz w:val="24"/>
          <w:szCs w:val="24"/>
        </w:rPr>
        <w:t xml:space="preserve"> nie uległ</w:t>
      </w:r>
      <w:r w:rsidR="00A11534" w:rsidRPr="00EE4D77">
        <w:rPr>
          <w:rFonts w:ascii="Times New Roman" w:hAnsi="Times New Roman" w:cs="Times New Roman"/>
          <w:sz w:val="24"/>
          <w:szCs w:val="24"/>
        </w:rPr>
        <w:t>a</w:t>
      </w:r>
      <w:r w:rsidR="001C5EC7" w:rsidRPr="00EE4D77">
        <w:rPr>
          <w:rFonts w:ascii="Times New Roman" w:hAnsi="Times New Roman" w:cs="Times New Roman"/>
          <w:sz w:val="24"/>
          <w:szCs w:val="24"/>
        </w:rPr>
        <w:t xml:space="preserve"> zmianie w trakcie prac legislacyjnych </w:t>
      </w:r>
      <w:r w:rsidR="00904A2B" w:rsidRPr="00904A2B">
        <w:rPr>
          <w:rFonts w:ascii="Times New Roman" w:hAnsi="Times New Roman" w:cs="Times New Roman"/>
          <w:sz w:val="24"/>
          <w:szCs w:val="24"/>
        </w:rPr>
        <w:t xml:space="preserve">w parlamencie nad projektem ustawy zawartym w druku sejmowym nr 2064, z wyjątkiem zmiany w art. 79 ust. 1 dotyczącym obniżenia wysokości kosztów nadzoru dla </w:t>
      </w:r>
      <w:r w:rsidR="00904A2B" w:rsidRPr="00904A2B">
        <w:rPr>
          <w:rFonts w:ascii="Times New Roman" w:hAnsi="Times New Roman" w:cs="Times New Roman"/>
          <w:bCs/>
          <w:sz w:val="24"/>
          <w:szCs w:val="24"/>
        </w:rPr>
        <w:t xml:space="preserve">emitentów </w:t>
      </w:r>
      <w:proofErr w:type="spellStart"/>
      <w:r w:rsidR="00904A2B" w:rsidRPr="00904A2B">
        <w:rPr>
          <w:rFonts w:ascii="Times New Roman" w:hAnsi="Times New Roman" w:cs="Times New Roman"/>
          <w:bCs/>
          <w:sz w:val="24"/>
          <w:szCs w:val="24"/>
        </w:rPr>
        <w:t>tokenów</w:t>
      </w:r>
      <w:proofErr w:type="spellEnd"/>
      <w:r w:rsidR="00904A2B" w:rsidRPr="00904A2B">
        <w:rPr>
          <w:rFonts w:ascii="Times New Roman" w:hAnsi="Times New Roman" w:cs="Times New Roman"/>
          <w:bCs/>
          <w:sz w:val="24"/>
          <w:szCs w:val="24"/>
        </w:rPr>
        <w:t xml:space="preserve"> powiązanych z aktywami lub </w:t>
      </w:r>
      <w:proofErr w:type="spellStart"/>
      <w:r w:rsidR="00904A2B" w:rsidRPr="00904A2B">
        <w:rPr>
          <w:rFonts w:ascii="Times New Roman" w:hAnsi="Times New Roman" w:cs="Times New Roman"/>
          <w:bCs/>
          <w:sz w:val="24"/>
          <w:szCs w:val="24"/>
        </w:rPr>
        <w:t>tokenów</w:t>
      </w:r>
      <w:proofErr w:type="spellEnd"/>
      <w:r w:rsidR="00904A2B" w:rsidRPr="00904A2B">
        <w:rPr>
          <w:rFonts w:ascii="Times New Roman" w:hAnsi="Times New Roman" w:cs="Times New Roman"/>
          <w:bCs/>
          <w:sz w:val="24"/>
          <w:szCs w:val="24"/>
        </w:rPr>
        <w:t xml:space="preserve"> będących e-pieniądzem.</w:t>
      </w:r>
      <w:r w:rsidR="001C5EC7" w:rsidRPr="00EE4D77">
        <w:rPr>
          <w:rFonts w:ascii="Times New Roman" w:hAnsi="Times New Roman" w:cs="Times New Roman"/>
          <w:sz w:val="24"/>
          <w:szCs w:val="24"/>
        </w:rPr>
        <w:t xml:space="preserve"> </w:t>
      </w:r>
      <w:r w:rsidR="001473F7" w:rsidRPr="00D72510">
        <w:rPr>
          <w:rFonts w:ascii="Times New Roman" w:hAnsi="Times New Roman" w:cs="Times New Roman"/>
          <w:sz w:val="24"/>
          <w:szCs w:val="24"/>
        </w:rPr>
        <w:t xml:space="preserve">W dniu 18 grudnia 2025 r. Sejm uchwalił ponownie ustawę o rynku </w:t>
      </w:r>
      <w:proofErr w:type="spellStart"/>
      <w:r w:rsidR="001473F7" w:rsidRPr="00D72510">
        <w:rPr>
          <w:rFonts w:ascii="Times New Roman" w:hAnsi="Times New Roman" w:cs="Times New Roman"/>
          <w:sz w:val="24"/>
          <w:szCs w:val="24"/>
        </w:rPr>
        <w:t>kryptoaktywów</w:t>
      </w:r>
      <w:proofErr w:type="spellEnd"/>
      <w:r w:rsidR="001473F7" w:rsidRPr="00D72510">
        <w:rPr>
          <w:rFonts w:ascii="Times New Roman" w:hAnsi="Times New Roman" w:cs="Times New Roman"/>
          <w:sz w:val="24"/>
          <w:szCs w:val="24"/>
        </w:rPr>
        <w:t xml:space="preserve"> w zasadzie w brzmieniu analogicznym jak to z 7 listopada 2025 r.</w:t>
      </w:r>
      <w:r w:rsidR="00904A2B" w:rsidRPr="00D72510">
        <w:rPr>
          <w:rFonts w:ascii="Times New Roman" w:hAnsi="Times New Roman" w:cs="Times New Roman"/>
          <w:sz w:val="24"/>
          <w:szCs w:val="24"/>
        </w:rPr>
        <w:t>, z jedną poprawką w art. 79 ust. 1, o której mowa powyżej</w:t>
      </w:r>
      <w:r w:rsidR="00D72510">
        <w:rPr>
          <w:rFonts w:ascii="Times New Roman" w:hAnsi="Times New Roman" w:cs="Times New Roman"/>
          <w:sz w:val="24"/>
          <w:szCs w:val="24"/>
        </w:rPr>
        <w:t>.</w:t>
      </w:r>
      <w:r w:rsidR="00904A2B" w:rsidRPr="00D72510">
        <w:rPr>
          <w:rFonts w:ascii="Times New Roman" w:hAnsi="Times New Roman" w:cs="Times New Roman"/>
          <w:sz w:val="24"/>
          <w:szCs w:val="24"/>
        </w:rPr>
        <w:t xml:space="preserve"> </w:t>
      </w:r>
      <w:r w:rsidR="001473F7" w:rsidRPr="00D72510">
        <w:rPr>
          <w:rFonts w:ascii="Times New Roman" w:hAnsi="Times New Roman" w:cs="Times New Roman"/>
          <w:sz w:val="24"/>
          <w:szCs w:val="24"/>
        </w:rPr>
        <w:t xml:space="preserve"> Wobec ni</w:t>
      </w:r>
      <w:r w:rsidR="00904A2B" w:rsidRPr="00D72510">
        <w:rPr>
          <w:rFonts w:ascii="Times New Roman" w:hAnsi="Times New Roman" w:cs="Times New Roman"/>
          <w:sz w:val="24"/>
          <w:szCs w:val="24"/>
        </w:rPr>
        <w:t>ezmienionego brzmienia ustawy i </w:t>
      </w:r>
      <w:r w:rsidR="001473F7" w:rsidRPr="00D72510">
        <w:rPr>
          <w:rFonts w:ascii="Times New Roman" w:hAnsi="Times New Roman" w:cs="Times New Roman"/>
          <w:sz w:val="24"/>
          <w:szCs w:val="24"/>
        </w:rPr>
        <w:t xml:space="preserve">zignorowania wszystkich zgłoszonych zastrzeżeń, Prezydent Rzeczpospolitej Polskiej w dniu 12 lutego 2026 r. wystąpił z wnioskiem o ponowne rozpatrzenie przez Sejm ustawy z dnia 18 grudnia 2015 r o rynku </w:t>
      </w:r>
      <w:proofErr w:type="spellStart"/>
      <w:r w:rsidR="001473F7" w:rsidRPr="00D72510">
        <w:rPr>
          <w:rFonts w:ascii="Times New Roman" w:hAnsi="Times New Roman" w:cs="Times New Roman"/>
          <w:sz w:val="24"/>
          <w:szCs w:val="24"/>
        </w:rPr>
        <w:t>kryptoaktywów</w:t>
      </w:r>
      <w:proofErr w:type="spellEnd"/>
      <w:r w:rsidR="001473F7" w:rsidRPr="00D72510">
        <w:rPr>
          <w:rFonts w:ascii="Times New Roman" w:hAnsi="Times New Roman" w:cs="Times New Roman"/>
          <w:sz w:val="24"/>
          <w:szCs w:val="24"/>
        </w:rPr>
        <w:t xml:space="preserve">. W dniu 17 kwietnia 2026 r. Sejm w wyniku rozpatrzenia wniosku Prezydenta RP nie uchwalił ponownie ustawy w trybie art. 122 ust. 5 Konstytucji RP.     </w:t>
      </w:r>
    </w:p>
    <w:p w14:paraId="0C9B24D5" w14:textId="365394D6" w:rsidR="001C5EC7" w:rsidRPr="00FA7379" w:rsidRDefault="001C5EC7" w:rsidP="003B0889">
      <w:pPr>
        <w:spacing w:line="360" w:lineRule="auto"/>
        <w:jc w:val="both"/>
        <w:rPr>
          <w:rFonts w:ascii="Times New Roman" w:hAnsi="Times New Roman" w:cs="Times New Roman"/>
          <w:sz w:val="24"/>
          <w:szCs w:val="24"/>
        </w:rPr>
      </w:pPr>
      <w:r w:rsidRPr="00D72510">
        <w:rPr>
          <w:rFonts w:ascii="Times New Roman" w:hAnsi="Times New Roman" w:cs="Times New Roman"/>
          <w:sz w:val="24"/>
          <w:szCs w:val="24"/>
        </w:rPr>
        <w:t xml:space="preserve">W ocenie Prezydenta Rzeczypospolitej Polskiej </w:t>
      </w:r>
      <w:r w:rsidR="00BE57C7" w:rsidRPr="00D72510">
        <w:rPr>
          <w:rFonts w:ascii="Times New Roman" w:hAnsi="Times New Roman" w:cs="Times New Roman"/>
          <w:sz w:val="24"/>
          <w:szCs w:val="24"/>
        </w:rPr>
        <w:t xml:space="preserve">nieuzasadnione </w:t>
      </w:r>
      <w:r w:rsidRPr="00D72510">
        <w:rPr>
          <w:rFonts w:ascii="Times New Roman" w:hAnsi="Times New Roman" w:cs="Times New Roman"/>
          <w:sz w:val="24"/>
          <w:szCs w:val="24"/>
        </w:rPr>
        <w:t>zignorowanie</w:t>
      </w:r>
      <w:r w:rsidR="001473F7" w:rsidRPr="00D72510">
        <w:rPr>
          <w:rFonts w:ascii="Times New Roman" w:hAnsi="Times New Roman" w:cs="Times New Roman"/>
          <w:sz w:val="24"/>
          <w:szCs w:val="24"/>
        </w:rPr>
        <w:t xml:space="preserve"> po raz kolejny</w:t>
      </w:r>
      <w:r w:rsidRPr="00D72510">
        <w:rPr>
          <w:rFonts w:ascii="Times New Roman" w:hAnsi="Times New Roman" w:cs="Times New Roman"/>
          <w:sz w:val="24"/>
          <w:szCs w:val="24"/>
        </w:rPr>
        <w:t xml:space="preserve"> przez Radę Ministrów, a następnie przez Sejm i Senat</w:t>
      </w:r>
      <w:r w:rsidR="00BE57C7" w:rsidRPr="00D72510">
        <w:rPr>
          <w:rFonts w:ascii="Times New Roman" w:hAnsi="Times New Roman" w:cs="Times New Roman"/>
          <w:sz w:val="24"/>
          <w:szCs w:val="24"/>
        </w:rPr>
        <w:t>,</w:t>
      </w:r>
      <w:r w:rsidRPr="00D72510">
        <w:rPr>
          <w:rFonts w:ascii="Times New Roman" w:hAnsi="Times New Roman" w:cs="Times New Roman"/>
          <w:sz w:val="24"/>
          <w:szCs w:val="24"/>
        </w:rPr>
        <w:t xml:space="preserve"> istotnych zastrzeżeń natury konstytucyjnej lub systemowej, uzasadnia wystąpienie z niniejszą inicjatywą ustawodawczą</w:t>
      </w:r>
      <w:r w:rsidRPr="00EE4D77">
        <w:rPr>
          <w:rFonts w:ascii="Times New Roman" w:hAnsi="Times New Roman" w:cs="Times New Roman"/>
          <w:sz w:val="24"/>
          <w:szCs w:val="24"/>
        </w:rPr>
        <w:t>. Zawarte są w niej rozwiązania, które usuwają te za</w:t>
      </w:r>
      <w:r w:rsidR="00DC16E2" w:rsidRPr="00EE4D77">
        <w:rPr>
          <w:rFonts w:ascii="Times New Roman" w:hAnsi="Times New Roman" w:cs="Times New Roman"/>
          <w:sz w:val="24"/>
          <w:szCs w:val="24"/>
        </w:rPr>
        <w:t>strzeżenia</w:t>
      </w:r>
      <w:r w:rsidRPr="00EE4D77">
        <w:rPr>
          <w:rFonts w:ascii="Times New Roman" w:hAnsi="Times New Roman" w:cs="Times New Roman"/>
          <w:sz w:val="24"/>
          <w:szCs w:val="24"/>
        </w:rPr>
        <w:t xml:space="preserve">. W pozostałym zakresie projekt ustawy zawiera propozycje rozwiązań, które były już dwukrotnie przyjmowane przez Sejm i </w:t>
      </w:r>
      <w:r w:rsidRPr="00EE4D77">
        <w:rPr>
          <w:rFonts w:ascii="Times New Roman" w:hAnsi="Times New Roman" w:cs="Times New Roman"/>
          <w:sz w:val="24"/>
          <w:szCs w:val="24"/>
        </w:rPr>
        <w:lastRenderedPageBreak/>
        <w:t xml:space="preserve">Senat. </w:t>
      </w:r>
      <w:r w:rsidR="00553A2D">
        <w:rPr>
          <w:rFonts w:ascii="Times New Roman" w:hAnsi="Times New Roman" w:cs="Times New Roman"/>
          <w:sz w:val="24"/>
          <w:szCs w:val="24"/>
        </w:rPr>
        <w:br/>
      </w:r>
      <w:r w:rsidR="00897232">
        <w:rPr>
          <w:rFonts w:ascii="Times New Roman" w:hAnsi="Times New Roman" w:cs="Times New Roman"/>
          <w:sz w:val="24"/>
          <w:szCs w:val="24"/>
        </w:rPr>
        <w:t xml:space="preserve">Niniejsza </w:t>
      </w:r>
      <w:r w:rsidRPr="00EE4D77">
        <w:rPr>
          <w:rFonts w:ascii="Times New Roman" w:hAnsi="Times New Roman" w:cs="Times New Roman"/>
          <w:sz w:val="24"/>
          <w:szCs w:val="24"/>
        </w:rPr>
        <w:t>inicjatyw</w:t>
      </w:r>
      <w:r w:rsidR="00897232">
        <w:rPr>
          <w:rFonts w:ascii="Times New Roman" w:hAnsi="Times New Roman" w:cs="Times New Roman"/>
          <w:sz w:val="24"/>
          <w:szCs w:val="24"/>
        </w:rPr>
        <w:t>a ustawodawcza</w:t>
      </w:r>
      <w:r w:rsidRPr="00EE4D77">
        <w:rPr>
          <w:rFonts w:ascii="Times New Roman" w:hAnsi="Times New Roman" w:cs="Times New Roman"/>
          <w:sz w:val="24"/>
          <w:szCs w:val="24"/>
        </w:rPr>
        <w:t xml:space="preserve"> stanowi </w:t>
      </w:r>
      <w:r w:rsidR="006B667D" w:rsidRPr="00EE4D77">
        <w:rPr>
          <w:rFonts w:ascii="Times New Roman" w:hAnsi="Times New Roman" w:cs="Times New Roman"/>
          <w:sz w:val="24"/>
          <w:szCs w:val="24"/>
        </w:rPr>
        <w:t xml:space="preserve">zatem </w:t>
      </w:r>
      <w:r w:rsidRPr="00EE4D77">
        <w:rPr>
          <w:rFonts w:ascii="Times New Roman" w:hAnsi="Times New Roman" w:cs="Times New Roman"/>
          <w:sz w:val="24"/>
          <w:szCs w:val="24"/>
        </w:rPr>
        <w:t xml:space="preserve">kompromisowe rozwiązanie, a jednocześnie usuwa nieuzasadniony na płaszczyźnie konstytucyjnej i społeczno-gospodarczej upór aktualnej koalicji rządzącej we wprowadzeniu adekwatnych rozwiązań umożliwiających prowadzenie działalności gospodarczej na rynku </w:t>
      </w:r>
      <w:proofErr w:type="spellStart"/>
      <w:r w:rsidRPr="00EE4D77">
        <w:rPr>
          <w:rFonts w:ascii="Times New Roman" w:hAnsi="Times New Roman" w:cs="Times New Roman"/>
          <w:sz w:val="24"/>
          <w:szCs w:val="24"/>
        </w:rPr>
        <w:t>kryptoaktywów</w:t>
      </w:r>
      <w:proofErr w:type="spellEnd"/>
      <w:r w:rsidRPr="00EE4D77">
        <w:rPr>
          <w:rFonts w:ascii="Times New Roman" w:hAnsi="Times New Roman" w:cs="Times New Roman"/>
          <w:sz w:val="24"/>
          <w:szCs w:val="24"/>
        </w:rPr>
        <w:t xml:space="preserve"> bez konieczności ponoszenia nieuzasadnionych</w:t>
      </w:r>
      <w:r w:rsidR="008C51CE">
        <w:rPr>
          <w:rFonts w:ascii="Times New Roman" w:hAnsi="Times New Roman" w:cs="Times New Roman"/>
          <w:sz w:val="24"/>
          <w:szCs w:val="24"/>
        </w:rPr>
        <w:t>, nadmiernych</w:t>
      </w:r>
      <w:r w:rsidRPr="00EE4D77">
        <w:rPr>
          <w:rFonts w:ascii="Times New Roman" w:hAnsi="Times New Roman" w:cs="Times New Roman"/>
          <w:sz w:val="24"/>
          <w:szCs w:val="24"/>
        </w:rPr>
        <w:t xml:space="preserve"> kosztów nadzoru oraz uwzględniających </w:t>
      </w:r>
      <w:r w:rsidR="0062495A">
        <w:rPr>
          <w:rFonts w:ascii="Times New Roman" w:hAnsi="Times New Roman" w:cs="Times New Roman"/>
          <w:sz w:val="24"/>
          <w:szCs w:val="24"/>
        </w:rPr>
        <w:t xml:space="preserve">we właściwy sposób </w:t>
      </w:r>
      <w:r w:rsidRPr="00EE4D77">
        <w:rPr>
          <w:rFonts w:ascii="Times New Roman" w:hAnsi="Times New Roman" w:cs="Times New Roman"/>
          <w:sz w:val="24"/>
          <w:szCs w:val="24"/>
        </w:rPr>
        <w:t xml:space="preserve">zasady konstytucyjne </w:t>
      </w:r>
      <w:r w:rsidR="006D13D8">
        <w:rPr>
          <w:rFonts w:ascii="Times New Roman" w:hAnsi="Times New Roman" w:cs="Times New Roman"/>
          <w:sz w:val="24"/>
          <w:szCs w:val="24"/>
        </w:rPr>
        <w:t xml:space="preserve">dotyczące </w:t>
      </w:r>
      <w:r w:rsidRPr="00EE4D77">
        <w:rPr>
          <w:rFonts w:ascii="Times New Roman" w:hAnsi="Times New Roman" w:cs="Times New Roman"/>
          <w:sz w:val="24"/>
          <w:szCs w:val="24"/>
        </w:rPr>
        <w:t>swobod</w:t>
      </w:r>
      <w:r w:rsidR="006D13D8">
        <w:rPr>
          <w:rFonts w:ascii="Times New Roman" w:hAnsi="Times New Roman" w:cs="Times New Roman"/>
          <w:sz w:val="24"/>
          <w:szCs w:val="24"/>
        </w:rPr>
        <w:t>y</w:t>
      </w:r>
      <w:r w:rsidRPr="00EE4D77">
        <w:rPr>
          <w:rFonts w:ascii="Times New Roman" w:hAnsi="Times New Roman" w:cs="Times New Roman"/>
          <w:sz w:val="24"/>
          <w:szCs w:val="24"/>
        </w:rPr>
        <w:t xml:space="preserve"> prowadzenia działalności gospodarczej oraz ochron</w:t>
      </w:r>
      <w:r w:rsidR="006D13D8">
        <w:rPr>
          <w:rFonts w:ascii="Times New Roman" w:hAnsi="Times New Roman" w:cs="Times New Roman"/>
          <w:sz w:val="24"/>
          <w:szCs w:val="24"/>
        </w:rPr>
        <w:t>y</w:t>
      </w:r>
      <w:r w:rsidRPr="00EE4D77">
        <w:rPr>
          <w:rFonts w:ascii="Times New Roman" w:hAnsi="Times New Roman" w:cs="Times New Roman"/>
          <w:sz w:val="24"/>
          <w:szCs w:val="24"/>
        </w:rPr>
        <w:t xml:space="preserve"> własności i innych praw majątkowych </w:t>
      </w:r>
      <w:r w:rsidR="00553A2D">
        <w:rPr>
          <w:rFonts w:ascii="Times New Roman" w:hAnsi="Times New Roman" w:cs="Times New Roman"/>
          <w:sz w:val="24"/>
          <w:szCs w:val="24"/>
        </w:rPr>
        <w:t xml:space="preserve">przy </w:t>
      </w:r>
      <w:r w:rsidRPr="00EE4D77">
        <w:rPr>
          <w:rFonts w:ascii="Times New Roman" w:hAnsi="Times New Roman" w:cs="Times New Roman"/>
          <w:sz w:val="24"/>
          <w:szCs w:val="24"/>
        </w:rPr>
        <w:t>blokad</w:t>
      </w:r>
      <w:r w:rsidR="00553A2D">
        <w:rPr>
          <w:rFonts w:ascii="Times New Roman" w:hAnsi="Times New Roman" w:cs="Times New Roman"/>
          <w:sz w:val="24"/>
          <w:szCs w:val="24"/>
        </w:rPr>
        <w:t>zie</w:t>
      </w:r>
      <w:r w:rsidRPr="00EE4D77">
        <w:rPr>
          <w:rFonts w:ascii="Times New Roman" w:hAnsi="Times New Roman" w:cs="Times New Roman"/>
          <w:sz w:val="24"/>
          <w:szCs w:val="24"/>
        </w:rPr>
        <w:t xml:space="preserve"> </w:t>
      </w:r>
      <w:r w:rsidR="00975508" w:rsidRPr="00EE4D77">
        <w:rPr>
          <w:rFonts w:ascii="Times New Roman" w:hAnsi="Times New Roman" w:cs="Times New Roman"/>
          <w:sz w:val="24"/>
          <w:szCs w:val="24"/>
        </w:rPr>
        <w:t>domen</w:t>
      </w:r>
      <w:r w:rsidRPr="00EE4D77">
        <w:rPr>
          <w:rFonts w:ascii="Times New Roman" w:hAnsi="Times New Roman" w:cs="Times New Roman"/>
          <w:sz w:val="24"/>
          <w:szCs w:val="24"/>
        </w:rPr>
        <w:t xml:space="preserve"> internetowych </w:t>
      </w:r>
      <w:r w:rsidR="00AA4D54" w:rsidRPr="00EE4D77">
        <w:rPr>
          <w:rFonts w:ascii="Times New Roman" w:hAnsi="Times New Roman" w:cs="Times New Roman"/>
          <w:sz w:val="24"/>
          <w:szCs w:val="24"/>
        </w:rPr>
        <w:t xml:space="preserve">oraz </w:t>
      </w:r>
      <w:r w:rsidRPr="00EE4D77">
        <w:rPr>
          <w:rFonts w:ascii="Times New Roman" w:hAnsi="Times New Roman" w:cs="Times New Roman"/>
          <w:sz w:val="24"/>
          <w:szCs w:val="24"/>
        </w:rPr>
        <w:t xml:space="preserve">rachunków </w:t>
      </w:r>
      <w:proofErr w:type="spellStart"/>
      <w:r w:rsidRPr="00EE4D77">
        <w:rPr>
          <w:rFonts w:ascii="Times New Roman" w:hAnsi="Times New Roman" w:cs="Times New Roman"/>
          <w:sz w:val="24"/>
          <w:szCs w:val="24"/>
        </w:rPr>
        <w:t>kryptoaktywów</w:t>
      </w:r>
      <w:proofErr w:type="spellEnd"/>
      <w:r w:rsidRPr="00EE4D77">
        <w:rPr>
          <w:rFonts w:ascii="Times New Roman" w:hAnsi="Times New Roman" w:cs="Times New Roman"/>
          <w:sz w:val="24"/>
          <w:szCs w:val="24"/>
        </w:rPr>
        <w:t xml:space="preserve">. </w:t>
      </w:r>
      <w:r w:rsidR="006B667D" w:rsidRPr="00EE4D77">
        <w:rPr>
          <w:rFonts w:ascii="Times New Roman" w:hAnsi="Times New Roman" w:cs="Times New Roman"/>
          <w:sz w:val="24"/>
          <w:szCs w:val="24"/>
        </w:rPr>
        <w:t xml:space="preserve">Treść zaś uzasadnienia, poza koniecznymi modyfikacjami, odpowiada treści uzasadnieniu </w:t>
      </w:r>
      <w:r w:rsidR="00D25798" w:rsidRPr="00EE4D77">
        <w:rPr>
          <w:rFonts w:ascii="Times New Roman" w:hAnsi="Times New Roman" w:cs="Times New Roman"/>
          <w:sz w:val="24"/>
          <w:szCs w:val="24"/>
        </w:rPr>
        <w:t xml:space="preserve">rządowego </w:t>
      </w:r>
      <w:r w:rsidR="006B667D" w:rsidRPr="00EE4D77">
        <w:rPr>
          <w:rFonts w:ascii="Times New Roman" w:hAnsi="Times New Roman" w:cs="Times New Roman"/>
          <w:sz w:val="24"/>
          <w:szCs w:val="24"/>
        </w:rPr>
        <w:t>projektu ustawy z druku sejmowego nr 2</w:t>
      </w:r>
      <w:r w:rsidR="00DB7EA6">
        <w:rPr>
          <w:rFonts w:ascii="Times New Roman" w:hAnsi="Times New Roman" w:cs="Times New Roman"/>
          <w:sz w:val="24"/>
          <w:szCs w:val="24"/>
        </w:rPr>
        <w:t>0</w:t>
      </w:r>
      <w:r w:rsidR="006B667D" w:rsidRPr="00EE4D77">
        <w:rPr>
          <w:rFonts w:ascii="Times New Roman" w:hAnsi="Times New Roman" w:cs="Times New Roman"/>
          <w:sz w:val="24"/>
          <w:szCs w:val="24"/>
        </w:rPr>
        <w:t>64 r., a więc zawiera</w:t>
      </w:r>
      <w:r w:rsidR="00591BA7">
        <w:rPr>
          <w:rFonts w:ascii="Times New Roman" w:hAnsi="Times New Roman" w:cs="Times New Roman"/>
          <w:sz w:val="24"/>
          <w:szCs w:val="24"/>
        </w:rPr>
        <w:t xml:space="preserve"> elementy i</w:t>
      </w:r>
      <w:r w:rsidR="006B667D" w:rsidRPr="00EE4D77">
        <w:rPr>
          <w:rFonts w:ascii="Times New Roman" w:hAnsi="Times New Roman" w:cs="Times New Roman"/>
          <w:sz w:val="24"/>
          <w:szCs w:val="24"/>
        </w:rPr>
        <w:t xml:space="preserve"> treści, które były przedmiotem analiz formalnych Sejmu. Powinno to przyśpieszyć procedowanie </w:t>
      </w:r>
      <w:r w:rsidR="009E6106" w:rsidRPr="00EE4D77">
        <w:rPr>
          <w:rFonts w:ascii="Times New Roman" w:hAnsi="Times New Roman" w:cs="Times New Roman"/>
          <w:sz w:val="24"/>
          <w:szCs w:val="24"/>
        </w:rPr>
        <w:t xml:space="preserve">Sejmu nad projektem ustawy </w:t>
      </w:r>
      <w:r w:rsidR="006B667D" w:rsidRPr="00EE4D77">
        <w:rPr>
          <w:rFonts w:ascii="Times New Roman" w:hAnsi="Times New Roman" w:cs="Times New Roman"/>
          <w:sz w:val="24"/>
          <w:szCs w:val="24"/>
        </w:rPr>
        <w:t xml:space="preserve">oraz wyłączyć oportunistyczne i </w:t>
      </w:r>
      <w:r w:rsidR="002C4B13" w:rsidRPr="00EE4D77">
        <w:rPr>
          <w:rFonts w:ascii="Times New Roman" w:hAnsi="Times New Roman" w:cs="Times New Roman"/>
          <w:sz w:val="24"/>
          <w:szCs w:val="24"/>
        </w:rPr>
        <w:t xml:space="preserve">niekonstruktywne </w:t>
      </w:r>
      <w:r w:rsidR="009E6106" w:rsidRPr="00EE4D77">
        <w:rPr>
          <w:rFonts w:ascii="Times New Roman" w:hAnsi="Times New Roman" w:cs="Times New Roman"/>
          <w:sz w:val="24"/>
          <w:szCs w:val="24"/>
        </w:rPr>
        <w:t>wniosk</w:t>
      </w:r>
      <w:r w:rsidR="009560DB">
        <w:rPr>
          <w:rFonts w:ascii="Times New Roman" w:hAnsi="Times New Roman" w:cs="Times New Roman"/>
          <w:sz w:val="24"/>
          <w:szCs w:val="24"/>
        </w:rPr>
        <w:t>i</w:t>
      </w:r>
      <w:r w:rsidR="009E6106" w:rsidRPr="00EE4D77">
        <w:rPr>
          <w:rFonts w:ascii="Times New Roman" w:hAnsi="Times New Roman" w:cs="Times New Roman"/>
          <w:sz w:val="24"/>
          <w:szCs w:val="24"/>
        </w:rPr>
        <w:t xml:space="preserve"> co do</w:t>
      </w:r>
      <w:r w:rsidR="006B667D" w:rsidRPr="00EE4D77">
        <w:rPr>
          <w:rFonts w:ascii="Times New Roman" w:hAnsi="Times New Roman" w:cs="Times New Roman"/>
          <w:sz w:val="24"/>
          <w:szCs w:val="24"/>
        </w:rPr>
        <w:t xml:space="preserve"> jego uzupełniania</w:t>
      </w:r>
      <w:r w:rsidR="009E6106" w:rsidRPr="00EE4D77">
        <w:rPr>
          <w:rFonts w:ascii="Times New Roman" w:hAnsi="Times New Roman" w:cs="Times New Roman"/>
          <w:sz w:val="24"/>
          <w:szCs w:val="24"/>
        </w:rPr>
        <w:t xml:space="preserve"> prze</w:t>
      </w:r>
      <w:r w:rsidR="00897232">
        <w:rPr>
          <w:rFonts w:ascii="Times New Roman" w:hAnsi="Times New Roman" w:cs="Times New Roman"/>
          <w:sz w:val="24"/>
          <w:szCs w:val="24"/>
        </w:rPr>
        <w:t>d</w:t>
      </w:r>
      <w:r w:rsidR="009E6106" w:rsidRPr="00EE4D77">
        <w:rPr>
          <w:rFonts w:ascii="Times New Roman" w:hAnsi="Times New Roman" w:cs="Times New Roman"/>
          <w:sz w:val="24"/>
          <w:szCs w:val="24"/>
        </w:rPr>
        <w:t xml:space="preserve"> pierwszym czytaniem projektu ustawy</w:t>
      </w:r>
      <w:r w:rsidR="006B667D" w:rsidRPr="00EE4D77">
        <w:rPr>
          <w:rFonts w:ascii="Times New Roman" w:hAnsi="Times New Roman" w:cs="Times New Roman"/>
          <w:sz w:val="24"/>
          <w:szCs w:val="24"/>
        </w:rPr>
        <w:t>.</w:t>
      </w:r>
    </w:p>
    <w:p w14:paraId="1EEC34C2" w14:textId="2A66ED0C" w:rsidR="00C21D4B" w:rsidRPr="00FA7379" w:rsidRDefault="003B0889" w:rsidP="00FA737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II. </w:t>
      </w:r>
      <w:r w:rsidR="00C21D4B" w:rsidRPr="00FA7379">
        <w:rPr>
          <w:rFonts w:ascii="Times New Roman" w:hAnsi="Times New Roman" w:cs="Times New Roman"/>
          <w:b/>
          <w:bCs/>
          <w:sz w:val="24"/>
          <w:szCs w:val="24"/>
        </w:rPr>
        <w:t>Cel projektowanej ustawy</w:t>
      </w:r>
    </w:p>
    <w:p w14:paraId="66B0BD6E" w14:textId="77777777" w:rsidR="00C21D4B" w:rsidRPr="00D96767" w:rsidRDefault="00C21D4B" w:rsidP="00695ECE">
      <w:pPr>
        <w:spacing w:line="360" w:lineRule="auto"/>
        <w:jc w:val="both"/>
        <w:rPr>
          <w:rFonts w:ascii="Times New Roman" w:hAnsi="Times New Roman" w:cs="Times New Roman"/>
          <w:i/>
          <w:iCs/>
          <w:sz w:val="24"/>
          <w:szCs w:val="24"/>
        </w:rPr>
      </w:pPr>
      <w:r w:rsidRPr="052C2DDE">
        <w:rPr>
          <w:rFonts w:ascii="Times New Roman" w:hAnsi="Times New Roman" w:cs="Times New Roman"/>
          <w:sz w:val="24"/>
          <w:szCs w:val="24"/>
        </w:rPr>
        <w:t xml:space="preserve">Celem projektowanej ustawy jest zapewnienie stosowania rozporządzenia Parlamentu Europejskiego i Rady (UE) 2023/1114 </w:t>
      </w:r>
      <w:r>
        <w:rPr>
          <w:rFonts w:ascii="Times New Roman" w:hAnsi="Times New Roman" w:cs="Times New Roman"/>
          <w:sz w:val="24"/>
          <w:szCs w:val="24"/>
        </w:rPr>
        <w:t xml:space="preserve">z dnia 31 maja 2023 r. </w:t>
      </w:r>
      <w:r w:rsidRPr="00FE1C83">
        <w:rPr>
          <w:rFonts w:ascii="Times New Roman" w:hAnsi="Times New Roman" w:cs="Times New Roman"/>
          <w:sz w:val="24"/>
          <w:szCs w:val="24"/>
        </w:rPr>
        <w:t xml:space="preserve">w sprawie rynków </w:t>
      </w:r>
      <w:proofErr w:type="spellStart"/>
      <w:r w:rsidRPr="00FE1C83">
        <w:rPr>
          <w:rFonts w:ascii="Times New Roman" w:hAnsi="Times New Roman" w:cs="Times New Roman"/>
          <w:sz w:val="24"/>
          <w:szCs w:val="24"/>
        </w:rPr>
        <w:t>kryptoaktywów</w:t>
      </w:r>
      <w:proofErr w:type="spellEnd"/>
      <w:r w:rsidRPr="00FE1C83">
        <w:rPr>
          <w:rFonts w:ascii="Times New Roman" w:hAnsi="Times New Roman" w:cs="Times New Roman"/>
          <w:sz w:val="24"/>
          <w:szCs w:val="24"/>
        </w:rPr>
        <w:t xml:space="preserve"> oraz zmiany rozporządzeń</w:t>
      </w:r>
      <w:r w:rsidRPr="00FC35A9">
        <w:rPr>
          <w:rFonts w:ascii="Times New Roman" w:hAnsi="Times New Roman" w:cs="Times New Roman"/>
          <w:sz w:val="24"/>
          <w:szCs w:val="24"/>
        </w:rPr>
        <w:t xml:space="preserve"> (UE) </w:t>
      </w:r>
      <w:r w:rsidRPr="00FE1C83">
        <w:rPr>
          <w:rFonts w:ascii="Times New Roman" w:hAnsi="Times New Roman" w:cs="Times New Roman"/>
          <w:sz w:val="24"/>
          <w:szCs w:val="24"/>
        </w:rPr>
        <w:t xml:space="preserve">nr 1093/2010 i (UE) nr 1095/2010 </w:t>
      </w:r>
      <w:r>
        <w:rPr>
          <w:rFonts w:ascii="Times New Roman" w:hAnsi="Times New Roman" w:cs="Times New Roman"/>
          <w:sz w:val="24"/>
          <w:szCs w:val="24"/>
        </w:rPr>
        <w:t>oraz </w:t>
      </w:r>
      <w:r w:rsidRPr="00FE1C83">
        <w:rPr>
          <w:rFonts w:ascii="Times New Roman" w:hAnsi="Times New Roman" w:cs="Times New Roman"/>
          <w:sz w:val="24"/>
          <w:szCs w:val="24"/>
        </w:rPr>
        <w:t>dyrektyw 2013/36/UE i (UE) 2019/1937</w:t>
      </w:r>
      <w:r>
        <w:rPr>
          <w:rFonts w:ascii="Times New Roman" w:hAnsi="Times New Roman" w:cs="Times New Roman"/>
          <w:sz w:val="24"/>
          <w:szCs w:val="24"/>
        </w:rPr>
        <w:t xml:space="preserve"> </w:t>
      </w:r>
      <w:r w:rsidRPr="00BC0BB6">
        <w:rPr>
          <w:rFonts w:ascii="Times New Roman" w:hAnsi="Times New Roman" w:cs="Times New Roman"/>
          <w:sz w:val="24"/>
          <w:szCs w:val="24"/>
        </w:rPr>
        <w:t>(Dz. Urz. UE L 150 z 09.06.2023, str. 40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zwanego </w:t>
      </w:r>
      <w:r w:rsidRPr="052C2DDE">
        <w:rPr>
          <w:rFonts w:ascii="Times New Roman" w:hAnsi="Times New Roman" w:cs="Times New Roman"/>
          <w:sz w:val="24"/>
          <w:szCs w:val="24"/>
        </w:rPr>
        <w:t>dalej „</w:t>
      </w:r>
      <w:r>
        <w:rPr>
          <w:rFonts w:ascii="Times New Roman" w:hAnsi="Times New Roman" w:cs="Times New Roman"/>
          <w:sz w:val="24"/>
          <w:szCs w:val="24"/>
        </w:rPr>
        <w:t xml:space="preserve">rozporządzeniem </w:t>
      </w:r>
      <w:proofErr w:type="spellStart"/>
      <w:r w:rsidRPr="052C2DDE">
        <w:rPr>
          <w:rFonts w:ascii="Times New Roman" w:hAnsi="Times New Roman" w:cs="Times New Roman"/>
          <w:sz w:val="24"/>
          <w:szCs w:val="24"/>
        </w:rPr>
        <w:t>MiCA</w:t>
      </w:r>
      <w:proofErr w:type="spellEnd"/>
      <w:r w:rsidRPr="052C2DDE">
        <w:rPr>
          <w:rFonts w:ascii="Times New Roman" w:hAnsi="Times New Roman" w:cs="Times New Roman"/>
          <w:sz w:val="24"/>
          <w:szCs w:val="24"/>
        </w:rPr>
        <w:t>” lub „rozporządzenie</w:t>
      </w:r>
      <w:r>
        <w:rPr>
          <w:rFonts w:ascii="Times New Roman" w:hAnsi="Times New Roman" w:cs="Times New Roman"/>
          <w:sz w:val="24"/>
          <w:szCs w:val="24"/>
        </w:rPr>
        <w:t>m</w:t>
      </w:r>
      <w:r w:rsidRPr="052C2DDE">
        <w:rPr>
          <w:rFonts w:ascii="Times New Roman" w:hAnsi="Times New Roman" w:cs="Times New Roman"/>
          <w:sz w:val="24"/>
          <w:szCs w:val="24"/>
        </w:rPr>
        <w:t xml:space="preserve"> 2023/1114”.</w:t>
      </w:r>
      <w:r>
        <w:rPr>
          <w:rFonts w:ascii="Times New Roman" w:hAnsi="Times New Roman" w:cs="Times New Roman"/>
          <w:sz w:val="24"/>
          <w:szCs w:val="24"/>
        </w:rPr>
        <w:t xml:space="preserve"> Projektowana ustawa poprzez zmianę ustawy z dnia 1 marca 2018 r. o przeciwdziałaniu praniu pieniędzy oraz finansowaniu terroryzmu (Dz. U. z 2025 r. poz. 644), zwanej dalej „ustawą o przeciwdziałaniu praniu pieniędzy oraz finansowaniu terroryzmu” lub „</w:t>
      </w:r>
      <w:r w:rsidRPr="00C128AE">
        <w:rPr>
          <w:rFonts w:ascii="Times New Roman" w:eastAsia="Times New Roman" w:hAnsi="Times New Roman" w:cs="Arial"/>
          <w:sz w:val="24"/>
          <w:szCs w:val="20"/>
          <w:lang w:eastAsia="pl-PL"/>
        </w:rPr>
        <w:t>u.p.p.p.f.t.</w:t>
      </w:r>
      <w:r>
        <w:rPr>
          <w:rFonts w:ascii="Times New Roman" w:eastAsia="Times New Roman" w:hAnsi="Times New Roman" w:cs="Arial"/>
          <w:sz w:val="24"/>
          <w:szCs w:val="20"/>
          <w:lang w:eastAsia="pl-PL"/>
        </w:rPr>
        <w:t>”</w:t>
      </w:r>
      <w:r>
        <w:rPr>
          <w:rFonts w:ascii="Times New Roman" w:hAnsi="Times New Roman" w:cs="Times New Roman"/>
          <w:sz w:val="24"/>
          <w:szCs w:val="24"/>
        </w:rPr>
        <w:t xml:space="preserve">, służy również zapewnieniu stosowania przepisów rozporządzenia Parlamentu Europejskiego i Rady (UE) 2023/1113 </w:t>
      </w:r>
      <w:r w:rsidRPr="00FE1C83">
        <w:rPr>
          <w:rFonts w:ascii="Times New Roman" w:hAnsi="Times New Roman" w:cs="Times New Roman"/>
          <w:sz w:val="24"/>
          <w:szCs w:val="24"/>
        </w:rPr>
        <w:t xml:space="preserve">w sprawie informacji towarzyszących transferom środków pieniężnych i niektórych </w:t>
      </w:r>
      <w:proofErr w:type="spellStart"/>
      <w:r w:rsidRPr="00FE1C83">
        <w:rPr>
          <w:rFonts w:ascii="Times New Roman" w:hAnsi="Times New Roman" w:cs="Times New Roman"/>
          <w:sz w:val="24"/>
          <w:szCs w:val="24"/>
        </w:rPr>
        <w:t>kryptoaktywów</w:t>
      </w:r>
      <w:proofErr w:type="spellEnd"/>
      <w:r w:rsidRPr="00FE1C83">
        <w:rPr>
          <w:rFonts w:ascii="Times New Roman" w:hAnsi="Times New Roman" w:cs="Times New Roman"/>
          <w:sz w:val="24"/>
          <w:szCs w:val="24"/>
        </w:rPr>
        <w:t xml:space="preserve"> oraz zmiany dyrektywy (UE) 2015/849</w:t>
      </w:r>
      <w:r>
        <w:rPr>
          <w:rFonts w:ascii="Times New Roman" w:hAnsi="Times New Roman" w:cs="Times New Roman"/>
          <w:sz w:val="24"/>
          <w:szCs w:val="24"/>
        </w:rPr>
        <w:t xml:space="preserve"> </w:t>
      </w:r>
      <w:r w:rsidRPr="00BC0BB6">
        <w:rPr>
          <w:rFonts w:ascii="Times New Roman" w:hAnsi="Times New Roman" w:cs="Times New Roman"/>
          <w:sz w:val="24"/>
          <w:szCs w:val="24"/>
        </w:rPr>
        <w:t>(Dz. Urz. UE L 150 z 09.06.2023, str. 1)</w:t>
      </w:r>
      <w:r>
        <w:rPr>
          <w:rFonts w:ascii="Times New Roman" w:hAnsi="Times New Roman" w:cs="Times New Roman"/>
          <w:sz w:val="24"/>
          <w:szCs w:val="24"/>
        </w:rPr>
        <w:t>, zwanego dalej „rozporządzeniem 2023/1113”.</w:t>
      </w:r>
    </w:p>
    <w:p w14:paraId="256025B1" w14:textId="77777777" w:rsidR="00C21D4B" w:rsidRDefault="00C21D4B" w:rsidP="00695ECE">
      <w:pPr>
        <w:spacing w:line="360" w:lineRule="auto"/>
        <w:jc w:val="both"/>
        <w:rPr>
          <w:rFonts w:ascii="Times New Roman" w:hAnsi="Times New Roman" w:cs="Times New Roman"/>
          <w:sz w:val="24"/>
          <w:szCs w:val="24"/>
        </w:rPr>
      </w:pPr>
      <w:bookmarkStart w:id="1" w:name="_Hlk151996055"/>
      <w:r>
        <w:rPr>
          <w:rFonts w:ascii="Times New Roman" w:hAnsi="Times New Roman" w:cs="Times New Roman"/>
          <w:sz w:val="24"/>
          <w:szCs w:val="24"/>
        </w:rPr>
        <w:t xml:space="preserve">Rozporządzenie </w:t>
      </w:r>
      <w:proofErr w:type="spellStart"/>
      <w:r>
        <w:rPr>
          <w:rFonts w:ascii="Times New Roman" w:hAnsi="Times New Roman" w:cs="Times New Roman"/>
          <w:sz w:val="24"/>
          <w:szCs w:val="24"/>
        </w:rPr>
        <w:t>MiCA</w:t>
      </w:r>
      <w:proofErr w:type="spellEnd"/>
      <w:r>
        <w:rPr>
          <w:rFonts w:ascii="Times New Roman" w:hAnsi="Times New Roman" w:cs="Times New Roman"/>
          <w:sz w:val="24"/>
          <w:szCs w:val="24"/>
        </w:rPr>
        <w:t xml:space="preserve"> określa </w:t>
      </w:r>
      <w:r w:rsidRPr="00CE63B7">
        <w:rPr>
          <w:rFonts w:ascii="Times New Roman" w:hAnsi="Times New Roman" w:cs="Times New Roman"/>
          <w:sz w:val="24"/>
          <w:szCs w:val="24"/>
        </w:rPr>
        <w:t>zharmonizowan</w:t>
      </w:r>
      <w:r>
        <w:rPr>
          <w:rFonts w:ascii="Times New Roman" w:hAnsi="Times New Roman" w:cs="Times New Roman"/>
          <w:sz w:val="24"/>
          <w:szCs w:val="24"/>
        </w:rPr>
        <w:t>e dla wszystkich państw członkowskich</w:t>
      </w:r>
      <w:r w:rsidRPr="00CE63B7">
        <w:rPr>
          <w:rFonts w:ascii="Times New Roman" w:hAnsi="Times New Roman" w:cs="Times New Roman"/>
          <w:sz w:val="24"/>
          <w:szCs w:val="24"/>
        </w:rPr>
        <w:t xml:space="preserve"> ram</w:t>
      </w:r>
      <w:r>
        <w:rPr>
          <w:rFonts w:ascii="Times New Roman" w:hAnsi="Times New Roman" w:cs="Times New Roman"/>
          <w:sz w:val="24"/>
          <w:szCs w:val="24"/>
        </w:rPr>
        <w:t>y</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prawne </w:t>
      </w:r>
      <w:r w:rsidRPr="00CE63B7">
        <w:rPr>
          <w:rFonts w:ascii="Times New Roman" w:hAnsi="Times New Roman" w:cs="Times New Roman"/>
          <w:sz w:val="24"/>
          <w:szCs w:val="24"/>
        </w:rPr>
        <w:t xml:space="preserve">dla rynków </w:t>
      </w:r>
      <w:proofErr w:type="spellStart"/>
      <w:r w:rsidRPr="00CE63B7">
        <w:rPr>
          <w:rFonts w:ascii="Times New Roman" w:hAnsi="Times New Roman" w:cs="Times New Roman"/>
          <w:sz w:val="24"/>
          <w:szCs w:val="24"/>
        </w:rPr>
        <w:t>kryptoaktywów</w:t>
      </w:r>
      <w:proofErr w:type="spellEnd"/>
      <w:r w:rsidRPr="00CE63B7">
        <w:rPr>
          <w:rFonts w:ascii="Times New Roman" w:hAnsi="Times New Roman" w:cs="Times New Roman"/>
          <w:sz w:val="24"/>
          <w:szCs w:val="24"/>
        </w:rPr>
        <w:t xml:space="preserve">, </w:t>
      </w:r>
      <w:r>
        <w:rPr>
          <w:rFonts w:ascii="Times New Roman" w:hAnsi="Times New Roman" w:cs="Times New Roman"/>
          <w:sz w:val="24"/>
          <w:szCs w:val="24"/>
        </w:rPr>
        <w:t xml:space="preserve">wprowadzając </w:t>
      </w:r>
      <w:r w:rsidRPr="00CE63B7">
        <w:rPr>
          <w:rFonts w:ascii="Times New Roman" w:hAnsi="Times New Roman" w:cs="Times New Roman"/>
          <w:sz w:val="24"/>
          <w:szCs w:val="24"/>
        </w:rPr>
        <w:t xml:space="preserve">szczegółowe przepisy dotyczące </w:t>
      </w:r>
      <w:proofErr w:type="spellStart"/>
      <w:r w:rsidRPr="00CE63B7">
        <w:rPr>
          <w:rFonts w:ascii="Times New Roman" w:hAnsi="Times New Roman" w:cs="Times New Roman"/>
          <w:sz w:val="24"/>
          <w:szCs w:val="24"/>
        </w:rPr>
        <w:t>kryptoaktyw</w:t>
      </w:r>
      <w:r>
        <w:rPr>
          <w:rFonts w:ascii="Times New Roman" w:hAnsi="Times New Roman" w:cs="Times New Roman"/>
          <w:sz w:val="24"/>
          <w:szCs w:val="24"/>
        </w:rPr>
        <w:t>ów</w:t>
      </w:r>
      <w:proofErr w:type="spellEnd"/>
      <w:r>
        <w:rPr>
          <w:rFonts w:ascii="Times New Roman" w:hAnsi="Times New Roman" w:cs="Times New Roman"/>
          <w:sz w:val="24"/>
          <w:szCs w:val="24"/>
        </w:rPr>
        <w:t xml:space="preserve">, związanych z nimi </w:t>
      </w:r>
      <w:r w:rsidRPr="00CE63B7">
        <w:rPr>
          <w:rFonts w:ascii="Times New Roman" w:hAnsi="Times New Roman" w:cs="Times New Roman"/>
          <w:sz w:val="24"/>
          <w:szCs w:val="24"/>
        </w:rPr>
        <w:t xml:space="preserve">usług i działań, które nie są jeszcze objęte unijnymi aktami ustawodawczymi dotyczącymi usług finansowych. </w:t>
      </w:r>
      <w:r>
        <w:rPr>
          <w:rFonts w:ascii="Times New Roman" w:hAnsi="Times New Roman" w:cs="Times New Roman"/>
          <w:sz w:val="24"/>
          <w:szCs w:val="24"/>
        </w:rPr>
        <w:t>R</w:t>
      </w:r>
      <w:r w:rsidRPr="00CE63B7">
        <w:rPr>
          <w:rFonts w:ascii="Times New Roman" w:hAnsi="Times New Roman" w:cs="Times New Roman"/>
          <w:sz w:val="24"/>
          <w:szCs w:val="24"/>
        </w:rPr>
        <w:t>amy</w:t>
      </w:r>
      <w:r>
        <w:rPr>
          <w:rFonts w:ascii="Times New Roman" w:hAnsi="Times New Roman" w:cs="Times New Roman"/>
          <w:sz w:val="24"/>
          <w:szCs w:val="24"/>
        </w:rPr>
        <w:t xml:space="preserve"> te</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mają przede wszystkim </w:t>
      </w:r>
      <w:r w:rsidRPr="00CE63B7">
        <w:rPr>
          <w:rFonts w:ascii="Times New Roman" w:hAnsi="Times New Roman" w:cs="Times New Roman"/>
          <w:sz w:val="24"/>
          <w:szCs w:val="24"/>
        </w:rPr>
        <w:t xml:space="preserve">służyć wspieraniu innowacji i uczciwej konkurencji, a jednocześnie zapewniać wysoki poziom ochrony posiadaczy detalicznych i integralności rynków </w:t>
      </w:r>
      <w:proofErr w:type="spellStart"/>
      <w:r w:rsidRPr="00CE63B7">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 Unii Europejskiej</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Zaproponowanie transparentnych ram prawnych i jednolite uregulowanie przedmiotowej </w:t>
      </w:r>
      <w:r>
        <w:rPr>
          <w:rFonts w:ascii="Times New Roman" w:hAnsi="Times New Roman" w:cs="Times New Roman"/>
          <w:sz w:val="24"/>
          <w:szCs w:val="24"/>
        </w:rPr>
        <w:lastRenderedPageBreak/>
        <w:t xml:space="preserve">materii ma na celu </w:t>
      </w:r>
      <w:r w:rsidRPr="00CE63B7">
        <w:rPr>
          <w:rFonts w:ascii="Times New Roman" w:hAnsi="Times New Roman" w:cs="Times New Roman"/>
          <w:sz w:val="24"/>
          <w:szCs w:val="24"/>
        </w:rPr>
        <w:t>umożliwi</w:t>
      </w:r>
      <w:r>
        <w:rPr>
          <w:rFonts w:ascii="Times New Roman" w:hAnsi="Times New Roman" w:cs="Times New Roman"/>
          <w:sz w:val="24"/>
          <w:szCs w:val="24"/>
        </w:rPr>
        <w:t>enie</w:t>
      </w:r>
      <w:r w:rsidRPr="00CE63B7">
        <w:rPr>
          <w:rFonts w:ascii="Times New Roman" w:hAnsi="Times New Roman" w:cs="Times New Roman"/>
          <w:sz w:val="24"/>
          <w:szCs w:val="24"/>
        </w:rPr>
        <w:t xml:space="preserve"> dostawcom usług w zakresie </w:t>
      </w:r>
      <w:proofErr w:type="spellStart"/>
      <w:r w:rsidRPr="00CE63B7">
        <w:rPr>
          <w:rFonts w:ascii="Times New Roman" w:hAnsi="Times New Roman" w:cs="Times New Roman"/>
          <w:sz w:val="24"/>
          <w:szCs w:val="24"/>
        </w:rPr>
        <w:t>kryptoaktywów</w:t>
      </w:r>
      <w:proofErr w:type="spellEnd"/>
      <w:r w:rsidRPr="00CE63B7">
        <w:rPr>
          <w:rFonts w:ascii="Times New Roman" w:hAnsi="Times New Roman" w:cs="Times New Roman"/>
          <w:sz w:val="24"/>
          <w:szCs w:val="24"/>
        </w:rPr>
        <w:t xml:space="preserve"> zwiększenie skali ich działalności w wymiarze transgranicznym oraz</w:t>
      </w:r>
      <w:r>
        <w:rPr>
          <w:rFonts w:ascii="Times New Roman" w:hAnsi="Times New Roman" w:cs="Times New Roman"/>
          <w:sz w:val="24"/>
          <w:szCs w:val="24"/>
        </w:rPr>
        <w:t xml:space="preserve"> </w:t>
      </w:r>
      <w:r w:rsidRPr="00CE63B7">
        <w:rPr>
          <w:rFonts w:ascii="Times New Roman" w:hAnsi="Times New Roman" w:cs="Times New Roman"/>
          <w:sz w:val="24"/>
          <w:szCs w:val="24"/>
        </w:rPr>
        <w:t>ułatwi</w:t>
      </w:r>
      <w:r>
        <w:rPr>
          <w:rFonts w:ascii="Times New Roman" w:hAnsi="Times New Roman" w:cs="Times New Roman"/>
          <w:sz w:val="24"/>
          <w:szCs w:val="24"/>
        </w:rPr>
        <w:t>enie</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tym podmiotom </w:t>
      </w:r>
      <w:r w:rsidRPr="00CE63B7">
        <w:rPr>
          <w:rFonts w:ascii="Times New Roman" w:hAnsi="Times New Roman" w:cs="Times New Roman"/>
          <w:sz w:val="24"/>
          <w:szCs w:val="24"/>
        </w:rPr>
        <w:t>dostęp</w:t>
      </w:r>
      <w:r>
        <w:rPr>
          <w:rFonts w:ascii="Times New Roman" w:hAnsi="Times New Roman" w:cs="Times New Roman"/>
          <w:sz w:val="24"/>
          <w:szCs w:val="24"/>
        </w:rPr>
        <w:t>u</w:t>
      </w:r>
      <w:r w:rsidRPr="00CE63B7">
        <w:rPr>
          <w:rFonts w:ascii="Times New Roman" w:hAnsi="Times New Roman" w:cs="Times New Roman"/>
          <w:sz w:val="24"/>
          <w:szCs w:val="24"/>
        </w:rPr>
        <w:t xml:space="preserve"> do usług bankowych, aby mog</w:t>
      </w:r>
      <w:r>
        <w:rPr>
          <w:rFonts w:ascii="Times New Roman" w:hAnsi="Times New Roman" w:cs="Times New Roman"/>
          <w:sz w:val="24"/>
          <w:szCs w:val="24"/>
        </w:rPr>
        <w:t>ły</w:t>
      </w:r>
      <w:r w:rsidRPr="00CE63B7">
        <w:rPr>
          <w:rFonts w:ascii="Times New Roman" w:hAnsi="Times New Roman" w:cs="Times New Roman"/>
          <w:sz w:val="24"/>
          <w:szCs w:val="24"/>
        </w:rPr>
        <w:t xml:space="preserve"> sprawniej prowadzić swoją działalność. Unijne ramy dotyczące rynków </w:t>
      </w:r>
      <w:proofErr w:type="spellStart"/>
      <w:r w:rsidRPr="00CE63B7">
        <w:rPr>
          <w:rFonts w:ascii="Times New Roman" w:hAnsi="Times New Roman" w:cs="Times New Roman"/>
          <w:sz w:val="24"/>
          <w:szCs w:val="24"/>
        </w:rPr>
        <w:t>kryptoaktywów</w:t>
      </w:r>
      <w:proofErr w:type="spellEnd"/>
      <w:r w:rsidRPr="00CE63B7">
        <w:rPr>
          <w:rFonts w:ascii="Times New Roman" w:hAnsi="Times New Roman" w:cs="Times New Roman"/>
          <w:sz w:val="24"/>
          <w:szCs w:val="24"/>
        </w:rPr>
        <w:t xml:space="preserve"> </w:t>
      </w:r>
      <w:r>
        <w:rPr>
          <w:rFonts w:ascii="Times New Roman" w:hAnsi="Times New Roman" w:cs="Times New Roman"/>
          <w:sz w:val="24"/>
          <w:szCs w:val="24"/>
        </w:rPr>
        <w:t xml:space="preserve">przewidują </w:t>
      </w:r>
      <w:r w:rsidRPr="00CE63B7">
        <w:rPr>
          <w:rFonts w:ascii="Times New Roman" w:hAnsi="Times New Roman" w:cs="Times New Roman"/>
          <w:sz w:val="24"/>
          <w:szCs w:val="24"/>
        </w:rPr>
        <w:t>proporcjonalne traktowanie emite</w:t>
      </w:r>
      <w:r>
        <w:rPr>
          <w:rFonts w:ascii="Times New Roman" w:hAnsi="Times New Roman" w:cs="Times New Roman"/>
          <w:sz w:val="24"/>
          <w:szCs w:val="24"/>
        </w:rPr>
        <w:t>n</w:t>
      </w:r>
      <w:r w:rsidRPr="00CE63B7">
        <w:rPr>
          <w:rFonts w:ascii="Times New Roman" w:hAnsi="Times New Roman" w:cs="Times New Roman"/>
          <w:sz w:val="24"/>
          <w:szCs w:val="24"/>
        </w:rPr>
        <w:t xml:space="preserve">tów </w:t>
      </w:r>
      <w:proofErr w:type="spellStart"/>
      <w:r w:rsidRPr="00CE63B7">
        <w:rPr>
          <w:rFonts w:ascii="Times New Roman" w:hAnsi="Times New Roman" w:cs="Times New Roman"/>
          <w:sz w:val="24"/>
          <w:szCs w:val="24"/>
        </w:rPr>
        <w:t>kryptoaktywów</w:t>
      </w:r>
      <w:proofErr w:type="spellEnd"/>
      <w:r w:rsidRPr="00CE63B7">
        <w:rPr>
          <w:rFonts w:ascii="Times New Roman" w:hAnsi="Times New Roman" w:cs="Times New Roman"/>
          <w:sz w:val="24"/>
          <w:szCs w:val="24"/>
        </w:rPr>
        <w:t xml:space="preserve"> i</w:t>
      </w:r>
      <w:r>
        <w:rPr>
          <w:rFonts w:ascii="Times New Roman" w:hAnsi="Times New Roman" w:cs="Times New Roman"/>
          <w:sz w:val="24"/>
          <w:szCs w:val="24"/>
        </w:rPr>
        <w:t> </w:t>
      </w:r>
      <w:r w:rsidRPr="00CE63B7">
        <w:rPr>
          <w:rFonts w:ascii="Times New Roman" w:hAnsi="Times New Roman" w:cs="Times New Roman"/>
          <w:sz w:val="24"/>
          <w:szCs w:val="24"/>
        </w:rPr>
        <w:t xml:space="preserve">dostawców usług w zakresie </w:t>
      </w:r>
      <w:proofErr w:type="spellStart"/>
      <w:r w:rsidRPr="00CE63B7">
        <w:rPr>
          <w:rFonts w:ascii="Times New Roman" w:hAnsi="Times New Roman" w:cs="Times New Roman"/>
          <w:sz w:val="24"/>
          <w:szCs w:val="24"/>
        </w:rPr>
        <w:t>kryptoaktywów</w:t>
      </w:r>
      <w:proofErr w:type="spellEnd"/>
      <w:r w:rsidRPr="00CE63B7">
        <w:rPr>
          <w:rFonts w:ascii="Times New Roman" w:hAnsi="Times New Roman" w:cs="Times New Roman"/>
          <w:sz w:val="24"/>
          <w:szCs w:val="24"/>
        </w:rPr>
        <w:t>, zapewniając tym samym równe szanse wejścia na rynek oraz bieżący</w:t>
      </w:r>
      <w:r>
        <w:rPr>
          <w:rFonts w:ascii="Times New Roman" w:hAnsi="Times New Roman" w:cs="Times New Roman"/>
          <w:sz w:val="24"/>
          <w:szCs w:val="24"/>
        </w:rPr>
        <w:t>,</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jak </w:t>
      </w:r>
      <w:r w:rsidRPr="00CE63B7">
        <w:rPr>
          <w:rFonts w:ascii="Times New Roman" w:hAnsi="Times New Roman" w:cs="Times New Roman"/>
          <w:sz w:val="24"/>
          <w:szCs w:val="24"/>
        </w:rPr>
        <w:t xml:space="preserve">i przyszły rozwój rynków </w:t>
      </w:r>
      <w:proofErr w:type="spellStart"/>
      <w:r w:rsidRPr="00CE63B7">
        <w:rPr>
          <w:rFonts w:ascii="Times New Roman" w:hAnsi="Times New Roman" w:cs="Times New Roman"/>
          <w:sz w:val="24"/>
          <w:szCs w:val="24"/>
        </w:rPr>
        <w:t>kryptoaktywów</w:t>
      </w:r>
      <w:proofErr w:type="spellEnd"/>
      <w:r w:rsidRPr="00CE63B7">
        <w:rPr>
          <w:rFonts w:ascii="Times New Roman" w:hAnsi="Times New Roman" w:cs="Times New Roman"/>
          <w:sz w:val="24"/>
          <w:szCs w:val="24"/>
        </w:rPr>
        <w:t xml:space="preserve">. </w:t>
      </w:r>
      <w:r>
        <w:rPr>
          <w:rFonts w:ascii="Times New Roman" w:hAnsi="Times New Roman" w:cs="Times New Roman"/>
          <w:sz w:val="24"/>
          <w:szCs w:val="24"/>
        </w:rPr>
        <w:t xml:space="preserve">Proponowane w rozporządzeniu </w:t>
      </w:r>
      <w:proofErr w:type="spellStart"/>
      <w:r>
        <w:rPr>
          <w:rFonts w:ascii="Times New Roman" w:hAnsi="Times New Roman" w:cs="Times New Roman"/>
          <w:sz w:val="24"/>
          <w:szCs w:val="24"/>
        </w:rPr>
        <w:t>MiCA</w:t>
      </w:r>
      <w:proofErr w:type="spellEnd"/>
      <w:r>
        <w:rPr>
          <w:rFonts w:ascii="Times New Roman" w:hAnsi="Times New Roman" w:cs="Times New Roman"/>
          <w:sz w:val="24"/>
          <w:szCs w:val="24"/>
        </w:rPr>
        <w:t xml:space="preserve"> rozwiązania mają na celu </w:t>
      </w:r>
      <w:r w:rsidRPr="00CE63B7">
        <w:rPr>
          <w:rFonts w:ascii="Times New Roman" w:hAnsi="Times New Roman" w:cs="Times New Roman"/>
          <w:sz w:val="24"/>
          <w:szCs w:val="24"/>
        </w:rPr>
        <w:t>wsp</w:t>
      </w:r>
      <w:r>
        <w:rPr>
          <w:rFonts w:ascii="Times New Roman" w:hAnsi="Times New Roman" w:cs="Times New Roman"/>
          <w:sz w:val="24"/>
          <w:szCs w:val="24"/>
        </w:rPr>
        <w:t>arcie</w:t>
      </w:r>
      <w:r w:rsidRPr="00CE63B7">
        <w:rPr>
          <w:rFonts w:ascii="Times New Roman" w:hAnsi="Times New Roman" w:cs="Times New Roman"/>
          <w:sz w:val="24"/>
          <w:szCs w:val="24"/>
        </w:rPr>
        <w:t xml:space="preserve"> stabilnoś</w:t>
      </w:r>
      <w:r>
        <w:rPr>
          <w:rFonts w:ascii="Times New Roman" w:hAnsi="Times New Roman" w:cs="Times New Roman"/>
          <w:sz w:val="24"/>
          <w:szCs w:val="24"/>
        </w:rPr>
        <w:t>ci</w:t>
      </w:r>
      <w:r w:rsidRPr="00CE63B7">
        <w:rPr>
          <w:rFonts w:ascii="Times New Roman" w:hAnsi="Times New Roman" w:cs="Times New Roman"/>
          <w:sz w:val="24"/>
          <w:szCs w:val="24"/>
        </w:rPr>
        <w:t xml:space="preserve"> finansow</w:t>
      </w:r>
      <w:r>
        <w:rPr>
          <w:rFonts w:ascii="Times New Roman" w:hAnsi="Times New Roman" w:cs="Times New Roman"/>
          <w:sz w:val="24"/>
          <w:szCs w:val="24"/>
        </w:rPr>
        <w:t>ej</w:t>
      </w:r>
      <w:r w:rsidRPr="00CE63B7">
        <w:rPr>
          <w:rFonts w:ascii="Times New Roman" w:hAnsi="Times New Roman" w:cs="Times New Roman"/>
          <w:sz w:val="24"/>
          <w:szCs w:val="24"/>
        </w:rPr>
        <w:t xml:space="preserve"> i należyte</w:t>
      </w:r>
      <w:r>
        <w:rPr>
          <w:rFonts w:ascii="Times New Roman" w:hAnsi="Times New Roman" w:cs="Times New Roman"/>
          <w:sz w:val="24"/>
          <w:szCs w:val="24"/>
        </w:rPr>
        <w:t>go</w:t>
      </w:r>
      <w:r w:rsidRPr="00CE63B7">
        <w:rPr>
          <w:rFonts w:ascii="Times New Roman" w:hAnsi="Times New Roman" w:cs="Times New Roman"/>
          <w:sz w:val="24"/>
          <w:szCs w:val="24"/>
        </w:rPr>
        <w:t xml:space="preserve"> funkcjonowani</w:t>
      </w:r>
      <w:r>
        <w:rPr>
          <w:rFonts w:ascii="Times New Roman" w:hAnsi="Times New Roman" w:cs="Times New Roman"/>
          <w:sz w:val="24"/>
          <w:szCs w:val="24"/>
        </w:rPr>
        <w:t>a</w:t>
      </w:r>
      <w:r w:rsidRPr="00CE63B7">
        <w:rPr>
          <w:rFonts w:ascii="Times New Roman" w:hAnsi="Times New Roman" w:cs="Times New Roman"/>
          <w:sz w:val="24"/>
          <w:szCs w:val="24"/>
        </w:rPr>
        <w:t xml:space="preserve"> systemów płatniczych, a także przeciwdziała</w:t>
      </w:r>
      <w:r>
        <w:rPr>
          <w:rFonts w:ascii="Times New Roman" w:hAnsi="Times New Roman" w:cs="Times New Roman"/>
          <w:sz w:val="24"/>
          <w:szCs w:val="24"/>
        </w:rPr>
        <w:t>nie</w:t>
      </w:r>
      <w:r w:rsidRPr="00CE63B7">
        <w:rPr>
          <w:rFonts w:ascii="Times New Roman" w:hAnsi="Times New Roman" w:cs="Times New Roman"/>
          <w:sz w:val="24"/>
          <w:szCs w:val="24"/>
        </w:rPr>
        <w:t xml:space="preserve"> zagrożeniom dla polityki pieniężnej, jakie mogą stwarzać </w:t>
      </w:r>
      <w:proofErr w:type="spellStart"/>
      <w:r w:rsidRPr="00CE63B7">
        <w:rPr>
          <w:rFonts w:ascii="Times New Roman" w:hAnsi="Times New Roman" w:cs="Times New Roman"/>
          <w:sz w:val="24"/>
          <w:szCs w:val="24"/>
        </w:rPr>
        <w:t>kryptoaktywa</w:t>
      </w:r>
      <w:proofErr w:type="spellEnd"/>
      <w:r w:rsidRPr="00CE63B7">
        <w:rPr>
          <w:rFonts w:ascii="Times New Roman" w:hAnsi="Times New Roman" w:cs="Times New Roman"/>
          <w:sz w:val="24"/>
          <w:szCs w:val="24"/>
        </w:rPr>
        <w:t xml:space="preserve">. </w:t>
      </w:r>
      <w:r>
        <w:rPr>
          <w:rFonts w:ascii="Times New Roman" w:hAnsi="Times New Roman" w:cs="Times New Roman"/>
          <w:sz w:val="24"/>
          <w:szCs w:val="24"/>
        </w:rPr>
        <w:t>Ponadto w</w:t>
      </w:r>
      <w:r w:rsidRPr="00CE63B7">
        <w:rPr>
          <w:rFonts w:ascii="Times New Roman" w:hAnsi="Times New Roman" w:cs="Times New Roman"/>
          <w:sz w:val="24"/>
          <w:szCs w:val="24"/>
        </w:rPr>
        <w:t>łaściwe regulacje</w:t>
      </w:r>
      <w:r>
        <w:rPr>
          <w:rFonts w:ascii="Times New Roman" w:hAnsi="Times New Roman" w:cs="Times New Roman"/>
          <w:sz w:val="24"/>
          <w:szCs w:val="24"/>
        </w:rPr>
        <w:t xml:space="preserve"> mają przyczynić się do</w:t>
      </w:r>
      <w:r w:rsidRPr="00CE63B7">
        <w:rPr>
          <w:rFonts w:ascii="Times New Roman" w:hAnsi="Times New Roman" w:cs="Times New Roman"/>
          <w:sz w:val="24"/>
          <w:szCs w:val="24"/>
        </w:rPr>
        <w:t xml:space="preserve"> utrzym</w:t>
      </w:r>
      <w:r>
        <w:rPr>
          <w:rFonts w:ascii="Times New Roman" w:hAnsi="Times New Roman" w:cs="Times New Roman"/>
          <w:sz w:val="24"/>
          <w:szCs w:val="24"/>
        </w:rPr>
        <w:t>ania</w:t>
      </w:r>
      <w:r w:rsidRPr="00CE63B7">
        <w:rPr>
          <w:rFonts w:ascii="Times New Roman" w:hAnsi="Times New Roman" w:cs="Times New Roman"/>
          <w:sz w:val="24"/>
          <w:szCs w:val="24"/>
        </w:rPr>
        <w:t xml:space="preserve"> konkurencyjnoś</w:t>
      </w:r>
      <w:r>
        <w:rPr>
          <w:rFonts w:ascii="Times New Roman" w:hAnsi="Times New Roman" w:cs="Times New Roman"/>
          <w:sz w:val="24"/>
          <w:szCs w:val="24"/>
        </w:rPr>
        <w:t>ci</w:t>
      </w:r>
      <w:r w:rsidRPr="00CE63B7">
        <w:rPr>
          <w:rFonts w:ascii="Times New Roman" w:hAnsi="Times New Roman" w:cs="Times New Roman"/>
          <w:sz w:val="24"/>
          <w:szCs w:val="24"/>
        </w:rPr>
        <w:t xml:space="preserve"> państw członkowskich </w:t>
      </w:r>
      <w:r>
        <w:rPr>
          <w:rFonts w:ascii="Times New Roman" w:hAnsi="Times New Roman" w:cs="Times New Roman"/>
          <w:sz w:val="24"/>
          <w:szCs w:val="24"/>
        </w:rPr>
        <w:t xml:space="preserve">Unii Europejskiej </w:t>
      </w:r>
      <w:r w:rsidRPr="00CE63B7">
        <w:rPr>
          <w:rFonts w:ascii="Times New Roman" w:hAnsi="Times New Roman" w:cs="Times New Roman"/>
          <w:sz w:val="24"/>
          <w:szCs w:val="24"/>
        </w:rPr>
        <w:t>na światowych rynkach finansowych i technologicznych oraz zapewni</w:t>
      </w:r>
      <w:r>
        <w:rPr>
          <w:rFonts w:ascii="Times New Roman" w:hAnsi="Times New Roman" w:cs="Times New Roman"/>
          <w:sz w:val="24"/>
          <w:szCs w:val="24"/>
        </w:rPr>
        <w:t>ć</w:t>
      </w:r>
      <w:r w:rsidRPr="00CE63B7">
        <w:rPr>
          <w:rFonts w:ascii="Times New Roman" w:hAnsi="Times New Roman" w:cs="Times New Roman"/>
          <w:sz w:val="24"/>
          <w:szCs w:val="24"/>
        </w:rPr>
        <w:t xml:space="preserve"> klientom znaczne korzyści w postaci dostępu do tańszych, szybszych i bezpieczniejszych usług finansowych.</w:t>
      </w:r>
    </w:p>
    <w:p w14:paraId="7492AD06" w14:textId="77777777" w:rsidR="00C21D4B" w:rsidRDefault="00C21D4B" w:rsidP="00695ECE">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1B3F02">
        <w:rPr>
          <w:rFonts w:ascii="Times New Roman" w:hAnsi="Times New Roman" w:cs="Times New Roman"/>
          <w:sz w:val="24"/>
          <w:szCs w:val="24"/>
        </w:rPr>
        <w:t xml:space="preserve">ozporządzenie </w:t>
      </w:r>
      <w:proofErr w:type="spellStart"/>
      <w:r>
        <w:rPr>
          <w:rFonts w:ascii="Times New Roman" w:hAnsi="Times New Roman" w:cs="Times New Roman"/>
          <w:sz w:val="24"/>
          <w:szCs w:val="24"/>
        </w:rPr>
        <w:t>MiCA</w:t>
      </w:r>
      <w:proofErr w:type="spellEnd"/>
      <w:r>
        <w:rPr>
          <w:rFonts w:ascii="Times New Roman" w:hAnsi="Times New Roman" w:cs="Times New Roman"/>
          <w:sz w:val="24"/>
          <w:szCs w:val="24"/>
        </w:rPr>
        <w:t xml:space="preserve"> </w:t>
      </w:r>
      <w:bookmarkEnd w:id="1"/>
      <w:r w:rsidRPr="001B3F02">
        <w:rPr>
          <w:rFonts w:ascii="Times New Roman" w:hAnsi="Times New Roman" w:cs="Times New Roman"/>
          <w:sz w:val="24"/>
          <w:szCs w:val="24"/>
        </w:rPr>
        <w:t xml:space="preserve">reguluje między innymi </w:t>
      </w:r>
      <w:r>
        <w:rPr>
          <w:rFonts w:ascii="Times New Roman" w:hAnsi="Times New Roman" w:cs="Times New Roman"/>
          <w:sz w:val="24"/>
          <w:szCs w:val="24"/>
        </w:rPr>
        <w:t xml:space="preserve">emitowanie, </w:t>
      </w:r>
      <w:r w:rsidRPr="001B3F02">
        <w:rPr>
          <w:rFonts w:ascii="Times New Roman" w:hAnsi="Times New Roman" w:cs="Times New Roman"/>
          <w:sz w:val="24"/>
          <w:szCs w:val="24"/>
        </w:rPr>
        <w:t>publiczne oferowanie, i</w:t>
      </w:r>
      <w:r>
        <w:rPr>
          <w:rFonts w:ascii="Times New Roman" w:hAnsi="Times New Roman" w:cs="Times New Roman"/>
          <w:sz w:val="24"/>
          <w:szCs w:val="24"/>
        </w:rPr>
        <w:t> </w:t>
      </w:r>
      <w:r w:rsidRPr="001B3F02">
        <w:rPr>
          <w:rFonts w:ascii="Times New Roman" w:hAnsi="Times New Roman" w:cs="Times New Roman"/>
          <w:sz w:val="24"/>
          <w:szCs w:val="24"/>
        </w:rPr>
        <w:t xml:space="preserve">dopuszczanie do obrotu na platformach obrotu </w:t>
      </w:r>
      <w:proofErr w:type="spellStart"/>
      <w:r w:rsidRPr="001B3F02">
        <w:rPr>
          <w:rFonts w:ascii="Times New Roman" w:hAnsi="Times New Roman" w:cs="Times New Roman"/>
          <w:sz w:val="24"/>
          <w:szCs w:val="24"/>
        </w:rPr>
        <w:t>kryptoaktywów</w:t>
      </w:r>
      <w:proofErr w:type="spellEnd"/>
      <w:r w:rsidRPr="001B3F02">
        <w:rPr>
          <w:rFonts w:ascii="Times New Roman" w:hAnsi="Times New Roman" w:cs="Times New Roman"/>
          <w:sz w:val="24"/>
          <w:szCs w:val="24"/>
        </w:rPr>
        <w:t xml:space="preserve"> </w:t>
      </w:r>
      <w:proofErr w:type="spellStart"/>
      <w:r w:rsidRPr="001B3F02">
        <w:rPr>
          <w:rFonts w:ascii="Times New Roman" w:hAnsi="Times New Roman" w:cs="Times New Roman"/>
          <w:sz w:val="24"/>
          <w:szCs w:val="24"/>
        </w:rPr>
        <w:t>tokenów</w:t>
      </w:r>
      <w:proofErr w:type="spellEnd"/>
      <w:r w:rsidRPr="001B3F02">
        <w:rPr>
          <w:rFonts w:ascii="Times New Roman" w:hAnsi="Times New Roman" w:cs="Times New Roman"/>
          <w:sz w:val="24"/>
          <w:szCs w:val="24"/>
        </w:rPr>
        <w:t xml:space="preserve"> powiązanych z</w:t>
      </w:r>
      <w:r>
        <w:rPr>
          <w:rFonts w:ascii="Times New Roman" w:hAnsi="Times New Roman" w:cs="Times New Roman"/>
          <w:sz w:val="24"/>
          <w:szCs w:val="24"/>
        </w:rPr>
        <w:t> </w:t>
      </w:r>
      <w:r w:rsidRPr="001B3F02">
        <w:rPr>
          <w:rFonts w:ascii="Times New Roman" w:hAnsi="Times New Roman" w:cs="Times New Roman"/>
          <w:sz w:val="24"/>
          <w:szCs w:val="24"/>
        </w:rPr>
        <w:t>aktywami (</w:t>
      </w:r>
      <w:r>
        <w:rPr>
          <w:rFonts w:ascii="Times New Roman" w:hAnsi="Times New Roman" w:cs="Times New Roman"/>
          <w:sz w:val="24"/>
          <w:szCs w:val="24"/>
        </w:rPr>
        <w:t xml:space="preserve">ang. </w:t>
      </w:r>
      <w:proofErr w:type="spellStart"/>
      <w:r w:rsidRPr="00D96767">
        <w:rPr>
          <w:rFonts w:ascii="Times New Roman" w:hAnsi="Times New Roman" w:cs="Times New Roman"/>
          <w:i/>
          <w:iCs/>
          <w:sz w:val="24"/>
          <w:szCs w:val="24"/>
        </w:rPr>
        <w:t>asset-referenced</w:t>
      </w:r>
      <w:proofErr w:type="spellEnd"/>
      <w:r w:rsidRPr="00D96767">
        <w:rPr>
          <w:rFonts w:ascii="Times New Roman" w:hAnsi="Times New Roman" w:cs="Times New Roman"/>
          <w:i/>
          <w:iCs/>
          <w:sz w:val="24"/>
          <w:szCs w:val="24"/>
        </w:rPr>
        <w:t xml:space="preserve"> </w:t>
      </w:r>
      <w:proofErr w:type="spellStart"/>
      <w:r w:rsidRPr="00D96767">
        <w:rPr>
          <w:rFonts w:ascii="Times New Roman" w:hAnsi="Times New Roman" w:cs="Times New Roman"/>
          <w:i/>
          <w:iCs/>
          <w:sz w:val="24"/>
          <w:szCs w:val="24"/>
        </w:rPr>
        <w:t>tokens</w:t>
      </w:r>
      <w:proofErr w:type="spellEnd"/>
      <w:r w:rsidRPr="00D96767">
        <w:rPr>
          <w:rFonts w:ascii="Times New Roman" w:hAnsi="Times New Roman" w:cs="Times New Roman"/>
          <w:i/>
          <w:iCs/>
          <w:sz w:val="24"/>
          <w:szCs w:val="24"/>
        </w:rPr>
        <w:t>,</w:t>
      </w:r>
      <w:r>
        <w:rPr>
          <w:rFonts w:ascii="Times New Roman" w:hAnsi="Times New Roman" w:cs="Times New Roman"/>
          <w:sz w:val="24"/>
          <w:szCs w:val="24"/>
        </w:rPr>
        <w:t xml:space="preserve"> </w:t>
      </w:r>
      <w:r w:rsidRPr="001B3F02">
        <w:rPr>
          <w:rFonts w:ascii="Times New Roman" w:hAnsi="Times New Roman" w:cs="Times New Roman"/>
          <w:sz w:val="24"/>
          <w:szCs w:val="24"/>
        </w:rPr>
        <w:t xml:space="preserve">ART), </w:t>
      </w:r>
      <w:proofErr w:type="spellStart"/>
      <w:r w:rsidRPr="001B3F02">
        <w:rPr>
          <w:rFonts w:ascii="Times New Roman" w:hAnsi="Times New Roman" w:cs="Times New Roman"/>
          <w:sz w:val="24"/>
          <w:szCs w:val="24"/>
        </w:rPr>
        <w:t>tokenów</w:t>
      </w:r>
      <w:proofErr w:type="spellEnd"/>
      <w:r w:rsidRPr="001B3F02">
        <w:rPr>
          <w:rFonts w:ascii="Times New Roman" w:hAnsi="Times New Roman" w:cs="Times New Roman"/>
          <w:sz w:val="24"/>
          <w:szCs w:val="24"/>
        </w:rPr>
        <w:t xml:space="preserve"> </w:t>
      </w:r>
      <w:r>
        <w:rPr>
          <w:rFonts w:ascii="Times New Roman" w:hAnsi="Times New Roman" w:cs="Times New Roman"/>
          <w:sz w:val="24"/>
          <w:szCs w:val="24"/>
        </w:rPr>
        <w:t xml:space="preserve">będących </w:t>
      </w:r>
      <w:r w:rsidRPr="001B3F02">
        <w:rPr>
          <w:rFonts w:ascii="Times New Roman" w:hAnsi="Times New Roman" w:cs="Times New Roman"/>
          <w:sz w:val="24"/>
          <w:szCs w:val="24"/>
        </w:rPr>
        <w:t>pieniądz</w:t>
      </w:r>
      <w:r>
        <w:rPr>
          <w:rFonts w:ascii="Times New Roman" w:hAnsi="Times New Roman" w:cs="Times New Roman"/>
          <w:sz w:val="24"/>
          <w:szCs w:val="24"/>
        </w:rPr>
        <w:t>em</w:t>
      </w:r>
      <w:r w:rsidRPr="001B3F02">
        <w:rPr>
          <w:rFonts w:ascii="Times New Roman" w:hAnsi="Times New Roman" w:cs="Times New Roman"/>
          <w:sz w:val="24"/>
          <w:szCs w:val="24"/>
        </w:rPr>
        <w:t xml:space="preserve"> elektroniczn</w:t>
      </w:r>
      <w:r>
        <w:rPr>
          <w:rFonts w:ascii="Times New Roman" w:hAnsi="Times New Roman" w:cs="Times New Roman"/>
          <w:sz w:val="24"/>
          <w:szCs w:val="24"/>
        </w:rPr>
        <w:t>ym</w:t>
      </w:r>
      <w:r w:rsidRPr="001B3F02">
        <w:rPr>
          <w:rFonts w:ascii="Times New Roman" w:hAnsi="Times New Roman" w:cs="Times New Roman"/>
          <w:sz w:val="24"/>
          <w:szCs w:val="24"/>
        </w:rPr>
        <w:t xml:space="preserve"> (</w:t>
      </w:r>
      <w:r w:rsidRPr="00EA1BF7">
        <w:rPr>
          <w:rFonts w:ascii="Times New Roman" w:hAnsi="Times New Roman" w:cs="Times New Roman"/>
          <w:sz w:val="24"/>
          <w:szCs w:val="24"/>
        </w:rPr>
        <w:t>ang</w:t>
      </w:r>
      <w:r w:rsidRPr="00D96767">
        <w:rPr>
          <w:rFonts w:ascii="Times New Roman" w:hAnsi="Times New Roman" w:cs="Times New Roman"/>
          <w:i/>
          <w:iCs/>
          <w:sz w:val="24"/>
          <w:szCs w:val="24"/>
        </w:rPr>
        <w:t xml:space="preserve">. </w:t>
      </w:r>
      <w:proofErr w:type="spellStart"/>
      <w:r w:rsidRPr="00D96767">
        <w:rPr>
          <w:rFonts w:ascii="Times New Roman" w:hAnsi="Times New Roman" w:cs="Times New Roman"/>
          <w:i/>
          <w:iCs/>
          <w:sz w:val="24"/>
          <w:szCs w:val="24"/>
        </w:rPr>
        <w:t>electronic</w:t>
      </w:r>
      <w:proofErr w:type="spellEnd"/>
      <w:r w:rsidRPr="00D96767">
        <w:rPr>
          <w:rFonts w:ascii="Times New Roman" w:hAnsi="Times New Roman" w:cs="Times New Roman"/>
          <w:i/>
          <w:iCs/>
          <w:sz w:val="24"/>
          <w:szCs w:val="24"/>
        </w:rPr>
        <w:t xml:space="preserve"> </w:t>
      </w:r>
      <w:proofErr w:type="spellStart"/>
      <w:r w:rsidRPr="00D96767">
        <w:rPr>
          <w:rFonts w:ascii="Times New Roman" w:hAnsi="Times New Roman" w:cs="Times New Roman"/>
          <w:i/>
          <w:iCs/>
          <w:sz w:val="24"/>
          <w:szCs w:val="24"/>
        </w:rPr>
        <w:t>money</w:t>
      </w:r>
      <w:proofErr w:type="spellEnd"/>
      <w:r w:rsidRPr="00D96767">
        <w:rPr>
          <w:rFonts w:ascii="Times New Roman" w:hAnsi="Times New Roman" w:cs="Times New Roman"/>
          <w:i/>
          <w:iCs/>
          <w:sz w:val="24"/>
          <w:szCs w:val="24"/>
        </w:rPr>
        <w:t xml:space="preserve"> </w:t>
      </w:r>
      <w:proofErr w:type="spellStart"/>
      <w:r w:rsidRPr="00D96767">
        <w:rPr>
          <w:rFonts w:ascii="Times New Roman" w:hAnsi="Times New Roman" w:cs="Times New Roman"/>
          <w:i/>
          <w:iCs/>
          <w:sz w:val="24"/>
          <w:szCs w:val="24"/>
        </w:rPr>
        <w:t>token</w:t>
      </w:r>
      <w:proofErr w:type="spellEnd"/>
      <w:r>
        <w:rPr>
          <w:rFonts w:ascii="Times New Roman" w:hAnsi="Times New Roman" w:cs="Times New Roman"/>
          <w:sz w:val="24"/>
          <w:szCs w:val="24"/>
        </w:rPr>
        <w:t xml:space="preserve">, </w:t>
      </w:r>
      <w:r w:rsidRPr="001B3F02">
        <w:rPr>
          <w:rFonts w:ascii="Times New Roman" w:hAnsi="Times New Roman" w:cs="Times New Roman"/>
          <w:sz w:val="24"/>
          <w:szCs w:val="24"/>
        </w:rPr>
        <w:t xml:space="preserve">EMT) </w:t>
      </w:r>
      <w:r>
        <w:rPr>
          <w:rFonts w:ascii="Times New Roman" w:hAnsi="Times New Roman" w:cs="Times New Roman"/>
          <w:sz w:val="24"/>
          <w:szCs w:val="24"/>
        </w:rPr>
        <w:t xml:space="preserve">oraz pewnych kategorii </w:t>
      </w:r>
      <w:proofErr w:type="spellStart"/>
      <w:r>
        <w:rPr>
          <w:rFonts w:ascii="Times New Roman" w:hAnsi="Times New Roman" w:cs="Times New Roman"/>
          <w:sz w:val="24"/>
          <w:szCs w:val="24"/>
        </w:rPr>
        <w:t>tokenów</w:t>
      </w:r>
      <w:proofErr w:type="spellEnd"/>
      <w:r>
        <w:rPr>
          <w:rFonts w:ascii="Times New Roman" w:hAnsi="Times New Roman" w:cs="Times New Roman"/>
          <w:sz w:val="24"/>
          <w:szCs w:val="24"/>
        </w:rPr>
        <w:t xml:space="preserve"> innych niż </w:t>
      </w:r>
      <w:proofErr w:type="spellStart"/>
      <w:r>
        <w:rPr>
          <w:rFonts w:ascii="Times New Roman" w:hAnsi="Times New Roman" w:cs="Times New Roman"/>
          <w:sz w:val="24"/>
          <w:szCs w:val="24"/>
        </w:rPr>
        <w:t>tokeny</w:t>
      </w:r>
      <w:proofErr w:type="spellEnd"/>
      <w:r>
        <w:rPr>
          <w:rFonts w:ascii="Times New Roman" w:hAnsi="Times New Roman" w:cs="Times New Roman"/>
          <w:sz w:val="24"/>
          <w:szCs w:val="24"/>
        </w:rPr>
        <w:t xml:space="preserve"> ART i EMT. Ponadto na podstawie przepisów rozporządzenia </w:t>
      </w:r>
      <w:proofErr w:type="spellStart"/>
      <w:r>
        <w:rPr>
          <w:rFonts w:ascii="Times New Roman" w:hAnsi="Times New Roman" w:cs="Times New Roman"/>
          <w:sz w:val="24"/>
          <w:szCs w:val="24"/>
        </w:rPr>
        <w:t>MiCA</w:t>
      </w:r>
      <w:proofErr w:type="spellEnd"/>
      <w:r>
        <w:rPr>
          <w:rFonts w:ascii="Times New Roman" w:hAnsi="Times New Roman" w:cs="Times New Roman"/>
          <w:sz w:val="24"/>
          <w:szCs w:val="24"/>
        </w:rPr>
        <w:t xml:space="preserve"> zostaje wprowadzone </w:t>
      </w:r>
      <w:r w:rsidRPr="00EF24EC">
        <w:rPr>
          <w:rFonts w:ascii="Times New Roman" w:hAnsi="Times New Roman" w:cs="Times New Roman"/>
          <w:sz w:val="24"/>
          <w:szCs w:val="24"/>
        </w:rPr>
        <w:t>zezwolenie</w:t>
      </w:r>
      <w:r>
        <w:rPr>
          <w:rFonts w:ascii="Times New Roman" w:hAnsi="Times New Roman" w:cs="Times New Roman"/>
          <w:sz w:val="24"/>
          <w:szCs w:val="24"/>
        </w:rPr>
        <w:t xml:space="preserve"> </w:t>
      </w:r>
      <w:r w:rsidRPr="00EF24EC">
        <w:rPr>
          <w:rFonts w:ascii="Times New Roman" w:hAnsi="Times New Roman" w:cs="Times New Roman"/>
          <w:sz w:val="24"/>
          <w:szCs w:val="24"/>
        </w:rPr>
        <w:t xml:space="preserve">na prowadzenie działalności w charakterze dostawcy usług w zakresie </w:t>
      </w:r>
      <w:proofErr w:type="spellStart"/>
      <w:r w:rsidRPr="00EF24EC">
        <w:rPr>
          <w:rFonts w:ascii="Times New Roman" w:hAnsi="Times New Roman" w:cs="Times New Roman"/>
          <w:sz w:val="24"/>
          <w:szCs w:val="24"/>
        </w:rPr>
        <w:t>kryptoaktywów</w:t>
      </w:r>
      <w:proofErr w:type="spellEnd"/>
      <w:r w:rsidRPr="00EF24EC">
        <w:rPr>
          <w:rFonts w:ascii="Times New Roman" w:hAnsi="Times New Roman" w:cs="Times New Roman"/>
          <w:sz w:val="24"/>
          <w:szCs w:val="24"/>
        </w:rPr>
        <w:t xml:space="preserve"> (</w:t>
      </w:r>
      <w:r>
        <w:rPr>
          <w:rFonts w:ascii="Times New Roman" w:hAnsi="Times New Roman" w:cs="Times New Roman"/>
          <w:sz w:val="24"/>
          <w:szCs w:val="24"/>
        </w:rPr>
        <w:t>ang.</w:t>
      </w:r>
      <w:r w:rsidRPr="00EF24EC">
        <w:rPr>
          <w:rFonts w:ascii="Times New Roman" w:hAnsi="Times New Roman" w:cs="Times New Roman"/>
          <w:i/>
          <w:iCs/>
          <w:sz w:val="24"/>
          <w:szCs w:val="24"/>
        </w:rPr>
        <w:t> </w:t>
      </w:r>
      <w:proofErr w:type="spellStart"/>
      <w:r w:rsidRPr="00EF24EC">
        <w:rPr>
          <w:rFonts w:ascii="Times New Roman" w:hAnsi="Times New Roman" w:cs="Times New Roman"/>
          <w:i/>
          <w:iCs/>
          <w:sz w:val="24"/>
          <w:szCs w:val="24"/>
        </w:rPr>
        <w:t>crypto-servce</w:t>
      </w:r>
      <w:proofErr w:type="spellEnd"/>
      <w:r w:rsidRPr="00EF24EC">
        <w:rPr>
          <w:rFonts w:ascii="Times New Roman" w:hAnsi="Times New Roman" w:cs="Times New Roman"/>
          <w:i/>
          <w:iCs/>
          <w:sz w:val="24"/>
          <w:szCs w:val="24"/>
        </w:rPr>
        <w:t xml:space="preserve"> </w:t>
      </w:r>
      <w:proofErr w:type="spellStart"/>
      <w:r w:rsidRPr="00EF24EC">
        <w:rPr>
          <w:rFonts w:ascii="Times New Roman" w:hAnsi="Times New Roman" w:cs="Times New Roman"/>
          <w:i/>
          <w:iCs/>
          <w:sz w:val="24"/>
          <w:szCs w:val="24"/>
        </w:rPr>
        <w:t>asset</w:t>
      </w:r>
      <w:proofErr w:type="spellEnd"/>
      <w:r w:rsidRPr="00EF24EC">
        <w:rPr>
          <w:rFonts w:ascii="Times New Roman" w:hAnsi="Times New Roman" w:cs="Times New Roman"/>
          <w:i/>
          <w:iCs/>
          <w:sz w:val="24"/>
          <w:szCs w:val="24"/>
        </w:rPr>
        <w:t xml:space="preserve"> </w:t>
      </w:r>
      <w:proofErr w:type="spellStart"/>
      <w:r w:rsidRPr="00EF24EC">
        <w:rPr>
          <w:rFonts w:ascii="Times New Roman" w:hAnsi="Times New Roman" w:cs="Times New Roman"/>
          <w:i/>
          <w:iCs/>
          <w:sz w:val="24"/>
          <w:szCs w:val="24"/>
        </w:rPr>
        <w:t>provider</w:t>
      </w:r>
      <w:proofErr w:type="spellEnd"/>
      <w:r>
        <w:rPr>
          <w:rFonts w:ascii="Times New Roman" w:hAnsi="Times New Roman" w:cs="Times New Roman"/>
          <w:i/>
          <w:iCs/>
          <w:sz w:val="24"/>
          <w:szCs w:val="24"/>
        </w:rPr>
        <w:t xml:space="preserve">, </w:t>
      </w:r>
      <w:r w:rsidRPr="00EF24EC">
        <w:rPr>
          <w:rFonts w:ascii="Times New Roman" w:hAnsi="Times New Roman" w:cs="Times New Roman"/>
          <w:sz w:val="24"/>
          <w:szCs w:val="24"/>
        </w:rPr>
        <w:t xml:space="preserve">CASP). </w:t>
      </w:r>
      <w:r>
        <w:rPr>
          <w:rFonts w:ascii="Times New Roman" w:hAnsi="Times New Roman" w:cs="Times New Roman"/>
          <w:sz w:val="24"/>
          <w:szCs w:val="24"/>
        </w:rPr>
        <w:t xml:space="preserve">Dostawcy </w:t>
      </w:r>
      <w:r w:rsidRPr="00EF24EC">
        <w:rPr>
          <w:rFonts w:ascii="Times New Roman" w:hAnsi="Times New Roman" w:cs="Times New Roman"/>
          <w:sz w:val="24"/>
          <w:szCs w:val="24"/>
        </w:rPr>
        <w:t>po uzyskaniu zezwolenia</w:t>
      </w:r>
      <w:r>
        <w:rPr>
          <w:rFonts w:ascii="Times New Roman" w:hAnsi="Times New Roman" w:cs="Times New Roman"/>
          <w:sz w:val="24"/>
          <w:szCs w:val="24"/>
        </w:rPr>
        <w:t xml:space="preserve"> </w:t>
      </w:r>
      <w:r w:rsidRPr="00EF24EC">
        <w:rPr>
          <w:rFonts w:ascii="Times New Roman" w:hAnsi="Times New Roman" w:cs="Times New Roman"/>
          <w:sz w:val="24"/>
          <w:szCs w:val="24"/>
        </w:rPr>
        <w:t>będ</w:t>
      </w:r>
      <w:r>
        <w:rPr>
          <w:rFonts w:ascii="Times New Roman" w:hAnsi="Times New Roman" w:cs="Times New Roman"/>
          <w:sz w:val="24"/>
          <w:szCs w:val="24"/>
        </w:rPr>
        <w:t>ą</w:t>
      </w:r>
      <w:r w:rsidRPr="00EF24EC">
        <w:rPr>
          <w:rFonts w:ascii="Times New Roman" w:hAnsi="Times New Roman" w:cs="Times New Roman"/>
          <w:sz w:val="24"/>
          <w:szCs w:val="24"/>
        </w:rPr>
        <w:t xml:space="preserve"> uprawni</w:t>
      </w:r>
      <w:r>
        <w:rPr>
          <w:rFonts w:ascii="Times New Roman" w:hAnsi="Times New Roman" w:cs="Times New Roman"/>
          <w:sz w:val="24"/>
          <w:szCs w:val="24"/>
        </w:rPr>
        <w:t>eni</w:t>
      </w:r>
      <w:r w:rsidRPr="00EF24EC">
        <w:rPr>
          <w:rFonts w:ascii="Times New Roman" w:hAnsi="Times New Roman" w:cs="Times New Roman"/>
          <w:sz w:val="24"/>
          <w:szCs w:val="24"/>
        </w:rPr>
        <w:t xml:space="preserve"> do</w:t>
      </w:r>
      <w:r>
        <w:rPr>
          <w:rFonts w:ascii="Times New Roman" w:hAnsi="Times New Roman" w:cs="Times New Roman"/>
          <w:sz w:val="24"/>
          <w:szCs w:val="24"/>
        </w:rPr>
        <w:t xml:space="preserve"> </w:t>
      </w:r>
      <w:r w:rsidRPr="00EF24EC">
        <w:rPr>
          <w:rFonts w:ascii="Times New Roman" w:hAnsi="Times New Roman" w:cs="Times New Roman"/>
          <w:sz w:val="24"/>
          <w:szCs w:val="24"/>
        </w:rPr>
        <w:t>świadczenia</w:t>
      </w:r>
      <w:r>
        <w:rPr>
          <w:rFonts w:ascii="Times New Roman" w:hAnsi="Times New Roman" w:cs="Times New Roman"/>
          <w:sz w:val="24"/>
          <w:szCs w:val="24"/>
        </w:rPr>
        <w:t xml:space="preserve"> na rzecz klientów </w:t>
      </w:r>
      <w:r w:rsidRPr="00EF24EC">
        <w:rPr>
          <w:rFonts w:ascii="Times New Roman" w:hAnsi="Times New Roman" w:cs="Times New Roman"/>
          <w:sz w:val="24"/>
          <w:szCs w:val="24"/>
        </w:rPr>
        <w:t>usług w</w:t>
      </w:r>
      <w:r>
        <w:rPr>
          <w:rFonts w:ascii="Times New Roman" w:hAnsi="Times New Roman" w:cs="Times New Roman"/>
          <w:sz w:val="24"/>
          <w:szCs w:val="24"/>
        </w:rPr>
        <w:t xml:space="preserve"> </w:t>
      </w:r>
      <w:r w:rsidRPr="00EF24EC">
        <w:rPr>
          <w:rFonts w:ascii="Times New Roman" w:hAnsi="Times New Roman" w:cs="Times New Roman"/>
          <w:sz w:val="24"/>
          <w:szCs w:val="24"/>
        </w:rPr>
        <w:t>zakresie</w:t>
      </w:r>
      <w:r>
        <w:rPr>
          <w:rFonts w:ascii="Times New Roman" w:hAnsi="Times New Roman" w:cs="Times New Roman"/>
          <w:sz w:val="24"/>
          <w:szCs w:val="24"/>
        </w:rPr>
        <w:t xml:space="preserve"> </w:t>
      </w:r>
      <w:proofErr w:type="spellStart"/>
      <w:r w:rsidRPr="00EF24EC">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t>
      </w:r>
      <w:r w:rsidRPr="00EF24EC">
        <w:rPr>
          <w:rFonts w:ascii="Times New Roman" w:hAnsi="Times New Roman" w:cs="Times New Roman"/>
          <w:sz w:val="24"/>
          <w:szCs w:val="24"/>
        </w:rPr>
        <w:t>przewidzianych</w:t>
      </w:r>
      <w:r>
        <w:rPr>
          <w:rFonts w:ascii="Times New Roman" w:hAnsi="Times New Roman" w:cs="Times New Roman"/>
          <w:sz w:val="24"/>
          <w:szCs w:val="24"/>
        </w:rPr>
        <w:t xml:space="preserve"> </w:t>
      </w:r>
      <w:r w:rsidRPr="00EF24EC">
        <w:rPr>
          <w:rFonts w:ascii="Times New Roman" w:hAnsi="Times New Roman" w:cs="Times New Roman"/>
          <w:sz w:val="24"/>
          <w:szCs w:val="24"/>
        </w:rPr>
        <w:t>w</w:t>
      </w:r>
      <w:r>
        <w:rPr>
          <w:rFonts w:ascii="Times New Roman" w:hAnsi="Times New Roman" w:cs="Times New Roman"/>
          <w:sz w:val="24"/>
          <w:szCs w:val="24"/>
        </w:rPr>
        <w:t xml:space="preserve"> przedmiotowym </w:t>
      </w:r>
      <w:r w:rsidRPr="00EF24EC">
        <w:rPr>
          <w:rFonts w:ascii="Times New Roman" w:hAnsi="Times New Roman" w:cs="Times New Roman"/>
          <w:sz w:val="24"/>
          <w:szCs w:val="24"/>
        </w:rPr>
        <w:t>rozporządzeniu.</w:t>
      </w:r>
      <w:r>
        <w:rPr>
          <w:rFonts w:ascii="Times New Roman" w:hAnsi="Times New Roman" w:cs="Times New Roman"/>
          <w:sz w:val="24"/>
          <w:szCs w:val="24"/>
        </w:rPr>
        <w:t xml:space="preserve"> Docelowo rozporządzenie </w:t>
      </w:r>
      <w:proofErr w:type="spellStart"/>
      <w:r>
        <w:rPr>
          <w:rFonts w:ascii="Times New Roman" w:hAnsi="Times New Roman" w:cs="Times New Roman"/>
          <w:sz w:val="24"/>
          <w:szCs w:val="24"/>
        </w:rPr>
        <w:t>MiCA</w:t>
      </w:r>
      <w:proofErr w:type="spellEnd"/>
      <w:r>
        <w:rPr>
          <w:rFonts w:ascii="Times New Roman" w:hAnsi="Times New Roman" w:cs="Times New Roman"/>
          <w:sz w:val="24"/>
          <w:szCs w:val="24"/>
        </w:rPr>
        <w:t xml:space="preserve"> zobowiązuje państwa członkowskie do wyznaczenia organu właściwego, odpowiedzialnego, wraz z europejskim systemem nadzoru, za nadzór nad podmiotami objętymi regulacją rozporządzenia </w:t>
      </w:r>
      <w:proofErr w:type="spellStart"/>
      <w:r>
        <w:rPr>
          <w:rFonts w:ascii="Times New Roman" w:hAnsi="Times New Roman" w:cs="Times New Roman"/>
          <w:sz w:val="24"/>
          <w:szCs w:val="24"/>
        </w:rPr>
        <w:t>MiCA</w:t>
      </w:r>
      <w:proofErr w:type="spellEnd"/>
      <w:r>
        <w:rPr>
          <w:rFonts w:ascii="Times New Roman" w:hAnsi="Times New Roman" w:cs="Times New Roman"/>
          <w:sz w:val="24"/>
          <w:szCs w:val="24"/>
        </w:rPr>
        <w:t xml:space="preserve">, w tym przede wszystkim poprzez wydawanie zezwoleń oraz nakładanie sankcji za nieprzestrzeganie rozporządzenia </w:t>
      </w:r>
      <w:proofErr w:type="spellStart"/>
      <w:r>
        <w:rPr>
          <w:rFonts w:ascii="Times New Roman" w:hAnsi="Times New Roman" w:cs="Times New Roman"/>
          <w:sz w:val="24"/>
          <w:szCs w:val="24"/>
        </w:rPr>
        <w:t>MiCA</w:t>
      </w:r>
      <w:proofErr w:type="spellEnd"/>
      <w:r>
        <w:rPr>
          <w:rFonts w:ascii="Times New Roman" w:hAnsi="Times New Roman" w:cs="Times New Roman"/>
          <w:sz w:val="24"/>
          <w:szCs w:val="24"/>
        </w:rPr>
        <w:t>.</w:t>
      </w:r>
    </w:p>
    <w:p w14:paraId="3A04A216" w14:textId="5C3D1931" w:rsidR="00C21D4B" w:rsidRPr="00AE743C" w:rsidRDefault="00C21D4B" w:rsidP="00695ECE">
      <w:pPr>
        <w:spacing w:line="360" w:lineRule="auto"/>
        <w:jc w:val="both"/>
        <w:rPr>
          <w:rFonts w:ascii="Times New Roman" w:hAnsi="Times New Roman" w:cs="Times New Roman"/>
          <w:b/>
          <w:bCs/>
          <w:sz w:val="24"/>
          <w:szCs w:val="24"/>
        </w:rPr>
      </w:pPr>
      <w:r w:rsidRPr="00AE743C">
        <w:rPr>
          <w:rFonts w:ascii="Times New Roman" w:hAnsi="Times New Roman" w:cs="Times New Roman"/>
          <w:b/>
          <w:bCs/>
          <w:sz w:val="24"/>
          <w:szCs w:val="24"/>
        </w:rPr>
        <w:t>II</w:t>
      </w:r>
      <w:r w:rsidR="0054570C">
        <w:rPr>
          <w:rFonts w:ascii="Times New Roman" w:hAnsi="Times New Roman" w:cs="Times New Roman"/>
          <w:b/>
          <w:bCs/>
          <w:sz w:val="24"/>
          <w:szCs w:val="24"/>
        </w:rPr>
        <w:t>I</w:t>
      </w:r>
      <w:r w:rsidRPr="00AE743C">
        <w:rPr>
          <w:rFonts w:ascii="Times New Roman" w:hAnsi="Times New Roman" w:cs="Times New Roman"/>
          <w:b/>
          <w:bCs/>
          <w:sz w:val="24"/>
          <w:szCs w:val="24"/>
        </w:rPr>
        <w:t>. Najważniejsze rozwiązania przewidziane w proponowanych przepisach</w:t>
      </w:r>
      <w:r>
        <w:rPr>
          <w:rFonts w:ascii="Times New Roman" w:hAnsi="Times New Roman" w:cs="Times New Roman"/>
          <w:b/>
          <w:bCs/>
          <w:sz w:val="24"/>
          <w:szCs w:val="24"/>
        </w:rPr>
        <w:t xml:space="preserve"> ustawy</w:t>
      </w:r>
      <w:r w:rsidRPr="00AE743C">
        <w:rPr>
          <w:rFonts w:ascii="Times New Roman" w:hAnsi="Times New Roman" w:cs="Times New Roman"/>
          <w:b/>
          <w:bCs/>
          <w:sz w:val="24"/>
          <w:szCs w:val="24"/>
        </w:rPr>
        <w:t>:</w:t>
      </w:r>
    </w:p>
    <w:p w14:paraId="5ECAF6D7" w14:textId="77777777" w:rsidR="00C21D4B" w:rsidRPr="006C1C44" w:rsidRDefault="00C21D4B" w:rsidP="00695ECE">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1)</w:t>
      </w:r>
      <w:r w:rsidRPr="006C1C44">
        <w:rPr>
          <w:rFonts w:ascii="Times New Roman" w:hAnsi="Times New Roman" w:cs="Times New Roman"/>
          <w:sz w:val="24"/>
          <w:szCs w:val="24"/>
        </w:rPr>
        <w:tab/>
        <w:t xml:space="preserve">Wyznaczenie Komisji Nadzoru Finansowego </w:t>
      </w:r>
      <w:r>
        <w:rPr>
          <w:rFonts w:ascii="Times New Roman" w:hAnsi="Times New Roman" w:cs="Times New Roman"/>
          <w:sz w:val="24"/>
          <w:szCs w:val="24"/>
        </w:rPr>
        <w:t xml:space="preserve">(dalej: KNF lub Komisja) </w:t>
      </w:r>
      <w:r w:rsidRPr="006C1C44">
        <w:rPr>
          <w:rFonts w:ascii="Times New Roman" w:hAnsi="Times New Roman" w:cs="Times New Roman"/>
          <w:sz w:val="24"/>
          <w:szCs w:val="24"/>
        </w:rPr>
        <w:t xml:space="preserve">jako właściwego organu </w:t>
      </w:r>
      <w:r>
        <w:rPr>
          <w:rFonts w:ascii="Times New Roman" w:hAnsi="Times New Roman" w:cs="Times New Roman"/>
          <w:sz w:val="24"/>
          <w:szCs w:val="24"/>
        </w:rPr>
        <w:t>odpowiedzialnego za wykonywanie funkcji i obowiązków wynikających z </w:t>
      </w:r>
      <w:r w:rsidRPr="006C1C44">
        <w:rPr>
          <w:rFonts w:ascii="Times New Roman" w:hAnsi="Times New Roman" w:cs="Times New Roman"/>
          <w:sz w:val="24"/>
          <w:szCs w:val="24"/>
        </w:rPr>
        <w:t>rozporządzenia 2023/1114 i wprowadzenie narzędzi służących skutecznemu wykonywaniu przez KNF nadzoru i realizacji postanowień przedmiotowego rozporządzenia.</w:t>
      </w:r>
    </w:p>
    <w:p w14:paraId="2B6C6F92" w14:textId="77777777" w:rsidR="00C21D4B" w:rsidRPr="006C1C44" w:rsidRDefault="00C21D4B" w:rsidP="00695ECE">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2)</w:t>
      </w:r>
      <w:r w:rsidRPr="006C1C44">
        <w:rPr>
          <w:rFonts w:ascii="Times New Roman" w:hAnsi="Times New Roman" w:cs="Times New Roman"/>
          <w:sz w:val="24"/>
          <w:szCs w:val="24"/>
        </w:rPr>
        <w:tab/>
        <w:t xml:space="preserve">Określenie obowiązków emitentów </w:t>
      </w:r>
      <w:proofErr w:type="spellStart"/>
      <w:r w:rsidRPr="006C1C44">
        <w:rPr>
          <w:rFonts w:ascii="Times New Roman" w:hAnsi="Times New Roman" w:cs="Times New Roman"/>
          <w:sz w:val="24"/>
          <w:szCs w:val="24"/>
        </w:rPr>
        <w:t>tokenów</w:t>
      </w:r>
      <w:proofErr w:type="spellEnd"/>
      <w:r w:rsidRPr="006C1C44">
        <w:rPr>
          <w:rFonts w:ascii="Times New Roman" w:hAnsi="Times New Roman" w:cs="Times New Roman"/>
          <w:sz w:val="24"/>
          <w:szCs w:val="24"/>
        </w:rPr>
        <w:t xml:space="preserve"> powiązanych z aktywami i </w:t>
      </w:r>
      <w:proofErr w:type="spellStart"/>
      <w:r w:rsidRPr="006C1C44">
        <w:rPr>
          <w:rFonts w:ascii="Times New Roman" w:hAnsi="Times New Roman" w:cs="Times New Roman"/>
          <w:sz w:val="24"/>
          <w:szCs w:val="24"/>
        </w:rPr>
        <w:t>tokenów</w:t>
      </w:r>
      <w:proofErr w:type="spellEnd"/>
      <w:r w:rsidRPr="006C1C44">
        <w:rPr>
          <w:rFonts w:ascii="Times New Roman" w:hAnsi="Times New Roman" w:cs="Times New Roman"/>
          <w:sz w:val="24"/>
          <w:szCs w:val="24"/>
        </w:rPr>
        <w:t xml:space="preserve"> </w:t>
      </w:r>
      <w:r>
        <w:rPr>
          <w:rFonts w:ascii="Times New Roman" w:hAnsi="Times New Roman" w:cs="Times New Roman"/>
          <w:sz w:val="24"/>
          <w:szCs w:val="24"/>
        </w:rPr>
        <w:t>będących</w:t>
      </w:r>
      <w:r w:rsidRPr="006C1C44">
        <w:rPr>
          <w:rFonts w:ascii="Times New Roman" w:hAnsi="Times New Roman" w:cs="Times New Roman"/>
          <w:sz w:val="24"/>
          <w:szCs w:val="24"/>
        </w:rPr>
        <w:t xml:space="preserve"> e-pieniądzem oraz dostawców usług w zakresie </w:t>
      </w:r>
      <w:proofErr w:type="spellStart"/>
      <w:r w:rsidRPr="006C1C44">
        <w:rPr>
          <w:rFonts w:ascii="Times New Roman" w:hAnsi="Times New Roman" w:cs="Times New Roman"/>
          <w:sz w:val="24"/>
          <w:szCs w:val="24"/>
        </w:rPr>
        <w:t>kryptoaktywów</w:t>
      </w:r>
      <w:proofErr w:type="spellEnd"/>
      <w:r w:rsidRPr="006C1C44">
        <w:rPr>
          <w:rFonts w:ascii="Times New Roman" w:hAnsi="Times New Roman" w:cs="Times New Roman"/>
          <w:sz w:val="24"/>
          <w:szCs w:val="24"/>
        </w:rPr>
        <w:t xml:space="preserve">, w tym zobowiązanie </w:t>
      </w:r>
      <w:r>
        <w:rPr>
          <w:rFonts w:ascii="Times New Roman" w:hAnsi="Times New Roman" w:cs="Times New Roman"/>
          <w:sz w:val="24"/>
          <w:szCs w:val="24"/>
        </w:rPr>
        <w:lastRenderedPageBreak/>
        <w:t xml:space="preserve">ww. </w:t>
      </w:r>
      <w:r w:rsidRPr="006C1C44">
        <w:rPr>
          <w:rFonts w:ascii="Times New Roman" w:hAnsi="Times New Roman" w:cs="Times New Roman"/>
          <w:sz w:val="24"/>
          <w:szCs w:val="24"/>
        </w:rPr>
        <w:t xml:space="preserve">emitentów do przekazywania KNF informacji dotyczących ich działalności, które </w:t>
      </w:r>
      <w:r>
        <w:rPr>
          <w:rFonts w:ascii="Times New Roman" w:hAnsi="Times New Roman" w:cs="Times New Roman"/>
          <w:sz w:val="24"/>
          <w:szCs w:val="24"/>
        </w:rPr>
        <w:t xml:space="preserve">będą </w:t>
      </w:r>
      <w:r w:rsidRPr="006C1C44">
        <w:rPr>
          <w:rFonts w:ascii="Times New Roman" w:hAnsi="Times New Roman" w:cs="Times New Roman"/>
          <w:sz w:val="24"/>
          <w:szCs w:val="24"/>
        </w:rPr>
        <w:t>podlega</w:t>
      </w:r>
      <w:r>
        <w:rPr>
          <w:rFonts w:ascii="Times New Roman" w:hAnsi="Times New Roman" w:cs="Times New Roman"/>
          <w:sz w:val="24"/>
          <w:szCs w:val="24"/>
        </w:rPr>
        <w:t>ły</w:t>
      </w:r>
      <w:r w:rsidRPr="006C1C44">
        <w:rPr>
          <w:rFonts w:ascii="Times New Roman" w:hAnsi="Times New Roman" w:cs="Times New Roman"/>
          <w:sz w:val="24"/>
          <w:szCs w:val="24"/>
        </w:rPr>
        <w:t xml:space="preserve"> ocenie </w:t>
      </w:r>
      <w:r>
        <w:rPr>
          <w:rFonts w:ascii="Times New Roman" w:hAnsi="Times New Roman" w:cs="Times New Roman"/>
          <w:sz w:val="24"/>
          <w:szCs w:val="24"/>
        </w:rPr>
        <w:t xml:space="preserve">tego organu </w:t>
      </w:r>
      <w:r w:rsidRPr="006C1C44">
        <w:rPr>
          <w:rFonts w:ascii="Times New Roman" w:hAnsi="Times New Roman" w:cs="Times New Roman"/>
          <w:sz w:val="24"/>
          <w:szCs w:val="24"/>
        </w:rPr>
        <w:t>nadzorc</w:t>
      </w:r>
      <w:r>
        <w:rPr>
          <w:rFonts w:ascii="Times New Roman" w:hAnsi="Times New Roman" w:cs="Times New Roman"/>
          <w:sz w:val="24"/>
          <w:szCs w:val="24"/>
        </w:rPr>
        <w:t>zego</w:t>
      </w:r>
      <w:r w:rsidRPr="006C1C44">
        <w:rPr>
          <w:rFonts w:ascii="Times New Roman" w:hAnsi="Times New Roman" w:cs="Times New Roman"/>
          <w:sz w:val="24"/>
          <w:szCs w:val="24"/>
        </w:rPr>
        <w:t xml:space="preserve">. Przewiduje się również wyposażenie KNF w uprawnienie żądania od podmiotów nadzorowanych </w:t>
      </w:r>
      <w:r>
        <w:rPr>
          <w:rFonts w:ascii="Times New Roman" w:hAnsi="Times New Roman" w:cs="Times New Roman"/>
          <w:sz w:val="24"/>
          <w:szCs w:val="24"/>
        </w:rPr>
        <w:t xml:space="preserve">dodatkowych, lecz </w:t>
      </w:r>
      <w:r w:rsidRPr="006C1C44">
        <w:rPr>
          <w:rFonts w:ascii="Times New Roman" w:hAnsi="Times New Roman" w:cs="Times New Roman"/>
          <w:sz w:val="24"/>
          <w:szCs w:val="24"/>
        </w:rPr>
        <w:t>niezbędnych informacji od tych podmiotów</w:t>
      </w:r>
      <w:r>
        <w:rPr>
          <w:rFonts w:ascii="Times New Roman" w:hAnsi="Times New Roman" w:cs="Times New Roman"/>
          <w:sz w:val="24"/>
          <w:szCs w:val="24"/>
        </w:rPr>
        <w:t>, w celu należytego wykonywania nadzoru</w:t>
      </w:r>
      <w:r w:rsidRPr="006C1C44">
        <w:rPr>
          <w:rFonts w:ascii="Times New Roman" w:hAnsi="Times New Roman" w:cs="Times New Roman"/>
          <w:sz w:val="24"/>
          <w:szCs w:val="24"/>
        </w:rPr>
        <w:t>.</w:t>
      </w:r>
    </w:p>
    <w:p w14:paraId="7A01093B" w14:textId="77777777" w:rsidR="00C21D4B" w:rsidRPr="006C1C44" w:rsidRDefault="00C21D4B" w:rsidP="00695ECE">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3)</w:t>
      </w:r>
      <w:r w:rsidRPr="006C1C44">
        <w:rPr>
          <w:rFonts w:ascii="Times New Roman" w:hAnsi="Times New Roman" w:cs="Times New Roman"/>
          <w:sz w:val="24"/>
          <w:szCs w:val="24"/>
        </w:rPr>
        <w:tab/>
        <w:t xml:space="preserve">Wprowadzenie środków nadzorczych </w:t>
      </w:r>
      <w:r>
        <w:rPr>
          <w:rFonts w:ascii="Times New Roman" w:hAnsi="Times New Roman" w:cs="Times New Roman"/>
          <w:sz w:val="24"/>
          <w:szCs w:val="24"/>
        </w:rPr>
        <w:t>mających na celu</w:t>
      </w:r>
      <w:r w:rsidRPr="006C1C44">
        <w:rPr>
          <w:rFonts w:ascii="Times New Roman" w:hAnsi="Times New Roman" w:cs="Times New Roman"/>
          <w:sz w:val="24"/>
          <w:szCs w:val="24"/>
        </w:rPr>
        <w:t xml:space="preserve"> przeciwdziałani</w:t>
      </w:r>
      <w:r>
        <w:rPr>
          <w:rFonts w:ascii="Times New Roman" w:hAnsi="Times New Roman" w:cs="Times New Roman"/>
          <w:sz w:val="24"/>
          <w:szCs w:val="24"/>
        </w:rPr>
        <w:t>e</w:t>
      </w:r>
      <w:r w:rsidRPr="006C1C44">
        <w:rPr>
          <w:rFonts w:ascii="Times New Roman" w:hAnsi="Times New Roman" w:cs="Times New Roman"/>
          <w:sz w:val="24"/>
          <w:szCs w:val="24"/>
        </w:rPr>
        <w:t xml:space="preserve"> naruszeniom, których mogą dopuścić się podmioty nadzorowane. W przypadku naruszenia przepisów </w:t>
      </w:r>
      <w:r>
        <w:rPr>
          <w:rFonts w:ascii="Times New Roman" w:hAnsi="Times New Roman" w:cs="Times New Roman"/>
          <w:sz w:val="24"/>
          <w:szCs w:val="24"/>
        </w:rPr>
        <w:t>r</w:t>
      </w:r>
      <w:r w:rsidRPr="006C1C44">
        <w:rPr>
          <w:rFonts w:ascii="Times New Roman" w:hAnsi="Times New Roman" w:cs="Times New Roman"/>
          <w:sz w:val="24"/>
          <w:szCs w:val="24"/>
        </w:rPr>
        <w:t>ozporządzenia 2023/1114</w:t>
      </w:r>
      <w:r>
        <w:rPr>
          <w:rFonts w:ascii="Times New Roman" w:hAnsi="Times New Roman" w:cs="Times New Roman"/>
          <w:sz w:val="24"/>
          <w:szCs w:val="24"/>
        </w:rPr>
        <w:t xml:space="preserve"> lub przepisów projektowanej ustawy</w:t>
      </w:r>
      <w:r w:rsidRPr="006C1C44">
        <w:rPr>
          <w:rFonts w:ascii="Times New Roman" w:hAnsi="Times New Roman" w:cs="Times New Roman"/>
          <w:sz w:val="24"/>
          <w:szCs w:val="24"/>
        </w:rPr>
        <w:t xml:space="preserve">, aktów delegowanych lub wykonawczych, proponuje się przyznanie KNF środków </w:t>
      </w:r>
      <w:r>
        <w:rPr>
          <w:rFonts w:ascii="Times New Roman" w:hAnsi="Times New Roman" w:cs="Times New Roman"/>
          <w:sz w:val="24"/>
          <w:szCs w:val="24"/>
        </w:rPr>
        <w:t xml:space="preserve">nadzorczych </w:t>
      </w:r>
      <w:r w:rsidRPr="006C1C44">
        <w:rPr>
          <w:rFonts w:ascii="Times New Roman" w:hAnsi="Times New Roman" w:cs="Times New Roman"/>
          <w:sz w:val="24"/>
          <w:szCs w:val="24"/>
        </w:rPr>
        <w:t xml:space="preserve">w szczególności </w:t>
      </w:r>
      <w:r>
        <w:rPr>
          <w:rFonts w:ascii="Times New Roman" w:hAnsi="Times New Roman" w:cs="Times New Roman"/>
          <w:sz w:val="24"/>
          <w:szCs w:val="24"/>
        </w:rPr>
        <w:t xml:space="preserve">w postaci </w:t>
      </w:r>
      <w:r w:rsidRPr="006C1C44">
        <w:rPr>
          <w:rFonts w:ascii="Times New Roman" w:hAnsi="Times New Roman" w:cs="Times New Roman"/>
          <w:sz w:val="24"/>
          <w:szCs w:val="24"/>
        </w:rPr>
        <w:t>nakazu wstrzymani</w:t>
      </w:r>
      <w:r>
        <w:rPr>
          <w:rFonts w:ascii="Times New Roman" w:hAnsi="Times New Roman" w:cs="Times New Roman"/>
          <w:sz w:val="24"/>
          <w:szCs w:val="24"/>
        </w:rPr>
        <w:t>a</w:t>
      </w:r>
      <w:r w:rsidRPr="006C1C44">
        <w:rPr>
          <w:rFonts w:ascii="Times New Roman" w:hAnsi="Times New Roman" w:cs="Times New Roman"/>
          <w:sz w:val="24"/>
          <w:szCs w:val="24"/>
        </w:rPr>
        <w:t xml:space="preserve"> oferty publicznej </w:t>
      </w:r>
      <w:proofErr w:type="spellStart"/>
      <w:r w:rsidRPr="006C1C44">
        <w:rPr>
          <w:rFonts w:ascii="Times New Roman" w:hAnsi="Times New Roman" w:cs="Times New Roman"/>
          <w:sz w:val="24"/>
          <w:szCs w:val="24"/>
        </w:rPr>
        <w:t>kryptoaktywów</w:t>
      </w:r>
      <w:proofErr w:type="spellEnd"/>
      <w:r w:rsidRPr="006C1C44">
        <w:rPr>
          <w:rFonts w:ascii="Times New Roman" w:hAnsi="Times New Roman" w:cs="Times New Roman"/>
          <w:sz w:val="24"/>
          <w:szCs w:val="24"/>
        </w:rPr>
        <w:t>, przerwani</w:t>
      </w:r>
      <w:r>
        <w:rPr>
          <w:rFonts w:ascii="Times New Roman" w:hAnsi="Times New Roman" w:cs="Times New Roman"/>
          <w:sz w:val="24"/>
          <w:szCs w:val="24"/>
        </w:rPr>
        <w:t>a</w:t>
      </w:r>
      <w:r w:rsidRPr="006C1C44">
        <w:rPr>
          <w:rFonts w:ascii="Times New Roman" w:hAnsi="Times New Roman" w:cs="Times New Roman"/>
          <w:sz w:val="24"/>
          <w:szCs w:val="24"/>
        </w:rPr>
        <w:t xml:space="preserve"> jej przebiegu na określony czas, zakaz</w:t>
      </w:r>
      <w:r>
        <w:rPr>
          <w:rFonts w:ascii="Times New Roman" w:hAnsi="Times New Roman" w:cs="Times New Roman"/>
          <w:sz w:val="24"/>
          <w:szCs w:val="24"/>
        </w:rPr>
        <w:t>u</w:t>
      </w:r>
      <w:r w:rsidRPr="006C1C44">
        <w:rPr>
          <w:rFonts w:ascii="Times New Roman" w:hAnsi="Times New Roman" w:cs="Times New Roman"/>
          <w:sz w:val="24"/>
          <w:szCs w:val="24"/>
        </w:rPr>
        <w:t xml:space="preserve"> rozpoczęcia oferty publicznej lub zakaz</w:t>
      </w:r>
      <w:r>
        <w:rPr>
          <w:rFonts w:ascii="Times New Roman" w:hAnsi="Times New Roman" w:cs="Times New Roman"/>
          <w:sz w:val="24"/>
          <w:szCs w:val="24"/>
        </w:rPr>
        <w:t>u</w:t>
      </w:r>
      <w:r w:rsidRPr="006C1C44">
        <w:rPr>
          <w:rFonts w:ascii="Times New Roman" w:hAnsi="Times New Roman" w:cs="Times New Roman"/>
          <w:sz w:val="24"/>
          <w:szCs w:val="24"/>
        </w:rPr>
        <w:t xml:space="preserve"> dopuszczenia </w:t>
      </w:r>
      <w:proofErr w:type="spellStart"/>
      <w:r w:rsidRPr="006C1C44">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do obrotu</w:t>
      </w:r>
      <w:r w:rsidRPr="006C1C44">
        <w:rPr>
          <w:rFonts w:ascii="Times New Roman" w:hAnsi="Times New Roman" w:cs="Times New Roman"/>
          <w:sz w:val="24"/>
          <w:szCs w:val="24"/>
        </w:rPr>
        <w:t>.</w:t>
      </w:r>
    </w:p>
    <w:p w14:paraId="14CC0A6E" w14:textId="77777777" w:rsidR="00C21D4B" w:rsidRPr="006C1C44" w:rsidRDefault="00C21D4B" w:rsidP="00695ECE">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4)</w:t>
      </w:r>
      <w:r w:rsidRPr="006C1C44">
        <w:rPr>
          <w:rFonts w:ascii="Times New Roman" w:hAnsi="Times New Roman" w:cs="Times New Roman"/>
          <w:sz w:val="24"/>
          <w:szCs w:val="24"/>
        </w:rPr>
        <w:tab/>
      </w:r>
      <w:r>
        <w:rPr>
          <w:rFonts w:ascii="Times New Roman" w:hAnsi="Times New Roman" w:cs="Times New Roman"/>
          <w:sz w:val="24"/>
          <w:szCs w:val="24"/>
        </w:rPr>
        <w:t>Upoważnienie</w:t>
      </w:r>
      <w:r w:rsidRPr="006C1C44">
        <w:rPr>
          <w:rFonts w:ascii="Times New Roman" w:hAnsi="Times New Roman" w:cs="Times New Roman"/>
          <w:sz w:val="24"/>
          <w:szCs w:val="24"/>
        </w:rPr>
        <w:t xml:space="preserve"> KNF</w:t>
      </w:r>
      <w:r>
        <w:rPr>
          <w:rFonts w:ascii="Times New Roman" w:hAnsi="Times New Roman" w:cs="Times New Roman"/>
          <w:sz w:val="24"/>
          <w:szCs w:val="24"/>
        </w:rPr>
        <w:t xml:space="preserve"> do nakładania sankcji</w:t>
      </w:r>
      <w:r w:rsidRPr="006C1C44">
        <w:rPr>
          <w:rFonts w:ascii="Times New Roman" w:hAnsi="Times New Roman" w:cs="Times New Roman"/>
          <w:sz w:val="24"/>
          <w:szCs w:val="24"/>
        </w:rPr>
        <w:t xml:space="preserve"> na oferujących, emitentów lub os</w:t>
      </w:r>
      <w:r>
        <w:rPr>
          <w:rFonts w:ascii="Times New Roman" w:hAnsi="Times New Roman" w:cs="Times New Roman"/>
          <w:sz w:val="24"/>
          <w:szCs w:val="24"/>
        </w:rPr>
        <w:t>oby</w:t>
      </w:r>
      <w:r w:rsidRPr="006C1C44">
        <w:rPr>
          <w:rFonts w:ascii="Times New Roman" w:hAnsi="Times New Roman" w:cs="Times New Roman"/>
          <w:sz w:val="24"/>
          <w:szCs w:val="24"/>
        </w:rPr>
        <w:t xml:space="preserve"> ubiegając</w:t>
      </w:r>
      <w:r>
        <w:rPr>
          <w:rFonts w:ascii="Times New Roman" w:hAnsi="Times New Roman" w:cs="Times New Roman"/>
          <w:sz w:val="24"/>
          <w:szCs w:val="24"/>
        </w:rPr>
        <w:t>e</w:t>
      </w:r>
      <w:r w:rsidRPr="006C1C44">
        <w:rPr>
          <w:rFonts w:ascii="Times New Roman" w:hAnsi="Times New Roman" w:cs="Times New Roman"/>
          <w:sz w:val="24"/>
          <w:szCs w:val="24"/>
        </w:rPr>
        <w:t xml:space="preserve"> się o dopuszczenie </w:t>
      </w:r>
      <w:proofErr w:type="spellStart"/>
      <w:r w:rsidRPr="006C1C44">
        <w:rPr>
          <w:rFonts w:ascii="Times New Roman" w:hAnsi="Times New Roman" w:cs="Times New Roman"/>
          <w:sz w:val="24"/>
          <w:szCs w:val="24"/>
        </w:rPr>
        <w:t>kryptoaktywów</w:t>
      </w:r>
      <w:proofErr w:type="spellEnd"/>
      <w:r w:rsidRPr="006C1C44">
        <w:rPr>
          <w:rFonts w:ascii="Times New Roman" w:hAnsi="Times New Roman" w:cs="Times New Roman"/>
          <w:sz w:val="24"/>
          <w:szCs w:val="24"/>
        </w:rPr>
        <w:t xml:space="preserve">, a także wprowadzenie kompetencji nadzorczych KNF w zakresie m.in. możliwości nałożenia kary pieniężnej na osoby zawodowo pośredniczące w zawieraniu transakcji związanych z </w:t>
      </w:r>
      <w:proofErr w:type="spellStart"/>
      <w:r w:rsidRPr="006C1C44">
        <w:rPr>
          <w:rFonts w:ascii="Times New Roman" w:hAnsi="Times New Roman" w:cs="Times New Roman"/>
          <w:sz w:val="24"/>
          <w:szCs w:val="24"/>
        </w:rPr>
        <w:t>kryptoaktywami</w:t>
      </w:r>
      <w:proofErr w:type="spellEnd"/>
      <w:r w:rsidRPr="006C1C44">
        <w:rPr>
          <w:rFonts w:ascii="Times New Roman" w:hAnsi="Times New Roman" w:cs="Times New Roman"/>
          <w:sz w:val="24"/>
          <w:szCs w:val="24"/>
        </w:rPr>
        <w:t xml:space="preserve"> lub realizujące takie transakcje. Przewiduje się również wyposażenie KNF w </w:t>
      </w:r>
      <w:r>
        <w:rPr>
          <w:rFonts w:ascii="Times New Roman" w:hAnsi="Times New Roman" w:cs="Times New Roman"/>
          <w:sz w:val="24"/>
          <w:szCs w:val="24"/>
        </w:rPr>
        <w:t>uprawnienie do nakładania sankcji administracyjnoprawnych</w:t>
      </w:r>
      <w:r w:rsidRPr="006C1C44">
        <w:rPr>
          <w:rFonts w:ascii="Times New Roman" w:hAnsi="Times New Roman" w:cs="Times New Roman"/>
          <w:sz w:val="24"/>
          <w:szCs w:val="24"/>
        </w:rPr>
        <w:t xml:space="preserve"> </w:t>
      </w:r>
      <w:r>
        <w:rPr>
          <w:rFonts w:ascii="Times New Roman" w:hAnsi="Times New Roman" w:cs="Times New Roman"/>
          <w:sz w:val="24"/>
          <w:szCs w:val="24"/>
        </w:rPr>
        <w:t>na </w:t>
      </w:r>
      <w:r w:rsidRPr="006C1C44">
        <w:rPr>
          <w:rFonts w:ascii="Times New Roman" w:hAnsi="Times New Roman" w:cs="Times New Roman"/>
          <w:sz w:val="24"/>
          <w:szCs w:val="24"/>
        </w:rPr>
        <w:t xml:space="preserve">dostawców usług w zakresie </w:t>
      </w:r>
      <w:proofErr w:type="spellStart"/>
      <w:r w:rsidRPr="006C1C44">
        <w:rPr>
          <w:rFonts w:ascii="Times New Roman" w:hAnsi="Times New Roman" w:cs="Times New Roman"/>
          <w:sz w:val="24"/>
          <w:szCs w:val="24"/>
        </w:rPr>
        <w:t>kryptoaktywów</w:t>
      </w:r>
      <w:proofErr w:type="spellEnd"/>
      <w:r w:rsidRPr="006C1C44">
        <w:rPr>
          <w:rFonts w:ascii="Times New Roman" w:hAnsi="Times New Roman" w:cs="Times New Roman"/>
          <w:sz w:val="24"/>
          <w:szCs w:val="24"/>
        </w:rPr>
        <w:t>.</w:t>
      </w:r>
    </w:p>
    <w:p w14:paraId="72B8EA4F" w14:textId="546B567C" w:rsidR="00C21D4B" w:rsidRPr="006C1C44" w:rsidRDefault="00C21D4B" w:rsidP="00695ECE">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5)</w:t>
      </w:r>
      <w:r w:rsidRPr="006C1C44">
        <w:rPr>
          <w:rFonts w:ascii="Times New Roman" w:hAnsi="Times New Roman" w:cs="Times New Roman"/>
          <w:sz w:val="24"/>
          <w:szCs w:val="24"/>
        </w:rPr>
        <w:tab/>
        <w:t xml:space="preserve">Wprowadzenie odpowiedzialności karnej </w:t>
      </w:r>
      <w:r>
        <w:rPr>
          <w:rFonts w:ascii="Times New Roman" w:hAnsi="Times New Roman" w:cs="Times New Roman"/>
          <w:sz w:val="24"/>
          <w:szCs w:val="24"/>
        </w:rPr>
        <w:t xml:space="preserve">za przestępstwa popełniane m.in. w związku z dokonywaniem emisji </w:t>
      </w:r>
      <w:proofErr w:type="spellStart"/>
      <w:r>
        <w:rPr>
          <w:rFonts w:ascii="Times New Roman" w:hAnsi="Times New Roman" w:cs="Times New Roman"/>
          <w:sz w:val="24"/>
          <w:szCs w:val="24"/>
        </w:rPr>
        <w:t>tokenów</w:t>
      </w:r>
      <w:proofErr w:type="spellEnd"/>
      <w:r>
        <w:rPr>
          <w:rFonts w:ascii="Times New Roman" w:hAnsi="Times New Roman" w:cs="Times New Roman"/>
          <w:sz w:val="24"/>
          <w:szCs w:val="24"/>
        </w:rPr>
        <w:t xml:space="preserve"> powiązanych z aktywami lub </w:t>
      </w:r>
      <w:proofErr w:type="spellStart"/>
      <w:r>
        <w:rPr>
          <w:rFonts w:ascii="Times New Roman" w:hAnsi="Times New Roman" w:cs="Times New Roman"/>
          <w:sz w:val="24"/>
          <w:szCs w:val="24"/>
        </w:rPr>
        <w:t>tokenów</w:t>
      </w:r>
      <w:proofErr w:type="spellEnd"/>
      <w:r>
        <w:rPr>
          <w:rFonts w:ascii="Times New Roman" w:hAnsi="Times New Roman" w:cs="Times New Roman"/>
          <w:sz w:val="24"/>
          <w:szCs w:val="24"/>
        </w:rPr>
        <w:t xml:space="preserve"> będących e-pieniądzem, czy świadczeniem 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Za popełnienie czynów będzie groziła grzywna</w:t>
      </w:r>
      <w:r w:rsidRPr="006C1C44">
        <w:rPr>
          <w:rFonts w:ascii="Times New Roman" w:hAnsi="Times New Roman" w:cs="Times New Roman"/>
          <w:sz w:val="24"/>
          <w:szCs w:val="24"/>
        </w:rPr>
        <w:t>, kar</w:t>
      </w:r>
      <w:r>
        <w:rPr>
          <w:rFonts w:ascii="Times New Roman" w:hAnsi="Times New Roman" w:cs="Times New Roman"/>
          <w:sz w:val="24"/>
          <w:szCs w:val="24"/>
        </w:rPr>
        <w:t>a</w:t>
      </w:r>
      <w:r w:rsidRPr="006C1C44">
        <w:rPr>
          <w:rFonts w:ascii="Times New Roman" w:hAnsi="Times New Roman" w:cs="Times New Roman"/>
          <w:sz w:val="24"/>
          <w:szCs w:val="24"/>
        </w:rPr>
        <w:t xml:space="preserve"> </w:t>
      </w:r>
      <w:r>
        <w:rPr>
          <w:rFonts w:ascii="Times New Roman" w:hAnsi="Times New Roman" w:cs="Times New Roman"/>
          <w:sz w:val="24"/>
          <w:szCs w:val="24"/>
        </w:rPr>
        <w:t>ograniczenia wolności lub</w:t>
      </w:r>
      <w:r w:rsidRPr="006C1C44">
        <w:rPr>
          <w:rFonts w:ascii="Times New Roman" w:hAnsi="Times New Roman" w:cs="Times New Roman"/>
          <w:sz w:val="24"/>
          <w:szCs w:val="24"/>
        </w:rPr>
        <w:t xml:space="preserve"> kar</w:t>
      </w:r>
      <w:r>
        <w:rPr>
          <w:rFonts w:ascii="Times New Roman" w:hAnsi="Times New Roman" w:cs="Times New Roman"/>
          <w:sz w:val="24"/>
          <w:szCs w:val="24"/>
        </w:rPr>
        <w:t>a</w:t>
      </w:r>
      <w:r w:rsidRPr="006C1C44">
        <w:rPr>
          <w:rFonts w:ascii="Times New Roman" w:hAnsi="Times New Roman" w:cs="Times New Roman"/>
          <w:sz w:val="24"/>
          <w:szCs w:val="24"/>
        </w:rPr>
        <w:t xml:space="preserve"> pozbawienia wolności. </w:t>
      </w:r>
      <w:r w:rsidRPr="00727BA6">
        <w:rPr>
          <w:rFonts w:ascii="Times New Roman" w:hAnsi="Times New Roman" w:cs="Times New Roman"/>
          <w:sz w:val="24"/>
          <w:szCs w:val="24"/>
        </w:rPr>
        <w:t>Odpowiedzialność karna została wprowadzona w odniesieniu do najpoważniejszych naruszeń. Podejście to</w:t>
      </w:r>
      <w:r>
        <w:rPr>
          <w:rFonts w:ascii="Times New Roman" w:hAnsi="Times New Roman" w:cs="Times New Roman"/>
          <w:sz w:val="24"/>
          <w:szCs w:val="24"/>
        </w:rPr>
        <w:t>,</w:t>
      </w:r>
      <w:r w:rsidRPr="00727BA6">
        <w:rPr>
          <w:rFonts w:ascii="Times New Roman" w:hAnsi="Times New Roman" w:cs="Times New Roman"/>
          <w:sz w:val="24"/>
          <w:szCs w:val="24"/>
        </w:rPr>
        <w:t xml:space="preserve"> jak i sama </w:t>
      </w:r>
      <w:r>
        <w:rPr>
          <w:rFonts w:ascii="Times New Roman" w:hAnsi="Times New Roman" w:cs="Times New Roman"/>
          <w:sz w:val="24"/>
          <w:szCs w:val="24"/>
        </w:rPr>
        <w:t>s</w:t>
      </w:r>
      <w:r w:rsidRPr="006C1C44">
        <w:rPr>
          <w:rFonts w:ascii="Times New Roman" w:hAnsi="Times New Roman" w:cs="Times New Roman"/>
          <w:sz w:val="24"/>
          <w:szCs w:val="24"/>
        </w:rPr>
        <w:t xml:space="preserve">urowość </w:t>
      </w:r>
      <w:r>
        <w:rPr>
          <w:rFonts w:ascii="Times New Roman" w:hAnsi="Times New Roman" w:cs="Times New Roman"/>
          <w:sz w:val="24"/>
          <w:szCs w:val="24"/>
        </w:rPr>
        <w:t>kar</w:t>
      </w:r>
      <w:r w:rsidRPr="006C1C44">
        <w:rPr>
          <w:rFonts w:ascii="Times New Roman" w:hAnsi="Times New Roman" w:cs="Times New Roman"/>
          <w:sz w:val="24"/>
          <w:szCs w:val="24"/>
        </w:rPr>
        <w:t xml:space="preserve"> </w:t>
      </w:r>
      <w:r w:rsidRPr="00727BA6">
        <w:rPr>
          <w:rFonts w:ascii="Times New Roman" w:hAnsi="Times New Roman" w:cs="Times New Roman"/>
          <w:sz w:val="24"/>
          <w:szCs w:val="24"/>
        </w:rPr>
        <w:t>zbieżna jest z podejściem wynikającym z innych ustaw regulujących funkcjonowanie rynku finansowego, gdzie za podobne lub wręcz tożsame naruszenia przewidziano odpowiedzialność karną z zastosowaniem tych samych kar. Surowość kar</w:t>
      </w:r>
      <w:r>
        <w:rPr>
          <w:rFonts w:ascii="Times New Roman" w:hAnsi="Times New Roman" w:cs="Times New Roman"/>
          <w:sz w:val="24"/>
          <w:szCs w:val="24"/>
        </w:rPr>
        <w:t xml:space="preserve"> </w:t>
      </w:r>
      <w:r w:rsidRPr="006C1C44">
        <w:rPr>
          <w:rFonts w:ascii="Times New Roman" w:hAnsi="Times New Roman" w:cs="Times New Roman"/>
          <w:sz w:val="24"/>
          <w:szCs w:val="24"/>
        </w:rPr>
        <w:t xml:space="preserve">uzależniona jest </w:t>
      </w:r>
      <w:r>
        <w:rPr>
          <w:rFonts w:ascii="Times New Roman" w:hAnsi="Times New Roman" w:cs="Times New Roman"/>
          <w:sz w:val="24"/>
          <w:szCs w:val="24"/>
        </w:rPr>
        <w:t xml:space="preserve">zatem </w:t>
      </w:r>
      <w:r w:rsidRPr="006C1C44">
        <w:rPr>
          <w:rFonts w:ascii="Times New Roman" w:hAnsi="Times New Roman" w:cs="Times New Roman"/>
          <w:sz w:val="24"/>
          <w:szCs w:val="24"/>
        </w:rPr>
        <w:t xml:space="preserve">od stopnia przewinienia </w:t>
      </w:r>
      <w:r>
        <w:rPr>
          <w:rFonts w:ascii="Times New Roman" w:hAnsi="Times New Roman" w:cs="Times New Roman"/>
          <w:sz w:val="24"/>
          <w:szCs w:val="24"/>
        </w:rPr>
        <w:t>oraz</w:t>
      </w:r>
      <w:r w:rsidRPr="006C1C44">
        <w:rPr>
          <w:rFonts w:ascii="Times New Roman" w:hAnsi="Times New Roman" w:cs="Times New Roman"/>
          <w:sz w:val="24"/>
          <w:szCs w:val="24"/>
        </w:rPr>
        <w:t xml:space="preserve"> pozostaje w ścisłym związku z rodzajem czynu poddanego kryminalizacji. Rozwiązanie</w:t>
      </w:r>
      <w:r>
        <w:rPr>
          <w:rFonts w:ascii="Times New Roman" w:hAnsi="Times New Roman" w:cs="Times New Roman"/>
          <w:sz w:val="24"/>
          <w:szCs w:val="24"/>
        </w:rPr>
        <w:t xml:space="preserve"> to</w:t>
      </w:r>
      <w:r w:rsidRPr="006C1C44">
        <w:rPr>
          <w:rFonts w:ascii="Times New Roman" w:hAnsi="Times New Roman" w:cs="Times New Roman"/>
          <w:sz w:val="24"/>
          <w:szCs w:val="24"/>
        </w:rPr>
        <w:t xml:space="preserve"> ma na celu zapewnienie bezpieczeństwa obrotu, w tym przede wszystki</w:t>
      </w:r>
      <w:r>
        <w:rPr>
          <w:rFonts w:ascii="Times New Roman" w:hAnsi="Times New Roman" w:cs="Times New Roman"/>
          <w:sz w:val="24"/>
          <w:szCs w:val="24"/>
        </w:rPr>
        <w:t>m</w:t>
      </w:r>
      <w:r w:rsidRPr="006C1C44">
        <w:rPr>
          <w:rFonts w:ascii="Times New Roman" w:hAnsi="Times New Roman" w:cs="Times New Roman"/>
          <w:sz w:val="24"/>
          <w:szCs w:val="24"/>
        </w:rPr>
        <w:t xml:space="preserve"> konsumentów i inwestorów.</w:t>
      </w:r>
    </w:p>
    <w:p w14:paraId="3B01DC6C" w14:textId="77777777" w:rsidR="00C21D4B" w:rsidRPr="006C1C44" w:rsidRDefault="00C21D4B" w:rsidP="00695ECE">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6)</w:t>
      </w:r>
      <w:r w:rsidRPr="006C1C44">
        <w:rPr>
          <w:rFonts w:ascii="Times New Roman" w:hAnsi="Times New Roman" w:cs="Times New Roman"/>
          <w:sz w:val="24"/>
          <w:szCs w:val="24"/>
        </w:rPr>
        <w:tab/>
        <w:t xml:space="preserve">Ustalenie zakresu </w:t>
      </w:r>
      <w:r>
        <w:rPr>
          <w:rFonts w:ascii="Times New Roman" w:hAnsi="Times New Roman" w:cs="Times New Roman"/>
          <w:sz w:val="24"/>
          <w:szCs w:val="24"/>
        </w:rPr>
        <w:t xml:space="preserve">tajemnicy zawodowej związanej ze świadczeniem 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oraz</w:t>
      </w:r>
      <w:r w:rsidRPr="006C1C44">
        <w:rPr>
          <w:rFonts w:ascii="Times New Roman" w:hAnsi="Times New Roman" w:cs="Times New Roman"/>
          <w:sz w:val="24"/>
          <w:szCs w:val="24"/>
        </w:rPr>
        <w:t xml:space="preserve"> </w:t>
      </w:r>
      <w:r>
        <w:rPr>
          <w:rFonts w:ascii="Times New Roman" w:hAnsi="Times New Roman" w:cs="Times New Roman"/>
          <w:sz w:val="24"/>
          <w:szCs w:val="24"/>
        </w:rPr>
        <w:t xml:space="preserve">jej </w:t>
      </w:r>
      <w:r w:rsidRPr="006C1C44">
        <w:rPr>
          <w:rFonts w:ascii="Times New Roman" w:hAnsi="Times New Roman" w:cs="Times New Roman"/>
          <w:sz w:val="24"/>
          <w:szCs w:val="24"/>
        </w:rPr>
        <w:t xml:space="preserve">zasad </w:t>
      </w:r>
      <w:r>
        <w:rPr>
          <w:rFonts w:ascii="Times New Roman" w:hAnsi="Times New Roman" w:cs="Times New Roman"/>
          <w:sz w:val="24"/>
          <w:szCs w:val="24"/>
        </w:rPr>
        <w:t>i udostępniania informacji stanowiących tę tajemnicę</w:t>
      </w:r>
      <w:r w:rsidRPr="006C1C44">
        <w:rPr>
          <w:rFonts w:ascii="Times New Roman" w:hAnsi="Times New Roman" w:cs="Times New Roman"/>
          <w:sz w:val="24"/>
          <w:szCs w:val="24"/>
        </w:rPr>
        <w:t>. Projektowane rozwiązanie przewiduje stworzenie katalogu sytuacji, w których informacj</w:t>
      </w:r>
      <w:r>
        <w:rPr>
          <w:rFonts w:ascii="Times New Roman" w:hAnsi="Times New Roman" w:cs="Times New Roman"/>
          <w:sz w:val="24"/>
          <w:szCs w:val="24"/>
        </w:rPr>
        <w:t xml:space="preserve">e stanowiące </w:t>
      </w:r>
      <w:r w:rsidRPr="006C1C44">
        <w:rPr>
          <w:rFonts w:ascii="Times New Roman" w:hAnsi="Times New Roman" w:cs="Times New Roman"/>
          <w:sz w:val="24"/>
          <w:szCs w:val="24"/>
        </w:rPr>
        <w:t>tajemnic</w:t>
      </w:r>
      <w:r>
        <w:rPr>
          <w:rFonts w:ascii="Times New Roman" w:hAnsi="Times New Roman" w:cs="Times New Roman"/>
          <w:sz w:val="24"/>
          <w:szCs w:val="24"/>
        </w:rPr>
        <w:t>ę</w:t>
      </w:r>
      <w:r w:rsidRPr="006C1C44">
        <w:rPr>
          <w:rFonts w:ascii="Times New Roman" w:hAnsi="Times New Roman" w:cs="Times New Roman"/>
          <w:sz w:val="24"/>
          <w:szCs w:val="24"/>
        </w:rPr>
        <w:t xml:space="preserve"> zawodow</w:t>
      </w:r>
      <w:r>
        <w:rPr>
          <w:rFonts w:ascii="Times New Roman" w:hAnsi="Times New Roman" w:cs="Times New Roman"/>
          <w:sz w:val="24"/>
          <w:szCs w:val="24"/>
        </w:rPr>
        <w:t>ą mogą być na żądanie ujawnione wymienionym organom lub podmiotom</w:t>
      </w:r>
      <w:r w:rsidRPr="006C1C44">
        <w:rPr>
          <w:rFonts w:ascii="Times New Roman" w:hAnsi="Times New Roman" w:cs="Times New Roman"/>
          <w:sz w:val="24"/>
          <w:szCs w:val="24"/>
        </w:rPr>
        <w:t>. Prócz wspomnianych sytuacji</w:t>
      </w:r>
      <w:r>
        <w:rPr>
          <w:rFonts w:ascii="Times New Roman" w:hAnsi="Times New Roman" w:cs="Times New Roman"/>
          <w:sz w:val="24"/>
          <w:szCs w:val="24"/>
        </w:rPr>
        <w:t xml:space="preserve"> ustawa określa </w:t>
      </w:r>
      <w:r w:rsidRPr="006C1C44">
        <w:rPr>
          <w:rFonts w:ascii="Times New Roman" w:hAnsi="Times New Roman" w:cs="Times New Roman"/>
          <w:sz w:val="24"/>
          <w:szCs w:val="24"/>
        </w:rPr>
        <w:t>katalog podmiot</w:t>
      </w:r>
      <w:r>
        <w:rPr>
          <w:rFonts w:ascii="Times New Roman" w:hAnsi="Times New Roman" w:cs="Times New Roman"/>
          <w:sz w:val="24"/>
          <w:szCs w:val="24"/>
        </w:rPr>
        <w:t>ów</w:t>
      </w:r>
      <w:r w:rsidRPr="006C1C44">
        <w:rPr>
          <w:rFonts w:ascii="Times New Roman" w:hAnsi="Times New Roman" w:cs="Times New Roman"/>
          <w:sz w:val="24"/>
          <w:szCs w:val="24"/>
        </w:rPr>
        <w:t xml:space="preserve">, wobec których ujawnienie informacji </w:t>
      </w:r>
      <w:r>
        <w:rPr>
          <w:rFonts w:ascii="Times New Roman" w:hAnsi="Times New Roman" w:cs="Times New Roman"/>
          <w:sz w:val="24"/>
          <w:szCs w:val="24"/>
        </w:rPr>
        <w:t xml:space="preserve">stanowiących tajemnicę zawodową </w:t>
      </w:r>
      <w:r w:rsidRPr="006C1C44">
        <w:rPr>
          <w:rFonts w:ascii="Times New Roman" w:hAnsi="Times New Roman" w:cs="Times New Roman"/>
          <w:sz w:val="24"/>
          <w:szCs w:val="24"/>
        </w:rPr>
        <w:t>nie będzie naruszeniem.</w:t>
      </w:r>
    </w:p>
    <w:p w14:paraId="517201A9" w14:textId="77777777" w:rsidR="00C21D4B" w:rsidRPr="006C1C44" w:rsidRDefault="00C21D4B" w:rsidP="00695ECE">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7)</w:t>
      </w:r>
      <w:r w:rsidRPr="006C1C44">
        <w:rPr>
          <w:rFonts w:ascii="Times New Roman" w:hAnsi="Times New Roman" w:cs="Times New Roman"/>
          <w:sz w:val="24"/>
          <w:szCs w:val="24"/>
        </w:rPr>
        <w:tab/>
        <w:t xml:space="preserve">Wprowadzenie możliwości składania oświadczeń woli </w:t>
      </w:r>
      <w:r>
        <w:rPr>
          <w:rFonts w:ascii="Times New Roman" w:hAnsi="Times New Roman" w:cs="Times New Roman"/>
          <w:sz w:val="24"/>
          <w:szCs w:val="24"/>
        </w:rPr>
        <w:t xml:space="preserve">w postaci elektronicznej </w:t>
      </w:r>
      <w:r w:rsidRPr="006C1C44">
        <w:rPr>
          <w:rFonts w:ascii="Times New Roman" w:hAnsi="Times New Roman" w:cs="Times New Roman"/>
          <w:sz w:val="24"/>
          <w:szCs w:val="24"/>
        </w:rPr>
        <w:t>w</w:t>
      </w:r>
      <w:r>
        <w:rPr>
          <w:rFonts w:ascii="Times New Roman" w:hAnsi="Times New Roman" w:cs="Times New Roman"/>
          <w:sz w:val="24"/>
          <w:szCs w:val="24"/>
        </w:rPr>
        <w:t> </w:t>
      </w:r>
      <w:r w:rsidRPr="006C1C44">
        <w:rPr>
          <w:rFonts w:ascii="Times New Roman" w:hAnsi="Times New Roman" w:cs="Times New Roman"/>
          <w:sz w:val="24"/>
          <w:szCs w:val="24"/>
        </w:rPr>
        <w:t xml:space="preserve">odniesieniu do </w:t>
      </w:r>
      <w:r>
        <w:rPr>
          <w:rFonts w:ascii="Times New Roman" w:hAnsi="Times New Roman" w:cs="Times New Roman"/>
          <w:sz w:val="24"/>
          <w:szCs w:val="24"/>
        </w:rPr>
        <w:t xml:space="preserve">czynności dotyczących </w:t>
      </w:r>
      <w:r w:rsidRPr="006C1C44">
        <w:rPr>
          <w:rFonts w:ascii="Times New Roman" w:hAnsi="Times New Roman" w:cs="Times New Roman"/>
          <w:sz w:val="24"/>
          <w:szCs w:val="24"/>
        </w:rPr>
        <w:t xml:space="preserve">usług </w:t>
      </w:r>
      <w:r>
        <w:rPr>
          <w:rFonts w:ascii="Times New Roman" w:hAnsi="Times New Roman" w:cs="Times New Roman"/>
          <w:sz w:val="24"/>
          <w:szCs w:val="24"/>
        </w:rPr>
        <w:t>w zakresie</w:t>
      </w:r>
      <w:r w:rsidRPr="006C1C44">
        <w:rPr>
          <w:rFonts w:ascii="Times New Roman" w:hAnsi="Times New Roman" w:cs="Times New Roman"/>
          <w:sz w:val="24"/>
          <w:szCs w:val="24"/>
        </w:rPr>
        <w:t xml:space="preserve"> </w:t>
      </w:r>
      <w:proofErr w:type="spellStart"/>
      <w:r w:rsidRPr="006C1C44">
        <w:rPr>
          <w:rFonts w:ascii="Times New Roman" w:hAnsi="Times New Roman" w:cs="Times New Roman"/>
          <w:sz w:val="24"/>
          <w:szCs w:val="24"/>
        </w:rPr>
        <w:t>kryptoaktywów</w:t>
      </w:r>
      <w:proofErr w:type="spellEnd"/>
      <w:r>
        <w:rPr>
          <w:rFonts w:ascii="Times New Roman" w:hAnsi="Times New Roman" w:cs="Times New Roman"/>
          <w:sz w:val="24"/>
          <w:szCs w:val="24"/>
        </w:rPr>
        <w:t>, dotyczących oferty publicznej i innych czynności wykonywanych w ramach działalności podmiotów w zakresie regulowanym przepisami rozporządzenia 2023/1114.</w:t>
      </w:r>
      <w:r w:rsidRPr="006C1C44">
        <w:rPr>
          <w:rFonts w:ascii="Times New Roman" w:hAnsi="Times New Roman" w:cs="Times New Roman"/>
          <w:sz w:val="24"/>
          <w:szCs w:val="24"/>
        </w:rPr>
        <w:t xml:space="preserve"> Przewiduje się nadanie tak złożonemu oświadczeniu woli mocy równej oświadczeniu złożonemu w formie pisemnej zastrzeżonej pod rygorem nieważności</w:t>
      </w:r>
      <w:r>
        <w:rPr>
          <w:rFonts w:ascii="Times New Roman" w:hAnsi="Times New Roman" w:cs="Times New Roman"/>
          <w:sz w:val="24"/>
          <w:szCs w:val="24"/>
        </w:rPr>
        <w:t>.</w:t>
      </w:r>
    </w:p>
    <w:p w14:paraId="1DB695DA" w14:textId="39276269" w:rsidR="00C21D4B" w:rsidRPr="00AE743C" w:rsidRDefault="00C21D4B" w:rsidP="00695ECE">
      <w:pPr>
        <w:spacing w:line="360" w:lineRule="auto"/>
        <w:jc w:val="both"/>
        <w:rPr>
          <w:rFonts w:ascii="Times New Roman" w:hAnsi="Times New Roman" w:cs="Times New Roman"/>
          <w:b/>
          <w:bCs/>
          <w:sz w:val="24"/>
          <w:szCs w:val="24"/>
        </w:rPr>
      </w:pPr>
      <w:r w:rsidRPr="00AE743C">
        <w:rPr>
          <w:rFonts w:ascii="Times New Roman" w:hAnsi="Times New Roman" w:cs="Times New Roman"/>
          <w:b/>
          <w:bCs/>
          <w:sz w:val="24"/>
          <w:szCs w:val="24"/>
        </w:rPr>
        <w:t>I</w:t>
      </w:r>
      <w:r w:rsidR="0054570C">
        <w:rPr>
          <w:rFonts w:ascii="Times New Roman" w:hAnsi="Times New Roman" w:cs="Times New Roman"/>
          <w:b/>
          <w:bCs/>
          <w:sz w:val="24"/>
          <w:szCs w:val="24"/>
        </w:rPr>
        <w:t>V</w:t>
      </w:r>
      <w:r w:rsidRPr="00AE743C">
        <w:rPr>
          <w:rFonts w:ascii="Times New Roman" w:hAnsi="Times New Roman" w:cs="Times New Roman"/>
          <w:b/>
          <w:bCs/>
          <w:sz w:val="24"/>
          <w:szCs w:val="24"/>
        </w:rPr>
        <w:t>. Szczegółowe rozwiązania zaproponowane w projekcie ustawy:</w:t>
      </w:r>
    </w:p>
    <w:p w14:paraId="009F7D6D" w14:textId="391B4E4B" w:rsidR="00C21D4B" w:rsidRPr="00E95A32" w:rsidRDefault="00C21D4B" w:rsidP="00695ECE">
      <w:pPr>
        <w:pStyle w:val="Akapitzlist"/>
        <w:numPr>
          <w:ilvl w:val="0"/>
          <w:numId w:val="2"/>
        </w:numPr>
        <w:spacing w:line="360" w:lineRule="auto"/>
        <w:jc w:val="both"/>
        <w:rPr>
          <w:rFonts w:ascii="Times New Roman" w:hAnsi="Times New Roman" w:cs="Times New Roman"/>
          <w:bCs/>
          <w:sz w:val="24"/>
          <w:szCs w:val="24"/>
        </w:rPr>
      </w:pPr>
      <w:r w:rsidRPr="007B6F0F">
        <w:rPr>
          <w:rFonts w:ascii="Times New Roman" w:hAnsi="Times New Roman" w:cs="Times New Roman"/>
          <w:b/>
          <w:bCs/>
          <w:sz w:val="24"/>
          <w:szCs w:val="24"/>
        </w:rPr>
        <w:t>Art. 1</w:t>
      </w:r>
      <w:r>
        <w:rPr>
          <w:rFonts w:ascii="Times New Roman" w:hAnsi="Times New Roman" w:cs="Times New Roman"/>
          <w:sz w:val="24"/>
          <w:szCs w:val="24"/>
        </w:rPr>
        <w:t xml:space="preserve"> ustawy określa zakres przedmiotowy ustawy, tj.</w:t>
      </w:r>
      <w:r w:rsidRPr="00845F6D">
        <w:rPr>
          <w:rFonts w:ascii="Times New Roman" w:hAnsi="Times New Roman" w:cs="Times New Roman"/>
          <w:bCs/>
          <w:sz w:val="24"/>
          <w:szCs w:val="24"/>
        </w:rPr>
        <w:t xml:space="preserve"> </w:t>
      </w:r>
      <w:r w:rsidRPr="00E95A32">
        <w:rPr>
          <w:rFonts w:ascii="Times New Roman" w:hAnsi="Times New Roman" w:cs="Times New Roman"/>
          <w:bCs/>
          <w:sz w:val="24"/>
          <w:szCs w:val="24"/>
        </w:rPr>
        <w:t xml:space="preserve">szczegółowe zasady prowadzenia działalności w zakresie </w:t>
      </w:r>
      <w:proofErr w:type="spellStart"/>
      <w:r w:rsidRPr="00E95A32">
        <w:rPr>
          <w:rFonts w:ascii="Times New Roman" w:hAnsi="Times New Roman" w:cs="Times New Roman"/>
          <w:bCs/>
          <w:sz w:val="24"/>
          <w:szCs w:val="24"/>
        </w:rPr>
        <w:t>kryptoaktywów</w:t>
      </w:r>
      <w:proofErr w:type="spellEnd"/>
      <w:r>
        <w:rPr>
          <w:rFonts w:ascii="Times New Roman" w:hAnsi="Times New Roman" w:cs="Times New Roman"/>
          <w:bCs/>
          <w:sz w:val="24"/>
          <w:szCs w:val="24"/>
        </w:rPr>
        <w:t xml:space="preserve"> (m.in. przepisy dotyczące tajemnicy zawodowej, przechowywania dokumentacji oraz wydawania zezwoleń) oraz z</w:t>
      </w:r>
      <w:r w:rsidRPr="00E95A32">
        <w:rPr>
          <w:rFonts w:ascii="Times New Roman" w:hAnsi="Times New Roman" w:cs="Times New Roman"/>
          <w:bCs/>
          <w:sz w:val="24"/>
          <w:szCs w:val="24"/>
        </w:rPr>
        <w:t xml:space="preserve">asady odpowiedzialności cywilnej w związku z dokumentem informacyjnym dotyczącym </w:t>
      </w:r>
      <w:proofErr w:type="spellStart"/>
      <w:r w:rsidRPr="00E95A32">
        <w:rPr>
          <w:rFonts w:ascii="Times New Roman" w:hAnsi="Times New Roman" w:cs="Times New Roman"/>
          <w:bCs/>
          <w:sz w:val="24"/>
          <w:szCs w:val="24"/>
        </w:rPr>
        <w:t>kryptoaktywa</w:t>
      </w:r>
      <w:proofErr w:type="spellEnd"/>
      <w:r w:rsidRPr="00E95A32">
        <w:rPr>
          <w:rFonts w:ascii="Times New Roman" w:hAnsi="Times New Roman" w:cs="Times New Roman"/>
          <w:bCs/>
          <w:sz w:val="24"/>
          <w:szCs w:val="24"/>
        </w:rPr>
        <w:t xml:space="preserve"> oraz zmienionym dokumentem informacyjnym dotyczącym </w:t>
      </w:r>
      <w:proofErr w:type="spellStart"/>
      <w:r w:rsidRPr="00E95A32">
        <w:rPr>
          <w:rFonts w:ascii="Times New Roman" w:hAnsi="Times New Roman" w:cs="Times New Roman"/>
          <w:bCs/>
          <w:sz w:val="24"/>
          <w:szCs w:val="24"/>
        </w:rPr>
        <w:t>kryptoaktywa</w:t>
      </w:r>
      <w:proofErr w:type="spellEnd"/>
      <w:r>
        <w:rPr>
          <w:rFonts w:ascii="Times New Roman" w:hAnsi="Times New Roman" w:cs="Times New Roman"/>
          <w:sz w:val="24"/>
          <w:szCs w:val="24"/>
        </w:rPr>
        <w:t xml:space="preserve">. Projekt ustawy określa również organizację i wykonywanie </w:t>
      </w:r>
      <w:r w:rsidRPr="006A3E26">
        <w:rPr>
          <w:rFonts w:ascii="Times New Roman" w:hAnsi="Times New Roman" w:cs="Times New Roman"/>
          <w:sz w:val="24"/>
          <w:szCs w:val="24"/>
        </w:rPr>
        <w:t>nadzoru</w:t>
      </w:r>
      <w:r>
        <w:rPr>
          <w:rFonts w:ascii="Times New Roman" w:hAnsi="Times New Roman" w:cs="Times New Roman"/>
          <w:sz w:val="24"/>
          <w:szCs w:val="24"/>
        </w:rPr>
        <w:t xml:space="preserve"> </w:t>
      </w:r>
      <w:r w:rsidRPr="00CA4C3D">
        <w:rPr>
          <w:rFonts w:ascii="Times New Roman" w:hAnsi="Times New Roman" w:cs="Times New Roman"/>
          <w:sz w:val="24"/>
          <w:szCs w:val="24"/>
        </w:rPr>
        <w:t xml:space="preserve">nad oferującymi, osobami ubiegającymi się o dopuszczenie </w:t>
      </w:r>
      <w:proofErr w:type="spellStart"/>
      <w:r w:rsidRPr="00CA4C3D">
        <w:rPr>
          <w:rFonts w:ascii="Times New Roman" w:hAnsi="Times New Roman" w:cs="Times New Roman"/>
          <w:sz w:val="24"/>
          <w:szCs w:val="24"/>
        </w:rPr>
        <w:t>kryptoaktywów</w:t>
      </w:r>
      <w:proofErr w:type="spellEnd"/>
      <w:r w:rsidRPr="00CA4C3D">
        <w:rPr>
          <w:rFonts w:ascii="Times New Roman" w:hAnsi="Times New Roman" w:cs="Times New Roman"/>
          <w:sz w:val="24"/>
          <w:szCs w:val="24"/>
        </w:rPr>
        <w:t xml:space="preserve"> do obrotu, emitentami </w:t>
      </w:r>
      <w:proofErr w:type="spellStart"/>
      <w:r w:rsidRPr="00CA4C3D">
        <w:rPr>
          <w:rFonts w:ascii="Times New Roman" w:hAnsi="Times New Roman" w:cs="Times New Roman"/>
          <w:sz w:val="24"/>
          <w:szCs w:val="24"/>
        </w:rPr>
        <w:t>tokenów</w:t>
      </w:r>
      <w:proofErr w:type="spellEnd"/>
      <w:r w:rsidRPr="00CA4C3D">
        <w:rPr>
          <w:rFonts w:ascii="Times New Roman" w:hAnsi="Times New Roman" w:cs="Times New Roman"/>
          <w:sz w:val="24"/>
          <w:szCs w:val="24"/>
        </w:rPr>
        <w:t xml:space="preserve"> powiązanych z aktywami i </w:t>
      </w:r>
      <w:proofErr w:type="spellStart"/>
      <w:r w:rsidRPr="00CA4C3D">
        <w:rPr>
          <w:rFonts w:ascii="Times New Roman" w:hAnsi="Times New Roman" w:cs="Times New Roman"/>
          <w:sz w:val="24"/>
          <w:szCs w:val="24"/>
        </w:rPr>
        <w:t>tokenów</w:t>
      </w:r>
      <w:proofErr w:type="spellEnd"/>
      <w:r w:rsidRPr="00CA4C3D">
        <w:rPr>
          <w:rFonts w:ascii="Times New Roman" w:hAnsi="Times New Roman" w:cs="Times New Roman"/>
          <w:sz w:val="24"/>
          <w:szCs w:val="24"/>
        </w:rPr>
        <w:t xml:space="preserve"> będących e-pieniądzem oraz dostawcami usług w</w:t>
      </w:r>
      <w:r>
        <w:rPr>
          <w:rFonts w:ascii="Times New Roman" w:hAnsi="Times New Roman" w:cs="Times New Roman"/>
          <w:sz w:val="24"/>
          <w:szCs w:val="24"/>
        </w:rPr>
        <w:t> </w:t>
      </w:r>
      <w:r w:rsidRPr="00CA4C3D">
        <w:rPr>
          <w:rFonts w:ascii="Times New Roman" w:hAnsi="Times New Roman" w:cs="Times New Roman"/>
          <w:sz w:val="24"/>
          <w:szCs w:val="24"/>
        </w:rPr>
        <w:t xml:space="preserve">zakresie </w:t>
      </w:r>
      <w:proofErr w:type="spellStart"/>
      <w:r w:rsidRPr="00CA4C3D">
        <w:rPr>
          <w:rFonts w:ascii="Times New Roman" w:hAnsi="Times New Roman" w:cs="Times New Roman"/>
          <w:sz w:val="24"/>
          <w:szCs w:val="24"/>
        </w:rPr>
        <w:t>kryptoaktywów</w:t>
      </w:r>
      <w:proofErr w:type="spellEnd"/>
      <w:r w:rsidRPr="00CA4C3D">
        <w:rPr>
          <w:rFonts w:ascii="Times New Roman" w:hAnsi="Times New Roman" w:cs="Times New Roman"/>
          <w:sz w:val="24"/>
          <w:szCs w:val="24"/>
        </w:rPr>
        <w:t>.</w:t>
      </w:r>
      <w:r>
        <w:rPr>
          <w:rFonts w:ascii="Times New Roman" w:hAnsi="Times New Roman" w:cs="Times New Roman"/>
          <w:sz w:val="24"/>
          <w:szCs w:val="24"/>
        </w:rPr>
        <w:t xml:space="preserve"> </w:t>
      </w:r>
    </w:p>
    <w:p w14:paraId="019B7F0A" w14:textId="406274AA"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7B6F0F">
        <w:rPr>
          <w:rFonts w:ascii="Times New Roman" w:hAnsi="Times New Roman" w:cs="Times New Roman"/>
          <w:b/>
          <w:bCs/>
          <w:sz w:val="24"/>
          <w:szCs w:val="24"/>
        </w:rPr>
        <w:t>Art. 2</w:t>
      </w:r>
      <w:r>
        <w:rPr>
          <w:rFonts w:ascii="Times New Roman" w:hAnsi="Times New Roman" w:cs="Times New Roman"/>
          <w:sz w:val="24"/>
          <w:szCs w:val="24"/>
        </w:rPr>
        <w:t xml:space="preserve"> zawiera objaśnienia określeń stosowanych w projektowanej ustawie, w tym </w:t>
      </w:r>
      <w:r w:rsidRPr="00F422D2">
        <w:rPr>
          <w:rFonts w:ascii="Times New Roman" w:hAnsi="Times New Roman" w:cs="Times New Roman"/>
          <w:sz w:val="24"/>
          <w:szCs w:val="24"/>
        </w:rPr>
        <w:t>przez odesłanie do</w:t>
      </w:r>
      <w:r>
        <w:rPr>
          <w:rFonts w:ascii="Times New Roman" w:hAnsi="Times New Roman" w:cs="Times New Roman"/>
          <w:sz w:val="24"/>
          <w:szCs w:val="24"/>
        </w:rPr>
        <w:t> </w:t>
      </w:r>
      <w:r w:rsidRPr="00F422D2">
        <w:rPr>
          <w:rFonts w:ascii="Times New Roman" w:hAnsi="Times New Roman" w:cs="Times New Roman"/>
          <w:sz w:val="24"/>
          <w:szCs w:val="24"/>
        </w:rPr>
        <w:t>odpowiedni</w:t>
      </w:r>
      <w:r>
        <w:rPr>
          <w:rFonts w:ascii="Times New Roman" w:hAnsi="Times New Roman" w:cs="Times New Roman"/>
          <w:sz w:val="24"/>
          <w:szCs w:val="24"/>
        </w:rPr>
        <w:t>ch przepisów m. in. rozporządzenia 2023/1114</w:t>
      </w:r>
      <w:r w:rsidRPr="00F422D2">
        <w:rPr>
          <w:rFonts w:ascii="Times New Roman" w:hAnsi="Times New Roman" w:cs="Times New Roman"/>
          <w:sz w:val="24"/>
          <w:szCs w:val="24"/>
        </w:rPr>
        <w:t>.</w:t>
      </w:r>
      <w:r>
        <w:rPr>
          <w:rFonts w:ascii="Times New Roman" w:hAnsi="Times New Roman" w:cs="Times New Roman"/>
          <w:sz w:val="24"/>
          <w:szCs w:val="24"/>
        </w:rPr>
        <w:t xml:space="preserve"> Projekt ustawy wprowadza m.in. definicję </w:t>
      </w:r>
      <w:r w:rsidRPr="00F42F48">
        <w:rPr>
          <w:rFonts w:ascii="Times New Roman" w:hAnsi="Times New Roman" w:cs="Times New Roman"/>
          <w:sz w:val="24"/>
          <w:szCs w:val="24"/>
        </w:rPr>
        <w:t xml:space="preserve">dostawcy usług w zakresie </w:t>
      </w:r>
      <w:proofErr w:type="spellStart"/>
      <w:r w:rsidRPr="00F42F48">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odsyłając wprost do definicji zawartej w </w:t>
      </w:r>
      <w:r w:rsidRPr="00F42F48">
        <w:rPr>
          <w:rFonts w:ascii="Times New Roman" w:hAnsi="Times New Roman" w:cs="Times New Roman"/>
          <w:sz w:val="24"/>
          <w:szCs w:val="24"/>
        </w:rPr>
        <w:t>art. 3 ust. 1 pkt 15 rozporządzenia 2023/1114</w:t>
      </w:r>
      <w:r>
        <w:rPr>
          <w:rFonts w:ascii="Times New Roman" w:hAnsi="Times New Roman" w:cs="Times New Roman"/>
          <w:sz w:val="24"/>
          <w:szCs w:val="24"/>
        </w:rPr>
        <w:t xml:space="preserve">, która określa dostawcę jako osobę prawną lub inne przedsiębiorstwo, których działalność zawodowa lub działalność gospodarcza polega na profesjonalnym świadczeniu co najmniej jednej usługi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na rzecz klientów i którym zezwolono na świadczenia 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zgodnie z art. 59 tego rozporządzenia. Należy jednak zwrócić uwagę, że definicja ta koresponduje wprost z brzmieniem art. 59 ust. 3 rozporządzenia 2023/1114 stanowiącym, że do celów </w:t>
      </w:r>
      <w:r w:rsidRPr="00F42F48">
        <w:rPr>
          <w:rFonts w:ascii="Times New Roman" w:hAnsi="Times New Roman" w:cs="Times New Roman"/>
          <w:sz w:val="24"/>
          <w:szCs w:val="24"/>
        </w:rPr>
        <w:t>ust. 1 lit. a</w:t>
      </w:r>
      <w:r>
        <w:rPr>
          <w:rFonts w:ascii="Times New Roman" w:hAnsi="Times New Roman" w:cs="Times New Roman"/>
          <w:sz w:val="24"/>
          <w:szCs w:val="24"/>
        </w:rPr>
        <w:t xml:space="preserve"> tego przepisu</w:t>
      </w:r>
      <w:r w:rsidRPr="00F42F48">
        <w:rPr>
          <w:rFonts w:ascii="Times New Roman" w:hAnsi="Times New Roman" w:cs="Times New Roman"/>
          <w:sz w:val="24"/>
          <w:szCs w:val="24"/>
        </w:rPr>
        <w:t xml:space="preserve"> inne przedsiębiorstwa, które nie są osobami prawnymi, mogą świadczyć usługi w zakresie </w:t>
      </w:r>
      <w:proofErr w:type="spellStart"/>
      <w:r w:rsidRPr="00F42F48">
        <w:rPr>
          <w:rFonts w:ascii="Times New Roman" w:hAnsi="Times New Roman" w:cs="Times New Roman"/>
          <w:sz w:val="24"/>
          <w:szCs w:val="24"/>
        </w:rPr>
        <w:t>kryptoaktywów</w:t>
      </w:r>
      <w:proofErr w:type="spellEnd"/>
      <w:r w:rsidRPr="00F42F48">
        <w:rPr>
          <w:rFonts w:ascii="Times New Roman" w:hAnsi="Times New Roman" w:cs="Times New Roman"/>
          <w:sz w:val="24"/>
          <w:szCs w:val="24"/>
        </w:rPr>
        <w:t xml:space="preserve"> tylko wówczas, jeżeli forma prawna tych przedsiębiorstw zapewnia poziom ochrony interesów osób trzecich równoważny poziomowi zapewnianemu przez osoby prawne i jeżeli przedsiębiorstwa te podlegają równoważnemu nadzorowi ostrożnościowemu odpowiedniemu dla ich formy prawnej.</w:t>
      </w:r>
      <w:r>
        <w:rPr>
          <w:rFonts w:ascii="Times New Roman" w:hAnsi="Times New Roman" w:cs="Times New Roman"/>
          <w:sz w:val="24"/>
          <w:szCs w:val="24"/>
        </w:rPr>
        <w:t xml:space="preserve"> Tym samym podmiot niespełniający tego warunku nie może być dostawcą 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Należy wskazać, że rejestr domen zdefiniowany w pkt 22 niniejszego artykułu posiłkuje się definicją zawartą</w:t>
      </w:r>
      <w:r w:rsidR="00695ECE">
        <w:rPr>
          <w:rFonts w:ascii="Times New Roman" w:hAnsi="Times New Roman" w:cs="Times New Roman"/>
          <w:sz w:val="24"/>
          <w:szCs w:val="24"/>
        </w:rPr>
        <w:t xml:space="preserve"> </w:t>
      </w:r>
      <w:r>
        <w:rPr>
          <w:rFonts w:ascii="Times New Roman" w:hAnsi="Times New Roman" w:cs="Times New Roman"/>
          <w:sz w:val="24"/>
          <w:szCs w:val="24"/>
        </w:rPr>
        <w:t>w d</w:t>
      </w:r>
      <w:r w:rsidRPr="000E51C4">
        <w:rPr>
          <w:rFonts w:ascii="Times New Roman" w:hAnsi="Times New Roman" w:cs="Times New Roman"/>
          <w:sz w:val="24"/>
          <w:szCs w:val="24"/>
        </w:rPr>
        <w:t>yrektyw</w:t>
      </w:r>
      <w:r>
        <w:rPr>
          <w:rFonts w:ascii="Times New Roman" w:hAnsi="Times New Roman" w:cs="Times New Roman"/>
          <w:sz w:val="24"/>
          <w:szCs w:val="24"/>
        </w:rPr>
        <w:t>ie</w:t>
      </w:r>
      <w:r w:rsidRPr="000E51C4">
        <w:rPr>
          <w:rFonts w:ascii="Times New Roman" w:hAnsi="Times New Roman" w:cs="Times New Roman"/>
          <w:sz w:val="24"/>
          <w:szCs w:val="24"/>
        </w:rPr>
        <w:t xml:space="preserve"> Parlamentu Europejskiego i Rady (UE) 2022/2555 z dnia 14 grudnia 2022 r. w sprawie środków na rzecz wysokiego wspólnego poziomu </w:t>
      </w:r>
      <w:proofErr w:type="spellStart"/>
      <w:r w:rsidRPr="000E51C4">
        <w:rPr>
          <w:rFonts w:ascii="Times New Roman" w:hAnsi="Times New Roman" w:cs="Times New Roman"/>
          <w:sz w:val="24"/>
          <w:szCs w:val="24"/>
        </w:rPr>
        <w:t>cyberbezpieczeństwa</w:t>
      </w:r>
      <w:proofErr w:type="spellEnd"/>
      <w:r w:rsidRPr="000E51C4">
        <w:rPr>
          <w:rFonts w:ascii="Times New Roman" w:hAnsi="Times New Roman" w:cs="Times New Roman"/>
          <w:sz w:val="24"/>
          <w:szCs w:val="24"/>
        </w:rPr>
        <w:t xml:space="preserve"> na terytorium Unii, zmieniając</w:t>
      </w:r>
      <w:r>
        <w:rPr>
          <w:rFonts w:ascii="Times New Roman" w:hAnsi="Times New Roman" w:cs="Times New Roman"/>
          <w:sz w:val="24"/>
          <w:szCs w:val="24"/>
        </w:rPr>
        <w:t>ej</w:t>
      </w:r>
      <w:r w:rsidRPr="000E51C4">
        <w:rPr>
          <w:rFonts w:ascii="Times New Roman" w:hAnsi="Times New Roman" w:cs="Times New Roman"/>
          <w:sz w:val="24"/>
          <w:szCs w:val="24"/>
        </w:rPr>
        <w:t xml:space="preserve"> rozporządzenie (UE) nr 910/2014 i dyrektywę (UE) 2018/1972 oraz uchylając</w:t>
      </w:r>
      <w:r>
        <w:rPr>
          <w:rFonts w:ascii="Times New Roman" w:hAnsi="Times New Roman" w:cs="Times New Roman"/>
          <w:sz w:val="24"/>
          <w:szCs w:val="24"/>
        </w:rPr>
        <w:t>ej</w:t>
      </w:r>
      <w:r w:rsidRPr="000E51C4">
        <w:rPr>
          <w:rFonts w:ascii="Times New Roman" w:hAnsi="Times New Roman" w:cs="Times New Roman"/>
          <w:sz w:val="24"/>
          <w:szCs w:val="24"/>
        </w:rPr>
        <w:t xml:space="preserve"> dyrektywę (UE) 2016/1148 (dyrektywa NIS 2)</w:t>
      </w:r>
      <w:r>
        <w:rPr>
          <w:rFonts w:ascii="Times New Roman" w:hAnsi="Times New Roman" w:cs="Times New Roman"/>
          <w:sz w:val="24"/>
          <w:szCs w:val="24"/>
        </w:rPr>
        <w:t xml:space="preserve"> (Dz. Urz. UE L 333 z 27.12.2022, str. 80), która odnosi się m.in. do rejestru nazw domen najwyższego poziomu</w:t>
      </w:r>
      <w:r w:rsidRPr="000E51C4">
        <w:rPr>
          <w:rFonts w:ascii="Times New Roman" w:hAnsi="Times New Roman" w:cs="Times New Roman"/>
          <w:sz w:val="24"/>
          <w:szCs w:val="24"/>
        </w:rPr>
        <w:t xml:space="preserve">. </w:t>
      </w:r>
      <w:r>
        <w:rPr>
          <w:rFonts w:ascii="Times New Roman" w:hAnsi="Times New Roman" w:cs="Times New Roman"/>
          <w:sz w:val="24"/>
          <w:szCs w:val="24"/>
        </w:rPr>
        <w:t xml:space="preserve">Projekt ustawy nie ma </w:t>
      </w:r>
      <w:r w:rsidRPr="005F08A0">
        <w:rPr>
          <w:rFonts w:ascii="Times New Roman" w:hAnsi="Times New Roman" w:cs="Times New Roman"/>
          <w:sz w:val="24"/>
          <w:szCs w:val="24"/>
        </w:rPr>
        <w:t>jednak na celu</w:t>
      </w:r>
      <w:r>
        <w:rPr>
          <w:rFonts w:ascii="Times New Roman" w:hAnsi="Times New Roman" w:cs="Times New Roman"/>
          <w:sz w:val="24"/>
          <w:szCs w:val="24"/>
        </w:rPr>
        <w:t xml:space="preserve"> </w:t>
      </w:r>
      <w:r w:rsidRPr="005F08A0">
        <w:rPr>
          <w:rFonts w:ascii="Times New Roman" w:hAnsi="Times New Roman" w:cs="Times New Roman"/>
          <w:sz w:val="24"/>
          <w:szCs w:val="24"/>
        </w:rPr>
        <w:t>wdroż</w:t>
      </w:r>
      <w:r>
        <w:rPr>
          <w:rFonts w:ascii="Times New Roman" w:hAnsi="Times New Roman" w:cs="Times New Roman"/>
          <w:sz w:val="24"/>
          <w:szCs w:val="24"/>
        </w:rPr>
        <w:t xml:space="preserve">enia jej </w:t>
      </w:r>
      <w:r w:rsidRPr="005F08A0">
        <w:rPr>
          <w:rFonts w:ascii="Times New Roman" w:hAnsi="Times New Roman" w:cs="Times New Roman"/>
          <w:sz w:val="24"/>
          <w:szCs w:val="24"/>
        </w:rPr>
        <w:t>do polskiego porządku prawnego</w:t>
      </w:r>
      <w:r>
        <w:rPr>
          <w:rFonts w:ascii="Times New Roman" w:hAnsi="Times New Roman" w:cs="Times New Roman"/>
          <w:sz w:val="24"/>
          <w:szCs w:val="24"/>
        </w:rPr>
        <w:t>. W</w:t>
      </w:r>
      <w:r w:rsidRPr="000E51C4">
        <w:rPr>
          <w:rFonts w:ascii="Times New Roman" w:hAnsi="Times New Roman" w:cs="Times New Roman"/>
          <w:sz w:val="24"/>
          <w:szCs w:val="24"/>
        </w:rPr>
        <w:t xml:space="preserve"> Polsce </w:t>
      </w:r>
      <w:r w:rsidR="00F430B2">
        <w:rPr>
          <w:rFonts w:ascii="Times New Roman" w:hAnsi="Times New Roman" w:cs="Times New Roman"/>
          <w:sz w:val="24"/>
          <w:szCs w:val="24"/>
        </w:rPr>
        <w:t xml:space="preserve">za rejestr </w:t>
      </w:r>
      <w:r>
        <w:rPr>
          <w:rFonts w:ascii="Times New Roman" w:hAnsi="Times New Roman" w:cs="Times New Roman"/>
          <w:sz w:val="24"/>
          <w:szCs w:val="24"/>
        </w:rPr>
        <w:t>dome</w:t>
      </w:r>
      <w:r w:rsidR="00F430B2">
        <w:rPr>
          <w:rFonts w:ascii="Times New Roman" w:hAnsi="Times New Roman" w:cs="Times New Roman"/>
          <w:sz w:val="24"/>
          <w:szCs w:val="24"/>
        </w:rPr>
        <w:t xml:space="preserve">n odpowiedzialny </w:t>
      </w:r>
      <w:r w:rsidRPr="000E51C4">
        <w:rPr>
          <w:rFonts w:ascii="Times New Roman" w:hAnsi="Times New Roman" w:cs="Times New Roman"/>
          <w:sz w:val="24"/>
          <w:szCs w:val="24"/>
        </w:rPr>
        <w:t xml:space="preserve"> jest NASK</w:t>
      </w:r>
      <w:r>
        <w:rPr>
          <w:rFonts w:ascii="Times New Roman" w:hAnsi="Times New Roman" w:cs="Times New Roman"/>
          <w:sz w:val="24"/>
          <w:szCs w:val="24"/>
        </w:rPr>
        <w:t xml:space="preserve"> (</w:t>
      </w:r>
      <w:r w:rsidRPr="008E511C">
        <w:rPr>
          <w:rFonts w:ascii="Times New Roman" w:hAnsi="Times New Roman" w:cs="Times New Roman"/>
          <w:sz w:val="24"/>
          <w:szCs w:val="24"/>
        </w:rPr>
        <w:t>Naukowa i Akademicka Sieć Komputerowa</w:t>
      </w:r>
      <w:r>
        <w:rPr>
          <w:rFonts w:ascii="Times New Roman" w:hAnsi="Times New Roman" w:cs="Times New Roman"/>
          <w:sz w:val="24"/>
          <w:szCs w:val="24"/>
        </w:rPr>
        <w:t>)</w:t>
      </w:r>
      <w:r w:rsidRPr="000E51C4">
        <w:rPr>
          <w:rFonts w:ascii="Times New Roman" w:hAnsi="Times New Roman" w:cs="Times New Roman"/>
          <w:sz w:val="24"/>
          <w:szCs w:val="24"/>
        </w:rPr>
        <w:t>.</w:t>
      </w:r>
    </w:p>
    <w:p w14:paraId="45655E34" w14:textId="50840577" w:rsidR="00C21D4B" w:rsidRPr="009A1C23" w:rsidRDefault="00C21D4B" w:rsidP="00695ECE">
      <w:pPr>
        <w:pStyle w:val="Akapitzlist"/>
        <w:numPr>
          <w:ilvl w:val="0"/>
          <w:numId w:val="2"/>
        </w:numPr>
        <w:spacing w:line="360" w:lineRule="auto"/>
        <w:jc w:val="both"/>
        <w:rPr>
          <w:rFonts w:ascii="Times New Roman" w:hAnsi="Times New Roman" w:cs="Times New Roman"/>
          <w:sz w:val="24"/>
          <w:szCs w:val="24"/>
        </w:rPr>
      </w:pPr>
      <w:r w:rsidRPr="00B52AFD">
        <w:rPr>
          <w:rFonts w:ascii="Times New Roman" w:hAnsi="Times New Roman" w:cs="Times New Roman"/>
          <w:b/>
          <w:bCs/>
          <w:sz w:val="24"/>
          <w:szCs w:val="24"/>
        </w:rPr>
        <w:t>Art. 3</w:t>
      </w:r>
      <w:r w:rsidRPr="00B52AFD">
        <w:rPr>
          <w:rFonts w:ascii="Times New Roman" w:hAnsi="Times New Roman" w:cs="Times New Roman"/>
          <w:sz w:val="24"/>
          <w:szCs w:val="24"/>
        </w:rPr>
        <w:t xml:space="preserve"> wskazuje, że dokumenty związane z dokonywaniem czynności dotyczących usług w zakresie </w:t>
      </w:r>
      <w:proofErr w:type="spellStart"/>
      <w:r w:rsidRPr="00B52AFD">
        <w:rPr>
          <w:rFonts w:ascii="Times New Roman" w:hAnsi="Times New Roman" w:cs="Times New Roman"/>
          <w:sz w:val="24"/>
          <w:szCs w:val="24"/>
        </w:rPr>
        <w:t>kryptoaktywów</w:t>
      </w:r>
      <w:proofErr w:type="spellEnd"/>
      <w:r w:rsidRPr="00B52AFD">
        <w:rPr>
          <w:rFonts w:ascii="Times New Roman" w:hAnsi="Times New Roman" w:cs="Times New Roman"/>
          <w:sz w:val="24"/>
          <w:szCs w:val="24"/>
        </w:rPr>
        <w:t xml:space="preserve"> lub czynności dotyczących oferty publicznej na podstawie przepisów rozporządzenia 2023/1114 oraz innych czynności wykonywanych w ramach działalności podmiotów w zakresie regulowanym przepisami rozporządzenia 2023/1114, mogą być sporządzane w postaci elektronicznej. Należy tu wskazać na art.</w:t>
      </w:r>
      <w:r>
        <w:rPr>
          <w:rFonts w:ascii="Times New Roman" w:hAnsi="Times New Roman" w:cs="Times New Roman"/>
          <w:sz w:val="24"/>
          <w:szCs w:val="24"/>
        </w:rPr>
        <w:t> </w:t>
      </w:r>
      <w:r w:rsidRPr="00B52AFD">
        <w:rPr>
          <w:rFonts w:ascii="Times New Roman" w:hAnsi="Times New Roman" w:cs="Times New Roman"/>
          <w:sz w:val="24"/>
          <w:szCs w:val="24"/>
        </w:rPr>
        <w:t>78</w:t>
      </w:r>
      <w:r w:rsidRPr="00703C7A">
        <w:rPr>
          <w:rFonts w:ascii="Times New Roman" w:hAnsi="Times New Roman" w:cs="Times New Roman"/>
          <w:sz w:val="24"/>
          <w:szCs w:val="24"/>
          <w:vertAlign w:val="superscript"/>
        </w:rPr>
        <w:t>1</w:t>
      </w:r>
      <w:r w:rsidRPr="00B52AFD">
        <w:rPr>
          <w:rFonts w:ascii="Times New Roman" w:hAnsi="Times New Roman" w:cs="Times New Roman"/>
          <w:sz w:val="24"/>
          <w:szCs w:val="24"/>
        </w:rPr>
        <w:t xml:space="preserve"> § 2 ustawy z dnia 23 kwietnia 1964 rok</w:t>
      </w:r>
      <w:r w:rsidR="00D92F69">
        <w:rPr>
          <w:rFonts w:ascii="Times New Roman" w:hAnsi="Times New Roman" w:cs="Times New Roman"/>
          <w:sz w:val="24"/>
          <w:szCs w:val="24"/>
        </w:rPr>
        <w:t>u – Kodeks cywilny</w:t>
      </w:r>
      <w:r>
        <w:rPr>
          <w:rFonts w:ascii="Times New Roman" w:hAnsi="Times New Roman" w:cs="Times New Roman"/>
          <w:sz w:val="24"/>
          <w:szCs w:val="24"/>
        </w:rPr>
        <w:t>, zwanej dalej „Kodeksem cywilnym”</w:t>
      </w:r>
      <w:r w:rsidRPr="00B52AFD">
        <w:rPr>
          <w:rFonts w:ascii="Times New Roman" w:hAnsi="Times New Roman" w:cs="Times New Roman"/>
          <w:sz w:val="24"/>
          <w:szCs w:val="24"/>
        </w:rPr>
        <w:t>, w którym wprowadzono zasadę, zgodnie z którą forma elektroniczna oświadczeń woli jest równoważna formie pisemnej tych oświadczeń. Do zachowania elektronicznej formy czynności prawnej konieczne jest jednak opatrzenie tego oświadczenia kwalifikowanym podpisem elektronicznym. Dokumenty sporządzane w takiej postaci powinny być utworzone, utrwalone, przekazane, przechowywane i zabezpieczone w sposób</w:t>
      </w:r>
      <w:r>
        <w:rPr>
          <w:rFonts w:ascii="Times New Roman" w:hAnsi="Times New Roman" w:cs="Times New Roman"/>
          <w:sz w:val="24"/>
          <w:szCs w:val="24"/>
        </w:rPr>
        <w:t xml:space="preserve"> zapewniający ich integralność i bezpieczeństwo.</w:t>
      </w:r>
      <w:r w:rsidRPr="00B52AFD">
        <w:t xml:space="preserve"> </w:t>
      </w:r>
      <w:r>
        <w:rPr>
          <w:rFonts w:ascii="Times New Roman" w:hAnsi="Times New Roman" w:cs="Times New Roman"/>
          <w:sz w:val="24"/>
          <w:szCs w:val="24"/>
        </w:rPr>
        <w:t>Z</w:t>
      </w:r>
      <w:r w:rsidRPr="00B52AFD">
        <w:rPr>
          <w:rFonts w:ascii="Times New Roman" w:hAnsi="Times New Roman" w:cs="Times New Roman"/>
          <w:sz w:val="24"/>
          <w:szCs w:val="24"/>
        </w:rPr>
        <w:t>godnie z</w:t>
      </w:r>
      <w:r>
        <w:rPr>
          <w:rFonts w:ascii="Times New Roman" w:hAnsi="Times New Roman" w:cs="Times New Roman"/>
          <w:sz w:val="24"/>
          <w:szCs w:val="24"/>
        </w:rPr>
        <w:t xml:space="preserve"> ust. </w:t>
      </w:r>
      <w:r w:rsidR="00D12327">
        <w:rPr>
          <w:rFonts w:ascii="Times New Roman" w:hAnsi="Times New Roman" w:cs="Times New Roman"/>
          <w:sz w:val="24"/>
          <w:szCs w:val="24"/>
        </w:rPr>
        <w:t>3</w:t>
      </w:r>
      <w:r w:rsidRPr="00B52AFD">
        <w:rPr>
          <w:rFonts w:ascii="Times New Roman" w:hAnsi="Times New Roman" w:cs="Times New Roman"/>
          <w:sz w:val="24"/>
          <w:szCs w:val="24"/>
        </w:rPr>
        <w:t xml:space="preserve"> projektowan</w:t>
      </w:r>
      <w:r>
        <w:rPr>
          <w:rFonts w:ascii="Times New Roman" w:hAnsi="Times New Roman" w:cs="Times New Roman"/>
          <w:sz w:val="24"/>
          <w:szCs w:val="24"/>
        </w:rPr>
        <w:t>ego</w:t>
      </w:r>
      <w:r w:rsidRPr="00B52AFD">
        <w:rPr>
          <w:rFonts w:ascii="Times New Roman" w:hAnsi="Times New Roman" w:cs="Times New Roman"/>
          <w:sz w:val="24"/>
          <w:szCs w:val="24"/>
        </w:rPr>
        <w:t xml:space="preserve"> przepi</w:t>
      </w:r>
      <w:r>
        <w:rPr>
          <w:rFonts w:ascii="Times New Roman" w:hAnsi="Times New Roman" w:cs="Times New Roman"/>
          <w:sz w:val="24"/>
          <w:szCs w:val="24"/>
        </w:rPr>
        <w:t>su,</w:t>
      </w:r>
      <w:r w:rsidRPr="00B52AFD">
        <w:rPr>
          <w:rFonts w:ascii="Times New Roman" w:hAnsi="Times New Roman" w:cs="Times New Roman"/>
          <w:sz w:val="24"/>
          <w:szCs w:val="24"/>
        </w:rPr>
        <w:t xml:space="preserve"> oświadczenia woli złożone w postaci elektronicznej (również nieopatrzone kwalifikowanym podpisem elektronicznym) zawarte w dokumentach, o których mowa w ust. 1 tego przepisu, będą spełniały wymogi formy pisemnej, również w przypadku</w:t>
      </w:r>
      <w:r>
        <w:rPr>
          <w:rFonts w:ascii="Times New Roman" w:hAnsi="Times New Roman" w:cs="Times New Roman"/>
          <w:sz w:val="24"/>
          <w:szCs w:val="24"/>
        </w:rPr>
        <w:t>,</w:t>
      </w:r>
      <w:r w:rsidRPr="00B52AFD">
        <w:rPr>
          <w:rFonts w:ascii="Times New Roman" w:hAnsi="Times New Roman" w:cs="Times New Roman"/>
          <w:sz w:val="24"/>
          <w:szCs w:val="24"/>
        </w:rPr>
        <w:t xml:space="preserve"> gdy forma ta została zastrzeżona pod rygorem nieważności. Celem takiej konstrukcji przepisu jest rozszerzenie możliwości składania oświadczeń woli drogą elektroniczną z wykorzystaniem formularzy elektronicznych.</w:t>
      </w:r>
      <w:r>
        <w:rPr>
          <w:rFonts w:ascii="Times New Roman" w:hAnsi="Times New Roman" w:cs="Times New Roman"/>
          <w:sz w:val="24"/>
          <w:szCs w:val="24"/>
        </w:rPr>
        <w:t xml:space="preserve"> </w:t>
      </w:r>
      <w:r w:rsidRPr="008B2D97">
        <w:rPr>
          <w:rFonts w:ascii="Times New Roman" w:hAnsi="Times New Roman" w:cs="Times New Roman"/>
          <w:sz w:val="24"/>
          <w:szCs w:val="24"/>
        </w:rPr>
        <w:t xml:space="preserve">W przedmiotowym przepisie przewidziano również upoważnienie ustawowe dla ministra właściwego do spraw instytucji finansowych do określenia, w drodze rozporządzenia, szczegółowego sposobu tworzenia, utrwalania, przekazywania, przechowywania i zabezpieczania ww. dokumentów, z uwzględnieniem zapewnienia bezpieczeństwa obrotu oraz ochrony </w:t>
      </w:r>
      <w:r>
        <w:rPr>
          <w:rFonts w:ascii="Times New Roman" w:hAnsi="Times New Roman" w:cs="Times New Roman"/>
          <w:sz w:val="24"/>
          <w:szCs w:val="24"/>
        </w:rPr>
        <w:t xml:space="preserve">praw i </w:t>
      </w:r>
      <w:r w:rsidRPr="008B2D97">
        <w:rPr>
          <w:rFonts w:ascii="Times New Roman" w:hAnsi="Times New Roman" w:cs="Times New Roman"/>
          <w:sz w:val="24"/>
          <w:szCs w:val="24"/>
        </w:rPr>
        <w:t>interesów klientów.</w:t>
      </w:r>
      <w:r w:rsidRPr="002349AE">
        <w:t xml:space="preserve"> </w:t>
      </w:r>
      <w:r w:rsidRPr="008B2D97">
        <w:rPr>
          <w:rFonts w:ascii="Times New Roman" w:hAnsi="Times New Roman" w:cs="Times New Roman"/>
          <w:sz w:val="24"/>
          <w:szCs w:val="24"/>
        </w:rPr>
        <w:t>Przepis ten jest wzorowany na art. 13 ustawy z dnia 29 lipca 2005 r. o obrocie instrumentami finansowymi</w:t>
      </w:r>
      <w:r>
        <w:rPr>
          <w:rFonts w:ascii="Times New Roman" w:hAnsi="Times New Roman" w:cs="Times New Roman"/>
          <w:sz w:val="24"/>
          <w:szCs w:val="24"/>
        </w:rPr>
        <w:t xml:space="preserve">, zwanej </w:t>
      </w:r>
      <w:r w:rsidRPr="008B2D97">
        <w:rPr>
          <w:rFonts w:ascii="Times New Roman" w:hAnsi="Times New Roman" w:cs="Times New Roman"/>
          <w:sz w:val="24"/>
          <w:szCs w:val="24"/>
        </w:rPr>
        <w:t>dalej</w:t>
      </w:r>
      <w:r>
        <w:rPr>
          <w:rFonts w:ascii="Times New Roman" w:hAnsi="Times New Roman" w:cs="Times New Roman"/>
          <w:sz w:val="24"/>
          <w:szCs w:val="24"/>
        </w:rPr>
        <w:t xml:space="preserve"> „</w:t>
      </w:r>
      <w:r w:rsidRPr="008B2D97">
        <w:rPr>
          <w:rFonts w:ascii="Times New Roman" w:hAnsi="Times New Roman" w:cs="Times New Roman"/>
          <w:sz w:val="24"/>
          <w:szCs w:val="24"/>
        </w:rPr>
        <w:t>ustaw</w:t>
      </w:r>
      <w:r>
        <w:rPr>
          <w:rFonts w:ascii="Times New Roman" w:hAnsi="Times New Roman" w:cs="Times New Roman"/>
          <w:sz w:val="24"/>
          <w:szCs w:val="24"/>
        </w:rPr>
        <w:t>ą</w:t>
      </w:r>
      <w:r w:rsidRPr="008B2D97">
        <w:rPr>
          <w:rFonts w:ascii="Times New Roman" w:hAnsi="Times New Roman" w:cs="Times New Roman"/>
          <w:sz w:val="24"/>
          <w:szCs w:val="24"/>
        </w:rPr>
        <w:t xml:space="preserve"> o obrocie instrumentami finansowymi</w:t>
      </w:r>
      <w:r>
        <w:rPr>
          <w:rFonts w:ascii="Times New Roman" w:hAnsi="Times New Roman" w:cs="Times New Roman"/>
          <w:sz w:val="24"/>
          <w:szCs w:val="24"/>
        </w:rPr>
        <w:t>”</w:t>
      </w:r>
      <w:r w:rsidRPr="008B2D97">
        <w:rPr>
          <w:rFonts w:ascii="Times New Roman" w:hAnsi="Times New Roman" w:cs="Times New Roman"/>
          <w:sz w:val="24"/>
          <w:szCs w:val="24"/>
        </w:rPr>
        <w:t>. Umożliwienie elektronicznego zawierania umów wynika również z postępującej cyfryzacji przestrzeni publicznej. Jest to zatem środek cieszący się współcześnie dużą i wciąż rosnącą popularnością.</w:t>
      </w:r>
    </w:p>
    <w:p w14:paraId="5CDBBF60" w14:textId="1DF4732F" w:rsidR="00C21D4B" w:rsidRPr="00271B1B" w:rsidRDefault="00C21D4B" w:rsidP="00695ECE">
      <w:pPr>
        <w:pStyle w:val="Akapitzlist"/>
        <w:numPr>
          <w:ilvl w:val="0"/>
          <w:numId w:val="2"/>
        </w:numPr>
        <w:spacing w:line="360" w:lineRule="auto"/>
        <w:ind w:left="709" w:hanging="368"/>
        <w:jc w:val="both"/>
        <w:rPr>
          <w:rFonts w:ascii="Times New Roman" w:hAnsi="Times New Roman" w:cs="Times New Roman"/>
          <w:bCs/>
          <w:sz w:val="24"/>
          <w:szCs w:val="24"/>
        </w:rPr>
      </w:pPr>
      <w:r w:rsidRPr="00271B1B">
        <w:rPr>
          <w:rFonts w:ascii="Times New Roman" w:hAnsi="Times New Roman" w:cs="Times New Roman"/>
          <w:sz w:val="24"/>
          <w:szCs w:val="24"/>
        </w:rPr>
        <w:t xml:space="preserve">Zgodnie z </w:t>
      </w:r>
      <w:r w:rsidRPr="00271B1B">
        <w:rPr>
          <w:rFonts w:ascii="Times New Roman" w:hAnsi="Times New Roman" w:cs="Times New Roman"/>
          <w:b/>
          <w:bCs/>
          <w:sz w:val="24"/>
          <w:szCs w:val="24"/>
        </w:rPr>
        <w:t>art. 4</w:t>
      </w:r>
      <w:r w:rsidRPr="00271B1B">
        <w:rPr>
          <w:rFonts w:ascii="Times New Roman" w:hAnsi="Times New Roman" w:cs="Times New Roman"/>
          <w:sz w:val="24"/>
          <w:szCs w:val="24"/>
        </w:rPr>
        <w:t xml:space="preserve"> ust. 1 osoby fizyczne zatrudnione przez dostawcę usług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albo wykonujące</w:t>
      </w:r>
      <w:r w:rsidRPr="00271B1B">
        <w:rPr>
          <w:rFonts w:ascii="Times New Roman" w:hAnsi="Times New Roman" w:cs="Times New Roman"/>
          <w:bCs/>
          <w:sz w:val="24"/>
          <w:szCs w:val="24"/>
        </w:rPr>
        <w:t xml:space="preserve"> na jego rzecz pracę na podstawie umowy cywilnoprawnej, powinny posiadać wiedzę i kompetencje w zakresie rynku finansowego niezbędne do wykonywania ich obowiązków. W ust. 2 wprowadzono wyjątek w odniesieniu do regulacji przewidzianej ust.1</w:t>
      </w:r>
      <w:r w:rsidRPr="00271B1B">
        <w:rPr>
          <w:rFonts w:ascii="Times New Roman" w:hAnsi="Times New Roman" w:cs="Times New Roman"/>
          <w:sz w:val="24"/>
          <w:szCs w:val="24"/>
        </w:rPr>
        <w:t>,</w:t>
      </w:r>
      <w:r w:rsidRPr="00271B1B">
        <w:rPr>
          <w:rFonts w:ascii="Times New Roman" w:hAnsi="Times New Roman" w:cs="Times New Roman"/>
          <w:bCs/>
          <w:sz w:val="24"/>
          <w:szCs w:val="24"/>
        </w:rPr>
        <w:t xml:space="preserve"> która nie będzie miała zastosowania w przypadku osób nieposiadających wiedzy lub kompetencji</w:t>
      </w:r>
      <w:r w:rsidRPr="00271B1B">
        <w:rPr>
          <w:rFonts w:ascii="Times New Roman" w:hAnsi="Times New Roman" w:cs="Arial"/>
          <w:sz w:val="24"/>
          <w:szCs w:val="20"/>
          <w:lang w:eastAsia="pl-PL"/>
        </w:rPr>
        <w:t xml:space="preserve"> </w:t>
      </w:r>
      <w:r w:rsidRPr="00271B1B">
        <w:rPr>
          <w:rFonts w:ascii="Times New Roman" w:hAnsi="Times New Roman" w:cs="Times New Roman"/>
          <w:bCs/>
          <w:sz w:val="24"/>
          <w:szCs w:val="24"/>
        </w:rPr>
        <w:t xml:space="preserve">w zakresie rynku finansowego niezbędnych do wykonywania ich obowiązków. Wyjątek ten będzie jednak możliwy jedynie pod warunkiem, że wykonywanie obowiązków przez taką osobę będzie odbywało się pod nadzorem osoby fizycznej zatrudnionej przez dostawcę usług w zakresie </w:t>
      </w:r>
      <w:proofErr w:type="spellStart"/>
      <w:r w:rsidRPr="00271B1B">
        <w:rPr>
          <w:rFonts w:ascii="Times New Roman" w:hAnsi="Times New Roman" w:cs="Times New Roman"/>
          <w:bCs/>
          <w:sz w:val="24"/>
          <w:szCs w:val="24"/>
        </w:rPr>
        <w:t>kryptoaktywów</w:t>
      </w:r>
      <w:proofErr w:type="spellEnd"/>
      <w:r w:rsidRPr="00271B1B">
        <w:rPr>
          <w:rFonts w:ascii="Times New Roman" w:hAnsi="Times New Roman" w:cs="Times New Roman"/>
          <w:bCs/>
          <w:sz w:val="24"/>
          <w:szCs w:val="24"/>
        </w:rPr>
        <w:t xml:space="preserve"> albo wykonującej na jego rzecz pracę na podstawie umowy cywilnoprawnej, posiadającej wiedzę i kompetencje w zakresie rynku finansowego niezbędne do wykonywania jej obowiązków. Zgodnie z ust. 3 osoba fizyczna nadzorująca osobę, która nie posiada wiedzy lub kompetencji niezbędnych do wykonywania przez nią obowiązków, będzie ponosiła odpowiedzialność za wykonywane przez tę osobę tych obowiązków. Dodatkowo należy zaznaczyć, że wyjątek przewidziany w ust. 2 został określony w  </w:t>
      </w:r>
      <w:r w:rsidRPr="00271B1B">
        <w:rPr>
          <w:rFonts w:ascii="Times New Roman" w:hAnsi="Times New Roman" w:cs="Times New Roman"/>
          <w:sz w:val="24"/>
          <w:szCs w:val="24"/>
        </w:rPr>
        <w:t>w</w:t>
      </w:r>
      <w:r w:rsidRPr="00271B1B">
        <w:rPr>
          <w:rFonts w:ascii="Times New Roman" w:hAnsi="Times New Roman" w:cs="Times New Roman"/>
          <w:bCs/>
          <w:sz w:val="24"/>
          <w:szCs w:val="24"/>
        </w:rPr>
        <w:t>ytycznych Europejskiego Urzędu Nadzoru Giełd i Papierów Wartościowych (ESMA), które zosta</w:t>
      </w:r>
      <w:r w:rsidR="00ED123B">
        <w:rPr>
          <w:rFonts w:ascii="Times New Roman" w:hAnsi="Times New Roman" w:cs="Times New Roman"/>
          <w:bCs/>
          <w:sz w:val="24"/>
          <w:szCs w:val="24"/>
        </w:rPr>
        <w:t>ły</w:t>
      </w:r>
      <w:r w:rsidRPr="00271B1B">
        <w:rPr>
          <w:rFonts w:ascii="Times New Roman" w:hAnsi="Times New Roman" w:cs="Times New Roman"/>
          <w:bCs/>
          <w:sz w:val="24"/>
          <w:szCs w:val="24"/>
        </w:rPr>
        <w:t xml:space="preserve"> wydane zgodnie z art. 81 ust. 15 rozporządzenia 2023/1114. Według wytycznych dotyczących kryteriów oceny wiedzy i kompetencji zgodnie z rozporządzeniem w sprawie rynku </w:t>
      </w:r>
      <w:proofErr w:type="spellStart"/>
      <w:r w:rsidRPr="00271B1B">
        <w:rPr>
          <w:rFonts w:ascii="Times New Roman" w:hAnsi="Times New Roman" w:cs="Times New Roman"/>
          <w:bCs/>
          <w:sz w:val="24"/>
          <w:szCs w:val="24"/>
        </w:rPr>
        <w:t>kryptoaktywów</w:t>
      </w:r>
      <w:proofErr w:type="spellEnd"/>
      <w:r w:rsidRPr="00271B1B">
        <w:rPr>
          <w:rFonts w:ascii="Times New Roman" w:hAnsi="Times New Roman" w:cs="Times New Roman"/>
          <w:bCs/>
          <w:sz w:val="24"/>
          <w:szCs w:val="24"/>
        </w:rPr>
        <w:t xml:space="preserve"> (</w:t>
      </w:r>
      <w:proofErr w:type="spellStart"/>
      <w:r w:rsidRPr="00271B1B">
        <w:rPr>
          <w:rFonts w:ascii="Times New Roman" w:hAnsi="Times New Roman" w:cs="Times New Roman"/>
          <w:bCs/>
          <w:sz w:val="24"/>
          <w:szCs w:val="24"/>
        </w:rPr>
        <w:t>MiCA</w:t>
      </w:r>
      <w:proofErr w:type="spellEnd"/>
      <w:r w:rsidRPr="00271B1B">
        <w:rPr>
          <w:rFonts w:ascii="Times New Roman" w:hAnsi="Times New Roman" w:cs="Times New Roman"/>
          <w:bCs/>
          <w:sz w:val="24"/>
          <w:szCs w:val="24"/>
        </w:rPr>
        <w:t xml:space="preserve">) opublikowanych </w:t>
      </w:r>
      <w:r w:rsidR="002D6AC5">
        <w:rPr>
          <w:rFonts w:ascii="Times New Roman" w:hAnsi="Times New Roman" w:cs="Times New Roman"/>
          <w:bCs/>
          <w:sz w:val="24"/>
          <w:szCs w:val="24"/>
        </w:rPr>
        <w:t>28 stycznia 2026 r.</w:t>
      </w:r>
      <w:r w:rsidR="00145096">
        <w:rPr>
          <w:rFonts w:ascii="Times New Roman" w:hAnsi="Times New Roman" w:cs="Times New Roman"/>
          <w:bCs/>
          <w:sz w:val="24"/>
          <w:szCs w:val="24"/>
        </w:rPr>
        <w:t xml:space="preserve"> </w:t>
      </w:r>
      <w:r w:rsidRPr="00271B1B">
        <w:rPr>
          <w:rFonts w:ascii="Times New Roman" w:hAnsi="Times New Roman" w:cs="Times New Roman"/>
          <w:bCs/>
          <w:sz w:val="24"/>
          <w:szCs w:val="24"/>
        </w:rPr>
        <w:t>przez ESMA (</w:t>
      </w:r>
      <w:r w:rsidR="002D6AC5" w:rsidRPr="002D6AC5">
        <w:rPr>
          <w:rFonts w:ascii="Times New Roman" w:hAnsi="Times New Roman" w:cs="Times New Roman"/>
          <w:bCs/>
          <w:sz w:val="24"/>
          <w:szCs w:val="24"/>
        </w:rPr>
        <w:t>ESMA35-24871704-2922</w:t>
      </w:r>
      <w:r w:rsidRPr="00271B1B">
        <w:rPr>
          <w:rFonts w:ascii="Times New Roman" w:hAnsi="Times New Roman" w:cs="Times New Roman"/>
          <w:bCs/>
          <w:sz w:val="24"/>
          <w:szCs w:val="24"/>
        </w:rPr>
        <w:t xml:space="preserve">), kluczowym celem ww. wytycznych jest zapewnienie minimalnego poziomu wiedzy i kompetencji pracowników udzielających klientom porad i informacji na temat </w:t>
      </w:r>
      <w:proofErr w:type="spellStart"/>
      <w:r w:rsidRPr="00271B1B">
        <w:rPr>
          <w:rFonts w:ascii="Times New Roman" w:hAnsi="Times New Roman" w:cs="Times New Roman"/>
          <w:bCs/>
          <w:sz w:val="24"/>
          <w:szCs w:val="24"/>
        </w:rPr>
        <w:t>kryptoaktywów</w:t>
      </w:r>
      <w:proofErr w:type="spellEnd"/>
      <w:r w:rsidRPr="00271B1B">
        <w:rPr>
          <w:rFonts w:ascii="Times New Roman" w:hAnsi="Times New Roman" w:cs="Times New Roman"/>
          <w:bCs/>
          <w:sz w:val="24"/>
          <w:szCs w:val="24"/>
        </w:rPr>
        <w:t xml:space="preserve"> lub usług związanych z </w:t>
      </w:r>
      <w:proofErr w:type="spellStart"/>
      <w:r w:rsidRPr="00271B1B">
        <w:rPr>
          <w:rFonts w:ascii="Times New Roman" w:hAnsi="Times New Roman" w:cs="Times New Roman"/>
          <w:bCs/>
          <w:sz w:val="24"/>
          <w:szCs w:val="24"/>
        </w:rPr>
        <w:t>kryptoaktywami</w:t>
      </w:r>
      <w:proofErr w:type="spellEnd"/>
      <w:r w:rsidRPr="00271B1B">
        <w:rPr>
          <w:rFonts w:ascii="Times New Roman" w:hAnsi="Times New Roman" w:cs="Times New Roman"/>
          <w:bCs/>
          <w:sz w:val="24"/>
          <w:szCs w:val="24"/>
        </w:rPr>
        <w:t>, w celu zwiększenia poziomu ochrony inwestorów. Aby osiągnąć ten cel, ww. wytyczne zostały opracowane w oparciu o wytyczne</w:t>
      </w:r>
      <w:r w:rsidRPr="00271B1B">
        <w:rPr>
          <w:rFonts w:ascii="Times New Roman" w:hAnsi="Times New Roman" w:cs="Times New Roman"/>
        </w:rPr>
        <w:t xml:space="preserve"> </w:t>
      </w:r>
      <w:r w:rsidRPr="00271B1B">
        <w:rPr>
          <w:rFonts w:ascii="Times New Roman" w:hAnsi="Times New Roman" w:cs="Times New Roman"/>
          <w:sz w:val="24"/>
          <w:szCs w:val="24"/>
        </w:rPr>
        <w:t xml:space="preserve">do </w:t>
      </w:r>
      <w:r w:rsidRPr="00271B1B">
        <w:rPr>
          <w:rFonts w:ascii="Times New Roman" w:hAnsi="Times New Roman" w:cs="Times New Roman"/>
          <w:bCs/>
          <w:sz w:val="24"/>
          <w:szCs w:val="24"/>
        </w:rPr>
        <w:t>dyrektywy Parlamentu Europejskiego i Rady 2014/65/UE z dnia 15 maja 2014 r. w sprawie rynków instrumentów finansowych oraz zmieniającej dyrektywę 2002/92/WE i dyrektywę 2011/61/UE (Dz. Urz. UE L 173 z 12.06.2014, str. 349), które analogicznie do tych wydawanych na podstawie art. 81 ust. 15 rozporządzenia 2023/1114 dotyczą wiedzy i kompetencji pracowników udzielających porad lub informacji na temat produktów inwestycyjnych.</w:t>
      </w:r>
      <w:r w:rsidRPr="00271B1B">
        <w:rPr>
          <w:rFonts w:ascii="Times New Roman" w:eastAsiaTheme="minorHAnsi" w:hAnsi="Times New Roman" w:cs="Times New Roman"/>
          <w:sz w:val="24"/>
          <w:szCs w:val="24"/>
        </w:rPr>
        <w:t xml:space="preserve"> Istotnym </w:t>
      </w:r>
      <w:r w:rsidRPr="00271B1B">
        <w:rPr>
          <w:rFonts w:ascii="Times New Roman" w:hAnsi="Times New Roman" w:cs="Times New Roman"/>
          <w:bCs/>
          <w:sz w:val="24"/>
          <w:szCs w:val="24"/>
        </w:rPr>
        <w:t xml:space="preserve">elementem ww. wytycznych jest procedura określająca postępowanie dostawcy usług w zakresie </w:t>
      </w:r>
      <w:proofErr w:type="spellStart"/>
      <w:r w:rsidRPr="00271B1B">
        <w:rPr>
          <w:rFonts w:ascii="Times New Roman" w:hAnsi="Times New Roman" w:cs="Times New Roman"/>
          <w:bCs/>
          <w:sz w:val="24"/>
          <w:szCs w:val="24"/>
        </w:rPr>
        <w:t>kryptoaktywów</w:t>
      </w:r>
      <w:proofErr w:type="spellEnd"/>
      <w:r w:rsidRPr="00271B1B">
        <w:rPr>
          <w:rFonts w:ascii="Times New Roman" w:hAnsi="Times New Roman" w:cs="Times New Roman"/>
          <w:bCs/>
          <w:sz w:val="24"/>
          <w:szCs w:val="24"/>
        </w:rPr>
        <w:t xml:space="preserve">, w przypadku gdy pracownik nie posiada niezbędnej wiedzy i kompetencji w zakresie świadczenia odpowiednich usług związanych z </w:t>
      </w:r>
      <w:proofErr w:type="spellStart"/>
      <w:r w:rsidRPr="00271B1B">
        <w:rPr>
          <w:rFonts w:ascii="Times New Roman" w:hAnsi="Times New Roman" w:cs="Times New Roman"/>
          <w:bCs/>
          <w:sz w:val="24"/>
          <w:szCs w:val="24"/>
        </w:rPr>
        <w:t>kryptoaktywami</w:t>
      </w:r>
      <w:proofErr w:type="spellEnd"/>
      <w:r w:rsidRPr="00271B1B">
        <w:rPr>
          <w:rFonts w:ascii="Times New Roman" w:hAnsi="Times New Roman" w:cs="Times New Roman"/>
          <w:bCs/>
          <w:sz w:val="24"/>
          <w:szCs w:val="24"/>
        </w:rPr>
        <w:t xml:space="preserve">. Z tego względu projektodawca zdecydował się na uregulowanie wyżej omówionego wyjątku w przepisach projektowanej ustawy. Ust. 4 określa obowiązek spoczywający na dostawcy usług w zakresie </w:t>
      </w:r>
      <w:proofErr w:type="spellStart"/>
      <w:r w:rsidRPr="00271B1B">
        <w:rPr>
          <w:rFonts w:ascii="Times New Roman" w:hAnsi="Times New Roman" w:cs="Times New Roman"/>
          <w:bCs/>
          <w:sz w:val="24"/>
          <w:szCs w:val="24"/>
        </w:rPr>
        <w:t>kryptoaktywów</w:t>
      </w:r>
      <w:proofErr w:type="spellEnd"/>
      <w:r w:rsidRPr="00271B1B">
        <w:rPr>
          <w:rFonts w:ascii="Times New Roman" w:hAnsi="Times New Roman" w:cs="Times New Roman"/>
          <w:bCs/>
          <w:sz w:val="24"/>
          <w:szCs w:val="24"/>
        </w:rPr>
        <w:t xml:space="preserve"> w zakresie zapewni</w:t>
      </w:r>
      <w:r w:rsidRPr="00271B1B">
        <w:rPr>
          <w:rFonts w:ascii="Times New Roman" w:hAnsi="Times New Roman" w:cs="Times New Roman"/>
          <w:sz w:val="24"/>
          <w:szCs w:val="24"/>
        </w:rPr>
        <w:t>a</w:t>
      </w:r>
      <w:r w:rsidRPr="00271B1B">
        <w:rPr>
          <w:rFonts w:ascii="Times New Roman" w:hAnsi="Times New Roman" w:cs="Times New Roman"/>
          <w:bCs/>
          <w:sz w:val="24"/>
          <w:szCs w:val="24"/>
        </w:rPr>
        <w:t>nia utrzymywania i pogłębiania wiedzy oraz kompetencji w zakresie rynku finansowego osób</w:t>
      </w:r>
      <w:r w:rsidRPr="00271B1B">
        <w:rPr>
          <w:rFonts w:ascii="Times New Roman" w:hAnsi="Times New Roman" w:cs="Times New Roman"/>
          <w:sz w:val="24"/>
          <w:szCs w:val="24"/>
        </w:rPr>
        <w:t>, o których mowa w ust. 1,</w:t>
      </w:r>
      <w:r w:rsidRPr="00271B1B">
        <w:rPr>
          <w:rFonts w:ascii="Times New Roman" w:hAnsi="Times New Roman" w:cs="Times New Roman"/>
          <w:bCs/>
          <w:sz w:val="24"/>
          <w:szCs w:val="24"/>
        </w:rPr>
        <w:t xml:space="preserve"> </w:t>
      </w:r>
      <w:r w:rsidRPr="00271B1B">
        <w:rPr>
          <w:rFonts w:ascii="Times New Roman" w:hAnsi="Times New Roman" w:cs="Times New Roman"/>
          <w:sz w:val="24"/>
          <w:szCs w:val="24"/>
        </w:rPr>
        <w:t xml:space="preserve">a także </w:t>
      </w:r>
      <w:r w:rsidRPr="00271B1B">
        <w:rPr>
          <w:rFonts w:ascii="Times New Roman" w:hAnsi="Times New Roman" w:cs="Times New Roman"/>
          <w:bCs/>
          <w:sz w:val="24"/>
          <w:szCs w:val="24"/>
        </w:rPr>
        <w:t>zapewnia</w:t>
      </w:r>
      <w:r w:rsidRPr="00271B1B">
        <w:rPr>
          <w:rFonts w:ascii="Times New Roman" w:hAnsi="Times New Roman" w:cs="Times New Roman"/>
          <w:sz w:val="24"/>
          <w:szCs w:val="24"/>
        </w:rPr>
        <w:t>nia</w:t>
      </w:r>
      <w:r w:rsidRPr="00271B1B">
        <w:rPr>
          <w:rFonts w:ascii="Times New Roman" w:hAnsi="Times New Roman" w:cs="Times New Roman"/>
          <w:bCs/>
          <w:sz w:val="24"/>
          <w:szCs w:val="24"/>
        </w:rPr>
        <w:t xml:space="preserve"> zdobywani</w:t>
      </w:r>
      <w:r w:rsidRPr="00271B1B">
        <w:rPr>
          <w:rFonts w:ascii="Times New Roman" w:hAnsi="Times New Roman" w:cs="Times New Roman"/>
          <w:sz w:val="24"/>
          <w:szCs w:val="24"/>
        </w:rPr>
        <w:t>a</w:t>
      </w:r>
      <w:r w:rsidRPr="00271B1B">
        <w:rPr>
          <w:rFonts w:ascii="Times New Roman" w:hAnsi="Times New Roman" w:cs="Times New Roman"/>
          <w:bCs/>
          <w:sz w:val="24"/>
          <w:szCs w:val="24"/>
        </w:rPr>
        <w:t xml:space="preserve"> wiedzy oraz kompetencji w zakresie rynku finansowego przez osobę fizyczną zatrudnioną przez tego dostawcę albo wykonującą na jego rzecz pracę na podstawie umowy cywilnoprawnej, udzielającą klientom lub potencjalnym klientom porad lub informacji, nieposiadającą takiej wiedzy lub takich kompetencji</w:t>
      </w:r>
      <w:r w:rsidRPr="00271B1B">
        <w:rPr>
          <w:rFonts w:ascii="Times New Roman" w:hAnsi="Times New Roman" w:cs="Times New Roman"/>
          <w:sz w:val="24"/>
          <w:szCs w:val="24"/>
        </w:rPr>
        <w:t xml:space="preserve">. Zgodnie z tym przepisem na </w:t>
      </w:r>
      <w:r w:rsidRPr="00271B1B">
        <w:rPr>
          <w:rFonts w:ascii="Times New Roman" w:hAnsi="Times New Roman" w:cs="Times New Roman"/>
          <w:bCs/>
          <w:sz w:val="24"/>
          <w:szCs w:val="24"/>
        </w:rPr>
        <w:t xml:space="preserve">dostawcy </w:t>
      </w:r>
      <w:r w:rsidRPr="00271B1B">
        <w:rPr>
          <w:rFonts w:ascii="Times New Roman" w:hAnsi="Times New Roman" w:cs="Times New Roman"/>
          <w:sz w:val="24"/>
          <w:szCs w:val="24"/>
        </w:rPr>
        <w:t xml:space="preserve">usług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spoczywa również obowiązek ustanowienia i wdrożeni</w:t>
      </w:r>
      <w:r>
        <w:rPr>
          <w:rFonts w:ascii="Times New Roman" w:hAnsi="Times New Roman" w:cs="Times New Roman"/>
          <w:sz w:val="24"/>
          <w:szCs w:val="24"/>
        </w:rPr>
        <w:t>a</w:t>
      </w:r>
      <w:r w:rsidRPr="00271B1B">
        <w:rPr>
          <w:rFonts w:ascii="Times New Roman" w:hAnsi="Times New Roman" w:cs="Times New Roman"/>
          <w:sz w:val="24"/>
          <w:szCs w:val="24"/>
        </w:rPr>
        <w:t xml:space="preserve"> polityki w zakresie przeprowadzania szkoleń ww. osób i potwierdzania ich wiedzy oraz kompetencji. </w:t>
      </w:r>
      <w:r w:rsidRPr="00271B1B">
        <w:rPr>
          <w:rFonts w:ascii="Times New Roman" w:hAnsi="Times New Roman" w:cs="Times New Roman"/>
          <w:bCs/>
          <w:sz w:val="24"/>
          <w:szCs w:val="24"/>
        </w:rPr>
        <w:t xml:space="preserve">Natomiast zgodnie z ust. 5 polityka ta będzie podlegać zatwierdzeniu przez organ zarządzający dostawcy usług w zakresie </w:t>
      </w:r>
      <w:proofErr w:type="spellStart"/>
      <w:r w:rsidRPr="00271B1B">
        <w:rPr>
          <w:rFonts w:ascii="Times New Roman" w:hAnsi="Times New Roman" w:cs="Times New Roman"/>
          <w:bCs/>
          <w:sz w:val="24"/>
          <w:szCs w:val="24"/>
        </w:rPr>
        <w:t>kryptoaktywów</w:t>
      </w:r>
      <w:proofErr w:type="spellEnd"/>
      <w:r w:rsidRPr="00271B1B">
        <w:rPr>
          <w:rFonts w:ascii="Times New Roman" w:hAnsi="Times New Roman" w:cs="Times New Roman"/>
          <w:bCs/>
          <w:sz w:val="24"/>
          <w:szCs w:val="24"/>
        </w:rPr>
        <w:t>. Zgodnie z u</w:t>
      </w:r>
      <w:r w:rsidRPr="00271B1B">
        <w:rPr>
          <w:rFonts w:ascii="Times New Roman" w:hAnsi="Times New Roman" w:cs="Times New Roman"/>
          <w:sz w:val="24"/>
          <w:szCs w:val="24"/>
        </w:rPr>
        <w:t>st. 6 minister właściwy do spraw instytucji finansowych jest zobligowany do określenia, w drodze rozporządzenia, szczegółowych wymagań, jakie powinny spełniać osoby, o których mowa w ust. 1 tego przepisu</w:t>
      </w:r>
      <w:r>
        <w:rPr>
          <w:rFonts w:ascii="Times New Roman" w:hAnsi="Times New Roman" w:cs="Times New Roman"/>
          <w:sz w:val="24"/>
          <w:szCs w:val="24"/>
        </w:rPr>
        <w:t>,</w:t>
      </w:r>
      <w:r w:rsidRPr="00271B1B">
        <w:rPr>
          <w:rFonts w:ascii="Times New Roman" w:hAnsi="Times New Roman" w:cs="Times New Roman"/>
          <w:sz w:val="24"/>
          <w:szCs w:val="24"/>
        </w:rPr>
        <w:t xml:space="preserve"> w zakresie posiadanej przez nie wiedzy i kompetencji w zakresie rynku finansowego niezbędnych do wykonywania obowiązków, sposobu i okresu nadzoru nad osobami fizycznymi zatrudnionymi przez dostawcę usług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albo wykonującymi na jego rzecz pracę na podstawie umowy cywilnoprawnej, udzielającymi klientom lub potencjalnym klientom porad lub informacji, o których mowa w ust. 1, nieposiadającymi wiedzy lub kompetencji, o których mowa w tym przepisie, sposobu postępowania dostawców usług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dla zapewnienia</w:t>
      </w:r>
      <w:bookmarkStart w:id="2" w:name="_Hlk189832415"/>
      <w:r w:rsidRPr="00271B1B">
        <w:rPr>
          <w:rFonts w:ascii="Times New Roman" w:hAnsi="Times New Roman" w:cs="Times New Roman"/>
          <w:sz w:val="24"/>
          <w:szCs w:val="24"/>
        </w:rPr>
        <w:t xml:space="preserve"> prawidłowości wykonywania obowiązków przy udzielaniu klientom lub potencjalnym klientom porad lub informacji, o których mowa w ust. 1, utrzymania i pogłębiania wiedzy oraz kompetencji w zakresie rynku finansowego osoby fizycznej, o której mowa w ust. 1</w:t>
      </w:r>
      <w:bookmarkEnd w:id="2"/>
      <w:r w:rsidRPr="00271B1B">
        <w:rPr>
          <w:rFonts w:ascii="Times New Roman" w:hAnsi="Times New Roman" w:cs="Times New Roman"/>
          <w:sz w:val="24"/>
          <w:szCs w:val="24"/>
        </w:rPr>
        <w:t xml:space="preserve">, oraz zdobywania wiedzy oraz kompetencji w zakresie rynku finansowego przez osobę fizyczną, o której mowa w pkt 2, jak również minimalnych wymagań jakie powinna spełniać polityka, o której mowa w ust. 4 pkt 3. Przy wydaniu ww. rozporządzenia konieczne będzie uwzględnienie konieczności zapewnienia profesjonalnego, rzetelnego, bezpiecznego i sprawnego prowadzenia działalności przez dostawców usług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oraz zakresu prowadzonej przez nich działalności. Przepis ma na celu zapewnienie ochrony klientów dostawców usług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którzy świadczą usługi doradztwa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na wniosek tych klientów lub z własnej inicjatywy, a także dostawców usług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którzy świadczą usługi zarządzania portfelami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Osoby, o których mowa w projektowanym art. 4 ust. 1 powinny posiadać odpowiednią wiedzę i kompetencje, by móc ocenić, czy określone usługi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lub określone </w:t>
      </w:r>
      <w:proofErr w:type="spellStart"/>
      <w:r w:rsidRPr="00271B1B">
        <w:rPr>
          <w:rFonts w:ascii="Times New Roman" w:hAnsi="Times New Roman" w:cs="Times New Roman"/>
          <w:sz w:val="24"/>
          <w:szCs w:val="24"/>
        </w:rPr>
        <w:t>kryptoaktywa</w:t>
      </w:r>
      <w:proofErr w:type="spellEnd"/>
      <w:r w:rsidRPr="00271B1B">
        <w:rPr>
          <w:rFonts w:ascii="Times New Roman" w:hAnsi="Times New Roman" w:cs="Times New Roman"/>
          <w:sz w:val="24"/>
          <w:szCs w:val="24"/>
        </w:rPr>
        <w:t xml:space="preserve"> są odpowiednie dla klientów. Przepisy obejmują swym zakresem osoby fizyczne, o których mowa w art.</w:t>
      </w:r>
      <w:r>
        <w:rPr>
          <w:rFonts w:ascii="Times New Roman" w:hAnsi="Times New Roman" w:cs="Times New Roman"/>
          <w:sz w:val="24"/>
          <w:szCs w:val="24"/>
        </w:rPr>
        <w:t> </w:t>
      </w:r>
      <w:r w:rsidRPr="00271B1B">
        <w:rPr>
          <w:rFonts w:ascii="Times New Roman" w:hAnsi="Times New Roman" w:cs="Times New Roman"/>
          <w:sz w:val="24"/>
          <w:szCs w:val="24"/>
        </w:rPr>
        <w:t xml:space="preserve">81 ust. 7 rozporządzenia 2023/1114 udzielające doradztwa oraz zarządzające portfelem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w imieniu dostawcy usług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oraz osoby fizyczne zatrudnione przez dostawcę usług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lub wykonujące na jego rzecz pracę na podstawie umowy cywilnoprawnej udzielające klientom informacji o oferowanych przez niego usługach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oraz </w:t>
      </w:r>
      <w:proofErr w:type="spellStart"/>
      <w:r w:rsidRPr="00271B1B">
        <w:rPr>
          <w:rFonts w:ascii="Times New Roman" w:hAnsi="Times New Roman" w:cs="Times New Roman"/>
          <w:sz w:val="24"/>
          <w:szCs w:val="24"/>
        </w:rPr>
        <w:t>kryptoaktywach</w:t>
      </w:r>
      <w:proofErr w:type="spellEnd"/>
      <w:r w:rsidRPr="00271B1B">
        <w:rPr>
          <w:rFonts w:ascii="Times New Roman" w:hAnsi="Times New Roman" w:cs="Times New Roman"/>
          <w:sz w:val="24"/>
          <w:szCs w:val="24"/>
        </w:rPr>
        <w:t xml:space="preserve"> będących ich przedmiotem, które nie świadczą usługi doradztwa w tym zakresie. </w:t>
      </w:r>
    </w:p>
    <w:p w14:paraId="7549A63B" w14:textId="4AAE3567" w:rsidR="00C21D4B" w:rsidRPr="00105346"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05346">
        <w:rPr>
          <w:rFonts w:ascii="Times New Roman" w:hAnsi="Times New Roman" w:cs="Times New Roman"/>
          <w:b/>
          <w:bCs/>
          <w:sz w:val="24"/>
          <w:szCs w:val="24"/>
        </w:rPr>
        <w:t>Art. 5</w:t>
      </w:r>
      <w:r w:rsidRPr="00105346">
        <w:rPr>
          <w:rFonts w:ascii="Times New Roman" w:hAnsi="Times New Roman" w:cs="Times New Roman"/>
          <w:sz w:val="24"/>
          <w:szCs w:val="24"/>
        </w:rPr>
        <w:t xml:space="preserve"> reguluje kwestie świadczenia przez dostawcę usług w zakresie </w:t>
      </w:r>
      <w:proofErr w:type="spellStart"/>
      <w:r w:rsidRPr="00105346">
        <w:rPr>
          <w:rFonts w:ascii="Times New Roman" w:hAnsi="Times New Roman" w:cs="Times New Roman"/>
          <w:sz w:val="24"/>
          <w:szCs w:val="24"/>
        </w:rPr>
        <w:t>kryptoaktywów</w:t>
      </w:r>
      <w:proofErr w:type="spellEnd"/>
      <w:r w:rsidRPr="00105346">
        <w:rPr>
          <w:rFonts w:ascii="Times New Roman" w:hAnsi="Times New Roman" w:cs="Times New Roman"/>
          <w:sz w:val="24"/>
          <w:szCs w:val="24"/>
        </w:rPr>
        <w:t xml:space="preserve"> i wprowadza m.in. obowiązek posiadania przez dostawcę usług w zakresie </w:t>
      </w:r>
      <w:proofErr w:type="spellStart"/>
      <w:r w:rsidRPr="00105346">
        <w:rPr>
          <w:rFonts w:ascii="Times New Roman" w:hAnsi="Times New Roman" w:cs="Times New Roman"/>
          <w:sz w:val="24"/>
          <w:szCs w:val="24"/>
        </w:rPr>
        <w:t>kryptoaktywów</w:t>
      </w:r>
      <w:proofErr w:type="spellEnd"/>
      <w:r w:rsidRPr="00105346">
        <w:rPr>
          <w:rFonts w:ascii="Times New Roman" w:hAnsi="Times New Roman" w:cs="Times New Roman"/>
          <w:sz w:val="24"/>
          <w:szCs w:val="24"/>
        </w:rPr>
        <w:t xml:space="preserve"> regulaminu świadczenia usług w zakresie </w:t>
      </w:r>
      <w:proofErr w:type="spellStart"/>
      <w:r w:rsidRPr="00105346">
        <w:rPr>
          <w:rFonts w:ascii="Times New Roman" w:hAnsi="Times New Roman" w:cs="Times New Roman"/>
          <w:sz w:val="24"/>
          <w:szCs w:val="24"/>
        </w:rPr>
        <w:t>kryptoaktywów</w:t>
      </w:r>
      <w:proofErr w:type="spellEnd"/>
      <w:r w:rsidRPr="00105346">
        <w:rPr>
          <w:rFonts w:ascii="Times New Roman" w:hAnsi="Times New Roman" w:cs="Times New Roman"/>
          <w:sz w:val="24"/>
          <w:szCs w:val="24"/>
        </w:rPr>
        <w:t xml:space="preserve">. W ust. 1 wskazuje się, że dostawca ten świadczy usługi w zakresie </w:t>
      </w:r>
      <w:proofErr w:type="spellStart"/>
      <w:r w:rsidRPr="00105346">
        <w:rPr>
          <w:rFonts w:ascii="Times New Roman" w:hAnsi="Times New Roman" w:cs="Times New Roman"/>
          <w:sz w:val="24"/>
          <w:szCs w:val="24"/>
        </w:rPr>
        <w:t>kryptoaktywów</w:t>
      </w:r>
      <w:proofErr w:type="spellEnd"/>
      <w:r w:rsidRPr="00105346">
        <w:rPr>
          <w:rFonts w:ascii="Times New Roman" w:hAnsi="Times New Roman" w:cs="Times New Roman"/>
          <w:sz w:val="24"/>
          <w:szCs w:val="24"/>
        </w:rPr>
        <w:t xml:space="preserve"> na podstawie ww. regulaminu oraz umowy o świadczenie tej usługi zawartej z klientem. </w:t>
      </w:r>
      <w:r w:rsidR="005C6F41" w:rsidRPr="005C6F41">
        <w:rPr>
          <w:rFonts w:ascii="Times New Roman" w:hAnsi="Times New Roman" w:cs="Times New Roman"/>
          <w:bCs/>
          <w:sz w:val="24"/>
          <w:szCs w:val="24"/>
        </w:rPr>
        <w:t xml:space="preserve">Przepis ten zdejmuje z podmiotu świadczącego usługi obowiązek posiadania jednolitego regulaminu w sytuacjach, gdy specyfika danego </w:t>
      </w:r>
      <w:proofErr w:type="spellStart"/>
      <w:r w:rsidR="005C6F41" w:rsidRPr="005C6F41">
        <w:rPr>
          <w:rFonts w:ascii="Times New Roman" w:hAnsi="Times New Roman" w:cs="Times New Roman"/>
          <w:bCs/>
          <w:sz w:val="24"/>
          <w:szCs w:val="24"/>
        </w:rPr>
        <w:t>kryptoaktywa</w:t>
      </w:r>
      <w:proofErr w:type="spellEnd"/>
      <w:r w:rsidR="005C6F41" w:rsidRPr="005C6F41">
        <w:rPr>
          <w:rFonts w:ascii="Times New Roman" w:hAnsi="Times New Roman" w:cs="Times New Roman"/>
          <w:bCs/>
          <w:sz w:val="24"/>
          <w:szCs w:val="24"/>
        </w:rPr>
        <w:t xml:space="preserve"> uniemożliwia standardowe określenie zasad współpracy. Wyjątek ten ma zastosowanie, gdy unikalna konstrukcja instrumentu lub sposób obrotu wymagają indywidualnego podejścia do praw i obowiązków każdego klienta z osobna.</w:t>
      </w:r>
      <w:r w:rsidR="005C6F41">
        <w:rPr>
          <w:rFonts w:ascii="Times New Roman" w:hAnsi="Times New Roman" w:cs="Times New Roman"/>
          <w:bCs/>
          <w:sz w:val="24"/>
          <w:szCs w:val="24"/>
        </w:rPr>
        <w:t xml:space="preserve"> </w:t>
      </w:r>
      <w:r w:rsidRPr="00105346">
        <w:rPr>
          <w:rFonts w:ascii="Times New Roman" w:hAnsi="Times New Roman" w:cs="Times New Roman"/>
          <w:sz w:val="24"/>
          <w:szCs w:val="24"/>
        </w:rPr>
        <w:t>Ust. 3</w:t>
      </w:r>
      <w:r w:rsidRPr="00105346">
        <w:rPr>
          <w:rFonts w:ascii="Times New Roman" w:hAnsi="Times New Roman" w:cs="Times New Roman"/>
          <w:bCs/>
          <w:sz w:val="24"/>
          <w:szCs w:val="24"/>
        </w:rPr>
        <w:t xml:space="preserve"> stanowi o wyłączeniu wymogu opracowania ww. regulaminu, wskazując na sytuacje, w której nie stosuje się tego obowiązku, tj. przypadku, gdy konstrukcja </w:t>
      </w:r>
      <w:proofErr w:type="spellStart"/>
      <w:r w:rsidRPr="00105346">
        <w:rPr>
          <w:rFonts w:ascii="Times New Roman" w:hAnsi="Times New Roman" w:cs="Times New Roman"/>
          <w:bCs/>
          <w:sz w:val="24"/>
          <w:szCs w:val="24"/>
        </w:rPr>
        <w:t>kryptoaktywów</w:t>
      </w:r>
      <w:proofErr w:type="spellEnd"/>
      <w:r w:rsidRPr="00105346">
        <w:rPr>
          <w:rFonts w:ascii="Times New Roman" w:hAnsi="Times New Roman" w:cs="Times New Roman"/>
          <w:bCs/>
          <w:sz w:val="24"/>
          <w:szCs w:val="24"/>
        </w:rPr>
        <w:t xml:space="preserve"> objętych umową o świadczenie usług w zakresie </w:t>
      </w:r>
      <w:proofErr w:type="spellStart"/>
      <w:r w:rsidRPr="00105346">
        <w:rPr>
          <w:rFonts w:ascii="Times New Roman" w:hAnsi="Times New Roman" w:cs="Times New Roman"/>
          <w:bCs/>
          <w:sz w:val="24"/>
          <w:szCs w:val="24"/>
        </w:rPr>
        <w:t>kryptoaktywów</w:t>
      </w:r>
      <w:proofErr w:type="spellEnd"/>
      <w:r w:rsidRPr="00105346">
        <w:rPr>
          <w:rFonts w:ascii="Times New Roman" w:hAnsi="Times New Roman" w:cs="Times New Roman"/>
          <w:bCs/>
          <w:sz w:val="24"/>
          <w:szCs w:val="24"/>
        </w:rPr>
        <w:t xml:space="preserve"> lub specyfika obrotu tymi </w:t>
      </w:r>
      <w:proofErr w:type="spellStart"/>
      <w:r w:rsidRPr="00105346">
        <w:rPr>
          <w:rFonts w:ascii="Times New Roman" w:hAnsi="Times New Roman" w:cs="Times New Roman"/>
          <w:bCs/>
          <w:sz w:val="24"/>
          <w:szCs w:val="24"/>
        </w:rPr>
        <w:t>kryptoaktywami</w:t>
      </w:r>
      <w:proofErr w:type="spellEnd"/>
      <w:r w:rsidRPr="00105346">
        <w:rPr>
          <w:rFonts w:ascii="Times New Roman" w:hAnsi="Times New Roman" w:cs="Times New Roman"/>
          <w:bCs/>
          <w:sz w:val="24"/>
          <w:szCs w:val="24"/>
        </w:rPr>
        <w:t xml:space="preserve"> uniemożliwia uregulowanie praw i obowiązków związanych z zawarciem i realizacją umowy o świadczeniu usług, w sposób jednolity dla wszystkich klientów</w:t>
      </w:r>
      <w:r w:rsidR="00D61C67">
        <w:rPr>
          <w:rFonts w:ascii="Times New Roman" w:hAnsi="Times New Roman" w:cs="Times New Roman"/>
          <w:bCs/>
          <w:sz w:val="24"/>
          <w:szCs w:val="24"/>
        </w:rPr>
        <w:t>.</w:t>
      </w:r>
    </w:p>
    <w:p w14:paraId="257B15E7" w14:textId="74C2645B" w:rsidR="00C21D4B" w:rsidRPr="003F6ADB"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Art. 6</w:t>
      </w:r>
      <w:r w:rsidRPr="00A11E28">
        <w:rPr>
          <w:rFonts w:ascii="Times New Roman" w:hAnsi="Times New Roman" w:cs="Times New Roman"/>
          <w:sz w:val="24"/>
          <w:szCs w:val="24"/>
        </w:rPr>
        <w:t xml:space="preserve"> w ust. 1 i ust. 2 określa kolejno terminy wygaśnięcia zezwolenia na prowadzenie działalności </w:t>
      </w:r>
      <w:r>
        <w:rPr>
          <w:rFonts w:ascii="Times New Roman" w:hAnsi="Times New Roman" w:cs="Times New Roman"/>
          <w:sz w:val="24"/>
          <w:szCs w:val="24"/>
        </w:rPr>
        <w:t>jako</w:t>
      </w:r>
      <w:r w:rsidRPr="00A11E28">
        <w:rPr>
          <w:rFonts w:ascii="Times New Roman" w:hAnsi="Times New Roman" w:cs="Times New Roman"/>
          <w:sz w:val="24"/>
          <w:szCs w:val="24"/>
        </w:rPr>
        <w:t xml:space="preserve"> dostawc</w:t>
      </w:r>
      <w:r>
        <w:rPr>
          <w:rFonts w:ascii="Times New Roman" w:hAnsi="Times New Roman" w:cs="Times New Roman"/>
          <w:sz w:val="24"/>
          <w:szCs w:val="24"/>
        </w:rPr>
        <w:t>a</w:t>
      </w:r>
      <w:r w:rsidRPr="00A11E28">
        <w:rPr>
          <w:rFonts w:ascii="Times New Roman" w:hAnsi="Times New Roman" w:cs="Times New Roman"/>
          <w:sz w:val="24"/>
          <w:szCs w:val="24"/>
        </w:rPr>
        <w:t xml:space="preserve">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oraz uprawnienie dla KNF do określenia, w drodze decyzji,</w:t>
      </w:r>
      <w:r>
        <w:rPr>
          <w:rFonts w:ascii="Times New Roman" w:hAnsi="Times New Roman" w:cs="Times New Roman"/>
          <w:sz w:val="24"/>
          <w:szCs w:val="24"/>
        </w:rPr>
        <w:t xml:space="preserve"> </w:t>
      </w:r>
      <w:r w:rsidRPr="00A11E28">
        <w:rPr>
          <w:rFonts w:ascii="Times New Roman" w:hAnsi="Times New Roman" w:cs="Times New Roman"/>
          <w:sz w:val="24"/>
          <w:szCs w:val="24"/>
        </w:rPr>
        <w:t xml:space="preserve">terminu zakończenia prowadzenia działalności </w:t>
      </w:r>
      <w:r>
        <w:rPr>
          <w:rFonts w:ascii="Times New Roman" w:hAnsi="Times New Roman" w:cs="Times New Roman"/>
          <w:sz w:val="24"/>
          <w:szCs w:val="24"/>
        </w:rPr>
        <w:t xml:space="preserve">jako </w:t>
      </w:r>
      <w:r w:rsidRPr="00A11E28">
        <w:rPr>
          <w:rFonts w:ascii="Times New Roman" w:hAnsi="Times New Roman" w:cs="Times New Roman"/>
          <w:sz w:val="24"/>
          <w:szCs w:val="24"/>
        </w:rPr>
        <w:t>dostawc</w:t>
      </w:r>
      <w:r>
        <w:rPr>
          <w:rFonts w:ascii="Times New Roman" w:hAnsi="Times New Roman" w:cs="Times New Roman"/>
          <w:sz w:val="24"/>
          <w:szCs w:val="24"/>
        </w:rPr>
        <w:t>a</w:t>
      </w:r>
      <w:r w:rsidRPr="00A11E28">
        <w:rPr>
          <w:rFonts w:ascii="Times New Roman" w:hAnsi="Times New Roman" w:cs="Times New Roman"/>
          <w:sz w:val="24"/>
          <w:szCs w:val="24"/>
        </w:rPr>
        <w:t xml:space="preserve">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w celu zabezpieczenia interesu publicznego. </w:t>
      </w:r>
      <w:r>
        <w:rPr>
          <w:rFonts w:ascii="Times New Roman" w:hAnsi="Times New Roman" w:cs="Times New Roman"/>
          <w:sz w:val="24"/>
          <w:szCs w:val="24"/>
        </w:rPr>
        <w:t xml:space="preserve">Przepis ust. 1 będzie odpowiednio stosowany do zezwolenia </w:t>
      </w:r>
      <w:r w:rsidRPr="006F359F">
        <w:rPr>
          <w:rFonts w:ascii="Times New Roman" w:hAnsi="Times New Roman" w:cs="Times New Roman"/>
          <w:sz w:val="24"/>
          <w:szCs w:val="24"/>
        </w:rPr>
        <w:t xml:space="preserve">udzielonego emitentowi </w:t>
      </w:r>
      <w:proofErr w:type="spellStart"/>
      <w:r w:rsidRPr="006F359F">
        <w:rPr>
          <w:rFonts w:ascii="Times New Roman" w:hAnsi="Times New Roman" w:cs="Times New Roman"/>
          <w:sz w:val="24"/>
          <w:szCs w:val="24"/>
        </w:rPr>
        <w:t>tokenów</w:t>
      </w:r>
      <w:proofErr w:type="spellEnd"/>
      <w:r w:rsidRPr="006F359F">
        <w:rPr>
          <w:rFonts w:ascii="Times New Roman" w:hAnsi="Times New Roman" w:cs="Times New Roman"/>
          <w:sz w:val="24"/>
          <w:szCs w:val="24"/>
        </w:rPr>
        <w:t xml:space="preserve"> powiązanych z aktywami, o którym mowa w art. 16 ust. 1 rozporządzenia 2023/1114. </w:t>
      </w:r>
      <w:r w:rsidRPr="00A11E28">
        <w:rPr>
          <w:rFonts w:ascii="Times New Roman" w:hAnsi="Times New Roman" w:cs="Times New Roman"/>
          <w:sz w:val="24"/>
          <w:szCs w:val="24"/>
        </w:rPr>
        <w:t xml:space="preserve">Ust. 3 reguluje zakres działań dostawców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lub podmiotów, którym cofnięto zezwolenie, jakie mogą podejmować w przypadku otwarcia likwidacji </w:t>
      </w:r>
      <w:r>
        <w:rPr>
          <w:rFonts w:ascii="Times New Roman" w:hAnsi="Times New Roman" w:cs="Times New Roman"/>
          <w:sz w:val="24"/>
          <w:szCs w:val="24"/>
        </w:rPr>
        <w:t>albo ogłoszenia upadłości lub</w:t>
      </w:r>
      <w:r w:rsidRPr="00A11E28">
        <w:rPr>
          <w:rFonts w:ascii="Times New Roman" w:hAnsi="Times New Roman" w:cs="Times New Roman"/>
          <w:sz w:val="24"/>
          <w:szCs w:val="24"/>
        </w:rPr>
        <w:t xml:space="preserve"> cofnięcia zezwolenia, do czasu </w:t>
      </w:r>
      <w:r>
        <w:rPr>
          <w:rFonts w:ascii="Times New Roman" w:hAnsi="Times New Roman" w:cs="Times New Roman"/>
          <w:sz w:val="24"/>
          <w:szCs w:val="24"/>
        </w:rPr>
        <w:t xml:space="preserve">odpowiednio </w:t>
      </w:r>
      <w:r w:rsidRPr="00A11E28">
        <w:rPr>
          <w:rFonts w:ascii="Times New Roman" w:hAnsi="Times New Roman" w:cs="Times New Roman"/>
          <w:sz w:val="24"/>
          <w:szCs w:val="24"/>
        </w:rPr>
        <w:t>wygaśnięcia zezwolenia (w pierwszym przypadku) i zaprzestania prowadzenia działalności (w drugim przypadku).</w:t>
      </w:r>
      <w:r w:rsidRPr="00A11E28">
        <w:rPr>
          <w:rFonts w:ascii="Times" w:hAnsi="Times" w:cs="Arial"/>
          <w:bCs/>
          <w:sz w:val="24"/>
          <w:szCs w:val="20"/>
          <w:lang w:eastAsia="pl-PL"/>
        </w:rPr>
        <w:t xml:space="preserve"> </w:t>
      </w:r>
      <w:r w:rsidRPr="00A11E28">
        <w:rPr>
          <w:rFonts w:ascii="Times New Roman" w:hAnsi="Times New Roman" w:cs="Times New Roman"/>
          <w:bCs/>
          <w:sz w:val="24"/>
          <w:szCs w:val="24"/>
        </w:rPr>
        <w:t xml:space="preserve">Zgodnie z ust. 4 </w:t>
      </w:r>
      <w:r>
        <w:rPr>
          <w:rFonts w:ascii="Times New Roman" w:hAnsi="Times New Roman" w:cs="Times New Roman"/>
          <w:bCs/>
          <w:sz w:val="24"/>
          <w:szCs w:val="24"/>
        </w:rPr>
        <w:t>zdanie pierwsze d</w:t>
      </w:r>
      <w:r w:rsidRPr="007E2D0B">
        <w:rPr>
          <w:rFonts w:ascii="Times New Roman" w:hAnsi="Times New Roman" w:cs="Times New Roman"/>
          <w:bCs/>
          <w:sz w:val="24"/>
          <w:szCs w:val="24"/>
        </w:rPr>
        <w:t xml:space="preserve">ostawca usług w zakresie </w:t>
      </w:r>
      <w:proofErr w:type="spellStart"/>
      <w:r w:rsidRPr="007E2D0B">
        <w:rPr>
          <w:rFonts w:ascii="Times New Roman" w:hAnsi="Times New Roman" w:cs="Times New Roman"/>
          <w:bCs/>
          <w:sz w:val="24"/>
          <w:szCs w:val="24"/>
        </w:rPr>
        <w:t>kryptoaktywów</w:t>
      </w:r>
      <w:proofErr w:type="spellEnd"/>
      <w:r w:rsidRPr="007E2D0B">
        <w:rPr>
          <w:rFonts w:ascii="Times New Roman" w:hAnsi="Times New Roman" w:cs="Times New Roman"/>
          <w:bCs/>
          <w:sz w:val="24"/>
          <w:szCs w:val="24"/>
        </w:rPr>
        <w:t xml:space="preserve"> </w:t>
      </w:r>
      <w:r w:rsidRPr="003F6ADB">
        <w:rPr>
          <w:rFonts w:ascii="Times New Roman" w:hAnsi="Times New Roman" w:cs="Times New Roman"/>
          <w:bCs/>
          <w:sz w:val="24"/>
          <w:szCs w:val="24"/>
        </w:rPr>
        <w:t xml:space="preserve">w przypadku wygaśnięcia zezwolenia na prowadzenie działalności jako dostawca usług w zakresie </w:t>
      </w:r>
      <w:proofErr w:type="spellStart"/>
      <w:r w:rsidRPr="003F6ADB">
        <w:rPr>
          <w:rFonts w:ascii="Times New Roman" w:hAnsi="Times New Roman" w:cs="Times New Roman"/>
          <w:bCs/>
          <w:sz w:val="24"/>
          <w:szCs w:val="24"/>
        </w:rPr>
        <w:t>kryptoaktywów</w:t>
      </w:r>
      <w:proofErr w:type="spellEnd"/>
      <w:r>
        <w:rPr>
          <w:rFonts w:ascii="Times New Roman" w:hAnsi="Times New Roman" w:cs="Times New Roman"/>
          <w:bCs/>
          <w:sz w:val="24"/>
          <w:szCs w:val="24"/>
        </w:rPr>
        <w:t>, wdraża i utrzymuje procedury zgodnie z p</w:t>
      </w:r>
      <w:r w:rsidRPr="003F6ADB">
        <w:rPr>
          <w:rFonts w:ascii="Times New Roman" w:hAnsi="Times New Roman" w:cs="Times New Roman"/>
          <w:bCs/>
          <w:sz w:val="24"/>
          <w:szCs w:val="24"/>
        </w:rPr>
        <w:t>rzepis</w:t>
      </w:r>
      <w:r>
        <w:rPr>
          <w:rFonts w:ascii="Times New Roman" w:hAnsi="Times New Roman" w:cs="Times New Roman"/>
          <w:bCs/>
          <w:sz w:val="24"/>
          <w:szCs w:val="24"/>
        </w:rPr>
        <w:t>em</w:t>
      </w:r>
      <w:r w:rsidRPr="003F6ADB">
        <w:rPr>
          <w:rFonts w:ascii="Times New Roman" w:hAnsi="Times New Roman" w:cs="Times New Roman"/>
          <w:bCs/>
          <w:sz w:val="24"/>
          <w:szCs w:val="24"/>
        </w:rPr>
        <w:t xml:space="preserve"> art. 64 ust. 8 rozporządzenia 2023/1114</w:t>
      </w:r>
      <w:r>
        <w:rPr>
          <w:rFonts w:ascii="Times New Roman" w:hAnsi="Times New Roman" w:cs="Times New Roman"/>
          <w:bCs/>
          <w:sz w:val="24"/>
          <w:szCs w:val="24"/>
        </w:rPr>
        <w:t>.</w:t>
      </w:r>
      <w:r w:rsidRPr="003F6ADB">
        <w:rPr>
          <w:rFonts w:ascii="Times New Roman" w:hAnsi="Times New Roman" w:cs="Times New Roman"/>
          <w:bCs/>
          <w:sz w:val="24"/>
          <w:szCs w:val="24"/>
        </w:rPr>
        <w:t xml:space="preserve"> </w:t>
      </w:r>
      <w:r>
        <w:rPr>
          <w:rFonts w:ascii="Times New Roman" w:hAnsi="Times New Roman" w:cs="Times New Roman"/>
          <w:bCs/>
          <w:sz w:val="24"/>
          <w:szCs w:val="24"/>
        </w:rPr>
        <w:t xml:space="preserve">Ponadto przepis ten określa, że </w:t>
      </w:r>
      <w:r w:rsidRPr="00A11E28">
        <w:rPr>
          <w:rFonts w:ascii="Times New Roman" w:hAnsi="Times New Roman" w:cs="Times New Roman"/>
          <w:bCs/>
          <w:sz w:val="24"/>
          <w:szCs w:val="24"/>
        </w:rPr>
        <w:t>w przypadk</w:t>
      </w:r>
      <w:r>
        <w:rPr>
          <w:rFonts w:ascii="Times New Roman" w:hAnsi="Times New Roman" w:cs="Times New Roman"/>
          <w:bCs/>
          <w:sz w:val="24"/>
          <w:szCs w:val="24"/>
        </w:rPr>
        <w:t>ach, o których mowa w ust. 1 niniejszego artykułu</w:t>
      </w:r>
      <w:r w:rsidRPr="00A11E28">
        <w:rPr>
          <w:rFonts w:ascii="Times New Roman" w:hAnsi="Times New Roman" w:cs="Times New Roman"/>
          <w:bCs/>
          <w:sz w:val="24"/>
          <w:szCs w:val="24"/>
        </w:rPr>
        <w:t xml:space="preserve"> albo cofnięcia zezwolenia</w:t>
      </w:r>
      <w:r>
        <w:rPr>
          <w:rFonts w:ascii="Times New Roman" w:hAnsi="Times New Roman" w:cs="Times New Roman"/>
          <w:bCs/>
          <w:sz w:val="24"/>
          <w:szCs w:val="24"/>
        </w:rPr>
        <w:t>,</w:t>
      </w:r>
      <w:r w:rsidRPr="00A11E28">
        <w:rPr>
          <w:rFonts w:ascii="Times New Roman" w:hAnsi="Times New Roman" w:cs="Times New Roman"/>
          <w:bCs/>
          <w:sz w:val="24"/>
          <w:szCs w:val="24"/>
        </w:rPr>
        <w:t xml:space="preserve"> </w:t>
      </w:r>
      <w:r>
        <w:rPr>
          <w:rFonts w:ascii="Times New Roman" w:hAnsi="Times New Roman" w:cs="Times New Roman"/>
          <w:bCs/>
          <w:sz w:val="24"/>
          <w:szCs w:val="24"/>
        </w:rPr>
        <w:t>jeżeli</w:t>
      </w:r>
      <w:r w:rsidRPr="007C0996">
        <w:rPr>
          <w:rFonts w:ascii="Times New Roman" w:hAnsi="Times New Roman" w:cs="Times New Roman"/>
          <w:bCs/>
          <w:sz w:val="24"/>
          <w:szCs w:val="24"/>
        </w:rPr>
        <w:t xml:space="preserve"> procedur</w:t>
      </w:r>
      <w:r>
        <w:rPr>
          <w:rFonts w:ascii="Times New Roman" w:hAnsi="Times New Roman" w:cs="Times New Roman"/>
          <w:bCs/>
          <w:sz w:val="24"/>
          <w:szCs w:val="24"/>
        </w:rPr>
        <w:t>y</w:t>
      </w:r>
      <w:r w:rsidRPr="007C0996">
        <w:rPr>
          <w:rFonts w:ascii="Times New Roman" w:hAnsi="Times New Roman" w:cs="Times New Roman"/>
          <w:bCs/>
          <w:sz w:val="24"/>
          <w:szCs w:val="24"/>
        </w:rPr>
        <w:t>, o któr</w:t>
      </w:r>
      <w:r>
        <w:rPr>
          <w:rFonts w:ascii="Times New Roman" w:hAnsi="Times New Roman" w:cs="Times New Roman"/>
          <w:bCs/>
          <w:sz w:val="24"/>
          <w:szCs w:val="24"/>
        </w:rPr>
        <w:t>ych</w:t>
      </w:r>
      <w:r w:rsidRPr="007C0996">
        <w:rPr>
          <w:rFonts w:ascii="Times New Roman" w:hAnsi="Times New Roman" w:cs="Times New Roman"/>
          <w:bCs/>
          <w:sz w:val="24"/>
          <w:szCs w:val="24"/>
        </w:rPr>
        <w:t xml:space="preserve"> mowa w art. 64 ust. 8 rozporządzenia 2023/1114</w:t>
      </w:r>
      <w:r>
        <w:rPr>
          <w:rFonts w:ascii="Times New Roman" w:hAnsi="Times New Roman" w:cs="Times New Roman"/>
          <w:bCs/>
          <w:sz w:val="24"/>
          <w:szCs w:val="24"/>
        </w:rPr>
        <w:t>,</w:t>
      </w:r>
      <w:r w:rsidRPr="007C0996">
        <w:rPr>
          <w:rFonts w:ascii="Times New Roman" w:hAnsi="Times New Roman" w:cs="Times New Roman"/>
          <w:bCs/>
          <w:sz w:val="24"/>
          <w:szCs w:val="24"/>
        </w:rPr>
        <w:t xml:space="preserve"> nie </w:t>
      </w:r>
      <w:r>
        <w:rPr>
          <w:rFonts w:ascii="Times New Roman" w:hAnsi="Times New Roman" w:cs="Times New Roman"/>
          <w:bCs/>
          <w:sz w:val="24"/>
          <w:szCs w:val="24"/>
        </w:rPr>
        <w:t>są</w:t>
      </w:r>
      <w:r w:rsidRPr="007C0996">
        <w:rPr>
          <w:rFonts w:ascii="Times New Roman" w:hAnsi="Times New Roman" w:cs="Times New Roman"/>
          <w:bCs/>
          <w:sz w:val="24"/>
          <w:szCs w:val="24"/>
        </w:rPr>
        <w:t xml:space="preserve"> stosowan</w:t>
      </w:r>
      <w:r>
        <w:rPr>
          <w:rFonts w:ascii="Times New Roman" w:hAnsi="Times New Roman" w:cs="Times New Roman"/>
          <w:bCs/>
          <w:sz w:val="24"/>
          <w:szCs w:val="24"/>
        </w:rPr>
        <w:t>e</w:t>
      </w:r>
      <w:r w:rsidRPr="007C0996">
        <w:rPr>
          <w:rFonts w:ascii="Times New Roman" w:hAnsi="Times New Roman" w:cs="Times New Roman"/>
          <w:bCs/>
          <w:sz w:val="24"/>
          <w:szCs w:val="24"/>
        </w:rPr>
        <w:t xml:space="preserve"> przez </w:t>
      </w:r>
      <w:r w:rsidRPr="005C5332">
        <w:rPr>
          <w:rFonts w:ascii="Times New Roman" w:hAnsi="Times New Roman" w:cs="Times New Roman"/>
          <w:bCs/>
          <w:sz w:val="24"/>
          <w:szCs w:val="24"/>
        </w:rPr>
        <w:t>podmiot, którego zezwolenie wygasło albo przez podmiot, któremu cofni</w:t>
      </w:r>
      <w:r w:rsidRPr="005C5332">
        <w:rPr>
          <w:rFonts w:ascii="Times New Roman" w:hAnsi="Times New Roman" w:cs="Times New Roman" w:hint="eastAsia"/>
          <w:bCs/>
          <w:sz w:val="24"/>
          <w:szCs w:val="24"/>
        </w:rPr>
        <w:t>ę</w:t>
      </w:r>
      <w:r w:rsidRPr="005C5332">
        <w:rPr>
          <w:rFonts w:ascii="Times New Roman" w:hAnsi="Times New Roman" w:cs="Times New Roman"/>
          <w:bCs/>
          <w:sz w:val="24"/>
          <w:szCs w:val="24"/>
        </w:rPr>
        <w:t xml:space="preserve">to zezwolenie, albo </w:t>
      </w:r>
      <w:r>
        <w:rPr>
          <w:rFonts w:ascii="Times New Roman" w:hAnsi="Times New Roman" w:cs="Times New Roman"/>
          <w:bCs/>
          <w:sz w:val="24"/>
          <w:szCs w:val="24"/>
        </w:rPr>
        <w:t xml:space="preserve">przez </w:t>
      </w:r>
      <w:r w:rsidRPr="007C0996">
        <w:rPr>
          <w:rFonts w:ascii="Times New Roman" w:hAnsi="Times New Roman" w:cs="Times New Roman"/>
          <w:bCs/>
          <w:sz w:val="24"/>
          <w:szCs w:val="24"/>
        </w:rPr>
        <w:t xml:space="preserve">dostawcę usług w zakresie </w:t>
      </w:r>
      <w:proofErr w:type="spellStart"/>
      <w:r w:rsidRPr="007C0996">
        <w:rPr>
          <w:rFonts w:ascii="Times New Roman" w:hAnsi="Times New Roman" w:cs="Times New Roman"/>
          <w:bCs/>
          <w:sz w:val="24"/>
          <w:szCs w:val="24"/>
        </w:rPr>
        <w:t>kryptoaktywów</w:t>
      </w:r>
      <w:proofErr w:type="spellEnd"/>
      <w:r w:rsidRPr="007C0996">
        <w:rPr>
          <w:rFonts w:ascii="Times New Roman" w:hAnsi="Times New Roman" w:cs="Times New Roman"/>
          <w:bCs/>
          <w:sz w:val="24"/>
          <w:szCs w:val="24"/>
        </w:rPr>
        <w:t xml:space="preserve"> lub </w:t>
      </w:r>
      <w:r>
        <w:rPr>
          <w:rFonts w:ascii="Times New Roman" w:hAnsi="Times New Roman" w:cs="Times New Roman"/>
          <w:bCs/>
          <w:sz w:val="24"/>
          <w:szCs w:val="24"/>
        </w:rPr>
        <w:t>są</w:t>
      </w:r>
      <w:r w:rsidRPr="007C0996">
        <w:rPr>
          <w:rFonts w:ascii="Times New Roman" w:hAnsi="Times New Roman" w:cs="Times New Roman"/>
          <w:bCs/>
          <w:sz w:val="24"/>
          <w:szCs w:val="24"/>
        </w:rPr>
        <w:t xml:space="preserve"> stosowan</w:t>
      </w:r>
      <w:r>
        <w:rPr>
          <w:rFonts w:ascii="Times New Roman" w:hAnsi="Times New Roman" w:cs="Times New Roman"/>
          <w:bCs/>
          <w:sz w:val="24"/>
          <w:szCs w:val="24"/>
        </w:rPr>
        <w:t>e</w:t>
      </w:r>
      <w:r w:rsidRPr="007C0996">
        <w:rPr>
          <w:rFonts w:ascii="Times New Roman" w:hAnsi="Times New Roman" w:cs="Times New Roman"/>
          <w:bCs/>
          <w:sz w:val="24"/>
          <w:szCs w:val="24"/>
        </w:rPr>
        <w:t xml:space="preserve"> nieprawidłowo lub gdy leży to w interesie klientów</w:t>
      </w:r>
      <w:r>
        <w:rPr>
          <w:rFonts w:ascii="Times New Roman" w:hAnsi="Times New Roman" w:cs="Times New Roman"/>
          <w:bCs/>
          <w:sz w:val="24"/>
          <w:szCs w:val="24"/>
        </w:rPr>
        <w:t>,</w:t>
      </w:r>
      <w:r w:rsidRPr="007C0996">
        <w:rPr>
          <w:rFonts w:ascii="Times New Roman" w:hAnsi="Times New Roman" w:cs="Times New Roman"/>
          <w:bCs/>
          <w:sz w:val="24"/>
          <w:szCs w:val="24"/>
        </w:rPr>
        <w:t xml:space="preserve"> Komisja może, w drodze decyzji, nakazać</w:t>
      </w:r>
      <w:r>
        <w:rPr>
          <w:rFonts w:ascii="Times New Roman" w:hAnsi="Times New Roman" w:cs="Times New Roman"/>
          <w:bCs/>
          <w:sz w:val="24"/>
          <w:szCs w:val="24"/>
        </w:rPr>
        <w:t xml:space="preserve"> tym podmiotom </w:t>
      </w:r>
      <w:r w:rsidRPr="007C0996">
        <w:rPr>
          <w:rFonts w:ascii="Times New Roman" w:hAnsi="Times New Roman" w:cs="Times New Roman"/>
          <w:bCs/>
          <w:sz w:val="24"/>
          <w:szCs w:val="24"/>
        </w:rPr>
        <w:t xml:space="preserve">przeniesienie na innego dostawcę usług w zakresie </w:t>
      </w:r>
      <w:proofErr w:type="spellStart"/>
      <w:r w:rsidRPr="007C0996">
        <w:rPr>
          <w:rFonts w:ascii="Times New Roman" w:hAnsi="Times New Roman" w:cs="Times New Roman"/>
          <w:bCs/>
          <w:sz w:val="24"/>
          <w:szCs w:val="24"/>
        </w:rPr>
        <w:t>kryptoaktywów</w:t>
      </w:r>
      <w:proofErr w:type="spellEnd"/>
      <w:r w:rsidRPr="007C0996">
        <w:rPr>
          <w:rFonts w:ascii="Times New Roman" w:hAnsi="Times New Roman" w:cs="Times New Roman"/>
          <w:bCs/>
          <w:sz w:val="24"/>
          <w:szCs w:val="24"/>
        </w:rPr>
        <w:t xml:space="preserve"> praw i obowiązków wynikających z umów zawartych z klientami. </w:t>
      </w:r>
      <w:r>
        <w:rPr>
          <w:rFonts w:ascii="Times New Roman" w:hAnsi="Times New Roman" w:cs="Times New Roman"/>
          <w:bCs/>
          <w:sz w:val="24"/>
          <w:szCs w:val="24"/>
        </w:rPr>
        <w:t>Uwzględnienie</w:t>
      </w:r>
      <w:r w:rsidRPr="007C0996">
        <w:rPr>
          <w:rFonts w:ascii="Times New Roman" w:hAnsi="Times New Roman" w:cs="Times New Roman"/>
          <w:bCs/>
          <w:sz w:val="24"/>
          <w:szCs w:val="24"/>
        </w:rPr>
        <w:t xml:space="preserve"> przesłanki </w:t>
      </w:r>
      <w:r>
        <w:rPr>
          <w:rFonts w:ascii="Times New Roman" w:hAnsi="Times New Roman" w:cs="Times New Roman"/>
          <w:bCs/>
          <w:sz w:val="24"/>
          <w:szCs w:val="24"/>
        </w:rPr>
        <w:t xml:space="preserve">interesu klientów </w:t>
      </w:r>
      <w:r w:rsidRPr="007C0996">
        <w:rPr>
          <w:rFonts w:ascii="Times New Roman" w:hAnsi="Times New Roman" w:cs="Times New Roman"/>
          <w:bCs/>
          <w:sz w:val="24"/>
          <w:szCs w:val="24"/>
        </w:rPr>
        <w:t xml:space="preserve">pozwoli na reakcję Komisji w przypadku gdy procedura jest stosowana i w dodatku prawidłowo, </w:t>
      </w:r>
      <w:r w:rsidRPr="003F6ADB">
        <w:rPr>
          <w:rFonts w:ascii="Times New Roman" w:hAnsi="Times New Roman" w:cs="Times New Roman"/>
          <w:bCs/>
          <w:sz w:val="24"/>
          <w:szCs w:val="24"/>
        </w:rPr>
        <w:t xml:space="preserve">a jednak dojdzie do sytuacji, w której dostawca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albo podmiot, któremu cofnięto zezwolenie nie będzie miał możliwości samodzielnego przeniesienia praw i obowiązków wynikających z umów zawartych z klientami.</w:t>
      </w:r>
      <w:r>
        <w:rPr>
          <w:rFonts w:ascii="Times New Roman" w:hAnsi="Times New Roman" w:cs="Times New Roman"/>
          <w:bCs/>
          <w:sz w:val="24"/>
          <w:szCs w:val="24"/>
        </w:rPr>
        <w:t xml:space="preserve"> </w:t>
      </w:r>
      <w:r w:rsidRPr="003F6ADB">
        <w:rPr>
          <w:rFonts w:ascii="Times New Roman" w:hAnsi="Times New Roman" w:cs="Times New Roman"/>
          <w:bCs/>
          <w:sz w:val="24"/>
          <w:szCs w:val="24"/>
        </w:rPr>
        <w:t>W</w:t>
      </w:r>
      <w:r>
        <w:rPr>
          <w:rFonts w:ascii="Times New Roman" w:hAnsi="Times New Roman" w:cs="Times New Roman"/>
          <w:bCs/>
          <w:sz w:val="24"/>
          <w:szCs w:val="24"/>
        </w:rPr>
        <w:t xml:space="preserve"> takiej sytuacji</w:t>
      </w:r>
      <w:r w:rsidRPr="003F6ADB">
        <w:rPr>
          <w:rFonts w:ascii="Times New Roman" w:hAnsi="Times New Roman" w:cs="Times New Roman"/>
          <w:bCs/>
          <w:sz w:val="24"/>
          <w:szCs w:val="24"/>
        </w:rPr>
        <w:t xml:space="preserve">, </w:t>
      </w:r>
      <w:r>
        <w:rPr>
          <w:rFonts w:ascii="Times New Roman" w:hAnsi="Times New Roman" w:cs="Times New Roman"/>
          <w:bCs/>
          <w:sz w:val="24"/>
          <w:szCs w:val="24"/>
        </w:rPr>
        <w:t>z</w:t>
      </w:r>
      <w:r w:rsidRPr="003F6ADB">
        <w:rPr>
          <w:rFonts w:ascii="Times New Roman" w:hAnsi="Times New Roman" w:cs="Times New Roman"/>
          <w:bCs/>
          <w:sz w:val="24"/>
          <w:szCs w:val="24"/>
        </w:rPr>
        <w:t xml:space="preserve">e względu na interes klientów, Komisja będzie mogła uruchomić procedurę przeniesienia. Decyzja Komisji wydawana na podstawie ust. 4 nie będzie środkiem nadzorczym, nie jest to </w:t>
      </w:r>
      <w:r>
        <w:rPr>
          <w:rFonts w:ascii="Times New Roman" w:hAnsi="Times New Roman" w:cs="Times New Roman"/>
          <w:bCs/>
          <w:sz w:val="24"/>
          <w:szCs w:val="24"/>
        </w:rPr>
        <w:t xml:space="preserve">także </w:t>
      </w:r>
      <w:r w:rsidRPr="003F6ADB">
        <w:rPr>
          <w:rFonts w:ascii="Times New Roman" w:hAnsi="Times New Roman" w:cs="Times New Roman"/>
          <w:bCs/>
          <w:sz w:val="24"/>
          <w:szCs w:val="24"/>
        </w:rPr>
        <w:t>sankcja dla dostawcy</w:t>
      </w:r>
      <w:r>
        <w:rPr>
          <w:rFonts w:ascii="Times New Roman" w:hAnsi="Times New Roman" w:cs="Times New Roman"/>
          <w:bCs/>
          <w:sz w:val="24"/>
          <w:szCs w:val="24"/>
        </w:rPr>
        <w:t>.</w:t>
      </w:r>
      <w:r w:rsidRPr="003F6ADB">
        <w:rPr>
          <w:rFonts w:ascii="Times New Roman" w:hAnsi="Times New Roman" w:cs="Times New Roman"/>
          <w:bCs/>
          <w:sz w:val="24"/>
          <w:szCs w:val="24"/>
        </w:rPr>
        <w:t xml:space="preserve"> </w:t>
      </w:r>
      <w:r>
        <w:rPr>
          <w:rFonts w:ascii="Times New Roman" w:hAnsi="Times New Roman" w:cs="Times New Roman"/>
          <w:bCs/>
          <w:sz w:val="24"/>
          <w:szCs w:val="24"/>
        </w:rPr>
        <w:t>P</w:t>
      </w:r>
      <w:r w:rsidRPr="003F6ADB">
        <w:rPr>
          <w:rFonts w:ascii="Times New Roman" w:hAnsi="Times New Roman" w:cs="Times New Roman"/>
          <w:bCs/>
          <w:sz w:val="24"/>
          <w:szCs w:val="24"/>
        </w:rPr>
        <w:t xml:space="preserve">rzepis ten odnosi się bowiem do sytuacji już po zaistnieniu cofnięcia lub wygaśnięcia zezwolenia na prowadzenie działalności jako dostawca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i reguluje praktyczny problem pozostawiania u takiego dostawcy aktywów jego byłych klientów.</w:t>
      </w:r>
      <w:r w:rsidRPr="003F6ADB">
        <w:rPr>
          <w:rFonts w:ascii="Times New Roman" w:eastAsia="Times New Roman" w:hAnsi="Times New Roman" w:cs="Times New Roman"/>
          <w:sz w:val="20"/>
          <w:szCs w:val="20"/>
          <w:lang w:eastAsia="pl-PL"/>
        </w:rPr>
        <w:t xml:space="preserve"> </w:t>
      </w:r>
      <w:r w:rsidRPr="00642C7B">
        <w:rPr>
          <w:rFonts w:ascii="Times New Roman" w:hAnsi="Times New Roman" w:cs="Times New Roman"/>
          <w:bCs/>
          <w:sz w:val="24"/>
          <w:szCs w:val="24"/>
        </w:rPr>
        <w:t>Przepis art. 6 ust. 4 ma charakter pomocniczy względem obowiązku wyrażonego w art. 64 ust. 8 rozporządzenia 2023/1114,</w:t>
      </w:r>
      <w:r w:rsidRPr="003F6ADB">
        <w:rPr>
          <w:rFonts w:ascii="Times New Roman" w:hAnsi="Times New Roman" w:cs="Times New Roman"/>
          <w:bCs/>
          <w:sz w:val="24"/>
          <w:szCs w:val="24"/>
        </w:rPr>
        <w:t xml:space="preserve"> który wskazuje, że dostawcy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ustanawiają, wdrażają i utrzymują odpowiednie procedury zapewniające terminowe i uporządkowane przenoszenie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i środków pieniężnych swoich klientów do innego dostawcy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w przypadku cofnięcia im zezwolenia. Należy podkreślić, że przywołany przepis rozporządzenia mówi jedynie o obowiązku posiadania takich procedur, jednak nie nakłada na dostawcę obowiązku przeniesienia w praktyce aktywów swoich byłych klientów. Co do zasady dostawca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zgodnie z ust. 3, do czasu zakończenia działalności, będzie wykonywał wyłącznie czynności zmierzające do zakończenia działalności, w tym wynikające z postanowień umów zawartych z klientami, bez możliwości zawierania nowych umów dotyczących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W tym czasie powinny zadziałać wszystkie procedury (przewidziane w art. 64 ust. 8 rozporządzenia 2023/1114), które wdroży w celu terminowego i uporządkowanego przenoszenia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i środków do innego dostawcy. Interwencja Komisji w formie decyzji ma więc zastosowanie tylko w wyjątkowych sytuacjach. Dlatego też powinna ona mieć fakultatywny charakter. W tym przypadku dotychczasowy dostawca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będzie zobowiązany do niezwłocznego wydania przejmującemu dostawcy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dokumentów dotyczących umów zawartych z klientami. Komisja, dokonując wyboru podmiotu, do którego zostaną przeniesione umowy klientów będzie brała pod uwagę np. wymogi kapitałowe takiego podmiotu i jego sytuację finansową, zakres usług, które świadczy ten podmiot, jego lokalizację, wysokość opłat i prowizji pobieranych z tytułu czynności wykonywanych w ramach prowadzonej działalności, fakt czy na podmiot została nałożona sankcja administracyjna, w tym za istotne naruszenie przepisów prawa, zasad uczciwego obrotu lub naruszenie interesu zleceniodawcy oraz czy aktualnie nie toczy się wobec niego postępowanie. Przepisy przewidują również sytuację, gdy uzyskanie zgody podmiotu, do którego umowy mają zostać przeniesione oraz zgody klientów w praktyce, może być trudne lub niemożliwe. </w:t>
      </w:r>
      <w:r w:rsidR="002E2141" w:rsidRPr="002E2141">
        <w:rPr>
          <w:rFonts w:ascii="Times New Roman" w:hAnsi="Times New Roman" w:cs="Times New Roman"/>
          <w:sz w:val="24"/>
          <w:szCs w:val="24"/>
        </w:rPr>
        <w:t>Ust. 6</w:t>
      </w:r>
      <w:r w:rsidR="002E2141" w:rsidRPr="002E2141">
        <w:rPr>
          <w:rFonts w:ascii="Times New Roman" w:hAnsi="Times New Roman" w:cs="Times New Roman"/>
          <w:bCs/>
          <w:sz w:val="24"/>
          <w:szCs w:val="24"/>
        </w:rPr>
        <w:t xml:space="preserve"> nakłada na dotychczasowego dostawcę obowiązek niezwłocznego wydania dokumentacji związanej z umowami podmiotowi przejmującemu, co jest warunkiem niezbędnym do kontynuacji obsługi klientów</w:t>
      </w:r>
      <w:r w:rsidR="002E2141">
        <w:rPr>
          <w:rFonts w:ascii="Times New Roman" w:hAnsi="Times New Roman" w:cs="Times New Roman"/>
          <w:bCs/>
          <w:sz w:val="24"/>
          <w:szCs w:val="24"/>
        </w:rPr>
        <w:t xml:space="preserve">. </w:t>
      </w:r>
      <w:r w:rsidRPr="003F6ADB">
        <w:rPr>
          <w:rFonts w:ascii="Times New Roman" w:hAnsi="Times New Roman" w:cs="Times New Roman"/>
          <w:bCs/>
          <w:sz w:val="24"/>
          <w:szCs w:val="24"/>
        </w:rPr>
        <w:t xml:space="preserve">ust. </w:t>
      </w:r>
      <w:r w:rsidR="002E2141">
        <w:rPr>
          <w:rFonts w:ascii="Times New Roman" w:hAnsi="Times New Roman" w:cs="Times New Roman"/>
          <w:bCs/>
          <w:sz w:val="24"/>
          <w:szCs w:val="24"/>
        </w:rPr>
        <w:t xml:space="preserve">7 i </w:t>
      </w:r>
      <w:r w:rsidRPr="003F6ADB">
        <w:rPr>
          <w:rFonts w:ascii="Times New Roman" w:hAnsi="Times New Roman" w:cs="Times New Roman"/>
          <w:bCs/>
          <w:sz w:val="24"/>
          <w:szCs w:val="24"/>
        </w:rPr>
        <w:t xml:space="preserve">8 </w:t>
      </w:r>
      <w:r w:rsidR="002E2141" w:rsidRPr="002E2141">
        <w:rPr>
          <w:rFonts w:ascii="Times New Roman" w:hAnsi="Times New Roman" w:cs="Times New Roman"/>
          <w:bCs/>
          <w:sz w:val="24"/>
          <w:szCs w:val="24"/>
        </w:rPr>
        <w:t xml:space="preserve">przewidują mechanizm przymusowego przeniesienia </w:t>
      </w:r>
      <w:proofErr w:type="spellStart"/>
      <w:r w:rsidR="002E2141" w:rsidRPr="002E2141">
        <w:rPr>
          <w:rFonts w:ascii="Times New Roman" w:hAnsi="Times New Roman" w:cs="Times New Roman"/>
          <w:bCs/>
          <w:sz w:val="24"/>
          <w:szCs w:val="24"/>
        </w:rPr>
        <w:t>kryptoaktywów</w:t>
      </w:r>
      <w:proofErr w:type="spellEnd"/>
      <w:r w:rsidR="002E2141">
        <w:rPr>
          <w:rFonts w:ascii="Times New Roman" w:hAnsi="Times New Roman" w:cs="Times New Roman"/>
          <w:bCs/>
          <w:sz w:val="24"/>
          <w:szCs w:val="24"/>
        </w:rPr>
        <w:t xml:space="preserve">, </w:t>
      </w:r>
      <w:r w:rsidR="002E2141" w:rsidRPr="002E2141">
        <w:rPr>
          <w:rFonts w:ascii="Times New Roman" w:hAnsi="Times New Roman" w:cs="Times New Roman"/>
          <w:bCs/>
          <w:sz w:val="24"/>
          <w:szCs w:val="24"/>
        </w:rPr>
        <w:t>środków pieniężnych</w:t>
      </w:r>
      <w:r w:rsidR="002E2141">
        <w:rPr>
          <w:rFonts w:ascii="Times New Roman" w:hAnsi="Times New Roman" w:cs="Times New Roman"/>
          <w:bCs/>
          <w:sz w:val="24"/>
          <w:szCs w:val="24"/>
        </w:rPr>
        <w:t xml:space="preserve">, dokumentacji i informacji </w:t>
      </w:r>
      <w:r w:rsidR="002E2141" w:rsidRPr="002E2141">
        <w:rPr>
          <w:rFonts w:ascii="Times New Roman" w:hAnsi="Times New Roman" w:cs="Times New Roman"/>
          <w:bCs/>
          <w:sz w:val="24"/>
          <w:szCs w:val="24"/>
        </w:rPr>
        <w:t xml:space="preserve"> w przypadku, gdy nie udało się uzyskać zgody innych dostawców lub samych klientów na przeniesienie praw i obowiązków (o których mowa w ust. 5). W takim scenariuszu Komisja władczo wyznacza dostawcę przejmującego, kierując się bezpieczeństwem obrotu oraz stabilnością podmiotu przejmującego. Ze względu na przymusowy charakter tego środka, uzasadniony koniecznością ratowania mienia klientów przed skutkami upadłości lub likwidacji, w tych konkretnych przypadkach zgoda klientów nie jest wymagana.</w:t>
      </w:r>
      <w:r w:rsidR="002E2141">
        <w:rPr>
          <w:rFonts w:ascii="Times New Roman" w:hAnsi="Times New Roman" w:cs="Times New Roman"/>
          <w:bCs/>
          <w:sz w:val="24"/>
          <w:szCs w:val="24"/>
        </w:rPr>
        <w:t xml:space="preserve"> W</w:t>
      </w:r>
      <w:r w:rsidRPr="003F6ADB">
        <w:rPr>
          <w:rFonts w:ascii="Times New Roman" w:hAnsi="Times New Roman" w:cs="Times New Roman"/>
          <w:bCs/>
          <w:sz w:val="24"/>
          <w:szCs w:val="24"/>
        </w:rPr>
        <w:t xml:space="preserve"> przypadku gdy nie doszło do przeniesienia praw i obowiązków np. w razie niewydania przez Komisję ww. decyzji, dotychczasowy dostawca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niezwłocznie zawiadamia Komisję o wyznaczeniu podmiotu przechowującego dokumenty dotyczące umów zawartych przez tego dostawcę z klientami</w:t>
      </w:r>
      <w:r w:rsidR="002E2141">
        <w:rPr>
          <w:rFonts w:ascii="Times New Roman" w:hAnsi="Times New Roman" w:cs="Times New Roman"/>
          <w:bCs/>
          <w:sz w:val="24"/>
          <w:szCs w:val="24"/>
        </w:rPr>
        <w:t xml:space="preserve"> (ust. 9)</w:t>
      </w:r>
      <w:r w:rsidRPr="003F6ADB">
        <w:rPr>
          <w:rFonts w:ascii="Times New Roman" w:hAnsi="Times New Roman" w:cs="Times New Roman"/>
          <w:bCs/>
          <w:sz w:val="24"/>
          <w:szCs w:val="24"/>
        </w:rPr>
        <w:t>. W przypadku wyznaczenia przechowawcy przez sąd rejestrowy zawiadomienia będzie dokonywał ten sąd.</w:t>
      </w:r>
      <w:r w:rsidRPr="003F6ADB">
        <w:rPr>
          <w:rFonts w:ascii="Times New Roman" w:hAnsi="Times New Roman"/>
          <w:sz w:val="24"/>
        </w:rPr>
        <w:t xml:space="preserve"> Ust. </w:t>
      </w:r>
      <w:r w:rsidR="002E2141">
        <w:rPr>
          <w:rFonts w:ascii="Times New Roman" w:hAnsi="Times New Roman"/>
          <w:sz w:val="24"/>
        </w:rPr>
        <w:t>10</w:t>
      </w:r>
      <w:r w:rsidRPr="003F6ADB">
        <w:rPr>
          <w:rFonts w:ascii="Times New Roman" w:hAnsi="Times New Roman"/>
          <w:sz w:val="24"/>
        </w:rPr>
        <w:t xml:space="preserve"> wskazuje, że regulacja zawarta w ust. 1 będzie stosowana odpowiednio do zezwolenia udzielonego również emitentowi </w:t>
      </w:r>
      <w:proofErr w:type="spellStart"/>
      <w:r w:rsidRPr="003F6ADB">
        <w:rPr>
          <w:rFonts w:ascii="Times New Roman" w:hAnsi="Times New Roman"/>
          <w:sz w:val="24"/>
        </w:rPr>
        <w:t>tokenów</w:t>
      </w:r>
      <w:proofErr w:type="spellEnd"/>
      <w:r w:rsidRPr="003F6ADB">
        <w:rPr>
          <w:rFonts w:ascii="Times New Roman" w:hAnsi="Times New Roman"/>
          <w:sz w:val="24"/>
        </w:rPr>
        <w:t xml:space="preserve"> powiązanych z aktywami. </w:t>
      </w:r>
      <w:r w:rsidRPr="003F6ADB">
        <w:rPr>
          <w:rFonts w:ascii="Times New Roman" w:hAnsi="Times New Roman" w:cs="Times New Roman"/>
          <w:bCs/>
          <w:sz w:val="24"/>
          <w:szCs w:val="24"/>
        </w:rPr>
        <w:t>Ust. 1</w:t>
      </w:r>
      <w:r w:rsidR="002E2141">
        <w:rPr>
          <w:rFonts w:ascii="Times New Roman" w:hAnsi="Times New Roman" w:cs="Times New Roman"/>
          <w:bCs/>
          <w:sz w:val="24"/>
          <w:szCs w:val="24"/>
        </w:rPr>
        <w:t>1</w:t>
      </w:r>
      <w:r w:rsidRPr="003F6ADB">
        <w:rPr>
          <w:rFonts w:ascii="Times New Roman" w:hAnsi="Times New Roman" w:cs="Times New Roman"/>
          <w:bCs/>
          <w:sz w:val="24"/>
          <w:szCs w:val="24"/>
        </w:rPr>
        <w:t xml:space="preserve"> odnosi się natomiast do przypadku określonego w art. 60 ust. 11 rozporządzenia 2023/1114 lub o równoważnym skutku, wobec których przepisy ust. 2–</w:t>
      </w:r>
      <w:r w:rsidR="002E2141">
        <w:rPr>
          <w:rFonts w:ascii="Times New Roman" w:hAnsi="Times New Roman" w:cs="Times New Roman"/>
          <w:bCs/>
          <w:sz w:val="24"/>
          <w:szCs w:val="24"/>
        </w:rPr>
        <w:t>9</w:t>
      </w:r>
      <w:r w:rsidRPr="003F6ADB">
        <w:rPr>
          <w:rFonts w:ascii="Times New Roman" w:hAnsi="Times New Roman" w:cs="Times New Roman"/>
          <w:bCs/>
          <w:sz w:val="24"/>
          <w:szCs w:val="24"/>
        </w:rPr>
        <w:t xml:space="preserve"> ustawy tego artykułu będą stosowane odpowiednio</w:t>
      </w:r>
      <w:r w:rsidRPr="00DC35A3">
        <w:rPr>
          <w:rFonts w:ascii="Times New Roman" w:hAnsi="Times New Roman" w:cs="Times New Roman"/>
          <w:bCs/>
          <w:sz w:val="24"/>
          <w:szCs w:val="24"/>
        </w:rPr>
        <w:t>.</w:t>
      </w:r>
      <w:r w:rsidRPr="00DC35A3">
        <w:rPr>
          <w:rFonts w:ascii="Times New Roman" w:eastAsiaTheme="minorHAnsi" w:hAnsi="Times New Roman" w:cs="Times New Roman"/>
          <w:bCs/>
          <w:sz w:val="24"/>
          <w:szCs w:val="24"/>
        </w:rPr>
        <w:t xml:space="preserve"> </w:t>
      </w:r>
      <w:r w:rsidRPr="00DC35A3">
        <w:rPr>
          <w:rFonts w:ascii="Times New Roman" w:hAnsi="Times New Roman" w:cs="Times New Roman"/>
          <w:bCs/>
          <w:sz w:val="24"/>
          <w:szCs w:val="24"/>
        </w:rPr>
        <w:t xml:space="preserve">Zgodnie z art. 60 ust. 11 rozporządzenia 2023/1114 prawo do świadczenia usług w zakresie </w:t>
      </w:r>
      <w:proofErr w:type="spellStart"/>
      <w:r w:rsidRPr="00DC35A3">
        <w:rPr>
          <w:rFonts w:ascii="Times New Roman" w:hAnsi="Times New Roman" w:cs="Times New Roman"/>
          <w:bCs/>
          <w:sz w:val="24"/>
          <w:szCs w:val="24"/>
        </w:rPr>
        <w:t>kryptoaktywów</w:t>
      </w:r>
      <w:proofErr w:type="spellEnd"/>
      <w:r w:rsidRPr="00DC35A3">
        <w:rPr>
          <w:rFonts w:ascii="Times New Roman" w:hAnsi="Times New Roman" w:cs="Times New Roman"/>
          <w:bCs/>
          <w:sz w:val="24"/>
          <w:szCs w:val="24"/>
        </w:rPr>
        <w:t xml:space="preserve">, w przypadku podmiotów, o których mowa w art. 60 ust. 1 rozporządzenia 2023/1114 (np. banki, firmy inwestycyjne, instytucje pieniądza elektronicznego), ustaje po cofnięciu odpowiedniego zezwolenia, które umożliwiło danemu podmiotowi świadczenie usług w zakresie </w:t>
      </w:r>
      <w:proofErr w:type="spellStart"/>
      <w:r w:rsidRPr="00DC35A3">
        <w:rPr>
          <w:rFonts w:ascii="Times New Roman" w:hAnsi="Times New Roman" w:cs="Times New Roman"/>
          <w:bCs/>
          <w:sz w:val="24"/>
          <w:szCs w:val="24"/>
        </w:rPr>
        <w:t>kryptoaktywów</w:t>
      </w:r>
      <w:proofErr w:type="spellEnd"/>
      <w:r w:rsidRPr="00DC35A3">
        <w:rPr>
          <w:rFonts w:ascii="Times New Roman" w:hAnsi="Times New Roman" w:cs="Times New Roman"/>
          <w:bCs/>
          <w:sz w:val="24"/>
          <w:szCs w:val="24"/>
        </w:rPr>
        <w:t xml:space="preserve"> bez konieczności uzyskania zezwolenia zgodnie z art. 59 tego rozporządzenia (zezwolenia odrębnego na prowadzenie działalności jako dostawca usług w zakresie </w:t>
      </w:r>
      <w:proofErr w:type="spellStart"/>
      <w:r w:rsidRPr="00DC35A3">
        <w:rPr>
          <w:rFonts w:ascii="Times New Roman" w:hAnsi="Times New Roman" w:cs="Times New Roman"/>
          <w:bCs/>
          <w:sz w:val="24"/>
          <w:szCs w:val="24"/>
        </w:rPr>
        <w:t>kryptoaktywów</w:t>
      </w:r>
      <w:proofErr w:type="spellEnd"/>
      <w:r w:rsidRPr="00DC35A3">
        <w:rPr>
          <w:rFonts w:ascii="Times New Roman" w:hAnsi="Times New Roman" w:cs="Times New Roman"/>
          <w:bCs/>
          <w:sz w:val="24"/>
          <w:szCs w:val="24"/>
        </w:rPr>
        <w:t xml:space="preserve">). Podmioty nadzorowane, o których mowa w art. 60 ust. 1 rozporządzenia świadczą usługi w zakresie </w:t>
      </w:r>
      <w:proofErr w:type="spellStart"/>
      <w:r w:rsidRPr="00DC35A3">
        <w:rPr>
          <w:rFonts w:ascii="Times New Roman" w:hAnsi="Times New Roman" w:cs="Times New Roman"/>
          <w:bCs/>
          <w:sz w:val="24"/>
          <w:szCs w:val="24"/>
        </w:rPr>
        <w:t>kryptoaktywów</w:t>
      </w:r>
      <w:proofErr w:type="spellEnd"/>
      <w:r w:rsidRPr="00DC35A3">
        <w:rPr>
          <w:rFonts w:ascii="Times New Roman" w:hAnsi="Times New Roman" w:cs="Times New Roman"/>
          <w:bCs/>
          <w:sz w:val="24"/>
          <w:szCs w:val="24"/>
        </w:rPr>
        <w:t xml:space="preserve"> na podstawie powiadomienia, o którym mowa w tym artykule i tym samym nie są zobowiązane do uzyskania oddzielnego zezwolenia. </w:t>
      </w:r>
      <w:r w:rsidRPr="00D61C67">
        <w:rPr>
          <w:rFonts w:ascii="Times New Roman" w:hAnsi="Times New Roman" w:cs="Times New Roman"/>
          <w:bCs/>
          <w:sz w:val="24"/>
          <w:szCs w:val="24"/>
        </w:rPr>
        <w:t xml:space="preserve">Prawo do świadczenia usług w zakresie </w:t>
      </w:r>
      <w:proofErr w:type="spellStart"/>
      <w:r w:rsidRPr="00D61C67">
        <w:rPr>
          <w:rFonts w:ascii="Times New Roman" w:hAnsi="Times New Roman" w:cs="Times New Roman"/>
          <w:bCs/>
          <w:sz w:val="24"/>
          <w:szCs w:val="24"/>
        </w:rPr>
        <w:t>kryptoaktywów</w:t>
      </w:r>
      <w:proofErr w:type="spellEnd"/>
      <w:r w:rsidRPr="00D61C67">
        <w:rPr>
          <w:rFonts w:ascii="Times New Roman" w:hAnsi="Times New Roman" w:cs="Times New Roman"/>
          <w:bCs/>
          <w:sz w:val="24"/>
          <w:szCs w:val="24"/>
        </w:rPr>
        <w:t xml:space="preserve"> ustaje również w przypadkach nałożenia na te podmioty sankcji w postaci zakazu (całkowitego bądź częściowego) świadczenia </w:t>
      </w:r>
      <w:r w:rsidRPr="00D46025">
        <w:rPr>
          <w:rFonts w:ascii="Times New Roman" w:hAnsi="Times New Roman" w:cs="Times New Roman"/>
          <w:bCs/>
          <w:sz w:val="24"/>
          <w:szCs w:val="24"/>
        </w:rPr>
        <w:t xml:space="preserve">usług w zakresie </w:t>
      </w:r>
      <w:proofErr w:type="spellStart"/>
      <w:r w:rsidRPr="00D46025">
        <w:rPr>
          <w:rFonts w:ascii="Times New Roman" w:hAnsi="Times New Roman" w:cs="Times New Roman"/>
          <w:bCs/>
          <w:sz w:val="24"/>
          <w:szCs w:val="24"/>
        </w:rPr>
        <w:t>kryptoaktywów</w:t>
      </w:r>
      <w:proofErr w:type="spellEnd"/>
      <w:r w:rsidRPr="00D46025">
        <w:rPr>
          <w:rFonts w:ascii="Times New Roman" w:hAnsi="Times New Roman" w:cs="Times New Roman"/>
          <w:bCs/>
          <w:sz w:val="24"/>
          <w:szCs w:val="24"/>
        </w:rPr>
        <w:t xml:space="preserve">, w przypadku naruszenia przepisów </w:t>
      </w:r>
      <w:r w:rsidRPr="00741FA4">
        <w:rPr>
          <w:rFonts w:ascii="Times New Roman" w:hAnsi="Times New Roman" w:cs="Times New Roman"/>
          <w:bCs/>
          <w:sz w:val="24"/>
          <w:szCs w:val="24"/>
        </w:rPr>
        <w:t xml:space="preserve">regulujących świadczenie usług w zakresie </w:t>
      </w:r>
      <w:proofErr w:type="spellStart"/>
      <w:r w:rsidRPr="00741FA4">
        <w:rPr>
          <w:rFonts w:ascii="Times New Roman" w:hAnsi="Times New Roman" w:cs="Times New Roman"/>
          <w:bCs/>
          <w:sz w:val="24"/>
          <w:szCs w:val="24"/>
        </w:rPr>
        <w:t>kryptoaktywów</w:t>
      </w:r>
      <w:proofErr w:type="spellEnd"/>
      <w:r w:rsidRPr="00741FA4">
        <w:rPr>
          <w:rFonts w:ascii="Times New Roman" w:hAnsi="Times New Roman" w:cs="Times New Roman"/>
          <w:bCs/>
          <w:sz w:val="24"/>
          <w:szCs w:val="24"/>
        </w:rPr>
        <w:t>, zgodnie z art. 105 ustawy.</w:t>
      </w:r>
      <w:r w:rsidRPr="00DC35A3">
        <w:rPr>
          <w:rFonts w:ascii="Times New Roman" w:hAnsi="Times New Roman" w:cs="Times New Roman"/>
          <w:bCs/>
          <w:sz w:val="24"/>
          <w:szCs w:val="24"/>
        </w:rPr>
        <w:t xml:space="preserve"> Ponadto, przepisy art. 6 ust. 2–</w:t>
      </w:r>
      <w:r w:rsidR="00F07BAA">
        <w:rPr>
          <w:rFonts w:ascii="Times New Roman" w:hAnsi="Times New Roman" w:cs="Times New Roman"/>
          <w:bCs/>
          <w:sz w:val="24"/>
          <w:szCs w:val="24"/>
        </w:rPr>
        <w:t>9</w:t>
      </w:r>
      <w:r w:rsidRPr="00DC35A3">
        <w:rPr>
          <w:rFonts w:ascii="Times New Roman" w:hAnsi="Times New Roman" w:cs="Times New Roman"/>
          <w:bCs/>
          <w:sz w:val="24"/>
          <w:szCs w:val="24"/>
        </w:rPr>
        <w:t xml:space="preserve"> ustawy, w przypadku podmiotów, o których mowa w art. 60 ust.</w:t>
      </w:r>
      <w:r>
        <w:rPr>
          <w:rFonts w:ascii="Times New Roman" w:hAnsi="Times New Roman" w:cs="Times New Roman"/>
          <w:bCs/>
          <w:sz w:val="24"/>
          <w:szCs w:val="24"/>
        </w:rPr>
        <w:t> </w:t>
      </w:r>
      <w:r w:rsidRPr="00DC35A3">
        <w:rPr>
          <w:rFonts w:ascii="Times New Roman" w:hAnsi="Times New Roman" w:cs="Times New Roman"/>
          <w:bCs/>
          <w:sz w:val="24"/>
          <w:szCs w:val="24"/>
        </w:rPr>
        <w:t>1 rozporządzenia 2023/1114, będą miały także zastosowanie w przypadku wygaśnięcia zezwolenia, likwidacji, upadłości czy wykreślenia z odpowiedniego rejestru tych podmiotów, o ile ustawy szczególne regulujące działalność tych podmiotów wiąże z tym skutek w postaci utraty zezwolenia na podstawową działalność tych podmiotów.</w:t>
      </w:r>
    </w:p>
    <w:p w14:paraId="7E040B1E" w14:textId="77777777" w:rsidR="00C21D4B" w:rsidRPr="00DC5C8D"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Art. 7</w:t>
      </w:r>
      <w:r w:rsidRPr="00A11E28">
        <w:rPr>
          <w:rFonts w:ascii="Times New Roman" w:hAnsi="Times New Roman" w:cs="Times New Roman"/>
          <w:sz w:val="24"/>
          <w:szCs w:val="24"/>
        </w:rPr>
        <w:t xml:space="preserve"> nakłada na dostawcę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obowiązek przechowywania wszelkiej dokumentacji związanej z prowadzoną działalnością przez okres pięciu lat, licząc od pierwszego dnia roku następującego po roku, w którym zaprzestał prowadzenia tej działalności. Obowiązek ten dotyczy dokumentacji, dla której nie upłynął okres przechowywania, o którym mowa w art. 68 ust. 9 rozporządzenia 2023/1114. Rozwiązanie to jest uzasadnione specyfiką obrotu </w:t>
      </w:r>
      <w:proofErr w:type="spellStart"/>
      <w:r w:rsidRPr="00A11E28">
        <w:rPr>
          <w:rFonts w:ascii="Times New Roman" w:hAnsi="Times New Roman" w:cs="Times New Roman"/>
          <w:sz w:val="24"/>
          <w:szCs w:val="24"/>
        </w:rPr>
        <w:t>kryptoaktywami</w:t>
      </w:r>
      <w:proofErr w:type="spellEnd"/>
      <w:r w:rsidRPr="00A11E28">
        <w:rPr>
          <w:rFonts w:ascii="Times New Roman" w:hAnsi="Times New Roman" w:cs="Times New Roman"/>
          <w:sz w:val="24"/>
          <w:szCs w:val="24"/>
        </w:rPr>
        <w:t xml:space="preserve"> i koniecznością sprawowania skutecznego nadzoru nad rynkiem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w tym dla zapewnienia skuteczności środków nadzorczych. Obowiązkiem tym objęto zarówno dostawców krajowych, jak i zagranicznych, prowadzących działalność na terytorium Rzeczypospolitej Polski. Ust. 3 i 4</w:t>
      </w:r>
      <w:r w:rsidRPr="00A11E28">
        <w:rPr>
          <w:rFonts w:ascii="Times New Roman" w:hAnsi="Times New Roman" w:cs="Times New Roman"/>
          <w:b/>
          <w:bCs/>
          <w:sz w:val="24"/>
          <w:szCs w:val="24"/>
        </w:rPr>
        <w:t xml:space="preserve"> </w:t>
      </w:r>
      <w:r w:rsidRPr="00A11E28">
        <w:rPr>
          <w:rFonts w:ascii="Times New Roman" w:hAnsi="Times New Roman" w:cs="Times New Roman"/>
          <w:sz w:val="24"/>
          <w:szCs w:val="24"/>
        </w:rPr>
        <w:t>wyposażają KNF</w:t>
      </w:r>
      <w:r>
        <w:rPr>
          <w:rFonts w:ascii="Times New Roman" w:hAnsi="Times New Roman" w:cs="Times New Roman"/>
          <w:sz w:val="24"/>
          <w:szCs w:val="24"/>
        </w:rPr>
        <w:t>, w</w:t>
      </w:r>
      <w:r w:rsidRPr="00B726F5">
        <w:rPr>
          <w:rFonts w:ascii="Times New Roman" w:hAnsi="Times New Roman" w:cs="Times New Roman"/>
          <w:sz w:val="24"/>
          <w:szCs w:val="24"/>
        </w:rPr>
        <w:t xml:space="preserve"> związku z wykonywaniem zadań w zakresie nadzoru</w:t>
      </w:r>
      <w:r>
        <w:rPr>
          <w:rFonts w:ascii="Times New Roman" w:hAnsi="Times New Roman" w:cs="Times New Roman"/>
          <w:sz w:val="24"/>
          <w:szCs w:val="24"/>
        </w:rPr>
        <w:t>,</w:t>
      </w:r>
      <w:r w:rsidRPr="00A11E28">
        <w:rPr>
          <w:rFonts w:ascii="Times New Roman" w:hAnsi="Times New Roman" w:cs="Times New Roman"/>
          <w:sz w:val="24"/>
          <w:szCs w:val="24"/>
        </w:rPr>
        <w:t xml:space="preserve"> w niezbędne środki do przeprowadzenia kontroli, m.in. przysługujące upoważnionemu przedstawicielowi KNF prawo wstępu do siedziby i lokalu dostawców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oraz podmiotów trzecich świadczących usługi przechowywania dokumentacji, a także możliwość wglądu do dokumentacji dostawców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związanej z prowadzoną przez nich działalnością.</w:t>
      </w:r>
      <w:r w:rsidRPr="00BB3772">
        <w:t xml:space="preserve"> </w:t>
      </w:r>
      <w:r w:rsidRPr="00A11E28">
        <w:rPr>
          <w:rFonts w:ascii="Times New Roman" w:hAnsi="Times New Roman" w:cs="Times New Roman"/>
          <w:sz w:val="24"/>
          <w:szCs w:val="24"/>
        </w:rPr>
        <w:t>Niniejszy przepis odpowiada art. 68 rozporządzenia 2023/1114, przy czym dodatkowo precyzuje czynności na potrzeby nadzorcze Komisji, co jest zgodne z art. 68 ust. 10 tego rozporządzenia.</w:t>
      </w:r>
    </w:p>
    <w:p w14:paraId="7C2B73AF" w14:textId="77777777" w:rsidR="00C21D4B" w:rsidRPr="00842F02"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8</w:t>
      </w:r>
      <w:r w:rsidRPr="00A11E28">
        <w:rPr>
          <w:rFonts w:ascii="Times New Roman" w:hAnsi="Times New Roman" w:cs="Times New Roman"/>
          <w:sz w:val="24"/>
          <w:szCs w:val="24"/>
        </w:rPr>
        <w:t xml:space="preserve"> realizuje konieczność </w:t>
      </w:r>
      <w:r>
        <w:rPr>
          <w:rFonts w:ascii="Times New Roman" w:hAnsi="Times New Roman" w:cs="Times New Roman"/>
          <w:sz w:val="24"/>
          <w:szCs w:val="24"/>
        </w:rPr>
        <w:t>uwzględnienia w</w:t>
      </w:r>
      <w:r w:rsidRPr="00A11E28">
        <w:rPr>
          <w:rFonts w:ascii="Times New Roman" w:hAnsi="Times New Roman" w:cs="Times New Roman"/>
          <w:sz w:val="24"/>
          <w:szCs w:val="24"/>
        </w:rPr>
        <w:t xml:space="preserve"> projek</w:t>
      </w:r>
      <w:r>
        <w:rPr>
          <w:rFonts w:ascii="Times New Roman" w:hAnsi="Times New Roman" w:cs="Times New Roman"/>
          <w:sz w:val="24"/>
          <w:szCs w:val="24"/>
        </w:rPr>
        <w:t>cie</w:t>
      </w:r>
      <w:r w:rsidRPr="00A11E28">
        <w:rPr>
          <w:rFonts w:ascii="Times New Roman" w:hAnsi="Times New Roman" w:cs="Times New Roman"/>
          <w:sz w:val="24"/>
          <w:szCs w:val="24"/>
        </w:rPr>
        <w:t xml:space="preserve"> ustawy przepisu statuującego, że zezwolenia uzyskane na podstawie rozporządzenia 2023/1114 nie przechodzą np. na nabywcę przedsiębiorstwa, w skład którego takie zezwolenie wchodzi.</w:t>
      </w:r>
      <w:r w:rsidRPr="00A21BA2">
        <w:t xml:space="preserve"> </w:t>
      </w:r>
      <w:r w:rsidRPr="00A11E28">
        <w:rPr>
          <w:rFonts w:ascii="Times New Roman" w:hAnsi="Times New Roman" w:cs="Times New Roman"/>
          <w:sz w:val="24"/>
          <w:szCs w:val="24"/>
        </w:rPr>
        <w:t xml:space="preserve">Przepis ten ma uniemożliwić sytuację, w której podmiot nabywający przedsiębiorstwo wraz z tym nabyciem, bez konieczności przejścia procedury licencyjnej i bez konieczności spełnienia wszelkich warunków związanych z uzyskaniem zezwolenia, wszedłby w posiadanie zezwolenia na wykonywanie działalności reglamentowanej przepisami prawa. Przepisy rozporządzenia </w:t>
      </w:r>
      <w:r>
        <w:rPr>
          <w:rFonts w:ascii="Times New Roman" w:hAnsi="Times New Roman" w:cs="Times New Roman"/>
          <w:sz w:val="24"/>
          <w:szCs w:val="24"/>
        </w:rPr>
        <w:t xml:space="preserve">2023/1114 </w:t>
      </w:r>
      <w:r w:rsidRPr="00A11E28">
        <w:rPr>
          <w:rFonts w:ascii="Times New Roman" w:hAnsi="Times New Roman" w:cs="Times New Roman"/>
          <w:sz w:val="24"/>
          <w:szCs w:val="24"/>
        </w:rPr>
        <w:t xml:space="preserve">przewidują szereg wymogów, jakie musi spełniać podmiot, aby uzyskać zezwolenie i obowiązek weryfikacji ich spełnienia przez organ nadzoru. Podmioty, które nie przejdą pozytywnie weryfikacji nie mogą prowadzić działalności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Przepis ten ma przede wszystkim na celu zapewnienie bezpieczeństwa obrotu oraz ochrony inwestorów i innych uczestników rynku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w:t>
      </w:r>
    </w:p>
    <w:p w14:paraId="2A01EF18" w14:textId="77777777" w:rsidR="00C21D4B" w:rsidRPr="00842F02" w:rsidRDefault="00C21D4B" w:rsidP="00695ECE">
      <w:pPr>
        <w:pStyle w:val="Akapitzlist"/>
        <w:numPr>
          <w:ilvl w:val="0"/>
          <w:numId w:val="2"/>
        </w:numPr>
        <w:spacing w:line="360" w:lineRule="auto"/>
        <w:jc w:val="both"/>
        <w:rPr>
          <w:rFonts w:ascii="Times New Roman" w:hAnsi="Times New Roman" w:cs="Times New Roman"/>
          <w:bCs/>
          <w:sz w:val="24"/>
          <w:szCs w:val="24"/>
        </w:rPr>
      </w:pPr>
      <w:r w:rsidRPr="00546E53">
        <w:rPr>
          <w:rFonts w:ascii="Times New Roman" w:hAnsi="Times New Roman" w:cs="Times New Roman"/>
          <w:b/>
          <w:bCs/>
          <w:sz w:val="24"/>
          <w:szCs w:val="24"/>
        </w:rPr>
        <w:t xml:space="preserve">Art. 9 </w:t>
      </w:r>
      <w:r w:rsidRPr="00546E53">
        <w:rPr>
          <w:rFonts w:ascii="Times New Roman" w:hAnsi="Times New Roman" w:cs="Times New Roman"/>
          <w:sz w:val="24"/>
          <w:szCs w:val="24"/>
        </w:rPr>
        <w:t xml:space="preserve">ma na celu zapewnienie ochrony klienta, aby wykluczyć sytuację, w których będzie dochodziło do obchodzenia przepisów rozporządzenia 2023/1114. Jednym z takich przykładów jest zawieranie transakcji przez dostawcę </w:t>
      </w:r>
      <w:r>
        <w:rPr>
          <w:rFonts w:ascii="Times New Roman" w:hAnsi="Times New Roman" w:cs="Times New Roman"/>
          <w:sz w:val="24"/>
          <w:szCs w:val="24"/>
        </w:rPr>
        <w:t xml:space="preserve">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t>
      </w:r>
      <w:r w:rsidRPr="00546E53">
        <w:rPr>
          <w:rFonts w:ascii="Times New Roman" w:hAnsi="Times New Roman" w:cs="Times New Roman"/>
          <w:sz w:val="24"/>
          <w:szCs w:val="24"/>
        </w:rPr>
        <w:t xml:space="preserve">(sprzedający) bezpośrednio z klientem (kupujący), który w celu wykonania transakcji w imieniu klienta nabywa </w:t>
      </w:r>
      <w:proofErr w:type="spellStart"/>
      <w:r w:rsidRPr="00546E53">
        <w:rPr>
          <w:rFonts w:ascii="Times New Roman" w:hAnsi="Times New Roman" w:cs="Times New Roman"/>
          <w:sz w:val="24"/>
          <w:szCs w:val="24"/>
        </w:rPr>
        <w:t>kryptoaktywa</w:t>
      </w:r>
      <w:proofErr w:type="spellEnd"/>
      <w:r w:rsidRPr="00546E53">
        <w:rPr>
          <w:rFonts w:ascii="Times New Roman" w:hAnsi="Times New Roman" w:cs="Times New Roman"/>
          <w:sz w:val="24"/>
          <w:szCs w:val="24"/>
        </w:rPr>
        <w:t xml:space="preserve"> na swój rachunek. Przepis ten zapewnia ochronę klienta i zapewnia stosowanie przepisu art. 3 ust. 1 pkt</w:t>
      </w:r>
      <w:r>
        <w:rPr>
          <w:rFonts w:ascii="Times New Roman" w:hAnsi="Times New Roman" w:cs="Times New Roman"/>
          <w:sz w:val="24"/>
          <w:szCs w:val="24"/>
        </w:rPr>
        <w:t> </w:t>
      </w:r>
      <w:r w:rsidRPr="00546E53">
        <w:rPr>
          <w:rFonts w:ascii="Times New Roman" w:hAnsi="Times New Roman" w:cs="Times New Roman"/>
          <w:sz w:val="24"/>
          <w:szCs w:val="24"/>
        </w:rPr>
        <w:t xml:space="preserve">21 rozporządzenia 2023/1114 określającego, że wykonywanie zleceń związanych z </w:t>
      </w:r>
      <w:proofErr w:type="spellStart"/>
      <w:r w:rsidRPr="00546E53">
        <w:rPr>
          <w:rFonts w:ascii="Times New Roman" w:hAnsi="Times New Roman" w:cs="Times New Roman"/>
          <w:sz w:val="24"/>
          <w:szCs w:val="24"/>
        </w:rPr>
        <w:t>kryptoaktywami</w:t>
      </w:r>
      <w:proofErr w:type="spellEnd"/>
      <w:r w:rsidRPr="00546E53">
        <w:rPr>
          <w:rFonts w:ascii="Times New Roman" w:hAnsi="Times New Roman" w:cs="Times New Roman"/>
          <w:sz w:val="24"/>
          <w:szCs w:val="24"/>
        </w:rPr>
        <w:t xml:space="preserve"> w imieniu klientów oznacza zawieranie w imieniu klientów umów nabycia lub sprzedaży co najmniej jednego </w:t>
      </w:r>
      <w:proofErr w:type="spellStart"/>
      <w:r w:rsidRPr="00546E53">
        <w:rPr>
          <w:rFonts w:ascii="Times New Roman" w:hAnsi="Times New Roman" w:cs="Times New Roman"/>
          <w:sz w:val="24"/>
          <w:szCs w:val="24"/>
        </w:rPr>
        <w:t>kryptoaktywa</w:t>
      </w:r>
      <w:proofErr w:type="spellEnd"/>
      <w:r w:rsidRPr="00546E53">
        <w:rPr>
          <w:rFonts w:ascii="Times New Roman" w:hAnsi="Times New Roman" w:cs="Times New Roman"/>
          <w:sz w:val="24"/>
          <w:szCs w:val="24"/>
        </w:rPr>
        <w:t xml:space="preserve"> lub umów subskrypcji w imieniu klientów co najmniej jednego </w:t>
      </w:r>
      <w:proofErr w:type="spellStart"/>
      <w:r w:rsidRPr="00546E53">
        <w:rPr>
          <w:rFonts w:ascii="Times New Roman" w:hAnsi="Times New Roman" w:cs="Times New Roman"/>
          <w:sz w:val="24"/>
          <w:szCs w:val="24"/>
        </w:rPr>
        <w:t>kryptoaktywa</w:t>
      </w:r>
      <w:proofErr w:type="spellEnd"/>
      <w:r w:rsidRPr="00546E53">
        <w:rPr>
          <w:rFonts w:ascii="Times New Roman" w:hAnsi="Times New Roman" w:cs="Times New Roman"/>
          <w:sz w:val="24"/>
          <w:szCs w:val="24"/>
        </w:rPr>
        <w:t xml:space="preserve"> i obejmuje zawieranie umów sprzedaży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w momencie ich oferty publicznej lub dopuszczenia do obrotu.</w:t>
      </w:r>
    </w:p>
    <w:p w14:paraId="273E4290" w14:textId="77777777" w:rsidR="00C21D4B" w:rsidRDefault="00C21D4B" w:rsidP="00695ECE">
      <w:pPr>
        <w:pStyle w:val="Akapitzlist"/>
        <w:numPr>
          <w:ilvl w:val="0"/>
          <w:numId w:val="2"/>
        </w:numPr>
        <w:spacing w:line="360" w:lineRule="auto"/>
        <w:jc w:val="both"/>
        <w:rPr>
          <w:rFonts w:ascii="Times New Roman" w:hAnsi="Times New Roman" w:cs="Times New Roman"/>
          <w:bCs/>
          <w:sz w:val="24"/>
          <w:szCs w:val="24"/>
        </w:rPr>
      </w:pPr>
      <w:r w:rsidRPr="00546E53">
        <w:rPr>
          <w:rFonts w:ascii="Times New Roman" w:hAnsi="Times New Roman" w:cs="Times New Roman"/>
          <w:b/>
          <w:bCs/>
          <w:sz w:val="24"/>
          <w:szCs w:val="24"/>
        </w:rPr>
        <w:t>Art.</w:t>
      </w:r>
      <w:r w:rsidRPr="00546E53">
        <w:rPr>
          <w:rFonts w:ascii="Times New Roman" w:hAnsi="Times New Roman" w:cs="Times New Roman"/>
          <w:bCs/>
          <w:sz w:val="24"/>
          <w:szCs w:val="24"/>
        </w:rPr>
        <w:t xml:space="preserve"> </w:t>
      </w:r>
      <w:r w:rsidRPr="00546E53">
        <w:rPr>
          <w:rFonts w:ascii="Times New Roman" w:hAnsi="Times New Roman" w:cs="Times New Roman"/>
          <w:b/>
          <w:sz w:val="24"/>
          <w:szCs w:val="24"/>
        </w:rPr>
        <w:t xml:space="preserve">10 </w:t>
      </w:r>
      <w:r w:rsidRPr="00546E53">
        <w:rPr>
          <w:rFonts w:ascii="Times New Roman" w:hAnsi="Times New Roman" w:cs="Times New Roman"/>
          <w:bCs/>
          <w:sz w:val="24"/>
          <w:szCs w:val="24"/>
        </w:rPr>
        <w:t xml:space="preserve">reguluje aspekt zawierania transakcji dotyczących </w:t>
      </w:r>
      <w:proofErr w:type="spellStart"/>
      <w:r w:rsidRPr="00546E53">
        <w:rPr>
          <w:rFonts w:ascii="Times New Roman" w:hAnsi="Times New Roman" w:cs="Times New Roman"/>
          <w:bCs/>
          <w:sz w:val="24"/>
          <w:szCs w:val="24"/>
        </w:rPr>
        <w:t>kryptoaktywów</w:t>
      </w:r>
      <w:proofErr w:type="spellEnd"/>
      <w:r w:rsidRPr="00546E53">
        <w:rPr>
          <w:rFonts w:ascii="Times New Roman" w:hAnsi="Times New Roman" w:cs="Times New Roman"/>
          <w:bCs/>
          <w:sz w:val="24"/>
          <w:szCs w:val="24"/>
        </w:rPr>
        <w:t xml:space="preserve"> stanowiąc, że przyjmowanie i przekazywanie zleceń związanych z </w:t>
      </w:r>
      <w:proofErr w:type="spellStart"/>
      <w:r w:rsidRPr="00546E53">
        <w:rPr>
          <w:rFonts w:ascii="Times New Roman" w:hAnsi="Times New Roman" w:cs="Times New Roman"/>
          <w:bCs/>
          <w:sz w:val="24"/>
          <w:szCs w:val="24"/>
        </w:rPr>
        <w:t>kryptoaktywami</w:t>
      </w:r>
      <w:proofErr w:type="spellEnd"/>
      <w:r w:rsidRPr="00546E53">
        <w:rPr>
          <w:rFonts w:ascii="Times New Roman" w:hAnsi="Times New Roman" w:cs="Times New Roman"/>
          <w:bCs/>
          <w:sz w:val="24"/>
          <w:szCs w:val="24"/>
        </w:rPr>
        <w:t xml:space="preserve"> w imieniu klientów może polegać również na kojarzeniu dwóch lub wię</w:t>
      </w:r>
      <w:r>
        <w:rPr>
          <w:rFonts w:ascii="Times New Roman" w:hAnsi="Times New Roman" w:cs="Times New Roman"/>
          <w:bCs/>
          <w:sz w:val="24"/>
          <w:szCs w:val="24"/>
        </w:rPr>
        <w:t>kszej liczby</w:t>
      </w:r>
      <w:r w:rsidRPr="00546E53">
        <w:rPr>
          <w:rFonts w:ascii="Times New Roman" w:hAnsi="Times New Roman" w:cs="Times New Roman"/>
          <w:bCs/>
          <w:sz w:val="24"/>
          <w:szCs w:val="24"/>
        </w:rPr>
        <w:t xml:space="preserve"> podmiotów w celu doprowadzenia do zawarcia transakcji między tymi podmiotami. </w:t>
      </w:r>
    </w:p>
    <w:p w14:paraId="1A8C55CC" w14:textId="45151A9B" w:rsidR="00C21D4B" w:rsidRPr="00842F02" w:rsidRDefault="00C21D4B" w:rsidP="00695ECE">
      <w:pPr>
        <w:pStyle w:val="Akapitzlist"/>
        <w:numPr>
          <w:ilvl w:val="0"/>
          <w:numId w:val="2"/>
        </w:numPr>
        <w:spacing w:line="360" w:lineRule="auto"/>
        <w:jc w:val="both"/>
        <w:rPr>
          <w:rFonts w:ascii="Times New Roman" w:hAnsi="Times New Roman" w:cs="Times New Roman"/>
          <w:bCs/>
          <w:sz w:val="24"/>
          <w:szCs w:val="24"/>
        </w:rPr>
      </w:pPr>
      <w:r w:rsidRPr="00546E53">
        <w:rPr>
          <w:rFonts w:ascii="Times New Roman" w:hAnsi="Times New Roman" w:cs="Times New Roman"/>
          <w:b/>
          <w:sz w:val="24"/>
          <w:szCs w:val="24"/>
        </w:rPr>
        <w:t xml:space="preserve">Art. 11 </w:t>
      </w:r>
      <w:r w:rsidRPr="00546E53">
        <w:rPr>
          <w:rFonts w:ascii="Times New Roman" w:hAnsi="Times New Roman" w:cs="Times New Roman"/>
          <w:bCs/>
          <w:sz w:val="24"/>
          <w:szCs w:val="24"/>
        </w:rPr>
        <w:t>reguluje kwestię</w:t>
      </w:r>
      <w:r w:rsidRPr="00546E53">
        <w:rPr>
          <w:rFonts w:ascii="Times New Roman" w:hAnsi="Times New Roman" w:cs="Times New Roman"/>
          <w:b/>
          <w:sz w:val="24"/>
          <w:szCs w:val="24"/>
        </w:rPr>
        <w:t xml:space="preserve"> </w:t>
      </w:r>
      <w:r w:rsidRPr="00546E53">
        <w:rPr>
          <w:rFonts w:ascii="Times New Roman" w:hAnsi="Times New Roman" w:cs="Times New Roman"/>
          <w:sz w:val="24"/>
          <w:szCs w:val="24"/>
        </w:rPr>
        <w:t xml:space="preserve">zabezpieczenia wierzytelności na </w:t>
      </w:r>
      <w:proofErr w:type="spellStart"/>
      <w:r w:rsidRPr="00546E53">
        <w:rPr>
          <w:rFonts w:ascii="Times New Roman" w:hAnsi="Times New Roman" w:cs="Times New Roman"/>
          <w:sz w:val="24"/>
          <w:szCs w:val="24"/>
        </w:rPr>
        <w:t>kryptoaktywach</w:t>
      </w:r>
      <w:proofErr w:type="spellEnd"/>
      <w:r>
        <w:rPr>
          <w:rFonts w:ascii="Times New Roman" w:hAnsi="Times New Roman" w:cs="Times New Roman"/>
          <w:sz w:val="24"/>
          <w:szCs w:val="24"/>
        </w:rPr>
        <w:t>, określając formę zabezpieczenia (</w:t>
      </w:r>
      <w:r w:rsidRPr="00B5610B">
        <w:rPr>
          <w:rFonts w:ascii="Times New Roman" w:hAnsi="Times New Roman" w:cs="Times New Roman"/>
          <w:sz w:val="24"/>
          <w:szCs w:val="24"/>
        </w:rPr>
        <w:t>form</w:t>
      </w:r>
      <w:r>
        <w:rPr>
          <w:rFonts w:ascii="Times New Roman" w:hAnsi="Times New Roman" w:cs="Times New Roman"/>
          <w:sz w:val="24"/>
          <w:szCs w:val="24"/>
        </w:rPr>
        <w:t>a</w:t>
      </w:r>
      <w:r w:rsidRPr="00B5610B">
        <w:rPr>
          <w:rFonts w:ascii="Times New Roman" w:hAnsi="Times New Roman" w:cs="Times New Roman"/>
          <w:sz w:val="24"/>
          <w:szCs w:val="24"/>
        </w:rPr>
        <w:t xml:space="preserve"> blokady, zastawu na </w:t>
      </w:r>
      <w:proofErr w:type="spellStart"/>
      <w:r w:rsidRPr="00B5610B">
        <w:rPr>
          <w:rFonts w:ascii="Times New Roman" w:hAnsi="Times New Roman" w:cs="Times New Roman"/>
          <w:sz w:val="24"/>
          <w:szCs w:val="24"/>
        </w:rPr>
        <w:t>kryptoaktywach</w:t>
      </w:r>
      <w:proofErr w:type="spellEnd"/>
      <w:r w:rsidRPr="00B5610B">
        <w:rPr>
          <w:rFonts w:ascii="Times New Roman" w:hAnsi="Times New Roman" w:cs="Times New Roman"/>
          <w:sz w:val="24"/>
          <w:szCs w:val="24"/>
        </w:rPr>
        <w:t xml:space="preserve"> lub zabezpieczenia finansowego</w:t>
      </w:r>
      <w:r>
        <w:rPr>
          <w:rFonts w:ascii="Times New Roman" w:hAnsi="Times New Roman" w:cs="Times New Roman"/>
          <w:sz w:val="24"/>
          <w:szCs w:val="24"/>
        </w:rPr>
        <w:t>).</w:t>
      </w:r>
      <w:r w:rsidRPr="00B5610B">
        <w:rPr>
          <w:rFonts w:ascii="Times New Roman" w:hAnsi="Times New Roman" w:cs="Times New Roman"/>
          <w:sz w:val="24"/>
          <w:szCs w:val="24"/>
        </w:rPr>
        <w:t xml:space="preserve"> </w:t>
      </w:r>
      <w:r w:rsidRPr="00546E53">
        <w:rPr>
          <w:rFonts w:ascii="Times New Roman" w:hAnsi="Times New Roman" w:cs="Times New Roman"/>
          <w:sz w:val="24"/>
          <w:szCs w:val="24"/>
        </w:rPr>
        <w:t xml:space="preserve">Zgodnie z rozporządzeniem 2023/1114, środki klientów, w tym </w:t>
      </w:r>
      <w:proofErr w:type="spellStart"/>
      <w:r w:rsidRPr="00546E53">
        <w:rPr>
          <w:rFonts w:ascii="Times New Roman" w:hAnsi="Times New Roman" w:cs="Times New Roman"/>
          <w:sz w:val="24"/>
          <w:szCs w:val="24"/>
        </w:rPr>
        <w:t>kryptoaktywa</w:t>
      </w:r>
      <w:proofErr w:type="spellEnd"/>
      <w:r w:rsidRPr="00546E53">
        <w:rPr>
          <w:rFonts w:ascii="Times New Roman" w:hAnsi="Times New Roman" w:cs="Times New Roman"/>
          <w:sz w:val="24"/>
          <w:szCs w:val="24"/>
        </w:rPr>
        <w:t xml:space="preserve">, są prawnie wydzielone z majątku dostawcy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(art. 75 ust. 7 akapit 2 </w:t>
      </w:r>
      <w:r>
        <w:rPr>
          <w:rFonts w:ascii="Times New Roman" w:hAnsi="Times New Roman" w:cs="Times New Roman"/>
          <w:sz w:val="24"/>
          <w:szCs w:val="24"/>
        </w:rPr>
        <w:t xml:space="preserve">rozporządzenia </w:t>
      </w:r>
      <w:proofErr w:type="spellStart"/>
      <w:r w:rsidRPr="00546E53">
        <w:rPr>
          <w:rFonts w:ascii="Times New Roman" w:hAnsi="Times New Roman" w:cs="Times New Roman"/>
          <w:sz w:val="24"/>
          <w:szCs w:val="24"/>
        </w:rPr>
        <w:t>MiCA</w:t>
      </w:r>
      <w:proofErr w:type="spellEnd"/>
      <w:r w:rsidRPr="00546E53">
        <w:rPr>
          <w:rFonts w:ascii="Times New Roman" w:hAnsi="Times New Roman" w:cs="Times New Roman"/>
          <w:sz w:val="24"/>
          <w:szCs w:val="24"/>
        </w:rPr>
        <w:t xml:space="preserve">). Jednocześnie dostawca ma obowiązek wprowadzić odpowiednie mechanizmy mające na celu zabezpieczenie praw własności klientów (art. 70 ust. 5 </w:t>
      </w:r>
      <w:r>
        <w:rPr>
          <w:rFonts w:ascii="Times New Roman" w:hAnsi="Times New Roman" w:cs="Times New Roman"/>
          <w:sz w:val="24"/>
          <w:szCs w:val="24"/>
        </w:rPr>
        <w:t xml:space="preserve">rozporządzenia </w:t>
      </w:r>
      <w:proofErr w:type="spellStart"/>
      <w:r w:rsidRPr="00546E53">
        <w:rPr>
          <w:rFonts w:ascii="Times New Roman" w:hAnsi="Times New Roman" w:cs="Times New Roman"/>
          <w:sz w:val="24"/>
          <w:szCs w:val="24"/>
        </w:rPr>
        <w:t>MiCA</w:t>
      </w:r>
      <w:proofErr w:type="spellEnd"/>
      <w:r w:rsidRPr="00546E53">
        <w:rPr>
          <w:rFonts w:ascii="Times New Roman" w:hAnsi="Times New Roman" w:cs="Times New Roman"/>
          <w:sz w:val="24"/>
          <w:szCs w:val="24"/>
        </w:rPr>
        <w:t xml:space="preserve">). W związku z powyższym, należy wprowadzić również przepisy uprawniające dostawcę do ustanawiania zabezpieczeń wierzytelności na </w:t>
      </w:r>
      <w:proofErr w:type="spellStart"/>
      <w:r w:rsidRPr="00546E53">
        <w:rPr>
          <w:rFonts w:ascii="Times New Roman" w:hAnsi="Times New Roman" w:cs="Times New Roman"/>
          <w:sz w:val="24"/>
          <w:szCs w:val="24"/>
        </w:rPr>
        <w:t>kryptoaktywach</w:t>
      </w:r>
      <w:proofErr w:type="spellEnd"/>
      <w:r w:rsidRPr="00546E53">
        <w:rPr>
          <w:rFonts w:ascii="Times New Roman" w:hAnsi="Times New Roman" w:cs="Times New Roman"/>
          <w:sz w:val="24"/>
          <w:szCs w:val="24"/>
        </w:rPr>
        <w:t xml:space="preserve"> klientów, które to wierzytelności wynikają z określonego stosunku prawnego klienta. Uszczegółowienia wymagają w szczególności warunki</w:t>
      </w:r>
      <w:r>
        <w:rPr>
          <w:rFonts w:ascii="Times New Roman" w:hAnsi="Times New Roman" w:cs="Times New Roman"/>
          <w:sz w:val="24"/>
          <w:szCs w:val="24"/>
        </w:rPr>
        <w:t xml:space="preserve"> ustanowienia takiego zabezpieczenia</w:t>
      </w:r>
      <w:r w:rsidRPr="00546E53">
        <w:rPr>
          <w:rFonts w:ascii="Times New Roman" w:hAnsi="Times New Roman" w:cs="Times New Roman"/>
          <w:sz w:val="24"/>
          <w:szCs w:val="24"/>
        </w:rPr>
        <w:t xml:space="preserve">. Powyższe jest wynikową jednego z głównych celów rozporządzenia </w:t>
      </w:r>
      <w:proofErr w:type="spellStart"/>
      <w:r w:rsidRPr="00546E53">
        <w:rPr>
          <w:rFonts w:ascii="Times New Roman" w:hAnsi="Times New Roman" w:cs="Times New Roman"/>
          <w:sz w:val="24"/>
          <w:szCs w:val="24"/>
        </w:rPr>
        <w:t>MiCA</w:t>
      </w:r>
      <w:proofErr w:type="spellEnd"/>
      <w:r w:rsidRPr="00546E53">
        <w:rPr>
          <w:rFonts w:ascii="Times New Roman" w:hAnsi="Times New Roman" w:cs="Times New Roman"/>
          <w:sz w:val="24"/>
          <w:szCs w:val="24"/>
        </w:rPr>
        <w:t xml:space="preserve">, tj. wprowadzenia odpowiednich mechanizmów bezpieczeństwa na rynku obrotu </w:t>
      </w:r>
      <w:proofErr w:type="spellStart"/>
      <w:r w:rsidRPr="00546E53">
        <w:rPr>
          <w:rFonts w:ascii="Times New Roman" w:hAnsi="Times New Roman" w:cs="Times New Roman"/>
          <w:sz w:val="24"/>
          <w:szCs w:val="24"/>
        </w:rPr>
        <w:t>kryptoaktywami</w:t>
      </w:r>
      <w:proofErr w:type="spellEnd"/>
      <w:r w:rsidRPr="00546E53">
        <w:rPr>
          <w:rFonts w:ascii="Times New Roman" w:hAnsi="Times New Roman" w:cs="Times New Roman"/>
          <w:sz w:val="24"/>
          <w:szCs w:val="24"/>
        </w:rPr>
        <w:t xml:space="preserve">, w zakresie w jakim został on objęty zakresem tego rozporządzenia. Ponadto, oprócz wspomnianych wyżej warunków ustanawiania takich wierzytelności, konieczne jest również uszczegółowienie w zakresie czynności związanych z dokonywaniem ww. wierzytelności, stąd w projekcie zawarto delegację do wydania rozporządzenia w tym zakresie (art. </w:t>
      </w:r>
      <w:r>
        <w:rPr>
          <w:rFonts w:ascii="Times New Roman" w:hAnsi="Times New Roman" w:cs="Times New Roman"/>
          <w:sz w:val="24"/>
          <w:szCs w:val="24"/>
        </w:rPr>
        <w:t>12</w:t>
      </w:r>
      <w:r w:rsidRPr="00546E53">
        <w:rPr>
          <w:rFonts w:ascii="Times New Roman" w:hAnsi="Times New Roman" w:cs="Times New Roman"/>
          <w:sz w:val="24"/>
          <w:szCs w:val="24"/>
        </w:rPr>
        <w:t xml:space="preserve"> </w:t>
      </w:r>
      <w:r>
        <w:rPr>
          <w:rFonts w:ascii="Times New Roman" w:hAnsi="Times New Roman" w:cs="Times New Roman"/>
          <w:sz w:val="24"/>
          <w:szCs w:val="24"/>
        </w:rPr>
        <w:t>projektowanej</w:t>
      </w:r>
      <w:r w:rsidR="00695ECE">
        <w:rPr>
          <w:rFonts w:ascii="Times New Roman" w:hAnsi="Times New Roman" w:cs="Times New Roman"/>
          <w:sz w:val="24"/>
          <w:szCs w:val="24"/>
        </w:rPr>
        <w:t xml:space="preserve"> </w:t>
      </w:r>
      <w:r w:rsidRPr="00546E53">
        <w:rPr>
          <w:rFonts w:ascii="Times New Roman" w:hAnsi="Times New Roman" w:cs="Times New Roman"/>
          <w:sz w:val="24"/>
          <w:szCs w:val="24"/>
        </w:rPr>
        <w:t xml:space="preserve">ustawy). Ust. 1 omawianego przepisu określa przypadki, w których dostawca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podejmuje działania związane z ustanowieniem zabezpieczenia wierzytelności na </w:t>
      </w:r>
      <w:proofErr w:type="spellStart"/>
      <w:r w:rsidRPr="00546E53">
        <w:rPr>
          <w:rFonts w:ascii="Times New Roman" w:hAnsi="Times New Roman" w:cs="Times New Roman"/>
          <w:sz w:val="24"/>
          <w:szCs w:val="24"/>
        </w:rPr>
        <w:t>kryptoaktywach</w:t>
      </w:r>
      <w:proofErr w:type="spellEnd"/>
      <w:r w:rsidRPr="00546E53">
        <w:rPr>
          <w:rFonts w:ascii="Times New Roman" w:hAnsi="Times New Roman" w:cs="Times New Roman"/>
          <w:sz w:val="24"/>
          <w:szCs w:val="24"/>
        </w:rPr>
        <w:t xml:space="preserve">. Wymienione warunki w tym ustępie muszą zostać spełnione łącznie, aby dostawca mógł wykonać zabezpieczenie. Ust. 2 wiąże się z odmową podjęcia działań przez dostawcę </w:t>
      </w:r>
      <w:r>
        <w:rPr>
          <w:rFonts w:ascii="Times New Roman" w:hAnsi="Times New Roman" w:cs="Times New Roman"/>
          <w:sz w:val="24"/>
          <w:szCs w:val="24"/>
        </w:rPr>
        <w:t xml:space="preserve">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t>
      </w:r>
      <w:r w:rsidRPr="00546E53">
        <w:rPr>
          <w:rFonts w:ascii="Times New Roman" w:hAnsi="Times New Roman" w:cs="Times New Roman"/>
          <w:sz w:val="24"/>
          <w:szCs w:val="24"/>
        </w:rPr>
        <w:t>w celu ustanowienia zabezpieczenia wierzytelności, jeśli z przedstawionej umowy o ustanowieniu zabezpieczenia wierzytelności lub z dokumentu, z którego wynika zabezpieczona wierzytelność, wynika, że są one niezgodne z prawem. Ust. 3</w:t>
      </w:r>
      <w:r>
        <w:rPr>
          <w:rFonts w:ascii="Times New Roman" w:hAnsi="Times New Roman" w:cs="Times New Roman"/>
          <w:sz w:val="24"/>
          <w:szCs w:val="24"/>
        </w:rPr>
        <w:t xml:space="preserve"> stanowi, że przedmiotowa</w:t>
      </w:r>
      <w:r w:rsidR="00695ECE">
        <w:rPr>
          <w:rFonts w:ascii="Times New Roman" w:hAnsi="Times New Roman" w:cs="Times New Roman"/>
          <w:sz w:val="24"/>
          <w:szCs w:val="24"/>
        </w:rPr>
        <w:t xml:space="preserve"> </w:t>
      </w:r>
      <w:r w:rsidRPr="00546E53">
        <w:rPr>
          <w:rFonts w:ascii="Times New Roman" w:hAnsi="Times New Roman" w:cs="Times New Roman"/>
          <w:sz w:val="24"/>
          <w:szCs w:val="24"/>
        </w:rPr>
        <w:t>odmow</w:t>
      </w:r>
      <w:r>
        <w:rPr>
          <w:rFonts w:ascii="Times New Roman" w:hAnsi="Times New Roman" w:cs="Times New Roman"/>
          <w:sz w:val="24"/>
          <w:szCs w:val="24"/>
        </w:rPr>
        <w:t>a</w:t>
      </w:r>
      <w:r w:rsidRPr="00546E53">
        <w:rPr>
          <w:rFonts w:ascii="Times New Roman" w:hAnsi="Times New Roman" w:cs="Times New Roman"/>
          <w:sz w:val="24"/>
          <w:szCs w:val="24"/>
        </w:rPr>
        <w:t xml:space="preserve"> musi zawierać również uzasadnienie</w:t>
      </w:r>
      <w:r w:rsidR="00FA7379">
        <w:rPr>
          <w:rFonts w:ascii="Times New Roman" w:hAnsi="Times New Roman" w:cs="Times New Roman"/>
          <w:sz w:val="24"/>
          <w:szCs w:val="24"/>
        </w:rPr>
        <w:t xml:space="preserve">. </w:t>
      </w:r>
    </w:p>
    <w:p w14:paraId="14C43187" w14:textId="77777777" w:rsidR="00C21D4B" w:rsidRPr="00BB4B87" w:rsidRDefault="00C21D4B" w:rsidP="00695ECE">
      <w:pPr>
        <w:pStyle w:val="Akapitzlist"/>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Art. 12 </w:t>
      </w:r>
      <w:r w:rsidRPr="00546E53">
        <w:rPr>
          <w:rFonts w:ascii="Times New Roman" w:hAnsi="Times New Roman" w:cs="Times New Roman"/>
          <w:bCs/>
          <w:sz w:val="24"/>
          <w:szCs w:val="24"/>
        </w:rPr>
        <w:t xml:space="preserve">stanowi delegację do wydania przez </w:t>
      </w:r>
      <w:r>
        <w:rPr>
          <w:rFonts w:ascii="Times New Roman" w:hAnsi="Times New Roman" w:cs="Times New Roman"/>
          <w:bCs/>
          <w:sz w:val="24"/>
          <w:szCs w:val="24"/>
        </w:rPr>
        <w:t>m</w:t>
      </w:r>
      <w:r w:rsidRPr="00546E53">
        <w:rPr>
          <w:rFonts w:ascii="Times New Roman" w:hAnsi="Times New Roman" w:cs="Times New Roman"/>
          <w:bCs/>
          <w:sz w:val="24"/>
          <w:szCs w:val="24"/>
        </w:rPr>
        <w:t>inistra właściwe</w:t>
      </w:r>
      <w:r>
        <w:rPr>
          <w:rFonts w:ascii="Times New Roman" w:hAnsi="Times New Roman" w:cs="Times New Roman"/>
          <w:bCs/>
          <w:sz w:val="24"/>
          <w:szCs w:val="24"/>
        </w:rPr>
        <w:t>go</w:t>
      </w:r>
      <w:r w:rsidRPr="00546E53">
        <w:rPr>
          <w:rFonts w:ascii="Times New Roman" w:hAnsi="Times New Roman" w:cs="Times New Roman"/>
          <w:bCs/>
          <w:sz w:val="24"/>
          <w:szCs w:val="24"/>
        </w:rPr>
        <w:t xml:space="preserve"> do spraw instytucji finansowych rozporządzenia w sprawie trybu i </w:t>
      </w:r>
      <w:r>
        <w:rPr>
          <w:rFonts w:ascii="Times New Roman" w:hAnsi="Times New Roman" w:cs="Times New Roman"/>
          <w:bCs/>
          <w:sz w:val="24"/>
          <w:szCs w:val="24"/>
        </w:rPr>
        <w:t xml:space="preserve">szczegółowych </w:t>
      </w:r>
      <w:r w:rsidRPr="00546E53">
        <w:rPr>
          <w:rFonts w:ascii="Times New Roman" w:hAnsi="Times New Roman" w:cs="Times New Roman"/>
          <w:bCs/>
          <w:sz w:val="24"/>
          <w:szCs w:val="24"/>
        </w:rPr>
        <w:t xml:space="preserve">warunków postępowania dostawców usług w zakresie </w:t>
      </w:r>
      <w:proofErr w:type="spellStart"/>
      <w:r w:rsidRPr="00546E53">
        <w:rPr>
          <w:rFonts w:ascii="Times New Roman" w:hAnsi="Times New Roman" w:cs="Times New Roman"/>
          <w:bCs/>
          <w:sz w:val="24"/>
          <w:szCs w:val="24"/>
        </w:rPr>
        <w:t>kryptoaktywów</w:t>
      </w:r>
      <w:proofErr w:type="spellEnd"/>
      <w:r w:rsidRPr="00546E53">
        <w:rPr>
          <w:rFonts w:ascii="Times New Roman" w:hAnsi="Times New Roman" w:cs="Times New Roman"/>
          <w:bCs/>
          <w:sz w:val="24"/>
          <w:szCs w:val="24"/>
        </w:rPr>
        <w:t xml:space="preserve"> w zakresie zabezpieczenia wierzytelności na </w:t>
      </w:r>
      <w:proofErr w:type="spellStart"/>
      <w:r w:rsidRPr="00546E53">
        <w:rPr>
          <w:rFonts w:ascii="Times New Roman" w:hAnsi="Times New Roman" w:cs="Times New Roman"/>
          <w:bCs/>
          <w:sz w:val="24"/>
          <w:szCs w:val="24"/>
        </w:rPr>
        <w:t>kryptoaktywach</w:t>
      </w:r>
      <w:proofErr w:type="spellEnd"/>
      <w:r w:rsidRPr="00011253">
        <w:rPr>
          <w:rFonts w:ascii="Times New Roman" w:hAnsi="Times New Roman" w:cs="Times New Roman"/>
          <w:bCs/>
          <w:sz w:val="24"/>
          <w:szCs w:val="24"/>
        </w:rPr>
        <w:t xml:space="preserve">. Zgodnie z rozporządzeniem 2023/1114, środki klientów, w tym </w:t>
      </w:r>
      <w:proofErr w:type="spellStart"/>
      <w:r w:rsidRPr="00011253">
        <w:rPr>
          <w:rFonts w:ascii="Times New Roman" w:hAnsi="Times New Roman" w:cs="Times New Roman"/>
          <w:bCs/>
          <w:sz w:val="24"/>
          <w:szCs w:val="24"/>
        </w:rPr>
        <w:t>kryptoaktywa</w:t>
      </w:r>
      <w:proofErr w:type="spellEnd"/>
      <w:r w:rsidRPr="00011253">
        <w:rPr>
          <w:rFonts w:ascii="Times New Roman" w:hAnsi="Times New Roman" w:cs="Times New Roman"/>
          <w:bCs/>
          <w:sz w:val="24"/>
          <w:szCs w:val="24"/>
        </w:rPr>
        <w:t xml:space="preserve">, są prawnie wydzielone z majątku dostawcy usług w zakresie </w:t>
      </w:r>
      <w:proofErr w:type="spellStart"/>
      <w:r w:rsidRPr="00011253">
        <w:rPr>
          <w:rFonts w:ascii="Times New Roman" w:hAnsi="Times New Roman" w:cs="Times New Roman"/>
          <w:bCs/>
          <w:sz w:val="24"/>
          <w:szCs w:val="24"/>
        </w:rPr>
        <w:t>kryptoaktywów</w:t>
      </w:r>
      <w:proofErr w:type="spellEnd"/>
      <w:r w:rsidRPr="00011253">
        <w:rPr>
          <w:rFonts w:ascii="Times New Roman" w:hAnsi="Times New Roman" w:cs="Times New Roman"/>
          <w:bCs/>
          <w:sz w:val="24"/>
          <w:szCs w:val="24"/>
        </w:rPr>
        <w:t xml:space="preserve"> (art. 75 ust. 7 akapit 2 </w:t>
      </w:r>
      <w:proofErr w:type="spellStart"/>
      <w:r w:rsidRPr="00011253">
        <w:rPr>
          <w:rFonts w:ascii="Times New Roman" w:hAnsi="Times New Roman" w:cs="Times New Roman"/>
          <w:bCs/>
          <w:sz w:val="24"/>
          <w:szCs w:val="24"/>
        </w:rPr>
        <w:t>MiCA</w:t>
      </w:r>
      <w:proofErr w:type="spellEnd"/>
      <w:r w:rsidRPr="00011253">
        <w:rPr>
          <w:rFonts w:ascii="Times New Roman" w:hAnsi="Times New Roman" w:cs="Times New Roman"/>
          <w:bCs/>
          <w:sz w:val="24"/>
          <w:szCs w:val="24"/>
        </w:rPr>
        <w:t xml:space="preserve">). Jednocześnie dostawca usług w zakresie </w:t>
      </w:r>
      <w:proofErr w:type="spellStart"/>
      <w:r w:rsidRPr="00011253">
        <w:rPr>
          <w:rFonts w:ascii="Times New Roman" w:hAnsi="Times New Roman" w:cs="Times New Roman"/>
          <w:bCs/>
          <w:sz w:val="24"/>
          <w:szCs w:val="24"/>
        </w:rPr>
        <w:t>kryptoaktywów</w:t>
      </w:r>
      <w:proofErr w:type="spellEnd"/>
      <w:r w:rsidRPr="00011253">
        <w:rPr>
          <w:rFonts w:ascii="Times New Roman" w:hAnsi="Times New Roman" w:cs="Times New Roman"/>
          <w:bCs/>
          <w:sz w:val="24"/>
          <w:szCs w:val="24"/>
        </w:rPr>
        <w:t xml:space="preserve"> ma obowiązek wprowadzić odpowiednie mechanizmy mające na celu zabezpieczenie praw własności klientów (art. 70 ust. 5 </w:t>
      </w:r>
      <w:proofErr w:type="spellStart"/>
      <w:r w:rsidRPr="00011253">
        <w:rPr>
          <w:rFonts w:ascii="Times New Roman" w:hAnsi="Times New Roman" w:cs="Times New Roman"/>
          <w:bCs/>
          <w:sz w:val="24"/>
          <w:szCs w:val="24"/>
        </w:rPr>
        <w:t>MiCA</w:t>
      </w:r>
      <w:proofErr w:type="spellEnd"/>
      <w:r w:rsidRPr="00011253">
        <w:rPr>
          <w:rFonts w:ascii="Times New Roman" w:hAnsi="Times New Roman" w:cs="Times New Roman"/>
          <w:bCs/>
          <w:sz w:val="24"/>
          <w:szCs w:val="24"/>
        </w:rPr>
        <w:t xml:space="preserve">). W związku z powyższym, należy wprowadzić również przepisy uprawniające dostawcę do ustanawiania zabezpieczeń wierzytelności na </w:t>
      </w:r>
      <w:proofErr w:type="spellStart"/>
      <w:r w:rsidRPr="00011253">
        <w:rPr>
          <w:rFonts w:ascii="Times New Roman" w:hAnsi="Times New Roman" w:cs="Times New Roman"/>
          <w:bCs/>
          <w:sz w:val="24"/>
          <w:szCs w:val="24"/>
        </w:rPr>
        <w:t>kryptoaktywach</w:t>
      </w:r>
      <w:proofErr w:type="spellEnd"/>
      <w:r w:rsidRPr="00011253">
        <w:rPr>
          <w:rFonts w:ascii="Times New Roman" w:hAnsi="Times New Roman" w:cs="Times New Roman"/>
          <w:bCs/>
          <w:sz w:val="24"/>
          <w:szCs w:val="24"/>
        </w:rPr>
        <w:t xml:space="preserve"> klientów, które to wierzytelności wynikają z określonego stosunku prawnego klienta. Powyższe jest wynikową jednego z głównych celów rozporządzenia </w:t>
      </w:r>
      <w:proofErr w:type="spellStart"/>
      <w:r w:rsidRPr="00011253">
        <w:rPr>
          <w:rFonts w:ascii="Times New Roman" w:hAnsi="Times New Roman" w:cs="Times New Roman"/>
          <w:bCs/>
          <w:sz w:val="24"/>
          <w:szCs w:val="24"/>
        </w:rPr>
        <w:t>MiCA</w:t>
      </w:r>
      <w:proofErr w:type="spellEnd"/>
      <w:r w:rsidRPr="00011253">
        <w:rPr>
          <w:rFonts w:ascii="Times New Roman" w:hAnsi="Times New Roman" w:cs="Times New Roman"/>
          <w:bCs/>
          <w:sz w:val="24"/>
          <w:szCs w:val="24"/>
        </w:rPr>
        <w:t xml:space="preserve">, tj. wprowadzenia odpowiednich mechanizmów bezpieczeństwa na rynku obrotu </w:t>
      </w:r>
      <w:proofErr w:type="spellStart"/>
      <w:r w:rsidRPr="00011253">
        <w:rPr>
          <w:rFonts w:ascii="Times New Roman" w:hAnsi="Times New Roman" w:cs="Times New Roman"/>
          <w:bCs/>
          <w:sz w:val="24"/>
          <w:szCs w:val="24"/>
        </w:rPr>
        <w:t>kryptoaktywami</w:t>
      </w:r>
      <w:proofErr w:type="spellEnd"/>
      <w:r w:rsidRPr="00011253">
        <w:rPr>
          <w:rFonts w:ascii="Times New Roman" w:hAnsi="Times New Roman" w:cs="Times New Roman"/>
          <w:bCs/>
          <w:sz w:val="24"/>
          <w:szCs w:val="24"/>
        </w:rPr>
        <w:t xml:space="preserve">, w zakresie w jakim został on objęty nadzorem tego rozporządzenia. </w:t>
      </w:r>
    </w:p>
    <w:p w14:paraId="45ACC748" w14:textId="77777777" w:rsidR="00C21D4B" w:rsidRPr="004D16A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546E53">
        <w:rPr>
          <w:rFonts w:ascii="Times New Roman" w:hAnsi="Times New Roman" w:cs="Times New Roman"/>
          <w:b/>
          <w:bCs/>
          <w:sz w:val="24"/>
          <w:szCs w:val="24"/>
        </w:rPr>
        <w:t>Art. 1</w:t>
      </w:r>
      <w:r>
        <w:rPr>
          <w:rFonts w:ascii="Times New Roman" w:hAnsi="Times New Roman" w:cs="Times New Roman"/>
          <w:b/>
          <w:bCs/>
          <w:sz w:val="24"/>
          <w:szCs w:val="24"/>
        </w:rPr>
        <w:t>3</w:t>
      </w:r>
      <w:r w:rsidRPr="00546E53">
        <w:rPr>
          <w:rFonts w:ascii="Times New Roman" w:hAnsi="Times New Roman" w:cs="Times New Roman"/>
          <w:b/>
          <w:bCs/>
          <w:sz w:val="24"/>
          <w:szCs w:val="24"/>
        </w:rPr>
        <w:t xml:space="preserve"> </w:t>
      </w:r>
      <w:r w:rsidRPr="00546E53">
        <w:rPr>
          <w:rFonts w:ascii="Times New Roman" w:hAnsi="Times New Roman" w:cs="Times New Roman"/>
          <w:sz w:val="24"/>
          <w:szCs w:val="24"/>
        </w:rPr>
        <w:t xml:space="preserve">w ust. 1 i 2 zezwala </w:t>
      </w:r>
      <w:r>
        <w:rPr>
          <w:rFonts w:ascii="Times New Roman" w:hAnsi="Times New Roman" w:cs="Times New Roman"/>
          <w:sz w:val="24"/>
          <w:szCs w:val="24"/>
        </w:rPr>
        <w:t xml:space="preserve">m.in. </w:t>
      </w:r>
      <w:r w:rsidRPr="00546E53">
        <w:rPr>
          <w:rFonts w:ascii="Times New Roman" w:hAnsi="Times New Roman" w:cs="Times New Roman"/>
          <w:sz w:val="24"/>
          <w:szCs w:val="24"/>
        </w:rPr>
        <w:t xml:space="preserve">instytucji kredytowej, na wykorzystanie </w:t>
      </w:r>
      <w:r>
        <w:rPr>
          <w:rFonts w:ascii="Times New Roman" w:hAnsi="Times New Roman" w:cs="Times New Roman"/>
          <w:sz w:val="24"/>
          <w:szCs w:val="24"/>
        </w:rPr>
        <w:t xml:space="preserve">na własny rachunek </w:t>
      </w:r>
      <w:r w:rsidRPr="00546E53">
        <w:rPr>
          <w:rFonts w:ascii="Times New Roman" w:hAnsi="Times New Roman" w:cs="Times New Roman"/>
          <w:sz w:val="24"/>
          <w:szCs w:val="24"/>
        </w:rPr>
        <w:t>środków</w:t>
      </w:r>
      <w:r>
        <w:rPr>
          <w:rFonts w:ascii="Times New Roman" w:hAnsi="Times New Roman" w:cs="Times New Roman"/>
          <w:sz w:val="24"/>
          <w:szCs w:val="24"/>
        </w:rPr>
        <w:t xml:space="preserve"> pieniężnych</w:t>
      </w:r>
      <w:r w:rsidRPr="00546E53">
        <w:rPr>
          <w:rFonts w:ascii="Times New Roman" w:hAnsi="Times New Roman" w:cs="Times New Roman"/>
          <w:sz w:val="24"/>
          <w:szCs w:val="24"/>
        </w:rPr>
        <w:t xml:space="preserve"> powierzonych </w:t>
      </w:r>
      <w:r>
        <w:rPr>
          <w:rFonts w:ascii="Times New Roman" w:hAnsi="Times New Roman" w:cs="Times New Roman"/>
          <w:sz w:val="24"/>
          <w:szCs w:val="24"/>
        </w:rPr>
        <w:t xml:space="preserve">jej </w:t>
      </w:r>
      <w:r w:rsidRPr="00546E53">
        <w:rPr>
          <w:rFonts w:ascii="Times New Roman" w:hAnsi="Times New Roman" w:cs="Times New Roman"/>
          <w:sz w:val="24"/>
          <w:szCs w:val="24"/>
        </w:rPr>
        <w:t xml:space="preserve">przez klientów, o ile następuje to w ramach wykonywania przez nich czynności bankowych. Dodatkowo konieczne jest wprowadzenie przepisów dotyczących prowadzenia przez dostawcę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rachunku pieniężnego, na którym rejestrowane są środki pieniężne powierzone przez klienta, służące dokonywaniu rozliczeń w następstwie czynności mających za przedmiot </w:t>
      </w:r>
      <w:proofErr w:type="spellStart"/>
      <w:r w:rsidRPr="00546E53">
        <w:rPr>
          <w:rFonts w:ascii="Times New Roman" w:hAnsi="Times New Roman" w:cs="Times New Roman"/>
          <w:sz w:val="24"/>
          <w:szCs w:val="24"/>
        </w:rPr>
        <w:t>kryptoaktywa</w:t>
      </w:r>
      <w:proofErr w:type="spellEnd"/>
      <w:r w:rsidRPr="00546E53">
        <w:rPr>
          <w:rFonts w:ascii="Times New Roman" w:hAnsi="Times New Roman" w:cs="Times New Roman"/>
          <w:sz w:val="24"/>
          <w:szCs w:val="24"/>
        </w:rPr>
        <w:t xml:space="preserve">. Dostawca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ma zapewnić, aby środki pieniężne powierzone przez klientów były przechowywane na rachunku dającym się wyodrębnić od wszelkich innych rachunków wykorzystywanych do przechowywania środków pieniężnych należących do dostawców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Rachunek pieniężny prowadzony przez tego dostawcę ma służyć do dokonywania zapisów ewidencyjnych związanych z aktywnością inwestora na rynku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Rachunek pieniężny służy wyłącznie do obsługi rachunku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W przypadku niektórych usług dostawca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w celu wykonania czynności dla klienta będzie musiał przenieść jego </w:t>
      </w:r>
      <w:proofErr w:type="spellStart"/>
      <w:r w:rsidRPr="00546E53">
        <w:rPr>
          <w:rFonts w:ascii="Times New Roman" w:hAnsi="Times New Roman" w:cs="Times New Roman"/>
          <w:sz w:val="24"/>
          <w:szCs w:val="24"/>
        </w:rPr>
        <w:t>kryptoaktywa</w:t>
      </w:r>
      <w:proofErr w:type="spellEnd"/>
      <w:r w:rsidRPr="00546E53">
        <w:rPr>
          <w:rFonts w:ascii="Times New Roman" w:hAnsi="Times New Roman" w:cs="Times New Roman"/>
          <w:sz w:val="24"/>
          <w:szCs w:val="24"/>
        </w:rPr>
        <w:t xml:space="preserve"> na swój rachunek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W takiej sytuacji niezbędne jest objęcie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klientów ochroną przed postępowaniem egzekucyjnym kierowanym przeciwko dostawcy lub upadłością dostawcy. </w:t>
      </w:r>
      <w:r w:rsidRPr="00546E53">
        <w:rPr>
          <w:rFonts w:ascii="Times New Roman" w:hAnsi="Times New Roman" w:cs="Times New Roman"/>
          <w:bCs/>
          <w:sz w:val="24"/>
          <w:szCs w:val="24"/>
        </w:rPr>
        <w:t xml:space="preserve">Ust. 3 stanowi, że środki pieniężne klientów muszą być deponowane w związku z zapewnieniem ich bezpieczeństwa, odrębnie od środków pieniężnych dostawcy usług w zakresie </w:t>
      </w:r>
      <w:proofErr w:type="spellStart"/>
      <w:r w:rsidRPr="00546E53">
        <w:rPr>
          <w:rFonts w:ascii="Times New Roman" w:hAnsi="Times New Roman" w:cs="Times New Roman"/>
          <w:bCs/>
          <w:sz w:val="24"/>
          <w:szCs w:val="24"/>
        </w:rPr>
        <w:t>kryptoaktywów</w:t>
      </w:r>
      <w:proofErr w:type="spellEnd"/>
      <w:r w:rsidRPr="00546E53">
        <w:rPr>
          <w:rFonts w:ascii="Times New Roman" w:hAnsi="Times New Roman" w:cs="Times New Roman"/>
          <w:bCs/>
          <w:sz w:val="24"/>
          <w:szCs w:val="24"/>
        </w:rPr>
        <w:t xml:space="preserve">. </w:t>
      </w:r>
      <w:r w:rsidRPr="00546E53">
        <w:rPr>
          <w:rFonts w:ascii="Times New Roman" w:hAnsi="Times New Roman" w:cs="Times New Roman"/>
          <w:sz w:val="24"/>
          <w:szCs w:val="24"/>
        </w:rPr>
        <w:t>Zgodnie z ust. 4, do rachunku pieniężnego stosuje się odpowiednio przepisy art. 725 (istota umowy rachunku bankowego), art. 727 (odmowa wykonania zlecenia płatniczego przez bank), art. 728 §</w:t>
      </w:r>
      <w:r>
        <w:rPr>
          <w:rFonts w:ascii="Times New Roman" w:hAnsi="Times New Roman" w:cs="Times New Roman"/>
          <w:sz w:val="24"/>
          <w:szCs w:val="24"/>
        </w:rPr>
        <w:t> </w:t>
      </w:r>
      <w:r w:rsidRPr="00546E53">
        <w:rPr>
          <w:rFonts w:ascii="Times New Roman" w:hAnsi="Times New Roman" w:cs="Times New Roman"/>
          <w:sz w:val="24"/>
          <w:szCs w:val="24"/>
        </w:rPr>
        <w:t>3 (zgłoszenie niezgodności zmian stanu rachunku lub salda), art. 729</w:t>
      </w:r>
      <w:r>
        <w:rPr>
          <w:rFonts w:ascii="Times New Roman" w:hAnsi="Times New Roman" w:cs="Times New Roman"/>
          <w:sz w:val="24"/>
          <w:szCs w:val="24"/>
        </w:rPr>
        <w:t>–</w:t>
      </w:r>
      <w:r w:rsidRPr="00546E53">
        <w:rPr>
          <w:rFonts w:ascii="Times New Roman" w:hAnsi="Times New Roman" w:cs="Times New Roman"/>
          <w:sz w:val="24"/>
          <w:szCs w:val="24"/>
        </w:rPr>
        <w:t>731 (obowiązki posiadacza rachunku imiennego, rozwiązanie umowy rachunku, przedawnienie roszczeń ze stosunku rachunku bankowego) i art. 733 (rozliczenia pieniężne) Kodeks</w:t>
      </w:r>
      <w:r>
        <w:rPr>
          <w:rFonts w:ascii="Times New Roman" w:hAnsi="Times New Roman" w:cs="Times New Roman"/>
          <w:sz w:val="24"/>
          <w:szCs w:val="24"/>
        </w:rPr>
        <w:t>u</w:t>
      </w:r>
      <w:r w:rsidRPr="00546E53">
        <w:rPr>
          <w:rFonts w:ascii="Times New Roman" w:hAnsi="Times New Roman" w:cs="Times New Roman"/>
          <w:sz w:val="24"/>
          <w:szCs w:val="24"/>
        </w:rPr>
        <w:t xml:space="preserve"> cywiln</w:t>
      </w:r>
      <w:r>
        <w:rPr>
          <w:rFonts w:ascii="Times New Roman" w:hAnsi="Times New Roman" w:cs="Times New Roman"/>
          <w:sz w:val="24"/>
          <w:szCs w:val="24"/>
        </w:rPr>
        <w:t>ego</w:t>
      </w:r>
      <w:r w:rsidRPr="00546E53">
        <w:rPr>
          <w:rFonts w:ascii="Times New Roman" w:hAnsi="Times New Roman" w:cs="Times New Roman"/>
          <w:sz w:val="24"/>
          <w:szCs w:val="24"/>
        </w:rPr>
        <w:t>. Jednocześnie, w ust. 5 dookreślono</w:t>
      </w:r>
      <w:r>
        <w:rPr>
          <w:rFonts w:ascii="Times New Roman" w:hAnsi="Times New Roman" w:cs="Times New Roman"/>
          <w:sz w:val="24"/>
          <w:szCs w:val="24"/>
        </w:rPr>
        <w:t>, że</w:t>
      </w:r>
      <w:r w:rsidRPr="00546E53">
        <w:rPr>
          <w:rFonts w:ascii="Times New Roman" w:hAnsi="Times New Roman" w:cs="Times New Roman"/>
          <w:sz w:val="24"/>
          <w:szCs w:val="24"/>
        </w:rPr>
        <w:t xml:space="preserve"> zasady ustalania oprocentowania środków pieniężnych powierzonych przez klienta dostawcy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mają regulować umowy pomiędzy klientem a dostawcą. </w:t>
      </w:r>
      <w:bookmarkStart w:id="3" w:name="mip73650623"/>
      <w:bookmarkStart w:id="4" w:name="mip73650624"/>
      <w:bookmarkStart w:id="5" w:name="mip73650625"/>
      <w:bookmarkEnd w:id="3"/>
      <w:bookmarkEnd w:id="4"/>
      <w:bookmarkEnd w:id="5"/>
    </w:p>
    <w:p w14:paraId="1065FAB0" w14:textId="77777777" w:rsidR="00C21D4B" w:rsidRPr="00546E53" w:rsidRDefault="00C21D4B" w:rsidP="00695ECE">
      <w:pPr>
        <w:pStyle w:val="Akapitzlist"/>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Art. 14</w:t>
      </w:r>
      <w:r w:rsidRPr="00C93FBA">
        <w:rPr>
          <w:rFonts w:ascii="Times New Roman" w:hAnsi="Times New Roman" w:cs="Times New Roman"/>
          <w:sz w:val="24"/>
          <w:szCs w:val="24"/>
        </w:rPr>
        <w:t xml:space="preserve"> wprowadza </w:t>
      </w:r>
      <w:r>
        <w:rPr>
          <w:rFonts w:ascii="Times New Roman" w:hAnsi="Times New Roman" w:cs="Times New Roman"/>
          <w:sz w:val="24"/>
          <w:szCs w:val="24"/>
        </w:rPr>
        <w:t xml:space="preserve">fakultatywną </w:t>
      </w:r>
      <w:r w:rsidRPr="00C93FBA">
        <w:rPr>
          <w:rFonts w:ascii="Times New Roman" w:hAnsi="Times New Roman" w:cs="Times New Roman"/>
          <w:sz w:val="24"/>
          <w:szCs w:val="24"/>
        </w:rPr>
        <w:t xml:space="preserve">delegację ustawową do wydania przez </w:t>
      </w:r>
      <w:r>
        <w:rPr>
          <w:rFonts w:ascii="Times New Roman" w:hAnsi="Times New Roman" w:cs="Times New Roman"/>
          <w:sz w:val="24"/>
          <w:szCs w:val="24"/>
        </w:rPr>
        <w:t>m</w:t>
      </w:r>
      <w:r w:rsidRPr="00C93FBA">
        <w:rPr>
          <w:rFonts w:ascii="Times New Roman" w:hAnsi="Times New Roman" w:cs="Times New Roman"/>
          <w:sz w:val="24"/>
          <w:szCs w:val="24"/>
        </w:rPr>
        <w:t xml:space="preserve">inistra właściwego do spraw instytucji finansowych rozporządzenia w zakresie wskazanym w delegacji. </w:t>
      </w:r>
      <w:r>
        <w:rPr>
          <w:rFonts w:ascii="Times New Roman" w:hAnsi="Times New Roman" w:cs="Times New Roman"/>
          <w:sz w:val="24"/>
          <w:szCs w:val="24"/>
        </w:rPr>
        <w:t xml:space="preserve">Rozporządzenie </w:t>
      </w:r>
      <w:proofErr w:type="spellStart"/>
      <w:r w:rsidRPr="00C93FBA">
        <w:rPr>
          <w:rFonts w:ascii="Times New Roman" w:hAnsi="Times New Roman" w:cs="Times New Roman"/>
          <w:sz w:val="24"/>
          <w:szCs w:val="24"/>
        </w:rPr>
        <w:t>MiCA</w:t>
      </w:r>
      <w:proofErr w:type="spellEnd"/>
      <w:r w:rsidRPr="00C93FBA">
        <w:rPr>
          <w:rFonts w:ascii="Times New Roman" w:hAnsi="Times New Roman" w:cs="Times New Roman"/>
          <w:sz w:val="24"/>
          <w:szCs w:val="24"/>
        </w:rPr>
        <w:t xml:space="preserve"> określa wiele zasad w ogólny sposób, delegując jednocześnie uprawnienia do wydania </w:t>
      </w:r>
      <w:r>
        <w:rPr>
          <w:rFonts w:ascii="Times New Roman" w:hAnsi="Times New Roman" w:cs="Times New Roman"/>
          <w:sz w:val="24"/>
          <w:szCs w:val="24"/>
        </w:rPr>
        <w:t xml:space="preserve">regulacyjnych standardów technicznych (dalej: RTS – regulatory </w:t>
      </w:r>
      <w:proofErr w:type="spellStart"/>
      <w:r>
        <w:rPr>
          <w:rFonts w:ascii="Times New Roman" w:hAnsi="Times New Roman" w:cs="Times New Roman"/>
          <w:sz w:val="24"/>
          <w:szCs w:val="24"/>
        </w:rPr>
        <w:t>technical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standards</w:t>
      </w:r>
      <w:proofErr w:type="spellEnd"/>
      <w:r>
        <w:rPr>
          <w:rFonts w:ascii="Times New Roman" w:hAnsi="Times New Roman" w:cs="Times New Roman"/>
          <w:sz w:val="24"/>
          <w:szCs w:val="24"/>
        </w:rPr>
        <w:t>)</w:t>
      </w:r>
      <w:r w:rsidRPr="00C93FBA">
        <w:rPr>
          <w:rFonts w:ascii="Times New Roman" w:hAnsi="Times New Roman" w:cs="Times New Roman"/>
          <w:sz w:val="24"/>
          <w:szCs w:val="24"/>
        </w:rPr>
        <w:t>, które będą precyzowały zarówno warunki świadczenia usług przez dostawców</w:t>
      </w:r>
      <w:r>
        <w:rPr>
          <w:rFonts w:ascii="Times New Roman" w:hAnsi="Times New Roman" w:cs="Times New Roman"/>
          <w:sz w:val="24"/>
          <w:szCs w:val="24"/>
        </w:rPr>
        <w:t>,</w:t>
      </w:r>
      <w:r w:rsidRPr="00C93FBA">
        <w:rPr>
          <w:rFonts w:ascii="Times New Roman" w:hAnsi="Times New Roman" w:cs="Times New Roman"/>
          <w:sz w:val="24"/>
          <w:szCs w:val="24"/>
        </w:rPr>
        <w:t xml:space="preserve"> jak i warunki techniczno-organizacyjne ich funkcjonowania.</w:t>
      </w:r>
      <w:r>
        <w:rPr>
          <w:rFonts w:ascii="Times New Roman" w:hAnsi="Times New Roman" w:cs="Times New Roman"/>
          <w:sz w:val="24"/>
          <w:szCs w:val="24"/>
        </w:rPr>
        <w:t xml:space="preserve"> </w:t>
      </w:r>
      <w:r w:rsidRPr="00C93FBA">
        <w:rPr>
          <w:rFonts w:ascii="Times New Roman" w:hAnsi="Times New Roman" w:cs="Times New Roman"/>
          <w:sz w:val="24"/>
          <w:szCs w:val="24"/>
        </w:rPr>
        <w:t>Prawodawca unijny dostrzega zatem konieczność ustanowienia dodatkowych wymogów w tym zakresie na poziomie RTS. Istnie</w:t>
      </w:r>
      <w:r>
        <w:rPr>
          <w:rFonts w:ascii="Times New Roman" w:hAnsi="Times New Roman" w:cs="Times New Roman"/>
          <w:sz w:val="24"/>
          <w:szCs w:val="24"/>
        </w:rPr>
        <w:t>j</w:t>
      </w:r>
      <w:r w:rsidRPr="00C93FBA">
        <w:rPr>
          <w:rFonts w:ascii="Times New Roman" w:hAnsi="Times New Roman" w:cs="Times New Roman"/>
          <w:sz w:val="24"/>
          <w:szCs w:val="24"/>
        </w:rPr>
        <w:t xml:space="preserve">e jednak ryzyko, że do czasu wejścia w życie ustawy nie zostaną one opublikowane. W takim wypadku konieczne będzie przyjęcie rozwiązania krajowego i określenie tych wymogów w rozporządzeniu. </w:t>
      </w:r>
      <w:r>
        <w:rPr>
          <w:rFonts w:ascii="Times New Roman" w:hAnsi="Times New Roman" w:cs="Times New Roman"/>
          <w:sz w:val="24"/>
          <w:szCs w:val="24"/>
        </w:rPr>
        <w:t xml:space="preserve">Ponadto biorąc pod uwagę ryzyko jakie wiąże się z działalnością związaną ze świadczeniem 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konieczne jest doprecyzowanie pewnych elementów</w:t>
      </w:r>
      <w:r w:rsidRPr="00CA3255">
        <w:rPr>
          <w:rFonts w:eastAsiaTheme="minorHAnsi"/>
        </w:rPr>
        <w:t xml:space="preserve"> </w:t>
      </w:r>
      <w:r w:rsidRPr="00CA3255">
        <w:rPr>
          <w:rFonts w:ascii="Times New Roman" w:hAnsi="Times New Roman" w:cs="Times New Roman"/>
          <w:sz w:val="24"/>
          <w:szCs w:val="24"/>
        </w:rPr>
        <w:t>tryb</w:t>
      </w:r>
      <w:r>
        <w:rPr>
          <w:rFonts w:ascii="Times New Roman" w:hAnsi="Times New Roman" w:cs="Times New Roman"/>
          <w:sz w:val="24"/>
          <w:szCs w:val="24"/>
        </w:rPr>
        <w:t>u</w:t>
      </w:r>
      <w:r w:rsidRPr="00CA3255">
        <w:rPr>
          <w:rFonts w:ascii="Times New Roman" w:hAnsi="Times New Roman" w:cs="Times New Roman"/>
          <w:sz w:val="24"/>
          <w:szCs w:val="24"/>
        </w:rPr>
        <w:t xml:space="preserve"> i warunk</w:t>
      </w:r>
      <w:r>
        <w:rPr>
          <w:rFonts w:ascii="Times New Roman" w:hAnsi="Times New Roman" w:cs="Times New Roman"/>
          <w:sz w:val="24"/>
          <w:szCs w:val="24"/>
        </w:rPr>
        <w:t>ów</w:t>
      </w:r>
      <w:r w:rsidRPr="00CA3255">
        <w:rPr>
          <w:rFonts w:ascii="Times New Roman" w:hAnsi="Times New Roman" w:cs="Times New Roman"/>
          <w:sz w:val="24"/>
          <w:szCs w:val="24"/>
        </w:rPr>
        <w:t xml:space="preserve"> postępowania dostawcy usług w zakresie </w:t>
      </w:r>
      <w:proofErr w:type="spellStart"/>
      <w:r w:rsidRPr="00CA3255">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oraz </w:t>
      </w:r>
      <w:r w:rsidRPr="00CA3255">
        <w:rPr>
          <w:rFonts w:ascii="Times New Roman" w:hAnsi="Times New Roman" w:cs="Times New Roman"/>
          <w:sz w:val="24"/>
          <w:szCs w:val="24"/>
        </w:rPr>
        <w:t>warunk</w:t>
      </w:r>
      <w:r>
        <w:rPr>
          <w:rFonts w:ascii="Times New Roman" w:hAnsi="Times New Roman" w:cs="Times New Roman"/>
          <w:sz w:val="24"/>
          <w:szCs w:val="24"/>
        </w:rPr>
        <w:t>ów</w:t>
      </w:r>
      <w:r w:rsidRPr="00CA3255">
        <w:rPr>
          <w:rFonts w:ascii="Times New Roman" w:hAnsi="Times New Roman" w:cs="Times New Roman"/>
          <w:sz w:val="24"/>
          <w:szCs w:val="24"/>
        </w:rPr>
        <w:t xml:space="preserve"> techniczn</w:t>
      </w:r>
      <w:r>
        <w:rPr>
          <w:rFonts w:ascii="Times New Roman" w:hAnsi="Times New Roman" w:cs="Times New Roman"/>
          <w:sz w:val="24"/>
          <w:szCs w:val="24"/>
        </w:rPr>
        <w:t>ych</w:t>
      </w:r>
      <w:r w:rsidRPr="00CA3255">
        <w:rPr>
          <w:rFonts w:ascii="Times New Roman" w:hAnsi="Times New Roman" w:cs="Times New Roman"/>
          <w:sz w:val="24"/>
          <w:szCs w:val="24"/>
        </w:rPr>
        <w:t xml:space="preserve"> i organizacyjn</w:t>
      </w:r>
      <w:r>
        <w:rPr>
          <w:rFonts w:ascii="Times New Roman" w:hAnsi="Times New Roman" w:cs="Times New Roman"/>
          <w:sz w:val="24"/>
          <w:szCs w:val="24"/>
        </w:rPr>
        <w:t>ych</w:t>
      </w:r>
      <w:r w:rsidRPr="00CA3255">
        <w:rPr>
          <w:rFonts w:ascii="Times New Roman" w:hAnsi="Times New Roman" w:cs="Times New Roman"/>
          <w:sz w:val="24"/>
          <w:szCs w:val="24"/>
        </w:rPr>
        <w:t xml:space="preserve"> wymagan</w:t>
      </w:r>
      <w:r>
        <w:rPr>
          <w:rFonts w:ascii="Times New Roman" w:hAnsi="Times New Roman" w:cs="Times New Roman"/>
          <w:sz w:val="24"/>
          <w:szCs w:val="24"/>
        </w:rPr>
        <w:t>ych</w:t>
      </w:r>
      <w:r w:rsidRPr="00CA3255">
        <w:rPr>
          <w:rFonts w:ascii="Times New Roman" w:hAnsi="Times New Roman" w:cs="Times New Roman"/>
          <w:sz w:val="24"/>
          <w:szCs w:val="24"/>
        </w:rPr>
        <w:t xml:space="preserve"> do prowadzenia działalności przez dostawcę usług w zakresie </w:t>
      </w:r>
      <w:proofErr w:type="spellStart"/>
      <w:r w:rsidRPr="00CA3255">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Doprecyzowanie kwestii w zakresie </w:t>
      </w:r>
      <w:r w:rsidRPr="00A41A9B">
        <w:rPr>
          <w:rFonts w:ascii="Times New Roman" w:hAnsi="Times New Roman" w:cs="Times New Roman"/>
          <w:sz w:val="24"/>
          <w:szCs w:val="24"/>
        </w:rPr>
        <w:t xml:space="preserve">promowania dostawcy usług w zakresie </w:t>
      </w:r>
      <w:proofErr w:type="spellStart"/>
      <w:r w:rsidRPr="00A41A9B">
        <w:rPr>
          <w:rFonts w:ascii="Times New Roman" w:hAnsi="Times New Roman" w:cs="Times New Roman"/>
          <w:sz w:val="24"/>
          <w:szCs w:val="24"/>
        </w:rPr>
        <w:t>kryptoaktywów</w:t>
      </w:r>
      <w:proofErr w:type="spellEnd"/>
      <w:r w:rsidRPr="00A41A9B">
        <w:rPr>
          <w:rFonts w:ascii="Times New Roman" w:hAnsi="Times New Roman" w:cs="Times New Roman"/>
          <w:sz w:val="24"/>
          <w:szCs w:val="24"/>
        </w:rPr>
        <w:t xml:space="preserve"> i świadczonych przez niego usług</w:t>
      </w:r>
      <w:r>
        <w:rPr>
          <w:rFonts w:ascii="Times New Roman" w:hAnsi="Times New Roman" w:cs="Times New Roman"/>
          <w:sz w:val="24"/>
          <w:szCs w:val="24"/>
        </w:rPr>
        <w:t xml:space="preserve"> </w:t>
      </w:r>
      <w:r w:rsidRPr="0037304D">
        <w:rPr>
          <w:rFonts w:ascii="Times New Roman" w:hAnsi="Times New Roman" w:cs="Times New Roman"/>
          <w:b/>
          <w:bCs/>
          <w:sz w:val="24"/>
          <w:szCs w:val="24"/>
        </w:rPr>
        <w:t>(pkt 1 lit</w:t>
      </w:r>
      <w:r>
        <w:rPr>
          <w:rFonts w:ascii="Times New Roman" w:hAnsi="Times New Roman" w:cs="Times New Roman"/>
          <w:b/>
          <w:bCs/>
          <w:sz w:val="24"/>
          <w:szCs w:val="24"/>
        </w:rPr>
        <w:t>.</w:t>
      </w:r>
      <w:r w:rsidRPr="0037304D">
        <w:rPr>
          <w:rFonts w:ascii="Times New Roman" w:hAnsi="Times New Roman" w:cs="Times New Roman"/>
          <w:b/>
          <w:bCs/>
          <w:sz w:val="24"/>
          <w:szCs w:val="24"/>
        </w:rPr>
        <w:t xml:space="preserve"> a),</w:t>
      </w:r>
      <w:r>
        <w:rPr>
          <w:rFonts w:ascii="Times New Roman" w:hAnsi="Times New Roman" w:cs="Times New Roman"/>
          <w:sz w:val="24"/>
          <w:szCs w:val="24"/>
        </w:rPr>
        <w:t xml:space="preserve"> jak również kontaktów tego dostawcy z klientami i potencjalnymi klientami </w:t>
      </w:r>
      <w:r w:rsidRPr="0037304D">
        <w:rPr>
          <w:rFonts w:ascii="Times New Roman" w:hAnsi="Times New Roman" w:cs="Times New Roman"/>
          <w:b/>
          <w:bCs/>
          <w:sz w:val="24"/>
          <w:szCs w:val="24"/>
        </w:rPr>
        <w:t>(pkt 1 lit</w:t>
      </w:r>
      <w:r>
        <w:rPr>
          <w:rFonts w:ascii="Times New Roman" w:hAnsi="Times New Roman" w:cs="Times New Roman"/>
          <w:b/>
          <w:bCs/>
          <w:sz w:val="24"/>
          <w:szCs w:val="24"/>
        </w:rPr>
        <w:t>.</w:t>
      </w:r>
      <w:r w:rsidRPr="0037304D">
        <w:rPr>
          <w:rFonts w:ascii="Times New Roman" w:hAnsi="Times New Roman" w:cs="Times New Roman"/>
          <w:b/>
          <w:bCs/>
          <w:sz w:val="24"/>
          <w:szCs w:val="24"/>
        </w:rPr>
        <w:t xml:space="preserve"> b)</w:t>
      </w:r>
      <w:r>
        <w:rPr>
          <w:rFonts w:ascii="Times New Roman" w:hAnsi="Times New Roman" w:cs="Times New Roman"/>
          <w:sz w:val="24"/>
          <w:szCs w:val="24"/>
        </w:rPr>
        <w:t xml:space="preserve"> wynika z jednego z celów rozporządzenia 2023/1114, jakim jest zapewnienie ochrony klientów rynku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Mając na względzie charakter tego rynku, w szczególności fakt, że promowanie usług, jak i samego dostawcy, jak również kontakty z klientami lub potencjalnymi klientami odbywają się w znacznej mierze w przestrzeni internetowej, w tym poprzez media społecznościowe, pozostawienie swobody doregulowania tych kwestii na poziomie aktu wykonawczego jest kwestią zasadniczą w zapewnieniu ochrony klientów tego rynku. Delegacja przewidziana </w:t>
      </w:r>
      <w:r w:rsidRPr="00536DE1">
        <w:rPr>
          <w:rFonts w:ascii="Times New Roman" w:hAnsi="Times New Roman" w:cs="Times New Roman"/>
          <w:b/>
          <w:bCs/>
          <w:sz w:val="24"/>
          <w:szCs w:val="24"/>
        </w:rPr>
        <w:t xml:space="preserve">w </w:t>
      </w:r>
      <w:r>
        <w:rPr>
          <w:rFonts w:ascii="Times New Roman" w:hAnsi="Times New Roman" w:cs="Times New Roman"/>
          <w:b/>
          <w:bCs/>
          <w:sz w:val="24"/>
          <w:szCs w:val="24"/>
        </w:rPr>
        <w:t xml:space="preserve">pkt 1 w </w:t>
      </w:r>
      <w:r w:rsidRPr="00536DE1">
        <w:rPr>
          <w:rFonts w:ascii="Times New Roman" w:hAnsi="Times New Roman" w:cs="Times New Roman"/>
          <w:b/>
          <w:bCs/>
          <w:sz w:val="24"/>
          <w:szCs w:val="24"/>
        </w:rPr>
        <w:t>lit. c</w:t>
      </w:r>
      <w:r>
        <w:rPr>
          <w:rFonts w:ascii="Times New Roman" w:hAnsi="Times New Roman" w:cs="Times New Roman"/>
          <w:sz w:val="24"/>
          <w:szCs w:val="24"/>
        </w:rPr>
        <w:t xml:space="preserve"> dotycząca trybu i warunków postępowania dostawców 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 zakresie zawierania transakcji służy doprecyzowaniu na poziomie rozporządzenia różnych istotnych z punktu widzenia realizacji zlecenia </w:t>
      </w:r>
      <w:r w:rsidRPr="00646295">
        <w:rPr>
          <w:rFonts w:ascii="Times New Roman" w:hAnsi="Times New Roman" w:cs="Times New Roman"/>
          <w:sz w:val="24"/>
          <w:szCs w:val="24"/>
        </w:rPr>
        <w:t>aspektów</w:t>
      </w:r>
      <w:r>
        <w:rPr>
          <w:rFonts w:ascii="Times New Roman" w:hAnsi="Times New Roman" w:cs="Times New Roman"/>
          <w:sz w:val="24"/>
          <w:szCs w:val="24"/>
        </w:rPr>
        <w:t xml:space="preserve"> zawierania przez dostawcę (również w imieniu klienta) transakcji. Delegacja ta jest związana z art. 10 projektu ustawy dotyczącym </w:t>
      </w:r>
      <w:r w:rsidRPr="00683023">
        <w:rPr>
          <w:rFonts w:ascii="Times New Roman" w:hAnsi="Times New Roman" w:cs="Times New Roman"/>
          <w:sz w:val="24"/>
          <w:szCs w:val="24"/>
        </w:rPr>
        <w:t xml:space="preserve">przyjmowania i przekazywania zleceń związanych z </w:t>
      </w:r>
      <w:proofErr w:type="spellStart"/>
      <w:r w:rsidRPr="00683023">
        <w:rPr>
          <w:rFonts w:ascii="Times New Roman" w:hAnsi="Times New Roman" w:cs="Times New Roman"/>
          <w:sz w:val="24"/>
          <w:szCs w:val="24"/>
        </w:rPr>
        <w:t>kryptoaktywami</w:t>
      </w:r>
      <w:proofErr w:type="spellEnd"/>
      <w:r>
        <w:rPr>
          <w:rFonts w:ascii="Times New Roman" w:hAnsi="Times New Roman" w:cs="Times New Roman"/>
          <w:sz w:val="24"/>
          <w:szCs w:val="24"/>
        </w:rPr>
        <w:t xml:space="preserve">. Istotnym elementem dotyczącym zawierania transakcji jest również </w:t>
      </w:r>
      <w:r w:rsidRPr="005D6B17">
        <w:rPr>
          <w:rFonts w:ascii="Times New Roman" w:hAnsi="Times New Roman" w:cs="Times New Roman"/>
          <w:sz w:val="24"/>
          <w:szCs w:val="24"/>
        </w:rPr>
        <w:t>ustanawianie zabezpieczenia transakcji,</w:t>
      </w:r>
      <w:r>
        <w:rPr>
          <w:rFonts w:ascii="Times New Roman" w:hAnsi="Times New Roman" w:cs="Times New Roman"/>
          <w:sz w:val="24"/>
          <w:szCs w:val="24"/>
        </w:rPr>
        <w:t xml:space="preserve"> tj. szczegółowe uregulowanie sposobu postępowania w przypadku wykonania zobowiązań klienta z tytułu wykonanej transakcji. Delegacja przewidziana w </w:t>
      </w:r>
      <w:r w:rsidRPr="005C64D6">
        <w:rPr>
          <w:rFonts w:ascii="Times New Roman" w:hAnsi="Times New Roman" w:cs="Times New Roman"/>
          <w:b/>
          <w:bCs/>
          <w:sz w:val="24"/>
          <w:szCs w:val="24"/>
        </w:rPr>
        <w:t>pkt 1 lit d</w:t>
      </w:r>
      <w:r>
        <w:rPr>
          <w:rFonts w:ascii="Times New Roman" w:hAnsi="Times New Roman" w:cs="Times New Roman"/>
          <w:sz w:val="24"/>
          <w:szCs w:val="24"/>
        </w:rPr>
        <w:t xml:space="preserve"> dotyczy </w:t>
      </w:r>
      <w:r w:rsidRPr="005C64D6">
        <w:rPr>
          <w:rFonts w:ascii="Times New Roman" w:hAnsi="Times New Roman" w:cs="Times New Roman"/>
          <w:sz w:val="24"/>
          <w:szCs w:val="24"/>
        </w:rPr>
        <w:t>świadczenia usług, w tym minimalnych wymagań, jakie spełniać powinien</w:t>
      </w:r>
      <w:r w:rsidR="00695ECE">
        <w:rPr>
          <w:rFonts w:ascii="Times New Roman" w:hAnsi="Times New Roman" w:cs="Times New Roman"/>
          <w:sz w:val="24"/>
          <w:szCs w:val="24"/>
        </w:rPr>
        <w:t xml:space="preserve"> </w:t>
      </w:r>
      <w:r w:rsidRPr="005C64D6">
        <w:rPr>
          <w:rFonts w:ascii="Times New Roman" w:hAnsi="Times New Roman" w:cs="Times New Roman"/>
          <w:sz w:val="24"/>
          <w:szCs w:val="24"/>
        </w:rPr>
        <w:t xml:space="preserve">regulamin, o którym mowa w art. 5 ust. </w:t>
      </w:r>
      <w:r>
        <w:rPr>
          <w:rFonts w:ascii="Times New Roman" w:hAnsi="Times New Roman" w:cs="Times New Roman"/>
          <w:sz w:val="24"/>
          <w:szCs w:val="24"/>
        </w:rPr>
        <w:t xml:space="preserve">1 ustawy. W zakresie </w:t>
      </w:r>
      <w:r w:rsidRPr="00A22847">
        <w:rPr>
          <w:rFonts w:ascii="Times New Roman" w:hAnsi="Times New Roman" w:cs="Times New Roman"/>
          <w:bCs/>
          <w:sz w:val="24"/>
          <w:szCs w:val="24"/>
        </w:rPr>
        <w:t xml:space="preserve">dokonywania rozrachunku transakcji na </w:t>
      </w:r>
      <w:proofErr w:type="spellStart"/>
      <w:r w:rsidRPr="00A22847">
        <w:rPr>
          <w:rFonts w:ascii="Times New Roman" w:hAnsi="Times New Roman" w:cs="Times New Roman"/>
          <w:bCs/>
          <w:sz w:val="24"/>
          <w:szCs w:val="24"/>
        </w:rPr>
        <w:t>kryptoaktywach</w:t>
      </w:r>
      <w:proofErr w:type="spellEnd"/>
      <w:r>
        <w:rPr>
          <w:rFonts w:ascii="Times New Roman" w:hAnsi="Times New Roman" w:cs="Times New Roman"/>
          <w:bCs/>
          <w:sz w:val="24"/>
          <w:szCs w:val="24"/>
        </w:rPr>
        <w:t xml:space="preserve"> </w:t>
      </w:r>
      <w:r w:rsidRPr="00A11E28">
        <w:rPr>
          <w:rFonts w:ascii="Times New Roman" w:hAnsi="Times New Roman" w:cs="Times New Roman"/>
          <w:bCs/>
          <w:sz w:val="24"/>
          <w:szCs w:val="24"/>
        </w:rPr>
        <w:t>(</w:t>
      </w:r>
      <w:r w:rsidRPr="00A11E28">
        <w:rPr>
          <w:rFonts w:ascii="Times New Roman" w:hAnsi="Times New Roman" w:cs="Times New Roman"/>
          <w:b/>
          <w:bCs/>
          <w:sz w:val="24"/>
          <w:szCs w:val="24"/>
        </w:rPr>
        <w:t>pkt</w:t>
      </w:r>
      <w:r>
        <w:rPr>
          <w:rFonts w:ascii="Times New Roman" w:hAnsi="Times New Roman" w:cs="Times New Roman"/>
          <w:b/>
          <w:bCs/>
          <w:sz w:val="24"/>
          <w:szCs w:val="24"/>
        </w:rPr>
        <w:t> </w:t>
      </w:r>
      <w:r w:rsidRPr="00A11E28">
        <w:rPr>
          <w:rFonts w:ascii="Times New Roman" w:hAnsi="Times New Roman" w:cs="Times New Roman"/>
          <w:b/>
          <w:bCs/>
          <w:sz w:val="24"/>
          <w:szCs w:val="24"/>
        </w:rPr>
        <w:t xml:space="preserve">1 lit </w:t>
      </w:r>
      <w:r>
        <w:rPr>
          <w:rFonts w:ascii="Times New Roman" w:hAnsi="Times New Roman" w:cs="Times New Roman"/>
          <w:b/>
          <w:bCs/>
          <w:sz w:val="24"/>
          <w:szCs w:val="24"/>
        </w:rPr>
        <w:t>e</w:t>
      </w:r>
      <w:r w:rsidRPr="00A11E28">
        <w:rPr>
          <w:rFonts w:ascii="Times New Roman" w:hAnsi="Times New Roman" w:cs="Times New Roman"/>
          <w:bCs/>
          <w:sz w:val="24"/>
          <w:szCs w:val="24"/>
        </w:rPr>
        <w:t>)</w:t>
      </w:r>
      <w:r w:rsidRPr="0037304D">
        <w:rPr>
          <w:rFonts w:ascii="Times New Roman" w:hAnsi="Times New Roman" w:cs="Times New Roman"/>
          <w:b/>
          <w:bCs/>
          <w:sz w:val="24"/>
          <w:szCs w:val="24"/>
        </w:rPr>
        <w:t>,</w:t>
      </w:r>
      <w:r>
        <w:rPr>
          <w:rFonts w:ascii="Times New Roman" w:hAnsi="Times New Roman" w:cs="Times New Roman"/>
          <w:sz w:val="24"/>
          <w:szCs w:val="24"/>
        </w:rPr>
        <w:t xml:space="preserve"> może być konieczne określenie kilku praktycznych aspektów. </w:t>
      </w:r>
      <w:r w:rsidRPr="005827D6">
        <w:rPr>
          <w:rFonts w:ascii="Times New Roman" w:hAnsi="Times New Roman" w:cs="Times New Roman"/>
          <w:sz w:val="24"/>
          <w:szCs w:val="24"/>
        </w:rPr>
        <w:t>W art. 67 rozporządzenia</w:t>
      </w:r>
      <w:r>
        <w:rPr>
          <w:rFonts w:ascii="Times New Roman" w:hAnsi="Times New Roman" w:cs="Times New Roman"/>
          <w:sz w:val="24"/>
          <w:szCs w:val="24"/>
        </w:rPr>
        <w:t xml:space="preserve"> </w:t>
      </w:r>
      <w:r w:rsidRPr="005827D6">
        <w:rPr>
          <w:rFonts w:ascii="Times New Roman" w:hAnsi="Times New Roman" w:cs="Times New Roman"/>
          <w:sz w:val="24"/>
          <w:szCs w:val="24"/>
        </w:rPr>
        <w:t xml:space="preserve">2023/1114 są określone </w:t>
      </w:r>
      <w:r>
        <w:rPr>
          <w:rFonts w:ascii="Times New Roman" w:hAnsi="Times New Roman" w:cs="Times New Roman"/>
          <w:sz w:val="24"/>
          <w:szCs w:val="24"/>
        </w:rPr>
        <w:t xml:space="preserve">bowiem ogólne </w:t>
      </w:r>
      <w:r w:rsidRPr="005827D6">
        <w:rPr>
          <w:rFonts w:ascii="Times New Roman" w:hAnsi="Times New Roman" w:cs="Times New Roman"/>
          <w:sz w:val="24"/>
          <w:szCs w:val="24"/>
        </w:rPr>
        <w:t>wymogi ostrożnościowe, w tym również dotyczące zabezpieczeń, które dostawc</w:t>
      </w:r>
      <w:r>
        <w:rPr>
          <w:rFonts w:ascii="Times New Roman" w:hAnsi="Times New Roman" w:cs="Times New Roman"/>
          <w:sz w:val="24"/>
          <w:szCs w:val="24"/>
        </w:rPr>
        <w:t>y</w:t>
      </w:r>
      <w:r w:rsidRPr="005827D6">
        <w:rPr>
          <w:rFonts w:ascii="Times New Roman" w:hAnsi="Times New Roman" w:cs="Times New Roman"/>
          <w:sz w:val="24"/>
          <w:szCs w:val="24"/>
        </w:rPr>
        <w:t xml:space="preserve"> usług w zakresie </w:t>
      </w:r>
      <w:proofErr w:type="spellStart"/>
      <w:r w:rsidRPr="005827D6">
        <w:rPr>
          <w:rFonts w:ascii="Times New Roman" w:hAnsi="Times New Roman" w:cs="Times New Roman"/>
          <w:sz w:val="24"/>
          <w:szCs w:val="24"/>
        </w:rPr>
        <w:t>kryptoaktywów</w:t>
      </w:r>
      <w:proofErr w:type="spellEnd"/>
      <w:r w:rsidRPr="005827D6">
        <w:rPr>
          <w:rFonts w:ascii="Times New Roman" w:hAnsi="Times New Roman" w:cs="Times New Roman"/>
          <w:sz w:val="24"/>
          <w:szCs w:val="24"/>
        </w:rPr>
        <w:t xml:space="preserve"> musz</w:t>
      </w:r>
      <w:r>
        <w:rPr>
          <w:rFonts w:ascii="Times New Roman" w:hAnsi="Times New Roman" w:cs="Times New Roman"/>
          <w:sz w:val="24"/>
          <w:szCs w:val="24"/>
        </w:rPr>
        <w:t>ą</w:t>
      </w:r>
      <w:r w:rsidRPr="005827D6">
        <w:rPr>
          <w:rFonts w:ascii="Times New Roman" w:hAnsi="Times New Roman" w:cs="Times New Roman"/>
          <w:sz w:val="24"/>
          <w:szCs w:val="24"/>
        </w:rPr>
        <w:t xml:space="preserve"> cały czas spełniać podczas prowadzonej działalności. </w:t>
      </w:r>
      <w:r>
        <w:rPr>
          <w:rFonts w:ascii="Times New Roman" w:hAnsi="Times New Roman" w:cs="Times New Roman"/>
          <w:sz w:val="24"/>
          <w:szCs w:val="24"/>
        </w:rPr>
        <w:t xml:space="preserve">Rozporządzenie </w:t>
      </w:r>
      <w:proofErr w:type="spellStart"/>
      <w:r>
        <w:rPr>
          <w:rFonts w:ascii="Times New Roman" w:hAnsi="Times New Roman" w:cs="Times New Roman"/>
          <w:sz w:val="24"/>
          <w:szCs w:val="24"/>
        </w:rPr>
        <w:t>MiCA</w:t>
      </w:r>
      <w:proofErr w:type="spellEnd"/>
      <w:r>
        <w:rPr>
          <w:rFonts w:ascii="Times New Roman" w:hAnsi="Times New Roman" w:cs="Times New Roman"/>
          <w:sz w:val="24"/>
          <w:szCs w:val="24"/>
        </w:rPr>
        <w:t xml:space="preserve"> w motywie 61 wskazuje ponadto, że</w:t>
      </w:r>
      <w:r w:rsidRPr="0037304D">
        <w:rPr>
          <w:rFonts w:ascii="Times New Roman" w:hAnsi="Times New Roman" w:cs="Times New Roman"/>
          <w:sz w:val="24"/>
          <w:szCs w:val="24"/>
        </w:rPr>
        <w:t xml:space="preserve"> </w:t>
      </w:r>
      <w:r>
        <w:rPr>
          <w:rFonts w:ascii="Times New Roman" w:hAnsi="Times New Roman" w:cs="Times New Roman"/>
          <w:sz w:val="24"/>
          <w:szCs w:val="24"/>
        </w:rPr>
        <w:t>d</w:t>
      </w:r>
      <w:r w:rsidRPr="0037304D">
        <w:rPr>
          <w:rFonts w:ascii="Times New Roman" w:hAnsi="Times New Roman" w:cs="Times New Roman"/>
          <w:sz w:val="24"/>
          <w:szCs w:val="24"/>
        </w:rPr>
        <w:t xml:space="preserve">ostawcy usług w zakresie </w:t>
      </w:r>
      <w:proofErr w:type="spellStart"/>
      <w:r w:rsidRPr="0037304D">
        <w:rPr>
          <w:rFonts w:ascii="Times New Roman" w:hAnsi="Times New Roman" w:cs="Times New Roman"/>
          <w:sz w:val="24"/>
          <w:szCs w:val="24"/>
        </w:rPr>
        <w:t>kryptoaktywów</w:t>
      </w:r>
      <w:proofErr w:type="spellEnd"/>
      <w:r w:rsidRPr="0037304D">
        <w:rPr>
          <w:rFonts w:ascii="Times New Roman" w:hAnsi="Times New Roman" w:cs="Times New Roman"/>
          <w:sz w:val="24"/>
          <w:szCs w:val="24"/>
        </w:rPr>
        <w:t xml:space="preserve"> prowadzący platformę obrotu </w:t>
      </w:r>
      <w:proofErr w:type="spellStart"/>
      <w:r w:rsidRPr="0037304D">
        <w:rPr>
          <w:rFonts w:ascii="Times New Roman" w:hAnsi="Times New Roman" w:cs="Times New Roman"/>
          <w:sz w:val="24"/>
          <w:szCs w:val="24"/>
        </w:rPr>
        <w:t>kryptoaktywami</w:t>
      </w:r>
      <w:proofErr w:type="spellEnd"/>
      <w:r w:rsidRPr="0037304D">
        <w:rPr>
          <w:rFonts w:ascii="Times New Roman" w:hAnsi="Times New Roman" w:cs="Times New Roman"/>
          <w:sz w:val="24"/>
          <w:szCs w:val="24"/>
        </w:rPr>
        <w:t xml:space="preserve"> powinni zapewniać terminowy rozrachunek</w:t>
      </w:r>
      <w:r>
        <w:rPr>
          <w:rFonts w:ascii="Times New Roman" w:hAnsi="Times New Roman" w:cs="Times New Roman"/>
          <w:sz w:val="24"/>
          <w:szCs w:val="24"/>
        </w:rPr>
        <w:t xml:space="preserve">, który </w:t>
      </w:r>
      <w:r w:rsidRPr="0037304D">
        <w:rPr>
          <w:rFonts w:ascii="Times New Roman" w:hAnsi="Times New Roman" w:cs="Times New Roman"/>
          <w:sz w:val="24"/>
          <w:szCs w:val="24"/>
        </w:rPr>
        <w:t xml:space="preserve">powinien być inicjowany w ciągu 24 godzin od realizacji transakcji na platformie obrotu. </w:t>
      </w:r>
      <w:r>
        <w:rPr>
          <w:rFonts w:ascii="Times New Roman" w:hAnsi="Times New Roman" w:cs="Times New Roman"/>
          <w:sz w:val="24"/>
          <w:szCs w:val="24"/>
        </w:rPr>
        <w:t xml:space="preserve">Delegacja przewidziana w </w:t>
      </w:r>
      <w:r w:rsidRPr="00536DE1">
        <w:rPr>
          <w:rFonts w:ascii="Times New Roman" w:hAnsi="Times New Roman" w:cs="Times New Roman"/>
          <w:b/>
          <w:bCs/>
          <w:sz w:val="24"/>
          <w:szCs w:val="24"/>
        </w:rPr>
        <w:t>punkc</w:t>
      </w:r>
      <w:r>
        <w:rPr>
          <w:rFonts w:ascii="Times New Roman" w:hAnsi="Times New Roman" w:cs="Times New Roman"/>
          <w:b/>
          <w:bCs/>
          <w:sz w:val="24"/>
          <w:szCs w:val="24"/>
        </w:rPr>
        <w:t>i</w:t>
      </w:r>
      <w:r w:rsidRPr="00952D18">
        <w:rPr>
          <w:rFonts w:ascii="Times New Roman" w:hAnsi="Times New Roman" w:cs="Times New Roman"/>
          <w:b/>
          <w:bCs/>
          <w:sz w:val="24"/>
          <w:szCs w:val="24"/>
        </w:rPr>
        <w:t>e 2</w:t>
      </w:r>
      <w:r>
        <w:rPr>
          <w:rFonts w:ascii="Times New Roman" w:hAnsi="Times New Roman" w:cs="Times New Roman"/>
          <w:sz w:val="24"/>
          <w:szCs w:val="24"/>
        </w:rPr>
        <w:t xml:space="preserve"> dotyczy szczegółowych warunków</w:t>
      </w:r>
      <w:r w:rsidRPr="00536DE1">
        <w:rPr>
          <w:rFonts w:ascii="Times New Roman" w:hAnsi="Times New Roman" w:cs="Times New Roman"/>
          <w:sz w:val="24"/>
          <w:szCs w:val="24"/>
        </w:rPr>
        <w:t xml:space="preserve"> </w:t>
      </w:r>
      <w:r w:rsidRPr="001D0DF8">
        <w:rPr>
          <w:rFonts w:ascii="Times New Roman" w:hAnsi="Times New Roman" w:cs="Times New Roman"/>
          <w:sz w:val="24"/>
          <w:szCs w:val="24"/>
        </w:rPr>
        <w:t>techniczn</w:t>
      </w:r>
      <w:r>
        <w:rPr>
          <w:rFonts w:ascii="Times New Roman" w:hAnsi="Times New Roman" w:cs="Times New Roman"/>
          <w:sz w:val="24"/>
          <w:szCs w:val="24"/>
        </w:rPr>
        <w:t>ych</w:t>
      </w:r>
      <w:r w:rsidRPr="001D0DF8">
        <w:rPr>
          <w:rFonts w:ascii="Times New Roman" w:hAnsi="Times New Roman" w:cs="Times New Roman"/>
          <w:sz w:val="24"/>
          <w:szCs w:val="24"/>
        </w:rPr>
        <w:t xml:space="preserve"> i organizacyjn</w:t>
      </w:r>
      <w:r>
        <w:rPr>
          <w:rFonts w:ascii="Times New Roman" w:hAnsi="Times New Roman" w:cs="Times New Roman"/>
          <w:sz w:val="24"/>
          <w:szCs w:val="24"/>
        </w:rPr>
        <w:t>ych</w:t>
      </w:r>
      <w:r w:rsidRPr="001D0DF8">
        <w:rPr>
          <w:rFonts w:ascii="Times New Roman" w:hAnsi="Times New Roman" w:cs="Times New Roman"/>
          <w:sz w:val="24"/>
          <w:szCs w:val="24"/>
        </w:rPr>
        <w:t xml:space="preserve"> wymagan</w:t>
      </w:r>
      <w:r>
        <w:rPr>
          <w:rFonts w:ascii="Times New Roman" w:hAnsi="Times New Roman" w:cs="Times New Roman"/>
          <w:sz w:val="24"/>
          <w:szCs w:val="24"/>
        </w:rPr>
        <w:t>ych</w:t>
      </w:r>
      <w:r w:rsidRPr="001D0DF8">
        <w:rPr>
          <w:rFonts w:ascii="Times New Roman" w:hAnsi="Times New Roman" w:cs="Times New Roman"/>
          <w:sz w:val="24"/>
          <w:szCs w:val="24"/>
        </w:rPr>
        <w:t xml:space="preserve"> do prowadzenia działalności przez dostawcę usług w zakresie </w:t>
      </w:r>
      <w:proofErr w:type="spellStart"/>
      <w:r w:rsidRPr="001D0DF8">
        <w:rPr>
          <w:rFonts w:ascii="Times New Roman" w:hAnsi="Times New Roman" w:cs="Times New Roman"/>
          <w:sz w:val="24"/>
          <w:szCs w:val="24"/>
        </w:rPr>
        <w:t>kryptoaktywów</w:t>
      </w:r>
      <w:proofErr w:type="spellEnd"/>
      <w:r w:rsidRPr="008D5680">
        <w:rPr>
          <w:rFonts w:ascii="Times New Roman" w:hAnsi="Times New Roman" w:cs="Times New Roman"/>
          <w:sz w:val="24"/>
          <w:szCs w:val="24"/>
        </w:rPr>
        <w:t>.</w:t>
      </w:r>
      <w:r>
        <w:rPr>
          <w:rFonts w:ascii="Times New Roman" w:hAnsi="Times New Roman" w:cs="Times New Roman"/>
          <w:sz w:val="24"/>
          <w:szCs w:val="24"/>
        </w:rPr>
        <w:t xml:space="preserve"> </w:t>
      </w:r>
      <w:r w:rsidRPr="00536DE1">
        <w:rPr>
          <w:rFonts w:ascii="Times New Roman" w:hAnsi="Times New Roman" w:cs="Times New Roman"/>
          <w:sz w:val="24"/>
          <w:szCs w:val="24"/>
        </w:rPr>
        <w:t xml:space="preserve">Wydanie aktu wykonawczego w zakresie </w:t>
      </w:r>
      <w:r w:rsidRPr="00536DE1">
        <w:rPr>
          <w:rFonts w:ascii="Times New Roman" w:hAnsi="Times New Roman" w:cs="Times New Roman"/>
          <w:bCs/>
          <w:sz w:val="24"/>
          <w:szCs w:val="24"/>
        </w:rPr>
        <w:t xml:space="preserve">przechowywania, rejestrowania i zabezpieczania </w:t>
      </w:r>
      <w:proofErr w:type="spellStart"/>
      <w:r w:rsidRPr="00536DE1">
        <w:rPr>
          <w:rFonts w:ascii="Times New Roman" w:hAnsi="Times New Roman" w:cs="Times New Roman"/>
          <w:bCs/>
          <w:sz w:val="24"/>
          <w:szCs w:val="24"/>
        </w:rPr>
        <w:t>kryptoaktywów</w:t>
      </w:r>
      <w:proofErr w:type="spellEnd"/>
      <w:r w:rsidRPr="00536DE1">
        <w:rPr>
          <w:rFonts w:ascii="Times New Roman" w:hAnsi="Times New Roman" w:cs="Times New Roman"/>
          <w:bCs/>
          <w:sz w:val="24"/>
          <w:szCs w:val="24"/>
        </w:rPr>
        <w:t xml:space="preserve"> oraz środków pieniężnych klientów </w:t>
      </w:r>
      <w:r w:rsidRPr="00536DE1">
        <w:rPr>
          <w:rFonts w:ascii="Times New Roman" w:hAnsi="Times New Roman" w:cs="Times New Roman"/>
          <w:b/>
          <w:sz w:val="24"/>
          <w:szCs w:val="24"/>
        </w:rPr>
        <w:t>(pkt 2 lit. a),</w:t>
      </w:r>
      <w:r w:rsidRPr="00536DE1">
        <w:rPr>
          <w:rFonts w:ascii="Times New Roman" w:hAnsi="Times New Roman" w:cs="Times New Roman"/>
          <w:bCs/>
          <w:sz w:val="24"/>
          <w:szCs w:val="24"/>
        </w:rPr>
        <w:t xml:space="preserve"> jak również wyodrębniania </w:t>
      </w:r>
      <w:proofErr w:type="spellStart"/>
      <w:r w:rsidRPr="00536DE1">
        <w:rPr>
          <w:rFonts w:ascii="Times New Roman" w:hAnsi="Times New Roman" w:cs="Times New Roman"/>
          <w:bCs/>
          <w:sz w:val="24"/>
          <w:szCs w:val="24"/>
        </w:rPr>
        <w:t>kryptoaktywów</w:t>
      </w:r>
      <w:proofErr w:type="spellEnd"/>
      <w:r w:rsidRPr="00536DE1">
        <w:rPr>
          <w:rFonts w:ascii="Times New Roman" w:hAnsi="Times New Roman" w:cs="Times New Roman"/>
          <w:bCs/>
          <w:sz w:val="24"/>
          <w:szCs w:val="24"/>
        </w:rPr>
        <w:t xml:space="preserve"> i środków pieniężnych klienta </w:t>
      </w:r>
      <w:r w:rsidRPr="00536DE1">
        <w:rPr>
          <w:rFonts w:ascii="Times New Roman" w:hAnsi="Times New Roman" w:cs="Times New Roman"/>
          <w:b/>
          <w:sz w:val="24"/>
          <w:szCs w:val="24"/>
        </w:rPr>
        <w:t>(pkt 2 lit. b),</w:t>
      </w:r>
      <w:r w:rsidRPr="00536DE1">
        <w:rPr>
          <w:rFonts w:ascii="Times New Roman" w:hAnsi="Times New Roman" w:cs="Times New Roman"/>
          <w:bCs/>
          <w:sz w:val="24"/>
          <w:szCs w:val="24"/>
        </w:rPr>
        <w:t xml:space="preserve"> może być niezbędne z uwagi na doszczegółowienie kwestii uregulowanych w art. 70 rozporządzenia 2023/1114 odnoszących się do sprawowania pieczy nad </w:t>
      </w:r>
      <w:proofErr w:type="spellStart"/>
      <w:r w:rsidRPr="00536DE1">
        <w:rPr>
          <w:rFonts w:ascii="Times New Roman" w:hAnsi="Times New Roman" w:cs="Times New Roman"/>
          <w:bCs/>
          <w:sz w:val="24"/>
          <w:szCs w:val="24"/>
        </w:rPr>
        <w:t>kryptoaktywami</w:t>
      </w:r>
      <w:proofErr w:type="spellEnd"/>
      <w:r w:rsidRPr="00536DE1">
        <w:rPr>
          <w:rFonts w:ascii="Times New Roman" w:hAnsi="Times New Roman" w:cs="Times New Roman"/>
          <w:bCs/>
          <w:sz w:val="24"/>
          <w:szCs w:val="24"/>
        </w:rPr>
        <w:t xml:space="preserve"> i środkami pieniężnymi klientów, a także art. 75 tego rozporządzenia odnoszącego się do zapewniania przechowywania </w:t>
      </w:r>
      <w:proofErr w:type="spellStart"/>
      <w:r w:rsidRPr="00536DE1">
        <w:rPr>
          <w:rFonts w:ascii="Times New Roman" w:hAnsi="Times New Roman" w:cs="Times New Roman"/>
          <w:bCs/>
          <w:sz w:val="24"/>
          <w:szCs w:val="24"/>
        </w:rPr>
        <w:t>kryptoaktywów</w:t>
      </w:r>
      <w:proofErr w:type="spellEnd"/>
      <w:r w:rsidRPr="00536DE1">
        <w:rPr>
          <w:rFonts w:ascii="Times New Roman" w:hAnsi="Times New Roman" w:cs="Times New Roman"/>
          <w:bCs/>
          <w:sz w:val="24"/>
          <w:szCs w:val="24"/>
        </w:rPr>
        <w:t xml:space="preserve"> i administrowania nimi w imieniu klientów. Aby zapewnić właściwe stosowanie art. 75 może okazać się potrzebne również wydanie aktu wykonawczego w zakresie rejestrowania zawieranych transakcji oraz przechowywania i archiwizacji dokumentów i innych nośników informacji sporządzanych w związku z prowadzeniem działalności (</w:t>
      </w:r>
      <w:r w:rsidRPr="00536DE1">
        <w:rPr>
          <w:rFonts w:ascii="Times New Roman" w:hAnsi="Times New Roman" w:cs="Times New Roman"/>
          <w:b/>
          <w:sz w:val="24"/>
          <w:szCs w:val="24"/>
        </w:rPr>
        <w:t>pkt 2 lit. c</w:t>
      </w:r>
      <w:r>
        <w:rPr>
          <w:rFonts w:ascii="Times New Roman" w:hAnsi="Times New Roman" w:cs="Times New Roman"/>
          <w:b/>
          <w:sz w:val="24"/>
          <w:szCs w:val="24"/>
        </w:rPr>
        <w:t xml:space="preserve"> i d</w:t>
      </w:r>
      <w:r w:rsidRPr="00536DE1">
        <w:rPr>
          <w:rFonts w:ascii="Times New Roman" w:hAnsi="Times New Roman" w:cs="Times New Roman"/>
          <w:bCs/>
          <w:sz w:val="24"/>
          <w:szCs w:val="24"/>
        </w:rPr>
        <w:t>). Ponadto przedmiotowa delegacja ustawowa wskazuje, że minister właściwy do spraw instytucji finansowych</w:t>
      </w:r>
      <w:r>
        <w:rPr>
          <w:rFonts w:ascii="Times New Roman" w:hAnsi="Times New Roman" w:cs="Times New Roman"/>
          <w:bCs/>
          <w:sz w:val="24"/>
          <w:szCs w:val="24"/>
        </w:rPr>
        <w:t>,</w:t>
      </w:r>
      <w:r w:rsidRPr="00536DE1">
        <w:rPr>
          <w:rFonts w:ascii="Times New Roman" w:hAnsi="Times New Roman" w:cs="Times New Roman"/>
          <w:bCs/>
          <w:sz w:val="24"/>
          <w:szCs w:val="24"/>
        </w:rPr>
        <w:t xml:space="preserve"> wyda</w:t>
      </w:r>
      <w:r>
        <w:rPr>
          <w:rFonts w:ascii="Times New Roman" w:hAnsi="Times New Roman" w:cs="Times New Roman"/>
          <w:bCs/>
          <w:sz w:val="24"/>
          <w:szCs w:val="24"/>
        </w:rPr>
        <w:t>jąc</w:t>
      </w:r>
      <w:r w:rsidRPr="00952D18">
        <w:rPr>
          <w:rFonts w:ascii="Times New Roman" w:hAnsi="Times New Roman" w:cs="Times New Roman"/>
          <w:bCs/>
          <w:sz w:val="24"/>
          <w:szCs w:val="24"/>
        </w:rPr>
        <w:t xml:space="preserve"> akt wykonawcz</w:t>
      </w:r>
      <w:r>
        <w:rPr>
          <w:rFonts w:ascii="Times New Roman" w:hAnsi="Times New Roman" w:cs="Times New Roman"/>
          <w:bCs/>
          <w:sz w:val="24"/>
          <w:szCs w:val="24"/>
        </w:rPr>
        <w:t>y</w:t>
      </w:r>
      <w:r w:rsidRPr="00952D18">
        <w:rPr>
          <w:rFonts w:ascii="Times New Roman" w:hAnsi="Times New Roman" w:cs="Times New Roman"/>
          <w:bCs/>
          <w:sz w:val="24"/>
          <w:szCs w:val="24"/>
        </w:rPr>
        <w:t xml:space="preserve"> uwzględni tak kluczowe kwestie, jak </w:t>
      </w:r>
      <w:r>
        <w:rPr>
          <w:rFonts w:ascii="Times New Roman" w:hAnsi="Times New Roman" w:cs="Times New Roman"/>
          <w:bCs/>
          <w:sz w:val="24"/>
          <w:szCs w:val="24"/>
        </w:rPr>
        <w:t xml:space="preserve">konieczność </w:t>
      </w:r>
      <w:r w:rsidRPr="00536DE1">
        <w:rPr>
          <w:rFonts w:ascii="Times New Roman" w:hAnsi="Times New Roman" w:cs="Times New Roman"/>
          <w:bCs/>
          <w:sz w:val="24"/>
          <w:szCs w:val="24"/>
        </w:rPr>
        <w:t>zapewnieni</w:t>
      </w:r>
      <w:r>
        <w:rPr>
          <w:rFonts w:ascii="Times New Roman" w:hAnsi="Times New Roman" w:cs="Times New Roman"/>
          <w:bCs/>
          <w:sz w:val="24"/>
          <w:szCs w:val="24"/>
        </w:rPr>
        <w:t>a</w:t>
      </w:r>
      <w:r w:rsidRPr="00952D18">
        <w:rPr>
          <w:rFonts w:ascii="Times New Roman" w:hAnsi="Times New Roman" w:cs="Times New Roman"/>
          <w:bCs/>
          <w:sz w:val="24"/>
          <w:szCs w:val="24"/>
        </w:rPr>
        <w:t xml:space="preserve"> profesjonalnego, rzetelnego, bezpiecznego i sprawnego prowadzenia działalności przez dostawców usług w zakresie </w:t>
      </w:r>
      <w:proofErr w:type="spellStart"/>
      <w:r w:rsidRPr="00952D18">
        <w:rPr>
          <w:rFonts w:ascii="Times New Roman" w:hAnsi="Times New Roman" w:cs="Times New Roman"/>
          <w:bCs/>
          <w:sz w:val="24"/>
          <w:szCs w:val="24"/>
        </w:rPr>
        <w:t>kryptoaktywów</w:t>
      </w:r>
      <w:proofErr w:type="spellEnd"/>
      <w:r w:rsidRPr="00952D18">
        <w:rPr>
          <w:rFonts w:ascii="Times New Roman" w:hAnsi="Times New Roman" w:cs="Times New Roman"/>
          <w:bCs/>
          <w:sz w:val="24"/>
          <w:szCs w:val="24"/>
        </w:rPr>
        <w:t>, właściw</w:t>
      </w:r>
      <w:r>
        <w:rPr>
          <w:rFonts w:ascii="Times New Roman" w:hAnsi="Times New Roman" w:cs="Times New Roman"/>
          <w:bCs/>
          <w:sz w:val="24"/>
          <w:szCs w:val="24"/>
        </w:rPr>
        <w:t>ej</w:t>
      </w:r>
      <w:r w:rsidRPr="00952D18">
        <w:rPr>
          <w:rFonts w:ascii="Times New Roman" w:hAnsi="Times New Roman" w:cs="Times New Roman"/>
          <w:bCs/>
          <w:sz w:val="24"/>
          <w:szCs w:val="24"/>
        </w:rPr>
        <w:t xml:space="preserve"> ochron</w:t>
      </w:r>
      <w:r>
        <w:rPr>
          <w:rFonts w:ascii="Times New Roman" w:hAnsi="Times New Roman" w:cs="Times New Roman"/>
          <w:bCs/>
          <w:sz w:val="24"/>
          <w:szCs w:val="24"/>
        </w:rPr>
        <w:t>y</w:t>
      </w:r>
      <w:r w:rsidRPr="00952D18">
        <w:rPr>
          <w:rFonts w:ascii="Times New Roman" w:hAnsi="Times New Roman" w:cs="Times New Roman"/>
          <w:bCs/>
          <w:sz w:val="24"/>
          <w:szCs w:val="24"/>
        </w:rPr>
        <w:t xml:space="preserve"> interesów klientów tych dostawców oraz bezpieczeństw</w:t>
      </w:r>
      <w:r>
        <w:rPr>
          <w:rFonts w:ascii="Times New Roman" w:hAnsi="Times New Roman" w:cs="Times New Roman"/>
          <w:bCs/>
          <w:sz w:val="24"/>
          <w:szCs w:val="24"/>
        </w:rPr>
        <w:t>a</w:t>
      </w:r>
      <w:r w:rsidRPr="00952D18">
        <w:rPr>
          <w:rFonts w:ascii="Times New Roman" w:hAnsi="Times New Roman" w:cs="Times New Roman"/>
          <w:bCs/>
          <w:sz w:val="24"/>
          <w:szCs w:val="24"/>
        </w:rPr>
        <w:t xml:space="preserve"> i integralnoś</w:t>
      </w:r>
      <w:r>
        <w:rPr>
          <w:rFonts w:ascii="Times New Roman" w:hAnsi="Times New Roman" w:cs="Times New Roman"/>
          <w:bCs/>
          <w:sz w:val="24"/>
          <w:szCs w:val="24"/>
        </w:rPr>
        <w:t>ci</w:t>
      </w:r>
      <w:r w:rsidRPr="00952D18">
        <w:rPr>
          <w:rFonts w:ascii="Times New Roman" w:hAnsi="Times New Roman" w:cs="Times New Roman"/>
          <w:bCs/>
          <w:sz w:val="24"/>
          <w:szCs w:val="24"/>
        </w:rPr>
        <w:t xml:space="preserve"> rynku </w:t>
      </w:r>
      <w:proofErr w:type="spellStart"/>
      <w:r w:rsidRPr="00952D18">
        <w:rPr>
          <w:rFonts w:ascii="Times New Roman" w:hAnsi="Times New Roman" w:cs="Times New Roman"/>
          <w:bCs/>
          <w:sz w:val="24"/>
          <w:szCs w:val="24"/>
        </w:rPr>
        <w:t>kryptoaktywów</w:t>
      </w:r>
      <w:proofErr w:type="spellEnd"/>
    </w:p>
    <w:p w14:paraId="334EEA23" w14:textId="77777777" w:rsidR="00C21D4B" w:rsidRPr="00BD5947" w:rsidRDefault="00C21D4B" w:rsidP="00695ECE">
      <w:pPr>
        <w:pStyle w:val="Akapitzlist"/>
        <w:numPr>
          <w:ilvl w:val="0"/>
          <w:numId w:val="2"/>
        </w:numPr>
        <w:spacing w:line="360" w:lineRule="auto"/>
        <w:jc w:val="both"/>
        <w:rPr>
          <w:rFonts w:ascii="Times New Roman" w:hAnsi="Times New Roman" w:cs="Times New Roman"/>
          <w:bCs/>
          <w:sz w:val="24"/>
          <w:szCs w:val="24"/>
        </w:rPr>
      </w:pPr>
      <w:r w:rsidRPr="00BD5947">
        <w:rPr>
          <w:rStyle w:val="Ppogrubienie"/>
          <w:rFonts w:ascii="Times New Roman" w:hAnsi="Times New Roman" w:cs="Times New Roman"/>
          <w:sz w:val="24"/>
          <w:szCs w:val="24"/>
        </w:rPr>
        <w:t>Art. 1</w:t>
      </w:r>
      <w:r>
        <w:rPr>
          <w:rStyle w:val="Ppogrubienie"/>
          <w:rFonts w:ascii="Times New Roman" w:hAnsi="Times New Roman" w:cs="Times New Roman"/>
          <w:sz w:val="24"/>
          <w:szCs w:val="24"/>
        </w:rPr>
        <w:t>5</w:t>
      </w:r>
      <w:r w:rsidRPr="002F235F">
        <w:rPr>
          <w:rFonts w:ascii="Times New Roman" w:hAnsi="Times New Roman" w:cs="Times New Roman"/>
          <w:bCs/>
          <w:sz w:val="24"/>
          <w:szCs w:val="24"/>
        </w:rPr>
        <w:t xml:space="preserve"> wskazuje, że materiały marketingowe oferty publicznej </w:t>
      </w:r>
      <w:proofErr w:type="spellStart"/>
      <w:r w:rsidRPr="002F235F">
        <w:rPr>
          <w:rFonts w:ascii="Times New Roman" w:hAnsi="Times New Roman" w:cs="Times New Roman"/>
          <w:bCs/>
          <w:sz w:val="24"/>
          <w:szCs w:val="24"/>
        </w:rPr>
        <w:t>kryptoaktywa</w:t>
      </w:r>
      <w:proofErr w:type="spellEnd"/>
      <w:r w:rsidRPr="002F235F">
        <w:rPr>
          <w:rFonts w:ascii="Times New Roman" w:hAnsi="Times New Roman" w:cs="Times New Roman"/>
          <w:bCs/>
          <w:sz w:val="24"/>
          <w:szCs w:val="24"/>
        </w:rPr>
        <w:t xml:space="preserve"> innego niż </w:t>
      </w:r>
      <w:proofErr w:type="spellStart"/>
      <w:r w:rsidRPr="002F235F">
        <w:rPr>
          <w:rFonts w:ascii="Times New Roman" w:hAnsi="Times New Roman" w:cs="Times New Roman"/>
          <w:bCs/>
          <w:sz w:val="24"/>
          <w:szCs w:val="24"/>
        </w:rPr>
        <w:t>tokeny</w:t>
      </w:r>
      <w:proofErr w:type="spellEnd"/>
      <w:r w:rsidRPr="002F235F">
        <w:rPr>
          <w:rFonts w:ascii="Times New Roman" w:hAnsi="Times New Roman" w:cs="Times New Roman"/>
          <w:bCs/>
          <w:sz w:val="24"/>
          <w:szCs w:val="24"/>
        </w:rPr>
        <w:t xml:space="preserve"> powiązane z aktywami lub </w:t>
      </w:r>
      <w:proofErr w:type="spellStart"/>
      <w:r w:rsidRPr="002F235F">
        <w:rPr>
          <w:rFonts w:ascii="Times New Roman" w:hAnsi="Times New Roman" w:cs="Times New Roman"/>
          <w:bCs/>
          <w:sz w:val="24"/>
          <w:szCs w:val="24"/>
        </w:rPr>
        <w:t>tokeny</w:t>
      </w:r>
      <w:proofErr w:type="spellEnd"/>
      <w:r w:rsidRPr="002F235F">
        <w:rPr>
          <w:rFonts w:ascii="Times New Roman" w:hAnsi="Times New Roman" w:cs="Times New Roman"/>
          <w:bCs/>
          <w:sz w:val="24"/>
          <w:szCs w:val="24"/>
        </w:rPr>
        <w:t xml:space="preserve"> będące e-pieniądzem, o której mowa w art. 4 ust. 2 lit. a rozporządzenia 2023/1114, mogą być rozpowszechniane jedynie do mniej niż 150 osób na terytorium jednego państwa członkowskiego Unii Europejskiej oraz nie mogą być udostępniane nieoznaczonemu adresatowi.</w:t>
      </w:r>
    </w:p>
    <w:p w14:paraId="7578FD07" w14:textId="77777777" w:rsidR="00C21D4B" w:rsidRPr="002F235F" w:rsidRDefault="00C21D4B" w:rsidP="00695ECE">
      <w:pPr>
        <w:pStyle w:val="Akapitzlist"/>
        <w:numPr>
          <w:ilvl w:val="0"/>
          <w:numId w:val="2"/>
        </w:numPr>
        <w:spacing w:line="360" w:lineRule="auto"/>
        <w:jc w:val="both"/>
        <w:rPr>
          <w:rFonts w:ascii="Times New Roman" w:hAnsi="Times New Roman" w:cs="Times New Roman"/>
          <w:bCs/>
          <w:sz w:val="24"/>
          <w:szCs w:val="24"/>
        </w:rPr>
      </w:pPr>
      <w:r w:rsidRPr="0038267B">
        <w:rPr>
          <w:rFonts w:ascii="Times New Roman" w:hAnsi="Times New Roman" w:cs="Times New Roman"/>
          <w:b/>
          <w:bCs/>
          <w:sz w:val="24"/>
          <w:szCs w:val="24"/>
        </w:rPr>
        <w:t>Art. 1</w:t>
      </w:r>
      <w:r>
        <w:rPr>
          <w:rFonts w:ascii="Times New Roman" w:hAnsi="Times New Roman" w:cs="Times New Roman"/>
          <w:b/>
          <w:bCs/>
          <w:sz w:val="24"/>
          <w:szCs w:val="24"/>
        </w:rPr>
        <w:t>6</w:t>
      </w:r>
      <w:r w:rsidRPr="0038267B">
        <w:rPr>
          <w:rFonts w:ascii="Times New Roman" w:hAnsi="Times New Roman" w:cs="Times New Roman"/>
          <w:sz w:val="24"/>
          <w:szCs w:val="24"/>
        </w:rPr>
        <w:t xml:space="preserve"> ustanawia jednolitą formułę przeliczeniową na walutę krajową dla kwot wyrażonych w euro określonych w przepisach rozporządzenia 2023/1114. Dotyczy to m.in. wymogów kapitałowych, cen oraz kar. Ustalenie reguł przeliczeniowych na złote jest konieczne dla zapewnienia transparentności obrotu oraz przejrzystości wszelkich przepływów finansowych tak, aby nie budziły one żadnych wątpliwości. Określa się sposoby wyznaczania dnia, którego kurs należy uwzględnić przy przeliczaniu ww. kwot.</w:t>
      </w:r>
    </w:p>
    <w:p w14:paraId="3D8FFE36" w14:textId="77777777" w:rsidR="00C21D4B" w:rsidRPr="00546E53" w:rsidRDefault="00C21D4B" w:rsidP="00695ECE">
      <w:pPr>
        <w:pStyle w:val="Akapitzlist"/>
        <w:numPr>
          <w:ilvl w:val="0"/>
          <w:numId w:val="2"/>
        </w:numPr>
        <w:spacing w:line="360" w:lineRule="auto"/>
        <w:jc w:val="both"/>
        <w:rPr>
          <w:rFonts w:ascii="Times New Roman" w:hAnsi="Times New Roman" w:cs="Times New Roman"/>
          <w:bCs/>
          <w:sz w:val="24"/>
          <w:szCs w:val="24"/>
        </w:rPr>
      </w:pPr>
      <w:r w:rsidRPr="0038267B">
        <w:rPr>
          <w:rFonts w:ascii="Times New Roman" w:hAnsi="Times New Roman" w:cs="Times New Roman"/>
          <w:b/>
          <w:bCs/>
          <w:sz w:val="24"/>
          <w:szCs w:val="24"/>
        </w:rPr>
        <w:t>Art. 1</w:t>
      </w:r>
      <w:r>
        <w:rPr>
          <w:rFonts w:ascii="Times New Roman" w:hAnsi="Times New Roman" w:cs="Times New Roman"/>
          <w:b/>
          <w:bCs/>
          <w:sz w:val="24"/>
          <w:szCs w:val="24"/>
        </w:rPr>
        <w:t>7</w:t>
      </w:r>
      <w:r w:rsidRPr="00546E53">
        <w:rPr>
          <w:rFonts w:ascii="Times New Roman" w:hAnsi="Times New Roman" w:cs="Times New Roman"/>
          <w:b/>
          <w:bCs/>
          <w:sz w:val="24"/>
          <w:szCs w:val="24"/>
        </w:rPr>
        <w:t xml:space="preserve"> </w:t>
      </w:r>
      <w:r w:rsidRPr="00546E53">
        <w:rPr>
          <w:rFonts w:ascii="Times New Roman" w:hAnsi="Times New Roman" w:cs="Times New Roman"/>
          <w:sz w:val="24"/>
          <w:szCs w:val="24"/>
        </w:rPr>
        <w:t xml:space="preserve">otwiera rozdział drugi „Tajemnica zawodowa” i wprowadza przepis pomocniczy względem art. 100, 101 i 129 rozporządzenia 2023/1114, które regulują i definiują tajemnicę zawodową, zasady ochrony danych oraz krąg podmiotów, które objęte zostaną obowiązkiem zachowania tajemnicy zawodowej. Zgodnie z art. 100 rozporządzenia 2023/1114, za informacje objęte tajemnicą zawodową należy uznać wszystkie informacje, które właściwe organy wymieniają między sobą na podstawie ww. rozporządzenia, a które dotyczą warunków biznesowych lub operacyjnych oraz innych kwestii gospodarczych lub osobowych. Wyjątek dotyczy jedynie informacji ujawnionych przez właściwy organ na potrzeby postępowania sądowego, spraw karnych i podatkowych. Obrót instrumentami finansowymi wszelkiego rodzaju wiąże się z koniecznością przetwarzania danych osobowych, w tym danych wrażliwych. Nie ulega wątpliwości, że należy zapewnić szczególną ochronę danym przetwarzanym przez przedstawicieli obrotu profesjonalnego w sferze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Za informacje poddane ochronie uznaje się informacje dotyczące interesów podmiotów, na rzecz których są świadczone usługi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w:t>
      </w:r>
      <w:r>
        <w:rPr>
          <w:rFonts w:ascii="Times New Roman" w:hAnsi="Times New Roman" w:cs="Times New Roman"/>
          <w:sz w:val="24"/>
          <w:szCs w:val="24"/>
        </w:rPr>
        <w:t xml:space="preserve">W celu </w:t>
      </w:r>
      <w:r w:rsidRPr="00DD6CAB">
        <w:rPr>
          <w:rFonts w:ascii="Times New Roman" w:hAnsi="Times New Roman" w:cs="Times New Roman"/>
          <w:sz w:val="24"/>
          <w:szCs w:val="24"/>
        </w:rPr>
        <w:t xml:space="preserve">zapewnienia poufności danych osobowych przetwarzanych przez podmioty zobowiązane do zachowania tajemnicy zawodowej, </w:t>
      </w:r>
      <w:r>
        <w:rPr>
          <w:rFonts w:ascii="Times New Roman" w:hAnsi="Times New Roman" w:cs="Times New Roman"/>
          <w:sz w:val="24"/>
          <w:szCs w:val="24"/>
        </w:rPr>
        <w:t xml:space="preserve">w szczególności biorąc pod uwagę, że </w:t>
      </w:r>
      <w:r w:rsidRPr="00DD6CAB">
        <w:rPr>
          <w:rFonts w:ascii="Times New Roman" w:hAnsi="Times New Roman" w:cs="Times New Roman"/>
          <w:sz w:val="24"/>
          <w:szCs w:val="24"/>
        </w:rPr>
        <w:t xml:space="preserve">jedną z kategorii </w:t>
      </w:r>
      <w:r>
        <w:rPr>
          <w:rFonts w:ascii="Times New Roman" w:hAnsi="Times New Roman" w:cs="Times New Roman"/>
          <w:sz w:val="24"/>
          <w:szCs w:val="24"/>
        </w:rPr>
        <w:t xml:space="preserve">tych danych będą </w:t>
      </w:r>
      <w:r w:rsidRPr="00DD6CAB">
        <w:rPr>
          <w:rFonts w:ascii="Times New Roman" w:hAnsi="Times New Roman" w:cs="Times New Roman"/>
          <w:sz w:val="24"/>
          <w:szCs w:val="24"/>
        </w:rPr>
        <w:t>dane osobowe rozumiane jako wszelkie informacje o zidentyfikowanej lub możliwej do zidentyfikowania osobie</w:t>
      </w:r>
      <w:r>
        <w:rPr>
          <w:rFonts w:ascii="Times New Roman" w:hAnsi="Times New Roman" w:cs="Times New Roman"/>
          <w:sz w:val="24"/>
          <w:szCs w:val="24"/>
        </w:rPr>
        <w:t xml:space="preserve">, przepis zawiera doprecyzowanie </w:t>
      </w:r>
      <w:r w:rsidRPr="00DD6CAB">
        <w:rPr>
          <w:rFonts w:ascii="Times New Roman" w:hAnsi="Times New Roman" w:cs="Times New Roman"/>
          <w:sz w:val="24"/>
          <w:szCs w:val="24"/>
        </w:rPr>
        <w:t>obejmując</w:t>
      </w:r>
      <w:r>
        <w:rPr>
          <w:rFonts w:ascii="Times New Roman" w:hAnsi="Times New Roman" w:cs="Times New Roman"/>
          <w:sz w:val="24"/>
          <w:szCs w:val="24"/>
        </w:rPr>
        <w:t xml:space="preserve"> swym zakresem konkretnie</w:t>
      </w:r>
      <w:r w:rsidRPr="00DD6CAB">
        <w:rPr>
          <w:rFonts w:ascii="Times New Roman" w:hAnsi="Times New Roman" w:cs="Times New Roman"/>
          <w:sz w:val="24"/>
          <w:szCs w:val="24"/>
        </w:rPr>
        <w:t xml:space="preserve"> imię i nazwisko</w:t>
      </w:r>
      <w:r>
        <w:rPr>
          <w:rFonts w:ascii="Times New Roman" w:hAnsi="Times New Roman" w:cs="Times New Roman"/>
          <w:sz w:val="24"/>
          <w:szCs w:val="24"/>
        </w:rPr>
        <w:t xml:space="preserve"> strony umowy lub innej czynności prawnej </w:t>
      </w:r>
      <w:r w:rsidRPr="00DD6CAB">
        <w:rPr>
          <w:rFonts w:ascii="Times New Roman" w:hAnsi="Times New Roman" w:cs="Times New Roman"/>
          <w:sz w:val="24"/>
          <w:szCs w:val="24"/>
        </w:rPr>
        <w:t>albo firmę (nazwę)</w:t>
      </w:r>
      <w:r>
        <w:rPr>
          <w:rFonts w:ascii="Times New Roman" w:hAnsi="Times New Roman" w:cs="Times New Roman"/>
          <w:sz w:val="24"/>
          <w:szCs w:val="24"/>
        </w:rPr>
        <w:t>,</w:t>
      </w:r>
      <w:r w:rsidRPr="00DD6CAB">
        <w:rPr>
          <w:rFonts w:ascii="Times New Roman" w:hAnsi="Times New Roman" w:cs="Times New Roman"/>
          <w:sz w:val="24"/>
          <w:szCs w:val="24"/>
        </w:rPr>
        <w:t xml:space="preserve"> oraz adres</w:t>
      </w:r>
      <w:r>
        <w:rPr>
          <w:rFonts w:ascii="Times New Roman" w:hAnsi="Times New Roman" w:cs="Times New Roman"/>
          <w:sz w:val="24"/>
          <w:szCs w:val="24"/>
        </w:rPr>
        <w:t xml:space="preserve">. </w:t>
      </w:r>
      <w:r w:rsidRPr="00546E53">
        <w:rPr>
          <w:rFonts w:ascii="Times New Roman" w:hAnsi="Times New Roman" w:cs="Times New Roman"/>
          <w:sz w:val="24"/>
          <w:szCs w:val="24"/>
        </w:rPr>
        <w:t xml:space="preserve">Należy również wskazać, że wspomniany w pkt 3 tego przepisu rejestr pozycji odnosi się do rejestru pozycji odpowiadających prawom każdego klienta do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Rejestr ten, zgodnie z art. 75 ust. 2 rozporządzenia 2023/1114, prowadzony jest przez dostawcę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w imieniu każdego klienta, celem zapewnienia przechowywania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i administrowania nimi w imieniu klientów.</w:t>
      </w:r>
    </w:p>
    <w:p w14:paraId="58184372" w14:textId="77777777" w:rsidR="00C21D4B" w:rsidRPr="00A11E2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Art. 1</w:t>
      </w:r>
      <w:r>
        <w:rPr>
          <w:rFonts w:ascii="Times New Roman" w:hAnsi="Times New Roman" w:cs="Times New Roman"/>
          <w:b/>
          <w:bCs/>
          <w:sz w:val="24"/>
          <w:szCs w:val="24"/>
        </w:rPr>
        <w:t>8</w:t>
      </w:r>
      <w:r w:rsidRPr="00A11E28">
        <w:rPr>
          <w:rFonts w:ascii="Times New Roman" w:hAnsi="Times New Roman" w:cs="Times New Roman"/>
          <w:sz w:val="24"/>
          <w:szCs w:val="24"/>
        </w:rPr>
        <w:t xml:space="preserve"> określa </w:t>
      </w:r>
      <w:r>
        <w:rPr>
          <w:rFonts w:ascii="Times New Roman" w:hAnsi="Times New Roman" w:cs="Times New Roman"/>
          <w:sz w:val="24"/>
          <w:szCs w:val="24"/>
        </w:rPr>
        <w:t xml:space="preserve">katalog </w:t>
      </w:r>
      <w:r w:rsidRPr="00A11E28">
        <w:rPr>
          <w:rFonts w:ascii="Times New Roman" w:hAnsi="Times New Roman" w:cs="Times New Roman"/>
          <w:sz w:val="24"/>
          <w:szCs w:val="24"/>
        </w:rPr>
        <w:t xml:space="preserve">podmiotów obowiązanych do zachowania tajemnicy zawodowej. Są to w pierwszej kolejności osoby wchodzące w skład organów statutowych dostawcy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lub podmioty pozostające z dostawcą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w stosunku zlecenia lub innym stosunku prawnym o podobnym charakterze. W drugiej kolejności, do zachowania tajemnicy zawodowej zobowiązane są osoby pozostające w stosunku pracy, zlecenia lub innym stosunku prawnym o podobnym charakterze z dostawcą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lub podmiotami pozostającymi z dostawcą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w stosunku zlecenia lub innym stosunku prawnym o podobnym charakterze. Obowiązek zachowania tajemnicy zawodowej trwa również po zakończeniu pełnienia funkcji lub ustania stosunków prawnych powodujących powstanie tego obowiązku. Przepis zobowiązuje do zachowania tajemnicy zawodowej również osoby, którym informacje stanowiące tajemnicę zostały ujawnione. Ponadto określona została odpowiedzialność (lub jej brak) za szkody wynikające z nieuprawnionego ujawnienia informacji stanowiącej tajemnicę zawodową i wykorzystania jej niezgodnie z przeznaczeniem.</w:t>
      </w:r>
    </w:p>
    <w:p w14:paraId="35E0407C" w14:textId="77777777" w:rsidR="00C21D4B" w:rsidRPr="00A11E2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19</w:t>
      </w:r>
      <w:r w:rsidRPr="00A11E28">
        <w:rPr>
          <w:rFonts w:ascii="Times New Roman" w:hAnsi="Times New Roman" w:cs="Times New Roman"/>
          <w:sz w:val="24"/>
          <w:szCs w:val="24"/>
        </w:rPr>
        <w:t xml:space="preserve"> przyznaje dostawcom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uprawnienie do przekazywania sobie nawzajem informacji o przysługujących im względem klientów wierzytelnościach z tytułu świadczonych usług. Uprawnienie to rozciąga się na informacje objęte tajemnicą zawodową w zakresie, w jakim są one niezbędne do ochrony interesów uprawnionych przed nierzetelnymi klientami. Wprowadzenie tego przepisu do projektu ustawy podyktowane jest względami bezpieczeństwa, gdyż istnieje wysokie ryzyko poniesienia straty wskutek działań nierzetelnego klienta. Istotna dla zapewnienia bezpieczeństwa działalności prowadzonej przez dostawców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jest również wymiana informacji w celach zapobiegania przestępstwom na szkodę takich dostawców bądź na szkodę ich klientów, czy też w celach wykonywania obowiązków w zakresie określonym w przepisach o przeciwdziałaniu praniu pieniędzy oraz finansowaniu terroryzmu. Omawiana kwestia ma także kluczowe znaczenie dla zapewnienia bezpieczeństwa innych uczestników obrotu, w tym nieprofesjonalnych uczestników rynku finansowego. Bezpośrednia wymiana informacji pomiędzy dostawcami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w celu zapobiegania przestępstwom mo</w:t>
      </w:r>
      <w:r>
        <w:rPr>
          <w:rFonts w:ascii="Times New Roman" w:hAnsi="Times New Roman" w:cs="Times New Roman"/>
          <w:sz w:val="24"/>
          <w:szCs w:val="24"/>
        </w:rPr>
        <w:t>że</w:t>
      </w:r>
      <w:r w:rsidRPr="00A11E28">
        <w:rPr>
          <w:rFonts w:ascii="Times New Roman" w:hAnsi="Times New Roman" w:cs="Times New Roman"/>
          <w:sz w:val="24"/>
          <w:szCs w:val="24"/>
        </w:rPr>
        <w:t xml:space="preserve"> prowadzić m.in. do szybkiego reagowania i eliminowania na wczesnym etapie przypadków wykorzystywania rachunków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do celów przestępczych, w szczególności, jeśli ich posiadacze wykorzystują w takich celach wiele rachunków prowadzonych u różnych dostawców i dokonywane są pomiędzy nimi transfery (w sytuacji gdy jeden z dostawców zauważa np. powiązania pomiędzy transferami z takich rachunków na rachunki prowadzone u innych dostawców). Rozwiązanie takie przynosi istotne korzyści w obszarze bezpieczeństwa w przypadku banków (art. 106d ustawy z dnia 29 sierpnia 1997 r. – Prawo bankowe</w:t>
      </w:r>
      <w:r>
        <w:rPr>
          <w:rFonts w:ascii="Times New Roman" w:hAnsi="Times New Roman" w:cs="Times New Roman"/>
          <w:sz w:val="24"/>
          <w:szCs w:val="24"/>
        </w:rPr>
        <w:t xml:space="preserve"> </w:t>
      </w:r>
      <w:r w:rsidRPr="001B7461">
        <w:rPr>
          <w:rFonts w:ascii="Times New Roman" w:hAnsi="Times New Roman" w:cs="Times New Roman"/>
          <w:sz w:val="24"/>
          <w:szCs w:val="24"/>
        </w:rPr>
        <w:t xml:space="preserve">(Dz. U. z 2024 r. poz. 1646, </w:t>
      </w:r>
      <w:r>
        <w:rPr>
          <w:rFonts w:ascii="Times New Roman" w:hAnsi="Times New Roman" w:cs="Times New Roman"/>
          <w:sz w:val="24"/>
          <w:szCs w:val="24"/>
        </w:rPr>
        <w:t xml:space="preserve">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1B7461">
        <w:rPr>
          <w:rFonts w:ascii="Times New Roman" w:hAnsi="Times New Roman" w:cs="Times New Roman"/>
          <w:sz w:val="24"/>
          <w:szCs w:val="24"/>
        </w:rPr>
        <w:t>)</w:t>
      </w:r>
      <w:r>
        <w:rPr>
          <w:rFonts w:ascii="Times New Roman" w:hAnsi="Times New Roman" w:cs="Times New Roman"/>
          <w:sz w:val="24"/>
          <w:szCs w:val="24"/>
        </w:rPr>
        <w:t>, zwanej dalej „ustawą – Prawo bankowe”</w:t>
      </w:r>
      <w:r w:rsidRPr="00A11E28">
        <w:rPr>
          <w:rFonts w:ascii="Times New Roman" w:hAnsi="Times New Roman" w:cs="Times New Roman"/>
          <w:sz w:val="24"/>
          <w:szCs w:val="24"/>
        </w:rPr>
        <w:t xml:space="preserve">). W projekcie przyjęto zasadność wymiany informacji objętych tajemnicą zawodową dla celów ochrony interesów dostawców przed nierzetelnymi klientami, więc tym bardziej zasadne wydaje się dopuszczenie do wymiany takich informacji w celach </w:t>
      </w:r>
      <w:proofErr w:type="spellStart"/>
      <w:r w:rsidRPr="00A11E28">
        <w:rPr>
          <w:rFonts w:ascii="Times New Roman" w:hAnsi="Times New Roman" w:cs="Times New Roman"/>
          <w:sz w:val="24"/>
          <w:szCs w:val="24"/>
        </w:rPr>
        <w:t>antyfraudowych</w:t>
      </w:r>
      <w:proofErr w:type="spellEnd"/>
      <w:r w:rsidRPr="00A11E28">
        <w:rPr>
          <w:rFonts w:ascii="Times New Roman" w:hAnsi="Times New Roman" w:cs="Times New Roman"/>
          <w:sz w:val="24"/>
          <w:szCs w:val="24"/>
        </w:rPr>
        <w:t xml:space="preserve"> i przeciwdziałania praniu pieniędzy i finansowania terroryzmu.</w:t>
      </w:r>
    </w:p>
    <w:p w14:paraId="7716A73D" w14:textId="77777777" w:rsidR="00C21D4B" w:rsidRPr="00A11E2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20</w:t>
      </w:r>
      <w:r w:rsidRPr="00A11E28">
        <w:rPr>
          <w:rFonts w:ascii="Times New Roman" w:hAnsi="Times New Roman" w:cs="Times New Roman"/>
          <w:sz w:val="24"/>
          <w:szCs w:val="24"/>
        </w:rPr>
        <w:t xml:space="preserve"> określa katalog podmiotów, na których żądanie podmioty obowiązane do zachowania tajemnicy zawodowej, o których mowa w art. 1</w:t>
      </w:r>
      <w:r>
        <w:rPr>
          <w:rFonts w:ascii="Times New Roman" w:hAnsi="Times New Roman" w:cs="Times New Roman"/>
          <w:sz w:val="24"/>
          <w:szCs w:val="24"/>
        </w:rPr>
        <w:t>8</w:t>
      </w:r>
      <w:r w:rsidRPr="00A11E28">
        <w:rPr>
          <w:rFonts w:ascii="Times New Roman" w:hAnsi="Times New Roman" w:cs="Times New Roman"/>
          <w:sz w:val="24"/>
          <w:szCs w:val="24"/>
        </w:rPr>
        <w:t xml:space="preserve"> ust. 1 projektowanej ustawy, muszą ujawnić informacje prawnie chronione. Jest to niezbędna regulacja, zwłaszcza w przypadku naruszeń i na potrzeby postępowań prowadzonych na podstawie prawa, w tym postępowań sądowych</w:t>
      </w:r>
      <w:r>
        <w:rPr>
          <w:rFonts w:ascii="Times New Roman" w:hAnsi="Times New Roman" w:cs="Times New Roman"/>
          <w:sz w:val="24"/>
          <w:szCs w:val="24"/>
        </w:rPr>
        <w:t>.</w:t>
      </w:r>
      <w:r w:rsidRPr="00A11E28">
        <w:rPr>
          <w:rFonts w:ascii="Times New Roman" w:hAnsi="Times New Roman" w:cs="Times New Roman"/>
          <w:sz w:val="24"/>
          <w:szCs w:val="24"/>
        </w:rPr>
        <w:t xml:space="preserve"> Mając na względzie ryzyko wykorzystywania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do finansowania terroryzmu i prania pieniędzy, nieodzowne jest zapewnienie najwyższego standardu bezpieczeństwa, co znajduje wyraz we włączeniu do katalogu podmiotów służb wywiadowczych i kontrwywiadowczych. Celem pkt 4 niniejszego przepisu jest dostosowanie zapisu niniejszej ustawy do uprawnień organów Krajowej Administracji Skarbowej, z którymi może się wiązać konieczność pozyskania informacji stanowiących tajemnicę zawodową w rozumieniu niniejszej ustawy. Analogiczne unormowanie przekazywania informacji stanowiących tajemnicę zawodową występuje w ustawie o obrocie instrumentami finansowymi oraz w ustawie z dnia 7 lipca 2022 r. o finansowaniu społecznościowym dla przedsięwzięć gospodarczych i pomocy kredytobiorcom (Dz. U. z 2024 r. poz. 984</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A11E28">
        <w:rPr>
          <w:rFonts w:ascii="Times New Roman" w:hAnsi="Times New Roman" w:cs="Times New Roman"/>
          <w:sz w:val="24"/>
          <w:szCs w:val="24"/>
        </w:rPr>
        <w:t xml:space="preserve">), a więc w przepisach sektorowych odnoszących się do podmiotów podlegających pod analogiczny nadzór finansowy, co podmioty podlegające pod przepisy rozporządzenia 2023/1114. Katalog podmiotów wskazanych w przepisie odpowiada, co do zasady, art. 149 ustawy o obrocie instrumentami finansowymi. </w:t>
      </w:r>
    </w:p>
    <w:p w14:paraId="3B1AD954" w14:textId="77777777" w:rsidR="00C21D4B" w:rsidRPr="00A11E2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21</w:t>
      </w:r>
      <w:r w:rsidRPr="00A11E28">
        <w:rPr>
          <w:rFonts w:ascii="Times New Roman" w:hAnsi="Times New Roman" w:cs="Times New Roman"/>
          <w:sz w:val="24"/>
          <w:szCs w:val="24"/>
        </w:rPr>
        <w:t xml:space="preserve"> określa przypadki, w których przekazanie informacji stanowiących tajemnicę zawodową nie narusza obowiązku jej zachowania. Objęcie ochroną informacji wiąże się z sankcją za ich nieuprawnione udostępnienie. Jednakże konieczne jest wprowadzenie wyjątków od tej zasady, w szczególnie uzasadnionych przypadkach. Ujęty w niniejszym artykule katalog ma więc charakter zamknięty i precyzyjnie wskazuje podmioty, którym udostępnienie informacji prawnie chronionych nie stanowi czynu zabronionego. Przepis wskazujący przypadki, w których przekazanie określonym podmiotom informacji stanowiącej tajemnicę zawodową nie stanowi naruszenia obowiązku zachowania tej tajemnicy jest wzorowany na art. 150 ustawy o obrocie instrumentami finansowymi. </w:t>
      </w:r>
    </w:p>
    <w:p w14:paraId="10104343" w14:textId="77777777" w:rsidR="00C21D4B" w:rsidRPr="001032EB"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22</w:t>
      </w:r>
      <w:r w:rsidRPr="00A11E28">
        <w:rPr>
          <w:rFonts w:ascii="Times New Roman" w:hAnsi="Times New Roman" w:cs="Times New Roman"/>
          <w:sz w:val="24"/>
          <w:szCs w:val="24"/>
        </w:rPr>
        <w:t xml:space="preserve"> nakłada na dostawców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obowiązek stosowania odpowiednich rozwiązań technicznych i organizacyjnych celem zapewnienia ochrony tajemnicy zawodowej oraz obowiązek opracowania i wdrożenia regulaminu w zakresie ochrony przepływu informacji stanowiących tajemnicę zawodową. Przepis </w:t>
      </w:r>
      <w:r>
        <w:rPr>
          <w:rFonts w:ascii="Times New Roman" w:hAnsi="Times New Roman" w:cs="Times New Roman"/>
          <w:sz w:val="24"/>
          <w:szCs w:val="24"/>
        </w:rPr>
        <w:t>określa</w:t>
      </w:r>
      <w:r w:rsidRPr="00A11E28">
        <w:rPr>
          <w:rFonts w:ascii="Times New Roman" w:hAnsi="Times New Roman" w:cs="Times New Roman"/>
          <w:sz w:val="24"/>
          <w:szCs w:val="24"/>
        </w:rPr>
        <w:t xml:space="preserve"> również zakres przedmiotowy ww. regulaminu, tj. szczegółowe rozwiązania stosowane przez danego dostawcę, których celem jest zapobieganie nieupoważnionemu dostępowi i wykorzystywaniu informacji</w:t>
      </w:r>
      <w:r w:rsidRPr="00E43FD2">
        <w:t xml:space="preserve"> </w:t>
      </w:r>
      <w:r w:rsidRPr="00A11E28">
        <w:rPr>
          <w:rFonts w:ascii="Times New Roman" w:hAnsi="Times New Roman" w:cs="Times New Roman"/>
          <w:sz w:val="24"/>
          <w:szCs w:val="24"/>
        </w:rPr>
        <w:t xml:space="preserve">stanowiących tajemnicę zawodową przez osoby nieuprawnione, ochrona przepływu tych informacji między dostawcą a innymi podmiotami oraz sposób przepływu tych informacji u dostawcy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w:t>
      </w:r>
      <w:r>
        <w:rPr>
          <w:rFonts w:ascii="Times New Roman" w:hAnsi="Times New Roman" w:cs="Times New Roman"/>
          <w:sz w:val="24"/>
          <w:szCs w:val="24"/>
        </w:rPr>
        <w:t xml:space="preserve"> </w:t>
      </w:r>
      <w:r w:rsidRPr="00A11E28">
        <w:rPr>
          <w:rFonts w:ascii="Times New Roman" w:hAnsi="Times New Roman" w:cs="Times New Roman"/>
          <w:sz w:val="24"/>
          <w:szCs w:val="24"/>
        </w:rPr>
        <w:t xml:space="preserve">Obowiązki informacyjne emitentów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powiązanych z aktywami, emitentów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będących e-pieniądzem oraz dostawców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wynikają bezpośrednio z przepisów rozporządzenia 2023/1114. Dodatkowo art. 94 rozporządzenia</w:t>
      </w:r>
      <w:r>
        <w:rPr>
          <w:rFonts w:ascii="Times New Roman" w:hAnsi="Times New Roman" w:cs="Times New Roman"/>
          <w:sz w:val="24"/>
          <w:szCs w:val="24"/>
        </w:rPr>
        <w:t xml:space="preserve"> </w:t>
      </w:r>
      <w:r w:rsidRPr="00A11E28">
        <w:rPr>
          <w:rFonts w:ascii="Times New Roman" w:hAnsi="Times New Roman" w:cs="Times New Roman"/>
          <w:sz w:val="24"/>
          <w:szCs w:val="24"/>
        </w:rPr>
        <w:t xml:space="preserve">2023/1114 umożliwia zobowiązanie m.in. tych podmiotów do przedstawienia informacji i dokumentów, które zdaniem właściwego organu mogą być istotne dla wykonywania spoczywających na nim obowiązków. </w:t>
      </w:r>
    </w:p>
    <w:p w14:paraId="5AF1095A" w14:textId="77777777" w:rsidR="00C21D4B" w:rsidRPr="001A1AFA" w:rsidRDefault="00C21D4B" w:rsidP="00695ECE">
      <w:pPr>
        <w:pStyle w:val="Akapitzlist"/>
        <w:numPr>
          <w:ilvl w:val="0"/>
          <w:numId w:val="2"/>
        </w:numPr>
        <w:spacing w:line="360" w:lineRule="auto"/>
        <w:jc w:val="both"/>
        <w:rPr>
          <w:rFonts w:ascii="Times New Roman" w:hAnsi="Times New Roman" w:cs="Times New Roman"/>
          <w:sz w:val="24"/>
          <w:szCs w:val="24"/>
        </w:rPr>
      </w:pPr>
      <w:r w:rsidRPr="001032EB">
        <w:rPr>
          <w:rFonts w:ascii="Times New Roman" w:hAnsi="Times New Roman" w:cs="Times New Roman"/>
          <w:b/>
          <w:bCs/>
          <w:sz w:val="24"/>
          <w:szCs w:val="24"/>
        </w:rPr>
        <w:t>Art. 23</w:t>
      </w:r>
      <w:r w:rsidRPr="001032EB">
        <w:rPr>
          <w:rFonts w:ascii="Times New Roman" w:hAnsi="Times New Roman" w:cs="Times New Roman"/>
          <w:sz w:val="24"/>
          <w:szCs w:val="24"/>
        </w:rPr>
        <w:t xml:space="preserve"> stosownie do postanowień rozporządzenia 2023/1114, zobowiązuje emitentów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powiązanych z aktywami i emitentów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będących e-pieniądzem do przekazywania Komisji wszelkich informacji dotyczących prowadzonej przez nich działalności, ich sytuacji finansowej oraz zdarzeń, które mogą mieć wpływ na ich działalność związaną z emisją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powiązanych z aktywami lub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będących e-pieniądzem, a także informacje związane z wypełnianiem przez nich wymogów wynikających z rozporządzenia 2023/1114 związanych z emisją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w tym informacje dotyczące wartości wyemitowanych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lub wielkości rezerwy aktywów. Należy przy tym uwzględnić koncepcję podziału nadzoru pomiędzy poszczególne państwa członkowskie przyjętej w rozporządzeniu 2023/1114 (państwo macierzyste vs państwo przyjmujące). To, czy dany podmiot będzie miał obowiązek raportowania określonych informacji do Komisji, będzie uzależnione od tego czy Rzeczpospolita Polska będzie dla takiego podmiotu macierzystym państwem członkowskim czy państwem przyjmującym. Kwestia ta jest kluczowa dla określenia podmiotów, które podlegają obowiązkom wynikającym z projektowanej ustawy i z rozporządzenia 2023/111, oraz określenia zakresu tych obowiązków. W związku z powyższym należy doprecyzować, że obowiązki spoczywają na emitentach i dostawcach usług w zakresie </w:t>
      </w:r>
      <w:proofErr w:type="spellStart"/>
      <w:r w:rsidRPr="001032EB">
        <w:rPr>
          <w:rFonts w:ascii="Times New Roman" w:hAnsi="Times New Roman" w:cs="Times New Roman"/>
          <w:sz w:val="24"/>
          <w:szCs w:val="24"/>
        </w:rPr>
        <w:t>kryptoaktywów</w:t>
      </w:r>
      <w:proofErr w:type="spellEnd"/>
      <w:r w:rsidRPr="001032EB">
        <w:rPr>
          <w:rFonts w:ascii="Times New Roman" w:hAnsi="Times New Roman" w:cs="Times New Roman"/>
          <w:sz w:val="24"/>
          <w:szCs w:val="24"/>
        </w:rPr>
        <w:t xml:space="preserve">, dla których Polska jest macierzystym państwem członkowskim w rozumieniu art. 3 ust. 1 pkt 33 rozporządzenia 2023/1114. Emitenci będą zobowiązani przekazywać informacje dotyczące prowadzonej przez nich działalności, ich sytuacji finansowej, zdarzeń, które mogą mieć wpływ na ich działalność związaną z emisją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oraz informacje związane z wypełnianiem przez nich wymogów wynikających z rozporządzenia 2023/1114 związanych z emisją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w tym informacje dotyczące wartości wyemitowanych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lub wielkości rezerwy aktywów. Z kolei dostawcy usług w zakresie </w:t>
      </w:r>
      <w:proofErr w:type="spellStart"/>
      <w:r w:rsidRPr="001032EB">
        <w:rPr>
          <w:rFonts w:ascii="Times New Roman" w:hAnsi="Times New Roman" w:cs="Times New Roman"/>
          <w:sz w:val="24"/>
          <w:szCs w:val="24"/>
        </w:rPr>
        <w:t>kryptoaktywów</w:t>
      </w:r>
      <w:proofErr w:type="spellEnd"/>
      <w:r w:rsidRPr="001032EB">
        <w:rPr>
          <w:rFonts w:ascii="Times New Roman" w:hAnsi="Times New Roman" w:cs="Times New Roman"/>
          <w:sz w:val="24"/>
          <w:szCs w:val="24"/>
        </w:rPr>
        <w:t xml:space="preserve"> będą przekazywać Komisji informacje dotyczące prowadzonej przez nich działalności, </w:t>
      </w:r>
      <w:r>
        <w:rPr>
          <w:rFonts w:ascii="Times New Roman" w:hAnsi="Times New Roman" w:cs="Times New Roman"/>
          <w:sz w:val="24"/>
          <w:szCs w:val="24"/>
        </w:rPr>
        <w:t>ich</w:t>
      </w:r>
      <w:r w:rsidRPr="001032EB">
        <w:rPr>
          <w:rFonts w:ascii="Times New Roman" w:hAnsi="Times New Roman" w:cs="Times New Roman"/>
          <w:sz w:val="24"/>
          <w:szCs w:val="24"/>
        </w:rPr>
        <w:t xml:space="preserve"> sytuacji finansowej oraz zdarzeń, które mogą mieć wpływ na </w:t>
      </w:r>
      <w:r>
        <w:rPr>
          <w:rFonts w:ascii="Times New Roman" w:hAnsi="Times New Roman" w:cs="Times New Roman"/>
          <w:sz w:val="24"/>
          <w:szCs w:val="24"/>
        </w:rPr>
        <w:t>ich</w:t>
      </w:r>
      <w:r w:rsidRPr="001032EB">
        <w:rPr>
          <w:rFonts w:ascii="Times New Roman" w:hAnsi="Times New Roman" w:cs="Times New Roman"/>
          <w:sz w:val="24"/>
          <w:szCs w:val="24"/>
        </w:rPr>
        <w:t xml:space="preserve"> działalność związaną ze świadczeniem usług w zakresie </w:t>
      </w:r>
      <w:proofErr w:type="spellStart"/>
      <w:r w:rsidRPr="001032EB">
        <w:rPr>
          <w:rFonts w:ascii="Times New Roman" w:hAnsi="Times New Roman" w:cs="Times New Roman"/>
          <w:sz w:val="24"/>
          <w:szCs w:val="24"/>
        </w:rPr>
        <w:t>kryptoaktywów</w:t>
      </w:r>
      <w:proofErr w:type="spellEnd"/>
      <w:r w:rsidRPr="001032EB">
        <w:rPr>
          <w:rFonts w:ascii="Times New Roman" w:hAnsi="Times New Roman" w:cs="Times New Roman"/>
          <w:sz w:val="24"/>
          <w:szCs w:val="24"/>
        </w:rPr>
        <w:t xml:space="preserve">. Zgodnie z ust. 3, o zmianach w informacjach przekazywanych przez emitentów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powiązanych z aktywami i dostawców usług w zakresie </w:t>
      </w:r>
      <w:proofErr w:type="spellStart"/>
      <w:r w:rsidRPr="001032EB">
        <w:rPr>
          <w:rFonts w:ascii="Times New Roman" w:hAnsi="Times New Roman" w:cs="Times New Roman"/>
          <w:sz w:val="24"/>
          <w:szCs w:val="24"/>
        </w:rPr>
        <w:t>kryptoaktywów</w:t>
      </w:r>
      <w:proofErr w:type="spellEnd"/>
      <w:r w:rsidRPr="001032EB">
        <w:rPr>
          <w:rFonts w:ascii="Times New Roman" w:hAnsi="Times New Roman" w:cs="Times New Roman"/>
          <w:sz w:val="24"/>
          <w:szCs w:val="24"/>
        </w:rPr>
        <w:t xml:space="preserve"> przy okazji składania wniosku o udzielenie zezwolenia oraz o zmianach danych zawartych w powiadomieniu, o którym mowa odpowiednio w art. 17 ust. 1 lit. b i art. 60 ust. 7 rozporządzenia 2023/1114, powinny być na bieżąco przekazywane Komisji. Ust. 4 wprowadza podstawę prawną do przekazywania Komisji przez emitentów, oferujących i osoby ubiegające się o dopuszczenie do obrotu, informacji</w:t>
      </w:r>
      <w:r>
        <w:rPr>
          <w:rFonts w:ascii="Times New Roman" w:hAnsi="Times New Roman" w:cs="Times New Roman"/>
          <w:sz w:val="24"/>
          <w:szCs w:val="24"/>
        </w:rPr>
        <w:t xml:space="preserve"> o podaniu do publicznej wiadomości informacji</w:t>
      </w:r>
      <w:r w:rsidRPr="001032EB">
        <w:rPr>
          <w:rFonts w:ascii="Times New Roman" w:hAnsi="Times New Roman" w:cs="Times New Roman"/>
          <w:sz w:val="24"/>
          <w:szCs w:val="24"/>
        </w:rPr>
        <w:t>, o których mowa w art. 88 ust. 1 rozporządzenia 2023/1114</w:t>
      </w:r>
      <w:r>
        <w:rPr>
          <w:rFonts w:ascii="Times New Roman" w:hAnsi="Times New Roman" w:cs="Times New Roman"/>
          <w:sz w:val="24"/>
          <w:szCs w:val="24"/>
        </w:rPr>
        <w:t xml:space="preserve"> lub opóźnieniu podania do publicznej wiadomości tych informacji zgodnie z art. 88 ust. 2 rozporządzenia 2023/1114</w:t>
      </w:r>
      <w:r w:rsidRPr="001032EB">
        <w:rPr>
          <w:rFonts w:ascii="Times New Roman" w:hAnsi="Times New Roman" w:cs="Times New Roman"/>
          <w:sz w:val="24"/>
          <w:szCs w:val="24"/>
        </w:rPr>
        <w:t xml:space="preserve">. Zgodnie z ust. </w:t>
      </w:r>
      <w:r>
        <w:rPr>
          <w:rFonts w:ascii="Times New Roman" w:hAnsi="Times New Roman" w:cs="Times New Roman"/>
          <w:sz w:val="24"/>
          <w:szCs w:val="24"/>
        </w:rPr>
        <w:t>5</w:t>
      </w:r>
      <w:r w:rsidRPr="001032EB">
        <w:rPr>
          <w:rFonts w:ascii="Times New Roman" w:hAnsi="Times New Roman" w:cs="Times New Roman"/>
          <w:sz w:val="24"/>
          <w:szCs w:val="24"/>
        </w:rPr>
        <w:t xml:space="preserve"> przekazywane informacje</w:t>
      </w:r>
      <w:r>
        <w:rPr>
          <w:rFonts w:ascii="Times New Roman" w:hAnsi="Times New Roman" w:cs="Times New Roman"/>
          <w:sz w:val="24"/>
          <w:szCs w:val="24"/>
        </w:rPr>
        <w:t xml:space="preserve"> </w:t>
      </w:r>
      <w:r w:rsidRPr="001032EB">
        <w:rPr>
          <w:rFonts w:ascii="Times New Roman" w:hAnsi="Times New Roman" w:cs="Times New Roman"/>
          <w:sz w:val="24"/>
          <w:szCs w:val="24"/>
        </w:rPr>
        <w:t xml:space="preserve">powinny być rzetelne, jasne i niewprowadzające w błąd. Ust. 6 odnosi się do dokumentów potwierdzających informacje, o których mowa w tym artykule, które ww. podmioty przekazują Komisji, jeśli informacje przez nie przekazane wymagają takiego potwierdzenia. Ust. 7 określa sposób przekazywania Komisji informacji i dokumentów niezbędnych do realizacji obowiązku informacyjnego przez podmioty do tego obowiązane. Informacje te i dokumenty będą przekazywane w postaci elektronicznej. W gestii Komisji pozostawiono udostępnienie do tego celu systemu teleinformatycznego i określenie formatu, w którym dane mają być przekazywane. Ust. </w:t>
      </w:r>
      <w:r>
        <w:rPr>
          <w:rFonts w:ascii="Times New Roman" w:hAnsi="Times New Roman" w:cs="Times New Roman"/>
          <w:sz w:val="24"/>
          <w:szCs w:val="24"/>
        </w:rPr>
        <w:t>9</w:t>
      </w:r>
      <w:r w:rsidRPr="001032EB">
        <w:rPr>
          <w:rFonts w:ascii="Times New Roman" w:hAnsi="Times New Roman" w:cs="Times New Roman"/>
          <w:sz w:val="24"/>
          <w:szCs w:val="24"/>
        </w:rPr>
        <w:t xml:space="preserve"> zawiera obligatoryjne upoważnienie dla ministra właściwego do spraw instytucji finansowych do określenia, w drodze rozporządzenia, szczegółowego zakresu</w:t>
      </w:r>
      <w:r>
        <w:rPr>
          <w:rFonts w:ascii="Times New Roman" w:hAnsi="Times New Roman" w:cs="Times New Roman"/>
          <w:sz w:val="24"/>
          <w:szCs w:val="24"/>
        </w:rPr>
        <w:t xml:space="preserve"> informacji, o których mowa w ust. 1</w:t>
      </w:r>
      <w:r w:rsidR="00695ECE">
        <w:rPr>
          <w:rFonts w:ascii="Times New Roman" w:hAnsi="Times New Roman" w:cs="Times New Roman"/>
          <w:sz w:val="24"/>
          <w:szCs w:val="24"/>
        </w:rPr>
        <w:t>–</w:t>
      </w:r>
      <w:r>
        <w:rPr>
          <w:rFonts w:ascii="Times New Roman" w:hAnsi="Times New Roman" w:cs="Times New Roman"/>
          <w:sz w:val="24"/>
          <w:szCs w:val="24"/>
        </w:rPr>
        <w:t>4 tego przepisu</w:t>
      </w:r>
      <w:r w:rsidRPr="001032EB">
        <w:rPr>
          <w:rFonts w:ascii="Times New Roman" w:hAnsi="Times New Roman" w:cs="Times New Roman"/>
          <w:sz w:val="24"/>
          <w:szCs w:val="24"/>
        </w:rPr>
        <w:t xml:space="preserve">, </w:t>
      </w:r>
      <w:r>
        <w:rPr>
          <w:rFonts w:ascii="Times New Roman" w:hAnsi="Times New Roman" w:cs="Times New Roman"/>
          <w:sz w:val="24"/>
          <w:szCs w:val="24"/>
        </w:rPr>
        <w:t xml:space="preserve">formy i </w:t>
      </w:r>
      <w:r w:rsidRPr="001032EB">
        <w:rPr>
          <w:rFonts w:ascii="Times New Roman" w:hAnsi="Times New Roman" w:cs="Times New Roman"/>
          <w:sz w:val="24"/>
          <w:szCs w:val="24"/>
        </w:rPr>
        <w:t>terminów ich przekazania oraz dokumentów określonych w ust. 6. Wydając rozporządzenie minister będzie uwzględniał konieczność ujednolicenia sposobu przekazywania ww. informacji oraz zapewnienia efektywności sprawowania nadzoru przez Komisję</w:t>
      </w:r>
      <w:r>
        <w:rPr>
          <w:rFonts w:ascii="Times New Roman" w:hAnsi="Times New Roman" w:cs="Times New Roman"/>
          <w:sz w:val="24"/>
          <w:szCs w:val="24"/>
        </w:rPr>
        <w:t xml:space="preserve"> oraz uniknięcia nadmiernych obciążeń administracyjnych podmiotów określonych w ust. 1−6 tego przepisu</w:t>
      </w:r>
      <w:r w:rsidRPr="001032EB">
        <w:rPr>
          <w:rFonts w:ascii="Times New Roman" w:hAnsi="Times New Roman" w:cs="Times New Roman"/>
          <w:sz w:val="24"/>
          <w:szCs w:val="24"/>
        </w:rPr>
        <w:t xml:space="preserve">. Założeniem do wydania przedmiotowego rozporządzenia jest wyeliminowanie obowiązków informacyjnych, które mogłyby się powielać z tymi, które już spoczywają na podmiotach nadzorowanych. W sytuacji, gdy podmioty obowiązane do wykonywania obowiązków informacyjnych jak banki krajowe, domy maklerskie czy też instytucje płatnicze podejmą również działalność w zakresie emisji </w:t>
      </w:r>
      <w:proofErr w:type="spellStart"/>
      <w:r w:rsidRPr="001032EB">
        <w:rPr>
          <w:rFonts w:ascii="Times New Roman" w:hAnsi="Times New Roman" w:cs="Times New Roman"/>
          <w:sz w:val="24"/>
          <w:szCs w:val="24"/>
        </w:rPr>
        <w:t>kryptoaktywów</w:t>
      </w:r>
      <w:proofErr w:type="spellEnd"/>
      <w:r w:rsidRPr="001032EB">
        <w:rPr>
          <w:rFonts w:ascii="Times New Roman" w:hAnsi="Times New Roman" w:cs="Times New Roman"/>
          <w:sz w:val="24"/>
          <w:szCs w:val="24"/>
        </w:rPr>
        <w:t xml:space="preserve">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powiązanych z aktywami lub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będących e-pieniądzem) czy też odpowiednio świadczenie usług w zakresie </w:t>
      </w:r>
      <w:proofErr w:type="spellStart"/>
      <w:r w:rsidRPr="001032EB">
        <w:rPr>
          <w:rFonts w:ascii="Times New Roman" w:hAnsi="Times New Roman" w:cs="Times New Roman"/>
          <w:sz w:val="24"/>
          <w:szCs w:val="24"/>
        </w:rPr>
        <w:t>kryptoaktywów</w:t>
      </w:r>
      <w:proofErr w:type="spellEnd"/>
      <w:r w:rsidRPr="001032EB">
        <w:rPr>
          <w:rFonts w:ascii="Times New Roman" w:hAnsi="Times New Roman" w:cs="Times New Roman"/>
          <w:sz w:val="24"/>
          <w:szCs w:val="24"/>
        </w:rPr>
        <w:t xml:space="preserve"> doszłoby do sytuacji kumulacji obowiązków informacyjnych z tytułu dodatkowego statutu tych podmiotów wynikającego z nowej działalności. Przekazywanie nadmiarowych informacji, które KNF posiadałby z innego już tytułu prawnego byłoby nadmiarowe z punktu widzenia podmiotów nadzorowanych, jak i z puntu widzenia organu nadzoru. </w:t>
      </w:r>
      <w:r>
        <w:rPr>
          <w:rFonts w:ascii="Times New Roman" w:hAnsi="Times New Roman" w:cs="Times New Roman"/>
          <w:sz w:val="24"/>
          <w:szCs w:val="24"/>
        </w:rPr>
        <w:t xml:space="preserve">Natomiast celem ust. 8 jest </w:t>
      </w:r>
      <w:r w:rsidRPr="001A1AFA">
        <w:rPr>
          <w:rFonts w:ascii="Times New Roman" w:hAnsi="Times New Roman" w:cs="Times New Roman"/>
          <w:sz w:val="24"/>
          <w:szCs w:val="24"/>
        </w:rPr>
        <w:t>stworzenie podstawy pozwalającej na ograniczenie i uproszczenie obowiązków informacyjnych</w:t>
      </w:r>
      <w:r>
        <w:rPr>
          <w:rFonts w:ascii="Times New Roman" w:hAnsi="Times New Roman" w:cs="Times New Roman"/>
          <w:sz w:val="24"/>
          <w:szCs w:val="24"/>
        </w:rPr>
        <w:t>, określonych w ust. 1−4 tego przepisu. Proponuje się regulację, zgodnie z którą w przypadku, gdy informacje lub dokumenty potwierdzające te informacje zostały już przekazane Komisji na podstawie odrębnych przepisów, podmioty, o których mowa w ust. 1−4 tego przepisu, zostaną zwolnione z obowiązku ponownego ich przekazania, pod warunkiem poinformowania Komisji o dacie i podstawie prawnej tego przekazania.</w:t>
      </w:r>
    </w:p>
    <w:p w14:paraId="6C009B62" w14:textId="77777777" w:rsidR="00C21D4B" w:rsidRPr="00A11E2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24</w:t>
      </w:r>
      <w:r w:rsidRPr="00A11E28">
        <w:rPr>
          <w:rFonts w:ascii="Times New Roman" w:hAnsi="Times New Roman" w:cs="Times New Roman"/>
          <w:b/>
          <w:bCs/>
          <w:sz w:val="24"/>
          <w:szCs w:val="24"/>
        </w:rPr>
        <w:t xml:space="preserve"> </w:t>
      </w:r>
      <w:r w:rsidRPr="00A11E28">
        <w:rPr>
          <w:rFonts w:ascii="Times New Roman" w:hAnsi="Times New Roman" w:cs="Times New Roman"/>
          <w:sz w:val="24"/>
          <w:szCs w:val="24"/>
        </w:rPr>
        <w:t xml:space="preserve">stanowi skorzystanie z możliwości jaką przewiduje art. 22 ust. 2 rozporządzenia 2023/1114 dotyczący nakazania przez organ właściwy emitentom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powiązanych z aktywami wywiązanie się z obowiązku sprawozdawczości, o którym mowa w ust. 1 tego przepisu rozporządzenia, w odniesieniu do wyemitowanych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powiązanych z aktywami o wartości mniejszej niż 100 000</w:t>
      </w:r>
      <w:r>
        <w:rPr>
          <w:rFonts w:ascii="Times New Roman" w:hAnsi="Times New Roman" w:cs="Times New Roman"/>
          <w:sz w:val="24"/>
          <w:szCs w:val="24"/>
        </w:rPr>
        <w:t> </w:t>
      </w:r>
      <w:r w:rsidRPr="00A11E28">
        <w:rPr>
          <w:rFonts w:ascii="Times New Roman" w:hAnsi="Times New Roman" w:cs="Times New Roman"/>
          <w:sz w:val="24"/>
          <w:szCs w:val="24"/>
        </w:rPr>
        <w:t>000</w:t>
      </w:r>
      <w:r>
        <w:rPr>
          <w:rFonts w:ascii="Times New Roman" w:hAnsi="Times New Roman" w:cs="Times New Roman"/>
          <w:sz w:val="24"/>
          <w:szCs w:val="24"/>
        </w:rPr>
        <w:t xml:space="preserve"> e</w:t>
      </w:r>
      <w:r w:rsidRPr="00A11E28">
        <w:rPr>
          <w:rFonts w:ascii="Times New Roman" w:hAnsi="Times New Roman" w:cs="Times New Roman"/>
          <w:sz w:val="24"/>
          <w:szCs w:val="24"/>
        </w:rPr>
        <w:t xml:space="preserve">uro. W odniesieniu do </w:t>
      </w:r>
      <w:proofErr w:type="spellStart"/>
      <w:r w:rsidRPr="00A11E28">
        <w:rPr>
          <w:rFonts w:ascii="Times New Roman" w:hAnsi="Times New Roman" w:cs="Times New Roman"/>
          <w:sz w:val="24"/>
          <w:szCs w:val="24"/>
        </w:rPr>
        <w:t>tokena</w:t>
      </w:r>
      <w:proofErr w:type="spellEnd"/>
      <w:r w:rsidRPr="00A11E28">
        <w:rPr>
          <w:rFonts w:ascii="Times New Roman" w:hAnsi="Times New Roman" w:cs="Times New Roman"/>
          <w:sz w:val="24"/>
          <w:szCs w:val="24"/>
        </w:rPr>
        <w:t xml:space="preserve"> będącego e-pieniądzem, o którym mowa w art. 58 ust. 3 rozporządzenia 2023/1114</w:t>
      </w:r>
      <w:r>
        <w:rPr>
          <w:rFonts w:ascii="Times New Roman" w:hAnsi="Times New Roman" w:cs="Times New Roman"/>
          <w:sz w:val="24"/>
          <w:szCs w:val="24"/>
        </w:rPr>
        <w:t>,</w:t>
      </w:r>
      <w:r w:rsidRPr="00A11E28">
        <w:rPr>
          <w:rFonts w:ascii="Times New Roman" w:hAnsi="Times New Roman" w:cs="Times New Roman"/>
          <w:sz w:val="24"/>
          <w:szCs w:val="24"/>
        </w:rPr>
        <w:t xml:space="preserve"> proponowany przepis zakłada obowiązek raportowania w przypadku </w:t>
      </w:r>
      <w:proofErr w:type="spellStart"/>
      <w:r w:rsidRPr="00A11E28">
        <w:rPr>
          <w:rFonts w:ascii="Times New Roman" w:hAnsi="Times New Roman" w:cs="Times New Roman"/>
          <w:sz w:val="24"/>
          <w:szCs w:val="24"/>
        </w:rPr>
        <w:t>tokena</w:t>
      </w:r>
      <w:proofErr w:type="spellEnd"/>
      <w:r w:rsidRPr="00A11E28">
        <w:rPr>
          <w:rFonts w:ascii="Times New Roman" w:hAnsi="Times New Roman" w:cs="Times New Roman"/>
          <w:sz w:val="24"/>
          <w:szCs w:val="24"/>
        </w:rPr>
        <w:t xml:space="preserve"> będącego e-pieniądzem denominowanego w każdej walucie</w:t>
      </w:r>
      <w:r>
        <w:rPr>
          <w:rFonts w:ascii="Times New Roman" w:hAnsi="Times New Roman" w:cs="Times New Roman"/>
          <w:sz w:val="24"/>
          <w:szCs w:val="24"/>
        </w:rPr>
        <w:t>, która</w:t>
      </w:r>
      <w:r w:rsidRPr="00A11E28">
        <w:rPr>
          <w:rFonts w:ascii="Times New Roman" w:hAnsi="Times New Roman" w:cs="Times New Roman"/>
          <w:sz w:val="24"/>
          <w:szCs w:val="24"/>
        </w:rPr>
        <w:t xml:space="preserve"> </w:t>
      </w:r>
      <w:r w:rsidRPr="00F7220D">
        <w:rPr>
          <w:rFonts w:ascii="Times New Roman" w:hAnsi="Times New Roman" w:cs="Times New Roman"/>
          <w:sz w:val="24"/>
          <w:szCs w:val="24"/>
        </w:rPr>
        <w:t>nie jest walutą urzędową jednego z państw członkowskich Unii Europejskiej</w:t>
      </w:r>
      <w:r>
        <w:rPr>
          <w:rFonts w:ascii="Times New Roman" w:hAnsi="Times New Roman" w:cs="Times New Roman"/>
          <w:sz w:val="24"/>
          <w:szCs w:val="24"/>
        </w:rPr>
        <w:t xml:space="preserve">, </w:t>
      </w:r>
      <w:r w:rsidRPr="00ED1D70">
        <w:rPr>
          <w:rFonts w:ascii="Times New Roman" w:hAnsi="Times New Roman" w:cs="Times New Roman"/>
          <w:sz w:val="24"/>
          <w:szCs w:val="24"/>
        </w:rPr>
        <w:t>którego wartość emisji jest niższa niż 100 000 000 euro</w:t>
      </w:r>
      <w:r w:rsidRPr="00A11E28">
        <w:rPr>
          <w:rFonts w:ascii="Times New Roman" w:hAnsi="Times New Roman" w:cs="Times New Roman"/>
          <w:sz w:val="24"/>
          <w:szCs w:val="24"/>
        </w:rPr>
        <w:t xml:space="preserve">. Wprowadzono także obowiązek raportowania w przypadku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będących e-pieniądzem denominowanych w </w:t>
      </w:r>
      <w:r>
        <w:rPr>
          <w:rFonts w:ascii="Times New Roman" w:hAnsi="Times New Roman" w:cs="Times New Roman"/>
          <w:sz w:val="24"/>
          <w:szCs w:val="24"/>
        </w:rPr>
        <w:t xml:space="preserve">walucie, która jest </w:t>
      </w:r>
      <w:r w:rsidRPr="00F7220D">
        <w:rPr>
          <w:rFonts w:ascii="Times New Roman" w:hAnsi="Times New Roman" w:cs="Times New Roman"/>
          <w:sz w:val="24"/>
          <w:szCs w:val="24"/>
        </w:rPr>
        <w:t>walutą urzędową jednego z państw członkowskich Unii Europejskiej</w:t>
      </w:r>
      <w:r>
        <w:rPr>
          <w:rFonts w:ascii="Times New Roman" w:hAnsi="Times New Roman" w:cs="Times New Roman"/>
          <w:sz w:val="24"/>
          <w:szCs w:val="24"/>
        </w:rPr>
        <w:t xml:space="preserve">, w tym w </w:t>
      </w:r>
      <w:r w:rsidRPr="00A11E28">
        <w:rPr>
          <w:rFonts w:ascii="Times New Roman" w:hAnsi="Times New Roman" w:cs="Times New Roman"/>
          <w:sz w:val="24"/>
          <w:szCs w:val="24"/>
        </w:rPr>
        <w:t xml:space="preserve">walucie polskiej. Proponowany przepis ma na celu prowadzenie efektywnego nadzoru nad podmiotami uprawnionymi do emisji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będących e-pieniądzem, istotne jest w tym zakresie posiadanie przez nadzorcę pełnego obrazu działalności prowadzonej przez te podmioty. Wskazać należy, że rozporządzenie </w:t>
      </w:r>
      <w:proofErr w:type="spellStart"/>
      <w:r w:rsidRPr="00A11E28">
        <w:rPr>
          <w:rFonts w:ascii="Times New Roman" w:hAnsi="Times New Roman" w:cs="Times New Roman"/>
          <w:sz w:val="24"/>
          <w:szCs w:val="24"/>
        </w:rPr>
        <w:t>MiCA</w:t>
      </w:r>
      <w:proofErr w:type="spellEnd"/>
      <w:r w:rsidRPr="00A11E28">
        <w:rPr>
          <w:rFonts w:ascii="Times New Roman" w:hAnsi="Times New Roman" w:cs="Times New Roman"/>
          <w:sz w:val="24"/>
          <w:szCs w:val="24"/>
        </w:rPr>
        <w:t xml:space="preserve"> nie rozgranicza wymogów, jak i zakresu nadzoru w zależności od waluty</w:t>
      </w:r>
      <w:r>
        <w:rPr>
          <w:rFonts w:ascii="Times New Roman" w:hAnsi="Times New Roman" w:cs="Times New Roman"/>
          <w:sz w:val="24"/>
          <w:szCs w:val="24"/>
        </w:rPr>
        <w:t>,</w:t>
      </w:r>
      <w:r w:rsidRPr="00A11E28">
        <w:rPr>
          <w:rFonts w:ascii="Times New Roman" w:hAnsi="Times New Roman" w:cs="Times New Roman"/>
          <w:sz w:val="24"/>
          <w:szCs w:val="24"/>
        </w:rPr>
        <w:t xml:space="preserve"> o jaką jest oparty </w:t>
      </w:r>
      <w:proofErr w:type="spellStart"/>
      <w:r w:rsidRPr="00A11E28">
        <w:rPr>
          <w:rFonts w:ascii="Times New Roman" w:hAnsi="Times New Roman" w:cs="Times New Roman"/>
          <w:sz w:val="24"/>
          <w:szCs w:val="24"/>
        </w:rPr>
        <w:t>token</w:t>
      </w:r>
      <w:proofErr w:type="spellEnd"/>
      <w:r w:rsidRPr="00A11E28">
        <w:rPr>
          <w:rFonts w:ascii="Times New Roman" w:hAnsi="Times New Roman" w:cs="Times New Roman"/>
          <w:sz w:val="24"/>
          <w:szCs w:val="24"/>
        </w:rPr>
        <w:t xml:space="preserve"> będąc</w:t>
      </w:r>
      <w:r>
        <w:rPr>
          <w:rFonts w:ascii="Times New Roman" w:hAnsi="Times New Roman" w:cs="Times New Roman"/>
          <w:sz w:val="24"/>
          <w:szCs w:val="24"/>
        </w:rPr>
        <w:t>y</w:t>
      </w:r>
      <w:r w:rsidRPr="00A11E28">
        <w:rPr>
          <w:rFonts w:ascii="Times New Roman" w:hAnsi="Times New Roman" w:cs="Times New Roman"/>
          <w:sz w:val="24"/>
          <w:szCs w:val="24"/>
        </w:rPr>
        <w:t xml:space="preserve"> e-pieniądzem. W związku z tym proponuje się takie podejście zastosować także w odniesieniu do sprawozdawczości na podstawie art. 22 ust. 1 rozporządzenia </w:t>
      </w:r>
      <w:proofErr w:type="spellStart"/>
      <w:r w:rsidRPr="00A11E28">
        <w:rPr>
          <w:rFonts w:ascii="Times New Roman" w:hAnsi="Times New Roman" w:cs="Times New Roman"/>
          <w:sz w:val="24"/>
          <w:szCs w:val="24"/>
        </w:rPr>
        <w:t>MiCA</w:t>
      </w:r>
      <w:proofErr w:type="spellEnd"/>
      <w:r w:rsidRPr="00A11E28">
        <w:rPr>
          <w:rFonts w:ascii="Times New Roman" w:hAnsi="Times New Roman" w:cs="Times New Roman"/>
          <w:sz w:val="24"/>
          <w:szCs w:val="24"/>
        </w:rPr>
        <w:t xml:space="preserve">. Ponadto informacje przekazywane na podstawie art. 22 ust. 1 rozporządzenia 2023/1114 wykorzystywane są do oceny, czy dany </w:t>
      </w:r>
      <w:proofErr w:type="spellStart"/>
      <w:r w:rsidRPr="00A11E28">
        <w:rPr>
          <w:rFonts w:ascii="Times New Roman" w:hAnsi="Times New Roman" w:cs="Times New Roman"/>
          <w:sz w:val="24"/>
          <w:szCs w:val="24"/>
        </w:rPr>
        <w:t>token</w:t>
      </w:r>
      <w:proofErr w:type="spellEnd"/>
      <w:r w:rsidRPr="00A11E28">
        <w:rPr>
          <w:rFonts w:ascii="Times New Roman" w:hAnsi="Times New Roman" w:cs="Times New Roman"/>
          <w:sz w:val="24"/>
          <w:szCs w:val="24"/>
        </w:rPr>
        <w:t xml:space="preserve"> należy uznać za znaczący. Ograniczenie przedmiotowe</w:t>
      </w:r>
      <w:r>
        <w:rPr>
          <w:rFonts w:ascii="Times New Roman" w:hAnsi="Times New Roman" w:cs="Times New Roman"/>
          <w:sz w:val="24"/>
          <w:szCs w:val="24"/>
        </w:rPr>
        <w:t xml:space="preserve"> czy </w:t>
      </w:r>
      <w:r w:rsidRPr="00A11E28">
        <w:rPr>
          <w:rFonts w:ascii="Times New Roman" w:hAnsi="Times New Roman" w:cs="Times New Roman"/>
          <w:sz w:val="24"/>
          <w:szCs w:val="24"/>
        </w:rPr>
        <w:t xml:space="preserve">walutowe w kontekście tej sprawozdawczości pozbawiłoby organ właściwy informacji ilościowych dla innych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będących e-pieniądzem i ewentualnej dalszej ich oceny jako znaczących. </w:t>
      </w:r>
    </w:p>
    <w:p w14:paraId="6E55E8B3" w14:textId="2F027A1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sz w:val="24"/>
          <w:szCs w:val="24"/>
        </w:rPr>
        <w:t xml:space="preserve">Przepisy </w:t>
      </w:r>
      <w:r w:rsidRPr="00A11E28">
        <w:rPr>
          <w:rFonts w:ascii="Times New Roman" w:hAnsi="Times New Roman" w:cs="Times New Roman"/>
          <w:b/>
          <w:sz w:val="24"/>
          <w:szCs w:val="24"/>
        </w:rPr>
        <w:t xml:space="preserve">art. </w:t>
      </w:r>
      <w:r>
        <w:rPr>
          <w:rFonts w:ascii="Times New Roman" w:hAnsi="Times New Roman" w:cs="Times New Roman"/>
          <w:b/>
          <w:sz w:val="24"/>
          <w:szCs w:val="24"/>
        </w:rPr>
        <w:t>25</w:t>
      </w:r>
      <w:r w:rsidRPr="00A11E28">
        <w:rPr>
          <w:rFonts w:ascii="Times New Roman" w:hAnsi="Times New Roman" w:cs="Times New Roman"/>
          <w:b/>
          <w:sz w:val="24"/>
          <w:szCs w:val="24"/>
        </w:rPr>
        <w:t>–2</w:t>
      </w:r>
      <w:r>
        <w:rPr>
          <w:rFonts w:ascii="Times New Roman" w:hAnsi="Times New Roman" w:cs="Times New Roman"/>
          <w:b/>
          <w:sz w:val="24"/>
          <w:szCs w:val="24"/>
        </w:rPr>
        <w:t>8</w:t>
      </w:r>
      <w:r w:rsidRPr="00A11E28">
        <w:rPr>
          <w:rFonts w:ascii="Times New Roman" w:hAnsi="Times New Roman" w:cs="Times New Roman"/>
          <w:sz w:val="24"/>
          <w:szCs w:val="24"/>
        </w:rPr>
        <w:t xml:space="preserve"> służą zapewnieniu skutecznego zastosowania art. 23 rozporządzenia 2023/1114.</w:t>
      </w:r>
    </w:p>
    <w:p w14:paraId="70CCFCA8"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Art. 25</w:t>
      </w:r>
      <w:r w:rsidRPr="00907094">
        <w:rPr>
          <w:rFonts w:ascii="Times New Roman" w:hAnsi="Times New Roman" w:cs="Times New Roman"/>
          <w:sz w:val="24"/>
          <w:szCs w:val="24"/>
        </w:rPr>
        <w:t xml:space="preserve"> w </w:t>
      </w:r>
      <w:r w:rsidRPr="00907094">
        <w:rPr>
          <w:rFonts w:ascii="Times New Roman" w:hAnsi="Times New Roman"/>
          <w:sz w:val="24"/>
        </w:rPr>
        <w:t>ust. 1</w:t>
      </w:r>
      <w:r w:rsidRPr="00907094">
        <w:rPr>
          <w:rFonts w:ascii="Times New Roman" w:eastAsia="Times New Roman" w:hAnsi="Times New Roman" w:cs="Times New Roman"/>
          <w:bCs/>
          <w:sz w:val="24"/>
          <w:szCs w:val="24"/>
          <w:lang w:eastAsia="pl-PL"/>
        </w:rPr>
        <w:t xml:space="preserve"> wskazuje jakie elementy w szczególności powinien zawierać plan, o którym mowa w art. 23 ust. 1 lit b rozporządzenia 2023/1114, tj. </w:t>
      </w:r>
      <w:r w:rsidRPr="00907094">
        <w:rPr>
          <w:rFonts w:ascii="Times New Roman" w:hAnsi="Times New Roman" w:cs="Times New Roman"/>
          <w:color w:val="333333"/>
          <w:sz w:val="24"/>
          <w:szCs w:val="24"/>
          <w:shd w:val="clear" w:color="auto" w:fill="FFFFFF"/>
        </w:rPr>
        <w:t>plan mający na celu zapewnienie utrzymania szacowanej w ujęciu kwartalnym średniej dziennej liczby i średniej łącznej dziennej wartości tych transakcji na poziomie, odpowiednio, poniżej 1 mln transakcji i 200 000 000 euro</w:t>
      </w:r>
      <w:r w:rsidRPr="00907094">
        <w:rPr>
          <w:rFonts w:ascii="Times New Roman" w:eastAsia="Times New Roman" w:hAnsi="Times New Roman" w:cs="Times New Roman"/>
          <w:bCs/>
          <w:sz w:val="24"/>
          <w:szCs w:val="24"/>
          <w:lang w:eastAsia="pl-PL"/>
        </w:rPr>
        <w:t xml:space="preserve">. Katalog tych elementów obejmuje m.in. szacowany czas osiągnięcia poziomu, o którym mowa w art. 23 ust. 1 lit b rozporządzenia 2023/1114, czy opis planowanych działań zmierzających do jego osiągnięcia oraz prognozowany harmonogram tych działań. </w:t>
      </w:r>
      <w:r w:rsidRPr="00907094">
        <w:rPr>
          <w:rFonts w:ascii="Times New Roman" w:hAnsi="Times New Roman"/>
          <w:sz w:val="24"/>
        </w:rPr>
        <w:t>Ust. 2</w:t>
      </w:r>
      <w:r w:rsidRPr="00907094">
        <w:rPr>
          <w:rFonts w:ascii="Times New Roman" w:eastAsia="Times New Roman" w:hAnsi="Times New Roman" w:cs="Times New Roman"/>
          <w:bCs/>
          <w:sz w:val="24"/>
          <w:szCs w:val="24"/>
          <w:lang w:eastAsia="pl-PL"/>
        </w:rPr>
        <w:t xml:space="preserve"> nakłada obowiązek zatwierdzenia tego planu przez organ zarządzający emitenta </w:t>
      </w:r>
      <w:proofErr w:type="spellStart"/>
      <w:r w:rsidRPr="00907094">
        <w:rPr>
          <w:rFonts w:ascii="Times New Roman" w:eastAsia="Times New Roman" w:hAnsi="Times New Roman" w:cs="Times New Roman"/>
          <w:bCs/>
          <w:sz w:val="24"/>
          <w:szCs w:val="24"/>
          <w:lang w:eastAsia="pl-PL"/>
        </w:rPr>
        <w:t>tokenów</w:t>
      </w:r>
      <w:proofErr w:type="spellEnd"/>
      <w:r w:rsidRPr="00907094">
        <w:rPr>
          <w:rFonts w:ascii="Times New Roman" w:eastAsia="Times New Roman" w:hAnsi="Times New Roman" w:cs="Times New Roman"/>
          <w:bCs/>
          <w:sz w:val="24"/>
          <w:szCs w:val="24"/>
          <w:lang w:eastAsia="pl-PL"/>
        </w:rPr>
        <w:t xml:space="preserve"> powiązanych z aktywami. </w:t>
      </w:r>
      <w:r w:rsidRPr="00907094">
        <w:rPr>
          <w:rFonts w:ascii="Times New Roman" w:hAnsi="Times New Roman"/>
          <w:sz w:val="24"/>
        </w:rPr>
        <w:t>Ust</w:t>
      </w:r>
      <w:r w:rsidRPr="00907094">
        <w:rPr>
          <w:rFonts w:ascii="Times New Roman" w:eastAsia="Times New Roman" w:hAnsi="Times New Roman" w:cs="Times New Roman"/>
          <w:bCs/>
          <w:sz w:val="24"/>
          <w:szCs w:val="24"/>
          <w:lang w:eastAsia="pl-PL"/>
        </w:rPr>
        <w:t>.</w:t>
      </w:r>
      <w:r w:rsidRPr="00907094">
        <w:rPr>
          <w:rFonts w:ascii="Times New Roman" w:hAnsi="Times New Roman"/>
          <w:sz w:val="24"/>
        </w:rPr>
        <w:t xml:space="preserve"> 3</w:t>
      </w:r>
      <w:r w:rsidRPr="00907094">
        <w:rPr>
          <w:rFonts w:ascii="Times New Roman" w:eastAsia="Calibri" w:hAnsi="Times New Roman" w:cs="Times New Roman"/>
          <w:sz w:val="24"/>
          <w:szCs w:val="24"/>
        </w:rPr>
        <w:t xml:space="preserve"> </w:t>
      </w:r>
      <w:r w:rsidRPr="00907094">
        <w:rPr>
          <w:rFonts w:ascii="Times New Roman" w:eastAsia="Times New Roman" w:hAnsi="Times New Roman" w:cs="Times New Roman"/>
          <w:bCs/>
          <w:sz w:val="24"/>
          <w:szCs w:val="24"/>
          <w:lang w:eastAsia="pl-PL"/>
        </w:rPr>
        <w:t xml:space="preserve">obliguje emitenta </w:t>
      </w:r>
      <w:proofErr w:type="spellStart"/>
      <w:r w:rsidRPr="00907094">
        <w:rPr>
          <w:rFonts w:ascii="Times New Roman" w:eastAsia="Times New Roman" w:hAnsi="Times New Roman" w:cs="Times New Roman"/>
          <w:bCs/>
          <w:sz w:val="24"/>
          <w:szCs w:val="24"/>
          <w:lang w:eastAsia="pl-PL"/>
        </w:rPr>
        <w:t>tokenów</w:t>
      </w:r>
      <w:proofErr w:type="spellEnd"/>
      <w:r w:rsidRPr="00907094">
        <w:rPr>
          <w:rFonts w:ascii="Times New Roman" w:eastAsia="Times New Roman" w:hAnsi="Times New Roman" w:cs="Times New Roman"/>
          <w:bCs/>
          <w:sz w:val="24"/>
          <w:szCs w:val="24"/>
          <w:lang w:eastAsia="pl-PL"/>
        </w:rPr>
        <w:t xml:space="preserve"> powiązanych z aktywami do uaktualnienia planu po wystąpieniu istotnego zdarzenia wpływającego na jego treść.</w:t>
      </w:r>
    </w:p>
    <w:p w14:paraId="0305ACF3" w14:textId="5C7BA790"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eastAsia="Times New Roman" w:hAnsi="Times New Roman" w:cs="Times New Roman"/>
          <w:b/>
          <w:bCs/>
          <w:sz w:val="24"/>
          <w:szCs w:val="24"/>
          <w:lang w:eastAsia="pl-PL"/>
        </w:rPr>
        <w:t xml:space="preserve">Art. 26 </w:t>
      </w:r>
      <w:r w:rsidRPr="00907094">
        <w:rPr>
          <w:rFonts w:ascii="Times New Roman" w:eastAsia="Times New Roman" w:hAnsi="Times New Roman" w:cs="Times New Roman"/>
          <w:sz w:val="24"/>
          <w:szCs w:val="24"/>
          <w:lang w:eastAsia="pl-PL"/>
        </w:rPr>
        <w:t>ust. 1</w:t>
      </w:r>
      <w:r w:rsidRPr="00907094">
        <w:rPr>
          <w:rFonts w:ascii="Times New Roman" w:eastAsia="Times New Roman" w:hAnsi="Times New Roman" w:cs="Times New Roman"/>
          <w:bCs/>
          <w:sz w:val="24"/>
          <w:szCs w:val="24"/>
          <w:lang w:eastAsia="pl-PL"/>
        </w:rPr>
        <w:t xml:space="preserve"> określa termin, w jakim Komisja zatwierdza plan, o którym mowa w art. 23 ust. 1 lit b rozporządzenia 2023/1114. Ust. 2</w:t>
      </w:r>
      <w:r w:rsidRPr="00907094">
        <w:rPr>
          <w:rFonts w:ascii="Times New Roman" w:eastAsia="Times New Roman" w:hAnsi="Times New Roman" w:cs="Times New Roman"/>
          <w:b/>
          <w:sz w:val="24"/>
          <w:szCs w:val="24"/>
          <w:lang w:eastAsia="pl-PL"/>
        </w:rPr>
        <w:t xml:space="preserve"> </w:t>
      </w:r>
      <w:r w:rsidRPr="00907094">
        <w:rPr>
          <w:rFonts w:ascii="Times New Roman" w:eastAsia="Times New Roman" w:hAnsi="Times New Roman" w:cs="Times New Roman"/>
          <w:bCs/>
          <w:sz w:val="24"/>
          <w:szCs w:val="24"/>
          <w:lang w:eastAsia="pl-PL"/>
        </w:rPr>
        <w:t>przewiduje natomiast, że</w:t>
      </w:r>
      <w:r w:rsidRPr="00907094">
        <w:rPr>
          <w:rFonts w:ascii="Times New Roman" w:eastAsia="Times New Roman" w:hAnsi="Times New Roman" w:cs="Times New Roman"/>
          <w:b/>
          <w:sz w:val="24"/>
          <w:szCs w:val="24"/>
          <w:lang w:eastAsia="pl-PL"/>
        </w:rPr>
        <w:t xml:space="preserve"> </w:t>
      </w:r>
      <w:r w:rsidRPr="00907094">
        <w:rPr>
          <w:rFonts w:ascii="Times New Roman" w:eastAsia="Times New Roman" w:hAnsi="Times New Roman" w:cs="Times New Roman"/>
          <w:bCs/>
          <w:sz w:val="24"/>
          <w:szCs w:val="24"/>
          <w:lang w:eastAsia="pl-PL"/>
        </w:rPr>
        <w:t xml:space="preserve">jeżeli plan ten nie spełnia wymagań określonych w art. 25 ust. 1 projektu ustawy lub występują inne istotne okoliczności zagrażające jego skutecznemu wdrożeniu, emitent </w:t>
      </w:r>
      <w:proofErr w:type="spellStart"/>
      <w:r w:rsidRPr="00907094">
        <w:rPr>
          <w:rFonts w:ascii="Times New Roman" w:eastAsia="Times New Roman" w:hAnsi="Times New Roman" w:cs="Times New Roman"/>
          <w:bCs/>
          <w:sz w:val="24"/>
          <w:szCs w:val="24"/>
          <w:lang w:eastAsia="pl-PL"/>
        </w:rPr>
        <w:t>tokenów</w:t>
      </w:r>
      <w:proofErr w:type="spellEnd"/>
      <w:r w:rsidRPr="00907094">
        <w:rPr>
          <w:rFonts w:ascii="Times New Roman" w:eastAsia="Times New Roman" w:hAnsi="Times New Roman" w:cs="Times New Roman"/>
          <w:bCs/>
          <w:sz w:val="24"/>
          <w:szCs w:val="24"/>
          <w:lang w:eastAsia="pl-PL"/>
        </w:rPr>
        <w:t xml:space="preserve"> powiązanych z aktywami, na żądanie Komisji, zmienia plan, w terminie 20 dni roboczych od dnia otrzymania tego żądania. </w:t>
      </w:r>
    </w:p>
    <w:p w14:paraId="0BC899C2"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eastAsia="Times New Roman" w:hAnsi="Times New Roman" w:cs="Times New Roman"/>
          <w:b/>
          <w:bCs/>
          <w:sz w:val="24"/>
          <w:szCs w:val="24"/>
          <w:lang w:eastAsia="pl-PL"/>
        </w:rPr>
        <w:t>Art. 27</w:t>
      </w:r>
      <w:r w:rsidRPr="00907094">
        <w:rPr>
          <w:rFonts w:ascii="Times New Roman" w:eastAsia="Times New Roman" w:hAnsi="Times New Roman" w:cs="Times New Roman"/>
          <w:bCs/>
          <w:sz w:val="24"/>
          <w:szCs w:val="24"/>
          <w:lang w:eastAsia="pl-PL"/>
        </w:rPr>
        <w:t xml:space="preserve"> przepis wprowadza obowiązek ciągłego raportowania związanego z wdrożeniem i wykonywaniem planu, o którym mowa w art. 23 ust. 1 lit. b rozporządzenia 2023/1114. Zgodnie z art. 23 rozporządzenia 2023/1114 organ nadzoru ma kompetencje do wyrażenia zgody na wznowienie emisji </w:t>
      </w:r>
      <w:proofErr w:type="spellStart"/>
      <w:r w:rsidRPr="00907094">
        <w:rPr>
          <w:rFonts w:ascii="Times New Roman" w:eastAsia="Times New Roman" w:hAnsi="Times New Roman" w:cs="Times New Roman"/>
          <w:bCs/>
          <w:sz w:val="24"/>
          <w:szCs w:val="24"/>
          <w:lang w:eastAsia="pl-PL"/>
        </w:rPr>
        <w:t>tokenów</w:t>
      </w:r>
      <w:proofErr w:type="spellEnd"/>
      <w:r w:rsidRPr="00907094">
        <w:rPr>
          <w:rFonts w:ascii="Times New Roman" w:eastAsia="Times New Roman" w:hAnsi="Times New Roman" w:cs="Times New Roman"/>
          <w:bCs/>
          <w:sz w:val="24"/>
          <w:szCs w:val="24"/>
          <w:lang w:eastAsia="pl-PL"/>
        </w:rPr>
        <w:t xml:space="preserve"> powiązanych z aktywami służących jako środek wymiany i z tego względu powinien posiadać umocowane w ustawie kompetencje pozwalające na monitorowanie prawidłowego wykonywania zatwierdzonego uprzednio planu. Ust. 2 przewiduje, że Komisja zezwala na wznowienie przez emitenta </w:t>
      </w:r>
      <w:proofErr w:type="spellStart"/>
      <w:r w:rsidRPr="00907094">
        <w:rPr>
          <w:rFonts w:ascii="Times New Roman" w:eastAsia="Times New Roman" w:hAnsi="Times New Roman" w:cs="Times New Roman"/>
          <w:bCs/>
          <w:sz w:val="24"/>
          <w:szCs w:val="24"/>
          <w:lang w:eastAsia="pl-PL"/>
        </w:rPr>
        <w:t>tokenów</w:t>
      </w:r>
      <w:proofErr w:type="spellEnd"/>
      <w:r w:rsidRPr="00907094">
        <w:rPr>
          <w:rFonts w:ascii="Times New Roman" w:eastAsia="Times New Roman" w:hAnsi="Times New Roman" w:cs="Times New Roman"/>
          <w:bCs/>
          <w:sz w:val="24"/>
          <w:szCs w:val="24"/>
          <w:lang w:eastAsia="pl-PL"/>
        </w:rPr>
        <w:t xml:space="preserve"> powiązanych z aktywami emisji tych </w:t>
      </w:r>
      <w:proofErr w:type="spellStart"/>
      <w:r w:rsidRPr="00907094">
        <w:rPr>
          <w:rFonts w:ascii="Times New Roman" w:eastAsia="Times New Roman" w:hAnsi="Times New Roman" w:cs="Times New Roman"/>
          <w:bCs/>
          <w:sz w:val="24"/>
          <w:szCs w:val="24"/>
          <w:lang w:eastAsia="pl-PL"/>
        </w:rPr>
        <w:t>tokenów</w:t>
      </w:r>
      <w:proofErr w:type="spellEnd"/>
      <w:r w:rsidRPr="00907094">
        <w:rPr>
          <w:rFonts w:ascii="Times New Roman" w:eastAsia="Times New Roman" w:hAnsi="Times New Roman" w:cs="Times New Roman"/>
          <w:bCs/>
          <w:sz w:val="24"/>
          <w:szCs w:val="24"/>
          <w:lang w:eastAsia="pl-PL"/>
        </w:rPr>
        <w:t>, w przypadku gdy emitent ten realizując plan, spełnia warunki określone w art. 23 ust. 5 rozporządzenia 2023/1114 oraz przedstawi Komisji dowody na potwierdzenie ich spełnienia.</w:t>
      </w:r>
    </w:p>
    <w:p w14:paraId="29BF52CA"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Art. 28</w:t>
      </w:r>
      <w:r w:rsidRPr="00907094">
        <w:rPr>
          <w:rFonts w:ascii="Times New Roman" w:hAnsi="Times New Roman" w:cs="Times New Roman"/>
          <w:sz w:val="24"/>
          <w:szCs w:val="24"/>
        </w:rPr>
        <w:t xml:space="preserve"> przesądza, biorąc pod uwagę brzmienie art. 58 ust. 3 rozporządzenia 2023/1114, że przepisy art. 25−27 stosuje się odpowiednio do </w:t>
      </w:r>
      <w:bookmarkStart w:id="6" w:name="_Hlk171512874"/>
      <w:r w:rsidRPr="00907094">
        <w:rPr>
          <w:rFonts w:ascii="Times New Roman" w:hAnsi="Times New Roman" w:cs="Times New Roman"/>
          <w:sz w:val="24"/>
          <w:szCs w:val="24"/>
        </w:rPr>
        <w:t xml:space="preserve">emitentów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będących e-pieniądzem. </w:t>
      </w:r>
      <w:bookmarkEnd w:id="6"/>
    </w:p>
    <w:p w14:paraId="2BD7D967" w14:textId="77777777" w:rsidR="00C21D4B" w:rsidRPr="00907094" w:rsidRDefault="00C21D4B" w:rsidP="00695ECE">
      <w:pPr>
        <w:pStyle w:val="Akapitzlist"/>
        <w:numPr>
          <w:ilvl w:val="0"/>
          <w:numId w:val="2"/>
        </w:numPr>
        <w:spacing w:line="360" w:lineRule="auto"/>
        <w:jc w:val="both"/>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29</w:t>
      </w:r>
      <w:r w:rsidRPr="00A11E28">
        <w:rPr>
          <w:rFonts w:ascii="Times New Roman" w:hAnsi="Times New Roman" w:cs="Times New Roman"/>
          <w:b/>
          <w:bCs/>
          <w:sz w:val="24"/>
          <w:szCs w:val="24"/>
        </w:rPr>
        <w:t>–3</w:t>
      </w:r>
      <w:r>
        <w:rPr>
          <w:rFonts w:ascii="Times New Roman" w:hAnsi="Times New Roman" w:cs="Times New Roman"/>
          <w:b/>
          <w:bCs/>
          <w:sz w:val="24"/>
          <w:szCs w:val="24"/>
        </w:rPr>
        <w:t>7</w:t>
      </w:r>
      <w:r w:rsidRPr="00A11E28">
        <w:rPr>
          <w:rFonts w:ascii="Times New Roman" w:hAnsi="Times New Roman" w:cs="Times New Roman"/>
          <w:sz w:val="24"/>
          <w:szCs w:val="24"/>
        </w:rPr>
        <w:t xml:space="preserve"> Zgodnie z art. 41 i 42 rozporządzenia 2023/1114 mają odzwierciedlać zasady nabywania znacznych pakietów akcji w całym sektorze finansowym wyznaczone przez dyrektywę </w:t>
      </w:r>
      <w:r w:rsidRPr="00546E53">
        <w:rPr>
          <w:rFonts w:ascii="Times New Roman" w:hAnsi="Times New Roman" w:cs="Times New Roman"/>
          <w:sz w:val="24"/>
          <w:szCs w:val="24"/>
        </w:rPr>
        <w:t>Parlamentu Europejskiego i Rady 2014/65/UE z dnia 15 maja 2014 r. w sprawie rynków instrumentów finansowych oraz zmieniając</w:t>
      </w:r>
      <w:r>
        <w:rPr>
          <w:rFonts w:ascii="Times New Roman" w:hAnsi="Times New Roman" w:cs="Times New Roman"/>
          <w:sz w:val="24"/>
          <w:szCs w:val="24"/>
        </w:rPr>
        <w:t>ą</w:t>
      </w:r>
      <w:r w:rsidRPr="00546E53">
        <w:rPr>
          <w:rFonts w:ascii="Times New Roman" w:hAnsi="Times New Roman" w:cs="Times New Roman"/>
          <w:sz w:val="24"/>
          <w:szCs w:val="24"/>
        </w:rPr>
        <w:t xml:space="preserve"> dyrektywę 2002/92/WE i dyrektywę 2011/61/UE (przekształcenie) </w:t>
      </w:r>
      <w:r>
        <w:rPr>
          <w:rFonts w:ascii="Times New Roman" w:hAnsi="Times New Roman" w:cs="Times New Roman"/>
          <w:sz w:val="24"/>
          <w:szCs w:val="24"/>
        </w:rPr>
        <w:t>(</w:t>
      </w:r>
      <w:r w:rsidRPr="00546E53">
        <w:rPr>
          <w:rFonts w:ascii="Times New Roman" w:hAnsi="Times New Roman" w:cs="Times New Roman"/>
          <w:sz w:val="24"/>
          <w:szCs w:val="24"/>
        </w:rPr>
        <w:t>Dz.U. L 173 z 12/06/2014, s. 349–496)</w:t>
      </w:r>
      <w:r>
        <w:rPr>
          <w:rFonts w:ascii="Times New Roman" w:hAnsi="Times New Roman" w:cs="Times New Roman"/>
          <w:sz w:val="24"/>
          <w:szCs w:val="24"/>
        </w:rPr>
        <w:t>.</w:t>
      </w:r>
      <w:r w:rsidRPr="00546E53">
        <w:rPr>
          <w:rFonts w:ascii="Times New Roman" w:hAnsi="Times New Roman" w:cs="Times New Roman"/>
          <w:sz w:val="24"/>
          <w:szCs w:val="24"/>
        </w:rPr>
        <w:t xml:space="preserve"> Dyrektywa ta została zaimplementowana do prawa polskiego w art. 106</w:t>
      </w:r>
      <w:r>
        <w:rPr>
          <w:rFonts w:ascii="Times New Roman" w:hAnsi="Times New Roman" w:cs="Times New Roman"/>
          <w:sz w:val="24"/>
          <w:szCs w:val="24"/>
        </w:rPr>
        <w:t>−</w:t>
      </w:r>
      <w:r w:rsidRPr="00546E53">
        <w:rPr>
          <w:rFonts w:ascii="Times New Roman" w:hAnsi="Times New Roman" w:cs="Times New Roman"/>
          <w:sz w:val="24"/>
          <w:szCs w:val="24"/>
        </w:rPr>
        <w:t xml:space="preserve">110 ustawy o obrocie instrumentami finansowymi. Z systemowego punktu widzenia istotne jest, aby zasady nabycia znacznych pakietów akcji w całym sektorze finansowym były podobne. Ponadto proponowane przepisy mają na celu doprecyzowanie procedury powiadamiania o nabyciu albo objęciu znacznych pakietów udziałów lub akcji emitentów </w:t>
      </w:r>
      <w:proofErr w:type="spellStart"/>
      <w:r w:rsidRPr="00546E53">
        <w:rPr>
          <w:rFonts w:ascii="Times New Roman" w:hAnsi="Times New Roman" w:cs="Times New Roman"/>
          <w:sz w:val="24"/>
          <w:szCs w:val="24"/>
        </w:rPr>
        <w:t>tokenów</w:t>
      </w:r>
      <w:proofErr w:type="spellEnd"/>
      <w:r w:rsidRPr="00546E53">
        <w:rPr>
          <w:rFonts w:ascii="Times New Roman" w:hAnsi="Times New Roman" w:cs="Times New Roman"/>
          <w:sz w:val="24"/>
          <w:szCs w:val="24"/>
        </w:rPr>
        <w:t xml:space="preserve"> powiązanych z aktywami lub dostawców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o której mowa w art. 41 i art. 83 rozporządzenia 2023/1114. Przepisy rozporządzenia nie ustanowiły wystarczająco szczegółowej procedury postępowania w przypadku tych transakcji, więc koniecznym stało się doprecyzowanie jej na poziomie ustawowym. W związku z tym wprowadza się przepisy regulujące zakres informacji składanych wraz z powiadomieniem, język powiadomienia i załączanych dokumentów, możliwość złożenia stosownego oświadczenia w miejsce wymaganych dokumentów, możliwość ustanowienia pełnomocnika do doręczeń czy obowiązek poinformowania emitenta o transakcji.</w:t>
      </w:r>
    </w:p>
    <w:p w14:paraId="12BC20B2" w14:textId="77777777" w:rsidR="00C21D4B" w:rsidRPr="00907094" w:rsidRDefault="00C21D4B" w:rsidP="00695ECE">
      <w:pPr>
        <w:pStyle w:val="Akapitzlist"/>
        <w:numPr>
          <w:ilvl w:val="0"/>
          <w:numId w:val="2"/>
        </w:numPr>
        <w:spacing w:line="360" w:lineRule="auto"/>
        <w:jc w:val="both"/>
      </w:pPr>
      <w:r w:rsidRPr="00907094">
        <w:rPr>
          <w:rFonts w:ascii="Times New Roman" w:hAnsi="Times New Roman" w:cs="Times New Roman"/>
          <w:sz w:val="24"/>
          <w:szCs w:val="24"/>
        </w:rPr>
        <w:t xml:space="preserve">W </w:t>
      </w:r>
      <w:r w:rsidRPr="00907094">
        <w:rPr>
          <w:rFonts w:ascii="Times New Roman" w:hAnsi="Times New Roman" w:cs="Times New Roman"/>
          <w:b/>
          <w:bCs/>
          <w:sz w:val="24"/>
          <w:szCs w:val="24"/>
        </w:rPr>
        <w:t xml:space="preserve">art. 29 </w:t>
      </w:r>
      <w:r w:rsidRPr="00907094">
        <w:rPr>
          <w:rFonts w:ascii="Times New Roman" w:hAnsi="Times New Roman" w:cs="Times New Roman"/>
          <w:sz w:val="24"/>
          <w:szCs w:val="24"/>
        </w:rPr>
        <w:t xml:space="preserve">ustanowiono obowiązek powiadomienia Komisji przez potencjalnego nabywcę, który zamierza, bezpośrednio lub pośrednio, stać się jednostką dominującą emitenta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powiązanych z aktywami lub dostawcy usług w zakresie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xml:space="preserve"> w sposób inny niż przez nabycie albo objęcie udziałów lub akcji emitenta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powiązanych z aktywami lub dostawcy usług w zakresie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xml:space="preserve">. </w:t>
      </w:r>
    </w:p>
    <w:p w14:paraId="563F0772" w14:textId="77777777" w:rsidR="00C21D4B" w:rsidRPr="00907094" w:rsidRDefault="00C21D4B" w:rsidP="00695ECE">
      <w:pPr>
        <w:pStyle w:val="Akapitzlist"/>
        <w:numPr>
          <w:ilvl w:val="0"/>
          <w:numId w:val="2"/>
        </w:numPr>
        <w:spacing w:line="360" w:lineRule="auto"/>
        <w:jc w:val="both"/>
      </w:pPr>
      <w:r w:rsidRPr="00907094">
        <w:rPr>
          <w:rFonts w:ascii="Times New Roman" w:hAnsi="Times New Roman" w:cs="Times New Roman"/>
          <w:sz w:val="24"/>
          <w:szCs w:val="24"/>
        </w:rPr>
        <w:t xml:space="preserve">W </w:t>
      </w:r>
      <w:r w:rsidRPr="00907094">
        <w:rPr>
          <w:rFonts w:ascii="Times New Roman" w:hAnsi="Times New Roman" w:cs="Times New Roman"/>
          <w:b/>
          <w:bCs/>
          <w:sz w:val="24"/>
          <w:szCs w:val="24"/>
        </w:rPr>
        <w:t>art. 30</w:t>
      </w:r>
      <w:r w:rsidRPr="00907094">
        <w:rPr>
          <w:rFonts w:ascii="Times New Roman" w:hAnsi="Times New Roman" w:cs="Times New Roman"/>
          <w:sz w:val="24"/>
          <w:szCs w:val="24"/>
        </w:rPr>
        <w:t xml:space="preserve"> dookreśla jakie jednostki i podmioty uważa się za pośrednio stające się jednostką dominującą emitenta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powiązanych z aktywami lub dostawcy usług w zakresie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xml:space="preserve"> albo pośrednio nabywające lub obejmujące udziały lub akcje tego emitenta lub tego dostawcy. </w:t>
      </w:r>
    </w:p>
    <w:p w14:paraId="4B0D7A24" w14:textId="73225ECB" w:rsidR="00C21D4B" w:rsidRPr="00907094" w:rsidRDefault="00C21D4B" w:rsidP="00695ECE">
      <w:pPr>
        <w:pStyle w:val="Akapitzlist"/>
        <w:numPr>
          <w:ilvl w:val="0"/>
          <w:numId w:val="2"/>
        </w:numPr>
        <w:spacing w:line="360" w:lineRule="auto"/>
        <w:jc w:val="both"/>
      </w:pPr>
      <w:r w:rsidRPr="00907094">
        <w:rPr>
          <w:rFonts w:ascii="Times New Roman" w:hAnsi="Times New Roman" w:cs="Times New Roman"/>
          <w:sz w:val="24"/>
          <w:szCs w:val="24"/>
        </w:rPr>
        <w:t xml:space="preserve">W </w:t>
      </w:r>
      <w:r w:rsidRPr="00907094">
        <w:rPr>
          <w:rFonts w:ascii="Times New Roman" w:hAnsi="Times New Roman" w:cs="Times New Roman"/>
          <w:b/>
          <w:bCs/>
          <w:sz w:val="24"/>
          <w:szCs w:val="24"/>
        </w:rPr>
        <w:t>art. 31</w:t>
      </w:r>
      <w:r w:rsidRPr="00907094">
        <w:rPr>
          <w:rFonts w:ascii="Times New Roman" w:hAnsi="Times New Roman" w:cs="Times New Roman"/>
          <w:sz w:val="24"/>
          <w:szCs w:val="24"/>
        </w:rPr>
        <w:t xml:space="preserve"> ust. 1 odnosi się do podmiotów wskazanych w art. 29 projektu ustawy lub art. 41 ust. 1 lub art. 83 ust. 1 rozporządzenia 2023/1114 i precyzuje sytuację, w której obowiązek powiadomienia spoczywa zarówno na potencjalnym nabywcy, jak i pierwotnej jednostce dominującej, a także wskazuje kiedy taki obowiązek spoczywa jedynie na pierwotnej jednostce dominującej. Rozwiązanie przewidziane w pkt 2 tego ustępu stanowi szczególny przypadek względem przepisów rozporządzenia </w:t>
      </w:r>
      <w:proofErr w:type="spellStart"/>
      <w:r w:rsidRPr="00907094">
        <w:rPr>
          <w:rFonts w:ascii="Times New Roman" w:hAnsi="Times New Roman" w:cs="Times New Roman"/>
          <w:sz w:val="24"/>
          <w:szCs w:val="24"/>
        </w:rPr>
        <w:t>MiCA</w:t>
      </w:r>
      <w:proofErr w:type="spellEnd"/>
      <w:r w:rsidRPr="00907094">
        <w:rPr>
          <w:rFonts w:ascii="Times New Roman" w:hAnsi="Times New Roman" w:cs="Times New Roman"/>
          <w:sz w:val="24"/>
          <w:szCs w:val="24"/>
        </w:rPr>
        <w:t xml:space="preserve"> i nie jest z nim sprzeczne, ponieważ ma na celu przede wszystkim uregulowanie sytuacji wyjątkowej, w przypadku złożonej grupy kapitałowej, a także zdjęcie obowiązku dokonania przedmiotowego powiadomienia ze wszystkich podmiotów w grupie kapitałowej, co stanowi ułatwienie dla podmiotów objętych ta regulacją. Należy przy tym wskazać, że pierwotna jednostka dominująca, o której mowa w przedmiotowym przepisie, to jednostka dominująca podmiotu, który staje się jednostką dominującą emitenta lub dostawcy usług w zakresie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Przepis ten dotyczy dużych grup spółek, które nierzadko mają piętrową strukturę – w takiej organizacji, podmiot, który zamierza nabyć pakiet sam jest zazwyczaj jednostką zależną. Ust. 2 wskazuje podmioty, których dotyczy obowiązek złożenia powiadomienia. Ust. 2 wzorowany jest na brzmieniu art. 106 ust. 4 ustawy o obrocie instrumentami finansowymi. Zgodnie z projektowanym przepisem obowiązek zawiadomienia dotyczy także zastawnika i użytkownika udziału lub akcji, jeżeli zgodnie z art. 187 § 2, art. 300</w:t>
      </w:r>
      <w:r w:rsidRPr="00907094">
        <w:rPr>
          <w:rFonts w:ascii="Times New Roman" w:hAnsi="Times New Roman" w:cs="Times New Roman"/>
          <w:sz w:val="24"/>
          <w:szCs w:val="24"/>
          <w:vertAlign w:val="superscript"/>
        </w:rPr>
        <w:t xml:space="preserve">23 </w:t>
      </w:r>
      <w:r w:rsidRPr="00907094">
        <w:rPr>
          <w:rFonts w:ascii="Times New Roman" w:hAnsi="Times New Roman" w:cs="Times New Roman"/>
          <w:sz w:val="24"/>
          <w:szCs w:val="24"/>
        </w:rPr>
        <w:t>§ 2 lub art. 340 § 1 ustawy z dnia 15 września 2000 r. − Kode</w:t>
      </w:r>
      <w:r w:rsidR="00D92F69">
        <w:rPr>
          <w:rFonts w:ascii="Times New Roman" w:hAnsi="Times New Roman" w:cs="Times New Roman"/>
          <w:sz w:val="24"/>
          <w:szCs w:val="24"/>
        </w:rPr>
        <w:t xml:space="preserve">ks spółek handlowych </w:t>
      </w:r>
      <w:r w:rsidRPr="00907094">
        <w:rPr>
          <w:rFonts w:ascii="Times New Roman" w:hAnsi="Times New Roman" w:cs="Times New Roman"/>
          <w:sz w:val="24"/>
          <w:szCs w:val="24"/>
        </w:rPr>
        <w:t>są oni uprawnieni do wykonywania prawa głosu z udziału lub akcji.</w:t>
      </w:r>
    </w:p>
    <w:p w14:paraId="5F139171" w14:textId="77777777" w:rsidR="00C21D4B" w:rsidRPr="00A11E28" w:rsidRDefault="00C21D4B" w:rsidP="00695ECE">
      <w:pPr>
        <w:pStyle w:val="Akapitzlist"/>
        <w:spacing w:line="360" w:lineRule="auto"/>
        <w:jc w:val="both"/>
        <w:rPr>
          <w:rFonts w:ascii="Times New Roman" w:hAnsi="Times New Roman" w:cs="Times New Roman"/>
          <w:bCs/>
          <w:sz w:val="24"/>
          <w:szCs w:val="24"/>
        </w:rPr>
      </w:pPr>
      <w:r>
        <w:rPr>
          <w:rFonts w:ascii="Times New Roman" w:hAnsi="Times New Roman" w:cs="Times New Roman"/>
          <w:sz w:val="24"/>
          <w:szCs w:val="24"/>
        </w:rPr>
        <w:t>U</w:t>
      </w:r>
      <w:r w:rsidRPr="00A11E28">
        <w:rPr>
          <w:rFonts w:ascii="Times New Roman" w:hAnsi="Times New Roman" w:cs="Times New Roman"/>
          <w:sz w:val="24"/>
          <w:szCs w:val="24"/>
        </w:rPr>
        <w:t>st. 3 precyzuje kiedy powstaje ten obowiązek. Przepis ten jest wzorowany na konstrukcji przepisu</w:t>
      </w:r>
      <w:r>
        <w:rPr>
          <w:rFonts w:ascii="Times New Roman" w:hAnsi="Times New Roman" w:cs="Times New Roman"/>
          <w:sz w:val="24"/>
          <w:szCs w:val="24"/>
        </w:rPr>
        <w:t xml:space="preserve"> art.</w:t>
      </w:r>
      <w:r w:rsidRPr="00A11E28">
        <w:rPr>
          <w:rFonts w:ascii="Times New Roman" w:hAnsi="Times New Roman" w:cs="Times New Roman"/>
          <w:sz w:val="24"/>
          <w:szCs w:val="24"/>
        </w:rPr>
        <w:t xml:space="preserve"> 106 ust. 5 ustawy o obrocie instrumentami finansowymi. Ust.</w:t>
      </w:r>
      <w:r>
        <w:rPr>
          <w:rFonts w:ascii="Times New Roman" w:hAnsi="Times New Roman" w:cs="Times New Roman"/>
          <w:sz w:val="24"/>
          <w:szCs w:val="24"/>
        </w:rPr>
        <w:t> </w:t>
      </w:r>
      <w:r w:rsidRPr="00A11E28">
        <w:rPr>
          <w:rFonts w:ascii="Times New Roman" w:hAnsi="Times New Roman" w:cs="Times New Roman"/>
          <w:sz w:val="24"/>
          <w:szCs w:val="24"/>
        </w:rPr>
        <w:t>4 określa, że do podmiotów, o których mowa w ust. 2</w:t>
      </w:r>
      <w:r>
        <w:rPr>
          <w:rFonts w:ascii="Times New Roman" w:hAnsi="Times New Roman" w:cs="Times New Roman"/>
          <w:sz w:val="24"/>
          <w:szCs w:val="24"/>
        </w:rPr>
        <w:t xml:space="preserve"> projektowanego przepisu</w:t>
      </w:r>
      <w:r w:rsidRPr="00A11E28">
        <w:rPr>
          <w:rFonts w:ascii="Times New Roman" w:hAnsi="Times New Roman" w:cs="Times New Roman"/>
          <w:sz w:val="24"/>
          <w:szCs w:val="24"/>
        </w:rPr>
        <w:t xml:space="preserve">, przepisy ust. 1 i art. </w:t>
      </w:r>
      <w:r>
        <w:rPr>
          <w:rFonts w:ascii="Times New Roman" w:hAnsi="Times New Roman" w:cs="Times New Roman"/>
          <w:sz w:val="24"/>
          <w:szCs w:val="24"/>
        </w:rPr>
        <w:t>30</w:t>
      </w:r>
      <w:r w:rsidRPr="00A11E28">
        <w:rPr>
          <w:rFonts w:ascii="Times New Roman" w:hAnsi="Times New Roman" w:cs="Times New Roman"/>
          <w:sz w:val="24"/>
          <w:szCs w:val="24"/>
        </w:rPr>
        <w:t xml:space="preserve"> stosuje się odpowiednio.</w:t>
      </w:r>
    </w:p>
    <w:p w14:paraId="0CBF7824"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32</w:t>
      </w:r>
      <w:r w:rsidRPr="00A11E28">
        <w:rPr>
          <w:rFonts w:ascii="Times New Roman" w:hAnsi="Times New Roman" w:cs="Times New Roman"/>
          <w:sz w:val="24"/>
          <w:szCs w:val="24"/>
        </w:rPr>
        <w:t xml:space="preserve"> reguluje kwestię podmiotów działających w porozumieniu, którego przedmiotem jest nabycie </w:t>
      </w:r>
      <w:bookmarkStart w:id="7" w:name="_Hlk173664297"/>
      <w:r w:rsidRPr="00A11E28">
        <w:rPr>
          <w:rFonts w:ascii="Times New Roman" w:hAnsi="Times New Roman" w:cs="Times New Roman"/>
          <w:sz w:val="24"/>
          <w:szCs w:val="24"/>
        </w:rPr>
        <w:t xml:space="preserve">albo objęcie udziałów lub akcji emitenta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powiązanych z aktywami lub dostawcy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w liczbie zapewniającej osiągnięcie albo przekroczenie poziomów określonych w art. 41 ust. 1 lub art. 83 ust. 1 rozporządzenia 2023/1114</w:t>
      </w:r>
      <w:bookmarkEnd w:id="7"/>
      <w:r w:rsidRPr="00A11E28">
        <w:rPr>
          <w:rFonts w:ascii="Times New Roman" w:hAnsi="Times New Roman" w:cs="Times New Roman"/>
          <w:sz w:val="24"/>
          <w:szCs w:val="24"/>
        </w:rPr>
        <w:t xml:space="preserve">, wykonywania prawa głosu z </w:t>
      </w:r>
      <w:r>
        <w:rPr>
          <w:rFonts w:ascii="Times New Roman" w:hAnsi="Times New Roman" w:cs="Times New Roman"/>
          <w:sz w:val="24"/>
          <w:szCs w:val="24"/>
        </w:rPr>
        <w:t xml:space="preserve">udziału lub </w:t>
      </w:r>
      <w:r w:rsidRPr="00A11E28">
        <w:rPr>
          <w:rFonts w:ascii="Times New Roman" w:hAnsi="Times New Roman" w:cs="Times New Roman"/>
          <w:sz w:val="24"/>
          <w:szCs w:val="24"/>
        </w:rPr>
        <w:t xml:space="preserve">akcji na poziomach określonych w art. 41 ust. 1 lub art. 83 ust. 1 rozporządzenia 2023/1114 lub wykonywania uprawnień jednostki dominującej emitenta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powiązanych z aktywami lub dostawcy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Przepis ten stanowi doszczegółowienie przepisów rozporządzenia 2023/1114. Ust. 2 </w:t>
      </w:r>
      <w:r>
        <w:rPr>
          <w:rFonts w:ascii="Times New Roman" w:hAnsi="Times New Roman" w:cs="Times New Roman"/>
          <w:sz w:val="24"/>
          <w:szCs w:val="24"/>
        </w:rPr>
        <w:t xml:space="preserve">określa kiedy działanie </w:t>
      </w:r>
      <w:r w:rsidRPr="00A11E28">
        <w:rPr>
          <w:rFonts w:ascii="Times New Roman" w:hAnsi="Times New Roman" w:cs="Times New Roman"/>
          <w:sz w:val="24"/>
          <w:szCs w:val="24"/>
        </w:rPr>
        <w:t xml:space="preserve">w porozumieniu, którego przedmiotem jest nabycie albo objęcie udziałów lub akcji emitenta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powiązanych z aktywami lub dostawcy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w liczbie zapewniającej osiągnięcie albo przekroczenie poziomów określonych w art. 41 ust. 1 lub art. 83 ust. 1 rozporządzenia 2023/1114</w:t>
      </w:r>
      <w:r>
        <w:rPr>
          <w:rFonts w:ascii="Times New Roman" w:hAnsi="Times New Roman" w:cs="Times New Roman"/>
          <w:sz w:val="24"/>
          <w:szCs w:val="24"/>
        </w:rPr>
        <w:t xml:space="preserve"> będzie domniemane</w:t>
      </w:r>
      <w:r w:rsidRPr="00A11E28">
        <w:rPr>
          <w:rFonts w:ascii="Times New Roman" w:hAnsi="Times New Roman" w:cs="Times New Roman"/>
          <w:sz w:val="24"/>
          <w:szCs w:val="24"/>
        </w:rPr>
        <w:t xml:space="preserve">. Ust. 3 określa, że w przypadku działania podmiotów w porozumieniu powiadomienie składają wszystkie strony tego porozumienia łącznie. Przepis ten jest wzorowany na </w:t>
      </w:r>
      <w:r>
        <w:rPr>
          <w:rFonts w:ascii="Times New Roman" w:hAnsi="Times New Roman" w:cs="Times New Roman"/>
          <w:sz w:val="24"/>
          <w:szCs w:val="24"/>
        </w:rPr>
        <w:t>treści</w:t>
      </w:r>
      <w:r w:rsidRPr="00A11E28">
        <w:rPr>
          <w:rFonts w:ascii="Times New Roman" w:hAnsi="Times New Roman" w:cs="Times New Roman"/>
          <w:sz w:val="24"/>
          <w:szCs w:val="24"/>
        </w:rPr>
        <w:t xml:space="preserve"> art. 106 ust. 8 ustawy o obrocie instrumentami finansowymi.</w:t>
      </w:r>
    </w:p>
    <w:p w14:paraId="2870B99F"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 xml:space="preserve">Art. 33 </w:t>
      </w:r>
      <w:r w:rsidRPr="00907094">
        <w:rPr>
          <w:rFonts w:ascii="Times New Roman" w:hAnsi="Times New Roman" w:cs="Times New Roman"/>
          <w:sz w:val="24"/>
          <w:szCs w:val="24"/>
        </w:rPr>
        <w:t>w ust. 1 precyzuje, że językiem, w którym ma zostać sporządzone powiadomienie, o którym mowa w art. 29 projektowanej ustawy lub art. 41 ust. 1 lub art. 83 ust. 1 rozporządzenia 2023/1114, a także załączane dokumenty jest język polski. W ust. 2 wskazuje sposób tłumaczenia tych dokumentów, a także precyzuje, że istnieje obowiązek legalizacji dokumentów urzędowych sporządzonych w innym języku przez konsula Rzeczypospolitej Polskiej, chyba że umowa międzynarodowa, której Rzeczpospolita Polska jest stroną, stanowi inaczej.</w:t>
      </w:r>
    </w:p>
    <w:p w14:paraId="078DD99D"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sz w:val="24"/>
          <w:szCs w:val="24"/>
        </w:rPr>
        <w:t xml:space="preserve">Zgodnie z </w:t>
      </w:r>
      <w:r w:rsidRPr="00907094">
        <w:rPr>
          <w:rFonts w:ascii="Times New Roman" w:hAnsi="Times New Roman" w:cs="Times New Roman"/>
          <w:b/>
          <w:bCs/>
          <w:sz w:val="24"/>
          <w:szCs w:val="24"/>
        </w:rPr>
        <w:t>art. 34</w:t>
      </w:r>
      <w:r w:rsidRPr="00907094">
        <w:rPr>
          <w:rFonts w:ascii="Times New Roman" w:hAnsi="Times New Roman" w:cs="Times New Roman"/>
          <w:sz w:val="24"/>
          <w:szCs w:val="24"/>
        </w:rPr>
        <w:t xml:space="preserve"> w uzasadnionych przypadkach, podmiot składający powiadomienie lub osoba, której dana sprawa dotyczy, może, zamiast wymaganych dokumentów, złożyć jedynie stosowne oświadczenie zawierające wymagane przepisami informacje. </w:t>
      </w:r>
    </w:p>
    <w:p w14:paraId="67E20F22"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Art. 35</w:t>
      </w:r>
      <w:r w:rsidRPr="00907094">
        <w:rPr>
          <w:rFonts w:ascii="Times New Roman" w:hAnsi="Times New Roman" w:cs="Times New Roman"/>
          <w:sz w:val="24"/>
          <w:szCs w:val="24"/>
        </w:rPr>
        <w:t xml:space="preserve"> reguluje kwestię podmiotów składających powiadomienie, </w:t>
      </w:r>
      <w:bookmarkStart w:id="8" w:name="_Hlk172285632"/>
      <w:r w:rsidRPr="00907094">
        <w:rPr>
          <w:rFonts w:ascii="Times New Roman" w:hAnsi="Times New Roman" w:cs="Times New Roman"/>
          <w:sz w:val="24"/>
          <w:szCs w:val="24"/>
        </w:rPr>
        <w:t>o którym mowa w art. 29 projektu ustawy lub art. 41 ust. 1 lub art. 83 ust. 1 rozporządzenia 2023/1114</w:t>
      </w:r>
      <w:bookmarkEnd w:id="8"/>
      <w:r w:rsidRPr="00907094">
        <w:rPr>
          <w:rFonts w:ascii="Times New Roman" w:hAnsi="Times New Roman" w:cs="Times New Roman"/>
          <w:sz w:val="24"/>
          <w:szCs w:val="24"/>
        </w:rPr>
        <w:t>, którzy nie mają miejsca zamieszkania lub zwykłego pobytu albo siedziby w Rzeczypospolitej Polskiej lub innym państwie członkowskim. W takim przypadku, podmiot ten jest obowiązany ustanowić na terytorium Rzeczypospolitej Polskiej pełnomocnika do doręczeń w toku postępowania w przedmiocie powiadomienia. Ponadto zgodnie z ust. 2, w razie niedopełnienia ww. obowiązku,</w:t>
      </w:r>
      <w:r w:rsidRPr="00984179">
        <w:t xml:space="preserve"> </w:t>
      </w:r>
      <w:r w:rsidRPr="00907094">
        <w:rPr>
          <w:rFonts w:ascii="Times New Roman" w:hAnsi="Times New Roman" w:cs="Times New Roman"/>
          <w:sz w:val="24"/>
          <w:szCs w:val="24"/>
        </w:rPr>
        <w:t xml:space="preserve">pisma w toku postępowania pozostawione będą w aktach sprawy ze skutkiem doręczenia. </w:t>
      </w:r>
    </w:p>
    <w:p w14:paraId="666B86E8" w14:textId="4C856337" w:rsidR="00C21D4B" w:rsidRPr="00907094" w:rsidRDefault="00C21D4B" w:rsidP="00642C7B">
      <w:pPr>
        <w:pStyle w:val="Akapitzlist"/>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Art. 36</w:t>
      </w:r>
      <w:r w:rsidRPr="00907094">
        <w:rPr>
          <w:rFonts w:ascii="Times New Roman" w:hAnsi="Times New Roman" w:cs="Times New Roman"/>
          <w:sz w:val="24"/>
          <w:szCs w:val="24"/>
        </w:rPr>
        <w:t xml:space="preserve"> reguluje, że w sytuacji nabycia albo objęcia udziałów lub akcji w określonych przypadkach, tj. z naruszeniem określonych przepisów rozporządzenia 2023/</w:t>
      </w:r>
      <w:r w:rsidR="006F7B0B">
        <w:rPr>
          <w:rFonts w:ascii="Times New Roman" w:hAnsi="Times New Roman" w:cs="Times New Roman"/>
          <w:sz w:val="24"/>
          <w:szCs w:val="24"/>
        </w:rPr>
        <w:t>1114</w:t>
      </w:r>
      <w:r w:rsidRPr="00907094">
        <w:rPr>
          <w:rFonts w:ascii="Times New Roman" w:hAnsi="Times New Roman" w:cs="Times New Roman"/>
          <w:sz w:val="24"/>
          <w:szCs w:val="24"/>
        </w:rPr>
        <w:t xml:space="preserve">, pomimo wyrażenia przez Komisję sprzeciwu, przed upływem terminu uprawniającego Komisję do zgłoszenia sprzeciwu lub w okresie zawieszenia okresu oceny dokonywanej przez Komisję, lub po upływie wyznaczonego przez Komisję terminu na nabycie albo objęcie udziałów lub akcji– zabrania się wykonywania prawa głosu z tych udziałów lub akcji . Natomiast zgodnie z ust. 2 podmioty wskazane w tym przepisie, naruszające określone przepisy rozporządzenia 2023/1114 </w:t>
      </w:r>
      <w:r w:rsidRPr="00907094">
        <w:rPr>
          <w:rFonts w:ascii="Times New Roman" w:hAnsi="Times New Roman" w:cs="Times New Roman"/>
          <w:bCs/>
          <w:sz w:val="24"/>
          <w:szCs w:val="24"/>
        </w:rPr>
        <w:t>nie mogą uczestniczyć w czynnościach z zakresu reprezentacji tego emitenta lub tego dostawcy.</w:t>
      </w:r>
      <w:r w:rsidRPr="00907094">
        <w:rPr>
          <w:rFonts w:ascii="Times New Roman" w:hAnsi="Times New Roman" w:cs="Times New Roman"/>
          <w:sz w:val="24"/>
          <w:szCs w:val="24"/>
        </w:rPr>
        <w:t xml:space="preserve"> Ponadto w ust. 3 uregulowany został przypadek wykonywania uprawnień jednostki dominującej emitenta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powiązanych z aktywami lub dostawcy usług w zakresie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xml:space="preserve"> w określonych sytuacjach. Ust. 4 dodatkowo wskazuje, że uchwały zgromadzenia wspólników lub walnego zgromadzenia emitenta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powiązanych z aktywami lub dostawcy usług w zakresie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xml:space="preserve"> podjęte z naruszeniem określonych przepisów są nieważne, chyba że spełniają wymogi kworum oraz większości głosów bez uwzględnienia głosów nieważnych. Ust. 5 stanowi,</w:t>
      </w:r>
      <w:r w:rsidR="00EE0B53" w:rsidRPr="00EE0B53">
        <w:rPr>
          <w:rFonts w:ascii="Segoe UI" w:eastAsia="Times New Roman" w:hAnsi="Segoe UI" w:cs="Segoe UI"/>
          <w:sz w:val="21"/>
          <w:szCs w:val="21"/>
          <w:lang w:eastAsia="pl-PL"/>
        </w:rPr>
        <w:t xml:space="preserve"> </w:t>
      </w:r>
      <w:r w:rsidRPr="00907094">
        <w:rPr>
          <w:rFonts w:ascii="Times New Roman" w:hAnsi="Times New Roman" w:cs="Times New Roman"/>
          <w:sz w:val="24"/>
          <w:szCs w:val="24"/>
        </w:rPr>
        <w:t xml:space="preserve"> że czynności z zakresu reprezentacji emitenta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powiązanych z aktywami lub dostawcy usług w zakresie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xml:space="preserve"> podejmowane z udziałem członków zarządu lub rady dyrektorów z naruszeniem przepisu ust. 2 są nieważne</w:t>
      </w:r>
      <w:r w:rsidR="00D61C67">
        <w:rPr>
          <w:rFonts w:ascii="Times New Roman" w:hAnsi="Times New Roman" w:cs="Times New Roman"/>
          <w:sz w:val="24"/>
          <w:szCs w:val="24"/>
        </w:rPr>
        <w:t xml:space="preserve">. </w:t>
      </w:r>
      <w:r w:rsidRPr="00907094">
        <w:rPr>
          <w:rFonts w:ascii="Times New Roman" w:hAnsi="Times New Roman" w:cs="Times New Roman"/>
          <w:sz w:val="24"/>
          <w:szCs w:val="24"/>
        </w:rPr>
        <w:t xml:space="preserve">Dodatkowo wskazuje się, że przepis art. 58 § 3 Kodeksu cywilnego stosuje się w takim przypadku. </w:t>
      </w:r>
    </w:p>
    <w:p w14:paraId="46236047"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Art. 37</w:t>
      </w:r>
      <w:r w:rsidRPr="00907094">
        <w:rPr>
          <w:rFonts w:ascii="Times New Roman" w:hAnsi="Times New Roman" w:cs="Times New Roman"/>
          <w:sz w:val="24"/>
          <w:szCs w:val="24"/>
        </w:rPr>
        <w:t xml:space="preserve"> ustanawia 14-dniowy termin, w którym podmiot nabywający albo obejmujący udziały lub akcje, zgodnie z art. 29 niniejszej ustawy lub art. 41 ust. 1 lub art. 83 ust. 1 rozporządzenia 2023/1114, jest obowiązany poinformować emitenta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powiązanych z aktywami lub dostawcę usług w zakresie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których udziałów lub akcji dane nabycie albo objęcie dotyczy.</w:t>
      </w:r>
    </w:p>
    <w:p w14:paraId="56315025" w14:textId="1C59D915"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 xml:space="preserve">Art. 38 </w:t>
      </w:r>
      <w:r w:rsidRPr="00907094">
        <w:rPr>
          <w:rFonts w:ascii="Times New Roman" w:hAnsi="Times New Roman" w:cs="Times New Roman"/>
          <w:sz w:val="24"/>
          <w:szCs w:val="24"/>
        </w:rPr>
        <w:t>ust. 1 nadaje KNF uprawnienie do żądania od wskazanych podmiotów spełnienia obowiązku udzielenia pisemnych lub ustnych wyjaśnień oraz informacji</w:t>
      </w:r>
      <w:r w:rsidR="00D61C67">
        <w:rPr>
          <w:rFonts w:ascii="Times New Roman" w:hAnsi="Times New Roman" w:cs="Times New Roman"/>
          <w:sz w:val="24"/>
          <w:szCs w:val="24"/>
        </w:rPr>
        <w:t xml:space="preserve"> </w:t>
      </w:r>
      <w:r w:rsidR="009D11A4">
        <w:rPr>
          <w:rFonts w:ascii="Times New Roman" w:hAnsi="Times New Roman" w:cs="Times New Roman"/>
          <w:sz w:val="24"/>
          <w:szCs w:val="24"/>
        </w:rPr>
        <w:t>niezwłocznie</w:t>
      </w:r>
      <w:r w:rsidRPr="00907094">
        <w:rPr>
          <w:rFonts w:ascii="Times New Roman" w:hAnsi="Times New Roman" w:cs="Times New Roman"/>
          <w:sz w:val="24"/>
          <w:szCs w:val="24"/>
        </w:rPr>
        <w:t xml:space="preserve">. Przepis określa również formę przekazania żądanych przez KNF informacji. Celem niniejszego przepisu jest zapewnienie KNF skutecznego nadzoru i wykonywania zadań, jest to także niezbędne do zapewnienia bezpieczeństwa obrotu, wykrywania nieprawidłowości, ochrony inwestorów, wykrywania czynów zabronionych i niezwłocznego podjęcia odpowiednich działań. Nadto przepis określa podmioty nadzorowane zobowiązane do wypełnienia obowiązku, o którym mowa w tym przepisie, oraz podstawę prawną działalności poddanej nadzorowi. W ust. 2 przewidziano odpowiednie stosowanie ust. 1 do osób pozostających w stosunku pracy lub innym stosunku prawnym o podobnym charakterze z podmiotami określonymi w ust. 1 oraz biegłych rewidentów, osób wchodzących w skład organów zarządzających firm audytorskich wykonujących rewizję finansową na rzecz podmiotów objętych rozporządzeniem 2023/1114 i projektowaną ustawą. Natomiast ust. 3 odnosi się do podmiotów innych niż określone w ust. 1, będących stroną umowy, transakcji lub porozumienia z emitentem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powiązanych z aktywami lub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będących e-pieniądzem, oferującym lub osobą ubiegającą się o dopuszczenie do obrotu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xml:space="preserve"> i stanowi realizację art. 94 ust. 1 lit. a rozporządzenia 2023/1114, który odnosi się uprawnienia właściwego organu nadzoru do zobowiązania „dowolnej osoby do udzielania informacji”. Ust. 4 i 5 określają zasady postępowania biegłych rewidentów i firm audytorskich badających sprawozdania finansowe dostawców usług w zakresie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xml:space="preserve"> lub jednostek wobec nich dominujących w przypadku zaistnienia wymienionych w przepisie zdarzeń. Ust. 6 wskazuje, że wykonywanie ww. obowiązków nie narusza obowiązku zachowania tajemnicy w rozumieniu ustawy z dnia 11 maja 2017 r. o biegłych rewidentach, firmach audytorskich oraz nadzorze publicz</w:t>
      </w:r>
      <w:r w:rsidR="00D92F69">
        <w:rPr>
          <w:rFonts w:ascii="Times New Roman" w:hAnsi="Times New Roman" w:cs="Times New Roman"/>
          <w:sz w:val="24"/>
          <w:szCs w:val="24"/>
        </w:rPr>
        <w:t>nym</w:t>
      </w:r>
      <w:r w:rsidRPr="00907094">
        <w:rPr>
          <w:rFonts w:ascii="Times New Roman" w:hAnsi="Times New Roman" w:cs="Times New Roman"/>
          <w:sz w:val="24"/>
          <w:szCs w:val="24"/>
        </w:rPr>
        <w:t>.</w:t>
      </w:r>
    </w:p>
    <w:p w14:paraId="3CDC78CD"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Art. 39</w:t>
      </w:r>
      <w:r w:rsidRPr="00907094">
        <w:rPr>
          <w:rFonts w:ascii="Times New Roman" w:hAnsi="Times New Roman" w:cs="Times New Roman"/>
          <w:sz w:val="24"/>
          <w:szCs w:val="24"/>
        </w:rPr>
        <w:t xml:space="preserve"> przyznaje Komisji, w razie wątpliwości co do prawidłowości, rzetelności lub kompletności sprawozdań finansowych lub skonsolidowanych sprawozdań finansowych wskazanych podmiotów lub innych informacji finansowych, których obowiązek sporządzenia wynika z odrębnych przepisów (w tym przepisów ustawy z dnia 29 września 1994 r. o rachunkowości), lub informacji poufnych, lub prawidłowości prowadzenia ksiąg rachunkowych, kompetencję do zlecenia firmie audytorskiej dokonania kontroli tych sprawozdań, informacji i ksiąg rachunkowych albo zobowiązania ww. podmiotów do zlecenia dokonania tej kontroli wskazanej przez Komisję firmie audytorskiej. Kompetencja ta wynika z art. 94 ust. 1 lit. x rozporządzenia 2023/1114. W przypadku, gdy kontrola wykaże, że wątpliwości Komisji były uzasadnione, podmioty nadzorowane są zobowiązane zwrócić Komisji koszty związane ze zleceniem ich wykonania.</w:t>
      </w:r>
      <w:r w:rsidRPr="00A21BA2">
        <w:t xml:space="preserve"> </w:t>
      </w:r>
      <w:r w:rsidRPr="00907094">
        <w:rPr>
          <w:rFonts w:ascii="Times New Roman" w:hAnsi="Times New Roman" w:cs="Times New Roman"/>
          <w:sz w:val="24"/>
          <w:szCs w:val="24"/>
        </w:rPr>
        <w:t>Umowa z firmą audytorską będzie zawierana zgodnie z przepisami dotyczącymi zamówień publicznych.</w:t>
      </w:r>
    </w:p>
    <w:p w14:paraId="711336BF" w14:textId="72AC7642"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546E53">
        <w:rPr>
          <w:rFonts w:ascii="Times New Roman" w:hAnsi="Times New Roman" w:cs="Times New Roman"/>
          <w:b/>
          <w:bCs/>
          <w:sz w:val="24"/>
          <w:szCs w:val="24"/>
        </w:rPr>
        <w:t>Rozdział 4</w:t>
      </w:r>
      <w:r w:rsidRPr="00546E53">
        <w:rPr>
          <w:rFonts w:ascii="Times New Roman" w:hAnsi="Times New Roman" w:cs="Times New Roman"/>
          <w:sz w:val="24"/>
          <w:szCs w:val="24"/>
        </w:rPr>
        <w:t xml:space="preserve"> (</w:t>
      </w:r>
      <w:r w:rsidRPr="00546E53">
        <w:rPr>
          <w:rFonts w:ascii="Times New Roman" w:hAnsi="Times New Roman" w:cs="Times New Roman"/>
          <w:b/>
          <w:bCs/>
          <w:sz w:val="24"/>
          <w:szCs w:val="24"/>
        </w:rPr>
        <w:t>art. 4</w:t>
      </w:r>
      <w:r>
        <w:rPr>
          <w:rFonts w:ascii="Times New Roman" w:hAnsi="Times New Roman" w:cs="Times New Roman"/>
          <w:b/>
          <w:bCs/>
          <w:sz w:val="24"/>
          <w:szCs w:val="24"/>
        </w:rPr>
        <w:t>0</w:t>
      </w:r>
      <w:r w:rsidRPr="00546E53">
        <w:rPr>
          <w:rFonts w:ascii="Times New Roman" w:eastAsiaTheme="minorHAnsi" w:hAnsi="Times New Roman" w:cs="Times New Roman"/>
          <w:b/>
          <w:bCs/>
          <w:sz w:val="24"/>
          <w:szCs w:val="24"/>
        </w:rPr>
        <w:t xml:space="preserve"> – </w:t>
      </w:r>
      <w:r>
        <w:rPr>
          <w:rFonts w:ascii="Times New Roman" w:eastAsiaTheme="minorHAnsi" w:hAnsi="Times New Roman" w:cs="Times New Roman"/>
          <w:b/>
          <w:bCs/>
          <w:sz w:val="24"/>
          <w:szCs w:val="24"/>
        </w:rPr>
        <w:t xml:space="preserve">art. </w:t>
      </w:r>
      <w:r w:rsidRPr="00546E53">
        <w:rPr>
          <w:rFonts w:ascii="Times New Roman" w:hAnsi="Times New Roman" w:cs="Times New Roman"/>
          <w:b/>
          <w:bCs/>
          <w:sz w:val="24"/>
          <w:szCs w:val="24"/>
        </w:rPr>
        <w:t>5</w:t>
      </w:r>
      <w:r>
        <w:rPr>
          <w:rFonts w:ascii="Times New Roman" w:hAnsi="Times New Roman" w:cs="Times New Roman"/>
          <w:b/>
          <w:bCs/>
          <w:sz w:val="24"/>
          <w:szCs w:val="24"/>
        </w:rPr>
        <w:t>5</w:t>
      </w:r>
      <w:r w:rsidRPr="00546E53">
        <w:rPr>
          <w:rFonts w:ascii="Times New Roman" w:eastAsiaTheme="minorHAnsi" w:hAnsi="Times New Roman" w:cs="Times New Roman"/>
          <w:sz w:val="24"/>
          <w:szCs w:val="24"/>
        </w:rPr>
        <w:t xml:space="preserve">) „Plan naprawy, plan wykupu i plan, o którym mowa w art. 74 rozporządzenia 2023/1114” zawiera przepisy zapewniające efektywne stosowanie art. 46, art. 47 oraz </w:t>
      </w:r>
      <w:r w:rsidRPr="00546E53">
        <w:rPr>
          <w:rFonts w:ascii="Times New Roman" w:hAnsi="Times New Roman" w:cs="Times New Roman"/>
          <w:sz w:val="24"/>
          <w:szCs w:val="24"/>
        </w:rPr>
        <w:t xml:space="preserve">art. 74 rozporządzenia </w:t>
      </w:r>
      <w:proofErr w:type="spellStart"/>
      <w:r w:rsidRPr="00546E53">
        <w:rPr>
          <w:rFonts w:ascii="Times New Roman" w:hAnsi="Times New Roman" w:cs="Times New Roman"/>
          <w:sz w:val="24"/>
          <w:szCs w:val="24"/>
        </w:rPr>
        <w:t>MiCA</w:t>
      </w:r>
      <w:proofErr w:type="spellEnd"/>
      <w:r w:rsidRPr="00546E53">
        <w:rPr>
          <w:rFonts w:ascii="Times New Roman" w:hAnsi="Times New Roman" w:cs="Times New Roman"/>
          <w:sz w:val="24"/>
          <w:szCs w:val="24"/>
        </w:rPr>
        <w:t xml:space="preserve">. Istnieje wysokie ryzyko, że ww. przepisy rozporządzenia 2023/1114 mogą rodzić trudności w ich skutecznym stosowaniu bez dodatkowych przepisów krajowych w zakresie dotyczącym zarówno planu naprawy (procedowania nad nim), planu wykupu, jak i wdrożenia stosownych środków ostrożnościowych wczesnej interwencji. W związku z powyższym zaproponowano </w:t>
      </w:r>
      <w:r w:rsidR="0030441A">
        <w:rPr>
          <w:rFonts w:ascii="Times New Roman" w:hAnsi="Times New Roman" w:cs="Times New Roman"/>
          <w:sz w:val="24"/>
          <w:szCs w:val="24"/>
        </w:rPr>
        <w:t xml:space="preserve">proceduralne doprecyzowanie zasad stosowania </w:t>
      </w:r>
      <w:r w:rsidRPr="00546E53">
        <w:rPr>
          <w:rFonts w:ascii="Times New Roman" w:hAnsi="Times New Roman" w:cs="Times New Roman"/>
          <w:sz w:val="24"/>
          <w:szCs w:val="24"/>
        </w:rPr>
        <w:t xml:space="preserve">przepisów rozporządzenia </w:t>
      </w:r>
      <w:proofErr w:type="spellStart"/>
      <w:r w:rsidRPr="00546E53">
        <w:rPr>
          <w:rFonts w:ascii="Times New Roman" w:hAnsi="Times New Roman" w:cs="Times New Roman"/>
          <w:sz w:val="24"/>
          <w:szCs w:val="24"/>
        </w:rPr>
        <w:t>MiCA</w:t>
      </w:r>
      <w:proofErr w:type="spellEnd"/>
      <w:r w:rsidRPr="00546E53">
        <w:rPr>
          <w:rFonts w:ascii="Times New Roman" w:hAnsi="Times New Roman" w:cs="Times New Roman"/>
          <w:sz w:val="24"/>
          <w:szCs w:val="24"/>
        </w:rPr>
        <w:t xml:space="preserve"> na wzór regulacji zawartej w ustawie o obrocie instrumentami finansowymi</w:t>
      </w:r>
      <w:r>
        <w:rPr>
          <w:rFonts w:ascii="Times New Roman" w:hAnsi="Times New Roman" w:cs="Times New Roman"/>
          <w:sz w:val="24"/>
          <w:szCs w:val="24"/>
        </w:rPr>
        <w:t xml:space="preserve"> </w:t>
      </w:r>
      <w:r w:rsidRPr="00546E53">
        <w:rPr>
          <w:rFonts w:ascii="Times New Roman" w:hAnsi="Times New Roman" w:cs="Times New Roman"/>
          <w:sz w:val="24"/>
          <w:szCs w:val="24"/>
        </w:rPr>
        <w:t xml:space="preserve">(art. 110zj i nast.). W ocenie projektodawcy zasadne jest: </w:t>
      </w:r>
      <w:bookmarkStart w:id="9" w:name="_Hlk173932949"/>
      <w:r w:rsidRPr="00546E53">
        <w:rPr>
          <w:rFonts w:ascii="Times New Roman" w:hAnsi="Times New Roman" w:cs="Times New Roman"/>
          <w:sz w:val="24"/>
          <w:szCs w:val="24"/>
        </w:rPr>
        <w:t>doprecyzowanie procedury zatwierdza</w:t>
      </w:r>
      <w:r w:rsidRPr="00546E53">
        <w:rPr>
          <w:rFonts w:ascii="Times New Roman" w:eastAsiaTheme="minorHAnsi" w:hAnsi="Times New Roman" w:cs="Times New Roman"/>
          <w:sz w:val="24"/>
          <w:szCs w:val="24"/>
        </w:rPr>
        <w:t>nia plan</w:t>
      </w:r>
      <w:r w:rsidRPr="00546E53">
        <w:rPr>
          <w:rFonts w:ascii="Times New Roman" w:hAnsi="Times New Roman" w:cs="Times New Roman"/>
          <w:sz w:val="24"/>
          <w:szCs w:val="24"/>
        </w:rPr>
        <w:t>ów, o których mowa w ww. przepisach</w:t>
      </w:r>
      <w:r w:rsidRPr="00546E53">
        <w:rPr>
          <w:rFonts w:ascii="Times New Roman" w:eastAsiaTheme="minorHAnsi" w:hAnsi="Times New Roman" w:cs="Times New Roman"/>
          <w:sz w:val="24"/>
          <w:szCs w:val="24"/>
        </w:rPr>
        <w:t xml:space="preserve">, </w:t>
      </w:r>
      <w:r w:rsidRPr="00546E53">
        <w:rPr>
          <w:rFonts w:ascii="Times New Roman" w:hAnsi="Times New Roman" w:cs="Times New Roman"/>
          <w:sz w:val="24"/>
          <w:szCs w:val="24"/>
        </w:rPr>
        <w:t xml:space="preserve">w tym określenie w nich stosownych wskaźników i powiązanie planów z systemem zarządzania podmiotem nadzorowanym: </w:t>
      </w:r>
    </w:p>
    <w:p w14:paraId="09283B45" w14:textId="77777777" w:rsidR="00C21D4B" w:rsidRPr="003B4AAB" w:rsidRDefault="00C21D4B" w:rsidP="00695ECE">
      <w:pPr>
        <w:pStyle w:val="Akapitzlist"/>
        <w:numPr>
          <w:ilvl w:val="0"/>
          <w:numId w:val="3"/>
        </w:numPr>
        <w:spacing w:line="360" w:lineRule="auto"/>
        <w:ind w:left="1418"/>
        <w:jc w:val="both"/>
        <w:rPr>
          <w:rFonts w:ascii="Times New Roman" w:hAnsi="Times New Roman" w:cs="Times New Roman"/>
          <w:sz w:val="24"/>
          <w:szCs w:val="24"/>
        </w:rPr>
      </w:pPr>
      <w:r w:rsidRPr="003B4AAB">
        <w:rPr>
          <w:rFonts w:ascii="Times New Roman" w:hAnsi="Times New Roman" w:cs="Times New Roman"/>
          <w:sz w:val="24"/>
          <w:szCs w:val="24"/>
        </w:rPr>
        <w:t xml:space="preserve">wskazanie, że plan naprawy podlega zatwierdzeniu przez KNF w drodze decyzji, wraz z terminami oraz szczegółową procedurą jego zmian lub uzupełniania, gdy nie będzie spełniał wymogów prawem określonych; </w:t>
      </w:r>
    </w:p>
    <w:p w14:paraId="67767F89" w14:textId="77777777" w:rsidR="00C21D4B" w:rsidRPr="003B4AAB" w:rsidRDefault="00C21D4B" w:rsidP="00695ECE">
      <w:pPr>
        <w:pStyle w:val="Akapitzlist"/>
        <w:numPr>
          <w:ilvl w:val="0"/>
          <w:numId w:val="3"/>
        </w:numPr>
        <w:spacing w:line="360" w:lineRule="auto"/>
        <w:ind w:left="1418"/>
        <w:jc w:val="both"/>
        <w:rPr>
          <w:rFonts w:ascii="Times New Roman" w:hAnsi="Times New Roman" w:cs="Times New Roman"/>
          <w:sz w:val="24"/>
          <w:szCs w:val="24"/>
        </w:rPr>
      </w:pPr>
      <w:r w:rsidRPr="003B4AAB">
        <w:rPr>
          <w:rFonts w:ascii="Times New Roman" w:hAnsi="Times New Roman" w:cs="Times New Roman"/>
          <w:sz w:val="24"/>
          <w:szCs w:val="24"/>
        </w:rPr>
        <w:t>doprecyzowanie obowiązku aktualizacji planu – cyklicznego i na żądanie KNF;</w:t>
      </w:r>
    </w:p>
    <w:p w14:paraId="480790D2" w14:textId="77777777" w:rsidR="00C21D4B" w:rsidRPr="003B4AAB" w:rsidRDefault="00C21D4B" w:rsidP="00695ECE">
      <w:pPr>
        <w:pStyle w:val="Akapitzlist"/>
        <w:numPr>
          <w:ilvl w:val="0"/>
          <w:numId w:val="3"/>
        </w:numPr>
        <w:spacing w:line="360" w:lineRule="auto"/>
        <w:ind w:left="1418"/>
        <w:jc w:val="both"/>
        <w:rPr>
          <w:rFonts w:ascii="Times New Roman" w:hAnsi="Times New Roman" w:cs="Times New Roman"/>
          <w:sz w:val="24"/>
          <w:szCs w:val="24"/>
        </w:rPr>
      </w:pPr>
      <w:r w:rsidRPr="003B4AAB">
        <w:rPr>
          <w:rFonts w:ascii="Times New Roman" w:hAnsi="Times New Roman" w:cs="Times New Roman"/>
          <w:sz w:val="24"/>
          <w:szCs w:val="24"/>
        </w:rPr>
        <w:t xml:space="preserve">określenie szczegółowej procedury, gdy plan lub jego aktualizacja nie będą spełniały wymagań określonych przepisami rozporządzenia </w:t>
      </w:r>
      <w:proofErr w:type="spellStart"/>
      <w:r w:rsidRPr="003B4AAB">
        <w:rPr>
          <w:rFonts w:ascii="Times New Roman" w:hAnsi="Times New Roman" w:cs="Times New Roman"/>
          <w:sz w:val="24"/>
          <w:szCs w:val="24"/>
        </w:rPr>
        <w:t>MiCA</w:t>
      </w:r>
      <w:proofErr w:type="spellEnd"/>
      <w:r w:rsidRPr="003B4AAB">
        <w:rPr>
          <w:rFonts w:ascii="Times New Roman" w:hAnsi="Times New Roman" w:cs="Times New Roman"/>
          <w:sz w:val="24"/>
          <w:szCs w:val="24"/>
        </w:rPr>
        <w:t xml:space="preserve"> wraz z obowiązkiem nakazania złożenia nowego planu i określeniem skutków, gdy nowy plan w dalszym ciągu nie będzie spełniał ww. wymagań; </w:t>
      </w:r>
    </w:p>
    <w:p w14:paraId="654BB143" w14:textId="77777777" w:rsidR="00C21D4B" w:rsidRPr="003B4AAB" w:rsidRDefault="00C21D4B" w:rsidP="00695ECE">
      <w:pPr>
        <w:pStyle w:val="Akapitzlist"/>
        <w:numPr>
          <w:ilvl w:val="0"/>
          <w:numId w:val="3"/>
        </w:numPr>
        <w:spacing w:line="360" w:lineRule="auto"/>
        <w:ind w:left="1418"/>
        <w:jc w:val="both"/>
        <w:rPr>
          <w:rFonts w:ascii="Times New Roman" w:hAnsi="Times New Roman" w:cs="Times New Roman"/>
          <w:sz w:val="24"/>
          <w:szCs w:val="24"/>
        </w:rPr>
      </w:pPr>
      <w:r w:rsidRPr="003B4AAB">
        <w:rPr>
          <w:rFonts w:ascii="Times New Roman" w:hAnsi="Times New Roman" w:cs="Times New Roman"/>
          <w:sz w:val="24"/>
          <w:szCs w:val="24"/>
        </w:rPr>
        <w:t>określenie przesłanek i trybu zastosowania środków wczesnej interwencji</w:t>
      </w:r>
      <w:r>
        <w:rPr>
          <w:rFonts w:ascii="Times New Roman" w:hAnsi="Times New Roman" w:cs="Times New Roman"/>
          <w:sz w:val="24"/>
          <w:szCs w:val="24"/>
        </w:rPr>
        <w:t>.</w:t>
      </w:r>
      <w:r w:rsidRPr="003B4AAB">
        <w:rPr>
          <w:rFonts w:ascii="Times New Roman" w:hAnsi="Times New Roman" w:cs="Times New Roman"/>
          <w:sz w:val="24"/>
          <w:szCs w:val="24"/>
        </w:rPr>
        <w:t xml:space="preserve"> </w:t>
      </w:r>
    </w:p>
    <w:p w14:paraId="23DC438A" w14:textId="492E4832" w:rsidR="00C21D4B" w:rsidRPr="001B7461"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40</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 xml:space="preserve">określa kolejno </w:t>
      </w:r>
      <w:r>
        <w:rPr>
          <w:rFonts w:ascii="Times New Roman" w:hAnsi="Times New Roman" w:cs="Times New Roman"/>
          <w:sz w:val="24"/>
          <w:szCs w:val="24"/>
        </w:rPr>
        <w:t xml:space="preserve">że </w:t>
      </w:r>
      <w:r w:rsidRPr="001B7461">
        <w:rPr>
          <w:rFonts w:ascii="Times New Roman" w:hAnsi="Times New Roman" w:cs="Times New Roman"/>
          <w:sz w:val="24"/>
          <w:szCs w:val="24"/>
        </w:rPr>
        <w:t>plan naprawy podlega zatwierdzeniu przez Komisję w drodze decyzji w terminie 6 miesięcy od dnia jego otrzymania.</w:t>
      </w:r>
      <w:r>
        <w:rPr>
          <w:rFonts w:ascii="Times New Roman" w:hAnsi="Times New Roman" w:cs="Times New Roman"/>
          <w:sz w:val="24"/>
          <w:szCs w:val="24"/>
        </w:rPr>
        <w:t xml:space="preserve"> Zgodnie z ust. </w:t>
      </w:r>
      <w:r w:rsidR="00257373">
        <w:rPr>
          <w:rFonts w:ascii="Times New Roman" w:hAnsi="Times New Roman" w:cs="Times New Roman"/>
          <w:sz w:val="24"/>
          <w:szCs w:val="24"/>
        </w:rPr>
        <w:t>2</w:t>
      </w:r>
      <w:r>
        <w:rPr>
          <w:rFonts w:ascii="Times New Roman" w:hAnsi="Times New Roman" w:cs="Times New Roman"/>
          <w:sz w:val="24"/>
          <w:szCs w:val="24"/>
        </w:rPr>
        <w:t xml:space="preserve">, w przypadku gdy </w:t>
      </w:r>
      <w:r w:rsidRPr="00782D33">
        <w:rPr>
          <w:rFonts w:ascii="Times New Roman" w:hAnsi="Times New Roman" w:cs="Times New Roman"/>
          <w:sz w:val="24"/>
          <w:szCs w:val="24"/>
        </w:rPr>
        <w:t>plan naprawy nie spełnia wymagań określonych w art. 46 ust. 1 rozporządzenia 2023/1114, Komisja wzywa ww. emitenta do zmiany planu naprawy, w terminie 40 dni roboczych od dnia doręczenia wezwania. Na wniosek tego emitenta wskazany termin będzie mógł zostać przedłużony przez Komisję o miesiąc.</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Ust. </w:t>
      </w:r>
      <w:r w:rsidR="00257373">
        <w:rPr>
          <w:rFonts w:ascii="Times New Roman" w:hAnsi="Times New Roman" w:cs="Times New Roman"/>
          <w:sz w:val="24"/>
          <w:szCs w:val="24"/>
        </w:rPr>
        <w:t>3</w:t>
      </w:r>
      <w:r>
        <w:rPr>
          <w:rFonts w:ascii="Times New Roman" w:hAnsi="Times New Roman" w:cs="Times New Roman"/>
          <w:sz w:val="24"/>
          <w:szCs w:val="24"/>
        </w:rPr>
        <w:t xml:space="preserve"> określa przypadek </w:t>
      </w:r>
      <w:r w:rsidRPr="00782D33">
        <w:rPr>
          <w:rFonts w:ascii="Times New Roman" w:hAnsi="Times New Roman" w:cs="Times New Roman"/>
          <w:sz w:val="24"/>
          <w:szCs w:val="24"/>
        </w:rPr>
        <w:t xml:space="preserve">gdy zmieniony plan naprawy </w:t>
      </w:r>
      <w:r>
        <w:rPr>
          <w:rFonts w:ascii="Times New Roman" w:hAnsi="Times New Roman" w:cs="Times New Roman"/>
          <w:sz w:val="24"/>
          <w:szCs w:val="24"/>
        </w:rPr>
        <w:t xml:space="preserve">nadal </w:t>
      </w:r>
      <w:r w:rsidRPr="00782D33">
        <w:rPr>
          <w:rFonts w:ascii="Times New Roman" w:hAnsi="Times New Roman" w:cs="Times New Roman"/>
          <w:sz w:val="24"/>
          <w:szCs w:val="24"/>
        </w:rPr>
        <w:t xml:space="preserve">nie będzie spełniał wymagań określonych w art. 46 ust. 1 rozporządzenia 2023/1114, koniecznych do zapewnienia jego właściwego wdrożenia, Komisja, w drodze decyzji, będzie odmawiała jego zatwierdzenia. </w:t>
      </w:r>
      <w:r>
        <w:rPr>
          <w:rFonts w:ascii="Times New Roman" w:hAnsi="Times New Roman" w:cs="Times New Roman"/>
          <w:sz w:val="24"/>
          <w:szCs w:val="24"/>
        </w:rPr>
        <w:t xml:space="preserve">Zgodnie z ust. </w:t>
      </w:r>
      <w:r w:rsidR="00257373">
        <w:rPr>
          <w:rFonts w:ascii="Times New Roman" w:hAnsi="Times New Roman" w:cs="Times New Roman"/>
          <w:sz w:val="24"/>
          <w:szCs w:val="24"/>
        </w:rPr>
        <w:t>4</w:t>
      </w:r>
      <w:r>
        <w:rPr>
          <w:rFonts w:ascii="Times New Roman" w:hAnsi="Times New Roman" w:cs="Times New Roman"/>
          <w:sz w:val="24"/>
          <w:szCs w:val="24"/>
        </w:rPr>
        <w:t xml:space="preserve"> w</w:t>
      </w:r>
      <w:r w:rsidRPr="00782D33">
        <w:rPr>
          <w:rFonts w:ascii="Times New Roman" w:hAnsi="Times New Roman" w:cs="Times New Roman"/>
          <w:sz w:val="24"/>
          <w:szCs w:val="24"/>
        </w:rPr>
        <w:t xml:space="preserve"> decyzji tej Komisja będzie wyznaczała termin (nie dłuższy niż miesiąc), </w:t>
      </w:r>
      <w:r>
        <w:rPr>
          <w:rFonts w:ascii="Times New Roman" w:hAnsi="Times New Roman" w:cs="Times New Roman"/>
          <w:sz w:val="24"/>
          <w:szCs w:val="24"/>
        </w:rPr>
        <w:t>w</w:t>
      </w:r>
      <w:r w:rsidRPr="00782D33">
        <w:rPr>
          <w:rFonts w:ascii="Times New Roman" w:hAnsi="Times New Roman" w:cs="Times New Roman"/>
          <w:sz w:val="24"/>
          <w:szCs w:val="24"/>
        </w:rPr>
        <w:t xml:space="preserve"> któr</w:t>
      </w:r>
      <w:r>
        <w:rPr>
          <w:rFonts w:ascii="Times New Roman" w:hAnsi="Times New Roman" w:cs="Times New Roman"/>
          <w:sz w:val="24"/>
          <w:szCs w:val="24"/>
        </w:rPr>
        <w:t>ym</w:t>
      </w:r>
      <w:r w:rsidRPr="00782D33">
        <w:rPr>
          <w:rFonts w:ascii="Times New Roman" w:hAnsi="Times New Roman" w:cs="Times New Roman"/>
          <w:sz w:val="24"/>
          <w:szCs w:val="24"/>
        </w:rPr>
        <w:t xml:space="preserve"> dany emitent powinien przedstawić nowy plan naprawy, oraz</w:t>
      </w:r>
      <w:r>
        <w:rPr>
          <w:rFonts w:ascii="Times New Roman" w:hAnsi="Times New Roman" w:cs="Times New Roman"/>
          <w:sz w:val="24"/>
          <w:szCs w:val="24"/>
        </w:rPr>
        <w:t xml:space="preserve"> wskazywała</w:t>
      </w:r>
      <w:r w:rsidRPr="00782D33">
        <w:rPr>
          <w:rFonts w:ascii="Times New Roman" w:hAnsi="Times New Roman" w:cs="Times New Roman"/>
          <w:sz w:val="24"/>
          <w:szCs w:val="24"/>
        </w:rPr>
        <w:t xml:space="preserve"> obszary działalności tego emitenta, które zostaną uznane przez Komisję za wymagające uwzględnienia w planie naprawy. </w:t>
      </w:r>
      <w:r>
        <w:rPr>
          <w:rFonts w:ascii="Times New Roman" w:hAnsi="Times New Roman" w:cs="Times New Roman"/>
          <w:sz w:val="24"/>
          <w:szCs w:val="24"/>
        </w:rPr>
        <w:t xml:space="preserve">Ust. </w:t>
      </w:r>
      <w:r w:rsidR="00257373">
        <w:rPr>
          <w:rFonts w:ascii="Times New Roman" w:hAnsi="Times New Roman" w:cs="Times New Roman"/>
          <w:sz w:val="24"/>
          <w:szCs w:val="24"/>
        </w:rPr>
        <w:t>5</w:t>
      </w:r>
      <w:r w:rsidRPr="00CD594B">
        <w:rPr>
          <w:rFonts w:ascii="Times New Roman" w:hAnsi="Times New Roman" w:cs="Times New Roman"/>
          <w:sz w:val="24"/>
          <w:szCs w:val="24"/>
        </w:rPr>
        <w:t xml:space="preserve"> </w:t>
      </w:r>
      <w:r>
        <w:rPr>
          <w:rFonts w:ascii="Times New Roman" w:hAnsi="Times New Roman" w:cs="Times New Roman"/>
          <w:sz w:val="24"/>
          <w:szCs w:val="24"/>
        </w:rPr>
        <w:t>wskazuje natomiast,</w:t>
      </w:r>
      <w:r w:rsidRPr="00CD594B">
        <w:rPr>
          <w:rFonts w:ascii="Times New Roman" w:hAnsi="Times New Roman" w:cs="Times New Roman"/>
          <w:sz w:val="24"/>
          <w:szCs w:val="24"/>
        </w:rPr>
        <w:t xml:space="preserve"> że nowy plan naprawy</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będzie zatwierdzany przez Komisję w terminie 6 miesięcy od dnia jego otrzymania oraz </w:t>
      </w:r>
      <w:r>
        <w:rPr>
          <w:rFonts w:ascii="Times New Roman" w:hAnsi="Times New Roman" w:cs="Times New Roman"/>
          <w:sz w:val="24"/>
          <w:szCs w:val="24"/>
        </w:rPr>
        <w:t>przesądza o stosowaniu</w:t>
      </w:r>
      <w:r w:rsidRPr="00CD594B">
        <w:rPr>
          <w:rFonts w:ascii="Times New Roman" w:hAnsi="Times New Roman" w:cs="Times New Roman"/>
          <w:sz w:val="24"/>
          <w:szCs w:val="24"/>
        </w:rPr>
        <w:t xml:space="preserve"> przepis</w:t>
      </w:r>
      <w:r>
        <w:rPr>
          <w:rFonts w:ascii="Times New Roman" w:hAnsi="Times New Roman" w:cs="Times New Roman"/>
          <w:sz w:val="24"/>
          <w:szCs w:val="24"/>
        </w:rPr>
        <w:t>ów</w:t>
      </w:r>
      <w:r w:rsidRPr="00CD594B">
        <w:rPr>
          <w:rFonts w:ascii="Times New Roman" w:hAnsi="Times New Roman" w:cs="Times New Roman"/>
          <w:sz w:val="24"/>
          <w:szCs w:val="24"/>
        </w:rPr>
        <w:t xml:space="preserve"> ust. </w:t>
      </w:r>
      <w:r w:rsidR="00257373">
        <w:rPr>
          <w:rFonts w:ascii="Times New Roman" w:hAnsi="Times New Roman" w:cs="Times New Roman"/>
          <w:sz w:val="24"/>
          <w:szCs w:val="24"/>
        </w:rPr>
        <w:t>2</w:t>
      </w:r>
      <w:r w:rsidRPr="00CD594B">
        <w:rPr>
          <w:rFonts w:ascii="Times New Roman" w:hAnsi="Times New Roman" w:cs="Times New Roman"/>
          <w:sz w:val="24"/>
          <w:szCs w:val="24"/>
        </w:rPr>
        <w:t xml:space="preserve"> i </w:t>
      </w:r>
      <w:r w:rsidR="00257373">
        <w:rPr>
          <w:rFonts w:ascii="Times New Roman" w:hAnsi="Times New Roman" w:cs="Times New Roman"/>
          <w:sz w:val="24"/>
          <w:szCs w:val="24"/>
        </w:rPr>
        <w:t>3</w:t>
      </w:r>
      <w:r>
        <w:rPr>
          <w:rFonts w:ascii="Times New Roman" w:hAnsi="Times New Roman" w:cs="Times New Roman"/>
          <w:sz w:val="24"/>
          <w:szCs w:val="24"/>
        </w:rPr>
        <w:t xml:space="preserve">. </w:t>
      </w:r>
      <w:r w:rsidRPr="001B7461">
        <w:rPr>
          <w:rFonts w:ascii="Times New Roman" w:hAnsi="Times New Roman" w:cs="Times New Roman"/>
          <w:sz w:val="24"/>
          <w:szCs w:val="24"/>
        </w:rPr>
        <w:t xml:space="preserve">Przepisy ust. </w:t>
      </w:r>
      <w:r w:rsidR="00257373">
        <w:rPr>
          <w:rFonts w:ascii="Times New Roman" w:hAnsi="Times New Roman" w:cs="Times New Roman"/>
          <w:sz w:val="24"/>
          <w:szCs w:val="24"/>
        </w:rPr>
        <w:t>6</w:t>
      </w:r>
      <w:r w:rsidRPr="001B7461">
        <w:rPr>
          <w:rFonts w:ascii="Times New Roman" w:hAnsi="Times New Roman" w:cs="Times New Roman"/>
          <w:sz w:val="24"/>
          <w:szCs w:val="24"/>
        </w:rPr>
        <w:t xml:space="preserve"> oraz ust. </w:t>
      </w:r>
      <w:r w:rsidR="00257373">
        <w:rPr>
          <w:rFonts w:ascii="Times New Roman" w:hAnsi="Times New Roman" w:cs="Times New Roman"/>
          <w:sz w:val="24"/>
          <w:szCs w:val="24"/>
        </w:rPr>
        <w:t>7</w:t>
      </w:r>
      <w:r w:rsidRPr="001B7461">
        <w:rPr>
          <w:rFonts w:ascii="Times New Roman" w:hAnsi="Times New Roman" w:cs="Times New Roman"/>
          <w:sz w:val="24"/>
          <w:szCs w:val="24"/>
        </w:rPr>
        <w:t xml:space="preserve"> dotyczą rozdzielenia na plany naprawy odnoszące się odpowiednio do banków oraz domów maklerskich. Zgodnie z ust. </w:t>
      </w:r>
      <w:r w:rsidR="00257373">
        <w:rPr>
          <w:rFonts w:ascii="Times New Roman" w:hAnsi="Times New Roman" w:cs="Times New Roman"/>
          <w:sz w:val="24"/>
          <w:szCs w:val="24"/>
        </w:rPr>
        <w:t>6</w:t>
      </w:r>
      <w:r w:rsidRPr="001B7461">
        <w:rPr>
          <w:rFonts w:ascii="Times New Roman" w:hAnsi="Times New Roman" w:cs="Times New Roman"/>
          <w:sz w:val="24"/>
          <w:szCs w:val="24"/>
        </w:rPr>
        <w:t xml:space="preserve"> w przypadku, jeżeli emitent </w:t>
      </w:r>
      <w:proofErr w:type="spellStart"/>
      <w:r w:rsidRPr="001B7461">
        <w:rPr>
          <w:rFonts w:ascii="Times New Roman" w:hAnsi="Times New Roman" w:cs="Times New Roman"/>
          <w:sz w:val="24"/>
          <w:szCs w:val="24"/>
        </w:rPr>
        <w:t>tokenów</w:t>
      </w:r>
      <w:proofErr w:type="spellEnd"/>
      <w:r w:rsidRPr="001B7461">
        <w:rPr>
          <w:rFonts w:ascii="Times New Roman" w:hAnsi="Times New Roman" w:cs="Times New Roman"/>
          <w:sz w:val="24"/>
          <w:szCs w:val="24"/>
        </w:rPr>
        <w:t xml:space="preserve"> powiązanych z aktywami lub </w:t>
      </w:r>
      <w:proofErr w:type="spellStart"/>
      <w:r w:rsidRPr="001B7461">
        <w:rPr>
          <w:rFonts w:ascii="Times New Roman" w:hAnsi="Times New Roman" w:cs="Times New Roman"/>
          <w:sz w:val="24"/>
          <w:szCs w:val="24"/>
        </w:rPr>
        <w:t>tokenów</w:t>
      </w:r>
      <w:proofErr w:type="spellEnd"/>
      <w:r w:rsidRPr="001B7461">
        <w:rPr>
          <w:rFonts w:ascii="Times New Roman" w:hAnsi="Times New Roman" w:cs="Times New Roman"/>
          <w:sz w:val="24"/>
          <w:szCs w:val="24"/>
        </w:rPr>
        <w:t xml:space="preserve"> będących e-pieniądzem jest instytucją kredytową, plan naprawy może stanowić część planu naprawy, o którym mowa w art. 141m</w:t>
      </w:r>
      <w:r>
        <w:rPr>
          <w:rFonts w:ascii="Times New Roman" w:hAnsi="Times New Roman" w:cs="Times New Roman"/>
          <w:sz w:val="24"/>
          <w:szCs w:val="24"/>
        </w:rPr>
        <w:t>–</w:t>
      </w:r>
      <w:r w:rsidRPr="001B7461">
        <w:rPr>
          <w:rFonts w:ascii="Times New Roman" w:hAnsi="Times New Roman" w:cs="Times New Roman"/>
          <w:sz w:val="24"/>
          <w:szCs w:val="24"/>
        </w:rPr>
        <w:t xml:space="preserve">141o ustawy – Prawo bankowe. Natomiast w ust. </w:t>
      </w:r>
      <w:r w:rsidR="00257373">
        <w:rPr>
          <w:rFonts w:ascii="Times New Roman" w:hAnsi="Times New Roman" w:cs="Times New Roman"/>
          <w:sz w:val="24"/>
          <w:szCs w:val="24"/>
        </w:rPr>
        <w:t>7</w:t>
      </w:r>
      <w:r w:rsidRPr="001B7461">
        <w:rPr>
          <w:rFonts w:ascii="Times New Roman" w:hAnsi="Times New Roman" w:cs="Times New Roman"/>
          <w:sz w:val="24"/>
          <w:szCs w:val="24"/>
        </w:rPr>
        <w:t xml:space="preserve"> wskazuje się, że w sytuacji gdy emitent </w:t>
      </w:r>
      <w:proofErr w:type="spellStart"/>
      <w:r w:rsidRPr="001B7461">
        <w:rPr>
          <w:rFonts w:ascii="Times New Roman" w:hAnsi="Times New Roman" w:cs="Times New Roman"/>
          <w:sz w:val="24"/>
          <w:szCs w:val="24"/>
        </w:rPr>
        <w:t>tokenów</w:t>
      </w:r>
      <w:proofErr w:type="spellEnd"/>
      <w:r w:rsidRPr="001B7461">
        <w:rPr>
          <w:rFonts w:ascii="Times New Roman" w:hAnsi="Times New Roman" w:cs="Times New Roman"/>
          <w:sz w:val="24"/>
          <w:szCs w:val="24"/>
        </w:rPr>
        <w:t xml:space="preserve"> powiązanych z aktywami lub </w:t>
      </w:r>
      <w:proofErr w:type="spellStart"/>
      <w:r w:rsidRPr="001B7461">
        <w:rPr>
          <w:rFonts w:ascii="Times New Roman" w:hAnsi="Times New Roman" w:cs="Times New Roman"/>
          <w:sz w:val="24"/>
          <w:szCs w:val="24"/>
        </w:rPr>
        <w:t>tokenów</w:t>
      </w:r>
      <w:proofErr w:type="spellEnd"/>
      <w:r w:rsidRPr="001B7461">
        <w:rPr>
          <w:rFonts w:ascii="Times New Roman" w:hAnsi="Times New Roman" w:cs="Times New Roman"/>
          <w:sz w:val="24"/>
          <w:szCs w:val="24"/>
        </w:rPr>
        <w:t xml:space="preserve"> będących e-pieniądzem jest domem maklerskim, który sporządził plan naprawy zgodnie z art. 110zj ust. 1 ustawy z dnia 29 lipca 2005 r. o obrocie instrumentami finansowymi albo jest objęty grupowym planem naprawy zgodnie z</w:t>
      </w:r>
      <w:r w:rsidRPr="00985CBB">
        <w:rPr>
          <w:rFonts w:ascii="Times New Roman" w:hAnsi="Times New Roman" w:cs="Times New Roman"/>
          <w:sz w:val="24"/>
          <w:szCs w:val="24"/>
        </w:rPr>
        <w:t xml:space="preserve"> art. 110 </w:t>
      </w:r>
      <w:proofErr w:type="spellStart"/>
      <w:r w:rsidRPr="00985CBB">
        <w:rPr>
          <w:rFonts w:ascii="Times New Roman" w:hAnsi="Times New Roman" w:cs="Times New Roman"/>
          <w:sz w:val="24"/>
          <w:szCs w:val="24"/>
        </w:rPr>
        <w:t>zl</w:t>
      </w:r>
      <w:proofErr w:type="spellEnd"/>
      <w:r w:rsidRPr="00985CBB">
        <w:rPr>
          <w:rFonts w:ascii="Times New Roman" w:hAnsi="Times New Roman" w:cs="Times New Roman"/>
          <w:sz w:val="24"/>
          <w:szCs w:val="24"/>
        </w:rPr>
        <w:t xml:space="preserve"> ustawy o obrocie instrumentami finansowymi</w:t>
      </w:r>
      <w:r w:rsidRPr="001B7461">
        <w:rPr>
          <w:rFonts w:ascii="Times New Roman" w:hAnsi="Times New Roman" w:cs="Times New Roman"/>
          <w:sz w:val="24"/>
          <w:szCs w:val="24"/>
        </w:rPr>
        <w:t xml:space="preserve">, plan naprawy może stanowić część planu naprawy, o którym mowa w art. 110zj ustawy z dnia 29 lipca 2005 r. o obrocie instrumentami finansowymi, albo grupowego planu naprawy, którym objęty jest dom maklerski. Ust. </w:t>
      </w:r>
      <w:r w:rsidR="00257373">
        <w:rPr>
          <w:rFonts w:ascii="Times New Roman" w:hAnsi="Times New Roman" w:cs="Times New Roman"/>
          <w:sz w:val="24"/>
          <w:szCs w:val="24"/>
        </w:rPr>
        <w:t>8</w:t>
      </w:r>
      <w:r w:rsidRPr="001B7461">
        <w:rPr>
          <w:rFonts w:ascii="Times New Roman" w:hAnsi="Times New Roman" w:cs="Times New Roman"/>
          <w:sz w:val="24"/>
          <w:szCs w:val="24"/>
        </w:rPr>
        <w:t xml:space="preserve"> precyzuje, że w przypadkach, o których mowa w ust. </w:t>
      </w:r>
      <w:r w:rsidR="00257373">
        <w:rPr>
          <w:rFonts w:ascii="Times New Roman" w:hAnsi="Times New Roman" w:cs="Times New Roman"/>
          <w:sz w:val="24"/>
          <w:szCs w:val="24"/>
        </w:rPr>
        <w:t>6</w:t>
      </w:r>
      <w:r w:rsidRPr="001B7461">
        <w:rPr>
          <w:rFonts w:ascii="Times New Roman" w:hAnsi="Times New Roman" w:cs="Times New Roman"/>
          <w:sz w:val="24"/>
          <w:szCs w:val="24"/>
        </w:rPr>
        <w:t xml:space="preserve"> i </w:t>
      </w:r>
      <w:r w:rsidR="00257373">
        <w:rPr>
          <w:rFonts w:ascii="Times New Roman" w:hAnsi="Times New Roman" w:cs="Times New Roman"/>
          <w:sz w:val="24"/>
          <w:szCs w:val="24"/>
        </w:rPr>
        <w:t>7</w:t>
      </w:r>
      <w:r w:rsidRPr="001B7461">
        <w:rPr>
          <w:rFonts w:ascii="Times New Roman" w:hAnsi="Times New Roman" w:cs="Times New Roman"/>
          <w:sz w:val="24"/>
          <w:szCs w:val="24"/>
        </w:rPr>
        <w:t xml:space="preserve">, nie znajdą zastosowania przepisy ust. </w:t>
      </w:r>
      <w:r w:rsidR="00257373">
        <w:rPr>
          <w:rFonts w:ascii="Times New Roman" w:hAnsi="Times New Roman" w:cs="Times New Roman"/>
          <w:sz w:val="24"/>
          <w:szCs w:val="24"/>
        </w:rPr>
        <w:t>1</w:t>
      </w:r>
      <w:r>
        <w:rPr>
          <w:rFonts w:ascii="Times New Roman" w:hAnsi="Times New Roman" w:cs="Times New Roman"/>
          <w:sz w:val="24"/>
          <w:szCs w:val="24"/>
        </w:rPr>
        <w:t>–</w:t>
      </w:r>
      <w:r w:rsidR="00257373">
        <w:rPr>
          <w:rFonts w:ascii="Times New Roman" w:hAnsi="Times New Roman" w:cs="Times New Roman"/>
          <w:sz w:val="24"/>
          <w:szCs w:val="24"/>
        </w:rPr>
        <w:t>5</w:t>
      </w:r>
      <w:r w:rsidRPr="001B7461">
        <w:rPr>
          <w:rFonts w:ascii="Times New Roman" w:hAnsi="Times New Roman" w:cs="Times New Roman"/>
          <w:sz w:val="24"/>
          <w:szCs w:val="24"/>
        </w:rPr>
        <w:t xml:space="preserve"> oraz art. 41</w:t>
      </w:r>
      <w:r>
        <w:rPr>
          <w:rFonts w:ascii="Times New Roman" w:hAnsi="Times New Roman" w:cs="Times New Roman"/>
          <w:sz w:val="24"/>
          <w:szCs w:val="24"/>
        </w:rPr>
        <w:t>–</w:t>
      </w:r>
      <w:r w:rsidRPr="001B7461">
        <w:rPr>
          <w:rFonts w:ascii="Times New Roman" w:hAnsi="Times New Roman" w:cs="Times New Roman"/>
          <w:sz w:val="24"/>
          <w:szCs w:val="24"/>
        </w:rPr>
        <w:t>44 i art. 5</w:t>
      </w:r>
      <w:r>
        <w:rPr>
          <w:rFonts w:ascii="Times New Roman" w:hAnsi="Times New Roman" w:cs="Times New Roman"/>
          <w:sz w:val="24"/>
          <w:szCs w:val="24"/>
        </w:rPr>
        <w:t>2</w:t>
      </w:r>
      <w:r w:rsidR="00257373">
        <w:rPr>
          <w:rFonts w:ascii="Times New Roman" w:hAnsi="Times New Roman" w:cs="Times New Roman"/>
          <w:sz w:val="24"/>
          <w:szCs w:val="24"/>
        </w:rPr>
        <w:t>i 53</w:t>
      </w:r>
      <w:r w:rsidRPr="001B7461">
        <w:rPr>
          <w:rFonts w:ascii="Times New Roman" w:hAnsi="Times New Roman" w:cs="Times New Roman"/>
          <w:sz w:val="24"/>
          <w:szCs w:val="24"/>
        </w:rPr>
        <w:t xml:space="preserve"> ustawy. Zgodnie z ust. </w:t>
      </w:r>
      <w:r w:rsidR="00257373">
        <w:rPr>
          <w:rFonts w:ascii="Times New Roman" w:hAnsi="Times New Roman" w:cs="Times New Roman"/>
          <w:sz w:val="24"/>
          <w:szCs w:val="24"/>
        </w:rPr>
        <w:t>9</w:t>
      </w:r>
      <w:r w:rsidRPr="001B7461">
        <w:rPr>
          <w:rFonts w:ascii="Times New Roman" w:hAnsi="Times New Roman" w:cs="Times New Roman"/>
          <w:sz w:val="24"/>
          <w:szCs w:val="24"/>
        </w:rPr>
        <w:t xml:space="preserve"> </w:t>
      </w:r>
      <w:r>
        <w:rPr>
          <w:rFonts w:ascii="Times New Roman" w:hAnsi="Times New Roman" w:cs="Times New Roman"/>
          <w:sz w:val="24"/>
          <w:szCs w:val="24"/>
        </w:rPr>
        <w:t xml:space="preserve">przepisów </w:t>
      </w:r>
      <w:r w:rsidRPr="001B7461">
        <w:rPr>
          <w:rFonts w:ascii="Times New Roman" w:hAnsi="Times New Roman" w:cs="Times New Roman"/>
          <w:sz w:val="24"/>
          <w:szCs w:val="24"/>
        </w:rPr>
        <w:t xml:space="preserve">ust. </w:t>
      </w:r>
      <w:r w:rsidR="00257373">
        <w:rPr>
          <w:rFonts w:ascii="Times New Roman" w:hAnsi="Times New Roman" w:cs="Times New Roman"/>
          <w:sz w:val="24"/>
          <w:szCs w:val="24"/>
        </w:rPr>
        <w:t>6</w:t>
      </w:r>
      <w:r w:rsidRPr="001B7461">
        <w:rPr>
          <w:rFonts w:ascii="Times New Roman" w:hAnsi="Times New Roman" w:cs="Times New Roman"/>
          <w:sz w:val="24"/>
          <w:szCs w:val="24"/>
        </w:rPr>
        <w:t xml:space="preserve"> i </w:t>
      </w:r>
      <w:r w:rsidR="00257373">
        <w:rPr>
          <w:rFonts w:ascii="Times New Roman" w:hAnsi="Times New Roman" w:cs="Times New Roman"/>
          <w:sz w:val="24"/>
          <w:szCs w:val="24"/>
        </w:rPr>
        <w:t>7</w:t>
      </w:r>
      <w:r w:rsidRPr="001B7461">
        <w:rPr>
          <w:rFonts w:ascii="Times New Roman" w:hAnsi="Times New Roman" w:cs="Times New Roman"/>
          <w:sz w:val="24"/>
          <w:szCs w:val="24"/>
        </w:rPr>
        <w:t xml:space="preserve"> </w:t>
      </w:r>
      <w:r>
        <w:rPr>
          <w:rFonts w:ascii="Times New Roman" w:hAnsi="Times New Roman" w:cs="Times New Roman"/>
          <w:sz w:val="24"/>
          <w:szCs w:val="24"/>
        </w:rPr>
        <w:t xml:space="preserve">nie stosuje się do </w:t>
      </w:r>
      <w:r w:rsidRPr="001B7461">
        <w:rPr>
          <w:rFonts w:ascii="Times New Roman" w:hAnsi="Times New Roman" w:cs="Times New Roman"/>
          <w:sz w:val="24"/>
          <w:szCs w:val="24"/>
        </w:rPr>
        <w:t>emitent</w:t>
      </w:r>
      <w:r>
        <w:rPr>
          <w:rFonts w:ascii="Times New Roman" w:hAnsi="Times New Roman" w:cs="Times New Roman"/>
          <w:sz w:val="24"/>
          <w:szCs w:val="24"/>
        </w:rPr>
        <w:t>ów</w:t>
      </w:r>
      <w:r w:rsidRPr="001B7461">
        <w:rPr>
          <w:rFonts w:ascii="Times New Roman" w:hAnsi="Times New Roman" w:cs="Times New Roman"/>
          <w:sz w:val="24"/>
          <w:szCs w:val="24"/>
        </w:rPr>
        <w:t xml:space="preserve"> znaczących </w:t>
      </w:r>
      <w:proofErr w:type="spellStart"/>
      <w:r w:rsidRPr="001B7461">
        <w:rPr>
          <w:rFonts w:ascii="Times New Roman" w:hAnsi="Times New Roman" w:cs="Times New Roman"/>
          <w:sz w:val="24"/>
          <w:szCs w:val="24"/>
        </w:rPr>
        <w:t>tokenów</w:t>
      </w:r>
      <w:proofErr w:type="spellEnd"/>
      <w:r w:rsidRPr="001B7461">
        <w:rPr>
          <w:rFonts w:ascii="Times New Roman" w:hAnsi="Times New Roman" w:cs="Times New Roman"/>
          <w:sz w:val="24"/>
          <w:szCs w:val="24"/>
        </w:rPr>
        <w:t xml:space="preserve"> </w:t>
      </w:r>
      <w:r>
        <w:rPr>
          <w:rFonts w:ascii="Times New Roman" w:hAnsi="Times New Roman" w:cs="Times New Roman"/>
          <w:sz w:val="24"/>
          <w:szCs w:val="24"/>
        </w:rPr>
        <w:t>p</w:t>
      </w:r>
      <w:r w:rsidRPr="001B7461">
        <w:rPr>
          <w:rFonts w:ascii="Times New Roman" w:hAnsi="Times New Roman" w:cs="Times New Roman"/>
          <w:sz w:val="24"/>
          <w:szCs w:val="24"/>
        </w:rPr>
        <w:t>owiązanych z aktywami</w:t>
      </w:r>
      <w:r>
        <w:rPr>
          <w:rFonts w:ascii="Times New Roman" w:hAnsi="Times New Roman" w:cs="Times New Roman"/>
          <w:sz w:val="24"/>
          <w:szCs w:val="24"/>
        </w:rPr>
        <w:t>.</w:t>
      </w:r>
      <w:bookmarkEnd w:id="9"/>
    </w:p>
    <w:p w14:paraId="5417C3B2" w14:textId="77777777" w:rsidR="00C21D4B" w:rsidRPr="00634555" w:rsidRDefault="00C21D4B" w:rsidP="00695ECE">
      <w:pPr>
        <w:pStyle w:val="Akapitzlist"/>
        <w:spacing w:line="360" w:lineRule="auto"/>
        <w:jc w:val="both"/>
        <w:rPr>
          <w:rFonts w:ascii="Times New Roman" w:hAnsi="Times New Roman" w:cs="Times New Roman"/>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41</w:t>
      </w:r>
      <w:r w:rsidRPr="00CD594B">
        <w:rPr>
          <w:rFonts w:ascii="Times New Roman" w:hAnsi="Times New Roman" w:cs="Times New Roman"/>
          <w:sz w:val="24"/>
          <w:szCs w:val="24"/>
        </w:rPr>
        <w:t xml:space="preserve"> </w:t>
      </w:r>
      <w:r>
        <w:rPr>
          <w:rFonts w:ascii="Times New Roman" w:hAnsi="Times New Roman" w:cs="Times New Roman"/>
          <w:sz w:val="24"/>
          <w:szCs w:val="24"/>
        </w:rPr>
        <w:t>stanowi doprecyzowanie</w:t>
      </w:r>
      <w:r w:rsidRPr="00634555">
        <w:rPr>
          <w:rFonts w:ascii="Times New Roman" w:hAnsi="Times New Roman" w:cs="Times New Roman"/>
          <w:sz w:val="24"/>
          <w:szCs w:val="24"/>
        </w:rPr>
        <w:t xml:space="preserve"> art. 46 </w:t>
      </w:r>
      <w:r>
        <w:rPr>
          <w:rFonts w:ascii="Times New Roman" w:hAnsi="Times New Roman" w:cs="Times New Roman"/>
          <w:sz w:val="24"/>
          <w:szCs w:val="24"/>
        </w:rPr>
        <w:t xml:space="preserve">rozporządzenia 2023/1114 </w:t>
      </w:r>
      <w:r w:rsidRPr="00634555">
        <w:rPr>
          <w:rFonts w:ascii="Times New Roman" w:hAnsi="Times New Roman" w:cs="Times New Roman"/>
          <w:sz w:val="24"/>
          <w:szCs w:val="24"/>
        </w:rPr>
        <w:t xml:space="preserve">w </w:t>
      </w:r>
      <w:r>
        <w:rPr>
          <w:rFonts w:ascii="Times New Roman" w:hAnsi="Times New Roman" w:cs="Times New Roman"/>
          <w:sz w:val="24"/>
          <w:szCs w:val="24"/>
        </w:rPr>
        <w:t xml:space="preserve">zakresie </w:t>
      </w:r>
      <w:r w:rsidRPr="00634555">
        <w:rPr>
          <w:rFonts w:ascii="Times New Roman" w:hAnsi="Times New Roman" w:cs="Times New Roman"/>
          <w:sz w:val="24"/>
          <w:szCs w:val="24"/>
        </w:rPr>
        <w:t xml:space="preserve">terminu, w którym emitenci </w:t>
      </w:r>
      <w:proofErr w:type="spellStart"/>
      <w:r w:rsidRPr="00634555">
        <w:rPr>
          <w:rFonts w:ascii="Times New Roman" w:hAnsi="Times New Roman" w:cs="Times New Roman"/>
          <w:sz w:val="24"/>
          <w:szCs w:val="24"/>
        </w:rPr>
        <w:t>tokenów</w:t>
      </w:r>
      <w:proofErr w:type="spellEnd"/>
      <w:r w:rsidRPr="00634555">
        <w:rPr>
          <w:rFonts w:ascii="Times New Roman" w:hAnsi="Times New Roman" w:cs="Times New Roman"/>
          <w:sz w:val="24"/>
          <w:szCs w:val="24"/>
        </w:rPr>
        <w:t xml:space="preserve"> powiązanych z aktywami oraz </w:t>
      </w:r>
      <w:r>
        <w:rPr>
          <w:rFonts w:ascii="Times New Roman" w:hAnsi="Times New Roman" w:cs="Times New Roman"/>
          <w:sz w:val="24"/>
          <w:szCs w:val="24"/>
        </w:rPr>
        <w:t xml:space="preserve">emitenci </w:t>
      </w:r>
      <w:proofErr w:type="spellStart"/>
      <w:r>
        <w:rPr>
          <w:rFonts w:ascii="Times New Roman" w:hAnsi="Times New Roman" w:cs="Times New Roman"/>
          <w:sz w:val="24"/>
          <w:szCs w:val="24"/>
        </w:rPr>
        <w:t>tokenów</w:t>
      </w:r>
      <w:proofErr w:type="spellEnd"/>
      <w:r>
        <w:rPr>
          <w:rFonts w:ascii="Times New Roman" w:hAnsi="Times New Roman" w:cs="Times New Roman"/>
          <w:sz w:val="24"/>
          <w:szCs w:val="24"/>
        </w:rPr>
        <w:t xml:space="preserve"> </w:t>
      </w:r>
      <w:r w:rsidRPr="00634555">
        <w:rPr>
          <w:rFonts w:ascii="Times New Roman" w:hAnsi="Times New Roman" w:cs="Times New Roman"/>
          <w:sz w:val="24"/>
          <w:szCs w:val="24"/>
        </w:rPr>
        <w:t>będących e-pieniądzem obowiązani będą do</w:t>
      </w:r>
      <w:r>
        <w:rPr>
          <w:rFonts w:ascii="Times New Roman" w:hAnsi="Times New Roman" w:cs="Times New Roman"/>
          <w:sz w:val="24"/>
          <w:szCs w:val="24"/>
        </w:rPr>
        <w:t xml:space="preserve"> aktualizacji planu naprawy</w:t>
      </w:r>
      <w:r w:rsidRPr="00634555">
        <w:rPr>
          <w:rFonts w:ascii="Times New Roman" w:hAnsi="Times New Roman" w:cs="Times New Roman"/>
          <w:sz w:val="24"/>
          <w:szCs w:val="24"/>
        </w:rPr>
        <w:t>. Jest uzasadnione, aby przepisy rangi ustawowej precyzyjnie określały kiedy taka aktualizacja byłaby wymagana (w</w:t>
      </w:r>
      <w:r>
        <w:rPr>
          <w:rFonts w:ascii="Times New Roman" w:hAnsi="Times New Roman" w:cs="Times New Roman"/>
          <w:sz w:val="24"/>
          <w:szCs w:val="24"/>
        </w:rPr>
        <w:t>zorowano się</w:t>
      </w:r>
      <w:r w:rsidRPr="00634555">
        <w:rPr>
          <w:rFonts w:ascii="Times New Roman" w:hAnsi="Times New Roman" w:cs="Times New Roman"/>
          <w:sz w:val="24"/>
          <w:szCs w:val="24"/>
        </w:rPr>
        <w:t xml:space="preserve"> w tym zakresie m. in.</w:t>
      </w:r>
      <w:r>
        <w:rPr>
          <w:rFonts w:ascii="Times New Roman" w:hAnsi="Times New Roman" w:cs="Times New Roman"/>
          <w:sz w:val="24"/>
          <w:szCs w:val="24"/>
        </w:rPr>
        <w:t xml:space="preserve"> na</w:t>
      </w:r>
      <w:r w:rsidRPr="00634555">
        <w:rPr>
          <w:rFonts w:ascii="Times New Roman" w:hAnsi="Times New Roman" w:cs="Times New Roman"/>
          <w:sz w:val="24"/>
          <w:szCs w:val="24"/>
        </w:rPr>
        <w:t xml:space="preserve"> art. 110zj ust. 7 ustawy o obrocie instrumentami finansowymi</w:t>
      </w:r>
      <w:r>
        <w:rPr>
          <w:rFonts w:ascii="Times New Roman" w:hAnsi="Times New Roman" w:cs="Times New Roman"/>
          <w:sz w:val="24"/>
          <w:szCs w:val="24"/>
        </w:rPr>
        <w:t>)</w:t>
      </w:r>
      <w:r w:rsidRPr="00634555">
        <w:rPr>
          <w:rFonts w:ascii="Times New Roman" w:hAnsi="Times New Roman" w:cs="Times New Roman"/>
          <w:sz w:val="24"/>
          <w:szCs w:val="24"/>
        </w:rPr>
        <w:t xml:space="preserve"> w powiązaniu z celami plan</w:t>
      </w:r>
      <w:r>
        <w:rPr>
          <w:rFonts w:ascii="Times New Roman" w:hAnsi="Times New Roman" w:cs="Times New Roman"/>
          <w:sz w:val="24"/>
          <w:szCs w:val="24"/>
        </w:rPr>
        <w:t>u naprawy</w:t>
      </w:r>
      <w:r w:rsidRPr="00634555">
        <w:rPr>
          <w:rFonts w:ascii="Times New Roman" w:hAnsi="Times New Roman" w:cs="Times New Roman"/>
          <w:sz w:val="24"/>
          <w:szCs w:val="24"/>
        </w:rPr>
        <w:t xml:space="preserve"> i środkami służącymi do ich osiągnięcia wynikającymi</w:t>
      </w:r>
      <w:r>
        <w:rPr>
          <w:rFonts w:ascii="Times New Roman" w:hAnsi="Times New Roman" w:cs="Times New Roman"/>
          <w:sz w:val="24"/>
          <w:szCs w:val="24"/>
        </w:rPr>
        <w:t xml:space="preserve"> </w:t>
      </w:r>
      <w:r w:rsidRPr="00634555">
        <w:rPr>
          <w:rFonts w:ascii="Times New Roman" w:hAnsi="Times New Roman" w:cs="Times New Roman"/>
          <w:sz w:val="24"/>
          <w:szCs w:val="24"/>
        </w:rPr>
        <w:t xml:space="preserve">z art. 46 ust. 1 rozporządzenia </w:t>
      </w:r>
      <w:proofErr w:type="spellStart"/>
      <w:r w:rsidRPr="00634555">
        <w:rPr>
          <w:rFonts w:ascii="Times New Roman" w:hAnsi="Times New Roman" w:cs="Times New Roman"/>
          <w:sz w:val="24"/>
          <w:szCs w:val="24"/>
        </w:rPr>
        <w:t>M</w:t>
      </w:r>
      <w:r>
        <w:rPr>
          <w:rFonts w:ascii="Times New Roman" w:hAnsi="Times New Roman" w:cs="Times New Roman"/>
          <w:sz w:val="24"/>
          <w:szCs w:val="24"/>
        </w:rPr>
        <w:t>i</w:t>
      </w:r>
      <w:r w:rsidRPr="00634555">
        <w:rPr>
          <w:rFonts w:ascii="Times New Roman" w:hAnsi="Times New Roman" w:cs="Times New Roman"/>
          <w:sz w:val="24"/>
          <w:szCs w:val="24"/>
        </w:rPr>
        <w:t>CA</w:t>
      </w:r>
      <w:proofErr w:type="spellEnd"/>
      <w:r w:rsidRPr="00634555">
        <w:rPr>
          <w:rFonts w:ascii="Times New Roman" w:hAnsi="Times New Roman" w:cs="Times New Roman"/>
          <w:sz w:val="24"/>
          <w:szCs w:val="24"/>
        </w:rPr>
        <w:t xml:space="preserve"> oraz termin</w:t>
      </w:r>
      <w:r>
        <w:rPr>
          <w:rFonts w:ascii="Times New Roman" w:hAnsi="Times New Roman" w:cs="Times New Roman"/>
          <w:sz w:val="24"/>
          <w:szCs w:val="24"/>
        </w:rPr>
        <w:t>em</w:t>
      </w:r>
      <w:r w:rsidRPr="00634555">
        <w:rPr>
          <w:rFonts w:ascii="Times New Roman" w:hAnsi="Times New Roman" w:cs="Times New Roman"/>
          <w:sz w:val="24"/>
          <w:szCs w:val="24"/>
        </w:rPr>
        <w:t>, w którym w ramach wynikającego z ww. przepis</w:t>
      </w:r>
      <w:r>
        <w:rPr>
          <w:rFonts w:ascii="Times New Roman" w:hAnsi="Times New Roman" w:cs="Times New Roman"/>
          <w:sz w:val="24"/>
          <w:szCs w:val="24"/>
        </w:rPr>
        <w:t>u</w:t>
      </w:r>
      <w:r w:rsidRPr="00634555">
        <w:rPr>
          <w:rFonts w:ascii="Times New Roman" w:hAnsi="Times New Roman" w:cs="Times New Roman"/>
          <w:sz w:val="24"/>
          <w:szCs w:val="24"/>
        </w:rPr>
        <w:t xml:space="preserve"> rozporządzenia </w:t>
      </w:r>
      <w:proofErr w:type="spellStart"/>
      <w:r w:rsidRPr="00634555">
        <w:rPr>
          <w:rFonts w:ascii="Times New Roman" w:hAnsi="Times New Roman" w:cs="Times New Roman"/>
          <w:sz w:val="24"/>
          <w:szCs w:val="24"/>
        </w:rPr>
        <w:t>M</w:t>
      </w:r>
      <w:r>
        <w:rPr>
          <w:rFonts w:ascii="Times New Roman" w:hAnsi="Times New Roman" w:cs="Times New Roman"/>
          <w:sz w:val="24"/>
          <w:szCs w:val="24"/>
        </w:rPr>
        <w:t>i</w:t>
      </w:r>
      <w:r w:rsidRPr="00634555">
        <w:rPr>
          <w:rFonts w:ascii="Times New Roman" w:hAnsi="Times New Roman" w:cs="Times New Roman"/>
          <w:sz w:val="24"/>
          <w:szCs w:val="24"/>
        </w:rPr>
        <w:t>CA</w:t>
      </w:r>
      <w:proofErr w:type="spellEnd"/>
      <w:r w:rsidRPr="00634555">
        <w:rPr>
          <w:rFonts w:ascii="Times New Roman" w:hAnsi="Times New Roman" w:cs="Times New Roman"/>
          <w:sz w:val="24"/>
          <w:szCs w:val="24"/>
        </w:rPr>
        <w:t xml:space="preserve"> ciągłego obowiązku monitorowania własnej sytuacji i związanej z tym aktualizacji plan</w:t>
      </w:r>
      <w:r>
        <w:rPr>
          <w:rFonts w:ascii="Times New Roman" w:hAnsi="Times New Roman" w:cs="Times New Roman"/>
          <w:sz w:val="24"/>
          <w:szCs w:val="24"/>
        </w:rPr>
        <w:t>u naprawy</w:t>
      </w:r>
      <w:r w:rsidRPr="00634555">
        <w:rPr>
          <w:rFonts w:ascii="Times New Roman" w:hAnsi="Times New Roman" w:cs="Times New Roman"/>
          <w:sz w:val="24"/>
          <w:szCs w:val="24"/>
        </w:rPr>
        <w:t xml:space="preserve"> ww. podmioty powinny </w:t>
      </w:r>
      <w:r>
        <w:rPr>
          <w:rFonts w:ascii="Times New Roman" w:hAnsi="Times New Roman" w:cs="Times New Roman"/>
          <w:sz w:val="24"/>
          <w:szCs w:val="24"/>
        </w:rPr>
        <w:t>przekazać Komisji aktualizację planu naprawy</w:t>
      </w:r>
      <w:r w:rsidRPr="00634555">
        <w:rPr>
          <w:rFonts w:ascii="Times New Roman" w:hAnsi="Times New Roman" w:cs="Times New Roman"/>
          <w:sz w:val="24"/>
          <w:szCs w:val="24"/>
        </w:rPr>
        <w:t xml:space="preserve">. </w:t>
      </w:r>
      <w:r>
        <w:rPr>
          <w:rFonts w:ascii="Times New Roman" w:hAnsi="Times New Roman" w:cs="Times New Roman"/>
          <w:sz w:val="24"/>
          <w:szCs w:val="24"/>
        </w:rPr>
        <w:t>Przedmiotowa aktualizacja planu</w:t>
      </w:r>
      <w:r w:rsidRPr="00634555">
        <w:rPr>
          <w:rFonts w:ascii="Times New Roman" w:hAnsi="Times New Roman" w:cs="Times New Roman"/>
          <w:sz w:val="24"/>
          <w:szCs w:val="24"/>
        </w:rPr>
        <w:t xml:space="preserve"> </w:t>
      </w:r>
      <w:r>
        <w:rPr>
          <w:rFonts w:ascii="Times New Roman" w:hAnsi="Times New Roman" w:cs="Times New Roman"/>
          <w:sz w:val="24"/>
          <w:szCs w:val="24"/>
        </w:rPr>
        <w:t xml:space="preserve">będzie przedkładana niezwłocznie, </w:t>
      </w:r>
      <w:r w:rsidRPr="00634555">
        <w:rPr>
          <w:rFonts w:ascii="Times New Roman" w:hAnsi="Times New Roman" w:cs="Times New Roman"/>
          <w:sz w:val="24"/>
          <w:szCs w:val="24"/>
        </w:rPr>
        <w:t xml:space="preserve">nie później jednak niż w terminie 14 dni </w:t>
      </w:r>
      <w:r>
        <w:rPr>
          <w:rFonts w:ascii="Times New Roman" w:hAnsi="Times New Roman" w:cs="Times New Roman"/>
          <w:sz w:val="24"/>
          <w:szCs w:val="24"/>
        </w:rPr>
        <w:t xml:space="preserve">roboczych </w:t>
      </w:r>
      <w:r w:rsidRPr="00634555">
        <w:rPr>
          <w:rFonts w:ascii="Times New Roman" w:hAnsi="Times New Roman" w:cs="Times New Roman"/>
          <w:sz w:val="24"/>
          <w:szCs w:val="24"/>
        </w:rPr>
        <w:t xml:space="preserve">od </w:t>
      </w:r>
      <w:r>
        <w:rPr>
          <w:rFonts w:ascii="Times New Roman" w:hAnsi="Times New Roman" w:cs="Times New Roman"/>
          <w:sz w:val="24"/>
          <w:szCs w:val="24"/>
        </w:rPr>
        <w:t xml:space="preserve">dnia jej </w:t>
      </w:r>
      <w:r w:rsidRPr="00634555">
        <w:rPr>
          <w:rFonts w:ascii="Times New Roman" w:hAnsi="Times New Roman" w:cs="Times New Roman"/>
          <w:sz w:val="24"/>
          <w:szCs w:val="24"/>
        </w:rPr>
        <w:t xml:space="preserve">sporządzenia. </w:t>
      </w:r>
    </w:p>
    <w:p w14:paraId="2EBB7734" w14:textId="77777777"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42</w:t>
      </w:r>
      <w:r w:rsidRPr="00CD594B">
        <w:rPr>
          <w:rFonts w:ascii="Times New Roman" w:hAnsi="Times New Roman" w:cs="Times New Roman"/>
          <w:b/>
          <w:bCs/>
          <w:sz w:val="24"/>
          <w:szCs w:val="24"/>
        </w:rPr>
        <w:t xml:space="preserve"> </w:t>
      </w:r>
      <w:bookmarkStart w:id="10" w:name="_Hlk170904837"/>
      <w:r w:rsidRPr="00CD594B">
        <w:rPr>
          <w:rFonts w:ascii="Times New Roman" w:hAnsi="Times New Roman" w:cs="Times New Roman"/>
          <w:sz w:val="24"/>
          <w:szCs w:val="24"/>
        </w:rPr>
        <w:t xml:space="preserve">określa, że w przypadku, gdy Bankowy Fundusz Gwarancyjny (dalej: BFG) jest organem przymusowej restrukturyzacji dla danego emitenta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powiązanych z aktywami lub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będących e-pieniądzem, Komisja przekazuje BFG</w:t>
      </w:r>
      <w:r w:rsidRPr="002469F4">
        <w:t xml:space="preserve"> </w:t>
      </w:r>
      <w:r w:rsidRPr="00CD594B">
        <w:rPr>
          <w:rFonts w:ascii="Times New Roman" w:hAnsi="Times New Roman" w:cs="Times New Roman"/>
          <w:sz w:val="24"/>
          <w:szCs w:val="24"/>
        </w:rPr>
        <w:t>zatwierdzony plan naprawy</w:t>
      </w:r>
      <w:r>
        <w:rPr>
          <w:rFonts w:ascii="Times New Roman" w:hAnsi="Times New Roman" w:cs="Times New Roman"/>
          <w:sz w:val="24"/>
          <w:szCs w:val="24"/>
        </w:rPr>
        <w:t xml:space="preserve"> (również plan po aktualizacji)</w:t>
      </w:r>
      <w:r w:rsidRPr="00CD594B">
        <w:rPr>
          <w:rFonts w:ascii="Times New Roman" w:hAnsi="Times New Roman" w:cs="Times New Roman"/>
          <w:sz w:val="24"/>
          <w:szCs w:val="24"/>
        </w:rPr>
        <w:t xml:space="preserve"> w terminie 7 dni od dnia jego zatwierdzenia.</w:t>
      </w:r>
      <w:bookmarkEnd w:id="10"/>
    </w:p>
    <w:p w14:paraId="68D8E32D" w14:textId="77777777"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43</w:t>
      </w:r>
      <w:r w:rsidRPr="00CD594B">
        <w:rPr>
          <w:rFonts w:ascii="Times New Roman" w:hAnsi="Times New Roman" w:cs="Times New Roman"/>
          <w:b/>
          <w:bCs/>
          <w:sz w:val="24"/>
          <w:szCs w:val="24"/>
        </w:rPr>
        <w:t xml:space="preserve"> </w:t>
      </w:r>
      <w:r>
        <w:rPr>
          <w:rFonts w:ascii="Times New Roman" w:hAnsi="Times New Roman" w:cs="Times New Roman"/>
          <w:sz w:val="24"/>
          <w:szCs w:val="24"/>
        </w:rPr>
        <w:t>z</w:t>
      </w:r>
      <w:r w:rsidRPr="00CD594B">
        <w:rPr>
          <w:rFonts w:ascii="Times New Roman" w:hAnsi="Times New Roman" w:cs="Times New Roman"/>
          <w:sz w:val="24"/>
          <w:szCs w:val="24"/>
        </w:rPr>
        <w:t xml:space="preserve">godnie z tym przepisem, emitent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powiązanych z aktywami lub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będących e-pieniądzem będzie zobowiązany do niezwłocznego zawiadamiania Komisji, a w przypadku, o którym mowa w art. </w:t>
      </w:r>
      <w:r>
        <w:rPr>
          <w:rFonts w:ascii="Times New Roman" w:hAnsi="Times New Roman" w:cs="Times New Roman"/>
          <w:sz w:val="24"/>
          <w:szCs w:val="24"/>
        </w:rPr>
        <w:t>42</w:t>
      </w:r>
      <w:r w:rsidRPr="00CD594B">
        <w:rPr>
          <w:rFonts w:ascii="Times New Roman" w:hAnsi="Times New Roman" w:cs="Times New Roman"/>
          <w:sz w:val="24"/>
          <w:szCs w:val="24"/>
        </w:rPr>
        <w:t>, również BFG, o podejmowanych działaniach</w:t>
      </w:r>
      <w:r>
        <w:rPr>
          <w:rFonts w:ascii="Times New Roman" w:hAnsi="Times New Roman" w:cs="Times New Roman"/>
          <w:sz w:val="24"/>
          <w:szCs w:val="24"/>
        </w:rPr>
        <w:t xml:space="preserve"> związanych z realizacją planu naprawy</w:t>
      </w:r>
      <w:r w:rsidRPr="00CD594B">
        <w:rPr>
          <w:rFonts w:ascii="Times New Roman" w:hAnsi="Times New Roman" w:cs="Times New Roman"/>
          <w:sz w:val="24"/>
          <w:szCs w:val="24"/>
        </w:rPr>
        <w:t>.</w:t>
      </w:r>
    </w:p>
    <w:p w14:paraId="639014A8" w14:textId="77777777"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44</w:t>
      </w:r>
      <w:r w:rsidRPr="00CD594B">
        <w:rPr>
          <w:rFonts w:ascii="Times New Roman" w:hAnsi="Times New Roman" w:cs="Times New Roman"/>
          <w:b/>
          <w:bCs/>
          <w:sz w:val="24"/>
          <w:szCs w:val="24"/>
        </w:rPr>
        <w:t xml:space="preserve"> </w:t>
      </w:r>
      <w:bookmarkStart w:id="11" w:name="_Hlk192669422"/>
      <w:r>
        <w:rPr>
          <w:rFonts w:ascii="Times New Roman" w:hAnsi="Times New Roman" w:cs="Times New Roman"/>
          <w:sz w:val="24"/>
          <w:szCs w:val="24"/>
        </w:rPr>
        <w:t xml:space="preserve">zobowiązuje </w:t>
      </w:r>
      <w:r w:rsidRPr="00321C82">
        <w:rPr>
          <w:rFonts w:ascii="Times New Roman" w:hAnsi="Times New Roman" w:cs="Times New Roman"/>
          <w:sz w:val="24"/>
          <w:szCs w:val="24"/>
        </w:rPr>
        <w:t>os</w:t>
      </w:r>
      <w:r>
        <w:rPr>
          <w:rFonts w:ascii="Times New Roman" w:hAnsi="Times New Roman" w:cs="Times New Roman"/>
          <w:sz w:val="24"/>
          <w:szCs w:val="24"/>
        </w:rPr>
        <w:t>oby</w:t>
      </w:r>
      <w:r w:rsidRPr="00321C82">
        <w:rPr>
          <w:rFonts w:ascii="Times New Roman" w:hAnsi="Times New Roman" w:cs="Times New Roman"/>
          <w:sz w:val="24"/>
          <w:szCs w:val="24"/>
        </w:rPr>
        <w:t xml:space="preserve"> uprawnion</w:t>
      </w:r>
      <w:r>
        <w:rPr>
          <w:rFonts w:ascii="Times New Roman" w:hAnsi="Times New Roman" w:cs="Times New Roman"/>
          <w:sz w:val="24"/>
          <w:szCs w:val="24"/>
        </w:rPr>
        <w:t>e</w:t>
      </w:r>
      <w:r w:rsidRPr="00321C82">
        <w:rPr>
          <w:rFonts w:ascii="Times New Roman" w:hAnsi="Times New Roman" w:cs="Times New Roman"/>
          <w:sz w:val="24"/>
          <w:szCs w:val="24"/>
        </w:rPr>
        <w:t xml:space="preserve"> do reprezentowania emitenta </w:t>
      </w:r>
      <w:proofErr w:type="spellStart"/>
      <w:r w:rsidRPr="00321C82">
        <w:rPr>
          <w:rFonts w:ascii="Times New Roman" w:hAnsi="Times New Roman" w:cs="Times New Roman"/>
          <w:sz w:val="24"/>
          <w:szCs w:val="24"/>
        </w:rPr>
        <w:t>tokenów</w:t>
      </w:r>
      <w:proofErr w:type="spellEnd"/>
      <w:r w:rsidRPr="00321C82">
        <w:rPr>
          <w:rFonts w:ascii="Times New Roman" w:hAnsi="Times New Roman" w:cs="Times New Roman"/>
          <w:sz w:val="24"/>
          <w:szCs w:val="24"/>
        </w:rPr>
        <w:t xml:space="preserve"> powiązanych z aktywami lub </w:t>
      </w:r>
      <w:proofErr w:type="spellStart"/>
      <w:r w:rsidRPr="00321C82">
        <w:rPr>
          <w:rFonts w:ascii="Times New Roman" w:hAnsi="Times New Roman" w:cs="Times New Roman"/>
          <w:sz w:val="24"/>
          <w:szCs w:val="24"/>
        </w:rPr>
        <w:t>tokenów</w:t>
      </w:r>
      <w:proofErr w:type="spellEnd"/>
      <w:r w:rsidRPr="00321C82">
        <w:rPr>
          <w:rFonts w:ascii="Times New Roman" w:hAnsi="Times New Roman" w:cs="Times New Roman"/>
          <w:sz w:val="24"/>
          <w:szCs w:val="24"/>
        </w:rPr>
        <w:t xml:space="preserve"> będących e-pieniądzem lub wchodzące w skład </w:t>
      </w:r>
      <w:r>
        <w:rPr>
          <w:rFonts w:ascii="Times New Roman" w:hAnsi="Times New Roman" w:cs="Times New Roman"/>
          <w:sz w:val="24"/>
          <w:szCs w:val="24"/>
        </w:rPr>
        <w:t>jego</w:t>
      </w:r>
      <w:r w:rsidRPr="00321C82">
        <w:rPr>
          <w:rFonts w:ascii="Times New Roman" w:hAnsi="Times New Roman" w:cs="Times New Roman"/>
          <w:sz w:val="24"/>
          <w:szCs w:val="24"/>
        </w:rPr>
        <w:t xml:space="preserve"> statutowych organów do niezwłocznego sporządzania i przekazywania</w:t>
      </w:r>
      <w:r>
        <w:rPr>
          <w:rFonts w:ascii="Times New Roman" w:hAnsi="Times New Roman" w:cs="Times New Roman"/>
          <w:sz w:val="24"/>
          <w:szCs w:val="24"/>
        </w:rPr>
        <w:t>, na żądanie Komisji,</w:t>
      </w:r>
      <w:r w:rsidRPr="00321C82">
        <w:rPr>
          <w:rFonts w:ascii="Times New Roman" w:hAnsi="Times New Roman" w:cs="Times New Roman"/>
          <w:sz w:val="24"/>
          <w:szCs w:val="24"/>
        </w:rPr>
        <w:t xml:space="preserve"> na koszt</w:t>
      </w:r>
      <w:r>
        <w:rPr>
          <w:rFonts w:ascii="Times New Roman" w:hAnsi="Times New Roman" w:cs="Times New Roman"/>
          <w:sz w:val="24"/>
          <w:szCs w:val="24"/>
        </w:rPr>
        <w:t xml:space="preserve"> tego</w:t>
      </w:r>
      <w:r w:rsidRPr="00321C82">
        <w:rPr>
          <w:rFonts w:ascii="Times New Roman" w:hAnsi="Times New Roman" w:cs="Times New Roman"/>
          <w:sz w:val="24"/>
          <w:szCs w:val="24"/>
        </w:rPr>
        <w:t xml:space="preserve"> emitenta</w:t>
      </w:r>
      <w:r>
        <w:rPr>
          <w:rFonts w:ascii="Times New Roman" w:hAnsi="Times New Roman" w:cs="Times New Roman"/>
          <w:sz w:val="24"/>
          <w:szCs w:val="24"/>
        </w:rPr>
        <w:t>,</w:t>
      </w:r>
      <w:r w:rsidRPr="00321C82">
        <w:rPr>
          <w:rFonts w:ascii="Times New Roman" w:hAnsi="Times New Roman" w:cs="Times New Roman"/>
          <w:sz w:val="24"/>
          <w:szCs w:val="24"/>
        </w:rPr>
        <w:t xml:space="preserve"> wszelkich informacji, które w ocenie Komisji mogą mieć wpływ na wdrożenie i realizację planu naprawy.</w:t>
      </w:r>
      <w:bookmarkEnd w:id="11"/>
    </w:p>
    <w:p w14:paraId="29754CAC" w14:textId="753F0894"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45</w:t>
      </w:r>
      <w:r w:rsidR="00D46025">
        <w:rPr>
          <w:rFonts w:ascii="Times New Roman" w:hAnsi="Times New Roman" w:cs="Times New Roman"/>
          <w:b/>
          <w:bCs/>
          <w:sz w:val="24"/>
          <w:szCs w:val="24"/>
        </w:rPr>
        <w:t xml:space="preserve"> </w:t>
      </w:r>
      <w:r w:rsidRPr="00CD594B">
        <w:rPr>
          <w:rFonts w:ascii="Times New Roman" w:hAnsi="Times New Roman" w:cs="Times New Roman"/>
          <w:sz w:val="24"/>
          <w:szCs w:val="24"/>
        </w:rPr>
        <w:t xml:space="preserve">określa, że plan wykupu podlega zatwierdzeniu </w:t>
      </w:r>
      <w:r>
        <w:rPr>
          <w:rFonts w:ascii="Times New Roman" w:hAnsi="Times New Roman" w:cs="Times New Roman"/>
          <w:sz w:val="24"/>
          <w:szCs w:val="24"/>
        </w:rPr>
        <w:t xml:space="preserve">w terminie 3 miesięcy przez </w:t>
      </w:r>
      <w:r w:rsidRPr="00CD594B">
        <w:rPr>
          <w:rFonts w:ascii="Times New Roman" w:hAnsi="Times New Roman" w:cs="Times New Roman"/>
          <w:sz w:val="24"/>
          <w:szCs w:val="24"/>
        </w:rPr>
        <w:t>Komisj</w:t>
      </w:r>
      <w:r>
        <w:rPr>
          <w:rFonts w:ascii="Times New Roman" w:hAnsi="Times New Roman" w:cs="Times New Roman"/>
          <w:sz w:val="24"/>
          <w:szCs w:val="24"/>
        </w:rPr>
        <w:t xml:space="preserve">ę. </w:t>
      </w:r>
      <w:r w:rsidRPr="00CD594B">
        <w:rPr>
          <w:rFonts w:ascii="Times New Roman" w:hAnsi="Times New Roman" w:cs="Times New Roman"/>
          <w:sz w:val="24"/>
          <w:szCs w:val="24"/>
        </w:rPr>
        <w:t xml:space="preserve">Ust. </w:t>
      </w:r>
      <w:r w:rsidR="00257373">
        <w:rPr>
          <w:rFonts w:ascii="Times New Roman" w:hAnsi="Times New Roman" w:cs="Times New Roman"/>
          <w:sz w:val="24"/>
          <w:szCs w:val="24"/>
        </w:rPr>
        <w:t>2</w:t>
      </w:r>
      <w:r w:rsidRPr="00CD594B">
        <w:rPr>
          <w:rFonts w:ascii="Times New Roman" w:hAnsi="Times New Roman" w:cs="Times New Roman"/>
          <w:sz w:val="24"/>
          <w:szCs w:val="24"/>
        </w:rPr>
        <w:t xml:space="preserve"> określa, że </w:t>
      </w:r>
      <w:r>
        <w:rPr>
          <w:rFonts w:ascii="Times New Roman" w:hAnsi="Times New Roman" w:cs="Times New Roman"/>
          <w:sz w:val="24"/>
          <w:szCs w:val="24"/>
        </w:rPr>
        <w:t>w</w:t>
      </w:r>
      <w:r w:rsidRPr="00CD594B">
        <w:rPr>
          <w:rFonts w:ascii="Times New Roman" w:hAnsi="Times New Roman" w:cs="Times New Roman"/>
          <w:sz w:val="24"/>
          <w:szCs w:val="24"/>
        </w:rPr>
        <w:t xml:space="preserve"> razie niespełniania przez plan wykupu wymagań określonych w art.</w:t>
      </w:r>
      <w:r>
        <w:rPr>
          <w:rFonts w:ascii="Times New Roman" w:hAnsi="Times New Roman" w:cs="Times New Roman"/>
          <w:sz w:val="24"/>
          <w:szCs w:val="24"/>
        </w:rPr>
        <w:t> </w:t>
      </w:r>
      <w:r w:rsidRPr="00CD594B">
        <w:rPr>
          <w:rFonts w:ascii="Times New Roman" w:hAnsi="Times New Roman" w:cs="Times New Roman"/>
          <w:sz w:val="24"/>
          <w:szCs w:val="24"/>
        </w:rPr>
        <w:t>47 ust. 1 i 2 rozporządzenia 2023/1114,</w:t>
      </w:r>
      <w:r>
        <w:rPr>
          <w:rFonts w:ascii="Times New Roman" w:hAnsi="Times New Roman" w:cs="Times New Roman"/>
          <w:sz w:val="24"/>
          <w:szCs w:val="24"/>
        </w:rPr>
        <w:t xml:space="preserve"> </w:t>
      </w:r>
      <w:r w:rsidRPr="00DF56EF">
        <w:rPr>
          <w:rFonts w:ascii="Times New Roman" w:hAnsi="Times New Roman" w:cs="Times New Roman"/>
          <w:sz w:val="24"/>
          <w:szCs w:val="24"/>
        </w:rPr>
        <w:t>koniecznych do zapewnienia jego właściwego wdrożenia</w:t>
      </w:r>
      <w:r>
        <w:rPr>
          <w:rFonts w:ascii="Times New Roman" w:hAnsi="Times New Roman" w:cs="Times New Roman"/>
          <w:sz w:val="24"/>
          <w:szCs w:val="24"/>
        </w:rPr>
        <w:t>,</w:t>
      </w:r>
      <w:r w:rsidRPr="00CD594B">
        <w:rPr>
          <w:rFonts w:ascii="Times New Roman" w:hAnsi="Times New Roman" w:cs="Times New Roman"/>
          <w:sz w:val="24"/>
          <w:szCs w:val="24"/>
        </w:rPr>
        <w:t xml:space="preserve"> Komisja będzie </w:t>
      </w:r>
      <w:r>
        <w:rPr>
          <w:rFonts w:ascii="Times New Roman" w:hAnsi="Times New Roman" w:cs="Times New Roman"/>
          <w:sz w:val="24"/>
          <w:szCs w:val="24"/>
        </w:rPr>
        <w:t>wzywała</w:t>
      </w:r>
      <w:r w:rsidRPr="00CD594B">
        <w:rPr>
          <w:rFonts w:ascii="Times New Roman" w:hAnsi="Times New Roman" w:cs="Times New Roman"/>
          <w:sz w:val="24"/>
          <w:szCs w:val="24"/>
        </w:rPr>
        <w:t xml:space="preserve"> emitenta do zmiany planu, w terminie 40 dni roboczych od dnia doręczenia wezwania. Jednakże, na wniosek tego emitenta, wskazany termin będzie mógł zostać przedłużony przez Komisję o miesiąc. </w:t>
      </w:r>
      <w:r>
        <w:rPr>
          <w:rFonts w:ascii="Times New Roman" w:hAnsi="Times New Roman" w:cs="Times New Roman"/>
          <w:sz w:val="24"/>
          <w:szCs w:val="24"/>
        </w:rPr>
        <w:t>Zgodnie z</w:t>
      </w:r>
      <w:r w:rsidRPr="00CD594B">
        <w:rPr>
          <w:rFonts w:ascii="Times New Roman" w:hAnsi="Times New Roman" w:cs="Times New Roman"/>
          <w:sz w:val="24"/>
          <w:szCs w:val="24"/>
        </w:rPr>
        <w:t xml:space="preserve"> ust. </w:t>
      </w:r>
      <w:r w:rsidR="00257373">
        <w:rPr>
          <w:rFonts w:ascii="Times New Roman" w:hAnsi="Times New Roman" w:cs="Times New Roman"/>
          <w:sz w:val="24"/>
          <w:szCs w:val="24"/>
        </w:rPr>
        <w:t>3</w:t>
      </w:r>
      <w:r w:rsidRPr="00CD594B">
        <w:rPr>
          <w:rFonts w:ascii="Times New Roman" w:hAnsi="Times New Roman" w:cs="Times New Roman"/>
          <w:sz w:val="24"/>
          <w:szCs w:val="24"/>
        </w:rPr>
        <w:t xml:space="preserve"> </w:t>
      </w:r>
      <w:r>
        <w:rPr>
          <w:rFonts w:ascii="Times New Roman" w:hAnsi="Times New Roman" w:cs="Times New Roman"/>
          <w:sz w:val="24"/>
          <w:szCs w:val="24"/>
        </w:rPr>
        <w:t>w określonych przypadkach</w:t>
      </w:r>
      <w:r w:rsidRPr="00CD594B">
        <w:rPr>
          <w:rFonts w:ascii="Times New Roman" w:hAnsi="Times New Roman" w:cs="Times New Roman"/>
          <w:sz w:val="24"/>
          <w:szCs w:val="24"/>
        </w:rPr>
        <w:t xml:space="preserve"> Komisja, w drodze decyzji, będzie odmawiała jego zatwierdzenia. W decyzji tej Komisja będzie wyznaczała termin</w:t>
      </w:r>
      <w:r>
        <w:rPr>
          <w:rFonts w:ascii="Times New Roman" w:hAnsi="Times New Roman" w:cs="Times New Roman"/>
          <w:sz w:val="24"/>
          <w:szCs w:val="24"/>
        </w:rPr>
        <w:t xml:space="preserve"> (ust. </w:t>
      </w:r>
      <w:r w:rsidR="00257373">
        <w:rPr>
          <w:rFonts w:ascii="Times New Roman" w:hAnsi="Times New Roman" w:cs="Times New Roman"/>
          <w:sz w:val="24"/>
          <w:szCs w:val="24"/>
        </w:rPr>
        <w:t>4</w:t>
      </w:r>
      <w:r>
        <w:rPr>
          <w:rFonts w:ascii="Times New Roman" w:hAnsi="Times New Roman" w:cs="Times New Roman"/>
          <w:sz w:val="24"/>
          <w:szCs w:val="24"/>
        </w:rPr>
        <w:t>)</w:t>
      </w:r>
      <w:r w:rsidRPr="00CD594B">
        <w:rPr>
          <w:rFonts w:ascii="Times New Roman" w:hAnsi="Times New Roman" w:cs="Times New Roman"/>
          <w:sz w:val="24"/>
          <w:szCs w:val="24"/>
        </w:rPr>
        <w:t>, do którego dany emitent powinien przedstawić nowy plan wykupu oraz wymogi niezbędn</w:t>
      </w:r>
      <w:r>
        <w:rPr>
          <w:rFonts w:ascii="Times New Roman" w:hAnsi="Times New Roman" w:cs="Times New Roman"/>
          <w:sz w:val="24"/>
          <w:szCs w:val="24"/>
        </w:rPr>
        <w:t>e</w:t>
      </w:r>
      <w:r w:rsidRPr="00CD594B">
        <w:rPr>
          <w:rFonts w:ascii="Times New Roman" w:hAnsi="Times New Roman" w:cs="Times New Roman"/>
          <w:sz w:val="24"/>
          <w:szCs w:val="24"/>
        </w:rPr>
        <w:t xml:space="preserve"> do zatwierdzenia tego planu. Termin ten nie powinien być jednak dłuższy niż miesiąc. Ust.</w:t>
      </w:r>
      <w:r>
        <w:rPr>
          <w:rFonts w:ascii="Times New Roman" w:hAnsi="Times New Roman" w:cs="Times New Roman"/>
          <w:sz w:val="24"/>
          <w:szCs w:val="24"/>
        </w:rPr>
        <w:t> </w:t>
      </w:r>
      <w:r w:rsidR="00257373">
        <w:rPr>
          <w:rFonts w:ascii="Times New Roman" w:hAnsi="Times New Roman" w:cs="Times New Roman"/>
          <w:sz w:val="24"/>
          <w:szCs w:val="24"/>
        </w:rPr>
        <w:t>5</w:t>
      </w:r>
      <w:r w:rsidRPr="00CD594B">
        <w:rPr>
          <w:rFonts w:ascii="Times New Roman" w:hAnsi="Times New Roman" w:cs="Times New Roman"/>
          <w:sz w:val="24"/>
          <w:szCs w:val="24"/>
        </w:rPr>
        <w:t xml:space="preserve"> odnos</w:t>
      </w:r>
      <w:r>
        <w:rPr>
          <w:rFonts w:ascii="Times New Roman" w:hAnsi="Times New Roman" w:cs="Times New Roman"/>
          <w:sz w:val="24"/>
          <w:szCs w:val="24"/>
        </w:rPr>
        <w:t>i</w:t>
      </w:r>
      <w:r w:rsidRPr="00CD594B">
        <w:rPr>
          <w:rFonts w:ascii="Times New Roman" w:hAnsi="Times New Roman" w:cs="Times New Roman"/>
          <w:sz w:val="24"/>
          <w:szCs w:val="24"/>
        </w:rPr>
        <w:t xml:space="preserve"> się do nowego planu wykupu i wskazuje, że będzie on zatwierdzany przez Komisję w terminie 3 miesięcy od dnia jego otrzymania. Komisja będzie odmawiała zatwierdzenia nowego planu wykupu, w przypadku gdy nie spełni on wymogów określonych w art. 47 ust. 1 i 2</w:t>
      </w:r>
      <w:r>
        <w:rPr>
          <w:rFonts w:ascii="Times New Roman" w:hAnsi="Times New Roman" w:cs="Times New Roman"/>
          <w:sz w:val="24"/>
          <w:szCs w:val="24"/>
        </w:rPr>
        <w:t xml:space="preserve"> rozporządzenia 2023/1114. W tym przypadku przepisy ust. </w:t>
      </w:r>
      <w:r w:rsidR="00257373">
        <w:rPr>
          <w:rFonts w:ascii="Times New Roman" w:hAnsi="Times New Roman" w:cs="Times New Roman"/>
          <w:sz w:val="24"/>
          <w:szCs w:val="24"/>
        </w:rPr>
        <w:t>2</w:t>
      </w:r>
      <w:r>
        <w:rPr>
          <w:rFonts w:ascii="Times New Roman" w:hAnsi="Times New Roman" w:cs="Times New Roman"/>
          <w:sz w:val="24"/>
          <w:szCs w:val="24"/>
        </w:rPr>
        <w:t xml:space="preserve"> i </w:t>
      </w:r>
      <w:r w:rsidR="00257373">
        <w:rPr>
          <w:rFonts w:ascii="Times New Roman" w:hAnsi="Times New Roman" w:cs="Times New Roman"/>
          <w:sz w:val="24"/>
          <w:szCs w:val="24"/>
        </w:rPr>
        <w:t>3</w:t>
      </w:r>
      <w:r>
        <w:rPr>
          <w:rFonts w:ascii="Times New Roman" w:hAnsi="Times New Roman" w:cs="Times New Roman"/>
          <w:sz w:val="24"/>
          <w:szCs w:val="24"/>
        </w:rPr>
        <w:t xml:space="preserve"> będą miały zastosowanie.</w:t>
      </w:r>
    </w:p>
    <w:p w14:paraId="140B1B95" w14:textId="73A61C3D" w:rsidR="00C21D4B" w:rsidRPr="00382A69" w:rsidRDefault="00C21D4B" w:rsidP="00695ECE">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Art. 4</w:t>
      </w:r>
      <w:r>
        <w:rPr>
          <w:rFonts w:ascii="Times New Roman" w:hAnsi="Times New Roman" w:cs="Times New Roman"/>
          <w:b/>
          <w:bCs/>
          <w:sz w:val="24"/>
          <w:szCs w:val="24"/>
        </w:rPr>
        <w:t>6</w:t>
      </w:r>
      <w:r w:rsidRPr="00113790">
        <w:rPr>
          <w:rFonts w:ascii="Times New Roman" w:hAnsi="Times New Roman" w:cs="Times New Roman"/>
          <w:sz w:val="24"/>
          <w:szCs w:val="24"/>
        </w:rPr>
        <w:t xml:space="preserve"> stanowi doprecyzowanie art. 4</w:t>
      </w:r>
      <w:r>
        <w:rPr>
          <w:rFonts w:ascii="Times New Roman" w:hAnsi="Times New Roman" w:cs="Times New Roman"/>
          <w:sz w:val="24"/>
          <w:szCs w:val="24"/>
        </w:rPr>
        <w:t>7</w:t>
      </w:r>
      <w:r w:rsidRPr="00113790">
        <w:rPr>
          <w:rFonts w:ascii="Times New Roman" w:hAnsi="Times New Roman" w:cs="Times New Roman"/>
          <w:sz w:val="24"/>
          <w:szCs w:val="24"/>
        </w:rPr>
        <w:t xml:space="preserve"> rozporządzenia 2023/1114 w zakresie terminu, w którym emitenci </w:t>
      </w:r>
      <w:proofErr w:type="spellStart"/>
      <w:r w:rsidRPr="00113790">
        <w:rPr>
          <w:rFonts w:ascii="Times New Roman" w:hAnsi="Times New Roman" w:cs="Times New Roman"/>
          <w:sz w:val="24"/>
          <w:szCs w:val="24"/>
        </w:rPr>
        <w:t>tokenów</w:t>
      </w:r>
      <w:proofErr w:type="spellEnd"/>
      <w:r w:rsidRPr="00113790">
        <w:rPr>
          <w:rFonts w:ascii="Times New Roman" w:hAnsi="Times New Roman" w:cs="Times New Roman"/>
          <w:sz w:val="24"/>
          <w:szCs w:val="24"/>
        </w:rPr>
        <w:t xml:space="preserve"> powiązanych z aktywami oraz</w:t>
      </w:r>
      <w:r>
        <w:rPr>
          <w:rFonts w:ascii="Times New Roman" w:hAnsi="Times New Roman" w:cs="Times New Roman"/>
          <w:sz w:val="24"/>
          <w:szCs w:val="24"/>
        </w:rPr>
        <w:t xml:space="preserve"> emitenci </w:t>
      </w:r>
      <w:proofErr w:type="spellStart"/>
      <w:r>
        <w:rPr>
          <w:rFonts w:ascii="Times New Roman" w:hAnsi="Times New Roman" w:cs="Times New Roman"/>
          <w:sz w:val="24"/>
          <w:szCs w:val="24"/>
        </w:rPr>
        <w:t>tokenów</w:t>
      </w:r>
      <w:proofErr w:type="spellEnd"/>
      <w:r w:rsidRPr="00113790">
        <w:rPr>
          <w:rFonts w:ascii="Times New Roman" w:hAnsi="Times New Roman" w:cs="Times New Roman"/>
          <w:sz w:val="24"/>
          <w:szCs w:val="24"/>
        </w:rPr>
        <w:t xml:space="preserve"> będących e-pieniądzem będą obowiązani do </w:t>
      </w:r>
      <w:r>
        <w:rPr>
          <w:rFonts w:ascii="Times New Roman" w:hAnsi="Times New Roman" w:cs="Times New Roman"/>
          <w:sz w:val="24"/>
          <w:szCs w:val="24"/>
        </w:rPr>
        <w:t>przekazania</w:t>
      </w:r>
      <w:r w:rsidRPr="00113790">
        <w:rPr>
          <w:rFonts w:ascii="Times New Roman" w:hAnsi="Times New Roman" w:cs="Times New Roman"/>
          <w:sz w:val="24"/>
          <w:szCs w:val="24"/>
        </w:rPr>
        <w:t xml:space="preserve"> Komisji aktualizacji planu </w:t>
      </w:r>
      <w:r>
        <w:rPr>
          <w:rFonts w:ascii="Times New Roman" w:hAnsi="Times New Roman" w:cs="Times New Roman"/>
          <w:sz w:val="24"/>
          <w:szCs w:val="24"/>
        </w:rPr>
        <w:t>wykupu</w:t>
      </w:r>
      <w:r w:rsidRPr="00113790">
        <w:rPr>
          <w:rFonts w:ascii="Times New Roman" w:hAnsi="Times New Roman" w:cs="Times New Roman"/>
          <w:sz w:val="24"/>
          <w:szCs w:val="24"/>
        </w:rPr>
        <w:t>. Jest uzasadnione, aby przepisy rangi ustawowej precyzyjnie określały, kiedy taka aktualizacja byłaby wymagana (w</w:t>
      </w:r>
      <w:r>
        <w:rPr>
          <w:rFonts w:ascii="Times New Roman" w:hAnsi="Times New Roman" w:cs="Times New Roman"/>
          <w:sz w:val="24"/>
          <w:szCs w:val="24"/>
        </w:rPr>
        <w:t>zorowano się</w:t>
      </w:r>
      <w:r w:rsidRPr="00113790">
        <w:rPr>
          <w:rFonts w:ascii="Times New Roman" w:hAnsi="Times New Roman" w:cs="Times New Roman"/>
          <w:sz w:val="24"/>
          <w:szCs w:val="24"/>
        </w:rPr>
        <w:t xml:space="preserve"> w tym zakresie m. in. </w:t>
      </w:r>
      <w:r>
        <w:rPr>
          <w:rFonts w:ascii="Times New Roman" w:hAnsi="Times New Roman" w:cs="Times New Roman"/>
          <w:sz w:val="24"/>
          <w:szCs w:val="24"/>
        </w:rPr>
        <w:t xml:space="preserve">na </w:t>
      </w:r>
      <w:r w:rsidRPr="00113790">
        <w:rPr>
          <w:rFonts w:ascii="Times New Roman" w:hAnsi="Times New Roman" w:cs="Times New Roman"/>
          <w:sz w:val="24"/>
          <w:szCs w:val="24"/>
        </w:rPr>
        <w:t>art. 110zj ust. 7 ustawy o obrocie instrumentami finansowymi</w:t>
      </w:r>
      <w:r>
        <w:rPr>
          <w:rFonts w:ascii="Times New Roman" w:hAnsi="Times New Roman" w:cs="Times New Roman"/>
          <w:sz w:val="24"/>
          <w:szCs w:val="24"/>
        </w:rPr>
        <w:t>)</w:t>
      </w:r>
      <w:r w:rsidRPr="00113790">
        <w:rPr>
          <w:rFonts w:ascii="Times New Roman" w:hAnsi="Times New Roman" w:cs="Times New Roman"/>
          <w:sz w:val="24"/>
          <w:szCs w:val="24"/>
        </w:rPr>
        <w:t xml:space="preserve"> w powiązaniu z celami planów i środkami służącymi do ich osiągnięcia wynikającymi z art. 4</w:t>
      </w:r>
      <w:r>
        <w:rPr>
          <w:rFonts w:ascii="Times New Roman" w:hAnsi="Times New Roman" w:cs="Times New Roman"/>
          <w:sz w:val="24"/>
          <w:szCs w:val="24"/>
        </w:rPr>
        <w:t>7</w:t>
      </w:r>
      <w:r w:rsidRPr="00113790">
        <w:rPr>
          <w:rFonts w:ascii="Times New Roman" w:hAnsi="Times New Roman" w:cs="Times New Roman"/>
          <w:sz w:val="24"/>
          <w:szCs w:val="24"/>
        </w:rPr>
        <w:t xml:space="preserve"> ust. 1</w:t>
      </w:r>
      <w:r>
        <w:rPr>
          <w:rFonts w:ascii="Times New Roman" w:hAnsi="Times New Roman" w:cs="Times New Roman"/>
          <w:sz w:val="24"/>
          <w:szCs w:val="24"/>
        </w:rPr>
        <w:t xml:space="preserve"> i 2</w:t>
      </w:r>
      <w:r w:rsidRPr="00113790">
        <w:rPr>
          <w:rFonts w:ascii="Times New Roman" w:hAnsi="Times New Roman" w:cs="Times New Roman"/>
          <w:sz w:val="24"/>
          <w:szCs w:val="24"/>
        </w:rPr>
        <w:t xml:space="preserve"> rozporządzenia </w:t>
      </w:r>
      <w:proofErr w:type="spellStart"/>
      <w:r w:rsidRPr="00113790">
        <w:rPr>
          <w:rFonts w:ascii="Times New Roman" w:hAnsi="Times New Roman" w:cs="Times New Roman"/>
          <w:sz w:val="24"/>
          <w:szCs w:val="24"/>
        </w:rPr>
        <w:t>M</w:t>
      </w:r>
      <w:r>
        <w:rPr>
          <w:rFonts w:ascii="Times New Roman" w:hAnsi="Times New Roman" w:cs="Times New Roman"/>
          <w:sz w:val="24"/>
          <w:szCs w:val="24"/>
        </w:rPr>
        <w:t>i</w:t>
      </w:r>
      <w:r w:rsidRPr="00113790">
        <w:rPr>
          <w:rFonts w:ascii="Times New Roman" w:hAnsi="Times New Roman" w:cs="Times New Roman"/>
          <w:sz w:val="24"/>
          <w:szCs w:val="24"/>
        </w:rPr>
        <w:t>CA</w:t>
      </w:r>
      <w:proofErr w:type="spellEnd"/>
      <w:r w:rsidRPr="00113790">
        <w:rPr>
          <w:rFonts w:ascii="Times New Roman" w:hAnsi="Times New Roman" w:cs="Times New Roman"/>
          <w:sz w:val="24"/>
          <w:szCs w:val="24"/>
        </w:rPr>
        <w:t xml:space="preserve"> oraz termin, w którym w ramach wynikającego z ww. przepisu rozporządzenia </w:t>
      </w:r>
      <w:proofErr w:type="spellStart"/>
      <w:r w:rsidRPr="00113790">
        <w:rPr>
          <w:rFonts w:ascii="Times New Roman" w:hAnsi="Times New Roman" w:cs="Times New Roman"/>
          <w:sz w:val="24"/>
          <w:szCs w:val="24"/>
        </w:rPr>
        <w:t>M</w:t>
      </w:r>
      <w:r>
        <w:rPr>
          <w:rFonts w:ascii="Times New Roman" w:hAnsi="Times New Roman" w:cs="Times New Roman"/>
          <w:sz w:val="24"/>
          <w:szCs w:val="24"/>
        </w:rPr>
        <w:t>i</w:t>
      </w:r>
      <w:r w:rsidRPr="00113790">
        <w:rPr>
          <w:rFonts w:ascii="Times New Roman" w:hAnsi="Times New Roman" w:cs="Times New Roman"/>
          <w:sz w:val="24"/>
          <w:szCs w:val="24"/>
        </w:rPr>
        <w:t>CA</w:t>
      </w:r>
      <w:proofErr w:type="spellEnd"/>
      <w:r w:rsidRPr="00113790">
        <w:rPr>
          <w:rFonts w:ascii="Times New Roman" w:hAnsi="Times New Roman" w:cs="Times New Roman"/>
          <w:sz w:val="24"/>
          <w:szCs w:val="24"/>
        </w:rPr>
        <w:t xml:space="preserve"> ciągłego obowiązku monitorowania własnej sytuacji i związanej z tym aktualizacji planu </w:t>
      </w:r>
      <w:r>
        <w:rPr>
          <w:rFonts w:ascii="Times New Roman" w:hAnsi="Times New Roman" w:cs="Times New Roman"/>
          <w:sz w:val="24"/>
          <w:szCs w:val="24"/>
        </w:rPr>
        <w:t>wykupu.</w:t>
      </w:r>
      <w:r w:rsidRPr="00113790">
        <w:rPr>
          <w:rFonts w:ascii="Times New Roman" w:hAnsi="Times New Roman" w:cs="Times New Roman"/>
          <w:sz w:val="24"/>
          <w:szCs w:val="24"/>
        </w:rPr>
        <w:t xml:space="preserve"> </w:t>
      </w:r>
      <w:r>
        <w:rPr>
          <w:rFonts w:ascii="Times New Roman" w:hAnsi="Times New Roman" w:cs="Times New Roman"/>
          <w:sz w:val="24"/>
          <w:szCs w:val="24"/>
        </w:rPr>
        <w:t>A</w:t>
      </w:r>
      <w:r w:rsidRPr="00113790">
        <w:rPr>
          <w:rFonts w:ascii="Times New Roman" w:hAnsi="Times New Roman" w:cs="Times New Roman"/>
          <w:sz w:val="24"/>
          <w:szCs w:val="24"/>
        </w:rPr>
        <w:t xml:space="preserve">ktualizacji </w:t>
      </w:r>
      <w:r>
        <w:rPr>
          <w:rFonts w:ascii="Times New Roman" w:hAnsi="Times New Roman" w:cs="Times New Roman"/>
          <w:sz w:val="24"/>
          <w:szCs w:val="24"/>
        </w:rPr>
        <w:t xml:space="preserve">planu </w:t>
      </w:r>
      <w:r w:rsidRPr="00113790">
        <w:rPr>
          <w:rFonts w:ascii="Times New Roman" w:hAnsi="Times New Roman" w:cs="Times New Roman"/>
          <w:sz w:val="24"/>
          <w:szCs w:val="24"/>
        </w:rPr>
        <w:t>powi</w:t>
      </w:r>
      <w:r>
        <w:rPr>
          <w:rFonts w:ascii="Times New Roman" w:hAnsi="Times New Roman" w:cs="Times New Roman"/>
          <w:sz w:val="24"/>
          <w:szCs w:val="24"/>
        </w:rPr>
        <w:t>nna</w:t>
      </w:r>
      <w:r w:rsidRPr="00113790">
        <w:rPr>
          <w:rFonts w:ascii="Times New Roman" w:hAnsi="Times New Roman" w:cs="Times New Roman"/>
          <w:sz w:val="24"/>
          <w:szCs w:val="24"/>
        </w:rPr>
        <w:t xml:space="preserve"> być przedkładan</w:t>
      </w:r>
      <w:r>
        <w:rPr>
          <w:rFonts w:ascii="Times New Roman" w:hAnsi="Times New Roman" w:cs="Times New Roman"/>
          <w:sz w:val="24"/>
          <w:szCs w:val="24"/>
        </w:rPr>
        <w:t>a</w:t>
      </w:r>
      <w:r w:rsidRPr="00113790">
        <w:rPr>
          <w:rFonts w:ascii="Times New Roman" w:hAnsi="Times New Roman" w:cs="Times New Roman"/>
          <w:sz w:val="24"/>
          <w:szCs w:val="24"/>
        </w:rPr>
        <w:t xml:space="preserve"> niezwłocznie, nie później jednak niż w terminie 14 dni </w:t>
      </w:r>
      <w:r w:rsidR="0030441A">
        <w:rPr>
          <w:rFonts w:ascii="Times New Roman" w:hAnsi="Times New Roman" w:cs="Times New Roman"/>
          <w:sz w:val="24"/>
          <w:szCs w:val="24"/>
        </w:rPr>
        <w:t xml:space="preserve">roboczych </w:t>
      </w:r>
      <w:r w:rsidRPr="00113790">
        <w:rPr>
          <w:rFonts w:ascii="Times New Roman" w:hAnsi="Times New Roman" w:cs="Times New Roman"/>
          <w:sz w:val="24"/>
          <w:szCs w:val="24"/>
        </w:rPr>
        <w:t>od</w:t>
      </w:r>
      <w:r>
        <w:rPr>
          <w:rFonts w:ascii="Times New Roman" w:hAnsi="Times New Roman" w:cs="Times New Roman"/>
          <w:sz w:val="24"/>
          <w:szCs w:val="24"/>
        </w:rPr>
        <w:t xml:space="preserve"> dnia jej</w:t>
      </w:r>
      <w:r w:rsidRPr="00113790">
        <w:rPr>
          <w:rFonts w:ascii="Times New Roman" w:hAnsi="Times New Roman" w:cs="Times New Roman"/>
          <w:sz w:val="24"/>
          <w:szCs w:val="24"/>
        </w:rPr>
        <w:t xml:space="preserve"> sporządzenia</w:t>
      </w:r>
      <w:r>
        <w:rPr>
          <w:rFonts w:ascii="Times New Roman" w:hAnsi="Times New Roman" w:cs="Times New Roman"/>
          <w:sz w:val="24"/>
          <w:szCs w:val="24"/>
        </w:rPr>
        <w:t>.</w:t>
      </w:r>
      <w:r w:rsidRPr="00113790">
        <w:rPr>
          <w:rFonts w:ascii="Times New Roman" w:hAnsi="Times New Roman" w:cs="Times New Roman"/>
          <w:sz w:val="24"/>
          <w:szCs w:val="24"/>
        </w:rPr>
        <w:t xml:space="preserve"> </w:t>
      </w:r>
    </w:p>
    <w:p w14:paraId="092DE658" w14:textId="77777777" w:rsidR="00C21D4B" w:rsidRPr="00546E53" w:rsidRDefault="00C21D4B" w:rsidP="00695ECE">
      <w:pPr>
        <w:pStyle w:val="Akapitzlist"/>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Art. 47 </w:t>
      </w:r>
      <w:r w:rsidRPr="00546E53">
        <w:rPr>
          <w:rFonts w:ascii="Times New Roman" w:hAnsi="Times New Roman" w:cs="Times New Roman"/>
          <w:sz w:val="24"/>
          <w:szCs w:val="24"/>
        </w:rPr>
        <w:t xml:space="preserve">zobowiązuje emitenta </w:t>
      </w:r>
      <w:proofErr w:type="spellStart"/>
      <w:r w:rsidRPr="00546E53">
        <w:rPr>
          <w:rFonts w:ascii="Times New Roman" w:hAnsi="Times New Roman" w:cs="Times New Roman"/>
          <w:sz w:val="24"/>
          <w:szCs w:val="24"/>
        </w:rPr>
        <w:t>tokenów</w:t>
      </w:r>
      <w:proofErr w:type="spellEnd"/>
      <w:r w:rsidRPr="00546E53">
        <w:rPr>
          <w:rFonts w:ascii="Times New Roman" w:hAnsi="Times New Roman" w:cs="Times New Roman"/>
          <w:sz w:val="24"/>
          <w:szCs w:val="24"/>
        </w:rPr>
        <w:t xml:space="preserve"> powiązanych z aktywami, w przypadku ogłoszenia przez niego upadłości lub otwarcia likwidacji, do wdrążenia planu wykupu.</w:t>
      </w:r>
    </w:p>
    <w:p w14:paraId="40EA6ED3" w14:textId="77777777" w:rsidR="00C21D4B" w:rsidRPr="00321C82"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Art. 4</w:t>
      </w:r>
      <w:r>
        <w:rPr>
          <w:rFonts w:ascii="Times New Roman" w:hAnsi="Times New Roman" w:cs="Times New Roman"/>
          <w:b/>
          <w:bCs/>
          <w:sz w:val="24"/>
          <w:szCs w:val="24"/>
        </w:rPr>
        <w:t>8</w:t>
      </w:r>
      <w:r w:rsidRPr="00CD594B">
        <w:rPr>
          <w:rFonts w:ascii="Times New Roman" w:hAnsi="Times New Roman" w:cs="Times New Roman"/>
          <w:sz w:val="24"/>
          <w:szCs w:val="24"/>
        </w:rPr>
        <w:t xml:space="preserve">, analogicznie do art. </w:t>
      </w:r>
      <w:r>
        <w:rPr>
          <w:rFonts w:ascii="Times New Roman" w:hAnsi="Times New Roman" w:cs="Times New Roman"/>
          <w:sz w:val="24"/>
          <w:szCs w:val="24"/>
        </w:rPr>
        <w:t>42</w:t>
      </w:r>
      <w:r w:rsidRPr="00CD594B">
        <w:rPr>
          <w:rFonts w:ascii="Times New Roman" w:hAnsi="Times New Roman" w:cs="Times New Roman"/>
          <w:sz w:val="24"/>
          <w:szCs w:val="24"/>
        </w:rPr>
        <w:t xml:space="preserve">, określa, że w przypadku, gdy BFG jest organem przymusowej restrukturyzacji dla danego emitenta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powiązanych z aktywami lub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będących e-pieniądzem, Komisja przekazuje BFG zatwierdzony plan wykupu w terminie 7 dni od dnia jego zatwierdzenia</w:t>
      </w:r>
      <w:r>
        <w:rPr>
          <w:rFonts w:ascii="Times New Roman" w:hAnsi="Times New Roman" w:cs="Times New Roman"/>
          <w:sz w:val="24"/>
          <w:szCs w:val="24"/>
        </w:rPr>
        <w:t xml:space="preserve"> przez Komisję</w:t>
      </w:r>
      <w:r w:rsidRPr="00CD594B">
        <w:rPr>
          <w:rFonts w:ascii="Times New Roman" w:hAnsi="Times New Roman" w:cs="Times New Roman"/>
          <w:sz w:val="24"/>
          <w:szCs w:val="24"/>
        </w:rPr>
        <w:t>.</w:t>
      </w:r>
      <w:r w:rsidRPr="00321C82">
        <w:rPr>
          <w:rFonts w:ascii="Times New Roman" w:hAnsi="Times New Roman" w:cs="Times New Roman"/>
          <w:sz w:val="24"/>
          <w:szCs w:val="24"/>
        </w:rPr>
        <w:t xml:space="preserve"> </w:t>
      </w:r>
    </w:p>
    <w:p w14:paraId="7CAA589C" w14:textId="77777777" w:rsidR="00C21D4B" w:rsidRPr="00676DA9" w:rsidRDefault="00C21D4B" w:rsidP="00695ECE">
      <w:pPr>
        <w:pStyle w:val="Akapitzlist"/>
        <w:spacing w:line="360" w:lineRule="auto"/>
        <w:jc w:val="both"/>
        <w:rPr>
          <w:rFonts w:ascii="Times New Roman" w:hAnsi="Times New Roman" w:cs="Times New Roman"/>
          <w:bCs/>
          <w:sz w:val="24"/>
          <w:szCs w:val="24"/>
        </w:rPr>
      </w:pPr>
      <w:r w:rsidRPr="00D6458E">
        <w:rPr>
          <w:rFonts w:ascii="Times New Roman" w:hAnsi="Times New Roman" w:cs="Times New Roman"/>
          <w:b/>
          <w:bCs/>
          <w:sz w:val="24"/>
          <w:szCs w:val="24"/>
        </w:rPr>
        <w:t xml:space="preserve">Art. </w:t>
      </w:r>
      <w:r>
        <w:rPr>
          <w:rFonts w:ascii="Times New Roman" w:hAnsi="Times New Roman" w:cs="Times New Roman"/>
          <w:b/>
          <w:bCs/>
          <w:sz w:val="24"/>
          <w:szCs w:val="24"/>
        </w:rPr>
        <w:t>49</w:t>
      </w:r>
      <w:r w:rsidRPr="00D6458E">
        <w:rPr>
          <w:rFonts w:ascii="Times New Roman" w:hAnsi="Times New Roman" w:cs="Times New Roman"/>
          <w:b/>
          <w:bCs/>
          <w:sz w:val="24"/>
          <w:szCs w:val="24"/>
        </w:rPr>
        <w:t xml:space="preserve"> </w:t>
      </w:r>
      <w:r w:rsidRPr="00546E53">
        <w:rPr>
          <w:rFonts w:ascii="Times New Roman" w:hAnsi="Times New Roman" w:cs="Times New Roman"/>
          <w:sz w:val="24"/>
          <w:szCs w:val="24"/>
        </w:rPr>
        <w:t>wskazuje, że</w:t>
      </w:r>
      <w:r>
        <w:rPr>
          <w:rFonts w:ascii="Times New Roman" w:hAnsi="Times New Roman" w:cs="Times New Roman"/>
          <w:b/>
          <w:bCs/>
          <w:sz w:val="24"/>
          <w:szCs w:val="24"/>
        </w:rPr>
        <w:t xml:space="preserve"> </w:t>
      </w:r>
      <w:r>
        <w:rPr>
          <w:rFonts w:ascii="Times New Roman" w:hAnsi="Times New Roman" w:cs="Times New Roman"/>
          <w:sz w:val="24"/>
          <w:szCs w:val="24"/>
        </w:rPr>
        <w:t>e</w:t>
      </w:r>
      <w:r w:rsidRPr="00D6458E">
        <w:rPr>
          <w:rFonts w:ascii="Times New Roman" w:hAnsi="Times New Roman" w:cs="Times New Roman"/>
          <w:sz w:val="24"/>
          <w:szCs w:val="24"/>
        </w:rPr>
        <w:t xml:space="preserve">mitent </w:t>
      </w:r>
      <w:proofErr w:type="spellStart"/>
      <w:r w:rsidRPr="00D6458E">
        <w:rPr>
          <w:rFonts w:ascii="Times New Roman" w:hAnsi="Times New Roman" w:cs="Times New Roman"/>
          <w:sz w:val="24"/>
          <w:szCs w:val="24"/>
        </w:rPr>
        <w:t>tokenów</w:t>
      </w:r>
      <w:proofErr w:type="spellEnd"/>
      <w:r w:rsidRPr="00D6458E">
        <w:rPr>
          <w:rFonts w:ascii="Times New Roman" w:hAnsi="Times New Roman" w:cs="Times New Roman"/>
          <w:sz w:val="24"/>
          <w:szCs w:val="24"/>
        </w:rPr>
        <w:t xml:space="preserve"> powiązanych z aktywami lub </w:t>
      </w:r>
      <w:proofErr w:type="spellStart"/>
      <w:r w:rsidRPr="00D6458E">
        <w:rPr>
          <w:rFonts w:ascii="Times New Roman" w:hAnsi="Times New Roman" w:cs="Times New Roman"/>
          <w:sz w:val="24"/>
          <w:szCs w:val="24"/>
        </w:rPr>
        <w:t>tokenów</w:t>
      </w:r>
      <w:proofErr w:type="spellEnd"/>
      <w:r w:rsidRPr="00D6458E">
        <w:rPr>
          <w:rFonts w:ascii="Times New Roman" w:hAnsi="Times New Roman" w:cs="Times New Roman"/>
          <w:sz w:val="24"/>
          <w:szCs w:val="24"/>
        </w:rPr>
        <w:t xml:space="preserve"> będących e-pieniądzem będzie zobowiązany do niezwłocznego zawiadamiania Komisji o podejmowanych działaniach związanych z realizacją planu wykupu, a w odpowiednich przypadkach również BFG.</w:t>
      </w:r>
    </w:p>
    <w:p w14:paraId="2E164F36" w14:textId="77777777" w:rsidR="00C21D4B" w:rsidRPr="00D50D13" w:rsidRDefault="00C21D4B" w:rsidP="00695ECE">
      <w:pPr>
        <w:pStyle w:val="Akapitzlist"/>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w:t>
      </w:r>
      <w:r w:rsidRPr="00600BCF">
        <w:rPr>
          <w:rFonts w:ascii="Times New Roman" w:hAnsi="Times New Roman" w:cs="Times New Roman"/>
          <w:b/>
          <w:bCs/>
          <w:sz w:val="24"/>
          <w:szCs w:val="24"/>
        </w:rPr>
        <w:t>rt.</w:t>
      </w:r>
      <w:r w:rsidRPr="00AB5AC1">
        <w:rPr>
          <w:rFonts w:ascii="Times New Roman" w:hAnsi="Times New Roman" w:cs="Times New Roman"/>
          <w:bCs/>
          <w:sz w:val="24"/>
          <w:szCs w:val="24"/>
        </w:rPr>
        <w:t xml:space="preserve"> </w:t>
      </w:r>
      <w:r w:rsidRPr="008C4767">
        <w:rPr>
          <w:rFonts w:ascii="Times New Roman" w:hAnsi="Times New Roman" w:cs="Times New Roman"/>
          <w:b/>
          <w:sz w:val="24"/>
          <w:szCs w:val="24"/>
        </w:rPr>
        <w:t>50</w:t>
      </w:r>
      <w:r>
        <w:rPr>
          <w:rFonts w:ascii="Times New Roman" w:hAnsi="Times New Roman" w:cs="Times New Roman"/>
          <w:bCs/>
          <w:sz w:val="24"/>
          <w:szCs w:val="24"/>
        </w:rPr>
        <w:t xml:space="preserve"> stanowi analogiczny przepis jak w przypadku planu naprawy, na mocy którego </w:t>
      </w:r>
      <w:r w:rsidRPr="00676DA9">
        <w:rPr>
          <w:rFonts w:ascii="Times New Roman" w:hAnsi="Times New Roman" w:cs="Times New Roman"/>
          <w:bCs/>
          <w:sz w:val="24"/>
          <w:szCs w:val="24"/>
        </w:rPr>
        <w:t xml:space="preserve">zobowiązuje </w:t>
      </w:r>
      <w:r>
        <w:rPr>
          <w:rFonts w:ascii="Times New Roman" w:hAnsi="Times New Roman" w:cs="Times New Roman"/>
          <w:bCs/>
          <w:sz w:val="24"/>
          <w:szCs w:val="24"/>
        </w:rPr>
        <w:t xml:space="preserve">się </w:t>
      </w:r>
      <w:r w:rsidRPr="00676DA9">
        <w:rPr>
          <w:rFonts w:ascii="Times New Roman" w:hAnsi="Times New Roman" w:cs="Times New Roman"/>
          <w:bCs/>
          <w:sz w:val="24"/>
          <w:szCs w:val="24"/>
        </w:rPr>
        <w:t xml:space="preserve">osoby uprawnione do reprezentowania emitenta </w:t>
      </w:r>
      <w:proofErr w:type="spellStart"/>
      <w:r w:rsidRPr="00676DA9">
        <w:rPr>
          <w:rFonts w:ascii="Times New Roman" w:hAnsi="Times New Roman" w:cs="Times New Roman"/>
          <w:bCs/>
          <w:sz w:val="24"/>
          <w:szCs w:val="24"/>
        </w:rPr>
        <w:t>tokenów</w:t>
      </w:r>
      <w:proofErr w:type="spellEnd"/>
      <w:r w:rsidRPr="00676DA9">
        <w:rPr>
          <w:rFonts w:ascii="Times New Roman" w:hAnsi="Times New Roman" w:cs="Times New Roman"/>
          <w:bCs/>
          <w:sz w:val="24"/>
          <w:szCs w:val="24"/>
        </w:rPr>
        <w:t xml:space="preserve"> powiązanych z aktywami lub </w:t>
      </w:r>
      <w:proofErr w:type="spellStart"/>
      <w:r w:rsidRPr="00676DA9">
        <w:rPr>
          <w:rFonts w:ascii="Times New Roman" w:hAnsi="Times New Roman" w:cs="Times New Roman"/>
          <w:bCs/>
          <w:sz w:val="24"/>
          <w:szCs w:val="24"/>
        </w:rPr>
        <w:t>tokenów</w:t>
      </w:r>
      <w:proofErr w:type="spellEnd"/>
      <w:r w:rsidRPr="00676DA9">
        <w:rPr>
          <w:rFonts w:ascii="Times New Roman" w:hAnsi="Times New Roman" w:cs="Times New Roman"/>
          <w:bCs/>
          <w:sz w:val="24"/>
          <w:szCs w:val="24"/>
        </w:rPr>
        <w:t xml:space="preserve"> będących e-pieniądzem lub wchodzące w skład jego statutowych organów do niezwłocznego sporządzania i przekazywania, na żądanie Komisji, na koszt tego emitenta, wszelkich informacji, które w ocenie Komisji mogą mieć wpływ na wdrożenie i realizację planu </w:t>
      </w:r>
      <w:r>
        <w:rPr>
          <w:rFonts w:ascii="Times New Roman" w:hAnsi="Times New Roman" w:cs="Times New Roman"/>
          <w:bCs/>
          <w:sz w:val="24"/>
          <w:szCs w:val="24"/>
        </w:rPr>
        <w:t>wykupu</w:t>
      </w:r>
      <w:r w:rsidRPr="00676DA9">
        <w:rPr>
          <w:rFonts w:ascii="Times New Roman" w:hAnsi="Times New Roman" w:cs="Times New Roman"/>
          <w:bCs/>
          <w:sz w:val="24"/>
          <w:szCs w:val="24"/>
        </w:rPr>
        <w:t>.</w:t>
      </w:r>
    </w:p>
    <w:p w14:paraId="28E98BE2" w14:textId="77777777" w:rsidR="00C21D4B" w:rsidRPr="00D6458E" w:rsidRDefault="00C21D4B" w:rsidP="00695ECE">
      <w:pPr>
        <w:pStyle w:val="Akapitzlist"/>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Art. 51 </w:t>
      </w:r>
      <w:r w:rsidRPr="00CD594B">
        <w:rPr>
          <w:rFonts w:ascii="Times New Roman" w:hAnsi="Times New Roman" w:cs="Times New Roman"/>
          <w:sz w:val="24"/>
          <w:szCs w:val="24"/>
        </w:rPr>
        <w:t xml:space="preserve">zapewnia skuteczne stosowanie art. 74 rozporządzenia 2023/1114, zgodnie z którym dostawcy usług w zakresie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którzy świadczą usługi, o których mowa w art. 75–79</w:t>
      </w:r>
      <w:r>
        <w:rPr>
          <w:rFonts w:ascii="Times New Roman" w:hAnsi="Times New Roman" w:cs="Times New Roman"/>
          <w:sz w:val="24"/>
          <w:szCs w:val="24"/>
        </w:rPr>
        <w:t xml:space="preserve"> rozporządzenia 2023/1114</w:t>
      </w:r>
      <w:r w:rsidRPr="00CD594B">
        <w:rPr>
          <w:rFonts w:ascii="Times New Roman" w:hAnsi="Times New Roman" w:cs="Times New Roman"/>
          <w:sz w:val="24"/>
          <w:szCs w:val="24"/>
        </w:rPr>
        <w:t xml:space="preserve">, są zobowiązani posiadać plan, który jest odpowiedni, aby wesprzeć uporządkowaną likwidację ich działalności zgodnie z obowiązującym prawem krajowym, w tym ciągłość lub przywracanie wszelkich krytycznych operacji prowadzonych przez tych dostawców usług. Plan ten ma wykazywać </w:t>
      </w:r>
      <w:r>
        <w:rPr>
          <w:rFonts w:ascii="Times New Roman" w:hAnsi="Times New Roman" w:cs="Times New Roman"/>
          <w:sz w:val="24"/>
          <w:szCs w:val="24"/>
        </w:rPr>
        <w:t xml:space="preserve">zdolność </w:t>
      </w:r>
      <w:r w:rsidRPr="00CD594B">
        <w:rPr>
          <w:rFonts w:ascii="Times New Roman" w:hAnsi="Times New Roman" w:cs="Times New Roman"/>
          <w:sz w:val="24"/>
          <w:szCs w:val="24"/>
        </w:rPr>
        <w:t xml:space="preserve">dostawców usług w zakresie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do przeprowadzenia uporządkowanej likwidacji bez narażania swoich klientów na nadmierne straty ekonomiczne. W związku z powyższym konieczne jest dodanie w ustawie przepisu, który wskazywałby termin do którego dostawca </w:t>
      </w:r>
      <w:r>
        <w:rPr>
          <w:rFonts w:ascii="Times New Roman" w:hAnsi="Times New Roman" w:cs="Times New Roman"/>
          <w:sz w:val="24"/>
          <w:szCs w:val="24"/>
        </w:rPr>
        <w:t xml:space="preserve">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będzie</w:t>
      </w:r>
      <w:r w:rsidRPr="00CD594B">
        <w:rPr>
          <w:rFonts w:ascii="Times New Roman" w:hAnsi="Times New Roman" w:cs="Times New Roman"/>
          <w:sz w:val="24"/>
          <w:szCs w:val="24"/>
        </w:rPr>
        <w:t xml:space="preserve"> zobowiązany przekazać plan Komisji. Ze względu na to, że rozporządzenie 2023/1114 okre</w:t>
      </w:r>
      <w:r>
        <w:rPr>
          <w:rFonts w:ascii="Times New Roman" w:hAnsi="Times New Roman" w:cs="Times New Roman"/>
          <w:sz w:val="24"/>
          <w:szCs w:val="24"/>
        </w:rPr>
        <w:t>śla</w:t>
      </w:r>
      <w:r w:rsidRPr="00CD594B">
        <w:rPr>
          <w:rFonts w:ascii="Times New Roman" w:hAnsi="Times New Roman" w:cs="Times New Roman"/>
          <w:sz w:val="24"/>
          <w:szCs w:val="24"/>
        </w:rPr>
        <w:t xml:space="preserve"> co do zasady dwie grupy dostawców, tj. podmioty, które mogą prowadzić działalność po uzyskaniu zezwolenia</w:t>
      </w:r>
      <w:r w:rsidRPr="0028294A">
        <w:rPr>
          <w:rFonts w:ascii="Times New Roman" w:hAnsi="Times New Roman" w:cs="Times New Roman"/>
          <w:sz w:val="24"/>
          <w:szCs w:val="24"/>
        </w:rPr>
        <w:t xml:space="preserve"> </w:t>
      </w:r>
      <w:r>
        <w:rPr>
          <w:rFonts w:ascii="Times New Roman" w:hAnsi="Times New Roman" w:cs="Times New Roman"/>
          <w:sz w:val="24"/>
          <w:szCs w:val="24"/>
        </w:rPr>
        <w:t>(</w:t>
      </w:r>
      <w:r w:rsidRPr="0028294A">
        <w:rPr>
          <w:rFonts w:ascii="Times New Roman" w:hAnsi="Times New Roman" w:cs="Times New Roman"/>
          <w:sz w:val="24"/>
          <w:szCs w:val="24"/>
        </w:rPr>
        <w:t xml:space="preserve">dostawcy usług w zakresie </w:t>
      </w:r>
      <w:proofErr w:type="spellStart"/>
      <w:r w:rsidRPr="0028294A">
        <w:rPr>
          <w:rFonts w:ascii="Times New Roman" w:hAnsi="Times New Roman" w:cs="Times New Roman"/>
          <w:sz w:val="24"/>
          <w:szCs w:val="24"/>
        </w:rPr>
        <w:t>kryptoaktywów</w:t>
      </w:r>
      <w:proofErr w:type="spellEnd"/>
      <w:r w:rsidRPr="0028294A">
        <w:rPr>
          <w:rFonts w:ascii="Times New Roman" w:hAnsi="Times New Roman" w:cs="Times New Roman"/>
          <w:sz w:val="24"/>
          <w:szCs w:val="24"/>
        </w:rPr>
        <w:t>, o który</w:t>
      </w:r>
      <w:r>
        <w:rPr>
          <w:rFonts w:ascii="Times New Roman" w:hAnsi="Times New Roman" w:cs="Times New Roman"/>
          <w:sz w:val="24"/>
          <w:szCs w:val="24"/>
        </w:rPr>
        <w:t>ch</w:t>
      </w:r>
      <w:r w:rsidRPr="0028294A">
        <w:rPr>
          <w:rFonts w:ascii="Times New Roman" w:hAnsi="Times New Roman" w:cs="Times New Roman"/>
          <w:sz w:val="24"/>
          <w:szCs w:val="24"/>
        </w:rPr>
        <w:t xml:space="preserve"> mowa w art. 59 ust. 1 lit. a rozporządzenia 2023/1114</w:t>
      </w:r>
      <w:r>
        <w:rPr>
          <w:rFonts w:ascii="Times New Roman" w:hAnsi="Times New Roman" w:cs="Times New Roman"/>
          <w:sz w:val="24"/>
          <w:szCs w:val="24"/>
        </w:rPr>
        <w:t xml:space="preserve">) oraz </w:t>
      </w:r>
      <w:r w:rsidRPr="0028294A">
        <w:rPr>
          <w:rFonts w:ascii="Times New Roman" w:hAnsi="Times New Roman" w:cs="Times New Roman"/>
          <w:sz w:val="24"/>
          <w:szCs w:val="24"/>
        </w:rPr>
        <w:t xml:space="preserve">dostawcy usług w zakresie </w:t>
      </w:r>
      <w:proofErr w:type="spellStart"/>
      <w:r w:rsidRPr="0028294A">
        <w:rPr>
          <w:rFonts w:ascii="Times New Roman" w:hAnsi="Times New Roman" w:cs="Times New Roman"/>
          <w:sz w:val="24"/>
          <w:szCs w:val="24"/>
        </w:rPr>
        <w:t>kryptoaktywów</w:t>
      </w:r>
      <w:proofErr w:type="spellEnd"/>
      <w:r w:rsidRPr="0028294A">
        <w:rPr>
          <w:rFonts w:ascii="Times New Roman" w:hAnsi="Times New Roman" w:cs="Times New Roman"/>
          <w:sz w:val="24"/>
          <w:szCs w:val="24"/>
        </w:rPr>
        <w:t>, o który</w:t>
      </w:r>
      <w:r>
        <w:rPr>
          <w:rFonts w:ascii="Times New Roman" w:hAnsi="Times New Roman" w:cs="Times New Roman"/>
          <w:sz w:val="24"/>
          <w:szCs w:val="24"/>
        </w:rPr>
        <w:t>ch</w:t>
      </w:r>
      <w:r w:rsidRPr="0028294A">
        <w:rPr>
          <w:rFonts w:ascii="Times New Roman" w:hAnsi="Times New Roman" w:cs="Times New Roman"/>
          <w:sz w:val="24"/>
          <w:szCs w:val="24"/>
        </w:rPr>
        <w:t xml:space="preserve"> mowa w art. 59 ust. 1 lit .b rozporządzenia 2023/1114</w:t>
      </w:r>
      <w:r w:rsidRPr="00CD594B">
        <w:rPr>
          <w:rFonts w:ascii="Times New Roman" w:hAnsi="Times New Roman" w:cs="Times New Roman"/>
          <w:sz w:val="24"/>
          <w:szCs w:val="24"/>
        </w:rPr>
        <w:t xml:space="preserve">, konieczne jest odmienne wskazanie </w:t>
      </w:r>
      <w:r>
        <w:rPr>
          <w:rFonts w:ascii="Times New Roman" w:hAnsi="Times New Roman" w:cs="Times New Roman"/>
          <w:sz w:val="24"/>
          <w:szCs w:val="24"/>
        </w:rPr>
        <w:t>czasu</w:t>
      </w:r>
      <w:r w:rsidRPr="00CD594B">
        <w:rPr>
          <w:rFonts w:ascii="Times New Roman" w:hAnsi="Times New Roman" w:cs="Times New Roman"/>
          <w:sz w:val="24"/>
          <w:szCs w:val="24"/>
        </w:rPr>
        <w:t>, od którego należy liczyć okres 6 miesięcy na przygotowanie i przekazanie Komisji planu, o którym mowa w art. 74 rozporządzenia 2023/1114.</w:t>
      </w:r>
    </w:p>
    <w:p w14:paraId="22A81899" w14:textId="36EDBFD7" w:rsidR="00C21D4B" w:rsidRPr="00D752F3" w:rsidRDefault="00C21D4B" w:rsidP="00695ECE">
      <w:pPr>
        <w:pStyle w:val="Akapitzlist"/>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Rozdział 5 (art. 52–5</w:t>
      </w:r>
      <w:r w:rsidR="00F406DC">
        <w:rPr>
          <w:rFonts w:ascii="Times New Roman" w:hAnsi="Times New Roman" w:cs="Times New Roman"/>
          <w:b/>
          <w:bCs/>
          <w:sz w:val="24"/>
          <w:szCs w:val="24"/>
        </w:rPr>
        <w:t>3</w:t>
      </w:r>
      <w:r>
        <w:rPr>
          <w:rFonts w:ascii="Times New Roman" w:hAnsi="Times New Roman" w:cs="Times New Roman"/>
          <w:b/>
          <w:bCs/>
          <w:sz w:val="24"/>
          <w:szCs w:val="24"/>
        </w:rPr>
        <w:t xml:space="preserve">) </w:t>
      </w:r>
      <w:r w:rsidRPr="00D752F3">
        <w:rPr>
          <w:rFonts w:ascii="Times New Roman" w:hAnsi="Times New Roman" w:cs="Times New Roman"/>
          <w:sz w:val="24"/>
          <w:szCs w:val="24"/>
        </w:rPr>
        <w:t>określa przepisy odnoszące się odpowiednio do</w:t>
      </w:r>
      <w:r>
        <w:rPr>
          <w:rFonts w:ascii="Times New Roman" w:hAnsi="Times New Roman" w:cs="Times New Roman"/>
          <w:b/>
          <w:bCs/>
          <w:sz w:val="24"/>
          <w:szCs w:val="24"/>
        </w:rPr>
        <w:t xml:space="preserve"> </w:t>
      </w:r>
      <w:r>
        <w:rPr>
          <w:rFonts w:ascii="Times New Roman" w:hAnsi="Times New Roman" w:cs="Times New Roman"/>
          <w:sz w:val="24"/>
          <w:szCs w:val="24"/>
        </w:rPr>
        <w:t>p</w:t>
      </w:r>
      <w:r w:rsidRPr="00D752F3">
        <w:rPr>
          <w:rFonts w:ascii="Times New Roman" w:hAnsi="Times New Roman" w:cs="Times New Roman"/>
          <w:sz w:val="24"/>
          <w:szCs w:val="24"/>
        </w:rPr>
        <w:t>ostępowani</w:t>
      </w:r>
      <w:r>
        <w:rPr>
          <w:rFonts w:ascii="Times New Roman" w:hAnsi="Times New Roman" w:cs="Times New Roman"/>
          <w:sz w:val="24"/>
          <w:szCs w:val="24"/>
        </w:rPr>
        <w:t>a</w:t>
      </w:r>
      <w:r w:rsidRPr="00D752F3">
        <w:rPr>
          <w:rFonts w:ascii="Times New Roman" w:hAnsi="Times New Roman" w:cs="Times New Roman"/>
          <w:sz w:val="24"/>
          <w:szCs w:val="24"/>
        </w:rPr>
        <w:t xml:space="preserve"> w sprawie zatwierdzania planu, o którym mowa w art. 23 ust. 1 lit. b rozporządzenia 2023/1114, oraz planu naprawy i planu wykupu</w:t>
      </w:r>
      <w:r>
        <w:rPr>
          <w:rFonts w:ascii="Times New Roman" w:hAnsi="Times New Roman" w:cs="Times New Roman"/>
          <w:b/>
          <w:bCs/>
          <w:sz w:val="24"/>
          <w:szCs w:val="24"/>
        </w:rPr>
        <w:t>.</w:t>
      </w:r>
    </w:p>
    <w:p w14:paraId="4B4AB430" w14:textId="11BC3E84" w:rsidR="00C21D4B" w:rsidRPr="00CD594B" w:rsidRDefault="00C21D4B" w:rsidP="008C3657">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52</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precyzuje, że w postępowaniach prowadzonych w sprawach, o których mowa w</w:t>
      </w:r>
      <w:r w:rsidRPr="00BB1405">
        <w:rPr>
          <w:rFonts w:ascii="Times New Roman" w:hAnsi="Times New Roman" w:cs="Times New Roman"/>
          <w:sz w:val="24"/>
          <w:szCs w:val="24"/>
        </w:rPr>
        <w:t xml:space="preserve"> </w:t>
      </w:r>
      <w:r w:rsidRPr="00CD594B">
        <w:rPr>
          <w:rFonts w:ascii="Times New Roman" w:hAnsi="Times New Roman" w:cs="Times New Roman"/>
          <w:sz w:val="24"/>
          <w:szCs w:val="24"/>
        </w:rPr>
        <w:t xml:space="preserve">przepisach </w:t>
      </w:r>
      <w:r w:rsidRPr="00BB1405">
        <w:rPr>
          <w:rFonts w:ascii="Times New Roman" w:hAnsi="Times New Roman" w:cs="Times New Roman"/>
          <w:sz w:val="24"/>
          <w:szCs w:val="24"/>
        </w:rPr>
        <w:t>art. 26</w:t>
      </w:r>
      <w:r>
        <w:rPr>
          <w:rFonts w:ascii="Times New Roman" w:hAnsi="Times New Roman" w:cs="Times New Roman"/>
          <w:sz w:val="24"/>
          <w:szCs w:val="24"/>
        </w:rPr>
        <w:t>–</w:t>
      </w:r>
      <w:r w:rsidRPr="00BB1405">
        <w:rPr>
          <w:rFonts w:ascii="Times New Roman" w:hAnsi="Times New Roman" w:cs="Times New Roman"/>
          <w:sz w:val="24"/>
          <w:szCs w:val="24"/>
        </w:rPr>
        <w:t xml:space="preserve">28 i </w:t>
      </w:r>
      <w:r w:rsidRPr="009F0C78">
        <w:rPr>
          <w:rFonts w:ascii="Times New Roman" w:hAnsi="Times New Roman" w:cs="Times New Roman"/>
          <w:sz w:val="24"/>
          <w:szCs w:val="24"/>
        </w:rPr>
        <w:t>art. 40</w:t>
      </w:r>
      <w:r w:rsidRPr="008A1419">
        <w:rPr>
          <w:rFonts w:ascii="Times New Roman" w:hAnsi="Times New Roman" w:cs="Times New Roman"/>
          <w:sz w:val="24"/>
          <w:szCs w:val="24"/>
        </w:rPr>
        <w:t>–</w:t>
      </w:r>
      <w:r w:rsidRPr="00AB5AC1">
        <w:rPr>
          <w:rFonts w:ascii="Times New Roman" w:hAnsi="Times New Roman" w:cs="Times New Roman"/>
          <w:sz w:val="24"/>
          <w:szCs w:val="24"/>
        </w:rPr>
        <w:t>50</w:t>
      </w:r>
      <w:r w:rsidRPr="00CD594B">
        <w:rPr>
          <w:rFonts w:ascii="Times New Roman" w:hAnsi="Times New Roman" w:cs="Times New Roman"/>
          <w:sz w:val="24"/>
          <w:szCs w:val="24"/>
        </w:rPr>
        <w:t xml:space="preserve"> </w:t>
      </w:r>
      <w:r>
        <w:rPr>
          <w:rFonts w:ascii="Times New Roman" w:hAnsi="Times New Roman" w:cs="Times New Roman"/>
          <w:sz w:val="24"/>
          <w:szCs w:val="24"/>
        </w:rPr>
        <w:t>projektowanej ustawy</w:t>
      </w:r>
      <w:r w:rsidRPr="00CD594B">
        <w:rPr>
          <w:rFonts w:ascii="Times New Roman" w:hAnsi="Times New Roman" w:cs="Times New Roman"/>
          <w:sz w:val="24"/>
          <w:szCs w:val="24"/>
        </w:rPr>
        <w:t xml:space="preserve">, </w:t>
      </w:r>
      <w:r w:rsidR="007D2C36">
        <w:rPr>
          <w:rFonts w:ascii="Times New Roman" w:hAnsi="Times New Roman" w:cs="Times New Roman"/>
          <w:sz w:val="24"/>
          <w:szCs w:val="24"/>
        </w:rPr>
        <w:t xml:space="preserve">nie stosuje się </w:t>
      </w:r>
      <w:r w:rsidRPr="00CD594B">
        <w:rPr>
          <w:rFonts w:ascii="Times New Roman" w:hAnsi="Times New Roman" w:cs="Times New Roman"/>
          <w:sz w:val="24"/>
          <w:szCs w:val="24"/>
        </w:rPr>
        <w:t xml:space="preserve">art. </w:t>
      </w:r>
      <w:r w:rsidR="00257373">
        <w:rPr>
          <w:rFonts w:ascii="Times New Roman" w:hAnsi="Times New Roman" w:cs="Times New Roman"/>
          <w:sz w:val="24"/>
          <w:szCs w:val="24"/>
        </w:rPr>
        <w:t>31</w:t>
      </w:r>
      <w:r w:rsidRPr="00CD594B">
        <w:rPr>
          <w:rFonts w:ascii="Times New Roman" w:hAnsi="Times New Roman" w:cs="Times New Roman"/>
          <w:sz w:val="24"/>
          <w:szCs w:val="24"/>
        </w:rPr>
        <w:t xml:space="preserve"> </w:t>
      </w:r>
      <w:r w:rsidRPr="00FA7379">
        <w:rPr>
          <w:rFonts w:ascii="Times New Roman" w:hAnsi="Times New Roman" w:cs="Times New Roman"/>
          <w:sz w:val="24"/>
          <w:szCs w:val="24"/>
        </w:rPr>
        <w:t xml:space="preserve">ustawy z dnia 14 czerwca 1960 r. </w:t>
      </w:r>
      <w:r w:rsidRPr="00FA7379">
        <w:rPr>
          <w:rFonts w:ascii="Times New Roman" w:hAnsi="Times New Roman" w:cs="Times New Roman"/>
          <w:sz w:val="24"/>
          <w:szCs w:val="24"/>
        </w:rPr>
        <w:sym w:font="Symbol" w:char="F02D"/>
      </w:r>
      <w:r w:rsidRPr="00634638">
        <w:rPr>
          <w:rFonts w:ascii="Times New Roman" w:hAnsi="Times New Roman"/>
          <w:color w:val="000000"/>
          <w:spacing w:val="-2"/>
        </w:rPr>
        <w:t xml:space="preserve"> </w:t>
      </w:r>
      <w:r w:rsidRPr="00FA7379">
        <w:rPr>
          <w:rFonts w:ascii="Times New Roman" w:hAnsi="Times New Roman" w:cs="Times New Roman"/>
          <w:sz w:val="24"/>
          <w:szCs w:val="24"/>
        </w:rPr>
        <w:t>Kodeks postępowania administracyjnego</w:t>
      </w:r>
      <w:r w:rsidRPr="00634638">
        <w:rPr>
          <w:rFonts w:ascii="Times New Roman" w:hAnsi="Times New Roman"/>
          <w:color w:val="000000"/>
          <w:spacing w:val="-2"/>
        </w:rPr>
        <w:t xml:space="preserve"> (Dz.</w:t>
      </w:r>
      <w:r>
        <w:rPr>
          <w:rFonts w:ascii="Times New Roman" w:hAnsi="Times New Roman"/>
          <w:color w:val="000000"/>
          <w:spacing w:val="-2"/>
        </w:rPr>
        <w:t xml:space="preserve"> </w:t>
      </w:r>
      <w:r w:rsidRPr="00634638">
        <w:rPr>
          <w:rFonts w:ascii="Times New Roman" w:hAnsi="Times New Roman"/>
          <w:color w:val="000000"/>
          <w:spacing w:val="-2"/>
        </w:rPr>
        <w:t>U. z 202</w:t>
      </w:r>
      <w:r>
        <w:rPr>
          <w:rFonts w:ascii="Times New Roman" w:hAnsi="Times New Roman"/>
          <w:color w:val="000000"/>
          <w:spacing w:val="-2"/>
        </w:rPr>
        <w:t>4</w:t>
      </w:r>
      <w:r w:rsidRPr="00634638">
        <w:rPr>
          <w:rFonts w:ascii="Times New Roman" w:hAnsi="Times New Roman"/>
          <w:color w:val="000000"/>
          <w:spacing w:val="-2"/>
        </w:rPr>
        <w:t xml:space="preserve"> r. poz. </w:t>
      </w:r>
      <w:r>
        <w:rPr>
          <w:rFonts w:ascii="Times New Roman" w:hAnsi="Times New Roman"/>
          <w:color w:val="000000"/>
          <w:spacing w:val="-2"/>
        </w:rPr>
        <w:t>572</w:t>
      </w:r>
      <w:r w:rsidRPr="00634638">
        <w:rPr>
          <w:rFonts w:ascii="Times New Roman" w:hAnsi="Times New Roman"/>
          <w:color w:val="000000"/>
          <w:spacing w:val="-2"/>
        </w:rPr>
        <w:t>)</w:t>
      </w:r>
      <w:r>
        <w:rPr>
          <w:rFonts w:ascii="Times New Roman" w:hAnsi="Times New Roman"/>
          <w:color w:val="000000"/>
          <w:spacing w:val="-2"/>
        </w:rPr>
        <w:t>, zwanej dalej</w:t>
      </w:r>
      <w:r w:rsidRPr="00CD594B">
        <w:rPr>
          <w:rFonts w:ascii="Times New Roman" w:hAnsi="Times New Roman" w:cs="Times New Roman"/>
          <w:sz w:val="24"/>
          <w:szCs w:val="24"/>
        </w:rPr>
        <w:t xml:space="preserve"> </w:t>
      </w:r>
      <w:r>
        <w:rPr>
          <w:rFonts w:ascii="Times New Roman" w:hAnsi="Times New Roman" w:cs="Times New Roman"/>
          <w:sz w:val="24"/>
          <w:szCs w:val="24"/>
        </w:rPr>
        <w:t>„</w:t>
      </w:r>
      <w:r w:rsidRPr="00CD594B">
        <w:rPr>
          <w:rFonts w:ascii="Times New Roman" w:hAnsi="Times New Roman" w:cs="Times New Roman"/>
          <w:sz w:val="24"/>
          <w:szCs w:val="24"/>
        </w:rPr>
        <w:t>KPA</w:t>
      </w:r>
      <w:r>
        <w:rPr>
          <w:rFonts w:ascii="Times New Roman" w:hAnsi="Times New Roman" w:cs="Times New Roman"/>
          <w:sz w:val="24"/>
          <w:szCs w:val="24"/>
        </w:rPr>
        <w:t>”</w:t>
      </w:r>
      <w:r w:rsidR="002573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594B">
        <w:rPr>
          <w:rFonts w:ascii="Times New Roman" w:hAnsi="Times New Roman" w:cs="Times New Roman"/>
          <w:sz w:val="24"/>
          <w:szCs w:val="24"/>
        </w:rPr>
        <w:t>Przepis ten wzorowany</w:t>
      </w:r>
      <w:r>
        <w:rPr>
          <w:rFonts w:ascii="Times New Roman" w:hAnsi="Times New Roman" w:cs="Times New Roman"/>
          <w:sz w:val="24"/>
          <w:szCs w:val="24"/>
        </w:rPr>
        <w:t xml:space="preserve"> jest</w:t>
      </w:r>
      <w:r w:rsidRPr="00CD594B">
        <w:rPr>
          <w:rFonts w:ascii="Times New Roman" w:hAnsi="Times New Roman" w:cs="Times New Roman"/>
          <w:sz w:val="24"/>
          <w:szCs w:val="24"/>
        </w:rPr>
        <w:t xml:space="preserve"> na brzmieniu art. 47h </w:t>
      </w:r>
      <w:r>
        <w:rPr>
          <w:rFonts w:ascii="Times New Roman" w:hAnsi="Times New Roman" w:cs="Times New Roman"/>
          <w:sz w:val="24"/>
          <w:szCs w:val="24"/>
        </w:rPr>
        <w:t xml:space="preserve">i </w:t>
      </w:r>
      <w:r w:rsidRPr="00CD594B">
        <w:rPr>
          <w:rFonts w:ascii="Times New Roman" w:hAnsi="Times New Roman" w:cs="Times New Roman"/>
          <w:sz w:val="24"/>
          <w:szCs w:val="24"/>
        </w:rPr>
        <w:t xml:space="preserve">art. 110zzf ustawy o obrocie instrumentami finansowymi. Jest to rozwiązanie spójne z regulacjami przyjętymi dla wczesnej interwencji i przymusowej restrukturyzacji banków i firm inwestycyjnych. Biorąc pod uwagę charakter rynku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konieczne jest zapewnienie szybkiego i efektywnego postępowania.</w:t>
      </w:r>
    </w:p>
    <w:p w14:paraId="0BEF6816" w14:textId="312BF393" w:rsidR="00C21D4B" w:rsidRPr="008C4767"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5</w:t>
      </w:r>
      <w:r w:rsidR="00257373">
        <w:rPr>
          <w:rFonts w:ascii="Times New Roman" w:hAnsi="Times New Roman" w:cs="Times New Roman"/>
          <w:b/>
          <w:bCs/>
          <w:sz w:val="24"/>
          <w:szCs w:val="24"/>
        </w:rPr>
        <w:t>3</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precyzuje kwestię doręczeń w przypadku ustanowienia pełnomocnika</w:t>
      </w:r>
      <w:r>
        <w:rPr>
          <w:rFonts w:ascii="Times New Roman" w:hAnsi="Times New Roman" w:cs="Times New Roman"/>
          <w:sz w:val="24"/>
          <w:szCs w:val="24"/>
        </w:rPr>
        <w:t xml:space="preserve">, </w:t>
      </w:r>
      <w:r w:rsidRPr="00D50D13">
        <w:rPr>
          <w:rFonts w:ascii="Times New Roman" w:eastAsia="Times New Roman" w:hAnsi="Times New Roman" w:cs="Arial"/>
          <w:sz w:val="24"/>
          <w:szCs w:val="20"/>
          <w:lang w:eastAsia="pl-PL"/>
        </w:rPr>
        <w:t>pełnomocnictwo powinno określać adres do doręczeń elektronicznych</w:t>
      </w:r>
      <w:r>
        <w:rPr>
          <w:rFonts w:ascii="Times New Roman" w:eastAsia="Times New Roman" w:hAnsi="Times New Roman" w:cs="Arial"/>
          <w:sz w:val="24"/>
          <w:szCs w:val="20"/>
          <w:lang w:eastAsia="pl-PL"/>
        </w:rPr>
        <w:t xml:space="preserve">, </w:t>
      </w:r>
      <w:r w:rsidRPr="00D50D13">
        <w:rPr>
          <w:rFonts w:ascii="Times New Roman" w:eastAsia="Times New Roman" w:hAnsi="Times New Roman" w:cs="Arial"/>
          <w:sz w:val="24"/>
          <w:szCs w:val="20"/>
          <w:lang w:eastAsia="pl-PL"/>
        </w:rPr>
        <w:t>o którym mowa w art. 2 pkt 1 ustawy z dnia 18 listopada 2020 r. o doręczeniach elektronicznych (Dz.</w:t>
      </w:r>
      <w:r>
        <w:rPr>
          <w:rFonts w:ascii="Times New Roman" w:eastAsia="Times New Roman" w:hAnsi="Times New Roman" w:cs="Arial"/>
          <w:sz w:val="24"/>
          <w:szCs w:val="20"/>
          <w:lang w:eastAsia="pl-PL"/>
        </w:rPr>
        <w:t> </w:t>
      </w:r>
      <w:r w:rsidRPr="00D50D13">
        <w:rPr>
          <w:rFonts w:ascii="Times New Roman" w:eastAsia="Times New Roman" w:hAnsi="Times New Roman" w:cs="Arial"/>
          <w:sz w:val="24"/>
          <w:szCs w:val="20"/>
          <w:lang w:eastAsia="pl-PL"/>
        </w:rPr>
        <w:t>U. z 202</w:t>
      </w:r>
      <w:r w:rsidR="00F406DC">
        <w:rPr>
          <w:rFonts w:ascii="Times New Roman" w:eastAsia="Times New Roman" w:hAnsi="Times New Roman" w:cs="Arial"/>
          <w:sz w:val="24"/>
          <w:szCs w:val="20"/>
          <w:lang w:eastAsia="pl-PL"/>
        </w:rPr>
        <w:t>6</w:t>
      </w:r>
      <w:r w:rsidRPr="00D50D13">
        <w:rPr>
          <w:rFonts w:ascii="Times New Roman" w:eastAsia="Times New Roman" w:hAnsi="Times New Roman" w:cs="Arial"/>
          <w:sz w:val="24"/>
          <w:szCs w:val="20"/>
          <w:lang w:eastAsia="pl-PL"/>
        </w:rPr>
        <w:t xml:space="preserve"> r. poz.</w:t>
      </w:r>
      <w:r w:rsidR="00F406DC">
        <w:rPr>
          <w:rFonts w:ascii="Times New Roman" w:eastAsia="Times New Roman" w:hAnsi="Times New Roman" w:cs="Arial"/>
          <w:sz w:val="24"/>
          <w:szCs w:val="20"/>
          <w:lang w:eastAsia="pl-PL"/>
        </w:rPr>
        <w:t>3</w:t>
      </w:r>
      <w:r w:rsidRPr="00D50D13">
        <w:rPr>
          <w:rFonts w:ascii="Times New Roman" w:eastAsia="Times New Roman" w:hAnsi="Times New Roman" w:cs="Arial"/>
          <w:sz w:val="24"/>
          <w:szCs w:val="20"/>
          <w:lang w:eastAsia="pl-PL"/>
        </w:rPr>
        <w:t>)</w:t>
      </w:r>
      <w:r w:rsidRPr="00CD594B">
        <w:rPr>
          <w:rFonts w:ascii="Times New Roman" w:hAnsi="Times New Roman" w:cs="Times New Roman"/>
          <w:sz w:val="24"/>
          <w:szCs w:val="24"/>
        </w:rPr>
        <w:t xml:space="preserve">. Ust. </w:t>
      </w:r>
      <w:r>
        <w:rPr>
          <w:rFonts w:ascii="Times New Roman" w:hAnsi="Times New Roman" w:cs="Times New Roman"/>
          <w:sz w:val="24"/>
          <w:szCs w:val="24"/>
        </w:rPr>
        <w:t>2</w:t>
      </w:r>
      <w:r w:rsidRPr="00CD594B">
        <w:rPr>
          <w:rFonts w:ascii="Times New Roman" w:hAnsi="Times New Roman" w:cs="Times New Roman"/>
          <w:sz w:val="24"/>
          <w:szCs w:val="24"/>
        </w:rPr>
        <w:t xml:space="preserve"> stanowi, że w przypadku nieodebrania pisma doręczanego na adres do doręczeń elektronicznych, doręczenie to uważa się za dokonane po upływie 2 dni roboczych, licząc od dnia wystawienia dowodu wysłania, zgodnie z art. 40 ustawy z dnia 18 listopada 2020 r. o doręczeniach elektronicznych.</w:t>
      </w:r>
    </w:p>
    <w:p w14:paraId="6A67C807" w14:textId="3ACE661F" w:rsidR="00646239" w:rsidRPr="00D46025" w:rsidRDefault="00C21D4B" w:rsidP="00741FA4">
      <w:pPr>
        <w:pStyle w:val="Akapitzlist"/>
        <w:spacing w:line="360" w:lineRule="auto"/>
        <w:jc w:val="both"/>
        <w:rPr>
          <w:rFonts w:ascii="Times New Roman" w:hAnsi="Times New Roman" w:cs="Times New Roman"/>
          <w:bCs/>
          <w:sz w:val="24"/>
          <w:szCs w:val="24"/>
        </w:rPr>
      </w:pPr>
      <w:r w:rsidRPr="00D46025">
        <w:rPr>
          <w:rFonts w:ascii="Times New Roman" w:hAnsi="Times New Roman" w:cs="Times New Roman"/>
          <w:b/>
          <w:bCs/>
          <w:sz w:val="24"/>
          <w:szCs w:val="24"/>
        </w:rPr>
        <w:t>Przepisy rozdziału 6</w:t>
      </w:r>
      <w:r w:rsidRPr="00D46025">
        <w:rPr>
          <w:rFonts w:ascii="Times New Roman" w:hAnsi="Times New Roman" w:cs="Times New Roman"/>
          <w:sz w:val="24"/>
          <w:szCs w:val="24"/>
        </w:rPr>
        <w:t xml:space="preserve"> „Odpowiedzialność cywilna w związku z dokumentem informacyjnym</w:t>
      </w:r>
      <w:r w:rsidRPr="00741FA4">
        <w:rPr>
          <w:rFonts w:ascii="Times New Roman" w:hAnsi="Times New Roman" w:cs="Times New Roman"/>
          <w:sz w:val="24"/>
          <w:szCs w:val="24"/>
        </w:rPr>
        <w:t xml:space="preserve"> dotyczącym </w:t>
      </w:r>
      <w:proofErr w:type="spellStart"/>
      <w:r w:rsidRPr="00741FA4">
        <w:rPr>
          <w:rFonts w:ascii="Times New Roman" w:hAnsi="Times New Roman" w:cs="Times New Roman"/>
          <w:sz w:val="24"/>
          <w:szCs w:val="24"/>
        </w:rPr>
        <w:t>kryptoaktywa</w:t>
      </w:r>
      <w:proofErr w:type="spellEnd"/>
      <w:r w:rsidRPr="00741FA4">
        <w:rPr>
          <w:rFonts w:ascii="Times New Roman" w:hAnsi="Times New Roman" w:cs="Times New Roman"/>
          <w:sz w:val="24"/>
          <w:szCs w:val="24"/>
        </w:rPr>
        <w:t xml:space="preserve"> oraz zmienionym dokumentem informacyjnym dotyczącym </w:t>
      </w:r>
      <w:proofErr w:type="spellStart"/>
      <w:r w:rsidRPr="00741FA4">
        <w:rPr>
          <w:rFonts w:ascii="Times New Roman" w:hAnsi="Times New Roman" w:cs="Times New Roman"/>
          <w:sz w:val="24"/>
          <w:szCs w:val="24"/>
        </w:rPr>
        <w:t>kryptoaktywa</w:t>
      </w:r>
      <w:proofErr w:type="spellEnd"/>
      <w:r w:rsidRPr="00741FA4">
        <w:rPr>
          <w:rFonts w:ascii="Times New Roman" w:hAnsi="Times New Roman" w:cs="Times New Roman"/>
          <w:sz w:val="24"/>
          <w:szCs w:val="24"/>
        </w:rPr>
        <w:t>”</w:t>
      </w:r>
      <w:r w:rsidRPr="00741FA4">
        <w:rPr>
          <w:rFonts w:ascii="Times New Roman" w:hAnsi="Times New Roman" w:cs="Times New Roman"/>
          <w:b/>
          <w:bCs/>
          <w:sz w:val="24"/>
          <w:szCs w:val="24"/>
        </w:rPr>
        <w:t xml:space="preserve"> (art. 5</w:t>
      </w:r>
      <w:r w:rsidR="00257373" w:rsidRPr="00741FA4">
        <w:rPr>
          <w:rFonts w:ascii="Times New Roman" w:hAnsi="Times New Roman" w:cs="Times New Roman"/>
          <w:b/>
          <w:bCs/>
          <w:sz w:val="24"/>
          <w:szCs w:val="24"/>
        </w:rPr>
        <w:t>4</w:t>
      </w:r>
      <w:r w:rsidRPr="00741FA4">
        <w:rPr>
          <w:rFonts w:ascii="Times New Roman" w:hAnsi="Times New Roman" w:cs="Times New Roman"/>
          <w:b/>
          <w:bCs/>
          <w:sz w:val="24"/>
          <w:szCs w:val="24"/>
        </w:rPr>
        <w:t xml:space="preserve"> i art. 5</w:t>
      </w:r>
      <w:r w:rsidR="00257373" w:rsidRPr="00741FA4">
        <w:rPr>
          <w:rFonts w:ascii="Times New Roman" w:hAnsi="Times New Roman" w:cs="Times New Roman"/>
          <w:b/>
          <w:bCs/>
          <w:sz w:val="24"/>
          <w:szCs w:val="24"/>
        </w:rPr>
        <w:t>5</w:t>
      </w:r>
      <w:r w:rsidRPr="00D46025">
        <w:rPr>
          <w:rFonts w:ascii="Times New Roman" w:hAnsi="Times New Roman" w:cs="Times New Roman"/>
          <w:b/>
          <w:bCs/>
          <w:sz w:val="24"/>
          <w:szCs w:val="24"/>
        </w:rPr>
        <w:t xml:space="preserve"> Art. 5</w:t>
      </w:r>
      <w:r w:rsidR="00257373" w:rsidRPr="00D46025">
        <w:rPr>
          <w:rFonts w:ascii="Times New Roman" w:hAnsi="Times New Roman" w:cs="Times New Roman"/>
          <w:b/>
          <w:bCs/>
          <w:sz w:val="24"/>
          <w:szCs w:val="24"/>
        </w:rPr>
        <w:t>4</w:t>
      </w:r>
      <w:r w:rsidRPr="00D46025">
        <w:rPr>
          <w:rFonts w:ascii="Times New Roman" w:hAnsi="Times New Roman" w:cs="Times New Roman"/>
          <w:b/>
          <w:bCs/>
          <w:sz w:val="24"/>
          <w:szCs w:val="24"/>
        </w:rPr>
        <w:t xml:space="preserve"> </w:t>
      </w:r>
      <w:r w:rsidRPr="00D46025">
        <w:rPr>
          <w:rFonts w:ascii="Times New Roman" w:hAnsi="Times New Roman" w:cs="Times New Roman"/>
          <w:sz w:val="24"/>
          <w:szCs w:val="24"/>
        </w:rPr>
        <w:t xml:space="preserve">precyzuje, jakie informacje w zakresie podmiotu odpowiedzialnego powinien zawierać dokument informacyjny dotyczący </w:t>
      </w:r>
      <w:proofErr w:type="spellStart"/>
      <w:r w:rsidRPr="00D46025">
        <w:rPr>
          <w:rFonts w:ascii="Times New Roman" w:hAnsi="Times New Roman" w:cs="Times New Roman"/>
          <w:sz w:val="24"/>
          <w:szCs w:val="24"/>
        </w:rPr>
        <w:t>kryptoaktywa</w:t>
      </w:r>
      <w:proofErr w:type="spellEnd"/>
      <w:r w:rsidRPr="00D46025">
        <w:rPr>
          <w:rFonts w:ascii="Times New Roman" w:hAnsi="Times New Roman" w:cs="Times New Roman"/>
          <w:sz w:val="24"/>
          <w:szCs w:val="24"/>
        </w:rPr>
        <w:t>. Jednocześnie niniejszy przepis precyzuje, że podmioty odpowiedzialne są zobowiązane do zachowania należytej staranności wynikającej z zawodowego charakteru ich działalności przy wykonywaniu swoich obowiązków.</w:t>
      </w:r>
      <w:r w:rsidR="00646239" w:rsidRPr="00D46025">
        <w:rPr>
          <w:rFonts w:ascii="Segoe UI" w:eastAsia="Times New Roman" w:hAnsi="Segoe UI" w:cs="Segoe UI"/>
          <w:sz w:val="21"/>
          <w:szCs w:val="21"/>
          <w:lang w:eastAsia="pl-PL"/>
        </w:rPr>
        <w:t xml:space="preserve"> </w:t>
      </w:r>
    </w:p>
    <w:p w14:paraId="7A78D4E0" w14:textId="2A71B319" w:rsidR="00C21D4B" w:rsidRPr="00CD594B" w:rsidRDefault="00C21D4B" w:rsidP="00741FA4">
      <w:pPr>
        <w:pStyle w:val="Akapitzlist"/>
        <w:spacing w:line="360" w:lineRule="auto"/>
        <w:jc w:val="both"/>
        <w:rPr>
          <w:rFonts w:ascii="Times New Roman" w:hAnsi="Times New Roman" w:cs="Times New Roman"/>
          <w:bCs/>
          <w:sz w:val="24"/>
          <w:szCs w:val="24"/>
        </w:rPr>
      </w:pPr>
    </w:p>
    <w:p w14:paraId="088BA11F" w14:textId="449474E3"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Art. 5</w:t>
      </w:r>
      <w:r w:rsidR="00257373">
        <w:rPr>
          <w:rFonts w:ascii="Times New Roman" w:hAnsi="Times New Roman" w:cs="Times New Roman"/>
          <w:b/>
          <w:bCs/>
          <w:sz w:val="24"/>
          <w:szCs w:val="24"/>
        </w:rPr>
        <w:t>5</w:t>
      </w:r>
      <w:r w:rsidRPr="00CD594B">
        <w:rPr>
          <w:rFonts w:ascii="Times New Roman" w:hAnsi="Times New Roman" w:cs="Times New Roman"/>
          <w:sz w:val="24"/>
          <w:szCs w:val="24"/>
        </w:rPr>
        <w:t xml:space="preserve"> dodatkowo precyzuje, że podmiot, o którym mowa w art. 15, art. 26 i art. 52 rozporządzenia 2023/1114, jest odpowiedzialny za to, aby tłumaczenie odpowiednio dokumentu informacyjnego dotyczącego </w:t>
      </w:r>
      <w:proofErr w:type="spellStart"/>
      <w:r w:rsidRPr="00CD594B">
        <w:rPr>
          <w:rFonts w:ascii="Times New Roman" w:hAnsi="Times New Roman" w:cs="Times New Roman"/>
          <w:sz w:val="24"/>
          <w:szCs w:val="24"/>
        </w:rPr>
        <w:t>kryptoaktywa</w:t>
      </w:r>
      <w:proofErr w:type="spellEnd"/>
      <w:r w:rsidRPr="00CD594B">
        <w:rPr>
          <w:rFonts w:ascii="Times New Roman" w:hAnsi="Times New Roman" w:cs="Times New Roman"/>
          <w:sz w:val="24"/>
          <w:szCs w:val="24"/>
        </w:rPr>
        <w:t xml:space="preserve"> i zmienionego dokumentu informacyjnego dotyczącego </w:t>
      </w:r>
      <w:proofErr w:type="spellStart"/>
      <w:r w:rsidRPr="00CD594B">
        <w:rPr>
          <w:rFonts w:ascii="Times New Roman" w:hAnsi="Times New Roman" w:cs="Times New Roman"/>
          <w:sz w:val="24"/>
          <w:szCs w:val="24"/>
        </w:rPr>
        <w:t>kryptoaktywa</w:t>
      </w:r>
      <w:proofErr w:type="spellEnd"/>
      <w:r w:rsidRPr="00CD594B">
        <w:rPr>
          <w:rFonts w:ascii="Times New Roman" w:hAnsi="Times New Roman" w:cs="Times New Roman"/>
          <w:sz w:val="24"/>
          <w:szCs w:val="24"/>
        </w:rPr>
        <w:t xml:space="preserve"> na inny język niż ten, w którym zostały sporządzone</w:t>
      </w:r>
      <w:r w:rsidRPr="00CD594B">
        <w:rPr>
          <w:rFonts w:ascii="Times New Roman" w:hAnsi="Times New Roman" w:cs="Times New Roman"/>
          <w:sz w:val="28"/>
          <w:szCs w:val="28"/>
        </w:rPr>
        <w:t xml:space="preserve"> </w:t>
      </w:r>
      <w:r w:rsidRPr="00CD594B">
        <w:rPr>
          <w:rFonts w:ascii="Times New Roman" w:hAnsi="Times New Roman" w:cs="Times New Roman"/>
          <w:sz w:val="24"/>
          <w:szCs w:val="24"/>
        </w:rPr>
        <w:t>było wierne, dokładne i kompletne</w:t>
      </w:r>
      <w:r w:rsidR="00D46025">
        <w:rPr>
          <w:rFonts w:ascii="Times New Roman" w:hAnsi="Times New Roman" w:cs="Times New Roman"/>
          <w:sz w:val="24"/>
          <w:szCs w:val="24"/>
        </w:rPr>
        <w:t xml:space="preserve"> </w:t>
      </w:r>
      <w:r w:rsidRPr="00CD594B">
        <w:rPr>
          <w:rFonts w:ascii="Times New Roman" w:hAnsi="Times New Roman" w:cs="Times New Roman"/>
          <w:sz w:val="24"/>
          <w:szCs w:val="24"/>
        </w:rPr>
        <w:t>oraz co do zasady jest zobowiązany do naprawienia wyrządzonej szkody, w przypadku gdy nie dopełni tego obowiązku</w:t>
      </w:r>
      <w:r>
        <w:rPr>
          <w:rFonts w:ascii="Times New Roman" w:hAnsi="Times New Roman" w:cs="Times New Roman"/>
          <w:sz w:val="24"/>
          <w:szCs w:val="24"/>
        </w:rPr>
        <w:t xml:space="preserve">, chyba, </w:t>
      </w:r>
      <w:r w:rsidRPr="00976D55">
        <w:rPr>
          <w:rFonts w:ascii="Times New Roman" w:hAnsi="Times New Roman" w:cs="Times New Roman"/>
          <w:sz w:val="24"/>
          <w:szCs w:val="24"/>
        </w:rPr>
        <w:t>że</w:t>
      </w:r>
      <w:r>
        <w:rPr>
          <w:rFonts w:ascii="Times New Roman" w:hAnsi="Times New Roman" w:cs="Times New Roman"/>
          <w:sz w:val="24"/>
          <w:szCs w:val="24"/>
        </w:rPr>
        <w:t xml:space="preserve"> </w:t>
      </w:r>
      <w:r w:rsidRPr="00976D55">
        <w:rPr>
          <w:rFonts w:ascii="Times New Roman" w:hAnsi="Times New Roman" w:cs="Times New Roman"/>
          <w:sz w:val="24"/>
          <w:szCs w:val="24"/>
        </w:rPr>
        <w:t>podmiot, jak również osoby, za które ponosi odpowiedzialność, nie ponoszą winy</w:t>
      </w:r>
      <w:r w:rsidRPr="00CD594B">
        <w:rPr>
          <w:rFonts w:ascii="Times New Roman" w:hAnsi="Times New Roman" w:cs="Times New Roman"/>
          <w:sz w:val="24"/>
          <w:szCs w:val="24"/>
        </w:rPr>
        <w:t>.</w:t>
      </w:r>
    </w:p>
    <w:p w14:paraId="6FB0CC98" w14:textId="31C3668F" w:rsidR="00C21D4B" w:rsidRPr="00CD594B" w:rsidRDefault="00C21D4B" w:rsidP="000D5B83">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sz w:val="24"/>
          <w:szCs w:val="24"/>
        </w:rPr>
        <w:t xml:space="preserve">Przepisy </w:t>
      </w:r>
      <w:r w:rsidRPr="00CD594B">
        <w:rPr>
          <w:rFonts w:ascii="Times New Roman" w:hAnsi="Times New Roman" w:cs="Times New Roman"/>
          <w:b/>
          <w:bCs/>
          <w:sz w:val="24"/>
          <w:szCs w:val="24"/>
        </w:rPr>
        <w:t xml:space="preserve">rozdziału </w:t>
      </w:r>
      <w:r>
        <w:rPr>
          <w:rFonts w:ascii="Times New Roman" w:hAnsi="Times New Roman" w:cs="Times New Roman"/>
          <w:b/>
          <w:bCs/>
          <w:sz w:val="24"/>
          <w:szCs w:val="24"/>
        </w:rPr>
        <w:t>7</w:t>
      </w:r>
      <w:r w:rsidRPr="00CD594B">
        <w:rPr>
          <w:rFonts w:ascii="Times New Roman" w:hAnsi="Times New Roman" w:cs="Times New Roman"/>
          <w:sz w:val="24"/>
          <w:szCs w:val="24"/>
        </w:rPr>
        <w:t xml:space="preserve"> regulują kwestie związane z nadzorem nad rynkiem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w:t>
      </w:r>
      <w:r w:rsidRPr="00CD594B">
        <w:rPr>
          <w:rFonts w:ascii="Times New Roman" w:hAnsi="Times New Roman" w:cs="Times New Roman"/>
          <w:b/>
          <w:bCs/>
          <w:sz w:val="24"/>
          <w:szCs w:val="24"/>
        </w:rPr>
        <w:t>Art. 5</w:t>
      </w:r>
      <w:r w:rsidR="00257373">
        <w:rPr>
          <w:rFonts w:ascii="Times New Roman" w:hAnsi="Times New Roman" w:cs="Times New Roman"/>
          <w:b/>
          <w:bCs/>
          <w:sz w:val="24"/>
          <w:szCs w:val="24"/>
        </w:rPr>
        <w:t>6</w:t>
      </w:r>
      <w:r w:rsidRPr="00CD594B">
        <w:rPr>
          <w:rFonts w:ascii="Times New Roman" w:hAnsi="Times New Roman" w:cs="Times New Roman"/>
          <w:b/>
          <w:bCs/>
          <w:sz w:val="24"/>
          <w:szCs w:val="24"/>
        </w:rPr>
        <w:t>–</w:t>
      </w:r>
      <w:r>
        <w:rPr>
          <w:rFonts w:ascii="Times New Roman" w:hAnsi="Times New Roman" w:cs="Times New Roman"/>
          <w:b/>
          <w:bCs/>
          <w:sz w:val="24"/>
          <w:szCs w:val="24"/>
        </w:rPr>
        <w:t>6</w:t>
      </w:r>
      <w:r w:rsidR="00257373">
        <w:rPr>
          <w:rFonts w:ascii="Times New Roman" w:hAnsi="Times New Roman" w:cs="Times New Roman"/>
          <w:b/>
          <w:bCs/>
          <w:sz w:val="24"/>
          <w:szCs w:val="24"/>
        </w:rPr>
        <w:t>2</w:t>
      </w:r>
      <w:r w:rsidRPr="00CD594B">
        <w:rPr>
          <w:rFonts w:ascii="Times New Roman" w:hAnsi="Times New Roman" w:cs="Times New Roman"/>
          <w:sz w:val="24"/>
          <w:szCs w:val="24"/>
        </w:rPr>
        <w:t xml:space="preserve"> tworzą oddział zawierający przepisy ogólne dotyczące tego nadzoru. W </w:t>
      </w:r>
      <w:r w:rsidRPr="00CD594B">
        <w:rPr>
          <w:rFonts w:ascii="Times New Roman" w:hAnsi="Times New Roman" w:cs="Times New Roman"/>
          <w:b/>
          <w:bCs/>
          <w:sz w:val="24"/>
          <w:szCs w:val="24"/>
        </w:rPr>
        <w:t>art. 5</w:t>
      </w:r>
      <w:r w:rsidR="00257373">
        <w:rPr>
          <w:rFonts w:ascii="Times New Roman" w:hAnsi="Times New Roman" w:cs="Times New Roman"/>
          <w:b/>
          <w:bCs/>
          <w:sz w:val="24"/>
          <w:szCs w:val="24"/>
        </w:rPr>
        <w:t>6</w:t>
      </w:r>
      <w:r w:rsidRPr="00CD594B">
        <w:rPr>
          <w:rFonts w:ascii="Times New Roman" w:hAnsi="Times New Roman" w:cs="Times New Roman"/>
          <w:sz w:val="24"/>
          <w:szCs w:val="24"/>
        </w:rPr>
        <w:t xml:space="preserve"> przyznano Komisji kompetencje organu właściwego w rozumieniu art. 93 ust. 1 rozporządzenia 2023/1114.</w:t>
      </w:r>
    </w:p>
    <w:p w14:paraId="6CA5D51B" w14:textId="30424E26"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sz w:val="24"/>
          <w:szCs w:val="24"/>
        </w:rPr>
        <w:t>Zgodnie z</w:t>
      </w:r>
      <w:r w:rsidRPr="00CD594B">
        <w:rPr>
          <w:rFonts w:ascii="Times New Roman" w:hAnsi="Times New Roman" w:cs="Times New Roman"/>
          <w:b/>
          <w:bCs/>
          <w:sz w:val="24"/>
          <w:szCs w:val="24"/>
        </w:rPr>
        <w:t xml:space="preserve"> art. 5</w:t>
      </w:r>
      <w:r w:rsidR="00257373">
        <w:rPr>
          <w:rFonts w:ascii="Times New Roman" w:hAnsi="Times New Roman" w:cs="Times New Roman"/>
          <w:b/>
          <w:bCs/>
          <w:sz w:val="24"/>
          <w:szCs w:val="24"/>
        </w:rPr>
        <w:t>7</w:t>
      </w:r>
      <w:r w:rsidRPr="00CD594B">
        <w:rPr>
          <w:rFonts w:ascii="Times New Roman" w:hAnsi="Times New Roman" w:cs="Times New Roman"/>
          <w:sz w:val="24"/>
          <w:szCs w:val="24"/>
        </w:rPr>
        <w:t xml:space="preserve"> w odniesieniu do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będących e-pieniądzem powiązanych ze złotym, Narodowy Bank Polski będzie miał prawo wydawania opinii </w:t>
      </w:r>
      <w:r>
        <w:rPr>
          <w:rFonts w:ascii="Times New Roman" w:hAnsi="Times New Roman" w:cs="Times New Roman"/>
          <w:sz w:val="24"/>
          <w:szCs w:val="24"/>
        </w:rPr>
        <w:t xml:space="preserve">m.in. </w:t>
      </w:r>
      <w:r w:rsidRPr="00CD594B">
        <w:rPr>
          <w:rFonts w:ascii="Times New Roman" w:hAnsi="Times New Roman" w:cs="Times New Roman"/>
          <w:sz w:val="24"/>
          <w:szCs w:val="24"/>
        </w:rPr>
        <w:t xml:space="preserve">w procesie uznawania tych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za istotne (art. 56 i 57 rozporządzenia 2023/1114). Konieczne jest wprowadzenie do projektu ustawy </w:t>
      </w:r>
      <w:r>
        <w:rPr>
          <w:rFonts w:ascii="Times New Roman" w:hAnsi="Times New Roman" w:cs="Times New Roman"/>
          <w:sz w:val="24"/>
          <w:szCs w:val="24"/>
        </w:rPr>
        <w:t>regulacji, zgodnie z którą</w:t>
      </w:r>
      <w:r w:rsidRPr="00CD594B">
        <w:rPr>
          <w:rFonts w:ascii="Times New Roman" w:hAnsi="Times New Roman" w:cs="Times New Roman"/>
          <w:sz w:val="24"/>
          <w:szCs w:val="24"/>
        </w:rPr>
        <w:t xml:space="preserve"> Prezes Narodowego Banku Polskiego wydawał </w:t>
      </w:r>
      <w:r w:rsidR="00257373">
        <w:rPr>
          <w:rFonts w:ascii="Times New Roman" w:hAnsi="Times New Roman" w:cs="Times New Roman"/>
          <w:sz w:val="24"/>
          <w:szCs w:val="24"/>
        </w:rPr>
        <w:t xml:space="preserve">będzie </w:t>
      </w:r>
      <w:r>
        <w:rPr>
          <w:rFonts w:ascii="Times New Roman" w:hAnsi="Times New Roman" w:cs="Times New Roman"/>
          <w:sz w:val="24"/>
          <w:szCs w:val="24"/>
        </w:rPr>
        <w:t>ww.</w:t>
      </w:r>
      <w:r w:rsidRPr="00CD594B">
        <w:rPr>
          <w:rFonts w:ascii="Times New Roman" w:hAnsi="Times New Roman" w:cs="Times New Roman"/>
          <w:sz w:val="24"/>
          <w:szCs w:val="24"/>
        </w:rPr>
        <w:t xml:space="preserve"> opinie.</w:t>
      </w:r>
    </w:p>
    <w:p w14:paraId="30ED709C" w14:textId="1CA0AE4F"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sidR="00257373">
        <w:rPr>
          <w:rFonts w:ascii="Times New Roman" w:hAnsi="Times New Roman" w:cs="Times New Roman"/>
          <w:b/>
          <w:bCs/>
          <w:sz w:val="24"/>
          <w:szCs w:val="24"/>
        </w:rPr>
        <w:t>58</w:t>
      </w:r>
      <w:r w:rsidRPr="00CD594B">
        <w:rPr>
          <w:rFonts w:ascii="Times New Roman" w:hAnsi="Times New Roman" w:cs="Times New Roman"/>
          <w:sz w:val="24"/>
          <w:szCs w:val="24"/>
        </w:rPr>
        <w:t xml:space="preserve"> przyznaje Komisji uprawnienie do przeprowadzania kontroli działalności emitentów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powiązanych z aktywami lub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będących e-pieniądzem, oferujących, osób ubiegających się o dopuszczenie do obrotu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lub dostawców usług w zakresie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w:t>
      </w:r>
      <w:r>
        <w:rPr>
          <w:rFonts w:ascii="Times New Roman" w:hAnsi="Times New Roman" w:cs="Times New Roman"/>
          <w:sz w:val="24"/>
          <w:szCs w:val="24"/>
        </w:rPr>
        <w:t xml:space="preserve">Zgodnie z ust. 2 przedmiotem kontroli będzie sytuacja finansowa podmiotów wymienionych w ust. 1, jak również zgodność ich działalności z przepisami ustawy, rozporządzenia 2023/1114, przepisami aktów delegowanych wydanych na podstawie tego rozporządzenia oraz przepisami aktów wykonawczych wydanych na jego podstawie, jak również gdy przemawiał będzie za tym interes klientów tych podmiotów. </w:t>
      </w:r>
      <w:r w:rsidRPr="00CD594B">
        <w:rPr>
          <w:rFonts w:ascii="Times New Roman" w:hAnsi="Times New Roman" w:cs="Times New Roman"/>
          <w:sz w:val="24"/>
          <w:szCs w:val="24"/>
        </w:rPr>
        <w:t>Do kontroli działalności ww. podmiotów znajdą zastosowanie przepisy art. 26 i art. 27</w:t>
      </w:r>
      <w:r>
        <w:rPr>
          <w:rFonts w:ascii="Times New Roman" w:hAnsi="Times New Roman" w:cs="Times New Roman"/>
          <w:sz w:val="24"/>
          <w:szCs w:val="24"/>
        </w:rPr>
        <w:t xml:space="preserve"> ust. 2–6, art. 28–</w:t>
      </w:r>
      <w:r w:rsidRPr="00CD594B">
        <w:rPr>
          <w:rFonts w:ascii="Times New Roman" w:hAnsi="Times New Roman" w:cs="Times New Roman"/>
          <w:sz w:val="24"/>
          <w:szCs w:val="24"/>
        </w:rPr>
        <w:t>37</w:t>
      </w:r>
      <w:r>
        <w:rPr>
          <w:rFonts w:ascii="Times New Roman" w:hAnsi="Times New Roman" w:cs="Times New Roman"/>
          <w:sz w:val="24"/>
          <w:szCs w:val="24"/>
        </w:rPr>
        <w:t xml:space="preserve"> </w:t>
      </w:r>
      <w:r w:rsidRPr="00CD594B">
        <w:rPr>
          <w:rFonts w:ascii="Times New Roman" w:hAnsi="Times New Roman" w:cs="Times New Roman"/>
          <w:sz w:val="24"/>
          <w:szCs w:val="24"/>
        </w:rPr>
        <w:t>ustawy z dnia 29 lipca 2005 r. o n</w:t>
      </w:r>
      <w:r w:rsidR="00D92F69">
        <w:rPr>
          <w:rFonts w:ascii="Times New Roman" w:hAnsi="Times New Roman" w:cs="Times New Roman"/>
          <w:sz w:val="24"/>
          <w:szCs w:val="24"/>
        </w:rPr>
        <w:t>adzorze nad rynkiem kapitałowym</w:t>
      </w:r>
      <w:r>
        <w:rPr>
          <w:rFonts w:ascii="Times New Roman" w:hAnsi="Times New Roman" w:cs="Times New Roman"/>
          <w:sz w:val="24"/>
          <w:szCs w:val="24"/>
        </w:rPr>
        <w:t xml:space="preserve">, zwanej </w:t>
      </w:r>
      <w:r w:rsidRPr="00CD594B">
        <w:rPr>
          <w:rFonts w:ascii="Times New Roman" w:hAnsi="Times New Roman" w:cs="Times New Roman"/>
          <w:sz w:val="24"/>
          <w:szCs w:val="24"/>
        </w:rPr>
        <w:t xml:space="preserve">dalej </w:t>
      </w:r>
      <w:r>
        <w:rPr>
          <w:rFonts w:ascii="Times New Roman" w:hAnsi="Times New Roman" w:cs="Times New Roman"/>
          <w:sz w:val="24"/>
          <w:szCs w:val="24"/>
        </w:rPr>
        <w:t>„</w:t>
      </w:r>
      <w:r w:rsidRPr="00CD594B">
        <w:rPr>
          <w:rFonts w:ascii="Times New Roman" w:hAnsi="Times New Roman" w:cs="Times New Roman"/>
          <w:sz w:val="24"/>
          <w:szCs w:val="24"/>
        </w:rPr>
        <w:t>ustaw</w:t>
      </w:r>
      <w:r>
        <w:rPr>
          <w:rFonts w:ascii="Times New Roman" w:hAnsi="Times New Roman" w:cs="Times New Roman"/>
          <w:sz w:val="24"/>
          <w:szCs w:val="24"/>
        </w:rPr>
        <w:t>ą</w:t>
      </w:r>
      <w:r w:rsidRPr="00CD594B">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CD594B">
        <w:rPr>
          <w:rFonts w:ascii="Times New Roman" w:hAnsi="Times New Roman" w:cs="Times New Roman"/>
          <w:sz w:val="24"/>
          <w:szCs w:val="24"/>
        </w:rPr>
        <w:t>nadzorze nad rynkiem kapitałowym</w:t>
      </w:r>
      <w:r>
        <w:rPr>
          <w:rFonts w:ascii="Times New Roman" w:hAnsi="Times New Roman" w:cs="Times New Roman"/>
          <w:sz w:val="24"/>
          <w:szCs w:val="24"/>
        </w:rPr>
        <w:t>”</w:t>
      </w:r>
      <w:r w:rsidRPr="00CD594B">
        <w:rPr>
          <w:rFonts w:ascii="Times New Roman" w:hAnsi="Times New Roman" w:cs="Times New Roman"/>
          <w:sz w:val="24"/>
          <w:szCs w:val="24"/>
        </w:rPr>
        <w:t>.</w:t>
      </w:r>
    </w:p>
    <w:p w14:paraId="2005D7A2" w14:textId="36E7D9A1" w:rsidR="00C21D4B" w:rsidRPr="00D752F3"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sidR="00257373">
        <w:rPr>
          <w:rFonts w:ascii="Times New Roman" w:hAnsi="Times New Roman" w:cs="Times New Roman"/>
          <w:b/>
          <w:bCs/>
          <w:sz w:val="24"/>
          <w:szCs w:val="24"/>
        </w:rPr>
        <w:t>59</w:t>
      </w:r>
      <w:r w:rsidRPr="00CD594B">
        <w:rPr>
          <w:rFonts w:ascii="Times New Roman" w:hAnsi="Times New Roman" w:cs="Times New Roman"/>
          <w:sz w:val="24"/>
          <w:szCs w:val="24"/>
        </w:rPr>
        <w:t xml:space="preserve"> przyznaje Komisji, Przewodniczącemu Komisji, upoważnionemu przedstawicielowi Komisji oraz pracownikom </w:t>
      </w:r>
      <w:r>
        <w:rPr>
          <w:rFonts w:ascii="Times New Roman" w:hAnsi="Times New Roman" w:cs="Times New Roman"/>
          <w:sz w:val="24"/>
          <w:szCs w:val="24"/>
        </w:rPr>
        <w:t>UKNF</w:t>
      </w:r>
      <w:r w:rsidRPr="00CD594B">
        <w:rPr>
          <w:rFonts w:ascii="Times New Roman" w:hAnsi="Times New Roman" w:cs="Times New Roman"/>
          <w:sz w:val="24"/>
          <w:szCs w:val="24"/>
        </w:rPr>
        <w:t xml:space="preserve"> prawo dostępu do informacji poufnych w rozumieniu art. 87 rozporządzenia 2023/1114 oraz do informacji stanowiących tajemnicę zawodową, o której mowa w art. 1</w:t>
      </w:r>
      <w:r>
        <w:rPr>
          <w:rFonts w:ascii="Times New Roman" w:hAnsi="Times New Roman" w:cs="Times New Roman"/>
          <w:sz w:val="24"/>
          <w:szCs w:val="24"/>
        </w:rPr>
        <w:t>7</w:t>
      </w:r>
      <w:r w:rsidRPr="00CD594B">
        <w:rPr>
          <w:rFonts w:ascii="Times New Roman" w:hAnsi="Times New Roman" w:cs="Times New Roman"/>
          <w:sz w:val="24"/>
          <w:szCs w:val="24"/>
        </w:rPr>
        <w:t xml:space="preserve"> projektowanej ustawy oraz art. 100 rozporządzenia 2023/1114, a także innych informacji</w:t>
      </w:r>
      <w:r>
        <w:rPr>
          <w:rFonts w:ascii="Times New Roman" w:hAnsi="Times New Roman" w:cs="Times New Roman"/>
          <w:sz w:val="24"/>
          <w:szCs w:val="24"/>
        </w:rPr>
        <w:t>, w tym danych osobowych,</w:t>
      </w:r>
      <w:r w:rsidRPr="00CD594B">
        <w:rPr>
          <w:rFonts w:ascii="Times New Roman" w:hAnsi="Times New Roman" w:cs="Times New Roman"/>
          <w:sz w:val="24"/>
          <w:szCs w:val="24"/>
        </w:rPr>
        <w:t xml:space="preserve"> niezbędnych do wykonywania ustawowych zadań. </w:t>
      </w:r>
      <w:r>
        <w:rPr>
          <w:rFonts w:ascii="Times New Roman" w:hAnsi="Times New Roman" w:cs="Times New Roman"/>
          <w:sz w:val="24"/>
          <w:szCs w:val="24"/>
        </w:rPr>
        <w:t xml:space="preserve">Przepis precyzuje jednak, że przedmiotowy dostęp następuje jedynie w związku z wykonywaniem zadań w zakresie nadzoru. </w:t>
      </w:r>
      <w:r w:rsidRPr="00195674">
        <w:rPr>
          <w:rFonts w:ascii="Times New Roman" w:hAnsi="Times New Roman" w:cs="Times New Roman"/>
          <w:sz w:val="24"/>
          <w:szCs w:val="24"/>
        </w:rPr>
        <w:t xml:space="preserve">Brak upoważnienia do takich działań znacząco utrudniłby sprawowanie skutecznego nadzoru nad </w:t>
      </w:r>
      <w:r>
        <w:rPr>
          <w:rFonts w:ascii="Times New Roman" w:hAnsi="Times New Roman" w:cs="Times New Roman"/>
          <w:sz w:val="24"/>
          <w:szCs w:val="24"/>
        </w:rPr>
        <w:t>podmiotami nadzorowanymi objętymi niniejszą regulacją</w:t>
      </w:r>
      <w:r w:rsidRPr="00CD594B">
        <w:rPr>
          <w:rFonts w:ascii="Times New Roman" w:hAnsi="Times New Roman" w:cs="Times New Roman"/>
          <w:sz w:val="24"/>
          <w:szCs w:val="24"/>
        </w:rPr>
        <w:t xml:space="preserve">. </w:t>
      </w:r>
      <w:r>
        <w:rPr>
          <w:rFonts w:ascii="Times New Roman" w:eastAsia="Times New Roman" w:hAnsi="Times New Roman" w:cs="Times New Roman"/>
          <w:lang w:eastAsia="pl-PL"/>
        </w:rPr>
        <w:t>Mając na</w:t>
      </w:r>
      <w:r w:rsidRPr="00AB6247">
        <w:rPr>
          <w:rFonts w:ascii="Times New Roman" w:hAnsi="Times New Roman" w:cs="Times New Roman"/>
          <w:sz w:val="24"/>
          <w:szCs w:val="24"/>
        </w:rPr>
        <w:t xml:space="preserve"> uwa</w:t>
      </w:r>
      <w:r>
        <w:rPr>
          <w:rFonts w:ascii="Times New Roman" w:hAnsi="Times New Roman" w:cs="Times New Roman"/>
          <w:sz w:val="24"/>
          <w:szCs w:val="24"/>
        </w:rPr>
        <w:t>dze</w:t>
      </w:r>
      <w:r w:rsidRPr="00AB6247">
        <w:rPr>
          <w:rFonts w:ascii="Times New Roman" w:hAnsi="Times New Roman" w:cs="Times New Roman"/>
          <w:sz w:val="24"/>
          <w:szCs w:val="24"/>
        </w:rPr>
        <w:t xml:space="preserve"> fakt, że przetwarzanie </w:t>
      </w:r>
      <w:r>
        <w:rPr>
          <w:rFonts w:ascii="Times New Roman" w:hAnsi="Times New Roman" w:cs="Times New Roman"/>
          <w:sz w:val="24"/>
          <w:szCs w:val="24"/>
        </w:rPr>
        <w:t>ww. danych będzie</w:t>
      </w:r>
      <w:r w:rsidRPr="00AB6247">
        <w:rPr>
          <w:rFonts w:ascii="Times New Roman" w:hAnsi="Times New Roman" w:cs="Times New Roman"/>
          <w:sz w:val="24"/>
          <w:szCs w:val="24"/>
        </w:rPr>
        <w:t xml:space="preserve"> niezbędne do wykonania zadania realizowanego w interesie publicznym lub w ramach sprawowania władzy publicznej powierzonej administratorowi</w:t>
      </w:r>
      <w:r>
        <w:rPr>
          <w:rFonts w:ascii="Times New Roman" w:hAnsi="Times New Roman" w:cs="Times New Roman"/>
          <w:sz w:val="24"/>
          <w:szCs w:val="24"/>
        </w:rPr>
        <w:t xml:space="preserve">, będzie ono zgodne z przesłankami zawartymi w art. 6 ust. 1 i 3 rozporządzenia </w:t>
      </w:r>
      <w:r w:rsidRPr="00D752F3">
        <w:rPr>
          <w:rFonts w:ascii="Times New Roman" w:eastAsia="Times New Roman" w:hAnsi="Times New Roman" w:cs="Times New Roman"/>
          <w:color w:val="1A1A1C"/>
          <w:kern w:val="36"/>
          <w:sz w:val="24"/>
          <w:szCs w:val="24"/>
          <w:lang w:eastAsia="pl-PL"/>
        </w:rPr>
        <w:t>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Times New Roman" w:eastAsia="Times New Roman" w:hAnsi="Times New Roman" w:cs="Times New Roman"/>
          <w:color w:val="1A1A1C"/>
          <w:kern w:val="36"/>
          <w:sz w:val="24"/>
          <w:szCs w:val="24"/>
          <w:lang w:eastAsia="pl-PL"/>
        </w:rPr>
        <w:t xml:space="preserve"> </w:t>
      </w:r>
      <w:r w:rsidRPr="00906BE8">
        <w:rPr>
          <w:rFonts w:ascii="Times New Roman" w:eastAsia="Times New Roman" w:hAnsi="Times New Roman" w:cs="Times New Roman"/>
          <w:color w:val="1A1A1C"/>
          <w:kern w:val="36"/>
          <w:sz w:val="24"/>
          <w:szCs w:val="24"/>
          <w:lang w:eastAsia="pl-PL"/>
        </w:rPr>
        <w:t>(Dz.</w:t>
      </w:r>
      <w:r>
        <w:rPr>
          <w:rFonts w:ascii="Times New Roman" w:eastAsia="Times New Roman" w:hAnsi="Times New Roman" w:cs="Times New Roman"/>
          <w:color w:val="1A1A1C"/>
          <w:kern w:val="36"/>
          <w:sz w:val="24"/>
          <w:szCs w:val="24"/>
          <w:lang w:eastAsia="pl-PL"/>
        </w:rPr>
        <w:t xml:space="preserve"> </w:t>
      </w:r>
      <w:r w:rsidRPr="00906BE8">
        <w:rPr>
          <w:rFonts w:ascii="Times New Roman" w:eastAsia="Times New Roman" w:hAnsi="Times New Roman" w:cs="Times New Roman"/>
          <w:color w:val="1A1A1C"/>
          <w:kern w:val="36"/>
          <w:sz w:val="24"/>
          <w:szCs w:val="24"/>
          <w:lang w:eastAsia="pl-PL"/>
        </w:rPr>
        <w:t xml:space="preserve">Urz. UE L 119 z 04.05.2016, str. 1, z </w:t>
      </w:r>
      <w:proofErr w:type="spellStart"/>
      <w:r w:rsidRPr="00906BE8">
        <w:rPr>
          <w:rFonts w:ascii="Times New Roman" w:eastAsia="Times New Roman" w:hAnsi="Times New Roman" w:cs="Times New Roman"/>
          <w:color w:val="1A1A1C"/>
          <w:kern w:val="36"/>
          <w:sz w:val="24"/>
          <w:szCs w:val="24"/>
          <w:lang w:eastAsia="pl-PL"/>
        </w:rPr>
        <w:t>późn</w:t>
      </w:r>
      <w:proofErr w:type="spellEnd"/>
      <w:r w:rsidRPr="00906BE8">
        <w:rPr>
          <w:rFonts w:ascii="Times New Roman" w:eastAsia="Times New Roman" w:hAnsi="Times New Roman" w:cs="Times New Roman"/>
          <w:color w:val="1A1A1C"/>
          <w:kern w:val="36"/>
          <w:sz w:val="24"/>
          <w:szCs w:val="24"/>
          <w:lang w:eastAsia="pl-PL"/>
        </w:rPr>
        <w:t>. zm</w:t>
      </w:r>
      <w:r>
        <w:rPr>
          <w:rFonts w:ascii="Times New Roman" w:eastAsia="Times New Roman" w:hAnsi="Times New Roman" w:cs="Times New Roman"/>
          <w:color w:val="1A1A1C"/>
          <w:kern w:val="36"/>
          <w:sz w:val="24"/>
          <w:szCs w:val="24"/>
          <w:lang w:eastAsia="pl-PL"/>
        </w:rPr>
        <w:t>.).</w:t>
      </w:r>
    </w:p>
    <w:p w14:paraId="1B2E15DB" w14:textId="7794C3EF"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w:t>
      </w:r>
      <w:r w:rsidR="00257373">
        <w:rPr>
          <w:rFonts w:ascii="Times New Roman" w:hAnsi="Times New Roman" w:cs="Times New Roman"/>
          <w:b/>
          <w:bCs/>
          <w:sz w:val="24"/>
          <w:szCs w:val="24"/>
        </w:rPr>
        <w:t>0</w:t>
      </w:r>
      <w:r w:rsidRPr="00AB5AC1">
        <w:rPr>
          <w:rFonts w:ascii="Times New Roman" w:hAnsi="Times New Roman" w:cs="Times New Roman"/>
          <w:sz w:val="24"/>
          <w:szCs w:val="24"/>
        </w:rPr>
        <w:t>,</w:t>
      </w:r>
      <w:r w:rsidRPr="00CD594B">
        <w:rPr>
          <w:rFonts w:ascii="Times New Roman" w:hAnsi="Times New Roman" w:cs="Times New Roman"/>
          <w:sz w:val="24"/>
          <w:szCs w:val="24"/>
        </w:rPr>
        <w:t xml:space="preserve"> biorąc pod uwagę transgraniczny charakter usług w zakresie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przyznaje prawo Komisji lub jej upoważnianemu przedstawicielowi do przekazywania właściwym organom nadzoru nad rynkiem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innych państw członkowskich Unii Europejskiej oraz otrzymywania od tych organów informacji niezbędnych do prawidłowego wykonywania zadań w zakresie tego nadzoru, w tym zadań określonych w rozporządzeniu 2023/1114, lub zapewnienia prawidłowego toku postępowań sądowych, administracyjnych, karnych, wyjaśniających oraz kontrolnych w sprawach związanych z wykonywaniem tego nadzoru. Komisja </w:t>
      </w:r>
      <w:r>
        <w:rPr>
          <w:rFonts w:ascii="Times New Roman" w:hAnsi="Times New Roman" w:cs="Times New Roman"/>
          <w:sz w:val="24"/>
          <w:szCs w:val="24"/>
        </w:rPr>
        <w:t xml:space="preserve">co do zasady </w:t>
      </w:r>
      <w:r w:rsidRPr="00CD594B">
        <w:rPr>
          <w:rFonts w:ascii="Times New Roman" w:hAnsi="Times New Roman" w:cs="Times New Roman"/>
          <w:sz w:val="24"/>
          <w:szCs w:val="24"/>
        </w:rPr>
        <w:t xml:space="preserve">nie może wykorzystywać uzyskanych w ten sposób informacji w innych celach ani przekazywać ich do właściwych organów nadzoru innych państw, chyba że uzyska zgodę właściwego organu nadzoru nad rynkiem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z innego państwa członkowskiego Unii Europejskiej, od którego te informacje uzyskała. Ust. 2 uwzględnia również przypadek, gdy Komisja wyraża zgodę na dalsze przekazanie informacji przez nią udzielonych lub wykorzystanie informacji przez inny organ nadzoru do celów innych niż te, o których mowa w ust. 1 tego artykułu. Analogicznie do przepisów znajdujących się w ustawie o nadzorze nad rynkiem kapitałowym. Ust. 3 rozszerza brzmienie ust. 1, wskazując, że informacje uzyskane przez Komisję od organu nadzoru nad rynkiem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z innego państwa członkowskiego Unii Europejskiej, za zgodą tego organu, mogą być wykorzystywane w celach innych niż określone w ust. 1. Ust. 4 stanowi, że </w:t>
      </w:r>
      <w:bookmarkStart w:id="12" w:name="_Hlk190345114"/>
      <w:r w:rsidRPr="00CD594B">
        <w:rPr>
          <w:rFonts w:ascii="Times New Roman" w:hAnsi="Times New Roman" w:cs="Times New Roman"/>
          <w:sz w:val="24"/>
          <w:szCs w:val="24"/>
        </w:rPr>
        <w:t xml:space="preserve">zasady współpracy i wymiany informacji z właściwymi organami nadzoru nad rynkiem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z państw innych niż państwa członkowskie Unii Europejskiej określają porozumienia zawarte przez Komisję z tymi organami nadzoru</w:t>
      </w:r>
      <w:r>
        <w:rPr>
          <w:rFonts w:ascii="Times New Roman" w:hAnsi="Times New Roman" w:cs="Times New Roman"/>
          <w:sz w:val="24"/>
          <w:szCs w:val="24"/>
        </w:rPr>
        <w:t xml:space="preserve">, </w:t>
      </w:r>
      <w:bookmarkStart w:id="13" w:name="_Hlk190345081"/>
      <w:r>
        <w:rPr>
          <w:rFonts w:ascii="Times New Roman" w:hAnsi="Times New Roman" w:cs="Times New Roman"/>
          <w:sz w:val="24"/>
          <w:szCs w:val="24"/>
        </w:rPr>
        <w:t>zapewniając przy tym odpowiednią ochronę przekazywanych danych</w:t>
      </w:r>
      <w:r w:rsidRPr="00CD594B">
        <w:rPr>
          <w:rFonts w:ascii="Times New Roman" w:hAnsi="Times New Roman" w:cs="Times New Roman"/>
          <w:sz w:val="24"/>
          <w:szCs w:val="24"/>
        </w:rPr>
        <w:t>.</w:t>
      </w:r>
      <w:r w:rsidRPr="00E74780">
        <w:rPr>
          <w:rFonts w:ascii="Times New Roman" w:hAnsi="Times New Roman" w:cs="Arial"/>
          <w:sz w:val="24"/>
          <w:szCs w:val="20"/>
          <w:lang w:eastAsia="pl-PL"/>
        </w:rPr>
        <w:t xml:space="preserve"> </w:t>
      </w:r>
      <w:r>
        <w:rPr>
          <w:rFonts w:ascii="Times New Roman" w:hAnsi="Times New Roman" w:cs="Times New Roman"/>
          <w:sz w:val="24"/>
          <w:szCs w:val="24"/>
        </w:rPr>
        <w:t>P</w:t>
      </w:r>
      <w:r w:rsidRPr="00E74780">
        <w:rPr>
          <w:rFonts w:ascii="Times New Roman" w:hAnsi="Times New Roman" w:cs="Times New Roman"/>
          <w:sz w:val="24"/>
          <w:szCs w:val="24"/>
        </w:rPr>
        <w:t>rzepis dotyczy</w:t>
      </w:r>
      <w:r>
        <w:rPr>
          <w:rFonts w:ascii="Times New Roman" w:hAnsi="Times New Roman" w:cs="Times New Roman"/>
          <w:sz w:val="24"/>
          <w:szCs w:val="24"/>
        </w:rPr>
        <w:t xml:space="preserve"> tylko i wyłącznie</w:t>
      </w:r>
      <w:r w:rsidRPr="00E74780">
        <w:rPr>
          <w:rFonts w:ascii="Times New Roman" w:hAnsi="Times New Roman" w:cs="Times New Roman"/>
          <w:sz w:val="24"/>
          <w:szCs w:val="24"/>
        </w:rPr>
        <w:t xml:space="preserve"> właściwych organów</w:t>
      </w:r>
      <w:r>
        <w:rPr>
          <w:rFonts w:ascii="Times New Roman" w:hAnsi="Times New Roman" w:cs="Times New Roman"/>
          <w:sz w:val="24"/>
          <w:szCs w:val="24"/>
        </w:rPr>
        <w:t xml:space="preserve"> nadzoru</w:t>
      </w:r>
      <w:r w:rsidRPr="00E74780">
        <w:rPr>
          <w:rFonts w:ascii="Times New Roman" w:hAnsi="Times New Roman" w:cs="Times New Roman"/>
          <w:sz w:val="24"/>
          <w:szCs w:val="24"/>
        </w:rPr>
        <w:t xml:space="preserve"> </w:t>
      </w:r>
      <w:r>
        <w:rPr>
          <w:rFonts w:ascii="Times New Roman" w:hAnsi="Times New Roman" w:cs="Times New Roman"/>
          <w:sz w:val="24"/>
          <w:szCs w:val="24"/>
        </w:rPr>
        <w:t xml:space="preserve">odpowiedników </w:t>
      </w:r>
      <w:r w:rsidRPr="00E74780">
        <w:rPr>
          <w:rFonts w:ascii="Times New Roman" w:hAnsi="Times New Roman" w:cs="Times New Roman"/>
          <w:sz w:val="24"/>
          <w:szCs w:val="24"/>
        </w:rPr>
        <w:t>K</w:t>
      </w:r>
      <w:r>
        <w:rPr>
          <w:rFonts w:ascii="Times New Roman" w:hAnsi="Times New Roman" w:cs="Times New Roman"/>
          <w:sz w:val="24"/>
          <w:szCs w:val="24"/>
        </w:rPr>
        <w:t xml:space="preserve">omisji lub </w:t>
      </w:r>
      <w:r w:rsidRPr="00E74780">
        <w:rPr>
          <w:rFonts w:ascii="Times New Roman" w:hAnsi="Times New Roman" w:cs="Times New Roman"/>
          <w:sz w:val="24"/>
          <w:szCs w:val="24"/>
        </w:rPr>
        <w:t>bank</w:t>
      </w:r>
      <w:r>
        <w:rPr>
          <w:rFonts w:ascii="Times New Roman" w:hAnsi="Times New Roman" w:cs="Times New Roman"/>
          <w:sz w:val="24"/>
          <w:szCs w:val="24"/>
        </w:rPr>
        <w:t>ów</w:t>
      </w:r>
      <w:r w:rsidRPr="00E74780">
        <w:rPr>
          <w:rFonts w:ascii="Times New Roman" w:hAnsi="Times New Roman" w:cs="Times New Roman"/>
          <w:sz w:val="24"/>
          <w:szCs w:val="24"/>
        </w:rPr>
        <w:t xml:space="preserve"> </w:t>
      </w:r>
      <w:r>
        <w:rPr>
          <w:rFonts w:ascii="Times New Roman" w:hAnsi="Times New Roman" w:cs="Times New Roman"/>
          <w:sz w:val="24"/>
          <w:szCs w:val="24"/>
        </w:rPr>
        <w:t>centralnych, które są zobowiązane przepisami o ochronie danych osobowych.</w:t>
      </w:r>
      <w:bookmarkEnd w:id="13"/>
    </w:p>
    <w:bookmarkEnd w:id="12"/>
    <w:p w14:paraId="52092848" w14:textId="4B010929"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w:t>
      </w:r>
      <w:r w:rsidR="00257373">
        <w:rPr>
          <w:rFonts w:ascii="Times New Roman" w:hAnsi="Times New Roman" w:cs="Times New Roman"/>
          <w:b/>
          <w:bCs/>
          <w:sz w:val="24"/>
          <w:szCs w:val="24"/>
        </w:rPr>
        <w:t>1</w:t>
      </w:r>
      <w:r w:rsidRPr="00CD594B">
        <w:rPr>
          <w:rFonts w:ascii="Times New Roman" w:hAnsi="Times New Roman" w:cs="Times New Roman"/>
          <w:sz w:val="24"/>
          <w:szCs w:val="24"/>
        </w:rPr>
        <w:t xml:space="preserve"> stanowi, że informacje uzyskane przez Komisję,</w:t>
      </w:r>
      <w:r w:rsidRPr="00412181">
        <w:t xml:space="preserve"> </w:t>
      </w:r>
      <w:r w:rsidRPr="00CD594B">
        <w:rPr>
          <w:rFonts w:ascii="Times New Roman" w:hAnsi="Times New Roman" w:cs="Times New Roman"/>
          <w:sz w:val="24"/>
          <w:szCs w:val="24"/>
        </w:rPr>
        <w:t xml:space="preserve">zgodnie z art. </w:t>
      </w:r>
      <w:r>
        <w:rPr>
          <w:rFonts w:ascii="Times New Roman" w:hAnsi="Times New Roman" w:cs="Times New Roman"/>
          <w:sz w:val="24"/>
          <w:szCs w:val="24"/>
        </w:rPr>
        <w:t>21 pkt 7 i 8</w:t>
      </w:r>
      <w:r w:rsidRPr="00CD594B">
        <w:rPr>
          <w:rFonts w:ascii="Times New Roman" w:hAnsi="Times New Roman" w:cs="Times New Roman"/>
          <w:sz w:val="24"/>
          <w:szCs w:val="24"/>
        </w:rPr>
        <w:t>, art.</w:t>
      </w:r>
      <w:r>
        <w:rPr>
          <w:rFonts w:ascii="Times New Roman" w:hAnsi="Times New Roman" w:cs="Times New Roman"/>
          <w:sz w:val="24"/>
          <w:szCs w:val="24"/>
        </w:rPr>
        <w:t> </w:t>
      </w:r>
      <w:r w:rsidR="00257373">
        <w:rPr>
          <w:rFonts w:ascii="Times New Roman" w:hAnsi="Times New Roman" w:cs="Times New Roman"/>
          <w:sz w:val="24"/>
          <w:szCs w:val="24"/>
        </w:rPr>
        <w:t>59</w:t>
      </w:r>
      <w:r w:rsidRPr="00CD594B">
        <w:rPr>
          <w:rFonts w:ascii="Times New Roman" w:hAnsi="Times New Roman" w:cs="Times New Roman"/>
          <w:sz w:val="24"/>
          <w:szCs w:val="24"/>
        </w:rPr>
        <w:t xml:space="preserve"> i art. </w:t>
      </w:r>
      <w:r>
        <w:rPr>
          <w:rFonts w:ascii="Times New Roman" w:hAnsi="Times New Roman" w:cs="Times New Roman"/>
          <w:sz w:val="24"/>
          <w:szCs w:val="24"/>
        </w:rPr>
        <w:t>6</w:t>
      </w:r>
      <w:r w:rsidR="00257373">
        <w:rPr>
          <w:rFonts w:ascii="Times New Roman" w:hAnsi="Times New Roman" w:cs="Times New Roman"/>
          <w:sz w:val="24"/>
          <w:szCs w:val="24"/>
        </w:rPr>
        <w:t>0</w:t>
      </w:r>
      <w:r w:rsidRPr="00CD594B">
        <w:rPr>
          <w:rFonts w:ascii="Times New Roman" w:hAnsi="Times New Roman" w:cs="Times New Roman"/>
          <w:sz w:val="24"/>
          <w:szCs w:val="24"/>
        </w:rPr>
        <w:t xml:space="preserve"> ust. </w:t>
      </w:r>
      <w:r>
        <w:rPr>
          <w:rFonts w:ascii="Times New Roman" w:hAnsi="Times New Roman" w:cs="Times New Roman"/>
          <w:sz w:val="24"/>
          <w:szCs w:val="24"/>
        </w:rPr>
        <w:t>3</w:t>
      </w:r>
      <w:r w:rsidRPr="00CD594B">
        <w:rPr>
          <w:rFonts w:ascii="Times New Roman" w:hAnsi="Times New Roman" w:cs="Times New Roman"/>
          <w:sz w:val="24"/>
          <w:szCs w:val="24"/>
        </w:rPr>
        <w:t xml:space="preserve"> ustawy oraz art. 95 rozporządzenia 2023/1114, mogą być wykorzystywane wyłącznie do wykonywania ustawowych zadań w zakresie nadzoru nad rynkiem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chyba że przepisy prawa stanowią inaczej. W szczególności informacje te mogą stanowić dowód w postępowaniu administracyjnym prowadzonym przez Komisję.</w:t>
      </w:r>
    </w:p>
    <w:p w14:paraId="445B3510" w14:textId="179B100A" w:rsidR="00C21D4B" w:rsidRPr="00FB7ABA" w:rsidRDefault="00C21D4B" w:rsidP="00FB7ABA">
      <w:pPr>
        <w:pStyle w:val="Akapitzlist"/>
        <w:spacing w:line="360" w:lineRule="auto"/>
        <w:jc w:val="both"/>
        <w:rPr>
          <w:rFonts w:ascii="Times New Roman" w:hAnsi="Times New Roman" w:cs="Times New Roman"/>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w:t>
      </w:r>
      <w:r w:rsidR="00257373">
        <w:rPr>
          <w:rFonts w:ascii="Times New Roman" w:hAnsi="Times New Roman" w:cs="Times New Roman"/>
          <w:b/>
          <w:bCs/>
          <w:sz w:val="24"/>
          <w:szCs w:val="24"/>
        </w:rPr>
        <w:t>2</w:t>
      </w:r>
      <w:r w:rsidRPr="00CD594B">
        <w:rPr>
          <w:rFonts w:ascii="Times New Roman" w:hAnsi="Times New Roman" w:cs="Times New Roman"/>
          <w:sz w:val="24"/>
          <w:szCs w:val="24"/>
        </w:rPr>
        <w:t xml:space="preserve"> wyposaża Przewodniczącego Komisji w uprawnienie, o którym mowa w art. 38 ust. 5 pkt 1 ustawy o nadzorze nad rynkiem kapitałowym. </w:t>
      </w:r>
      <w:r w:rsidRPr="00FB7ABA">
        <w:rPr>
          <w:rFonts w:ascii="Times New Roman" w:hAnsi="Times New Roman" w:cs="Times New Roman"/>
          <w:sz w:val="24"/>
          <w:szCs w:val="24"/>
        </w:rPr>
        <w:t xml:space="preserve">Oznacza to możliwość zażądania od podmiotu świadczącego usługi telekomunikacyjne udostępnienia informacji, stanowiących tajemnicę telekomunikacyjną w zakresie wykazu połączeń telefonicznych lub innych przekazów informacji, dotyczących podmiotu dokonującego czynności faktycznych lub prawnych mających związek z wyjaśnianymi faktami, z uwzględnieniem danych abonenta pozwalających na jego identyfikację, czasu ich dokonania i innych informacji związanych z połączeniem lub przekazem, niestanowiących treści przekazu. Z przedmiotowego uprawnienia Przewodniczący Komisji będzie mógł skorzystać </w:t>
      </w:r>
      <w:r w:rsidR="00FB7ABA">
        <w:rPr>
          <w:rFonts w:ascii="Times New Roman" w:hAnsi="Times New Roman" w:cs="Times New Roman"/>
          <w:sz w:val="24"/>
          <w:szCs w:val="24"/>
        </w:rPr>
        <w:t xml:space="preserve">wyjątkowo </w:t>
      </w:r>
      <w:r w:rsidRPr="00FB7ABA">
        <w:rPr>
          <w:rFonts w:ascii="Times New Roman" w:hAnsi="Times New Roman" w:cs="Times New Roman"/>
          <w:sz w:val="24"/>
          <w:szCs w:val="24"/>
        </w:rPr>
        <w:t>w</w:t>
      </w:r>
      <w:r w:rsidR="00FB7ABA">
        <w:rPr>
          <w:rFonts w:ascii="Times New Roman" w:hAnsi="Times New Roman" w:cs="Times New Roman"/>
          <w:sz w:val="24"/>
          <w:szCs w:val="24"/>
        </w:rPr>
        <w:t xml:space="preserve"> ramach </w:t>
      </w:r>
      <w:r w:rsidRPr="00FB7ABA">
        <w:rPr>
          <w:rFonts w:ascii="Times New Roman" w:hAnsi="Times New Roman" w:cs="Times New Roman"/>
          <w:sz w:val="24"/>
          <w:szCs w:val="24"/>
        </w:rPr>
        <w:t xml:space="preserve"> postępowaniu wyjaśniając</w:t>
      </w:r>
      <w:r w:rsidR="00FB7ABA">
        <w:rPr>
          <w:rFonts w:ascii="Times New Roman" w:hAnsi="Times New Roman" w:cs="Times New Roman"/>
          <w:sz w:val="24"/>
          <w:szCs w:val="24"/>
        </w:rPr>
        <w:t xml:space="preserve">ego </w:t>
      </w:r>
      <w:r w:rsidRPr="00D46025">
        <w:rPr>
          <w:rFonts w:ascii="Times New Roman" w:hAnsi="Times New Roman" w:cs="Times New Roman"/>
          <w:sz w:val="24"/>
          <w:szCs w:val="24"/>
        </w:rPr>
        <w:t>prowadzon</w:t>
      </w:r>
      <w:r w:rsidR="00FB7ABA">
        <w:rPr>
          <w:rFonts w:ascii="Times New Roman" w:hAnsi="Times New Roman" w:cs="Times New Roman"/>
          <w:sz w:val="24"/>
          <w:szCs w:val="24"/>
        </w:rPr>
        <w:t>ego</w:t>
      </w:r>
      <w:r w:rsidRPr="00D46025">
        <w:rPr>
          <w:rFonts w:ascii="Times New Roman" w:hAnsi="Times New Roman" w:cs="Times New Roman"/>
          <w:sz w:val="24"/>
          <w:szCs w:val="24"/>
        </w:rPr>
        <w:t xml:space="preserve"> w celu ustalenia czy istnieją podstawy do złożenia zawiadomienia o podejrzeniu popełnienia przestępstwa w zakresie dotyczącym czynów skierowanych przeciwko interesom uczestników rynku </w:t>
      </w:r>
      <w:proofErr w:type="spellStart"/>
      <w:r w:rsidRPr="00D46025">
        <w:rPr>
          <w:rFonts w:ascii="Times New Roman" w:hAnsi="Times New Roman" w:cs="Times New Roman"/>
          <w:sz w:val="24"/>
          <w:szCs w:val="24"/>
        </w:rPr>
        <w:t>kryptoaktywów</w:t>
      </w:r>
      <w:proofErr w:type="spellEnd"/>
      <w:r w:rsidRPr="00D46025">
        <w:rPr>
          <w:rFonts w:ascii="Times New Roman" w:hAnsi="Times New Roman" w:cs="Times New Roman"/>
          <w:sz w:val="24"/>
          <w:szCs w:val="24"/>
        </w:rPr>
        <w:t xml:space="preserve">, pozostających w związku z działalnością podmiotów nadzorowanych, lub do wszczęcia postępowania administracyjnego w sprawie naruszeń przepisów art. 88−92 rozporządzenia 2023/1114. Organ nadzoru powinien móc zażądać wydania istniejących rejestrów </w:t>
      </w:r>
      <w:proofErr w:type="spellStart"/>
      <w:r w:rsidRPr="00D46025">
        <w:rPr>
          <w:rFonts w:ascii="Times New Roman" w:hAnsi="Times New Roman" w:cs="Times New Roman"/>
          <w:sz w:val="24"/>
          <w:szCs w:val="24"/>
        </w:rPr>
        <w:t>przesyłu</w:t>
      </w:r>
      <w:proofErr w:type="spellEnd"/>
      <w:r w:rsidRPr="00D46025">
        <w:rPr>
          <w:rFonts w:ascii="Times New Roman" w:hAnsi="Times New Roman" w:cs="Times New Roman"/>
          <w:sz w:val="24"/>
          <w:szCs w:val="24"/>
        </w:rPr>
        <w:t xml:space="preserve"> danych przechowywanych przez operatora telekomunikacyjnego.</w:t>
      </w:r>
      <w:r w:rsidRPr="00D459AD">
        <w:t xml:space="preserve"> </w:t>
      </w:r>
      <w:r w:rsidRPr="00FB7ABA">
        <w:rPr>
          <w:rFonts w:ascii="Times New Roman" w:hAnsi="Times New Roman" w:cs="Times New Roman"/>
          <w:sz w:val="24"/>
          <w:szCs w:val="24"/>
        </w:rPr>
        <w:t>Analogiczne uprawnienia dla Przewodniczącego Komisji są przewidziane w art. 38 ustawy o nadzorze nad rynkiem kapitałowym. Uprawnienie to jest stosowane w postępowaniu wyjaśniającym, które jest uregulowane w ustawie z dnia 21 lipca 2006 r. o nadzorze nad rynkiem finans</w:t>
      </w:r>
      <w:r w:rsidR="00D92F69" w:rsidRPr="00FB7ABA">
        <w:rPr>
          <w:rFonts w:ascii="Times New Roman" w:hAnsi="Times New Roman" w:cs="Times New Roman"/>
          <w:sz w:val="24"/>
          <w:szCs w:val="24"/>
        </w:rPr>
        <w:t>owym</w:t>
      </w:r>
      <w:r w:rsidRPr="00FB7ABA">
        <w:rPr>
          <w:rFonts w:ascii="Times New Roman" w:hAnsi="Times New Roman" w:cs="Times New Roman"/>
          <w:sz w:val="24"/>
          <w:szCs w:val="24"/>
        </w:rPr>
        <w:t>, zwanej dalej „ustawą o nadzorze nad rynkiem finansowym”. Zgodnie z art. 18a ust. 1 tej ustawy, Przewodniczący Komisji może zarządzić przeprowadzenie postępowania wyjaśniającego. Do postępowania nie stosuje się przepisów KPA, chyba że przepisy rozdziału szóstego tej ustawy stanowią inaczej.</w:t>
      </w:r>
    </w:p>
    <w:p w14:paraId="69489ED0" w14:textId="4672D486" w:rsidR="0082573E" w:rsidRDefault="00C21D4B" w:rsidP="00693025">
      <w:pPr>
        <w:spacing w:after="0" w:line="360" w:lineRule="auto"/>
        <w:ind w:left="720"/>
        <w:jc w:val="both"/>
        <w:rPr>
          <w:rFonts w:ascii="Times New Roman" w:eastAsia="Aptos" w:hAnsi="Times New Roman" w:cs="Times New Roman"/>
          <w:sz w:val="24"/>
          <w:szCs w:val="24"/>
          <w:shd w:val="clear" w:color="auto" w:fill="FFFFFF"/>
        </w:rPr>
      </w:pPr>
      <w:r w:rsidRPr="004F51D3">
        <w:rPr>
          <w:rFonts w:ascii="Times New Roman" w:hAnsi="Times New Roman" w:cs="Times New Roman"/>
          <w:b/>
          <w:bCs/>
          <w:sz w:val="24"/>
          <w:szCs w:val="24"/>
        </w:rPr>
        <w:t>Art. 6</w:t>
      </w:r>
      <w:r w:rsidR="00257373" w:rsidRPr="004F51D3">
        <w:rPr>
          <w:rFonts w:ascii="Times New Roman" w:hAnsi="Times New Roman" w:cs="Times New Roman"/>
          <w:b/>
          <w:bCs/>
          <w:sz w:val="24"/>
          <w:szCs w:val="24"/>
        </w:rPr>
        <w:t>3</w:t>
      </w:r>
      <w:r w:rsidR="00695ECE" w:rsidRPr="004F51D3">
        <w:rPr>
          <w:rFonts w:ascii="Times New Roman" w:hAnsi="Times New Roman" w:cs="Times New Roman"/>
          <w:b/>
          <w:bCs/>
          <w:sz w:val="24"/>
          <w:szCs w:val="24"/>
        </w:rPr>
        <w:t>–</w:t>
      </w:r>
      <w:r w:rsidRPr="004F51D3">
        <w:rPr>
          <w:rFonts w:ascii="Times New Roman" w:hAnsi="Times New Roman" w:cs="Times New Roman"/>
          <w:b/>
          <w:bCs/>
          <w:sz w:val="24"/>
          <w:szCs w:val="24"/>
        </w:rPr>
        <w:t>6</w:t>
      </w:r>
      <w:r w:rsidR="00257373" w:rsidRPr="004F51D3">
        <w:rPr>
          <w:rFonts w:ascii="Times New Roman" w:hAnsi="Times New Roman" w:cs="Times New Roman"/>
          <w:b/>
          <w:bCs/>
          <w:sz w:val="24"/>
          <w:szCs w:val="24"/>
        </w:rPr>
        <w:t>6</w:t>
      </w:r>
      <w:r w:rsidRPr="004F51D3">
        <w:rPr>
          <w:rFonts w:ascii="Times New Roman" w:hAnsi="Times New Roman" w:cs="Times New Roman"/>
          <w:sz w:val="24"/>
          <w:szCs w:val="24"/>
        </w:rPr>
        <w:t xml:space="preserve"> </w:t>
      </w:r>
      <w:r w:rsidRPr="0054570C">
        <w:rPr>
          <w:rFonts w:ascii="Times New Roman" w:hAnsi="Times New Roman" w:cs="Times New Roman"/>
          <w:sz w:val="24"/>
          <w:szCs w:val="24"/>
        </w:rPr>
        <w:t xml:space="preserve">przyznają Przewodniczącemu Komisji uprawnienie do wystąpienia do dostawcy usług w zakresie </w:t>
      </w:r>
      <w:proofErr w:type="spellStart"/>
      <w:r w:rsidRPr="0054570C">
        <w:rPr>
          <w:rFonts w:ascii="Times New Roman" w:hAnsi="Times New Roman" w:cs="Times New Roman"/>
          <w:sz w:val="24"/>
          <w:szCs w:val="24"/>
        </w:rPr>
        <w:t>kryptoaktywów</w:t>
      </w:r>
      <w:proofErr w:type="spellEnd"/>
      <w:r w:rsidRPr="0054570C">
        <w:rPr>
          <w:rFonts w:ascii="Times New Roman" w:hAnsi="Times New Roman" w:cs="Times New Roman"/>
          <w:sz w:val="24"/>
          <w:szCs w:val="24"/>
        </w:rPr>
        <w:t xml:space="preserve">, z pisemnym żądaniem dokonania blokady rachunku </w:t>
      </w:r>
      <w:proofErr w:type="spellStart"/>
      <w:r w:rsidRPr="0054570C">
        <w:rPr>
          <w:rFonts w:ascii="Times New Roman" w:hAnsi="Times New Roman" w:cs="Times New Roman"/>
          <w:sz w:val="24"/>
          <w:szCs w:val="24"/>
        </w:rPr>
        <w:t>kryptoaktywów</w:t>
      </w:r>
      <w:proofErr w:type="spellEnd"/>
      <w:r w:rsidRPr="0054570C">
        <w:rPr>
          <w:rFonts w:ascii="Times New Roman" w:hAnsi="Times New Roman" w:cs="Times New Roman"/>
          <w:sz w:val="24"/>
          <w:szCs w:val="24"/>
        </w:rPr>
        <w:t xml:space="preserve"> lub rachunku pieniężnego, </w:t>
      </w:r>
      <w:r w:rsidRPr="004F51D3">
        <w:rPr>
          <w:rFonts w:ascii="Times New Roman" w:hAnsi="Times New Roman" w:cs="Times New Roman"/>
          <w:sz w:val="24"/>
          <w:szCs w:val="24"/>
        </w:rPr>
        <w:t xml:space="preserve">o którym mowa w art. 13 ust. 2 projektowanej ustawy, prowadzonego przez ten podmiot, na okres nie dłuższy niż 96 godzin od momentu otrzymania żądania, w przypadku uzasadnionego podejrzenia naruszenia art. 89 ust. 2 lub 3 lub art. 90 ust. 1, lub art. 91 ust. 1 rozporządzenia 2023/1114. Przedmiotowe żądanie ma mieć na celu zapobieżenie wykorzystywaniu informacji poufnej lub manipulacji lub usiłowaniu manipulacji na rynku </w:t>
      </w:r>
      <w:proofErr w:type="spellStart"/>
      <w:r w:rsidRPr="004F51D3">
        <w:rPr>
          <w:rFonts w:ascii="Times New Roman" w:hAnsi="Times New Roman" w:cs="Times New Roman"/>
          <w:sz w:val="24"/>
          <w:szCs w:val="24"/>
        </w:rPr>
        <w:t>kryptoaktywów</w:t>
      </w:r>
      <w:proofErr w:type="spellEnd"/>
      <w:r w:rsidRPr="004F51D3">
        <w:rPr>
          <w:rFonts w:ascii="Times New Roman" w:hAnsi="Times New Roman" w:cs="Times New Roman"/>
          <w:sz w:val="24"/>
          <w:szCs w:val="24"/>
        </w:rPr>
        <w:t xml:space="preserve">. Blokada rachunku </w:t>
      </w:r>
      <w:proofErr w:type="spellStart"/>
      <w:r w:rsidRPr="004F51D3">
        <w:rPr>
          <w:rFonts w:ascii="Times New Roman" w:hAnsi="Times New Roman" w:cs="Times New Roman"/>
          <w:sz w:val="24"/>
          <w:szCs w:val="24"/>
        </w:rPr>
        <w:t>kryptoaktywów</w:t>
      </w:r>
      <w:proofErr w:type="spellEnd"/>
      <w:r w:rsidRPr="004F51D3">
        <w:rPr>
          <w:rFonts w:ascii="Times New Roman" w:hAnsi="Times New Roman" w:cs="Times New Roman"/>
          <w:sz w:val="24"/>
          <w:szCs w:val="24"/>
        </w:rPr>
        <w:t xml:space="preserve"> lub rachunku pieniężnego skutkuje uniemożliwieniem dysponowania i korzystania z całości lub części </w:t>
      </w:r>
      <w:proofErr w:type="spellStart"/>
      <w:r w:rsidRPr="004F51D3">
        <w:rPr>
          <w:rFonts w:ascii="Times New Roman" w:hAnsi="Times New Roman" w:cs="Times New Roman"/>
          <w:sz w:val="24"/>
          <w:szCs w:val="24"/>
        </w:rPr>
        <w:t>kryptoaktywów</w:t>
      </w:r>
      <w:proofErr w:type="spellEnd"/>
      <w:r w:rsidRPr="004F51D3">
        <w:rPr>
          <w:rFonts w:ascii="Times New Roman" w:hAnsi="Times New Roman" w:cs="Times New Roman"/>
          <w:sz w:val="24"/>
          <w:szCs w:val="24"/>
        </w:rPr>
        <w:t xml:space="preserve"> lub środków pieniężnych objętych blokadą, w tym również przez dostawcę usług w zakresie </w:t>
      </w:r>
      <w:proofErr w:type="spellStart"/>
      <w:r w:rsidRPr="004F51D3">
        <w:rPr>
          <w:rFonts w:ascii="Times New Roman" w:hAnsi="Times New Roman" w:cs="Times New Roman"/>
          <w:sz w:val="24"/>
          <w:szCs w:val="24"/>
        </w:rPr>
        <w:t>kryptoaktywów</w:t>
      </w:r>
      <w:proofErr w:type="spellEnd"/>
      <w:r w:rsidRPr="004F51D3">
        <w:rPr>
          <w:rFonts w:ascii="Times New Roman" w:hAnsi="Times New Roman" w:cs="Times New Roman"/>
          <w:sz w:val="24"/>
          <w:szCs w:val="24"/>
        </w:rPr>
        <w:t xml:space="preserve">, z wyłączeniem dokonania rozliczeń w </w:t>
      </w:r>
      <w:proofErr w:type="spellStart"/>
      <w:r w:rsidRPr="004F51D3">
        <w:rPr>
          <w:rFonts w:ascii="Times New Roman" w:hAnsi="Times New Roman" w:cs="Times New Roman"/>
          <w:sz w:val="24"/>
          <w:szCs w:val="24"/>
        </w:rPr>
        <w:t>kryptoaktywach</w:t>
      </w:r>
      <w:proofErr w:type="spellEnd"/>
      <w:r w:rsidRPr="004F51D3">
        <w:rPr>
          <w:rFonts w:ascii="Times New Roman" w:hAnsi="Times New Roman" w:cs="Times New Roman"/>
          <w:sz w:val="24"/>
          <w:szCs w:val="24"/>
        </w:rPr>
        <w:t xml:space="preserve"> wynikających z transakcji zawartych i zobowiązań zaciągniętych przed otrzymaniem ww. żądania. Blokada ta nie polega jednak na zablokowaniu rachunku bankowego, jaką możliwość daje instytucja wstrzymania transakcji i blokady środków na rachunkach bankowych dokonana na podstawie art. 106a ustawy – Prawo bankowe (są to odrębne rozwiązania). Blokadę rachunku </w:t>
      </w:r>
      <w:proofErr w:type="spellStart"/>
      <w:r w:rsidRPr="004F51D3">
        <w:rPr>
          <w:rFonts w:ascii="Times New Roman" w:hAnsi="Times New Roman" w:cs="Times New Roman"/>
          <w:sz w:val="24"/>
          <w:szCs w:val="24"/>
        </w:rPr>
        <w:t>kryptoaktywów</w:t>
      </w:r>
      <w:proofErr w:type="spellEnd"/>
      <w:r w:rsidRPr="004F51D3">
        <w:rPr>
          <w:rFonts w:ascii="Times New Roman" w:hAnsi="Times New Roman" w:cs="Times New Roman"/>
          <w:sz w:val="24"/>
          <w:szCs w:val="24"/>
        </w:rPr>
        <w:t xml:space="preserve"> lub rachunku pieniężnego oraz wstrzymanie transakcji, należy traktować jako odrębną blokadę od istniejącej blokady rachunków bankowych dokonywanej na podstawie art. 106a ustawy </w:t>
      </w:r>
      <w:r w:rsidRPr="004F51D3">
        <w:rPr>
          <w:rFonts w:ascii="Times New Roman" w:hAnsi="Times New Roman" w:cs="Times New Roman"/>
          <w:sz w:val="24"/>
          <w:szCs w:val="24"/>
        </w:rPr>
        <w:sym w:font="Symbol" w:char="F02D"/>
      </w:r>
      <w:r w:rsidRPr="004F51D3">
        <w:rPr>
          <w:rFonts w:ascii="Times New Roman" w:hAnsi="Times New Roman" w:cs="Times New Roman"/>
          <w:sz w:val="24"/>
          <w:szCs w:val="24"/>
        </w:rPr>
        <w:t xml:space="preserve"> Prawo bankowe, tym samym nie jest właściwe zestawianie tych dwóch różnych instrumentów blokady na jednakowym poziomie zastosowania. </w:t>
      </w:r>
      <w:r w:rsidRPr="004F51D3">
        <w:rPr>
          <w:rFonts w:ascii="Times New Roman" w:hAnsi="Times New Roman"/>
          <w:sz w:val="24"/>
        </w:rPr>
        <w:t xml:space="preserve">Dostawca usług w zakresie </w:t>
      </w:r>
      <w:proofErr w:type="spellStart"/>
      <w:r w:rsidRPr="004F51D3">
        <w:rPr>
          <w:rFonts w:ascii="Times New Roman" w:hAnsi="Times New Roman"/>
          <w:sz w:val="24"/>
        </w:rPr>
        <w:t>kryptoaktywów</w:t>
      </w:r>
      <w:proofErr w:type="spellEnd"/>
      <w:r w:rsidRPr="004F51D3">
        <w:rPr>
          <w:rFonts w:ascii="Times New Roman" w:hAnsi="Times New Roman"/>
          <w:sz w:val="24"/>
        </w:rPr>
        <w:t xml:space="preserve"> </w:t>
      </w:r>
      <w:r w:rsidRPr="004F51D3">
        <w:rPr>
          <w:rFonts w:ascii="Times New Roman" w:hAnsi="Times New Roman" w:cs="Times New Roman"/>
          <w:sz w:val="24"/>
          <w:szCs w:val="24"/>
        </w:rPr>
        <w:t xml:space="preserve">zobowiązany będzie do niezwłocznego dokonania blokady ww. rachunku po otrzymaniu </w:t>
      </w:r>
      <w:r w:rsidRPr="004F51D3">
        <w:rPr>
          <w:rFonts w:ascii="Times New Roman" w:hAnsi="Times New Roman"/>
          <w:sz w:val="24"/>
        </w:rPr>
        <w:t>żądani</w:t>
      </w:r>
      <w:r w:rsidRPr="004F51D3">
        <w:rPr>
          <w:rFonts w:ascii="Times New Roman" w:hAnsi="Times New Roman" w:cs="Times New Roman"/>
          <w:sz w:val="24"/>
          <w:szCs w:val="24"/>
        </w:rPr>
        <w:t>a. Żądanie będzie dokonywane w formie pisma skierowanego do dostawcy. Blokada ma na celu natychmiastowe zablokowanie rachunków, z których podejrzewane jest prowadzenie manipulacji albo transakcji z wykorzystaniem informacji poufnej</w:t>
      </w:r>
      <w:r w:rsidR="008C3657" w:rsidRPr="004F51D3">
        <w:rPr>
          <w:rFonts w:ascii="Times New Roman" w:hAnsi="Times New Roman" w:cs="Times New Roman"/>
          <w:sz w:val="24"/>
          <w:szCs w:val="24"/>
        </w:rPr>
        <w:t xml:space="preserve">. </w:t>
      </w:r>
      <w:r w:rsidRPr="004F51D3">
        <w:rPr>
          <w:rFonts w:ascii="Times New Roman" w:hAnsi="Times New Roman" w:cs="Times New Roman"/>
          <w:sz w:val="24"/>
          <w:szCs w:val="24"/>
        </w:rPr>
        <w:t xml:space="preserve">Przepisy określają również, że </w:t>
      </w:r>
      <w:r w:rsidRPr="004F51D3">
        <w:rPr>
          <w:rFonts w:ascii="Times New Roman" w:hAnsi="Times New Roman"/>
          <w:sz w:val="24"/>
        </w:rPr>
        <w:t>żądanie</w:t>
      </w:r>
      <w:r w:rsidRPr="004F51D3">
        <w:rPr>
          <w:rFonts w:ascii="Times New Roman" w:hAnsi="Times New Roman" w:cs="Times New Roman"/>
          <w:sz w:val="24"/>
          <w:szCs w:val="24"/>
        </w:rPr>
        <w:t xml:space="preserve"> Przewodniczącego Komisji powinno zawierać datę wydania żądania, określać zakres, sposób i okres dokonania blokady, a także uzasadnienie. Żądanie to powinno być opatrzone podpisem własnoręcznym lub kwalifikowanym podpisem elektronicznym. Istotne jest również wskazanie, że dokonanie blokady wyłącza odpowiedzialność dyscyplinarną, cywilną, karną oraz inną określoną odrębnymi przepisami dostawcy usług w zakresie </w:t>
      </w:r>
      <w:proofErr w:type="spellStart"/>
      <w:r w:rsidRPr="004F51D3">
        <w:rPr>
          <w:rFonts w:ascii="Times New Roman" w:hAnsi="Times New Roman" w:cs="Times New Roman"/>
          <w:sz w:val="24"/>
          <w:szCs w:val="24"/>
        </w:rPr>
        <w:t>kryptoaktywów</w:t>
      </w:r>
      <w:proofErr w:type="spellEnd"/>
      <w:r w:rsidRPr="004F51D3">
        <w:rPr>
          <w:rFonts w:ascii="Times New Roman" w:hAnsi="Times New Roman" w:cs="Times New Roman"/>
          <w:sz w:val="24"/>
          <w:szCs w:val="24"/>
        </w:rPr>
        <w:t xml:space="preserve"> oraz osób działających w jego imieniu. </w:t>
      </w:r>
      <w:r w:rsidR="001A28A5" w:rsidRPr="004F51D3">
        <w:rPr>
          <w:rFonts w:ascii="Times New Roman" w:eastAsia="Aptos" w:hAnsi="Times New Roman" w:cs="Times New Roman"/>
          <w:sz w:val="24"/>
          <w:szCs w:val="24"/>
          <w:shd w:val="clear" w:color="auto" w:fill="FFFFFF"/>
        </w:rPr>
        <w:t xml:space="preserve">W zakresie blokady rachunku </w:t>
      </w:r>
      <w:proofErr w:type="spellStart"/>
      <w:r w:rsidR="001A28A5" w:rsidRPr="004F51D3">
        <w:rPr>
          <w:rFonts w:ascii="Times New Roman" w:eastAsia="Aptos" w:hAnsi="Times New Roman" w:cs="Times New Roman"/>
          <w:sz w:val="24"/>
          <w:szCs w:val="24"/>
          <w:shd w:val="clear" w:color="auto" w:fill="FFFFFF"/>
        </w:rPr>
        <w:t>kryptoaktywów</w:t>
      </w:r>
      <w:proofErr w:type="spellEnd"/>
      <w:r w:rsidR="001A28A5" w:rsidRPr="004F51D3">
        <w:rPr>
          <w:rFonts w:ascii="Times New Roman" w:eastAsia="Aptos" w:hAnsi="Times New Roman" w:cs="Times New Roman"/>
          <w:sz w:val="24"/>
          <w:szCs w:val="24"/>
          <w:shd w:val="clear" w:color="auto" w:fill="FFFFFF"/>
        </w:rPr>
        <w:t xml:space="preserve"> lub rachunku pieniężnego, o którym mowa w art. 13 ust. 2, w typie podstawowym – do 96 godzin, </w:t>
      </w:r>
      <w:r w:rsidR="00DF2D60">
        <w:rPr>
          <w:rFonts w:ascii="Times New Roman" w:eastAsia="Aptos" w:hAnsi="Times New Roman" w:cs="Times New Roman"/>
          <w:sz w:val="24"/>
          <w:szCs w:val="24"/>
          <w:shd w:val="clear" w:color="auto" w:fill="FFFFFF"/>
        </w:rPr>
        <w:t xml:space="preserve">przepis </w:t>
      </w:r>
      <w:r w:rsidR="001A28A5" w:rsidRPr="004F51D3">
        <w:rPr>
          <w:rFonts w:ascii="Times New Roman" w:eastAsia="Aptos" w:hAnsi="Times New Roman" w:cs="Times New Roman"/>
          <w:sz w:val="24"/>
          <w:szCs w:val="24"/>
          <w:shd w:val="clear" w:color="auto" w:fill="FFFFFF"/>
        </w:rPr>
        <w:t>przewiduj</w:t>
      </w:r>
      <w:r w:rsidR="00E00455">
        <w:rPr>
          <w:rFonts w:ascii="Times New Roman" w:eastAsia="Aptos" w:hAnsi="Times New Roman" w:cs="Times New Roman"/>
          <w:sz w:val="24"/>
          <w:szCs w:val="24"/>
          <w:shd w:val="clear" w:color="auto" w:fill="FFFFFF"/>
        </w:rPr>
        <w:t>e</w:t>
      </w:r>
      <w:r w:rsidR="001A28A5" w:rsidRPr="004F51D3">
        <w:rPr>
          <w:rFonts w:ascii="Times New Roman" w:eastAsia="Aptos" w:hAnsi="Times New Roman" w:cs="Times New Roman"/>
          <w:sz w:val="24"/>
          <w:szCs w:val="24"/>
          <w:shd w:val="clear" w:color="auto" w:fill="FFFFFF"/>
        </w:rPr>
        <w:t xml:space="preserve"> wprowadzenie rozwiązania, że odpis żądania będzie doręczany z urzędu również posiadaczowi rachunku </w:t>
      </w:r>
      <w:proofErr w:type="spellStart"/>
      <w:r w:rsidR="001A28A5" w:rsidRPr="004F51D3">
        <w:rPr>
          <w:rFonts w:ascii="Times New Roman" w:eastAsia="Aptos" w:hAnsi="Times New Roman" w:cs="Times New Roman"/>
          <w:sz w:val="24"/>
          <w:szCs w:val="24"/>
          <w:shd w:val="clear" w:color="auto" w:fill="FFFFFF"/>
        </w:rPr>
        <w:t>kryptoaktywów</w:t>
      </w:r>
      <w:proofErr w:type="spellEnd"/>
      <w:r w:rsidR="001A28A5" w:rsidRPr="004F51D3">
        <w:rPr>
          <w:rFonts w:ascii="Times New Roman" w:eastAsia="Aptos" w:hAnsi="Times New Roman" w:cs="Times New Roman"/>
          <w:sz w:val="24"/>
          <w:szCs w:val="24"/>
          <w:shd w:val="clear" w:color="auto" w:fill="FFFFFF"/>
        </w:rPr>
        <w:t xml:space="preserve"> lub rachunku pieniężnego w celu umożliwienia szybszego poddania kontroli sądowej żądani</w:t>
      </w:r>
      <w:r w:rsidR="00E00455">
        <w:rPr>
          <w:rFonts w:ascii="Times New Roman" w:eastAsia="Aptos" w:hAnsi="Times New Roman" w:cs="Times New Roman"/>
          <w:sz w:val="24"/>
          <w:szCs w:val="24"/>
          <w:shd w:val="clear" w:color="auto" w:fill="FFFFFF"/>
        </w:rPr>
        <w:t>a</w:t>
      </w:r>
      <w:r w:rsidR="001A28A5" w:rsidRPr="004F51D3">
        <w:rPr>
          <w:rFonts w:ascii="Times New Roman" w:eastAsia="Aptos" w:hAnsi="Times New Roman" w:cs="Times New Roman"/>
          <w:sz w:val="24"/>
          <w:szCs w:val="24"/>
          <w:shd w:val="clear" w:color="auto" w:fill="FFFFFF"/>
        </w:rPr>
        <w:t xml:space="preserve"> Przewodniczącego Komisji. Pr</w:t>
      </w:r>
      <w:r w:rsidR="00D96AB3" w:rsidRPr="004F51D3">
        <w:rPr>
          <w:rFonts w:ascii="Times New Roman" w:eastAsia="Aptos" w:hAnsi="Times New Roman" w:cs="Times New Roman"/>
          <w:sz w:val="24"/>
          <w:szCs w:val="24"/>
          <w:shd w:val="clear" w:color="auto" w:fill="FFFFFF"/>
        </w:rPr>
        <w:t>zepis</w:t>
      </w:r>
      <w:r w:rsidR="00DF2D60">
        <w:rPr>
          <w:rFonts w:ascii="Times New Roman" w:eastAsia="Aptos" w:hAnsi="Times New Roman" w:cs="Times New Roman"/>
          <w:sz w:val="24"/>
          <w:szCs w:val="24"/>
          <w:shd w:val="clear" w:color="auto" w:fill="FFFFFF"/>
        </w:rPr>
        <w:t>y</w:t>
      </w:r>
      <w:r w:rsidR="001A28A5" w:rsidRPr="004F51D3">
        <w:rPr>
          <w:rFonts w:ascii="Times New Roman" w:eastAsia="Aptos" w:hAnsi="Times New Roman" w:cs="Times New Roman"/>
          <w:sz w:val="24"/>
          <w:szCs w:val="24"/>
          <w:shd w:val="clear" w:color="auto" w:fill="FFFFFF"/>
        </w:rPr>
        <w:t xml:space="preserve"> przewiduj</w:t>
      </w:r>
      <w:r w:rsidR="00D96AB3" w:rsidRPr="004F51D3">
        <w:rPr>
          <w:rFonts w:ascii="Times New Roman" w:eastAsia="Aptos" w:hAnsi="Times New Roman" w:cs="Times New Roman"/>
          <w:sz w:val="24"/>
          <w:szCs w:val="24"/>
          <w:shd w:val="clear" w:color="auto" w:fill="FFFFFF"/>
        </w:rPr>
        <w:t>ą</w:t>
      </w:r>
      <w:r w:rsidR="001A28A5" w:rsidRPr="004F51D3">
        <w:rPr>
          <w:rFonts w:ascii="Times New Roman" w:eastAsia="Aptos" w:hAnsi="Times New Roman" w:cs="Times New Roman"/>
          <w:sz w:val="24"/>
          <w:szCs w:val="24"/>
          <w:shd w:val="clear" w:color="auto" w:fill="FFFFFF"/>
        </w:rPr>
        <w:t xml:space="preserve"> także nałożenie odrębnego, ale niezwłocznego obowiązku powiadomienia przez dostawcę usług w zakresie </w:t>
      </w:r>
      <w:proofErr w:type="spellStart"/>
      <w:r w:rsidR="001A28A5" w:rsidRPr="004F51D3">
        <w:rPr>
          <w:rFonts w:ascii="Times New Roman" w:eastAsia="Aptos" w:hAnsi="Times New Roman" w:cs="Times New Roman"/>
          <w:sz w:val="24"/>
          <w:szCs w:val="24"/>
          <w:shd w:val="clear" w:color="auto" w:fill="FFFFFF"/>
        </w:rPr>
        <w:t>kryptoaktywów</w:t>
      </w:r>
      <w:proofErr w:type="spellEnd"/>
      <w:r w:rsidR="001A28A5" w:rsidRPr="004F51D3">
        <w:rPr>
          <w:rFonts w:ascii="Times New Roman" w:eastAsia="Aptos" w:hAnsi="Times New Roman" w:cs="Times New Roman"/>
          <w:sz w:val="24"/>
          <w:szCs w:val="24"/>
          <w:shd w:val="clear" w:color="auto" w:fill="FFFFFF"/>
        </w:rPr>
        <w:t xml:space="preserve"> posiadacza rachunku </w:t>
      </w:r>
      <w:proofErr w:type="spellStart"/>
      <w:r w:rsidR="001A28A5" w:rsidRPr="004F51D3">
        <w:rPr>
          <w:rFonts w:ascii="Times New Roman" w:eastAsia="Aptos" w:hAnsi="Times New Roman" w:cs="Times New Roman"/>
          <w:sz w:val="24"/>
          <w:szCs w:val="24"/>
          <w:shd w:val="clear" w:color="auto" w:fill="FFFFFF"/>
        </w:rPr>
        <w:t>kryptoaktywów</w:t>
      </w:r>
      <w:proofErr w:type="spellEnd"/>
      <w:r w:rsidR="001A28A5" w:rsidRPr="004F51D3">
        <w:rPr>
          <w:rFonts w:ascii="Times New Roman" w:eastAsia="Aptos" w:hAnsi="Times New Roman" w:cs="Times New Roman"/>
          <w:sz w:val="24"/>
          <w:szCs w:val="24"/>
          <w:shd w:val="clear" w:color="auto" w:fill="FFFFFF"/>
        </w:rPr>
        <w:t xml:space="preserve"> lub rachunku pieniężnego, o którym mowa w art. 13 ust. 2, o dokonaniu blokady na 96 godzin, na podstawie żądania Przewodniczącego Komisji. Jednocześnie przewiduj</w:t>
      </w:r>
      <w:r w:rsidR="00590205" w:rsidRPr="004F51D3">
        <w:rPr>
          <w:rFonts w:ascii="Times New Roman" w:eastAsia="Aptos" w:hAnsi="Times New Roman" w:cs="Times New Roman"/>
          <w:sz w:val="24"/>
          <w:szCs w:val="24"/>
          <w:shd w:val="clear" w:color="auto" w:fill="FFFFFF"/>
        </w:rPr>
        <w:t>ą</w:t>
      </w:r>
      <w:r w:rsidR="001A28A5" w:rsidRPr="004F51D3">
        <w:rPr>
          <w:rFonts w:ascii="Times New Roman" w:eastAsia="Aptos" w:hAnsi="Times New Roman" w:cs="Times New Roman"/>
          <w:sz w:val="24"/>
          <w:szCs w:val="24"/>
          <w:shd w:val="clear" w:color="auto" w:fill="FFFFFF"/>
        </w:rPr>
        <w:t>, że sąd administracyjny będzie m</w:t>
      </w:r>
      <w:r w:rsidR="00DF2D60">
        <w:rPr>
          <w:rFonts w:ascii="Times New Roman" w:eastAsia="Aptos" w:hAnsi="Times New Roman" w:cs="Times New Roman"/>
          <w:sz w:val="24"/>
          <w:szCs w:val="24"/>
          <w:shd w:val="clear" w:color="auto" w:fill="FFFFFF"/>
        </w:rPr>
        <w:t>i</w:t>
      </w:r>
      <w:r w:rsidR="001A28A5" w:rsidRPr="004F51D3">
        <w:rPr>
          <w:rFonts w:ascii="Times New Roman" w:eastAsia="Aptos" w:hAnsi="Times New Roman" w:cs="Times New Roman"/>
          <w:sz w:val="24"/>
          <w:szCs w:val="24"/>
          <w:shd w:val="clear" w:color="auto" w:fill="FFFFFF"/>
        </w:rPr>
        <w:t>a</w:t>
      </w:r>
      <w:r w:rsidR="00DF2D60">
        <w:rPr>
          <w:rFonts w:ascii="Times New Roman" w:eastAsia="Aptos" w:hAnsi="Times New Roman" w:cs="Times New Roman"/>
          <w:sz w:val="24"/>
          <w:szCs w:val="24"/>
          <w:shd w:val="clear" w:color="auto" w:fill="FFFFFF"/>
        </w:rPr>
        <w:t>ł</w:t>
      </w:r>
      <w:r w:rsidR="001A28A5" w:rsidRPr="004F51D3">
        <w:rPr>
          <w:rFonts w:ascii="Times New Roman" w:eastAsia="Aptos" w:hAnsi="Times New Roman" w:cs="Times New Roman"/>
          <w:sz w:val="24"/>
          <w:szCs w:val="24"/>
          <w:shd w:val="clear" w:color="auto" w:fill="FFFFFF"/>
        </w:rPr>
        <w:t xml:space="preserve"> 14-dniowy termin na rozpatrzenie skargi uprawnionego na żądanie Przewodniczącego Komisji. </w:t>
      </w:r>
      <w:r w:rsidR="00DF2D60">
        <w:rPr>
          <w:rFonts w:ascii="Times New Roman" w:eastAsia="Aptos" w:hAnsi="Times New Roman" w:cs="Times New Roman"/>
          <w:sz w:val="24"/>
          <w:szCs w:val="24"/>
          <w:shd w:val="clear" w:color="auto" w:fill="FFFFFF"/>
        </w:rPr>
        <w:t xml:space="preserve">Wprowadzane rozwiązania </w:t>
      </w:r>
      <w:r w:rsidR="00D07AA0" w:rsidRPr="004F51D3">
        <w:rPr>
          <w:rFonts w:ascii="Times New Roman" w:eastAsia="Aptos" w:hAnsi="Times New Roman" w:cs="Times New Roman"/>
          <w:sz w:val="24"/>
          <w:szCs w:val="24"/>
          <w:shd w:val="clear" w:color="auto" w:fill="FFFFFF"/>
        </w:rPr>
        <w:t>przewiduj</w:t>
      </w:r>
      <w:r w:rsidR="00DF2D60">
        <w:rPr>
          <w:rFonts w:ascii="Times New Roman" w:eastAsia="Aptos" w:hAnsi="Times New Roman" w:cs="Times New Roman"/>
          <w:sz w:val="24"/>
          <w:szCs w:val="24"/>
          <w:shd w:val="clear" w:color="auto" w:fill="FFFFFF"/>
        </w:rPr>
        <w:t>ą</w:t>
      </w:r>
      <w:r w:rsidR="00D07AA0" w:rsidRPr="004F51D3">
        <w:rPr>
          <w:rFonts w:ascii="Times New Roman" w:eastAsia="Aptos" w:hAnsi="Times New Roman" w:cs="Times New Roman"/>
          <w:sz w:val="24"/>
          <w:szCs w:val="24"/>
          <w:shd w:val="clear" w:color="auto" w:fill="FFFFFF"/>
        </w:rPr>
        <w:t xml:space="preserve"> również istotne zmodyfikowanie zasad przedłużania blokady lub wstrzymania określonej transakcji, które dotychczas były uchwalane przez parlament.  Po pierwsze, przewiduj</w:t>
      </w:r>
      <w:r w:rsidR="00694295">
        <w:rPr>
          <w:rFonts w:ascii="Times New Roman" w:eastAsia="Aptos" w:hAnsi="Times New Roman" w:cs="Times New Roman"/>
          <w:sz w:val="24"/>
          <w:szCs w:val="24"/>
          <w:shd w:val="clear" w:color="auto" w:fill="FFFFFF"/>
        </w:rPr>
        <w:t>ą</w:t>
      </w:r>
      <w:r w:rsidR="00D07AA0" w:rsidRPr="004F51D3">
        <w:rPr>
          <w:rFonts w:ascii="Times New Roman" w:eastAsia="Aptos" w:hAnsi="Times New Roman" w:cs="Times New Roman"/>
          <w:sz w:val="24"/>
          <w:szCs w:val="24"/>
          <w:shd w:val="clear" w:color="auto" w:fill="FFFFFF"/>
        </w:rPr>
        <w:t xml:space="preserve"> skrócenie terminu wydłużenia blokady lub wstrzymania określonej transakcji z 6 do 3 miesięcy. </w:t>
      </w:r>
      <w:r w:rsidR="00694295">
        <w:rPr>
          <w:rFonts w:ascii="Times New Roman" w:eastAsia="Aptos" w:hAnsi="Times New Roman" w:cs="Times New Roman"/>
          <w:sz w:val="24"/>
          <w:szCs w:val="24"/>
          <w:shd w:val="clear" w:color="auto" w:fill="FFFFFF"/>
        </w:rPr>
        <w:t xml:space="preserve">Dotychczasowy </w:t>
      </w:r>
      <w:r w:rsidR="00D07AA0" w:rsidRPr="004F51D3">
        <w:rPr>
          <w:rFonts w:ascii="Times New Roman" w:eastAsia="Aptos" w:hAnsi="Times New Roman" w:cs="Times New Roman"/>
          <w:sz w:val="24"/>
          <w:szCs w:val="24"/>
          <w:shd w:val="clear" w:color="auto" w:fill="FFFFFF"/>
        </w:rPr>
        <w:t>6-miesięczny termin wydłużenia blokady dla instytucji, będącej w istocie formą zabezpieczenia na czas postępowania administracyjnego, należy uznać za zbyt długi. Okres 3 miesięcy należy uznać za maksymalny. Po drugie, przewidu</w:t>
      </w:r>
      <w:r w:rsidR="0047184F">
        <w:rPr>
          <w:rFonts w:ascii="Times New Roman" w:eastAsia="Aptos" w:hAnsi="Times New Roman" w:cs="Times New Roman"/>
          <w:sz w:val="24"/>
          <w:szCs w:val="24"/>
          <w:shd w:val="clear" w:color="auto" w:fill="FFFFFF"/>
        </w:rPr>
        <w:t>ją</w:t>
      </w:r>
      <w:r w:rsidR="00D07AA0" w:rsidRPr="004F51D3">
        <w:rPr>
          <w:rFonts w:ascii="Times New Roman" w:eastAsia="Aptos" w:hAnsi="Times New Roman" w:cs="Times New Roman"/>
          <w:sz w:val="24"/>
          <w:szCs w:val="24"/>
          <w:shd w:val="clear" w:color="auto" w:fill="FFFFFF"/>
        </w:rPr>
        <w:t xml:space="preserve"> wprowadzenie kontroli sądowej </w:t>
      </w:r>
      <w:r w:rsidR="00D07AA0" w:rsidRPr="004F51D3">
        <w:rPr>
          <w:rFonts w:ascii="Times New Roman" w:eastAsia="Aptos" w:hAnsi="Times New Roman" w:cs="Times New Roman"/>
          <w:i/>
          <w:iCs/>
          <w:sz w:val="24"/>
          <w:szCs w:val="24"/>
          <w:shd w:val="clear" w:color="auto" w:fill="FFFFFF"/>
        </w:rPr>
        <w:t xml:space="preserve">ex </w:t>
      </w:r>
      <w:proofErr w:type="spellStart"/>
      <w:r w:rsidR="00D07AA0" w:rsidRPr="004F51D3">
        <w:rPr>
          <w:rFonts w:ascii="Times New Roman" w:eastAsia="Aptos" w:hAnsi="Times New Roman" w:cs="Times New Roman"/>
          <w:i/>
          <w:iCs/>
          <w:sz w:val="24"/>
          <w:szCs w:val="24"/>
          <w:shd w:val="clear" w:color="auto" w:fill="FFFFFF"/>
        </w:rPr>
        <w:t>ante</w:t>
      </w:r>
      <w:proofErr w:type="spellEnd"/>
      <w:r w:rsidR="00D07AA0" w:rsidRPr="004F51D3">
        <w:rPr>
          <w:rFonts w:ascii="Times New Roman" w:eastAsia="Aptos" w:hAnsi="Times New Roman" w:cs="Times New Roman"/>
          <w:sz w:val="24"/>
          <w:szCs w:val="24"/>
          <w:shd w:val="clear" w:color="auto" w:fill="FFFFFF"/>
        </w:rPr>
        <w:t>. Wprowadzenie dodatkowej kontroli sądowej wzmocni prawidłowość podejmowanych aktów administracyjnych przez organ administracyjny. Przewodniczący Komisji będzie posiadał prawo do wystąpienia z żądaniem przedłużenia blokady lub wstrzymania dokonania określonej transakcji na dalszy czas oznaczony, nie dłuższy niż 3 miesiące, ale po uprzedniej zgodzie sądu administracyjnego. Wniosek o wyrażenie zgody przez sąd administracyjny na wystąpienie przez Przewodniczącego Komisji z żądaniem przedłużenia blokady lub z żądaniem wstrzymania określonej transakcji, o których mowa w art. 63 ust. 1, Przewodniczący Komisji będzie składał do sądu administracyjnego niezwłocznie, ale nie później niż na 48 godzin przed upływem terminu blokady, o której mowa w art. 63 ust. 1. Wniosek Przewodniczącego Komisji powinien odpowiadać warunkom pisma procesowego, o których mowa w art. 46-47 ustawy z dnia 30 sierpnia 2022 r. - Prawo o postępowaniu przed sądami administracyjnym</w:t>
      </w:r>
      <w:r w:rsidR="00D92F69">
        <w:rPr>
          <w:rFonts w:ascii="Times New Roman" w:eastAsia="Aptos" w:hAnsi="Times New Roman" w:cs="Times New Roman"/>
          <w:sz w:val="24"/>
          <w:szCs w:val="24"/>
          <w:shd w:val="clear" w:color="auto" w:fill="FFFFFF"/>
        </w:rPr>
        <w:t>i</w:t>
      </w:r>
      <w:r w:rsidR="00D07AA0" w:rsidRPr="004F51D3">
        <w:rPr>
          <w:rFonts w:ascii="Times New Roman" w:eastAsia="Aptos" w:hAnsi="Times New Roman" w:cs="Times New Roman"/>
          <w:sz w:val="24"/>
          <w:szCs w:val="24"/>
          <w:shd w:val="clear" w:color="auto" w:fill="FFFFFF"/>
        </w:rPr>
        <w:t>, a ponadto zawierać określenie czasu przedłużenia blokady lub wstrzymania określonej transakcji oraz przedstawienie faktów i dowodów co do zaistnienia okoliczności uzasadniających przedłużenie blokady lub wstrzymania określonej transakcji, o których mowa w ust. 1. Takie określenie elementów</w:t>
      </w:r>
      <w:r w:rsidR="00AA4CE9">
        <w:rPr>
          <w:rFonts w:ascii="Times New Roman" w:eastAsia="Aptos" w:hAnsi="Times New Roman" w:cs="Times New Roman"/>
          <w:sz w:val="24"/>
          <w:szCs w:val="24"/>
          <w:shd w:val="clear" w:color="auto" w:fill="FFFFFF"/>
        </w:rPr>
        <w:t xml:space="preserve"> wniosku</w:t>
      </w:r>
      <w:r w:rsidR="00D07AA0" w:rsidRPr="004F51D3">
        <w:rPr>
          <w:rFonts w:ascii="Times New Roman" w:eastAsia="Aptos" w:hAnsi="Times New Roman" w:cs="Times New Roman"/>
          <w:sz w:val="24"/>
          <w:szCs w:val="24"/>
          <w:shd w:val="clear" w:color="auto" w:fill="FFFFFF"/>
        </w:rPr>
        <w:t xml:space="preserve"> powinno pozwolić sądowi</w:t>
      </w:r>
      <w:r w:rsidR="009D5B2A">
        <w:rPr>
          <w:rFonts w:ascii="Times New Roman" w:eastAsia="Aptos" w:hAnsi="Times New Roman" w:cs="Times New Roman"/>
          <w:sz w:val="24"/>
          <w:szCs w:val="24"/>
          <w:shd w:val="clear" w:color="auto" w:fill="FFFFFF"/>
        </w:rPr>
        <w:t xml:space="preserve"> administracyjnemu</w:t>
      </w:r>
      <w:r w:rsidR="00D07AA0" w:rsidRPr="004F51D3">
        <w:rPr>
          <w:rFonts w:ascii="Times New Roman" w:eastAsia="Aptos" w:hAnsi="Times New Roman" w:cs="Times New Roman"/>
          <w:sz w:val="24"/>
          <w:szCs w:val="24"/>
          <w:shd w:val="clear" w:color="auto" w:fill="FFFFFF"/>
        </w:rPr>
        <w:t xml:space="preserve"> na prawidłową ocenę istnienia przesłanek do udzielenia zgody. Sąd administracyjny będzie obowiązany rozpoznać wniosek na posiedzeniu niejawnym, niezwłocznie, nie później niż w ciągu 24 godzin od jego wniesienia. Na postanowienie sądu administracyjnego o odmowie wyrażenia zgody nie będzie przysługiwać zażalenie. Natomiast w przypadku wyrażenia zgody </w:t>
      </w:r>
      <w:r w:rsidR="009D5B2A">
        <w:rPr>
          <w:rFonts w:ascii="Times New Roman" w:eastAsia="Aptos" w:hAnsi="Times New Roman" w:cs="Times New Roman"/>
          <w:sz w:val="24"/>
          <w:szCs w:val="24"/>
          <w:shd w:val="clear" w:color="auto" w:fill="FFFFFF"/>
        </w:rPr>
        <w:t xml:space="preserve">na wystąpienie z </w:t>
      </w:r>
      <w:r w:rsidR="00D07AA0" w:rsidRPr="004F51D3">
        <w:rPr>
          <w:rFonts w:ascii="Times New Roman" w:eastAsia="Aptos" w:hAnsi="Times New Roman" w:cs="Times New Roman"/>
          <w:sz w:val="24"/>
          <w:szCs w:val="24"/>
          <w:shd w:val="clear" w:color="auto" w:fill="FFFFFF"/>
        </w:rPr>
        <w:t>żądani</w:t>
      </w:r>
      <w:r w:rsidR="009D5B2A">
        <w:rPr>
          <w:rFonts w:ascii="Times New Roman" w:eastAsia="Aptos" w:hAnsi="Times New Roman" w:cs="Times New Roman"/>
          <w:sz w:val="24"/>
          <w:szCs w:val="24"/>
          <w:shd w:val="clear" w:color="auto" w:fill="FFFFFF"/>
        </w:rPr>
        <w:t>em</w:t>
      </w:r>
      <w:r w:rsidR="00D07AA0" w:rsidRPr="004F51D3">
        <w:rPr>
          <w:rFonts w:ascii="Times New Roman" w:eastAsia="Aptos" w:hAnsi="Times New Roman" w:cs="Times New Roman"/>
          <w:sz w:val="24"/>
          <w:szCs w:val="24"/>
          <w:shd w:val="clear" w:color="auto" w:fill="FFFFFF"/>
        </w:rPr>
        <w:t xml:space="preserve"> o dalsze wydłużenie blokady lub wstrzymanie transakcji będą zastosowanie miały odpowiednio przepisy o blokadzie podstawowej (warunki formalne żądania, obowiązek doręczenia odpisu również posiadaczowi rachunku, szybki termin kontroli sądowej takiego żądania). </w:t>
      </w:r>
      <w:r w:rsidR="009D5B2A">
        <w:rPr>
          <w:rFonts w:ascii="Times New Roman" w:eastAsia="Aptos" w:hAnsi="Times New Roman" w:cs="Times New Roman"/>
          <w:sz w:val="24"/>
          <w:szCs w:val="24"/>
          <w:shd w:val="clear" w:color="auto" w:fill="FFFFFF"/>
        </w:rPr>
        <w:t xml:space="preserve">Art. 66 </w:t>
      </w:r>
      <w:r w:rsidR="00D07AA0" w:rsidRPr="004F51D3">
        <w:rPr>
          <w:rFonts w:ascii="Times New Roman" w:eastAsia="Aptos" w:hAnsi="Times New Roman" w:cs="Times New Roman"/>
          <w:sz w:val="24"/>
          <w:szCs w:val="24"/>
          <w:shd w:val="clear" w:color="auto" w:fill="FFFFFF"/>
        </w:rPr>
        <w:t xml:space="preserve">przewiduje także dodanie dodatkowej normy w zakresie podstawy odpowiedzialności odszkodowawczej Skarbu Państwa za szkody wyrządzone  blokadą </w:t>
      </w:r>
      <w:r w:rsidR="00693025">
        <w:rPr>
          <w:rFonts w:ascii="Segoe UI" w:eastAsia="Times New Roman" w:hAnsi="Segoe UI" w:cs="Segoe UI"/>
          <w:kern w:val="0"/>
          <w:sz w:val="21"/>
          <w:szCs w:val="21"/>
          <w:lang w:eastAsia="pl-PL"/>
          <w14:ligatures w14:val="none"/>
        </w:rPr>
        <w:t>przy czym o</w:t>
      </w:r>
      <w:r w:rsidR="00693025" w:rsidRPr="00693025">
        <w:rPr>
          <w:rFonts w:ascii="Times New Roman" w:eastAsia="Aptos" w:hAnsi="Times New Roman" w:cs="Times New Roman"/>
          <w:sz w:val="24"/>
          <w:szCs w:val="24"/>
          <w:shd w:val="clear" w:color="auto" w:fill="FFFFFF"/>
        </w:rPr>
        <w:t xml:space="preserve">dpowiedzialność ta powstaje wyłącznie w przypadku </w:t>
      </w:r>
      <w:r w:rsidR="00693025">
        <w:rPr>
          <w:rFonts w:ascii="Times New Roman" w:eastAsia="Aptos" w:hAnsi="Times New Roman" w:cs="Times New Roman"/>
          <w:sz w:val="24"/>
          <w:szCs w:val="24"/>
          <w:shd w:val="clear" w:color="auto" w:fill="FFFFFF"/>
        </w:rPr>
        <w:t>stwierdzenia niezgodności z prawem działania organu.</w:t>
      </w:r>
      <w:r w:rsidR="00D07AA0" w:rsidRPr="004F51D3">
        <w:rPr>
          <w:rFonts w:ascii="Times New Roman" w:eastAsia="Aptos" w:hAnsi="Times New Roman" w:cs="Times New Roman"/>
          <w:sz w:val="24"/>
          <w:szCs w:val="24"/>
          <w:shd w:val="clear" w:color="auto" w:fill="FFFFFF"/>
        </w:rPr>
        <w:t xml:space="preserve">. Jest to rozwiązanie, które wzorowane jest na występujących w systemie instytucjach (por. art. 41 ustawy o nadzorze nad rynkiem kapitałowym). </w:t>
      </w:r>
    </w:p>
    <w:p w14:paraId="3E6E67DC" w14:textId="5AC9DF72" w:rsidR="00C21D4B" w:rsidRPr="00781E1E" w:rsidRDefault="00D07AA0" w:rsidP="00781E1E">
      <w:pPr>
        <w:spacing w:after="0" w:line="360" w:lineRule="auto"/>
        <w:ind w:left="720"/>
        <w:jc w:val="both"/>
        <w:rPr>
          <w:rFonts w:ascii="Times New Roman" w:hAnsi="Times New Roman" w:cs="Times New Roman"/>
          <w:sz w:val="24"/>
          <w:szCs w:val="24"/>
        </w:rPr>
      </w:pPr>
      <w:r w:rsidRPr="004F51D3">
        <w:rPr>
          <w:rFonts w:ascii="Times New Roman" w:eastAsia="Aptos" w:hAnsi="Times New Roman" w:cs="Times New Roman"/>
          <w:sz w:val="24"/>
          <w:szCs w:val="24"/>
          <w:shd w:val="clear" w:color="auto" w:fill="FFFFFF"/>
        </w:rPr>
        <w:t>Powyższe rozwiązania zwiększają istotnie gwarancj</w:t>
      </w:r>
      <w:r w:rsidR="0082573E">
        <w:rPr>
          <w:rFonts w:ascii="Times New Roman" w:eastAsia="Aptos" w:hAnsi="Times New Roman" w:cs="Times New Roman"/>
          <w:sz w:val="24"/>
          <w:szCs w:val="24"/>
          <w:shd w:val="clear" w:color="auto" w:fill="FFFFFF"/>
        </w:rPr>
        <w:t>e ochrony</w:t>
      </w:r>
      <w:r w:rsidRPr="004F51D3">
        <w:rPr>
          <w:rFonts w:ascii="Times New Roman" w:eastAsia="Aptos" w:hAnsi="Times New Roman" w:cs="Times New Roman"/>
          <w:sz w:val="24"/>
          <w:szCs w:val="24"/>
          <w:shd w:val="clear" w:color="auto" w:fill="FFFFFF"/>
        </w:rPr>
        <w:t xml:space="preserve"> konstytucyjnych praw jednostki (praw majątkowych – art. 64 Konstytucji i praw</w:t>
      </w:r>
      <w:r w:rsidR="0082573E">
        <w:rPr>
          <w:rFonts w:ascii="Times New Roman" w:eastAsia="Aptos" w:hAnsi="Times New Roman" w:cs="Times New Roman"/>
          <w:sz w:val="24"/>
          <w:szCs w:val="24"/>
          <w:shd w:val="clear" w:color="auto" w:fill="FFFFFF"/>
        </w:rPr>
        <w:t>a</w:t>
      </w:r>
      <w:r w:rsidRPr="004F51D3">
        <w:rPr>
          <w:rFonts w:ascii="Times New Roman" w:eastAsia="Aptos" w:hAnsi="Times New Roman" w:cs="Times New Roman"/>
          <w:sz w:val="24"/>
          <w:szCs w:val="24"/>
          <w:shd w:val="clear" w:color="auto" w:fill="FFFFFF"/>
        </w:rPr>
        <w:t xml:space="preserve"> do rzetelnej i efektywnej kontroli sądowej – art. 45 ust. 1 Konstytucji</w:t>
      </w:r>
      <w:r w:rsidR="0082573E">
        <w:rPr>
          <w:rFonts w:ascii="Times New Roman" w:eastAsia="Aptos" w:hAnsi="Times New Roman" w:cs="Times New Roman"/>
          <w:sz w:val="24"/>
          <w:szCs w:val="24"/>
          <w:shd w:val="clear" w:color="auto" w:fill="FFFFFF"/>
        </w:rPr>
        <w:t>)</w:t>
      </w:r>
      <w:r w:rsidR="00A84873" w:rsidRPr="004F51D3">
        <w:rPr>
          <w:rFonts w:ascii="Times New Roman" w:eastAsia="Aptos" w:hAnsi="Times New Roman" w:cs="Times New Roman"/>
          <w:sz w:val="24"/>
          <w:szCs w:val="24"/>
          <w:shd w:val="clear" w:color="auto" w:fill="FFFFFF"/>
        </w:rPr>
        <w:t>.</w:t>
      </w:r>
    </w:p>
    <w:p w14:paraId="2C933844" w14:textId="4D6DFFBE" w:rsidR="00C21D4B" w:rsidRPr="00D46025" w:rsidRDefault="00C21D4B" w:rsidP="000D5B83">
      <w:pPr>
        <w:pStyle w:val="Akapitzlist"/>
        <w:numPr>
          <w:ilvl w:val="0"/>
          <w:numId w:val="2"/>
        </w:numPr>
        <w:spacing w:line="360" w:lineRule="auto"/>
        <w:jc w:val="both"/>
        <w:rPr>
          <w:rFonts w:ascii="Times New Roman" w:hAnsi="Times New Roman" w:cs="Times New Roman"/>
          <w:bCs/>
          <w:sz w:val="24"/>
          <w:szCs w:val="24"/>
        </w:rPr>
      </w:pPr>
      <w:r w:rsidRPr="00D46025">
        <w:rPr>
          <w:rFonts w:ascii="Times New Roman" w:hAnsi="Times New Roman" w:cs="Times New Roman"/>
          <w:b/>
          <w:bCs/>
          <w:sz w:val="24"/>
          <w:szCs w:val="24"/>
        </w:rPr>
        <w:t>Art. 6</w:t>
      </w:r>
      <w:r w:rsidR="008C3657" w:rsidRPr="00D46025">
        <w:rPr>
          <w:rFonts w:ascii="Times New Roman" w:hAnsi="Times New Roman" w:cs="Times New Roman"/>
          <w:b/>
          <w:bCs/>
          <w:sz w:val="24"/>
          <w:szCs w:val="24"/>
        </w:rPr>
        <w:t>7</w:t>
      </w:r>
      <w:r w:rsidRPr="00D46025">
        <w:rPr>
          <w:rFonts w:ascii="Times New Roman" w:hAnsi="Times New Roman" w:cs="Times New Roman"/>
          <w:sz w:val="24"/>
          <w:szCs w:val="24"/>
        </w:rPr>
        <w:t xml:space="preserve"> stanowi wykonanie art. 94 ust. 1 lit. aa rozporządzenia 2023/1114, który zobowiązuje państwa członkowskie do zapewnienia właściwemu organowi środków umożliwiających usunięcie treści lub ograniczenie dostępu do interfejsów internetowych, nakazanie dostawcy usług hostingowych usunięcie lub wyłączenie interfejsu internetowego oraz nakazanie rejestrom domen lub rejestratorom domen usunięcie pełnej nazwy domenowej. Projektowany przepis zobowiązuje Komisję do utworzenia i prowadzenia jawnego Rejestru domen internetowych wykorzystywanych do prowadzenia działalności naruszającej przepisy rozporządzenia 2023/1114, zwanego dalej „Rejestrem”. Przepis ten</w:t>
      </w:r>
      <w:r w:rsidRPr="00D46025">
        <w:rPr>
          <w:rFonts w:ascii="Times New Roman" w:hAnsi="Times New Roman" w:cs="Times New Roman"/>
          <w:b/>
          <w:bCs/>
          <w:sz w:val="24"/>
          <w:szCs w:val="24"/>
        </w:rPr>
        <w:t xml:space="preserve"> </w:t>
      </w:r>
      <w:r w:rsidRPr="00D46025">
        <w:rPr>
          <w:rFonts w:ascii="Times New Roman" w:hAnsi="Times New Roman" w:cs="Times New Roman"/>
          <w:sz w:val="24"/>
          <w:szCs w:val="24"/>
        </w:rPr>
        <w:t xml:space="preserve">ma na celu zapobieżenie ryzyku wyrządzenia poważnych szkód interesom klientów lub posiadaczy </w:t>
      </w:r>
      <w:proofErr w:type="spellStart"/>
      <w:r w:rsidRPr="00D46025">
        <w:rPr>
          <w:rFonts w:ascii="Times New Roman" w:hAnsi="Times New Roman" w:cs="Times New Roman"/>
          <w:sz w:val="24"/>
          <w:szCs w:val="24"/>
        </w:rPr>
        <w:t>kryptoaktywów</w:t>
      </w:r>
      <w:proofErr w:type="spellEnd"/>
      <w:r w:rsidRPr="00D46025">
        <w:rPr>
          <w:rFonts w:ascii="Times New Roman" w:hAnsi="Times New Roman" w:cs="Times New Roman"/>
          <w:sz w:val="24"/>
          <w:szCs w:val="24"/>
        </w:rPr>
        <w:t>.</w:t>
      </w:r>
    </w:p>
    <w:p w14:paraId="5547678A" w14:textId="1B308636" w:rsidR="00C21D4B" w:rsidRPr="00D46025" w:rsidRDefault="00C21D4B" w:rsidP="00741FA4">
      <w:pPr>
        <w:spacing w:line="360" w:lineRule="auto"/>
        <w:ind w:left="360"/>
        <w:jc w:val="both"/>
        <w:rPr>
          <w:rFonts w:ascii="Times New Roman" w:hAnsi="Times New Roman" w:cs="Times New Roman"/>
          <w:bCs/>
          <w:sz w:val="24"/>
          <w:szCs w:val="24"/>
        </w:rPr>
      </w:pPr>
      <w:r w:rsidRPr="00D46025">
        <w:rPr>
          <w:rFonts w:ascii="Times New Roman" w:hAnsi="Times New Roman" w:cs="Times New Roman"/>
          <w:b/>
          <w:bCs/>
          <w:sz w:val="24"/>
          <w:szCs w:val="24"/>
        </w:rPr>
        <w:t xml:space="preserve">Art. </w:t>
      </w:r>
      <w:r w:rsidR="008C3657" w:rsidRPr="00D46025">
        <w:rPr>
          <w:rFonts w:ascii="Times New Roman" w:hAnsi="Times New Roman" w:cs="Times New Roman"/>
          <w:b/>
          <w:bCs/>
          <w:sz w:val="24"/>
          <w:szCs w:val="24"/>
        </w:rPr>
        <w:t>68</w:t>
      </w:r>
      <w:r w:rsidRPr="00D46025">
        <w:rPr>
          <w:rFonts w:ascii="Times New Roman" w:hAnsi="Times New Roman" w:cs="Times New Roman"/>
          <w:sz w:val="24"/>
          <w:szCs w:val="24"/>
        </w:rPr>
        <w:t xml:space="preserve"> wskazuje, że do Rejestru wpisuje się domenę internetową wykorzystywaną do prowadzenia działalności w zakresie </w:t>
      </w:r>
      <w:proofErr w:type="spellStart"/>
      <w:r w:rsidRPr="00D46025">
        <w:rPr>
          <w:rFonts w:ascii="Times New Roman" w:hAnsi="Times New Roman" w:cs="Times New Roman"/>
          <w:sz w:val="24"/>
          <w:szCs w:val="24"/>
        </w:rPr>
        <w:t>kryptoaktywów</w:t>
      </w:r>
      <w:proofErr w:type="spellEnd"/>
      <w:r w:rsidRPr="00D46025">
        <w:rPr>
          <w:rFonts w:ascii="Times New Roman" w:hAnsi="Times New Roman" w:cs="Times New Roman"/>
          <w:sz w:val="24"/>
          <w:szCs w:val="24"/>
        </w:rPr>
        <w:t xml:space="preserve"> bez wymaganego prawem zezwolenia albo posiadania innego uprawnienia na podstawie przepisów rozporządzenia 2023/1114.</w:t>
      </w:r>
      <w:r w:rsidRPr="00270212">
        <w:t xml:space="preserve"> </w:t>
      </w:r>
      <w:r w:rsidR="005079C2" w:rsidRPr="00D46025">
        <w:rPr>
          <w:rFonts w:ascii="Times New Roman" w:eastAsia="Aptos" w:hAnsi="Times New Roman" w:cs="Times New Roman"/>
          <w:color w:val="000000"/>
          <w:sz w:val="24"/>
          <w:szCs w:val="24"/>
        </w:rPr>
        <w:t xml:space="preserve">Z uwagi na prawa i wolności konstytucyjne, w które dotychczasowe projekty o rynku </w:t>
      </w:r>
      <w:proofErr w:type="spellStart"/>
      <w:r w:rsidR="005079C2" w:rsidRPr="00D46025">
        <w:rPr>
          <w:rFonts w:ascii="Times New Roman" w:eastAsia="Aptos" w:hAnsi="Times New Roman" w:cs="Times New Roman"/>
          <w:color w:val="000000"/>
          <w:sz w:val="24"/>
          <w:szCs w:val="24"/>
        </w:rPr>
        <w:t>kryptoaktywów</w:t>
      </w:r>
      <w:proofErr w:type="spellEnd"/>
      <w:r w:rsidR="005079C2" w:rsidRPr="00D46025">
        <w:rPr>
          <w:rFonts w:ascii="Times New Roman" w:eastAsia="Aptos" w:hAnsi="Times New Roman" w:cs="Times New Roman"/>
          <w:color w:val="000000"/>
          <w:sz w:val="24"/>
          <w:szCs w:val="24"/>
        </w:rPr>
        <w:t xml:space="preserve"> nadmiernie ingerowały zasadne są zmiany w tym obszarze. Proponuje się, aby blokowanie domen dotyczyło wyłączenie domen za pomocą, których prowadzona jest działalność bez wymaganego zezwolenia. </w:t>
      </w:r>
      <w:r w:rsidRPr="00D46025">
        <w:rPr>
          <w:rFonts w:ascii="Times New Roman" w:hAnsi="Times New Roman" w:cs="Times New Roman"/>
          <w:b/>
          <w:bCs/>
          <w:sz w:val="24"/>
          <w:szCs w:val="24"/>
        </w:rPr>
        <w:t xml:space="preserve">Art. </w:t>
      </w:r>
      <w:r w:rsidR="008C3657" w:rsidRPr="00D46025">
        <w:rPr>
          <w:rFonts w:ascii="Times New Roman" w:hAnsi="Times New Roman" w:cs="Times New Roman"/>
          <w:b/>
          <w:bCs/>
          <w:sz w:val="24"/>
          <w:szCs w:val="24"/>
        </w:rPr>
        <w:t>69</w:t>
      </w:r>
      <w:r w:rsidRPr="00D46025">
        <w:rPr>
          <w:rFonts w:ascii="Times New Roman" w:hAnsi="Times New Roman" w:cs="Times New Roman"/>
          <w:sz w:val="24"/>
          <w:szCs w:val="24"/>
        </w:rPr>
        <w:t xml:space="preserve"> doprecyzowuje jakie dane podlegają wpisowi do rejestru, mianowicie nazwa domeny internetowej, data i godzina dokonania wpisu bądź jego wykreślenia oraz podstawa prawna dokonania tego wpisu.</w:t>
      </w:r>
    </w:p>
    <w:p w14:paraId="099EC5AD" w14:textId="0792CFE9" w:rsidR="00270212" w:rsidRPr="00270212" w:rsidRDefault="00C21D4B" w:rsidP="00270212">
      <w:pPr>
        <w:pStyle w:val="Akapitzlist"/>
        <w:numPr>
          <w:ilvl w:val="0"/>
          <w:numId w:val="2"/>
        </w:numPr>
        <w:spacing w:line="360" w:lineRule="auto"/>
        <w:jc w:val="both"/>
      </w:pPr>
      <w:r w:rsidRPr="00CD594B">
        <w:rPr>
          <w:rFonts w:ascii="Times New Roman" w:hAnsi="Times New Roman" w:cs="Times New Roman"/>
          <w:sz w:val="24"/>
          <w:szCs w:val="24"/>
        </w:rPr>
        <w:t xml:space="preserve">Zgodnie z </w:t>
      </w: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7</w:t>
      </w:r>
      <w:r w:rsidR="008C3657">
        <w:rPr>
          <w:rFonts w:ascii="Times New Roman" w:hAnsi="Times New Roman" w:cs="Times New Roman"/>
          <w:b/>
          <w:bCs/>
          <w:sz w:val="24"/>
          <w:szCs w:val="24"/>
        </w:rPr>
        <w:t>0</w:t>
      </w:r>
      <w:r w:rsidRPr="00CD594B">
        <w:rPr>
          <w:rFonts w:ascii="Times New Roman" w:hAnsi="Times New Roman" w:cs="Times New Roman"/>
          <w:sz w:val="24"/>
          <w:szCs w:val="24"/>
        </w:rPr>
        <w:t xml:space="preserve"> w przypadku domeny internetowej wykorzystywanej do prowadzenia działalności w zakresie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bez wymaganego prawem zezwolenia albo posiadania innego uprawnienia na podstawie przepisów rozporządzenia 2023/1114 wpis do rejestru następuje niezwłocznie po złożeniu przez Komisję zawiadomienia o uzasadnionym podejrzeniu popełnienia przestępstwa</w:t>
      </w:r>
      <w:r>
        <w:rPr>
          <w:rFonts w:ascii="Times New Roman" w:hAnsi="Times New Roman" w:cs="Times New Roman"/>
          <w:sz w:val="24"/>
          <w:szCs w:val="24"/>
        </w:rPr>
        <w:t xml:space="preserve"> określonego w art. </w:t>
      </w:r>
      <w:r w:rsidR="008C3657">
        <w:rPr>
          <w:rFonts w:ascii="Times New Roman" w:hAnsi="Times New Roman" w:cs="Times New Roman"/>
          <w:sz w:val="24"/>
          <w:szCs w:val="24"/>
        </w:rPr>
        <w:t xml:space="preserve">118 i </w:t>
      </w:r>
      <w:r>
        <w:rPr>
          <w:rFonts w:ascii="Times New Roman" w:hAnsi="Times New Roman" w:cs="Times New Roman"/>
          <w:sz w:val="24"/>
          <w:szCs w:val="24"/>
        </w:rPr>
        <w:t>12</w:t>
      </w:r>
      <w:r w:rsidR="008C3657">
        <w:rPr>
          <w:rFonts w:ascii="Times New Roman" w:hAnsi="Times New Roman" w:cs="Times New Roman"/>
          <w:sz w:val="24"/>
          <w:szCs w:val="24"/>
        </w:rPr>
        <w:t>2</w:t>
      </w:r>
      <w:r>
        <w:rPr>
          <w:rFonts w:ascii="Times New Roman" w:hAnsi="Times New Roman" w:cs="Times New Roman"/>
          <w:sz w:val="24"/>
          <w:szCs w:val="24"/>
        </w:rPr>
        <w:t xml:space="preserve"> projektu ustawy</w:t>
      </w:r>
      <w:r w:rsidRPr="00CD594B">
        <w:rPr>
          <w:rFonts w:ascii="Times New Roman" w:hAnsi="Times New Roman" w:cs="Times New Roman"/>
          <w:sz w:val="24"/>
          <w:szCs w:val="24"/>
        </w:rPr>
        <w:t xml:space="preserve"> oraz </w:t>
      </w:r>
      <w:r w:rsidR="00270212">
        <w:rPr>
          <w:rFonts w:ascii="Times New Roman" w:hAnsi="Times New Roman" w:cs="Times New Roman"/>
          <w:sz w:val="24"/>
          <w:szCs w:val="24"/>
        </w:rPr>
        <w:t xml:space="preserve">po </w:t>
      </w:r>
      <w:r w:rsidRPr="00CD594B">
        <w:rPr>
          <w:rFonts w:ascii="Times New Roman" w:hAnsi="Times New Roman" w:cs="Times New Roman"/>
          <w:sz w:val="24"/>
          <w:szCs w:val="24"/>
        </w:rPr>
        <w:t>zamieszczeniu informacji o złożeniu tego zawiadomienia na stronie „Lista ostrzeżeń publicznych Komisji Nadzoru Finansowego”.</w:t>
      </w:r>
      <w:r w:rsidR="00270212" w:rsidRPr="00270212">
        <w:rPr>
          <w:rFonts w:ascii="Segoe UI" w:eastAsia="Times New Roman" w:hAnsi="Segoe UI" w:cs="Segoe UI"/>
          <w:bCs/>
          <w:sz w:val="21"/>
          <w:szCs w:val="21"/>
        </w:rPr>
        <w:t xml:space="preserve"> </w:t>
      </w:r>
    </w:p>
    <w:p w14:paraId="7628E4C1" w14:textId="2AEF23D6" w:rsidR="00C21D4B" w:rsidRPr="00D46025" w:rsidRDefault="00C21D4B" w:rsidP="00D46025">
      <w:pPr>
        <w:pStyle w:val="Akapitzlist"/>
        <w:spacing w:line="360" w:lineRule="auto"/>
        <w:jc w:val="both"/>
        <w:rPr>
          <w:rFonts w:ascii="Times New Roman" w:hAnsi="Times New Roman" w:cs="Times New Roman"/>
          <w:bCs/>
          <w:sz w:val="24"/>
          <w:szCs w:val="24"/>
        </w:rPr>
      </w:pPr>
      <w:r w:rsidRPr="00257976">
        <w:rPr>
          <w:rFonts w:ascii="Times New Roman" w:hAnsi="Times New Roman" w:cs="Times New Roman"/>
          <w:b/>
          <w:bCs/>
          <w:sz w:val="24"/>
          <w:szCs w:val="24"/>
        </w:rPr>
        <w:t>Art. 7</w:t>
      </w:r>
      <w:r w:rsidR="008C3657">
        <w:rPr>
          <w:rFonts w:ascii="Times New Roman" w:hAnsi="Times New Roman" w:cs="Times New Roman"/>
          <w:b/>
          <w:bCs/>
          <w:sz w:val="24"/>
          <w:szCs w:val="24"/>
        </w:rPr>
        <w:t>1</w:t>
      </w:r>
      <w:r w:rsidRPr="00257976">
        <w:rPr>
          <w:rFonts w:ascii="Times New Roman" w:hAnsi="Times New Roman" w:cs="Times New Roman"/>
          <w:sz w:val="24"/>
          <w:szCs w:val="24"/>
        </w:rPr>
        <w:t xml:space="preserve"> stanowi o obowiązku podmiotów świadczących usługi dostępu do sieci Internet będących przedsiębiorcami telekomunikacyjnymi w rozumieniu art. 2 pkt 40 ustawy z dnia 12 lipca 2024 r. </w:t>
      </w:r>
      <w:r w:rsidRPr="00CA1FC8">
        <w:rPr>
          <w:rFonts w:ascii="Times New Roman" w:hAnsi="Times New Roman" w:cs="Times New Roman"/>
          <w:sz w:val="24"/>
          <w:szCs w:val="24"/>
        </w:rPr>
        <w:sym w:font="Symbol" w:char="F02D"/>
      </w:r>
      <w:r w:rsidRPr="00257976">
        <w:rPr>
          <w:rFonts w:ascii="Times New Roman" w:hAnsi="Times New Roman" w:cs="Times New Roman"/>
          <w:sz w:val="24"/>
          <w:szCs w:val="24"/>
        </w:rPr>
        <w:t xml:space="preserve"> Prawo komunikacji </w:t>
      </w:r>
      <w:r w:rsidR="00D92F69">
        <w:rPr>
          <w:rFonts w:ascii="Times New Roman" w:hAnsi="Times New Roman" w:cs="Times New Roman"/>
          <w:sz w:val="24"/>
          <w:szCs w:val="24"/>
        </w:rPr>
        <w:t>elektronicznej</w:t>
      </w:r>
      <w:r w:rsidRPr="00257976">
        <w:rPr>
          <w:rFonts w:ascii="Times New Roman" w:hAnsi="Times New Roman" w:cs="Times New Roman"/>
          <w:sz w:val="24"/>
          <w:szCs w:val="24"/>
        </w:rPr>
        <w:t xml:space="preserve"> nieodpłatnego uniemożliwienia dostępu do stron internetowych wykorzystujących nazwę domeny internetowej wpisanej do Rejestru. Przepis stanowi również, że przedsiębiorca telekomunikacyjny dokonuje tego poprzez usunięcie tych stron z systemów teleinformatycznych, służących do zamiany nazwy domeny internetowej na adres IP nie później niż w ciągu 48 godzin, licząc od momentu dokonania wpisu do Rejestru. Opisany środek rozciąga się także na nieodpłatne przekierowywanie połączeń odwołujących się do nazwy domeny internetowej wpisanej do Rejestru do strony internetowej prowadzonej przez KNF. Dyspozycja niniejszego przepisu w istocie ogranicza w pewnym zakresie swobodę kontraktową i czerpania zysków z prowadzonej działalności przez podmioty wskazane w hipotezie, niemniej jednak zważywszy na ważny interes i bezpieczeństwo nie tylko rynku, ale i państwa, została ona zastosowana. Ust. </w:t>
      </w:r>
      <w:r w:rsidR="008C3657">
        <w:rPr>
          <w:rFonts w:ascii="Times New Roman" w:hAnsi="Times New Roman" w:cs="Times New Roman"/>
          <w:sz w:val="24"/>
          <w:szCs w:val="24"/>
        </w:rPr>
        <w:t>3</w:t>
      </w:r>
      <w:r w:rsidRPr="00257976">
        <w:rPr>
          <w:rFonts w:ascii="Times New Roman" w:hAnsi="Times New Roman" w:cs="Times New Roman"/>
          <w:sz w:val="24"/>
          <w:szCs w:val="24"/>
        </w:rPr>
        <w:t xml:space="preserve"> stanowi, że w przypadku wpisu domeny internetowej do Rejestru, dostawca usług hostingowych jest obowiązany</w:t>
      </w:r>
      <w:r>
        <w:rPr>
          <w:rFonts w:ascii="Times New Roman" w:hAnsi="Times New Roman" w:cs="Times New Roman"/>
          <w:sz w:val="24"/>
          <w:szCs w:val="24"/>
        </w:rPr>
        <w:t>,</w:t>
      </w:r>
      <w:r w:rsidRPr="00257976">
        <w:rPr>
          <w:rFonts w:ascii="Times New Roman" w:hAnsi="Times New Roman" w:cs="Times New Roman"/>
          <w:sz w:val="24"/>
          <w:szCs w:val="24"/>
        </w:rPr>
        <w:t xml:space="preserve"> na żądanie Komisji</w:t>
      </w:r>
      <w:r>
        <w:rPr>
          <w:rFonts w:ascii="Times New Roman" w:hAnsi="Times New Roman" w:cs="Times New Roman"/>
          <w:sz w:val="24"/>
          <w:szCs w:val="24"/>
        </w:rPr>
        <w:t>,</w:t>
      </w:r>
      <w:r w:rsidRPr="00257976">
        <w:rPr>
          <w:rFonts w:ascii="Times New Roman" w:hAnsi="Times New Roman" w:cs="Times New Roman"/>
          <w:sz w:val="24"/>
          <w:szCs w:val="24"/>
        </w:rPr>
        <w:t xml:space="preserve"> do niezwłocznego i nieodpłatnego usunięcia </w:t>
      </w:r>
      <w:r>
        <w:rPr>
          <w:rFonts w:ascii="Times New Roman" w:hAnsi="Times New Roman" w:cs="Times New Roman"/>
          <w:sz w:val="24"/>
          <w:szCs w:val="24"/>
        </w:rPr>
        <w:t>albo</w:t>
      </w:r>
      <w:r w:rsidRPr="00257976">
        <w:rPr>
          <w:rFonts w:ascii="Times New Roman" w:hAnsi="Times New Roman" w:cs="Times New Roman"/>
          <w:sz w:val="24"/>
          <w:szCs w:val="24"/>
        </w:rPr>
        <w:t xml:space="preserve"> wyłączenia interfejsu internetowego, ograniczenia dostępu do niego lub usunięcia wskazanych przez Komisję treści. Rejestr domen oraz rejestratorzy domen, w przypadku wpisu domeny internetowej do Rejestru, są obowiązani do nieodpłatnego usunięcia jej pełnej nazwy domenowej oraz umożliwienia Komisji jej nieodpłatnej rejestracji.</w:t>
      </w:r>
      <w:r>
        <w:t xml:space="preserve"> </w:t>
      </w:r>
      <w:r w:rsidRPr="00257976">
        <w:rPr>
          <w:rFonts w:ascii="Times New Roman" w:hAnsi="Times New Roman" w:cs="Times New Roman"/>
          <w:sz w:val="24"/>
          <w:szCs w:val="24"/>
        </w:rPr>
        <w:t xml:space="preserve">Nieodpłatna rejestracja nazwy domeny internetowej na rzecz Komisji może następować bezterminowo lub na czas wskazany w żądaniu Komisji, co służy uniknięciu ewentualnych wątpliwości, do którego momentu domena powinna być zarejestrowana na rzecz Komisji. Przepis ten </w:t>
      </w:r>
      <w:r w:rsidR="009D09ED">
        <w:rPr>
          <w:rFonts w:ascii="Times New Roman" w:hAnsi="Times New Roman" w:cs="Times New Roman"/>
          <w:sz w:val="24"/>
          <w:szCs w:val="24"/>
        </w:rPr>
        <w:t>mieści się w zakresie środków</w:t>
      </w:r>
      <w:r w:rsidR="009D09ED" w:rsidRPr="009D09ED">
        <w:rPr>
          <w:rFonts w:ascii="Times New Roman" w:hAnsi="Times New Roman" w:cs="Times New Roman"/>
          <w:sz w:val="24"/>
          <w:szCs w:val="24"/>
        </w:rPr>
        <w:t>, których możliwość stosowania została przewidziana</w:t>
      </w:r>
      <w:r w:rsidR="009D09ED">
        <w:rPr>
          <w:rFonts w:ascii="Times New Roman" w:hAnsi="Times New Roman" w:cs="Times New Roman"/>
          <w:sz w:val="24"/>
          <w:szCs w:val="24"/>
        </w:rPr>
        <w:t xml:space="preserve"> </w:t>
      </w:r>
      <w:r w:rsidR="00D46025">
        <w:rPr>
          <w:rFonts w:ascii="Times New Roman" w:hAnsi="Times New Roman" w:cs="Times New Roman"/>
          <w:sz w:val="24"/>
          <w:szCs w:val="24"/>
        </w:rPr>
        <w:t xml:space="preserve">w </w:t>
      </w:r>
      <w:r w:rsidRPr="00D46025">
        <w:rPr>
          <w:rFonts w:ascii="Times New Roman" w:hAnsi="Times New Roman" w:cs="Times New Roman"/>
          <w:sz w:val="24"/>
          <w:szCs w:val="24"/>
        </w:rPr>
        <w:t>art. 94 ust. 1 lit. aa rozporządzenia 2023/1114, który wskazuje wprost, że organ nadzoru może nakazać dostawcy usług hostingowych usunięcie lub wyłączenie interfejsu internetowego lub ograniczenie dostępu do niego, a także może nakazać rejestrom domen lub rejestratorom domen usunięcie pełnej nazwy domenowej oraz umożliwić danemu właściwemu organowi jej rejestrację. Środek w postaci rejestracji domeny na rzecz Komisji może służyć przede wszystkim zamieszczeniu w ramach takiej domeny pewnych treści o charakterze prewencyjnym, np. ostrzeżeń dla nieprofesjonalnych uczestników rynku finansowego. Aby takie treści były prezentowane odbiorcom, dostęp do domeny nie powinien być blokowany przez przedsiębiorców telekomunikacyjnych. Przesłanką zastosowania środka, o którym mowa w omawianym artykule, jest zaś wpis do Rejestru. Komisja, po wykonaniu przez rejestr domen lub rejestratora domen obowiązku, o którym mowa w projektowanym art. 7</w:t>
      </w:r>
      <w:r w:rsidR="008C3657" w:rsidRPr="00D46025">
        <w:rPr>
          <w:rFonts w:ascii="Times New Roman" w:hAnsi="Times New Roman" w:cs="Times New Roman"/>
          <w:sz w:val="24"/>
          <w:szCs w:val="24"/>
        </w:rPr>
        <w:t>1</w:t>
      </w:r>
      <w:r w:rsidRPr="00D46025">
        <w:rPr>
          <w:rFonts w:ascii="Times New Roman" w:hAnsi="Times New Roman" w:cs="Times New Roman"/>
          <w:sz w:val="24"/>
          <w:szCs w:val="24"/>
        </w:rPr>
        <w:t xml:space="preserve"> ust. </w:t>
      </w:r>
      <w:r w:rsidR="008C3657" w:rsidRPr="00D46025">
        <w:rPr>
          <w:rFonts w:ascii="Times New Roman" w:hAnsi="Times New Roman" w:cs="Times New Roman"/>
          <w:sz w:val="24"/>
          <w:szCs w:val="24"/>
        </w:rPr>
        <w:t>3</w:t>
      </w:r>
      <w:r w:rsidRPr="00D46025">
        <w:rPr>
          <w:rFonts w:ascii="Times New Roman" w:hAnsi="Times New Roman" w:cs="Times New Roman"/>
          <w:sz w:val="24"/>
          <w:szCs w:val="24"/>
        </w:rPr>
        <w:t xml:space="preserve"> pkt 2 ustawy, wykreśla domenę internetową z Rejestru, co pozostanie bez wpływu na rejestrację nazwy domeny internetowej na rzecz Komisji. Po wykreśleniu domeny z rejestru znajdzie zastosowanie projektowany art. 7</w:t>
      </w:r>
      <w:r w:rsidR="008C3657" w:rsidRPr="00D46025">
        <w:rPr>
          <w:rFonts w:ascii="Times New Roman" w:hAnsi="Times New Roman" w:cs="Times New Roman"/>
          <w:sz w:val="24"/>
          <w:szCs w:val="24"/>
        </w:rPr>
        <w:t>3</w:t>
      </w:r>
      <w:r w:rsidRPr="00D46025">
        <w:rPr>
          <w:rFonts w:ascii="Times New Roman" w:hAnsi="Times New Roman" w:cs="Times New Roman"/>
          <w:sz w:val="24"/>
          <w:szCs w:val="24"/>
        </w:rPr>
        <w:t xml:space="preserve"> ustawy, a treści zamieszczone na niej przez Urząd Komisji Nadzoru Finansowego, zwany dalej „UKNF”, staną się dostępne dla odbiorców. Nie powinno być wątpliwości, że Komisja, po przygotowaniu odpowiednich treści w ramach zarejestrowanej na jej rzecz domeny, może wykreślić wpis z Rejestru, aby treści te stały się dostępne dla odbiorców, co pozostanie przy tym bez wpływu na prawa Komisji do domeny (pomimo odpadnięcia inicjalnego warunku zastosowania tego środka w postaci wpisu do Rejestru). Obowiązek przedsiębiorcy telekomunikacyjnego do przekierowania połączeń do komunikatu na stronie UKNF nie wyczerpie uprawnienia nadzorczego, o którym mowa w art. 94 ust. 1 lit. aa pkt iii rozporządzenia 2023/1114. Uprawnienie to jest szersze niż obowiązek przekierowywania połączeń i może być wykorzystywane np. do przerejestrowania na rzecz UKNF domen, których wyłącznym celem działalności jest naruszanie przepisów rozporządzenia 2023/1114 („</w:t>
      </w:r>
      <w:proofErr w:type="spellStart"/>
      <w:r w:rsidRPr="00D46025">
        <w:rPr>
          <w:rFonts w:ascii="Times New Roman" w:hAnsi="Times New Roman" w:cs="Times New Roman"/>
          <w:sz w:val="24"/>
          <w:szCs w:val="24"/>
        </w:rPr>
        <w:t>scamy</w:t>
      </w:r>
      <w:proofErr w:type="spellEnd"/>
      <w:r w:rsidRPr="00D46025">
        <w:rPr>
          <w:rFonts w:ascii="Times New Roman" w:hAnsi="Times New Roman" w:cs="Times New Roman"/>
          <w:sz w:val="24"/>
          <w:szCs w:val="24"/>
        </w:rPr>
        <w:t>”). Uprawnienie, o którym mowa w art. 7</w:t>
      </w:r>
      <w:r w:rsidR="008C3657" w:rsidRPr="00D46025">
        <w:rPr>
          <w:rFonts w:ascii="Times New Roman" w:hAnsi="Times New Roman" w:cs="Times New Roman"/>
          <w:sz w:val="24"/>
          <w:szCs w:val="24"/>
        </w:rPr>
        <w:t>1</w:t>
      </w:r>
      <w:r w:rsidRPr="00D46025">
        <w:rPr>
          <w:rFonts w:ascii="Times New Roman" w:hAnsi="Times New Roman" w:cs="Times New Roman"/>
          <w:sz w:val="24"/>
          <w:szCs w:val="24"/>
        </w:rPr>
        <w:t xml:space="preserve"> ust. </w:t>
      </w:r>
      <w:r w:rsidR="008C3657" w:rsidRPr="00D46025">
        <w:rPr>
          <w:rFonts w:ascii="Times New Roman" w:hAnsi="Times New Roman" w:cs="Times New Roman"/>
          <w:sz w:val="24"/>
          <w:szCs w:val="24"/>
        </w:rPr>
        <w:t>3</w:t>
      </w:r>
      <w:r w:rsidRPr="00D46025">
        <w:rPr>
          <w:rFonts w:ascii="Times New Roman" w:hAnsi="Times New Roman" w:cs="Times New Roman"/>
          <w:sz w:val="24"/>
          <w:szCs w:val="24"/>
        </w:rPr>
        <w:t xml:space="preserve"> pkt 2 projektu ustawy, może być także wykorzystywane do wyświetlania na przerejestrowanych domenach komunikatów sprofilowanych pod względem treści dla danej sprawy (np. możliwe będzie poinformowanie w ten sposób poszkodowanych o toczącym się postępowaniu karnym wobec właściciela domeny i możliwości dołączenia do tego postępowania). W projektowanych przepisach jednolicie posłużono się nieodpłatnością czynności podejmowanych przez podmioty obowiązane (przedsiębiorcy telekomunikacyjni i dostawcy usług hostingowych), co stanowi odwzorowanie konstrukcji przepisów o rejestrze domen służących do oferowania gier hazardowych (art. 15f ust. 5 ustawy z dnia 19 listopada 2009 r. o grach hazardowych. </w:t>
      </w:r>
      <w:bookmarkStart w:id="14" w:name="_Hlk173157834"/>
      <w:r w:rsidRPr="00D46025">
        <w:rPr>
          <w:rFonts w:ascii="Times New Roman" w:hAnsi="Times New Roman" w:cs="Times New Roman"/>
          <w:sz w:val="24"/>
          <w:szCs w:val="24"/>
        </w:rPr>
        <w:t xml:space="preserve">Wprowadzenie bezterminowo lub na czas wskazany w żądaniu KNF nieodpłatnie rejestracji na rzecz KNF nazwy domeny internetowej wynika z władczych kompetencji oraz uprawnień, które zostały nałożone na organy nadzorcze przez przepisy unijne. Organ nadzoru działa w interesie publicznym i w interesie klienta rynku finansowego, a wszelkie jego działania mają na celu zapewnienie bezpieczeństwa świadczonych przez podmioty rynku usług oraz muszą być adekwatne i proporcjonalne do osiągnięcia niezbędnego celu, jakim jest ochrona inwestorów. </w:t>
      </w:r>
    </w:p>
    <w:bookmarkEnd w:id="14"/>
    <w:p w14:paraId="157A7AFA" w14:textId="7838195A"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7</w:t>
      </w:r>
      <w:r w:rsidR="008C3657">
        <w:rPr>
          <w:rFonts w:ascii="Times New Roman" w:hAnsi="Times New Roman" w:cs="Times New Roman"/>
          <w:b/>
          <w:bCs/>
          <w:sz w:val="24"/>
          <w:szCs w:val="24"/>
        </w:rPr>
        <w:t>3</w:t>
      </w:r>
      <w:r w:rsidRPr="00CD594B">
        <w:rPr>
          <w:rFonts w:ascii="Times New Roman" w:hAnsi="Times New Roman" w:cs="Times New Roman"/>
          <w:sz w:val="24"/>
          <w:szCs w:val="24"/>
        </w:rPr>
        <w:t xml:space="preserve"> stanowi o obowiązkach przedsiębiorcy telekomunikacyjnego oraz dostawcy </w:t>
      </w:r>
      <w:r>
        <w:rPr>
          <w:rFonts w:ascii="Times New Roman" w:hAnsi="Times New Roman" w:cs="Times New Roman"/>
          <w:sz w:val="24"/>
          <w:szCs w:val="24"/>
        </w:rPr>
        <w:t xml:space="preserve">usług </w:t>
      </w:r>
      <w:r w:rsidRPr="00CD594B">
        <w:rPr>
          <w:rFonts w:ascii="Times New Roman" w:hAnsi="Times New Roman" w:cs="Times New Roman"/>
          <w:sz w:val="24"/>
          <w:szCs w:val="24"/>
        </w:rPr>
        <w:t>hostingow</w:t>
      </w:r>
      <w:r>
        <w:rPr>
          <w:rFonts w:ascii="Times New Roman" w:hAnsi="Times New Roman" w:cs="Times New Roman"/>
          <w:sz w:val="24"/>
          <w:szCs w:val="24"/>
        </w:rPr>
        <w:t>ych</w:t>
      </w:r>
      <w:r w:rsidRPr="00CD594B">
        <w:rPr>
          <w:rFonts w:ascii="Times New Roman" w:hAnsi="Times New Roman" w:cs="Times New Roman"/>
          <w:sz w:val="24"/>
          <w:szCs w:val="24"/>
        </w:rPr>
        <w:t>, w przypadku wykreślenia domeny internetowej z Rejestru. Zgodnie z propozycją zawartą w projektowanej ustawie przedsiębiorca telekomunikacyjny jest zobowiązany do nieodpłatnego umożliwienia dostępu do strony internetowej wykorzystującej domenę internetową wykreśloną z Rejestru</w:t>
      </w:r>
      <w:r w:rsidRPr="00C63679">
        <w:t xml:space="preserve"> </w:t>
      </w:r>
      <w:r w:rsidRPr="00CD594B">
        <w:rPr>
          <w:rFonts w:ascii="Times New Roman" w:hAnsi="Times New Roman" w:cs="Times New Roman"/>
          <w:sz w:val="24"/>
          <w:szCs w:val="24"/>
        </w:rPr>
        <w:t xml:space="preserve">oraz do zaprzestania przekierowania połączeń odwołujących się do nazwy domeny internetowej wpisanej do Rejestru do strony internetowej prowadzonej przez Komisję. Z kolei na dostawcy usług hostingowych spoczywa obowiązek nieodpłatnego przywrócenia </w:t>
      </w:r>
      <w:r>
        <w:rPr>
          <w:rFonts w:ascii="Times New Roman" w:hAnsi="Times New Roman" w:cs="Times New Roman"/>
          <w:sz w:val="24"/>
          <w:szCs w:val="24"/>
        </w:rPr>
        <w:t>albo</w:t>
      </w:r>
      <w:r w:rsidRPr="00CD594B">
        <w:rPr>
          <w:rFonts w:ascii="Times New Roman" w:hAnsi="Times New Roman" w:cs="Times New Roman"/>
          <w:sz w:val="24"/>
          <w:szCs w:val="24"/>
        </w:rPr>
        <w:t xml:space="preserve"> włączenia interfejsu </w:t>
      </w:r>
      <w:r>
        <w:rPr>
          <w:rFonts w:ascii="Times New Roman" w:hAnsi="Times New Roman" w:cs="Times New Roman"/>
          <w:sz w:val="24"/>
          <w:szCs w:val="24"/>
        </w:rPr>
        <w:t>internetowego lub</w:t>
      </w:r>
      <w:r w:rsidRPr="00CD594B">
        <w:rPr>
          <w:rFonts w:ascii="Times New Roman" w:hAnsi="Times New Roman" w:cs="Times New Roman"/>
          <w:sz w:val="24"/>
          <w:szCs w:val="24"/>
        </w:rPr>
        <w:t xml:space="preserve"> przywrócenia </w:t>
      </w:r>
      <w:r w:rsidRPr="00EA2979">
        <w:rPr>
          <w:rFonts w:ascii="Times New Roman" w:hAnsi="Times New Roman" w:cs="Times New Roman"/>
          <w:sz w:val="24"/>
          <w:szCs w:val="24"/>
        </w:rPr>
        <w:t xml:space="preserve">dostępu do niego lub przywrócenia </w:t>
      </w:r>
      <w:r w:rsidRPr="00CD594B">
        <w:rPr>
          <w:rFonts w:ascii="Times New Roman" w:hAnsi="Times New Roman" w:cs="Times New Roman"/>
          <w:sz w:val="24"/>
          <w:szCs w:val="24"/>
        </w:rPr>
        <w:t xml:space="preserve">usuniętych </w:t>
      </w:r>
      <w:r>
        <w:rPr>
          <w:rFonts w:ascii="Times New Roman" w:hAnsi="Times New Roman" w:cs="Times New Roman"/>
          <w:sz w:val="24"/>
          <w:szCs w:val="24"/>
        </w:rPr>
        <w:t>na żądanie</w:t>
      </w:r>
      <w:r w:rsidRPr="00CD594B">
        <w:rPr>
          <w:rFonts w:ascii="Times New Roman" w:hAnsi="Times New Roman" w:cs="Times New Roman"/>
          <w:sz w:val="24"/>
          <w:szCs w:val="24"/>
        </w:rPr>
        <w:t xml:space="preserve"> Komisj</w:t>
      </w:r>
      <w:r>
        <w:rPr>
          <w:rFonts w:ascii="Times New Roman" w:hAnsi="Times New Roman" w:cs="Times New Roman"/>
          <w:sz w:val="24"/>
          <w:szCs w:val="24"/>
        </w:rPr>
        <w:t>i</w:t>
      </w:r>
      <w:r w:rsidRPr="00CD594B">
        <w:rPr>
          <w:rFonts w:ascii="Times New Roman" w:hAnsi="Times New Roman" w:cs="Times New Roman"/>
          <w:sz w:val="24"/>
          <w:szCs w:val="24"/>
        </w:rPr>
        <w:t xml:space="preserve"> treści. Zarówno przedsiębiorca telekomunikacyjny</w:t>
      </w:r>
      <w:r>
        <w:rPr>
          <w:rFonts w:ascii="Times New Roman" w:hAnsi="Times New Roman" w:cs="Times New Roman"/>
          <w:sz w:val="24"/>
          <w:szCs w:val="24"/>
        </w:rPr>
        <w:t>,</w:t>
      </w:r>
      <w:r w:rsidRPr="00CD594B">
        <w:rPr>
          <w:rFonts w:ascii="Times New Roman" w:hAnsi="Times New Roman" w:cs="Times New Roman"/>
          <w:sz w:val="24"/>
          <w:szCs w:val="24"/>
        </w:rPr>
        <w:t xml:space="preserve"> jak</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i dostawca usług hostingowych są zobowiązani do wykonania ww. czynności w ciągu </w:t>
      </w:r>
      <w:r>
        <w:rPr>
          <w:rFonts w:ascii="Times New Roman" w:hAnsi="Times New Roman" w:cs="Times New Roman"/>
          <w:sz w:val="24"/>
          <w:szCs w:val="24"/>
        </w:rPr>
        <w:t>dwóch dni roboczych</w:t>
      </w:r>
      <w:r w:rsidRPr="00CD594B">
        <w:rPr>
          <w:rFonts w:ascii="Times New Roman" w:hAnsi="Times New Roman" w:cs="Times New Roman"/>
          <w:sz w:val="24"/>
          <w:szCs w:val="24"/>
        </w:rPr>
        <w:t xml:space="preserve"> od </w:t>
      </w:r>
      <w:r>
        <w:rPr>
          <w:rFonts w:ascii="Times New Roman" w:hAnsi="Times New Roman" w:cs="Times New Roman"/>
          <w:sz w:val="24"/>
          <w:szCs w:val="24"/>
        </w:rPr>
        <w:t xml:space="preserve">dnia </w:t>
      </w:r>
      <w:r w:rsidRPr="00CD594B">
        <w:rPr>
          <w:rFonts w:ascii="Times New Roman" w:hAnsi="Times New Roman" w:cs="Times New Roman"/>
          <w:sz w:val="24"/>
          <w:szCs w:val="24"/>
        </w:rPr>
        <w:t xml:space="preserve">wykreślenia wpisu z Rejestru. Zgodnie z ust. 2, w przypadku </w:t>
      </w:r>
      <w:r w:rsidRPr="00FD5951">
        <w:rPr>
          <w:rFonts w:ascii="Times New Roman" w:eastAsia="Times New Roman" w:hAnsi="Times New Roman" w:cs="Arial"/>
          <w:sz w:val="24"/>
          <w:szCs w:val="20"/>
          <w:lang w:eastAsia="pl-PL"/>
        </w:rPr>
        <w:t>usunięcia informacji zamieszczonych na wyodrębnionej stronie internetowej Komisji pod nazwą „Lista ostrzeżeń publicznych Komisji Nadzoru Finansowego</w:t>
      </w:r>
      <w:r>
        <w:rPr>
          <w:rFonts w:ascii="Times New Roman" w:eastAsia="Times New Roman" w:hAnsi="Times New Roman" w:cs="Arial"/>
          <w:sz w:val="24"/>
          <w:szCs w:val="20"/>
          <w:lang w:eastAsia="pl-PL"/>
        </w:rPr>
        <w:t xml:space="preserve">” </w:t>
      </w:r>
      <w:r w:rsidRPr="00FD5951">
        <w:rPr>
          <w:rFonts w:ascii="Times New Roman" w:eastAsia="Times New Roman" w:hAnsi="Times New Roman" w:cs="Arial"/>
          <w:sz w:val="24"/>
          <w:szCs w:val="20"/>
          <w:lang w:eastAsia="pl-PL"/>
        </w:rPr>
        <w:t xml:space="preserve">dotyczących podmiotu, w związku z którego działalnością złożono zawiadomienie o podejrzeniu popełnienia przestępstwa określonego w art. </w:t>
      </w:r>
      <w:r w:rsidR="008C3657">
        <w:rPr>
          <w:rFonts w:ascii="Times New Roman" w:eastAsia="Times New Roman" w:hAnsi="Times New Roman" w:cs="Arial"/>
          <w:sz w:val="24"/>
          <w:szCs w:val="20"/>
          <w:lang w:eastAsia="pl-PL"/>
        </w:rPr>
        <w:t xml:space="preserve">118 i </w:t>
      </w:r>
      <w:r w:rsidRPr="00FD5951">
        <w:rPr>
          <w:rFonts w:ascii="Times New Roman" w:eastAsia="Times New Roman" w:hAnsi="Times New Roman" w:cs="Arial"/>
          <w:sz w:val="24"/>
          <w:szCs w:val="20"/>
          <w:lang w:eastAsia="pl-PL"/>
        </w:rPr>
        <w:t>12</w:t>
      </w:r>
      <w:r w:rsidR="008C3657">
        <w:rPr>
          <w:rFonts w:ascii="Times New Roman" w:eastAsia="Times New Roman" w:hAnsi="Times New Roman" w:cs="Arial"/>
          <w:sz w:val="24"/>
          <w:szCs w:val="20"/>
          <w:lang w:eastAsia="pl-PL"/>
        </w:rPr>
        <w:t>2</w:t>
      </w:r>
      <w:r>
        <w:rPr>
          <w:rFonts w:ascii="Times New Roman" w:eastAsia="Times New Roman" w:hAnsi="Times New Roman" w:cs="Arial"/>
          <w:sz w:val="24"/>
          <w:szCs w:val="20"/>
          <w:lang w:eastAsia="pl-PL"/>
        </w:rPr>
        <w:t xml:space="preserve"> projektu ustawy</w:t>
      </w:r>
      <w:r w:rsidRPr="00FD5951">
        <w:rPr>
          <w:rFonts w:ascii="Times New Roman" w:eastAsia="Times New Roman" w:hAnsi="Times New Roman" w:cs="Arial"/>
          <w:sz w:val="24"/>
          <w:szCs w:val="20"/>
          <w:lang w:eastAsia="pl-PL"/>
        </w:rPr>
        <w:t xml:space="preserve">, </w:t>
      </w:r>
      <w:r w:rsidRPr="00CD594B">
        <w:rPr>
          <w:rFonts w:ascii="Times New Roman" w:hAnsi="Times New Roman" w:cs="Times New Roman"/>
          <w:sz w:val="24"/>
          <w:szCs w:val="24"/>
        </w:rPr>
        <w:t>zarówno rejestr domen</w:t>
      </w:r>
      <w:r>
        <w:rPr>
          <w:rFonts w:ascii="Times New Roman" w:hAnsi="Times New Roman" w:cs="Times New Roman"/>
          <w:sz w:val="24"/>
          <w:szCs w:val="24"/>
        </w:rPr>
        <w:t>,</w:t>
      </w:r>
      <w:r w:rsidRPr="00CD594B">
        <w:rPr>
          <w:rFonts w:ascii="Times New Roman" w:hAnsi="Times New Roman" w:cs="Times New Roman"/>
          <w:sz w:val="24"/>
          <w:szCs w:val="24"/>
        </w:rPr>
        <w:t xml:space="preserve"> jak i rejestratorzy domen są zobowiązani do przywrócenia nazwy domeny internetowej oraz przerejestrowania nazwy tej domeny z powrotem na rzecz pomiotu, który bezpośrednio przed wpisem do Rejestru posiadał do niej tytuł prawny. Wszystkie te czynności są wykonywane przez rejestr domen i rejestratorów domen nieodpłatnie, w ciągu </w:t>
      </w:r>
      <w:r>
        <w:rPr>
          <w:rFonts w:ascii="Times New Roman" w:hAnsi="Times New Roman" w:cs="Times New Roman"/>
          <w:sz w:val="24"/>
          <w:szCs w:val="24"/>
        </w:rPr>
        <w:t>dwóch dni roboczych</w:t>
      </w:r>
      <w:r w:rsidRPr="00CD594B">
        <w:rPr>
          <w:rFonts w:ascii="Times New Roman" w:hAnsi="Times New Roman" w:cs="Times New Roman"/>
          <w:sz w:val="24"/>
          <w:szCs w:val="24"/>
        </w:rPr>
        <w:t xml:space="preserve"> od </w:t>
      </w:r>
      <w:r>
        <w:rPr>
          <w:rFonts w:ascii="Times New Roman" w:hAnsi="Times New Roman" w:cs="Times New Roman"/>
          <w:sz w:val="24"/>
          <w:szCs w:val="24"/>
        </w:rPr>
        <w:t xml:space="preserve">dnia </w:t>
      </w:r>
      <w:r w:rsidRPr="00CD594B">
        <w:rPr>
          <w:rFonts w:ascii="Times New Roman" w:hAnsi="Times New Roman" w:cs="Times New Roman"/>
          <w:sz w:val="24"/>
          <w:szCs w:val="24"/>
        </w:rPr>
        <w:t>skierowania do nich żądania przez Komisję.</w:t>
      </w:r>
      <w:r>
        <w:rPr>
          <w:rFonts w:ascii="Times New Roman" w:hAnsi="Times New Roman" w:cs="Times New Roman"/>
          <w:sz w:val="24"/>
          <w:szCs w:val="24"/>
        </w:rPr>
        <w:t xml:space="preserve"> </w:t>
      </w:r>
    </w:p>
    <w:p w14:paraId="16CC7BD9" w14:textId="53AC24DC" w:rsidR="00C21D4B" w:rsidRPr="006D73A0"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Art. 7</w:t>
      </w:r>
      <w:r w:rsidR="008C3657">
        <w:rPr>
          <w:rFonts w:ascii="Times New Roman" w:hAnsi="Times New Roman" w:cs="Times New Roman"/>
          <w:b/>
          <w:bCs/>
          <w:sz w:val="24"/>
          <w:szCs w:val="24"/>
        </w:rPr>
        <w:t>4</w:t>
      </w:r>
      <w:r w:rsidRPr="001E3908">
        <w:rPr>
          <w:rFonts w:ascii="Times New Roman" w:hAnsi="Times New Roman" w:cs="Times New Roman"/>
          <w:b/>
          <w:bCs/>
          <w:sz w:val="24"/>
          <w:szCs w:val="24"/>
        </w:rPr>
        <w:t xml:space="preserve"> i art. 7</w:t>
      </w:r>
      <w:r w:rsidR="008C3657">
        <w:rPr>
          <w:rFonts w:ascii="Times New Roman" w:hAnsi="Times New Roman" w:cs="Times New Roman"/>
          <w:b/>
          <w:bCs/>
          <w:sz w:val="24"/>
          <w:szCs w:val="24"/>
        </w:rPr>
        <w:t>5</w:t>
      </w:r>
      <w:r w:rsidRPr="001E3908">
        <w:rPr>
          <w:rFonts w:ascii="Times New Roman" w:hAnsi="Times New Roman" w:cs="Times New Roman"/>
          <w:sz w:val="24"/>
          <w:szCs w:val="24"/>
        </w:rPr>
        <w:t xml:space="preserve"> stanowią, że Rejestr jest jawny oraz prowadzony w systemie teleinformatycznym, umożliwiającym automatyczne przekazywanie informacji do systemów teleinformatycznych przedsiębiorców telekomunikacyjnych i dostawców usług hostingowych.</w:t>
      </w:r>
    </w:p>
    <w:p w14:paraId="6FC7DEA6" w14:textId="37EF9009" w:rsidR="006D73A0" w:rsidRPr="00FA7379" w:rsidRDefault="008C3657" w:rsidP="00781E1E">
      <w:pPr>
        <w:pStyle w:val="Akapitzlist"/>
        <w:numPr>
          <w:ilvl w:val="0"/>
          <w:numId w:val="2"/>
        </w:numPr>
        <w:spacing w:line="360" w:lineRule="auto"/>
        <w:jc w:val="both"/>
        <w:rPr>
          <w:rFonts w:ascii="Times New Roman" w:eastAsia="Aptos" w:hAnsi="Times New Roman" w:cs="Times New Roman"/>
          <w:color w:val="000000"/>
          <w:sz w:val="24"/>
          <w:szCs w:val="24"/>
        </w:rPr>
      </w:pPr>
      <w:r w:rsidRPr="00FA7379">
        <w:rPr>
          <w:rFonts w:ascii="Times New Roman" w:hAnsi="Times New Roman" w:cs="Times New Roman"/>
          <w:b/>
          <w:bCs/>
          <w:sz w:val="24"/>
          <w:szCs w:val="24"/>
        </w:rPr>
        <w:t>Art.</w:t>
      </w:r>
      <w:r w:rsidRPr="00FA7379">
        <w:rPr>
          <w:rFonts w:ascii="Times New Roman" w:hAnsi="Times New Roman" w:cs="Times New Roman"/>
          <w:bCs/>
          <w:sz w:val="24"/>
          <w:szCs w:val="24"/>
        </w:rPr>
        <w:t xml:space="preserve"> </w:t>
      </w:r>
      <w:r w:rsidRPr="00FA7379">
        <w:rPr>
          <w:rFonts w:ascii="Times New Roman" w:hAnsi="Times New Roman" w:cs="Times New Roman"/>
          <w:b/>
          <w:sz w:val="24"/>
          <w:szCs w:val="24"/>
        </w:rPr>
        <w:t>76</w:t>
      </w:r>
      <w:r w:rsidRPr="00FA7379">
        <w:rPr>
          <w:rFonts w:ascii="Times New Roman" w:hAnsi="Times New Roman" w:cs="Times New Roman"/>
          <w:bCs/>
          <w:sz w:val="24"/>
          <w:szCs w:val="24"/>
        </w:rPr>
        <w:t xml:space="preserve"> </w:t>
      </w:r>
      <w:r w:rsidR="00897232">
        <w:rPr>
          <w:rFonts w:ascii="Times New Roman" w:eastAsia="Aptos" w:hAnsi="Times New Roman" w:cs="Times New Roman"/>
          <w:color w:val="000000"/>
          <w:sz w:val="24"/>
          <w:szCs w:val="24"/>
        </w:rPr>
        <w:t>w</w:t>
      </w:r>
      <w:r w:rsidR="006D73A0" w:rsidRPr="00FA7379">
        <w:rPr>
          <w:rFonts w:ascii="Times New Roman" w:eastAsia="Aptos" w:hAnsi="Times New Roman" w:cs="Times New Roman"/>
          <w:color w:val="000000"/>
          <w:sz w:val="24"/>
          <w:szCs w:val="24"/>
        </w:rPr>
        <w:t xml:space="preserve"> przypadku innych naruszeń uzasadnione jest stworzenie mniej inwazyjnego rozwiązania z punktu widzenia zasad i wartości konstytucyjnych</w:t>
      </w:r>
      <w:r w:rsidR="00E5780F">
        <w:rPr>
          <w:rFonts w:ascii="Times New Roman" w:eastAsia="Aptos" w:hAnsi="Times New Roman" w:cs="Times New Roman"/>
          <w:color w:val="000000"/>
          <w:sz w:val="24"/>
          <w:szCs w:val="24"/>
        </w:rPr>
        <w:t xml:space="preserve"> niż dotychczas przyjmowane przez Sejm i Senat</w:t>
      </w:r>
      <w:r w:rsidR="006D73A0" w:rsidRPr="00FA7379">
        <w:rPr>
          <w:rFonts w:ascii="Times New Roman" w:eastAsia="Aptos" w:hAnsi="Times New Roman" w:cs="Times New Roman"/>
          <w:color w:val="000000"/>
          <w:sz w:val="24"/>
          <w:szCs w:val="24"/>
        </w:rPr>
        <w:t>. Z tych względów przepisy</w:t>
      </w:r>
      <w:r w:rsidR="005D7FF6">
        <w:rPr>
          <w:rFonts w:ascii="Times New Roman" w:eastAsia="Aptos" w:hAnsi="Times New Roman" w:cs="Times New Roman"/>
          <w:color w:val="000000"/>
          <w:sz w:val="24"/>
          <w:szCs w:val="24"/>
        </w:rPr>
        <w:t xml:space="preserve"> art. 76</w:t>
      </w:r>
      <w:r w:rsidR="006D73A0" w:rsidRPr="00FA7379">
        <w:rPr>
          <w:rFonts w:ascii="Times New Roman" w:eastAsia="Aptos" w:hAnsi="Times New Roman" w:cs="Times New Roman"/>
          <w:color w:val="000000"/>
          <w:sz w:val="24"/>
          <w:szCs w:val="24"/>
        </w:rPr>
        <w:t xml:space="preserve"> przewidują, że w przypadku domeny internetowej wykorzystywanej do prowadzenia działalności naruszającej przepisy rozporządzenia 2023/1114 w sposób inny niż określony w art. 6</w:t>
      </w:r>
      <w:r w:rsidR="002E4AEA">
        <w:rPr>
          <w:rFonts w:ascii="Times New Roman" w:eastAsia="Aptos" w:hAnsi="Times New Roman" w:cs="Times New Roman"/>
          <w:color w:val="000000"/>
          <w:sz w:val="24"/>
          <w:szCs w:val="24"/>
        </w:rPr>
        <w:t>8</w:t>
      </w:r>
      <w:r w:rsidR="006D73A0" w:rsidRPr="00FA7379">
        <w:rPr>
          <w:rFonts w:ascii="Times New Roman" w:eastAsia="Aptos" w:hAnsi="Times New Roman" w:cs="Times New Roman"/>
          <w:color w:val="000000"/>
          <w:sz w:val="24"/>
          <w:szCs w:val="24"/>
        </w:rPr>
        <w:t xml:space="preserve"> (prowadzenia działalności bez wymaganego zezwolenia), jeżeli jest to niezbędne do zapobieżenia ryzyku wyrządzenia poważnych szkód klientom lub posiadaczom </w:t>
      </w:r>
      <w:proofErr w:type="spellStart"/>
      <w:r w:rsidR="006D73A0" w:rsidRPr="00FA7379">
        <w:rPr>
          <w:rFonts w:ascii="Times New Roman" w:eastAsia="Aptos" w:hAnsi="Times New Roman" w:cs="Times New Roman"/>
          <w:color w:val="000000"/>
          <w:sz w:val="24"/>
          <w:szCs w:val="24"/>
        </w:rPr>
        <w:t>kryptoaktywów</w:t>
      </w:r>
      <w:proofErr w:type="spellEnd"/>
      <w:r w:rsidR="006D73A0" w:rsidRPr="00FA7379">
        <w:rPr>
          <w:rFonts w:ascii="Times New Roman" w:eastAsia="Aptos" w:hAnsi="Times New Roman" w:cs="Times New Roman"/>
          <w:color w:val="000000"/>
          <w:sz w:val="24"/>
          <w:szCs w:val="24"/>
        </w:rPr>
        <w:t xml:space="preserve"> – w przypadku braku innych skutecznych środków prowadzących do zaprzestania naruszania przepisów rozporządzenia 2023/1114, Komisja </w:t>
      </w:r>
      <w:r w:rsidR="00897232">
        <w:rPr>
          <w:rFonts w:ascii="Times New Roman" w:eastAsia="Aptos" w:hAnsi="Times New Roman" w:cs="Times New Roman"/>
          <w:color w:val="000000"/>
          <w:sz w:val="24"/>
          <w:szCs w:val="24"/>
        </w:rPr>
        <w:t xml:space="preserve">będzie </w:t>
      </w:r>
      <w:r w:rsidR="006D73A0" w:rsidRPr="00FA7379">
        <w:rPr>
          <w:rFonts w:ascii="Times New Roman" w:eastAsia="Aptos" w:hAnsi="Times New Roman" w:cs="Times New Roman"/>
          <w:color w:val="000000"/>
          <w:sz w:val="24"/>
          <w:szCs w:val="24"/>
        </w:rPr>
        <w:t>poda</w:t>
      </w:r>
      <w:r w:rsidR="00897232">
        <w:rPr>
          <w:rFonts w:ascii="Times New Roman" w:eastAsia="Aptos" w:hAnsi="Times New Roman" w:cs="Times New Roman"/>
          <w:color w:val="000000"/>
          <w:sz w:val="24"/>
          <w:szCs w:val="24"/>
        </w:rPr>
        <w:t>wać</w:t>
      </w:r>
      <w:r w:rsidR="006D73A0" w:rsidRPr="00FA7379">
        <w:rPr>
          <w:rFonts w:ascii="Times New Roman" w:eastAsia="Aptos" w:hAnsi="Times New Roman" w:cs="Times New Roman"/>
          <w:color w:val="000000"/>
          <w:sz w:val="24"/>
          <w:szCs w:val="24"/>
        </w:rPr>
        <w:t xml:space="preserve"> informacje do publicznej wiadomości o wykorzystywaniu domeny do takiej działalności oraz o sposobie i formie prowadzenia działalności naruszającej przepisy rozporządzenia 2023/1114. Informacje te będą </w:t>
      </w:r>
      <w:r w:rsidR="006D73A0" w:rsidRPr="00FA7379">
        <w:rPr>
          <w:rFonts w:ascii="Times New Roman" w:eastAsia="Aptos" w:hAnsi="Times New Roman" w:cs="Times New Roman"/>
          <w:sz w:val="24"/>
          <w:szCs w:val="24"/>
        </w:rPr>
        <w:t>podawane są do wiadomości publicznej poprzez zamieszczenie na wyodrębnionej stronie internetowej Komisji, w drodze wpisu, pod nazwą „Lista ostrzeżeń publicznych Komisji Nadzoru Finansowego”.  Uprawnionemu będzie przysługiwało prawo do wniesienia sprzeciwu o</w:t>
      </w:r>
      <w:r w:rsidR="00897232">
        <w:rPr>
          <w:rFonts w:ascii="Times New Roman" w:eastAsia="Aptos" w:hAnsi="Times New Roman" w:cs="Times New Roman"/>
          <w:sz w:val="24"/>
          <w:szCs w:val="24"/>
        </w:rPr>
        <w:t xml:space="preserve">d </w:t>
      </w:r>
      <w:r w:rsidR="006D73A0" w:rsidRPr="00FA7379">
        <w:rPr>
          <w:rFonts w:ascii="Times New Roman" w:eastAsia="Aptos" w:hAnsi="Times New Roman" w:cs="Times New Roman"/>
          <w:sz w:val="24"/>
          <w:szCs w:val="24"/>
        </w:rPr>
        <w:t xml:space="preserve">wpisu na Listę ostrzeżeń publicznych. Jednocześnie proponuje się dla wzmocnienia ochrony praw konsumentów wprowadzenie dodatkowego rozwiązania, które polega na tym, że </w:t>
      </w:r>
      <w:r w:rsidR="006D73A0" w:rsidRPr="00FA7379">
        <w:rPr>
          <w:rFonts w:ascii="Times New Roman" w:eastAsia="Aptos" w:hAnsi="Times New Roman" w:cs="Times New Roman"/>
          <w:color w:val="000000"/>
          <w:sz w:val="24"/>
          <w:szCs w:val="24"/>
        </w:rPr>
        <w:t>w</w:t>
      </w:r>
      <w:r w:rsidR="006D73A0" w:rsidRPr="00FA7379">
        <w:rPr>
          <w:rFonts w:ascii="Aptos" w:eastAsia="Aptos" w:hAnsi="Aptos" w:cs="Times New Roman"/>
          <w:color w:val="000000"/>
          <w:sz w:val="24"/>
          <w:szCs w:val="24"/>
        </w:rPr>
        <w:t xml:space="preserve"> </w:t>
      </w:r>
      <w:r w:rsidR="006D73A0" w:rsidRPr="00FA7379">
        <w:rPr>
          <w:rFonts w:ascii="Times New Roman" w:eastAsia="Aptos" w:hAnsi="Times New Roman" w:cs="Times New Roman"/>
          <w:color w:val="000000"/>
          <w:sz w:val="24"/>
          <w:szCs w:val="24"/>
        </w:rPr>
        <w:t xml:space="preserve">przypadku opublikowania informacji, na Liście ostrzeżeń publicznych Komisji Nadzoru Finansowego, </w:t>
      </w:r>
      <w:r w:rsidR="006D73A0" w:rsidRPr="00FA7379">
        <w:rPr>
          <w:rFonts w:ascii="Times New Roman" w:eastAsia="Aptos" w:hAnsi="Times New Roman" w:cs="Times New Roman"/>
          <w:sz w:val="24"/>
          <w:szCs w:val="24"/>
          <w:shd w:val="clear" w:color="auto" w:fill="FFFFFF"/>
        </w:rPr>
        <w:t>Przewodniczący Komisji wyst</w:t>
      </w:r>
      <w:r w:rsidR="00D46025">
        <w:rPr>
          <w:rFonts w:ascii="Times New Roman" w:eastAsia="Aptos" w:hAnsi="Times New Roman" w:cs="Times New Roman"/>
          <w:sz w:val="24"/>
          <w:szCs w:val="24"/>
          <w:shd w:val="clear" w:color="auto" w:fill="FFFFFF"/>
        </w:rPr>
        <w:t>ę</w:t>
      </w:r>
      <w:r w:rsidR="006D73A0" w:rsidRPr="00FA7379">
        <w:rPr>
          <w:rFonts w:ascii="Times New Roman" w:eastAsia="Aptos" w:hAnsi="Times New Roman" w:cs="Times New Roman"/>
          <w:sz w:val="24"/>
          <w:szCs w:val="24"/>
          <w:shd w:val="clear" w:color="auto" w:fill="FFFFFF"/>
        </w:rPr>
        <w:t>p</w:t>
      </w:r>
      <w:r w:rsidR="00D46025">
        <w:rPr>
          <w:rFonts w:ascii="Times New Roman" w:eastAsia="Aptos" w:hAnsi="Times New Roman" w:cs="Times New Roman"/>
          <w:sz w:val="24"/>
          <w:szCs w:val="24"/>
          <w:shd w:val="clear" w:color="auto" w:fill="FFFFFF"/>
        </w:rPr>
        <w:t>uje</w:t>
      </w:r>
      <w:r w:rsidR="006D73A0" w:rsidRPr="00FA7379">
        <w:rPr>
          <w:rFonts w:ascii="Times New Roman" w:eastAsia="Aptos" w:hAnsi="Times New Roman" w:cs="Times New Roman"/>
          <w:sz w:val="24"/>
          <w:szCs w:val="24"/>
          <w:shd w:val="clear" w:color="auto" w:fill="FFFFFF"/>
        </w:rPr>
        <w:t xml:space="preserve"> z żądaniem do </w:t>
      </w:r>
      <w:r w:rsidR="006D73A0" w:rsidRPr="00FA7379">
        <w:rPr>
          <w:rFonts w:ascii="Times New Roman" w:eastAsia="Aptos" w:hAnsi="Times New Roman" w:cs="Times New Roman"/>
          <w:color w:val="000000"/>
          <w:sz w:val="24"/>
          <w:szCs w:val="24"/>
        </w:rPr>
        <w:t xml:space="preserve">podmiotu wykorzystującego nazwę domeny internetowej lub posiadającego tytuł prawny do tej domeny o opublikowanie w domenie internetowej komunikatu o fakcie publikacji tych informacji na Liście ostrzeżeń publicznych Komisji Nadzoru Finansowego oraz o ich treści. Żądanie takie będzie zawierało datę jego wydania, treść komunikatu podlegającego publikacji, formę i termin jego publikacji oraz uzasadnienie. Ma to na celu prawidłowe określenie obowiązku publikacji, tak aby konsument, który wejdzie na stronę mógł zapoznać się z takim komunikatem. Na żądanie Przewodniczącego Komisji podmiotowi wykorzystującemu nazwę domeny internetowej lub posiadającemu tytuł prawny do tej domeny </w:t>
      </w:r>
      <w:r w:rsidR="00897232">
        <w:rPr>
          <w:rFonts w:ascii="Times New Roman" w:eastAsia="Aptos" w:hAnsi="Times New Roman" w:cs="Times New Roman"/>
          <w:color w:val="000000"/>
          <w:sz w:val="24"/>
          <w:szCs w:val="24"/>
        </w:rPr>
        <w:t xml:space="preserve">będzie </w:t>
      </w:r>
      <w:r w:rsidR="006D73A0" w:rsidRPr="00FA7379">
        <w:rPr>
          <w:rFonts w:ascii="Times New Roman" w:eastAsia="Aptos" w:hAnsi="Times New Roman" w:cs="Times New Roman"/>
          <w:color w:val="000000"/>
          <w:sz w:val="24"/>
          <w:szCs w:val="24"/>
        </w:rPr>
        <w:t>służy</w:t>
      </w:r>
      <w:r w:rsidR="00897232">
        <w:rPr>
          <w:rFonts w:ascii="Times New Roman" w:eastAsia="Aptos" w:hAnsi="Times New Roman" w:cs="Times New Roman"/>
          <w:color w:val="000000"/>
          <w:sz w:val="24"/>
          <w:szCs w:val="24"/>
        </w:rPr>
        <w:t>ła</w:t>
      </w:r>
      <w:r w:rsidR="006D73A0" w:rsidRPr="00FA7379">
        <w:rPr>
          <w:rFonts w:ascii="Times New Roman" w:eastAsia="Aptos" w:hAnsi="Times New Roman" w:cs="Times New Roman"/>
          <w:color w:val="000000"/>
          <w:sz w:val="24"/>
          <w:szCs w:val="24"/>
        </w:rPr>
        <w:t xml:space="preserve"> skarga do sądu administracyjnego w terminie 30 dni od dnia otrzymania odpisu tego żądania. Obowiązek publikacji komunikatu ustanie w takich samych przypadkach jak obowiązek publikacji na Liście ostrzeżeń publicznych Komisji Nadzoru Finansowego. </w:t>
      </w:r>
    </w:p>
    <w:p w14:paraId="3DB8020F" w14:textId="61B56CCE" w:rsidR="008C3657" w:rsidRPr="001E3908" w:rsidRDefault="008C3657" w:rsidP="001E74A1">
      <w:pPr>
        <w:pStyle w:val="Akapitzlist"/>
        <w:spacing w:line="360" w:lineRule="auto"/>
        <w:jc w:val="both"/>
        <w:rPr>
          <w:rFonts w:ascii="Times New Roman" w:hAnsi="Times New Roman" w:cs="Times New Roman"/>
          <w:bCs/>
          <w:sz w:val="24"/>
          <w:szCs w:val="24"/>
        </w:rPr>
      </w:pPr>
    </w:p>
    <w:p w14:paraId="5733C533" w14:textId="3229FBDE"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sidR="008C3657">
        <w:rPr>
          <w:rFonts w:ascii="Times New Roman" w:hAnsi="Times New Roman" w:cs="Times New Roman"/>
          <w:b/>
          <w:bCs/>
          <w:sz w:val="24"/>
          <w:szCs w:val="24"/>
        </w:rPr>
        <w:t>77</w:t>
      </w:r>
      <w:r w:rsidRPr="001E3908">
        <w:rPr>
          <w:rFonts w:ascii="Times New Roman" w:hAnsi="Times New Roman" w:cs="Times New Roman"/>
          <w:sz w:val="24"/>
          <w:szCs w:val="24"/>
        </w:rPr>
        <w:t xml:space="preserve"> reguluje kwestie opłat na pokrycie kosztów nadzoru nad rynkiem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w:t>
      </w:r>
      <w:r>
        <w:rPr>
          <w:rFonts w:ascii="Times New Roman" w:hAnsi="Times New Roman" w:cs="Times New Roman"/>
          <w:sz w:val="24"/>
          <w:szCs w:val="24"/>
        </w:rPr>
        <w:t>Ust. 1 pkt 1 lit. a tego p</w:t>
      </w:r>
      <w:r w:rsidRPr="001E3908">
        <w:rPr>
          <w:rFonts w:ascii="Times New Roman" w:hAnsi="Times New Roman" w:cs="Times New Roman"/>
          <w:sz w:val="24"/>
          <w:szCs w:val="24"/>
        </w:rPr>
        <w:t>rzepis</w:t>
      </w:r>
      <w:r>
        <w:rPr>
          <w:rFonts w:ascii="Times New Roman" w:hAnsi="Times New Roman" w:cs="Times New Roman"/>
          <w:sz w:val="24"/>
          <w:szCs w:val="24"/>
        </w:rPr>
        <w:t>u</w:t>
      </w:r>
      <w:r w:rsidRPr="001E3908">
        <w:rPr>
          <w:rFonts w:ascii="Times New Roman" w:hAnsi="Times New Roman" w:cs="Times New Roman"/>
          <w:sz w:val="24"/>
          <w:szCs w:val="24"/>
        </w:rPr>
        <w:t xml:space="preserve"> przewiduje opłaty za uzyskanie dwóch rodzajów zezwoleń. W pierwszym przypadku jest to opłata za uzyskanie zezwolenia na dokonanie oferty publicznej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powiązanych z aktywami, której maksymalna kwota ustalona w ramach delegacji ustawowej pozostanie na poziomie nie wyższym niż równowartość w złotych kwoty 4500 euro. W drugim przypadku jest to zezwolenie na prowadzenie działalności jako dostawca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Może ono dotyczyć wszystkich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(por. art. 3 ust. 1 pkt 16 rozporządzenia </w:t>
      </w:r>
      <w:proofErr w:type="spellStart"/>
      <w:r w:rsidRPr="001E3908">
        <w:rPr>
          <w:rFonts w:ascii="Times New Roman" w:hAnsi="Times New Roman" w:cs="Times New Roman"/>
          <w:sz w:val="24"/>
          <w:szCs w:val="24"/>
        </w:rPr>
        <w:t>MiCA</w:t>
      </w:r>
      <w:proofErr w:type="spellEnd"/>
      <w:r w:rsidRPr="001E3908">
        <w:rPr>
          <w:rFonts w:ascii="Times New Roman" w:hAnsi="Times New Roman" w:cs="Times New Roman"/>
          <w:sz w:val="24"/>
          <w:szCs w:val="24"/>
        </w:rPr>
        <w:t>), ale też poszczególnych usług wymienionych w art. 3 ust. 1 pkt</w:t>
      </w:r>
      <w:r>
        <w:rPr>
          <w:rFonts w:ascii="Times New Roman" w:hAnsi="Times New Roman" w:cs="Times New Roman"/>
          <w:sz w:val="24"/>
          <w:szCs w:val="24"/>
        </w:rPr>
        <w:t> </w:t>
      </w:r>
      <w:r w:rsidRPr="001E3908">
        <w:rPr>
          <w:rFonts w:ascii="Times New Roman" w:hAnsi="Times New Roman" w:cs="Times New Roman"/>
          <w:sz w:val="24"/>
          <w:szCs w:val="24"/>
        </w:rPr>
        <w:t xml:space="preserve">16 rozporządzenia </w:t>
      </w:r>
      <w:proofErr w:type="spellStart"/>
      <w:r w:rsidRPr="001E3908">
        <w:rPr>
          <w:rFonts w:ascii="Times New Roman" w:hAnsi="Times New Roman" w:cs="Times New Roman"/>
          <w:sz w:val="24"/>
          <w:szCs w:val="24"/>
        </w:rPr>
        <w:t>MiCA</w:t>
      </w:r>
      <w:proofErr w:type="spellEnd"/>
      <w:r w:rsidRPr="001E3908">
        <w:rPr>
          <w:rFonts w:ascii="Times New Roman" w:hAnsi="Times New Roman" w:cs="Times New Roman"/>
          <w:sz w:val="24"/>
          <w:szCs w:val="24"/>
        </w:rPr>
        <w:t xml:space="preserve">. W tym drugim przypadku zezwolenie będzie w treści decyzji KNF obejmować określone usługi – będzie to zezwolenie na prowadzenie działalności w zakresie określonym w zezwoleniu. Z racji tego, że zezwolenie dla dostawcy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może mieć charakter „pełny” (obejmować wszystkie wymienione w rozporządzeniu </w:t>
      </w:r>
      <w:proofErr w:type="spellStart"/>
      <w:r w:rsidRPr="001E3908">
        <w:rPr>
          <w:rFonts w:ascii="Times New Roman" w:hAnsi="Times New Roman" w:cs="Times New Roman"/>
          <w:sz w:val="24"/>
          <w:szCs w:val="24"/>
        </w:rPr>
        <w:t>MiCA</w:t>
      </w:r>
      <w:proofErr w:type="spellEnd"/>
      <w:r w:rsidRPr="001E3908">
        <w:rPr>
          <w:rFonts w:ascii="Times New Roman" w:hAnsi="Times New Roman" w:cs="Times New Roman"/>
          <w:sz w:val="24"/>
          <w:szCs w:val="24"/>
        </w:rPr>
        <w:t xml:space="preserve"> usługi), jak i ograniczony (do jednej czy kilku usług) nieadekwatne z punktu widzenia dostawców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byłoby w każdym przypadku pobieranie przez KNF opłaty w stałej wysokości równowartości w złotych kwoty 4500 euro.</w:t>
      </w:r>
      <w:r w:rsidR="00695ECE">
        <w:rPr>
          <w:rFonts w:ascii="Times New Roman" w:hAnsi="Times New Roman" w:cs="Times New Roman"/>
          <w:sz w:val="24"/>
          <w:szCs w:val="24"/>
        </w:rPr>
        <w:t xml:space="preserve"> </w:t>
      </w:r>
      <w:r w:rsidRPr="001E3908">
        <w:rPr>
          <w:rFonts w:ascii="Times New Roman" w:hAnsi="Times New Roman" w:cs="Times New Roman"/>
          <w:sz w:val="24"/>
          <w:szCs w:val="24"/>
        </w:rPr>
        <w:t xml:space="preserve">Dlatego też w zależności od zakresu zezwolenia rozporządzenie wykonawcze w tej kwestii powinno różnicować wysokość opłaty – do maksymalnej wysokości równowartości w złotych kwoty 4500 euro. Ust. 1 pkt 1 określa maksymalną wysokość opłaty za wydanie zezwolenia na ofertę publiczną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powiązanych z aktywami, prowadzenie działalności w charakterze dostawcy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przez osoby prawne lub przedsiębiorców oraz za dokonanie oceny powiadomienia, o którym mowa w art. 17 ust. 3, </w:t>
      </w:r>
      <w:r w:rsidRPr="00FD5951">
        <w:rPr>
          <w:rFonts w:ascii="Times New Roman" w:eastAsia="Times New Roman" w:hAnsi="Times New Roman" w:cs="Arial"/>
          <w:sz w:val="24"/>
          <w:szCs w:val="20"/>
          <w:lang w:eastAsia="pl-PL"/>
        </w:rPr>
        <w:t>art. 41 ust. 4</w:t>
      </w:r>
      <w:r>
        <w:rPr>
          <w:rFonts w:ascii="Times New Roman" w:eastAsia="Times New Roman" w:hAnsi="Times New Roman" w:cs="Arial"/>
          <w:sz w:val="24"/>
          <w:szCs w:val="20"/>
          <w:lang w:eastAsia="pl-PL"/>
        </w:rPr>
        <w:t xml:space="preserve">, </w:t>
      </w:r>
      <w:r w:rsidRPr="001E3908">
        <w:rPr>
          <w:rFonts w:ascii="Times New Roman" w:hAnsi="Times New Roman" w:cs="Times New Roman"/>
          <w:sz w:val="24"/>
          <w:szCs w:val="24"/>
        </w:rPr>
        <w:t>art. 60 ust. 8</w:t>
      </w:r>
      <w:r w:rsidR="00EB36D2">
        <w:rPr>
          <w:rFonts w:ascii="Times New Roman" w:hAnsi="Times New Roman" w:cs="Times New Roman"/>
          <w:sz w:val="24"/>
          <w:szCs w:val="24"/>
        </w:rPr>
        <w:t xml:space="preserve"> </w:t>
      </w:r>
      <w:r w:rsidRPr="001E3908">
        <w:rPr>
          <w:rFonts w:ascii="Times New Roman" w:hAnsi="Times New Roman" w:cs="Times New Roman"/>
          <w:sz w:val="24"/>
          <w:szCs w:val="24"/>
        </w:rPr>
        <w:t xml:space="preserve">i art. 83 ust. 4 rozporządzenia 2023/1114. Zgodnie z ust. 1 pkt 1 została określona maksymalna wysokość opłaty na poziomie nie większym niż równowartość w złotych kwoty 4500 euro. Natomiast ust. 1 pkt 2 lit. a określa opłatę za zatwierdzenie dokumentu informacyjnego, o którym mowa w art. 17 ust. 1 lit a rozporządzenia 2023/1114, dotyczącego </w:t>
      </w:r>
      <w:proofErr w:type="spellStart"/>
      <w:r w:rsidRPr="001E3908">
        <w:rPr>
          <w:rFonts w:ascii="Times New Roman" w:hAnsi="Times New Roman" w:cs="Times New Roman"/>
          <w:sz w:val="24"/>
          <w:szCs w:val="24"/>
        </w:rPr>
        <w:t>kryptoaktywa</w:t>
      </w:r>
      <w:proofErr w:type="spellEnd"/>
      <w:r w:rsidRPr="001E3908">
        <w:rPr>
          <w:rFonts w:ascii="Times New Roman" w:hAnsi="Times New Roman" w:cs="Times New Roman"/>
          <w:sz w:val="24"/>
          <w:szCs w:val="24"/>
        </w:rPr>
        <w:t xml:space="preserve"> dla </w:t>
      </w:r>
      <w:proofErr w:type="spellStart"/>
      <w:r w:rsidRPr="001E3908">
        <w:rPr>
          <w:rFonts w:ascii="Times New Roman" w:hAnsi="Times New Roman" w:cs="Times New Roman"/>
          <w:sz w:val="24"/>
          <w:szCs w:val="24"/>
        </w:rPr>
        <w:t>tokena</w:t>
      </w:r>
      <w:proofErr w:type="spellEnd"/>
      <w:r w:rsidRPr="001E3908">
        <w:rPr>
          <w:rFonts w:ascii="Times New Roman" w:hAnsi="Times New Roman" w:cs="Times New Roman"/>
          <w:sz w:val="24"/>
          <w:szCs w:val="24"/>
        </w:rPr>
        <w:t xml:space="preserve"> powiązanego z aktywami</w:t>
      </w:r>
      <w:r w:rsidRPr="00EF4797">
        <w:t xml:space="preserve"> </w:t>
      </w:r>
      <w:r w:rsidRPr="001E3908">
        <w:rPr>
          <w:rFonts w:ascii="Times New Roman" w:hAnsi="Times New Roman" w:cs="Times New Roman"/>
          <w:sz w:val="24"/>
          <w:szCs w:val="24"/>
        </w:rPr>
        <w:t xml:space="preserve">emitowanego przez instytucję kredytową, która ma odpowiadać wysokości równowartości w złotych kwoty 3000 euro. Zatwierdzenie zmienianego dokumentu informacyjnego, o którym mowa w art. 25 rozporządzenia 2023/1114, będzie podlegało opłacie w wysokości równowartości w złotych kwoty 1000 euro. Ust. 1 pkt </w:t>
      </w:r>
      <w:r>
        <w:rPr>
          <w:rFonts w:ascii="Times New Roman" w:hAnsi="Times New Roman" w:cs="Times New Roman"/>
          <w:sz w:val="24"/>
          <w:szCs w:val="24"/>
        </w:rPr>
        <w:t>3</w:t>
      </w:r>
      <w:r w:rsidRPr="001E3908">
        <w:rPr>
          <w:rFonts w:ascii="Times New Roman" w:hAnsi="Times New Roman" w:cs="Times New Roman"/>
          <w:sz w:val="24"/>
          <w:szCs w:val="24"/>
        </w:rPr>
        <w:t xml:space="preserve"> określa wysokość opłaty za zgłoszenie Komisji dokumentu informacyjnego, o którym mowa odpowiednio w art. 8 ust. 1 i art. 51 ust. 11</w:t>
      </w:r>
      <w:r>
        <w:rPr>
          <w:rFonts w:ascii="Times New Roman" w:hAnsi="Times New Roman" w:cs="Times New Roman"/>
          <w:sz w:val="24"/>
          <w:szCs w:val="24"/>
        </w:rPr>
        <w:t xml:space="preserve"> rozporządzenia 2023/1114</w:t>
      </w:r>
      <w:r w:rsidRPr="001E3908">
        <w:rPr>
          <w:rFonts w:ascii="Times New Roman" w:hAnsi="Times New Roman" w:cs="Times New Roman"/>
          <w:sz w:val="24"/>
          <w:szCs w:val="24"/>
        </w:rPr>
        <w:t>, lub zmienionego dokumentu informacyjnego, o którym mowa w art. 12 ust. 2 i art. 51 ust</w:t>
      </w:r>
      <w:r>
        <w:rPr>
          <w:rFonts w:ascii="Times New Roman" w:hAnsi="Times New Roman" w:cs="Times New Roman"/>
          <w:sz w:val="24"/>
          <w:szCs w:val="24"/>
        </w:rPr>
        <w:t>.</w:t>
      </w:r>
      <w:r w:rsidRPr="001E3908">
        <w:rPr>
          <w:rFonts w:ascii="Times New Roman" w:hAnsi="Times New Roman" w:cs="Times New Roman"/>
          <w:sz w:val="24"/>
          <w:szCs w:val="24"/>
        </w:rPr>
        <w:t xml:space="preserve"> 12 rozporządzenia 2023/1114</w:t>
      </w:r>
      <w:r>
        <w:rPr>
          <w:rFonts w:ascii="Times New Roman" w:hAnsi="Times New Roman" w:cs="Times New Roman"/>
          <w:sz w:val="24"/>
          <w:szCs w:val="24"/>
        </w:rPr>
        <w:t xml:space="preserve"> </w:t>
      </w:r>
      <w:r w:rsidRPr="001E3908">
        <w:rPr>
          <w:rFonts w:ascii="Times New Roman" w:hAnsi="Times New Roman" w:cs="Times New Roman"/>
          <w:sz w:val="24"/>
          <w:szCs w:val="24"/>
        </w:rPr>
        <w:t xml:space="preserve">na równowartość w złotych kwoty 1000 euro. Dodatkowo ust. 2 reguluje sytuację, gdy dochodzi do przekazania Komisji przez właściwy organ nadzoru nad rynkiem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innego państwa członkowskiego</w:t>
      </w:r>
      <w:r>
        <w:rPr>
          <w:rFonts w:ascii="Times New Roman" w:hAnsi="Times New Roman" w:cs="Times New Roman"/>
          <w:sz w:val="24"/>
          <w:szCs w:val="24"/>
        </w:rPr>
        <w:t xml:space="preserve"> Unii Europejskiej</w:t>
      </w:r>
      <w:r w:rsidRPr="001E3908">
        <w:rPr>
          <w:rFonts w:ascii="Times New Roman" w:hAnsi="Times New Roman" w:cs="Times New Roman"/>
          <w:sz w:val="24"/>
          <w:szCs w:val="24"/>
        </w:rPr>
        <w:t xml:space="preserve">, który udzielił zagranicznemu dostawcy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zezwolenia, odpowiednich informacji dotyczących działalności tego dostawcy, jaka ma być prowadzona na terytorium Rzeczypospolitej Polskiej. Zgodnie z tym przepisem ww. czynność będzie podlegała opłacie w wysokości nie większej niż równowartość w złotych 4500 euro, wnoszonej przez zagranicznego dostawcę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którego będą dotyczyć takie informacje. Natomiast ust. 3, który odnosi się bezpośrednio do sytuacji opisanej w ust. 2, zwalnia zagranicznego dostawcę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z opłaty, o której mowa w tym przepisie, w przypadku gdy na zasadzie wzajemności polskie podmioty prowadzące działalność jako dostawcy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na terytorium państwa, w którym ten dostawca ma swoją siedzibę, nie ponoszą tego rodzaju opłaty. Zgodnie z brzmieniem ust. 4 wszystkie opłaty, o których mowa w tym artykule będą przeznaczone na pokrycie kosztów nadzoru nad rynkiem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w:t>
      </w:r>
      <w:r w:rsidR="008C3657">
        <w:rPr>
          <w:rFonts w:ascii="Times New Roman" w:hAnsi="Times New Roman" w:cs="Times New Roman"/>
          <w:sz w:val="24"/>
          <w:szCs w:val="24"/>
        </w:rPr>
        <w:t xml:space="preserve">Zgodnie z ust. 5 suma opłat, o których mowa w ust. 1 i 2 wniesionych w poprzednim roku kalendarzowym, pomniejsza łączną kwotę kosztów nadzoru nad rynkiem </w:t>
      </w:r>
      <w:proofErr w:type="spellStart"/>
      <w:r w:rsidR="008C3657">
        <w:rPr>
          <w:rFonts w:ascii="Times New Roman" w:hAnsi="Times New Roman" w:cs="Times New Roman"/>
          <w:sz w:val="24"/>
          <w:szCs w:val="24"/>
        </w:rPr>
        <w:t>kryptoaktywów</w:t>
      </w:r>
      <w:proofErr w:type="spellEnd"/>
      <w:r w:rsidR="008C3657">
        <w:rPr>
          <w:rFonts w:ascii="Times New Roman" w:hAnsi="Times New Roman" w:cs="Times New Roman"/>
          <w:sz w:val="24"/>
          <w:szCs w:val="24"/>
        </w:rPr>
        <w:t xml:space="preserve"> do pokrycia w danym roku kalendarzowym z wpłat, o których mowa w art. 78 ust. 1 i art. 79 ust. 1. </w:t>
      </w:r>
    </w:p>
    <w:p w14:paraId="782127DD" w14:textId="1FAC1684"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sidR="008C3657">
        <w:rPr>
          <w:rFonts w:ascii="Times New Roman" w:hAnsi="Times New Roman" w:cs="Times New Roman"/>
          <w:b/>
          <w:bCs/>
          <w:sz w:val="24"/>
          <w:szCs w:val="24"/>
        </w:rPr>
        <w:t>78</w:t>
      </w:r>
      <w:r w:rsidRPr="001E3908">
        <w:rPr>
          <w:rFonts w:ascii="Times New Roman" w:hAnsi="Times New Roman" w:cs="Times New Roman"/>
          <w:sz w:val="24"/>
          <w:szCs w:val="24"/>
        </w:rPr>
        <w:t xml:space="preserve"> ustanawia metodę obliczeniową wpłaty rocznej wnoszonej przez dostawców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oraz jej minimalną i maksymalną wysokość. Niniejszy przepis stanowi, że dostawca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wnosi roczną wpłatę ustalaną na podstawie średniej wartości przychodów ogółem w okresie ostatnich trzech lat obrotowych poprzedzających rok, za który ta opłata jest należna</w:t>
      </w:r>
      <w:r>
        <w:rPr>
          <w:rFonts w:ascii="Times New Roman" w:hAnsi="Times New Roman" w:cs="Times New Roman"/>
          <w:sz w:val="24"/>
          <w:szCs w:val="24"/>
        </w:rPr>
        <w:t>, w wysokości nie większej niż 0,</w:t>
      </w:r>
      <w:r w:rsidR="008C3657">
        <w:rPr>
          <w:rFonts w:ascii="Times New Roman" w:hAnsi="Times New Roman" w:cs="Times New Roman"/>
          <w:sz w:val="24"/>
          <w:szCs w:val="24"/>
        </w:rPr>
        <w:t>1</w:t>
      </w:r>
      <w:r>
        <w:rPr>
          <w:rFonts w:ascii="Times New Roman" w:hAnsi="Times New Roman" w:cs="Times New Roman"/>
          <w:sz w:val="24"/>
          <w:szCs w:val="24"/>
        </w:rPr>
        <w:t xml:space="preserve"> % tej średniej, jednak nie mniejszej niż równowartość w złotych kwoty 500 euro</w:t>
      </w:r>
      <w:r w:rsidRPr="001E3908">
        <w:rPr>
          <w:rFonts w:ascii="Times New Roman" w:hAnsi="Times New Roman" w:cs="Times New Roman"/>
          <w:sz w:val="24"/>
          <w:szCs w:val="24"/>
        </w:rPr>
        <w:t xml:space="preserve">. W przypadku gdy dostawca ten świadczy usługi krócej niż przez wskazany okres, pod uwagę jest brany okres prowadzenia działalności danego dostawcy. Ust. 2 precyzuje, że przez przychody ogółem rozumie się przychody z podstawowej działalności w zakresie świadczenia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oraz </w:t>
      </w:r>
      <w:r>
        <w:rPr>
          <w:rFonts w:ascii="Times New Roman" w:hAnsi="Times New Roman" w:cs="Times New Roman"/>
          <w:sz w:val="24"/>
          <w:szCs w:val="24"/>
        </w:rPr>
        <w:t xml:space="preserve">zysk z operacji na </w:t>
      </w:r>
      <w:proofErr w:type="spellStart"/>
      <w:r>
        <w:rPr>
          <w:rFonts w:ascii="Times New Roman" w:hAnsi="Times New Roman" w:cs="Times New Roman"/>
          <w:sz w:val="24"/>
          <w:szCs w:val="24"/>
        </w:rPr>
        <w:t>kryptoaktywach</w:t>
      </w:r>
      <w:proofErr w:type="spellEnd"/>
      <w:r w:rsidRPr="001E3908">
        <w:rPr>
          <w:rFonts w:ascii="Times New Roman" w:hAnsi="Times New Roman" w:cs="Times New Roman"/>
          <w:sz w:val="24"/>
          <w:szCs w:val="24"/>
        </w:rPr>
        <w:t xml:space="preserve"> przeznaczonych do obrotu. Przyjęcie obliczania kosztów nadzoru na podstawie przychodów ogółem dostawców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wynika z różnorodnej działalności jaką mogą podejmować ci dostawcy, na podstawie przepisów rozporządzenia 2023/1114. Z przepisem tym koresponduje wprowadzana w ustawie zmienianej w art. 1</w:t>
      </w:r>
      <w:r>
        <w:rPr>
          <w:rFonts w:ascii="Times New Roman" w:hAnsi="Times New Roman" w:cs="Times New Roman"/>
          <w:sz w:val="24"/>
          <w:szCs w:val="24"/>
        </w:rPr>
        <w:t>3</w:t>
      </w:r>
      <w:r w:rsidR="008C3657">
        <w:rPr>
          <w:rFonts w:ascii="Times New Roman" w:hAnsi="Times New Roman" w:cs="Times New Roman"/>
          <w:sz w:val="24"/>
          <w:szCs w:val="24"/>
        </w:rPr>
        <w:t>5</w:t>
      </w:r>
      <w:r w:rsidRPr="001E3908">
        <w:rPr>
          <w:rFonts w:ascii="Times New Roman" w:hAnsi="Times New Roman" w:cs="Times New Roman"/>
          <w:sz w:val="24"/>
          <w:szCs w:val="24"/>
        </w:rPr>
        <w:t xml:space="preserve"> delegacja</w:t>
      </w:r>
      <w:r>
        <w:rPr>
          <w:rFonts w:ascii="Times New Roman" w:hAnsi="Times New Roman" w:cs="Times New Roman"/>
          <w:sz w:val="24"/>
          <w:szCs w:val="24"/>
        </w:rPr>
        <w:t xml:space="preserve"> ustawowa</w:t>
      </w:r>
      <w:r w:rsidRPr="001E3908">
        <w:rPr>
          <w:rFonts w:ascii="Times New Roman" w:hAnsi="Times New Roman" w:cs="Times New Roman"/>
          <w:sz w:val="24"/>
          <w:szCs w:val="24"/>
        </w:rPr>
        <w:t xml:space="preserve"> dla ministra </w:t>
      </w:r>
      <w:r>
        <w:rPr>
          <w:rFonts w:ascii="Times New Roman" w:hAnsi="Times New Roman" w:cs="Times New Roman"/>
          <w:sz w:val="24"/>
          <w:szCs w:val="24"/>
        </w:rPr>
        <w:t xml:space="preserve">właściwego </w:t>
      </w:r>
      <w:r w:rsidRPr="001E3908">
        <w:rPr>
          <w:rFonts w:ascii="Times New Roman" w:hAnsi="Times New Roman" w:cs="Times New Roman"/>
          <w:sz w:val="24"/>
          <w:szCs w:val="24"/>
        </w:rPr>
        <w:t>do spraw finans</w:t>
      </w:r>
      <w:r>
        <w:rPr>
          <w:rFonts w:ascii="Times New Roman" w:hAnsi="Times New Roman" w:cs="Times New Roman"/>
          <w:sz w:val="24"/>
          <w:szCs w:val="24"/>
        </w:rPr>
        <w:t>ów publicznych</w:t>
      </w:r>
      <w:r w:rsidRPr="001E3908">
        <w:rPr>
          <w:rFonts w:ascii="Times New Roman" w:hAnsi="Times New Roman" w:cs="Times New Roman"/>
          <w:sz w:val="24"/>
          <w:szCs w:val="24"/>
        </w:rPr>
        <w:t xml:space="preserve"> do wydania rozporządzenia w zakresie szczególnych zasad rachunkowości dostawców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W celu zapewnienia sprawiedliwej wysokości wpłat ponoszonych na rzecz nadzoru istotne jest posiadanie przez KNF wiedzy na temat przychodów dostawców z rzeczywistej ich działalności związanej z</w:t>
      </w:r>
      <w:r>
        <w:rPr>
          <w:rFonts w:ascii="Times New Roman" w:hAnsi="Times New Roman" w:cs="Times New Roman"/>
          <w:sz w:val="24"/>
          <w:szCs w:val="24"/>
        </w:rPr>
        <w:t>e</w:t>
      </w:r>
      <w:r w:rsidRPr="001E3908">
        <w:rPr>
          <w:rFonts w:ascii="Times New Roman" w:hAnsi="Times New Roman" w:cs="Times New Roman"/>
          <w:sz w:val="24"/>
          <w:szCs w:val="24"/>
        </w:rPr>
        <w:t xml:space="preserve"> świadczeniem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Ust. 3 określa, że w przypadku dostawców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o których mowa w art. 59 ust.</w:t>
      </w:r>
      <w:r>
        <w:rPr>
          <w:rFonts w:ascii="Times New Roman" w:hAnsi="Times New Roman" w:cs="Times New Roman"/>
          <w:sz w:val="24"/>
          <w:szCs w:val="24"/>
        </w:rPr>
        <w:t> </w:t>
      </w:r>
      <w:r w:rsidRPr="001E3908">
        <w:rPr>
          <w:rFonts w:ascii="Times New Roman" w:hAnsi="Times New Roman" w:cs="Times New Roman"/>
          <w:sz w:val="24"/>
          <w:szCs w:val="24"/>
        </w:rPr>
        <w:t xml:space="preserve">1 lit. a rozporządzenia 2023/1114, przychody ogółem tych dostawców będą stanowić przychody finansowe oraz pozostałe przychody operacyjne. Ust. 4 stanowi, że dostawca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rozpoczynający świadczenie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wnosi pierwszą wpłatę za rok następujący po roku, w którym rozpoczął świadczenie tych usług, a w przypadku dostawców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dla których rok obrotowy obejmuje okres inny niż rok kalendarzowy, za rok kalendarzowy następujący po roku, w którym zakończył się pierwszy rok obrotowy. Ponadto niniejszy przepis precyzuje co przyjmuje się za podstawę obliczenia średniej wartości przychodów ogółem w okresie pierwszych trzech lat świadczenia usług przez ww. podmioty. W przypadku pierwszego roku kalendarzowego, za który wpłata jest należna</w:t>
      </w:r>
      <w:r>
        <w:rPr>
          <w:rFonts w:ascii="Times New Roman" w:hAnsi="Times New Roman" w:cs="Times New Roman"/>
          <w:sz w:val="24"/>
          <w:szCs w:val="24"/>
        </w:rPr>
        <w:t>,</w:t>
      </w:r>
      <w:r w:rsidRPr="001E3908">
        <w:rPr>
          <w:rFonts w:ascii="Times New Roman" w:hAnsi="Times New Roman" w:cs="Times New Roman"/>
          <w:sz w:val="24"/>
          <w:szCs w:val="24"/>
        </w:rPr>
        <w:t xml:space="preserve"> przyjmuje się wartość przychodów ogółem za rok poprzedni, a w przypadku następnego roku kalendarzowego przyjmuje się średnią wartość przychodów ogółem za dwa lata poprzedzające rok, za który ta </w:t>
      </w:r>
      <w:r>
        <w:rPr>
          <w:rFonts w:ascii="Times New Roman" w:hAnsi="Times New Roman" w:cs="Times New Roman"/>
          <w:sz w:val="24"/>
          <w:szCs w:val="24"/>
        </w:rPr>
        <w:t>w</w:t>
      </w:r>
      <w:r w:rsidRPr="001E3908">
        <w:rPr>
          <w:rFonts w:ascii="Times New Roman" w:hAnsi="Times New Roman" w:cs="Times New Roman"/>
          <w:sz w:val="24"/>
          <w:szCs w:val="24"/>
        </w:rPr>
        <w:t xml:space="preserve">płata jest </w:t>
      </w:r>
      <w:r>
        <w:rPr>
          <w:rFonts w:ascii="Times New Roman" w:hAnsi="Times New Roman" w:cs="Times New Roman"/>
          <w:sz w:val="24"/>
          <w:szCs w:val="24"/>
        </w:rPr>
        <w:t>należna</w:t>
      </w:r>
      <w:r w:rsidRPr="001E3908">
        <w:rPr>
          <w:rFonts w:ascii="Times New Roman" w:hAnsi="Times New Roman" w:cs="Times New Roman"/>
          <w:sz w:val="24"/>
          <w:szCs w:val="24"/>
        </w:rPr>
        <w:t xml:space="preserve">. Ust. 5 dodatkowo precyzuje na podstawie czego ustala się podstawę obliczenia wpłaty, o której mowa w ust. 1. Podstawa ta ustalana będzie na podstawie danych pochodzących ze zbadanych sprawozdań finansowych za poprzedni rok kalendarzowy, a w przypadku podmiotów, dla których rok obrotowy obejmuje okres inny niż rok kalendarzowy </w:t>
      </w:r>
      <w:r>
        <w:sym w:font="Symbol" w:char="F02D"/>
      </w:r>
      <w:r w:rsidRPr="001E3908">
        <w:rPr>
          <w:rFonts w:ascii="Times New Roman" w:hAnsi="Times New Roman" w:cs="Times New Roman"/>
          <w:sz w:val="24"/>
          <w:szCs w:val="24"/>
        </w:rPr>
        <w:t xml:space="preserve"> danych ze zbadanego sprawozdania finansowego za rok obrotowy zakończony w poprzednim roku kalendarzowym. W przypadku dostawcy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innego niż podmiot, o którym mowa w art. 59 ust. 1 lit. a rozporządzenia 2023/</w:t>
      </w:r>
      <w:r>
        <w:rPr>
          <w:rFonts w:ascii="Times New Roman" w:hAnsi="Times New Roman" w:cs="Times New Roman"/>
          <w:sz w:val="24"/>
          <w:szCs w:val="24"/>
        </w:rPr>
        <w:t>1114</w:t>
      </w:r>
      <w:r w:rsidRPr="001E3908">
        <w:rPr>
          <w:rFonts w:ascii="Times New Roman" w:hAnsi="Times New Roman" w:cs="Times New Roman"/>
          <w:sz w:val="24"/>
          <w:szCs w:val="24"/>
        </w:rPr>
        <w:t xml:space="preserve">, podstawa obliczenia opłaty ustalana będzie na podstawie informacji, o której mowa w art. </w:t>
      </w:r>
      <w:r>
        <w:rPr>
          <w:rFonts w:ascii="Times New Roman" w:hAnsi="Times New Roman" w:cs="Times New Roman"/>
          <w:sz w:val="24"/>
          <w:szCs w:val="24"/>
        </w:rPr>
        <w:t>23</w:t>
      </w:r>
      <w:r w:rsidRPr="001E3908">
        <w:rPr>
          <w:rFonts w:ascii="Times New Roman" w:hAnsi="Times New Roman" w:cs="Times New Roman"/>
          <w:sz w:val="24"/>
          <w:szCs w:val="24"/>
        </w:rPr>
        <w:t xml:space="preserve"> ust.</w:t>
      </w:r>
      <w:r>
        <w:rPr>
          <w:rFonts w:ascii="Times New Roman" w:hAnsi="Times New Roman" w:cs="Times New Roman"/>
          <w:sz w:val="24"/>
          <w:szCs w:val="24"/>
        </w:rPr>
        <w:t> </w:t>
      </w:r>
      <w:r w:rsidRPr="001E3908">
        <w:rPr>
          <w:rFonts w:ascii="Times New Roman" w:hAnsi="Times New Roman" w:cs="Times New Roman"/>
          <w:sz w:val="24"/>
          <w:szCs w:val="24"/>
        </w:rPr>
        <w:t>2</w:t>
      </w:r>
      <w:r>
        <w:rPr>
          <w:rFonts w:ascii="Times New Roman" w:hAnsi="Times New Roman" w:cs="Times New Roman"/>
          <w:sz w:val="24"/>
          <w:szCs w:val="24"/>
        </w:rPr>
        <w:t xml:space="preserve"> projektu ustawy</w:t>
      </w:r>
      <w:r w:rsidRPr="001E3908">
        <w:rPr>
          <w:rFonts w:ascii="Times New Roman" w:hAnsi="Times New Roman" w:cs="Times New Roman"/>
          <w:sz w:val="24"/>
          <w:szCs w:val="24"/>
        </w:rPr>
        <w:t xml:space="preserve">. </w:t>
      </w:r>
      <w:r>
        <w:rPr>
          <w:rFonts w:ascii="Times New Roman" w:hAnsi="Times New Roman" w:cs="Times New Roman"/>
          <w:sz w:val="24"/>
          <w:szCs w:val="24"/>
        </w:rPr>
        <w:t xml:space="preserve">Ust. </w:t>
      </w:r>
      <w:r w:rsidR="0065218B">
        <w:rPr>
          <w:rFonts w:ascii="Times New Roman" w:hAnsi="Times New Roman" w:cs="Times New Roman"/>
          <w:sz w:val="24"/>
          <w:szCs w:val="24"/>
        </w:rPr>
        <w:t>6</w:t>
      </w:r>
      <w:r>
        <w:rPr>
          <w:rFonts w:ascii="Times New Roman" w:hAnsi="Times New Roman" w:cs="Times New Roman"/>
          <w:sz w:val="24"/>
          <w:szCs w:val="24"/>
        </w:rPr>
        <w:t xml:space="preserve"> uściśla sposób przekazania UKNF przez d</w:t>
      </w:r>
      <w:r w:rsidRPr="003F193B">
        <w:rPr>
          <w:rFonts w:ascii="Times New Roman" w:hAnsi="Times New Roman" w:cs="Times New Roman"/>
          <w:sz w:val="24"/>
          <w:szCs w:val="24"/>
        </w:rPr>
        <w:t>ostawc</w:t>
      </w:r>
      <w:r>
        <w:rPr>
          <w:rFonts w:ascii="Times New Roman" w:hAnsi="Times New Roman" w:cs="Times New Roman"/>
          <w:sz w:val="24"/>
          <w:szCs w:val="24"/>
        </w:rPr>
        <w:t>ę</w:t>
      </w:r>
      <w:r w:rsidRPr="003F193B">
        <w:rPr>
          <w:rFonts w:ascii="Times New Roman" w:hAnsi="Times New Roman" w:cs="Times New Roman"/>
          <w:sz w:val="24"/>
          <w:szCs w:val="24"/>
        </w:rPr>
        <w:t xml:space="preserve"> usług w zakresie </w:t>
      </w:r>
      <w:proofErr w:type="spellStart"/>
      <w:r w:rsidRPr="003F193B">
        <w:rPr>
          <w:rFonts w:ascii="Times New Roman" w:hAnsi="Times New Roman" w:cs="Times New Roman"/>
          <w:sz w:val="24"/>
          <w:szCs w:val="24"/>
        </w:rPr>
        <w:t>kryptoaktywów</w:t>
      </w:r>
      <w:proofErr w:type="spellEnd"/>
      <w:r w:rsidRPr="003F193B">
        <w:rPr>
          <w:rFonts w:ascii="Times New Roman" w:hAnsi="Times New Roman" w:cs="Times New Roman"/>
          <w:sz w:val="24"/>
          <w:szCs w:val="24"/>
        </w:rPr>
        <w:t xml:space="preserve"> </w:t>
      </w:r>
      <w:r>
        <w:rPr>
          <w:rFonts w:ascii="Times New Roman" w:hAnsi="Times New Roman" w:cs="Times New Roman"/>
          <w:sz w:val="24"/>
          <w:szCs w:val="24"/>
        </w:rPr>
        <w:t>deklaracji o wysokości należnej rocznej wpłaty</w:t>
      </w:r>
      <w:r w:rsidRPr="003F193B">
        <w:rPr>
          <w:rFonts w:ascii="Times New Roman" w:hAnsi="Times New Roman" w:cs="Arial"/>
          <w:sz w:val="24"/>
          <w:szCs w:val="20"/>
          <w:lang w:eastAsia="pl-PL"/>
        </w:rPr>
        <w:t xml:space="preserve"> </w:t>
      </w:r>
      <w:r w:rsidRPr="003F193B">
        <w:rPr>
          <w:rFonts w:ascii="Times New Roman" w:hAnsi="Times New Roman" w:cs="Times New Roman"/>
          <w:sz w:val="24"/>
          <w:szCs w:val="24"/>
        </w:rPr>
        <w:t>na pokrycie kosztów nadzoru</w:t>
      </w:r>
      <w:r>
        <w:rPr>
          <w:rFonts w:ascii="Times New Roman" w:hAnsi="Times New Roman" w:cs="Times New Roman"/>
          <w:sz w:val="24"/>
          <w:szCs w:val="24"/>
        </w:rPr>
        <w:t xml:space="preserve">, precyzując, że deklarację należy złożyć w </w:t>
      </w:r>
      <w:r w:rsidRPr="003F193B">
        <w:rPr>
          <w:rFonts w:ascii="Times New Roman" w:hAnsi="Times New Roman" w:cs="Times New Roman"/>
          <w:sz w:val="24"/>
          <w:szCs w:val="24"/>
        </w:rPr>
        <w:t>postaci elektronicznej za pomocą systemu teleinformatycznego udostępnionego na stronie internetowej</w:t>
      </w:r>
      <w:r>
        <w:rPr>
          <w:rFonts w:ascii="Times New Roman" w:hAnsi="Times New Roman" w:cs="Times New Roman"/>
          <w:sz w:val="24"/>
          <w:szCs w:val="24"/>
        </w:rPr>
        <w:t xml:space="preserve"> UKNF. </w:t>
      </w:r>
    </w:p>
    <w:p w14:paraId="2B035088" w14:textId="5BDA551C"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sidR="0065218B">
        <w:rPr>
          <w:rFonts w:ascii="Times New Roman" w:hAnsi="Times New Roman" w:cs="Times New Roman"/>
          <w:b/>
          <w:bCs/>
          <w:sz w:val="24"/>
          <w:szCs w:val="24"/>
        </w:rPr>
        <w:t>79</w:t>
      </w:r>
      <w:r w:rsidRPr="001E3908">
        <w:rPr>
          <w:rFonts w:ascii="Times New Roman" w:hAnsi="Times New Roman" w:cs="Times New Roman"/>
          <w:sz w:val="24"/>
          <w:szCs w:val="24"/>
        </w:rPr>
        <w:t xml:space="preserve"> określa wysokość wpłaty wnoszonej przez emitentów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powiązanych z aktywami</w:t>
      </w:r>
      <w:r>
        <w:rPr>
          <w:rFonts w:ascii="Times New Roman" w:hAnsi="Times New Roman" w:cs="Times New Roman"/>
          <w:sz w:val="24"/>
          <w:szCs w:val="24"/>
        </w:rPr>
        <w:t xml:space="preserve"> lub </w:t>
      </w:r>
      <w:proofErr w:type="spellStart"/>
      <w:r>
        <w:rPr>
          <w:rFonts w:ascii="Times New Roman" w:hAnsi="Times New Roman" w:cs="Times New Roman"/>
          <w:sz w:val="24"/>
          <w:szCs w:val="24"/>
        </w:rPr>
        <w:t>tokenów</w:t>
      </w:r>
      <w:proofErr w:type="spellEnd"/>
      <w:r>
        <w:rPr>
          <w:rFonts w:ascii="Times New Roman" w:hAnsi="Times New Roman" w:cs="Times New Roman"/>
          <w:sz w:val="24"/>
          <w:szCs w:val="24"/>
        </w:rPr>
        <w:t xml:space="preserve"> będących e-pieniądzem</w:t>
      </w:r>
      <w:r w:rsidRPr="001E3908">
        <w:rPr>
          <w:rFonts w:ascii="Times New Roman" w:hAnsi="Times New Roman" w:cs="Times New Roman"/>
          <w:sz w:val="24"/>
          <w:szCs w:val="24"/>
        </w:rPr>
        <w:t>. Zgodnie z ust. 1 emitenci będą zobowiązani wnosić roczną wpłatę na pokrycie kosztów nadzoru w wysokości stanowiącej iloczyn ustalonej na dzień 1 stycznia danego roku</w:t>
      </w:r>
      <w:r w:rsidR="0065218B">
        <w:rPr>
          <w:rFonts w:ascii="Times New Roman" w:hAnsi="Times New Roman" w:cs="Times New Roman"/>
          <w:sz w:val="24"/>
          <w:szCs w:val="24"/>
        </w:rPr>
        <w:t xml:space="preserve"> kalendarzowego</w:t>
      </w:r>
      <w:r w:rsidRPr="001E3908">
        <w:rPr>
          <w:rFonts w:ascii="Times New Roman" w:hAnsi="Times New Roman" w:cs="Times New Roman"/>
          <w:sz w:val="24"/>
          <w:szCs w:val="24"/>
        </w:rPr>
        <w:t xml:space="preserve"> średniej arytmetycznej sum zobowiązań finansowych z tytułu wyemitowanych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obliczonych na koniec każdego dnia kalendarzowego w okresie poprzednich 12 miesięcy kalendarzowych oraz stawki nieprzekraczającej 0,</w:t>
      </w:r>
      <w:r w:rsidR="0065218B">
        <w:rPr>
          <w:rFonts w:ascii="Times New Roman" w:hAnsi="Times New Roman" w:cs="Times New Roman"/>
          <w:sz w:val="24"/>
          <w:szCs w:val="24"/>
        </w:rPr>
        <w:t>1</w:t>
      </w:r>
      <w:r w:rsidRPr="001E3908">
        <w:rPr>
          <w:rFonts w:ascii="Times New Roman" w:hAnsi="Times New Roman" w:cs="Times New Roman"/>
          <w:sz w:val="24"/>
          <w:szCs w:val="24"/>
        </w:rPr>
        <w:t xml:space="preserve"> %</w:t>
      </w:r>
      <w:r>
        <w:rPr>
          <w:rFonts w:ascii="Times New Roman" w:hAnsi="Times New Roman" w:cs="Times New Roman"/>
          <w:sz w:val="24"/>
          <w:szCs w:val="24"/>
        </w:rPr>
        <w:t>,</w:t>
      </w:r>
      <w:r w:rsidRPr="001E3908">
        <w:rPr>
          <w:rFonts w:ascii="Times New Roman" w:hAnsi="Times New Roman" w:cs="Times New Roman"/>
          <w:sz w:val="24"/>
          <w:szCs w:val="24"/>
        </w:rPr>
        <w:t xml:space="preserve"> jednak nie mniejszej niż równowartość w złotych kwoty 500 euro. Zgodnie z ust. 2 niniejszego przepisu, emitent rozpoczynający działalność, z którą wiąże się obowiązek ponoszenia rocznej wpłaty, pierwszą wpłatę wnosi za rok następujący po roku, w którym rozpoczął tę działalność. Dla wyliczenia pierwszej wpłaty emitent ustala średnią arytmetyczną sum zobowiązań finansowych z tytułu wyemitowanych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obliczoną na koniec każdego dnia kalendarzowego w okresie od dnia rozpoczęcia działalności do dnia 31 grudnia roku, w którym emitent rozpoczął działalność. </w:t>
      </w:r>
      <w:r>
        <w:rPr>
          <w:rFonts w:ascii="Times New Roman" w:hAnsi="Times New Roman" w:cs="Times New Roman"/>
          <w:sz w:val="24"/>
          <w:szCs w:val="24"/>
        </w:rPr>
        <w:t xml:space="preserve">Zgodnie z ust. </w:t>
      </w:r>
      <w:r w:rsidR="0065218B">
        <w:rPr>
          <w:rFonts w:ascii="Times New Roman" w:hAnsi="Times New Roman" w:cs="Times New Roman"/>
          <w:sz w:val="24"/>
          <w:szCs w:val="24"/>
        </w:rPr>
        <w:t>3</w:t>
      </w:r>
      <w:r>
        <w:rPr>
          <w:rFonts w:ascii="Times New Roman" w:hAnsi="Times New Roman" w:cs="Times New Roman"/>
          <w:sz w:val="24"/>
          <w:szCs w:val="24"/>
        </w:rPr>
        <w:t xml:space="preserve"> e</w:t>
      </w:r>
      <w:r w:rsidRPr="002C28CA">
        <w:rPr>
          <w:rFonts w:ascii="Times New Roman" w:hAnsi="Times New Roman" w:cs="Times New Roman"/>
          <w:sz w:val="24"/>
          <w:szCs w:val="24"/>
        </w:rPr>
        <w:t xml:space="preserve">mitent </w:t>
      </w:r>
      <w:proofErr w:type="spellStart"/>
      <w:r w:rsidRPr="002C28CA">
        <w:rPr>
          <w:rFonts w:ascii="Times New Roman" w:hAnsi="Times New Roman" w:cs="Times New Roman"/>
          <w:sz w:val="24"/>
          <w:szCs w:val="24"/>
        </w:rPr>
        <w:t>tokenów</w:t>
      </w:r>
      <w:proofErr w:type="spellEnd"/>
      <w:r w:rsidRPr="002C28CA">
        <w:rPr>
          <w:rFonts w:ascii="Times New Roman" w:hAnsi="Times New Roman" w:cs="Times New Roman"/>
          <w:sz w:val="24"/>
          <w:szCs w:val="24"/>
        </w:rPr>
        <w:t xml:space="preserve"> powiązanych z aktywami lub </w:t>
      </w:r>
      <w:proofErr w:type="spellStart"/>
      <w:r w:rsidRPr="002C28CA">
        <w:rPr>
          <w:rFonts w:ascii="Times New Roman" w:hAnsi="Times New Roman" w:cs="Times New Roman"/>
          <w:sz w:val="24"/>
          <w:szCs w:val="24"/>
        </w:rPr>
        <w:t>tokenów</w:t>
      </w:r>
      <w:proofErr w:type="spellEnd"/>
      <w:r w:rsidRPr="002C28CA">
        <w:rPr>
          <w:rFonts w:ascii="Times New Roman" w:hAnsi="Times New Roman" w:cs="Times New Roman"/>
          <w:sz w:val="24"/>
          <w:szCs w:val="24"/>
        </w:rPr>
        <w:t xml:space="preserve"> będących e-pieniądzem przekazuje </w:t>
      </w:r>
      <w:r>
        <w:rPr>
          <w:rFonts w:ascii="Times New Roman" w:hAnsi="Times New Roman" w:cs="Times New Roman"/>
          <w:sz w:val="24"/>
          <w:szCs w:val="24"/>
        </w:rPr>
        <w:t>UKNF</w:t>
      </w:r>
      <w:r w:rsidRPr="002C28CA">
        <w:rPr>
          <w:rFonts w:ascii="Times New Roman" w:hAnsi="Times New Roman" w:cs="Times New Roman"/>
          <w:sz w:val="24"/>
          <w:szCs w:val="24"/>
        </w:rPr>
        <w:t xml:space="preserve"> deklarację o wysokości należnej wpłaty</w:t>
      </w:r>
      <w:r>
        <w:rPr>
          <w:rFonts w:ascii="Times New Roman" w:hAnsi="Times New Roman" w:cs="Times New Roman"/>
          <w:sz w:val="24"/>
          <w:szCs w:val="24"/>
        </w:rPr>
        <w:t xml:space="preserve"> na pokrycie kosztów nadzoru. Deklarację należy złożyć w postaci elektronicznej za pomocą systemu </w:t>
      </w:r>
      <w:r w:rsidRPr="001E04FD">
        <w:rPr>
          <w:rFonts w:ascii="Times New Roman" w:hAnsi="Times New Roman" w:cs="Times New Roman"/>
          <w:sz w:val="24"/>
          <w:szCs w:val="24"/>
        </w:rPr>
        <w:t>teleinformatycznego udostępnionego na stronie internetowej</w:t>
      </w:r>
      <w:r>
        <w:rPr>
          <w:rFonts w:ascii="Times New Roman" w:hAnsi="Times New Roman" w:cs="Times New Roman"/>
          <w:sz w:val="24"/>
          <w:szCs w:val="24"/>
        </w:rPr>
        <w:t xml:space="preserve"> UKNF.</w:t>
      </w:r>
    </w:p>
    <w:p w14:paraId="39354600" w14:textId="7ED6DF3C"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8</w:t>
      </w:r>
      <w:r w:rsidR="0065218B">
        <w:rPr>
          <w:rFonts w:ascii="Times New Roman" w:hAnsi="Times New Roman" w:cs="Times New Roman"/>
          <w:b/>
          <w:bCs/>
          <w:sz w:val="24"/>
          <w:szCs w:val="24"/>
        </w:rPr>
        <w:t>0</w:t>
      </w:r>
      <w:r w:rsidRPr="001E3908">
        <w:rPr>
          <w:rFonts w:ascii="Times New Roman" w:hAnsi="Times New Roman" w:cs="Times New Roman"/>
          <w:sz w:val="24"/>
          <w:szCs w:val="24"/>
        </w:rPr>
        <w:t xml:space="preserve"> wprowadza zasadę obliczania równowartości w złotych kwot opłat, o których mowa w art. </w:t>
      </w:r>
      <w:r w:rsidR="0065218B">
        <w:rPr>
          <w:rFonts w:ascii="Times New Roman" w:hAnsi="Times New Roman" w:cs="Times New Roman"/>
          <w:sz w:val="24"/>
          <w:szCs w:val="24"/>
        </w:rPr>
        <w:t>77</w:t>
      </w:r>
      <w:r w:rsidRPr="001E3908">
        <w:rPr>
          <w:rFonts w:ascii="Times New Roman" w:hAnsi="Times New Roman" w:cs="Times New Roman"/>
          <w:sz w:val="24"/>
          <w:szCs w:val="24"/>
        </w:rPr>
        <w:t xml:space="preserve"> oraz minimalnej wysokości wpłat, o których mowa w art.</w:t>
      </w:r>
      <w:r>
        <w:rPr>
          <w:rFonts w:ascii="Times New Roman" w:hAnsi="Times New Roman" w:cs="Times New Roman"/>
          <w:sz w:val="24"/>
          <w:szCs w:val="24"/>
        </w:rPr>
        <w:t> </w:t>
      </w:r>
      <w:r w:rsidR="0065218B">
        <w:rPr>
          <w:rFonts w:ascii="Times New Roman" w:hAnsi="Times New Roman" w:cs="Times New Roman"/>
          <w:sz w:val="24"/>
          <w:szCs w:val="24"/>
        </w:rPr>
        <w:t>78</w:t>
      </w:r>
      <w:r w:rsidRPr="001E3908">
        <w:rPr>
          <w:rFonts w:ascii="Times New Roman" w:hAnsi="Times New Roman" w:cs="Times New Roman"/>
          <w:sz w:val="24"/>
          <w:szCs w:val="24"/>
        </w:rPr>
        <w:t xml:space="preserve"> ust. 1 i art.</w:t>
      </w:r>
      <w:r>
        <w:rPr>
          <w:rFonts w:ascii="Times New Roman" w:hAnsi="Times New Roman" w:cs="Times New Roman"/>
          <w:sz w:val="24"/>
          <w:szCs w:val="24"/>
        </w:rPr>
        <w:t> </w:t>
      </w:r>
      <w:r w:rsidR="0065218B">
        <w:rPr>
          <w:rFonts w:ascii="Times New Roman" w:hAnsi="Times New Roman" w:cs="Times New Roman"/>
          <w:sz w:val="24"/>
          <w:szCs w:val="24"/>
        </w:rPr>
        <w:t>79</w:t>
      </w:r>
      <w:r w:rsidRPr="001E3908">
        <w:rPr>
          <w:rFonts w:ascii="Times New Roman" w:hAnsi="Times New Roman" w:cs="Times New Roman"/>
          <w:sz w:val="24"/>
          <w:szCs w:val="24"/>
        </w:rPr>
        <w:t xml:space="preserve"> ust. 1</w:t>
      </w:r>
      <w:r>
        <w:rPr>
          <w:rFonts w:ascii="Times New Roman" w:hAnsi="Times New Roman" w:cs="Times New Roman"/>
          <w:sz w:val="24"/>
          <w:szCs w:val="24"/>
        </w:rPr>
        <w:t xml:space="preserve"> projektu ustawy,</w:t>
      </w:r>
      <w:r w:rsidRPr="001E3908">
        <w:rPr>
          <w:rFonts w:ascii="Times New Roman" w:hAnsi="Times New Roman" w:cs="Times New Roman"/>
          <w:sz w:val="24"/>
          <w:szCs w:val="24"/>
        </w:rPr>
        <w:t xml:space="preserve"> wyrażonych w euro. Ustalone zostało, że obliczenie odbywa się przy zastosowaniu średniego kursu euro ogłaszanego przez Narodowy Bank Polski na ostatni dzień roboczy roku poprzedzającego rok kalendarzowy, w którym należna stała się opłata, o której mowa w art. </w:t>
      </w:r>
      <w:r w:rsidR="0065218B">
        <w:rPr>
          <w:rFonts w:ascii="Times New Roman" w:hAnsi="Times New Roman" w:cs="Times New Roman"/>
          <w:sz w:val="24"/>
          <w:szCs w:val="24"/>
        </w:rPr>
        <w:t>77</w:t>
      </w:r>
      <w:r w:rsidRPr="001E3908">
        <w:rPr>
          <w:rFonts w:ascii="Times New Roman" w:hAnsi="Times New Roman" w:cs="Times New Roman"/>
          <w:sz w:val="24"/>
          <w:szCs w:val="24"/>
        </w:rPr>
        <w:t xml:space="preserve"> lub za który należna jest wpłata, o któr</w:t>
      </w:r>
      <w:r>
        <w:rPr>
          <w:rFonts w:ascii="Times New Roman" w:hAnsi="Times New Roman" w:cs="Times New Roman"/>
          <w:sz w:val="24"/>
          <w:szCs w:val="24"/>
        </w:rPr>
        <w:t>ej</w:t>
      </w:r>
      <w:r w:rsidRPr="001E3908">
        <w:rPr>
          <w:rFonts w:ascii="Times New Roman" w:hAnsi="Times New Roman" w:cs="Times New Roman"/>
          <w:sz w:val="24"/>
          <w:szCs w:val="24"/>
        </w:rPr>
        <w:t xml:space="preserve"> mowa w art. </w:t>
      </w:r>
      <w:r w:rsidR="0065218B">
        <w:rPr>
          <w:rFonts w:ascii="Times New Roman" w:hAnsi="Times New Roman" w:cs="Times New Roman"/>
          <w:sz w:val="24"/>
          <w:szCs w:val="24"/>
        </w:rPr>
        <w:t>78</w:t>
      </w:r>
      <w:r w:rsidRPr="001E3908">
        <w:rPr>
          <w:rFonts w:ascii="Times New Roman" w:hAnsi="Times New Roman" w:cs="Times New Roman"/>
          <w:sz w:val="24"/>
          <w:szCs w:val="24"/>
        </w:rPr>
        <w:t xml:space="preserve"> ust. 1 i art. </w:t>
      </w:r>
      <w:r w:rsidR="0065218B">
        <w:rPr>
          <w:rFonts w:ascii="Times New Roman" w:hAnsi="Times New Roman" w:cs="Times New Roman"/>
          <w:sz w:val="24"/>
          <w:szCs w:val="24"/>
        </w:rPr>
        <w:t>79</w:t>
      </w:r>
      <w:r w:rsidRPr="001E3908">
        <w:rPr>
          <w:rFonts w:ascii="Times New Roman" w:hAnsi="Times New Roman" w:cs="Times New Roman"/>
          <w:sz w:val="24"/>
          <w:szCs w:val="24"/>
        </w:rPr>
        <w:t xml:space="preserve"> ust. 1 </w:t>
      </w:r>
      <w:r>
        <w:rPr>
          <w:rFonts w:ascii="Times New Roman" w:hAnsi="Times New Roman" w:cs="Times New Roman"/>
          <w:sz w:val="24"/>
          <w:szCs w:val="24"/>
        </w:rPr>
        <w:t>projektowanej</w:t>
      </w:r>
      <w:r w:rsidRPr="001E3908">
        <w:rPr>
          <w:rFonts w:ascii="Times New Roman" w:hAnsi="Times New Roman" w:cs="Times New Roman"/>
          <w:sz w:val="24"/>
          <w:szCs w:val="24"/>
        </w:rPr>
        <w:t xml:space="preserve"> ustawy.</w:t>
      </w:r>
      <w:r>
        <w:rPr>
          <w:rFonts w:ascii="Times New Roman" w:hAnsi="Times New Roman" w:cs="Times New Roman"/>
          <w:sz w:val="24"/>
          <w:szCs w:val="24"/>
        </w:rPr>
        <w:t xml:space="preserve"> Zgodnie z ust. 2 opłaty, o których mowa w omawianym przepisie, podmioty nadzorowane wnoszą na rachunek bankowy UKNF. </w:t>
      </w:r>
    </w:p>
    <w:p w14:paraId="4BCB4A9C" w14:textId="13412103" w:rsidR="00C21D4B" w:rsidRPr="00FC70AA"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8</w:t>
      </w:r>
      <w:r w:rsidR="0065218B">
        <w:rPr>
          <w:rFonts w:ascii="Times New Roman" w:hAnsi="Times New Roman" w:cs="Times New Roman"/>
          <w:b/>
          <w:bCs/>
          <w:sz w:val="24"/>
          <w:szCs w:val="24"/>
        </w:rPr>
        <w:t>1</w:t>
      </w:r>
      <w:r w:rsidRPr="001E3908">
        <w:rPr>
          <w:rFonts w:ascii="Times New Roman" w:hAnsi="Times New Roman" w:cs="Times New Roman"/>
          <w:sz w:val="24"/>
          <w:szCs w:val="24"/>
        </w:rPr>
        <w:t xml:space="preserve"> wprowadza obligatoryjną delegację ustawową do wydania przez Prezesa Rady Ministra rozporządzenia celem określenia wysokości oraz terminów uiszczania opłat, o których mowa w art. </w:t>
      </w:r>
      <w:r w:rsidR="0065218B">
        <w:rPr>
          <w:rFonts w:ascii="Times New Roman" w:hAnsi="Times New Roman" w:cs="Times New Roman"/>
          <w:sz w:val="24"/>
          <w:szCs w:val="24"/>
        </w:rPr>
        <w:t>77</w:t>
      </w:r>
      <w:r w:rsidRPr="001E3908">
        <w:rPr>
          <w:rFonts w:ascii="Times New Roman" w:hAnsi="Times New Roman" w:cs="Times New Roman"/>
          <w:sz w:val="24"/>
          <w:szCs w:val="24"/>
        </w:rPr>
        <w:t xml:space="preserve"> ust. 1 </w:t>
      </w:r>
      <w:r>
        <w:rPr>
          <w:rFonts w:ascii="Times New Roman" w:hAnsi="Times New Roman" w:cs="Times New Roman"/>
          <w:sz w:val="24"/>
          <w:szCs w:val="24"/>
        </w:rPr>
        <w:t>pkt 1 i ust. 2 projektu ustawy.</w:t>
      </w:r>
      <w:r w:rsidRPr="001E3908">
        <w:rPr>
          <w:rFonts w:ascii="Times New Roman" w:hAnsi="Times New Roman" w:cs="Times New Roman"/>
          <w:sz w:val="24"/>
          <w:szCs w:val="24"/>
        </w:rPr>
        <w:t xml:space="preserve"> Ponadto w ww. rozporządzeniu określone zostaną terminy uiszczania opłat, o których mowa w art. </w:t>
      </w:r>
      <w:r w:rsidR="0065218B">
        <w:rPr>
          <w:rFonts w:ascii="Times New Roman" w:hAnsi="Times New Roman" w:cs="Times New Roman"/>
          <w:sz w:val="24"/>
          <w:szCs w:val="24"/>
        </w:rPr>
        <w:t>77</w:t>
      </w:r>
      <w:r w:rsidRPr="001E3908">
        <w:rPr>
          <w:rFonts w:ascii="Times New Roman" w:hAnsi="Times New Roman" w:cs="Times New Roman"/>
          <w:sz w:val="24"/>
          <w:szCs w:val="24"/>
        </w:rPr>
        <w:t xml:space="preserve"> ust.</w:t>
      </w:r>
      <w:r>
        <w:rPr>
          <w:rFonts w:ascii="Times New Roman" w:hAnsi="Times New Roman" w:cs="Times New Roman"/>
          <w:sz w:val="24"/>
          <w:szCs w:val="24"/>
        </w:rPr>
        <w:t xml:space="preserve"> 1 pkt</w:t>
      </w:r>
      <w:r w:rsidRPr="001E3908">
        <w:rPr>
          <w:rFonts w:ascii="Times New Roman" w:hAnsi="Times New Roman" w:cs="Times New Roman"/>
          <w:sz w:val="24"/>
          <w:szCs w:val="24"/>
        </w:rPr>
        <w:t xml:space="preserve"> 2 i 3</w:t>
      </w:r>
      <w:r>
        <w:rPr>
          <w:rFonts w:ascii="Times New Roman" w:hAnsi="Times New Roman" w:cs="Times New Roman"/>
          <w:sz w:val="24"/>
          <w:szCs w:val="24"/>
        </w:rPr>
        <w:t xml:space="preserve"> projektu ustawy, a także </w:t>
      </w:r>
      <w:r w:rsidRPr="001E3908">
        <w:rPr>
          <w:rFonts w:ascii="Times New Roman" w:hAnsi="Times New Roman" w:cs="Times New Roman"/>
          <w:sz w:val="24"/>
          <w:szCs w:val="24"/>
        </w:rPr>
        <w:t xml:space="preserve">sposób wyliczania wpłat, o których mowa w art. </w:t>
      </w:r>
      <w:r w:rsidR="0065218B">
        <w:rPr>
          <w:rFonts w:ascii="Times New Roman" w:hAnsi="Times New Roman" w:cs="Times New Roman"/>
          <w:sz w:val="24"/>
          <w:szCs w:val="24"/>
        </w:rPr>
        <w:t>78</w:t>
      </w:r>
      <w:r w:rsidRPr="001E3908">
        <w:rPr>
          <w:rFonts w:ascii="Times New Roman" w:hAnsi="Times New Roman" w:cs="Times New Roman"/>
          <w:sz w:val="24"/>
          <w:szCs w:val="24"/>
        </w:rPr>
        <w:t xml:space="preserve"> ust. 1 i art.</w:t>
      </w:r>
      <w:r>
        <w:rPr>
          <w:rFonts w:ascii="Times New Roman" w:hAnsi="Times New Roman" w:cs="Times New Roman"/>
          <w:sz w:val="24"/>
          <w:szCs w:val="24"/>
        </w:rPr>
        <w:t> </w:t>
      </w:r>
      <w:r w:rsidR="0065218B">
        <w:rPr>
          <w:rFonts w:ascii="Times New Roman" w:hAnsi="Times New Roman" w:cs="Times New Roman"/>
          <w:sz w:val="24"/>
          <w:szCs w:val="24"/>
        </w:rPr>
        <w:t>79</w:t>
      </w:r>
      <w:r w:rsidRPr="001E3908">
        <w:rPr>
          <w:rFonts w:ascii="Times New Roman" w:hAnsi="Times New Roman" w:cs="Times New Roman"/>
          <w:sz w:val="24"/>
          <w:szCs w:val="24"/>
        </w:rPr>
        <w:t xml:space="preserve"> ust. 1</w:t>
      </w:r>
      <w:r>
        <w:rPr>
          <w:rFonts w:ascii="Times New Roman" w:hAnsi="Times New Roman" w:cs="Times New Roman"/>
          <w:sz w:val="24"/>
          <w:szCs w:val="24"/>
        </w:rPr>
        <w:t xml:space="preserve"> projektu ustawy</w:t>
      </w:r>
      <w:r w:rsidRPr="001E3908">
        <w:rPr>
          <w:rFonts w:ascii="Times New Roman" w:hAnsi="Times New Roman" w:cs="Times New Roman"/>
          <w:sz w:val="24"/>
          <w:szCs w:val="24"/>
        </w:rPr>
        <w:t xml:space="preserve">, </w:t>
      </w:r>
      <w:r>
        <w:rPr>
          <w:rFonts w:ascii="Times New Roman" w:hAnsi="Times New Roman" w:cs="Times New Roman"/>
          <w:sz w:val="24"/>
          <w:szCs w:val="24"/>
        </w:rPr>
        <w:t xml:space="preserve">oraz terminy uiszczania tych wpłat, a także </w:t>
      </w:r>
      <w:r w:rsidRPr="001E3908">
        <w:rPr>
          <w:rFonts w:ascii="Times New Roman" w:hAnsi="Times New Roman" w:cs="Times New Roman"/>
          <w:sz w:val="24"/>
          <w:szCs w:val="24"/>
        </w:rPr>
        <w:t xml:space="preserve">sposób ustalania podziału kosztów na koszty pokrywane z wpłat, o których mowa w art. </w:t>
      </w:r>
      <w:r w:rsidR="0065218B">
        <w:rPr>
          <w:rFonts w:ascii="Times New Roman" w:hAnsi="Times New Roman" w:cs="Times New Roman"/>
          <w:sz w:val="24"/>
          <w:szCs w:val="24"/>
        </w:rPr>
        <w:t>78</w:t>
      </w:r>
      <w:r w:rsidRPr="001E3908">
        <w:rPr>
          <w:rFonts w:ascii="Times New Roman" w:hAnsi="Times New Roman" w:cs="Times New Roman"/>
          <w:sz w:val="24"/>
          <w:szCs w:val="24"/>
        </w:rPr>
        <w:t xml:space="preserve"> ust. 1 </w:t>
      </w:r>
      <w:r>
        <w:rPr>
          <w:rFonts w:ascii="Times New Roman" w:hAnsi="Times New Roman" w:cs="Times New Roman"/>
          <w:sz w:val="24"/>
          <w:szCs w:val="24"/>
        </w:rPr>
        <w:t>projektu ustawy</w:t>
      </w:r>
      <w:r w:rsidRPr="001E3908">
        <w:rPr>
          <w:rFonts w:ascii="Times New Roman" w:hAnsi="Times New Roman" w:cs="Times New Roman"/>
          <w:sz w:val="24"/>
          <w:szCs w:val="24"/>
        </w:rPr>
        <w:t xml:space="preserve"> i wpłat, o których mowa w art. </w:t>
      </w:r>
      <w:r w:rsidR="0065218B">
        <w:rPr>
          <w:rFonts w:ascii="Times New Roman" w:hAnsi="Times New Roman" w:cs="Times New Roman"/>
          <w:sz w:val="24"/>
          <w:szCs w:val="24"/>
        </w:rPr>
        <w:t>79</w:t>
      </w:r>
      <w:r w:rsidRPr="001E3908">
        <w:rPr>
          <w:rFonts w:ascii="Times New Roman" w:hAnsi="Times New Roman" w:cs="Times New Roman"/>
          <w:sz w:val="24"/>
          <w:szCs w:val="24"/>
        </w:rPr>
        <w:t xml:space="preserve"> ust. 1</w:t>
      </w:r>
      <w:r>
        <w:rPr>
          <w:rFonts w:ascii="Times New Roman" w:hAnsi="Times New Roman" w:cs="Times New Roman"/>
          <w:sz w:val="24"/>
          <w:szCs w:val="24"/>
        </w:rPr>
        <w:t xml:space="preserve"> projektu ustawy, oraz terminy przekazywania deklaracji, o których mowa w art. </w:t>
      </w:r>
      <w:r w:rsidR="0065218B">
        <w:rPr>
          <w:rFonts w:ascii="Times New Roman" w:hAnsi="Times New Roman" w:cs="Times New Roman"/>
          <w:sz w:val="24"/>
          <w:szCs w:val="24"/>
        </w:rPr>
        <w:t>78</w:t>
      </w:r>
      <w:r>
        <w:rPr>
          <w:rFonts w:ascii="Times New Roman" w:hAnsi="Times New Roman" w:cs="Times New Roman"/>
          <w:sz w:val="24"/>
          <w:szCs w:val="24"/>
        </w:rPr>
        <w:t xml:space="preserve"> ust. </w:t>
      </w:r>
      <w:r w:rsidR="0065218B">
        <w:rPr>
          <w:rFonts w:ascii="Times New Roman" w:hAnsi="Times New Roman" w:cs="Times New Roman"/>
          <w:sz w:val="24"/>
          <w:szCs w:val="24"/>
        </w:rPr>
        <w:t>6</w:t>
      </w:r>
      <w:r>
        <w:rPr>
          <w:rFonts w:ascii="Times New Roman" w:hAnsi="Times New Roman" w:cs="Times New Roman"/>
          <w:sz w:val="24"/>
          <w:szCs w:val="24"/>
        </w:rPr>
        <w:t xml:space="preserve"> i art. </w:t>
      </w:r>
      <w:r w:rsidR="0065218B">
        <w:rPr>
          <w:rFonts w:ascii="Times New Roman" w:hAnsi="Times New Roman" w:cs="Times New Roman"/>
          <w:sz w:val="24"/>
          <w:szCs w:val="24"/>
        </w:rPr>
        <w:t>79</w:t>
      </w:r>
      <w:r>
        <w:rPr>
          <w:rFonts w:ascii="Times New Roman" w:hAnsi="Times New Roman" w:cs="Times New Roman"/>
          <w:sz w:val="24"/>
          <w:szCs w:val="24"/>
        </w:rPr>
        <w:t xml:space="preserve"> ust. </w:t>
      </w:r>
      <w:r w:rsidR="0065218B">
        <w:rPr>
          <w:rFonts w:ascii="Times New Roman" w:hAnsi="Times New Roman" w:cs="Times New Roman"/>
          <w:sz w:val="24"/>
          <w:szCs w:val="24"/>
        </w:rPr>
        <w:t>3</w:t>
      </w:r>
      <w:r>
        <w:rPr>
          <w:rFonts w:ascii="Times New Roman" w:hAnsi="Times New Roman" w:cs="Times New Roman"/>
          <w:sz w:val="24"/>
          <w:szCs w:val="24"/>
        </w:rPr>
        <w:t xml:space="preserve"> projektu ustawy</w:t>
      </w:r>
      <w:r w:rsidRPr="001E3908">
        <w:rPr>
          <w:rFonts w:ascii="Times New Roman" w:hAnsi="Times New Roman" w:cs="Times New Roman"/>
          <w:sz w:val="24"/>
          <w:szCs w:val="24"/>
        </w:rPr>
        <w:t>. Rozporządzenie będzie wydane z uwzględnieniem przede wszystkim charakteru działalności podmiotów obowiązanych do wnoszenia opłat, mając na względzie, że opłaty nie powinny w istotny sposób wpływać na zwiększenie kosztów działalności podmiotów obowiązanych do ich uiszczania</w:t>
      </w:r>
      <w:r>
        <w:rPr>
          <w:rFonts w:ascii="Times New Roman" w:hAnsi="Times New Roman" w:cs="Times New Roman"/>
          <w:sz w:val="24"/>
          <w:szCs w:val="24"/>
        </w:rPr>
        <w:t xml:space="preserve">, </w:t>
      </w:r>
      <w:r w:rsidRPr="007013EC">
        <w:rPr>
          <w:rFonts w:ascii="Times New Roman" w:hAnsi="Times New Roman" w:cs="Times New Roman"/>
          <w:sz w:val="24"/>
          <w:szCs w:val="24"/>
        </w:rPr>
        <w:t>a czynności związane z obowiązkiem wyliczania i uiszczania opłat i wpłat nie powinny stwarzać nadmiernych obciążeń administracyjnych dla podmiotów obowiązanych do ich uiszczania</w:t>
      </w:r>
      <w:r w:rsidRPr="001E3908">
        <w:rPr>
          <w:rFonts w:ascii="Times New Roman" w:hAnsi="Times New Roman" w:cs="Times New Roman"/>
          <w:sz w:val="24"/>
          <w:szCs w:val="24"/>
        </w:rPr>
        <w:t xml:space="preserve">. </w:t>
      </w:r>
    </w:p>
    <w:p w14:paraId="50FA2FFE" w14:textId="789B58A1" w:rsidR="00C21D4B" w:rsidRPr="001E3908" w:rsidRDefault="00C40C0B" w:rsidP="00695ECE">
      <w:pPr>
        <w:pStyle w:val="Akapitzlist"/>
        <w:numPr>
          <w:ilvl w:val="0"/>
          <w:numId w:val="2"/>
        </w:numPr>
        <w:spacing w:line="360" w:lineRule="auto"/>
        <w:jc w:val="both"/>
        <w:rPr>
          <w:rFonts w:ascii="Times New Roman" w:hAnsi="Times New Roman" w:cs="Times New Roman"/>
          <w:bCs/>
          <w:sz w:val="24"/>
          <w:szCs w:val="24"/>
        </w:rPr>
      </w:pPr>
      <w:proofErr w:type="spellStart"/>
      <w:r>
        <w:rPr>
          <w:rFonts w:ascii="Times New Roman" w:hAnsi="Times New Roman" w:cs="Times New Roman"/>
          <w:b/>
          <w:bCs/>
          <w:sz w:val="24"/>
          <w:szCs w:val="24"/>
        </w:rPr>
        <w:t>Ro</w:t>
      </w:r>
      <w:r w:rsidR="00C21D4B">
        <w:rPr>
          <w:rFonts w:ascii="Times New Roman" w:hAnsi="Times New Roman" w:cs="Times New Roman"/>
          <w:b/>
          <w:bCs/>
          <w:sz w:val="24"/>
          <w:szCs w:val="24"/>
        </w:rPr>
        <w:t>dział</w:t>
      </w:r>
      <w:proofErr w:type="spellEnd"/>
      <w:r w:rsidR="00C21D4B">
        <w:rPr>
          <w:rFonts w:ascii="Times New Roman" w:hAnsi="Times New Roman" w:cs="Times New Roman"/>
          <w:b/>
          <w:bCs/>
          <w:sz w:val="24"/>
          <w:szCs w:val="24"/>
        </w:rPr>
        <w:t xml:space="preserve"> 5 Środki nadzorcze i sankcje administracyjne –</w:t>
      </w:r>
      <w:r w:rsidR="00C21D4B">
        <w:rPr>
          <w:rFonts w:ascii="Times New Roman" w:hAnsi="Times New Roman" w:cs="Times New Roman"/>
          <w:bCs/>
          <w:sz w:val="24"/>
          <w:szCs w:val="24"/>
        </w:rPr>
        <w:t xml:space="preserve"> służy przyznaniu organowi nadzoru (Komisji) niezbędnych narzędzi do zapewnienia przestrzegania przez podmioty nadzorowane przepisów ustawy i rozporządzenia 2023/1114. Należy wskazać, że rozporządzenie to nadaje bardzo szerokie kompetencje nadzorcze właściwym organom w państwach członkowskich Unii Europejskiej. Art. 94 rozporządzenia 202</w:t>
      </w:r>
      <w:r w:rsidR="00D46025">
        <w:rPr>
          <w:rFonts w:ascii="Times New Roman" w:hAnsi="Times New Roman" w:cs="Times New Roman"/>
          <w:bCs/>
          <w:sz w:val="24"/>
          <w:szCs w:val="24"/>
        </w:rPr>
        <w:t>3</w:t>
      </w:r>
      <w:r w:rsidR="00C21D4B">
        <w:rPr>
          <w:rFonts w:ascii="Times New Roman" w:hAnsi="Times New Roman" w:cs="Times New Roman"/>
          <w:bCs/>
          <w:sz w:val="24"/>
          <w:szCs w:val="24"/>
        </w:rPr>
        <w:t>/1114 wskazuje szeroki katalog uprawnień nadzorczych i dochodzeniowych, które organ nadzoru powinien posiadać, aby realizować obowiązki spoczywające na nim na mocy tytułów II–V</w:t>
      </w:r>
      <w:r w:rsidR="005401B0">
        <w:rPr>
          <w:rFonts w:ascii="Times New Roman" w:hAnsi="Times New Roman" w:cs="Times New Roman"/>
          <w:bCs/>
          <w:sz w:val="24"/>
          <w:szCs w:val="24"/>
        </w:rPr>
        <w:t>I</w:t>
      </w:r>
      <w:r w:rsidR="00C21D4B">
        <w:rPr>
          <w:rFonts w:ascii="Times New Roman" w:hAnsi="Times New Roman" w:cs="Times New Roman"/>
          <w:bCs/>
          <w:sz w:val="24"/>
          <w:szCs w:val="24"/>
        </w:rPr>
        <w:t xml:space="preserve"> . Warto zaznaczyć, że przepis ten wprost wskazuje, że są to </w:t>
      </w:r>
      <w:r w:rsidR="00C21D4B" w:rsidRPr="00BC799F">
        <w:rPr>
          <w:rFonts w:ascii="Times New Roman" w:hAnsi="Times New Roman" w:cs="Times New Roman"/>
          <w:b/>
          <w:i/>
          <w:iCs/>
          <w:sz w:val="24"/>
          <w:szCs w:val="24"/>
        </w:rPr>
        <w:t>minimalne narzędzia</w:t>
      </w:r>
      <w:r w:rsidR="00C21D4B">
        <w:rPr>
          <w:rFonts w:ascii="Times New Roman" w:hAnsi="Times New Roman" w:cs="Times New Roman"/>
          <w:b/>
          <w:i/>
          <w:iCs/>
          <w:sz w:val="24"/>
          <w:szCs w:val="24"/>
        </w:rPr>
        <w:t>,</w:t>
      </w:r>
      <w:r w:rsidR="00C21D4B" w:rsidRPr="00BC799F">
        <w:rPr>
          <w:rFonts w:ascii="Times New Roman" w:hAnsi="Times New Roman" w:cs="Times New Roman"/>
          <w:b/>
          <w:i/>
          <w:iCs/>
          <w:sz w:val="24"/>
          <w:szCs w:val="24"/>
        </w:rPr>
        <w:t xml:space="preserve"> jakie należy wprowadzić w przepisach krajowych</w:t>
      </w:r>
      <w:r w:rsidR="00C21D4B">
        <w:rPr>
          <w:rFonts w:ascii="Times New Roman" w:hAnsi="Times New Roman" w:cs="Times New Roman"/>
          <w:bCs/>
          <w:sz w:val="24"/>
          <w:szCs w:val="24"/>
        </w:rPr>
        <w:t xml:space="preserve">. W związku z powyższym należy przytoczyć niektóre z uprawnień jakie nadaje rozporządzenie organom właściwym, są to m.in. przewidziane w art. 94 ust. 1 lit. v uprawnienie do </w:t>
      </w:r>
      <w:r w:rsidR="00C21D4B" w:rsidRPr="00B729DA">
        <w:rPr>
          <w:rFonts w:ascii="Times New Roman" w:hAnsi="Times New Roman" w:cs="Times New Roman"/>
          <w:bCs/>
          <w:sz w:val="24"/>
          <w:szCs w:val="24"/>
        </w:rPr>
        <w:t>zastosowani</w:t>
      </w:r>
      <w:r w:rsidR="00C21D4B">
        <w:rPr>
          <w:rFonts w:ascii="Times New Roman" w:hAnsi="Times New Roman" w:cs="Times New Roman"/>
          <w:bCs/>
          <w:sz w:val="24"/>
          <w:szCs w:val="24"/>
        </w:rPr>
        <w:t>a</w:t>
      </w:r>
      <w:r w:rsidR="00C21D4B" w:rsidRPr="00B729DA">
        <w:rPr>
          <w:rFonts w:ascii="Times New Roman" w:hAnsi="Times New Roman" w:cs="Times New Roman"/>
          <w:bCs/>
          <w:sz w:val="24"/>
          <w:szCs w:val="24"/>
        </w:rPr>
        <w:t xml:space="preserve"> </w:t>
      </w:r>
      <w:r w:rsidR="00ED6195">
        <w:rPr>
          <w:rFonts w:ascii="Times New Roman" w:hAnsi="Times New Roman" w:cs="Times New Roman"/>
          <w:bCs/>
          <w:sz w:val="24"/>
          <w:szCs w:val="24"/>
        </w:rPr>
        <w:t xml:space="preserve">odpowiednich </w:t>
      </w:r>
      <w:r w:rsidR="00C21D4B" w:rsidRPr="00B729DA">
        <w:rPr>
          <w:rFonts w:ascii="Times New Roman" w:hAnsi="Times New Roman" w:cs="Times New Roman"/>
          <w:bCs/>
          <w:sz w:val="24"/>
          <w:szCs w:val="24"/>
        </w:rPr>
        <w:t xml:space="preserve">środków w celu zapewnienia, aby oferujący lub osoba ubiegająca się o dopuszczenie do obrotu </w:t>
      </w:r>
      <w:proofErr w:type="spellStart"/>
      <w:r w:rsidR="00C21D4B" w:rsidRPr="00B729DA">
        <w:rPr>
          <w:rFonts w:ascii="Times New Roman" w:hAnsi="Times New Roman" w:cs="Times New Roman"/>
          <w:bCs/>
          <w:sz w:val="24"/>
          <w:szCs w:val="24"/>
        </w:rPr>
        <w:t>kryptoaktywów</w:t>
      </w:r>
      <w:proofErr w:type="spellEnd"/>
      <w:r w:rsidR="00C21D4B" w:rsidRPr="00B729DA">
        <w:rPr>
          <w:rFonts w:ascii="Times New Roman" w:hAnsi="Times New Roman" w:cs="Times New Roman"/>
          <w:bCs/>
          <w:sz w:val="24"/>
          <w:szCs w:val="24"/>
        </w:rPr>
        <w:t xml:space="preserve">, emitent </w:t>
      </w:r>
      <w:proofErr w:type="spellStart"/>
      <w:r w:rsidR="00C21D4B" w:rsidRPr="00B729DA">
        <w:rPr>
          <w:rFonts w:ascii="Times New Roman" w:hAnsi="Times New Roman" w:cs="Times New Roman"/>
          <w:bCs/>
          <w:sz w:val="24"/>
          <w:szCs w:val="24"/>
        </w:rPr>
        <w:t>tokena</w:t>
      </w:r>
      <w:proofErr w:type="spellEnd"/>
      <w:r w:rsidR="00C21D4B" w:rsidRPr="00B729DA">
        <w:rPr>
          <w:rFonts w:ascii="Times New Roman" w:hAnsi="Times New Roman" w:cs="Times New Roman"/>
          <w:bCs/>
          <w:sz w:val="24"/>
          <w:szCs w:val="24"/>
        </w:rPr>
        <w:t xml:space="preserve"> powiązanego z aktywami lub </w:t>
      </w:r>
      <w:proofErr w:type="spellStart"/>
      <w:r w:rsidR="00C21D4B" w:rsidRPr="00B729DA">
        <w:rPr>
          <w:rFonts w:ascii="Times New Roman" w:hAnsi="Times New Roman" w:cs="Times New Roman"/>
          <w:bCs/>
          <w:sz w:val="24"/>
          <w:szCs w:val="24"/>
        </w:rPr>
        <w:t>tokena</w:t>
      </w:r>
      <w:proofErr w:type="spellEnd"/>
      <w:r w:rsidR="00C21D4B" w:rsidRPr="00B729DA">
        <w:rPr>
          <w:rFonts w:ascii="Times New Roman" w:hAnsi="Times New Roman" w:cs="Times New Roman"/>
          <w:bCs/>
          <w:sz w:val="24"/>
          <w:szCs w:val="24"/>
        </w:rPr>
        <w:t xml:space="preserve"> będącego e-pieniądzem lub dostawca usług w zakresie </w:t>
      </w:r>
      <w:proofErr w:type="spellStart"/>
      <w:r w:rsidR="00C21D4B" w:rsidRPr="00B729DA">
        <w:rPr>
          <w:rFonts w:ascii="Times New Roman" w:hAnsi="Times New Roman" w:cs="Times New Roman"/>
          <w:bCs/>
          <w:sz w:val="24"/>
          <w:szCs w:val="24"/>
        </w:rPr>
        <w:t>kryptoaktywów</w:t>
      </w:r>
      <w:proofErr w:type="spellEnd"/>
      <w:r w:rsidR="00C21D4B" w:rsidRPr="00B729DA">
        <w:rPr>
          <w:rFonts w:ascii="Times New Roman" w:hAnsi="Times New Roman" w:cs="Times New Roman"/>
          <w:bCs/>
          <w:sz w:val="24"/>
          <w:szCs w:val="24"/>
        </w:rPr>
        <w:t xml:space="preserve"> przestrzegali przepisów rozporządzenia</w:t>
      </w:r>
      <w:r w:rsidR="00C21D4B">
        <w:rPr>
          <w:rFonts w:ascii="Times New Roman" w:hAnsi="Times New Roman" w:cs="Times New Roman"/>
          <w:bCs/>
          <w:sz w:val="24"/>
          <w:szCs w:val="24"/>
        </w:rPr>
        <w:t xml:space="preserve"> 2023/1114</w:t>
      </w:r>
      <w:r w:rsidR="00C21D4B" w:rsidRPr="00B729DA">
        <w:rPr>
          <w:rFonts w:ascii="Times New Roman" w:hAnsi="Times New Roman" w:cs="Times New Roman"/>
          <w:bCs/>
          <w:sz w:val="24"/>
          <w:szCs w:val="24"/>
        </w:rPr>
        <w:t xml:space="preserve">, włącznie z żądaniem zaprzestania wszelkich praktyk lub postępowania, które właściwy organ uznaje za sprzeczne z </w:t>
      </w:r>
      <w:r w:rsidR="00C21D4B">
        <w:rPr>
          <w:rFonts w:ascii="Times New Roman" w:hAnsi="Times New Roman" w:cs="Times New Roman"/>
          <w:bCs/>
          <w:sz w:val="24"/>
          <w:szCs w:val="24"/>
        </w:rPr>
        <w:t>tym</w:t>
      </w:r>
      <w:r w:rsidR="00C21D4B" w:rsidRPr="00B729DA">
        <w:rPr>
          <w:rFonts w:ascii="Times New Roman" w:hAnsi="Times New Roman" w:cs="Times New Roman"/>
          <w:bCs/>
          <w:sz w:val="24"/>
          <w:szCs w:val="24"/>
        </w:rPr>
        <w:t xml:space="preserve"> rozporządzeniem</w:t>
      </w:r>
      <w:r w:rsidR="00C21D4B">
        <w:rPr>
          <w:rFonts w:ascii="Times New Roman" w:hAnsi="Times New Roman" w:cs="Times New Roman"/>
          <w:bCs/>
          <w:sz w:val="24"/>
          <w:szCs w:val="24"/>
        </w:rPr>
        <w:t xml:space="preserve">. </w:t>
      </w:r>
    </w:p>
    <w:p w14:paraId="290FFDA4" w14:textId="449C3DB7"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Art. 8</w:t>
      </w:r>
      <w:r w:rsidR="0065218B">
        <w:rPr>
          <w:rFonts w:ascii="Times New Roman" w:hAnsi="Times New Roman" w:cs="Times New Roman"/>
          <w:b/>
          <w:bCs/>
          <w:sz w:val="24"/>
          <w:szCs w:val="24"/>
        </w:rPr>
        <w:t>2</w:t>
      </w:r>
      <w:r w:rsidRPr="001E3908">
        <w:rPr>
          <w:rFonts w:ascii="Times New Roman" w:hAnsi="Times New Roman" w:cs="Times New Roman"/>
          <w:sz w:val="24"/>
          <w:szCs w:val="24"/>
        </w:rPr>
        <w:t xml:space="preserve"> przyznaje Komisji kompetencję do wydawania emitentowi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powiązanych z aktywami lub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będących e-pieniądzem</w:t>
      </w:r>
      <w:r w:rsidRPr="001E3908" w:rsidDel="004816EA">
        <w:rPr>
          <w:rFonts w:ascii="Times New Roman" w:hAnsi="Times New Roman" w:cs="Times New Roman"/>
          <w:sz w:val="24"/>
          <w:szCs w:val="24"/>
        </w:rPr>
        <w:t xml:space="preserve"> </w:t>
      </w:r>
      <w:r w:rsidRPr="001E3908">
        <w:rPr>
          <w:rFonts w:ascii="Times New Roman" w:hAnsi="Times New Roman" w:cs="Times New Roman"/>
          <w:sz w:val="24"/>
          <w:szCs w:val="24"/>
        </w:rPr>
        <w:t>zaleceń</w:t>
      </w:r>
      <w:r>
        <w:rPr>
          <w:rFonts w:ascii="Times New Roman" w:hAnsi="Times New Roman" w:cs="Times New Roman"/>
          <w:sz w:val="24"/>
          <w:szCs w:val="24"/>
        </w:rPr>
        <w:t xml:space="preserve"> zaprzestania w wyznaczonym terminie naruszania obowiązków wynikających z określonych przepisów rozporządzenia 2023/1114</w:t>
      </w:r>
      <w:r w:rsidRPr="001E3908">
        <w:rPr>
          <w:rFonts w:ascii="Times New Roman" w:hAnsi="Times New Roman" w:cs="Times New Roman"/>
          <w:sz w:val="24"/>
          <w:szCs w:val="24"/>
        </w:rPr>
        <w:t xml:space="preserve">. Ma to miejsce w przypadku uchybiania przez te podmioty ciążących na nich obowiązków określonych w </w:t>
      </w:r>
      <w:r>
        <w:rPr>
          <w:rFonts w:ascii="Times New Roman" w:hAnsi="Times New Roman" w:cs="Times New Roman"/>
          <w:sz w:val="24"/>
          <w:szCs w:val="24"/>
        </w:rPr>
        <w:t xml:space="preserve">art. 23, </w:t>
      </w:r>
      <w:r w:rsidRPr="001E3908">
        <w:rPr>
          <w:rFonts w:ascii="Times New Roman" w:hAnsi="Times New Roman" w:cs="Times New Roman"/>
          <w:sz w:val="24"/>
          <w:szCs w:val="24"/>
        </w:rPr>
        <w:t>art. 30–32, art. 34–38</w:t>
      </w:r>
      <w:r>
        <w:rPr>
          <w:rFonts w:ascii="Times New Roman" w:hAnsi="Times New Roman" w:cs="Times New Roman"/>
          <w:sz w:val="24"/>
          <w:szCs w:val="24"/>
        </w:rPr>
        <w:t>, art. 46, art. 47</w:t>
      </w:r>
      <w:r w:rsidRPr="001E3908">
        <w:rPr>
          <w:rFonts w:ascii="Times New Roman" w:hAnsi="Times New Roman" w:cs="Times New Roman"/>
          <w:sz w:val="24"/>
          <w:szCs w:val="24"/>
        </w:rPr>
        <w:t xml:space="preserve"> </w:t>
      </w:r>
      <w:r>
        <w:rPr>
          <w:rFonts w:ascii="Times New Roman" w:hAnsi="Times New Roman" w:cs="Times New Roman"/>
          <w:sz w:val="24"/>
          <w:szCs w:val="24"/>
        </w:rPr>
        <w:t>lub</w:t>
      </w:r>
      <w:r w:rsidRPr="001E3908">
        <w:rPr>
          <w:rFonts w:ascii="Times New Roman" w:hAnsi="Times New Roman" w:cs="Times New Roman"/>
          <w:sz w:val="24"/>
          <w:szCs w:val="24"/>
        </w:rPr>
        <w:t xml:space="preserve"> art. 54 rozporządzenia 2023/1114 </w:t>
      </w:r>
      <w:r>
        <w:rPr>
          <w:rFonts w:ascii="Times New Roman" w:hAnsi="Times New Roman" w:cs="Times New Roman"/>
          <w:sz w:val="24"/>
          <w:szCs w:val="24"/>
        </w:rPr>
        <w:t xml:space="preserve">oraz w </w:t>
      </w:r>
      <w:r w:rsidRPr="001E3908">
        <w:rPr>
          <w:rFonts w:ascii="Times New Roman" w:hAnsi="Times New Roman" w:cs="Times New Roman"/>
          <w:sz w:val="24"/>
          <w:szCs w:val="24"/>
        </w:rPr>
        <w:t>przepisach aktów delegowanych wydanych na podstawie art. 31 ust. 5, art. 32 ust. 5, art. 35 ust. 6, art. 36 ust. 4, art. 38 ust. 5</w:t>
      </w:r>
      <w:r>
        <w:rPr>
          <w:rFonts w:ascii="Times New Roman" w:hAnsi="Times New Roman" w:cs="Times New Roman"/>
          <w:sz w:val="24"/>
          <w:szCs w:val="24"/>
        </w:rPr>
        <w:t xml:space="preserve">, </w:t>
      </w:r>
      <w:r w:rsidRPr="002A2DF5">
        <w:rPr>
          <w:rFonts w:ascii="Times New Roman" w:eastAsia="Times New Roman" w:hAnsi="Times New Roman" w:cs="Arial"/>
          <w:sz w:val="24"/>
          <w:szCs w:val="20"/>
          <w:lang w:eastAsia="pl-PL"/>
        </w:rPr>
        <w:t>art. 46 ust. 6 lub art. 47 ust. 5</w:t>
      </w:r>
      <w:r>
        <w:rPr>
          <w:rFonts w:ascii="Times New Roman" w:hAnsi="Times New Roman" w:cs="Times New Roman"/>
          <w:sz w:val="24"/>
          <w:szCs w:val="24"/>
        </w:rPr>
        <w:t xml:space="preserve"> tego rozporządzenia</w:t>
      </w:r>
      <w:r w:rsidRPr="001E3908">
        <w:rPr>
          <w:rFonts w:ascii="Times New Roman" w:hAnsi="Times New Roman" w:cs="Times New Roman"/>
          <w:sz w:val="24"/>
          <w:szCs w:val="24"/>
        </w:rPr>
        <w:t>.</w:t>
      </w:r>
    </w:p>
    <w:p w14:paraId="6582324D" w14:textId="38F87637" w:rsidR="00C21D4B" w:rsidRPr="00615A39"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8</w:t>
      </w:r>
      <w:r w:rsidR="0065218B">
        <w:rPr>
          <w:rFonts w:ascii="Times New Roman" w:hAnsi="Times New Roman" w:cs="Times New Roman"/>
          <w:b/>
          <w:bCs/>
          <w:sz w:val="24"/>
          <w:szCs w:val="24"/>
        </w:rPr>
        <w:t>3</w:t>
      </w:r>
      <w:r w:rsidRPr="001E3908">
        <w:rPr>
          <w:rFonts w:ascii="Times New Roman" w:hAnsi="Times New Roman" w:cs="Times New Roman"/>
          <w:sz w:val="24"/>
          <w:szCs w:val="24"/>
        </w:rPr>
        <w:t xml:space="preserve"> wyposaża Komisję w kompetencję do nakazania oferującemu, emitentowi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powiązanych z aktywami lub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będących e-pieniądzem, osobie ubiegającej się o dopuszczenie do obrotu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lub dostawcy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prowadzące</w:t>
      </w:r>
      <w:r>
        <w:rPr>
          <w:rFonts w:ascii="Times New Roman" w:hAnsi="Times New Roman" w:cs="Times New Roman"/>
          <w:sz w:val="24"/>
          <w:szCs w:val="24"/>
        </w:rPr>
        <w:t>mu</w:t>
      </w:r>
      <w:r w:rsidRPr="001E3908">
        <w:rPr>
          <w:rFonts w:ascii="Times New Roman" w:hAnsi="Times New Roman" w:cs="Times New Roman"/>
          <w:sz w:val="24"/>
          <w:szCs w:val="24"/>
        </w:rPr>
        <w:t xml:space="preserve"> platformę obrotu </w:t>
      </w:r>
      <w:proofErr w:type="spellStart"/>
      <w:r w:rsidRPr="001E3908">
        <w:rPr>
          <w:rFonts w:ascii="Times New Roman" w:hAnsi="Times New Roman" w:cs="Times New Roman"/>
          <w:sz w:val="24"/>
          <w:szCs w:val="24"/>
        </w:rPr>
        <w:t>kryptoaktywami</w:t>
      </w:r>
      <w:proofErr w:type="spellEnd"/>
      <w:r w:rsidRPr="001E3908">
        <w:rPr>
          <w:rFonts w:ascii="Times New Roman" w:hAnsi="Times New Roman" w:cs="Times New Roman"/>
          <w:sz w:val="24"/>
          <w:szCs w:val="24"/>
        </w:rPr>
        <w:t xml:space="preserve"> zmian</w:t>
      </w:r>
      <w:r>
        <w:rPr>
          <w:rFonts w:ascii="Times New Roman" w:hAnsi="Times New Roman" w:cs="Times New Roman"/>
          <w:sz w:val="24"/>
          <w:szCs w:val="24"/>
        </w:rPr>
        <w:t>y</w:t>
      </w:r>
      <w:r w:rsidRPr="001E3908">
        <w:rPr>
          <w:rFonts w:ascii="Times New Roman" w:hAnsi="Times New Roman" w:cs="Times New Roman"/>
          <w:sz w:val="24"/>
          <w:szCs w:val="24"/>
        </w:rPr>
        <w:t xml:space="preserve"> treści sporządzonego przez ten podmiot dokumentu informacyjnego dotyczącego </w:t>
      </w:r>
      <w:proofErr w:type="spellStart"/>
      <w:r w:rsidRPr="001E3908">
        <w:rPr>
          <w:rFonts w:ascii="Times New Roman" w:hAnsi="Times New Roman" w:cs="Times New Roman"/>
          <w:sz w:val="24"/>
          <w:szCs w:val="24"/>
        </w:rPr>
        <w:t>kryptoaktywa</w:t>
      </w:r>
      <w:proofErr w:type="spellEnd"/>
      <w:r w:rsidRPr="001E3908">
        <w:rPr>
          <w:rFonts w:ascii="Times New Roman" w:hAnsi="Times New Roman" w:cs="Times New Roman"/>
          <w:sz w:val="24"/>
          <w:szCs w:val="24"/>
        </w:rPr>
        <w:t xml:space="preserve"> albo uzupełnienia treści takiego dokumentu o dodatkowe informacje, w przypadku gdy dokument ten nie zawiera wymaganych informacji. Komisja może również nakazać ww. podmiotom uzupełnienie treści dokumentu informacyjnego dotyczącego </w:t>
      </w:r>
      <w:proofErr w:type="spellStart"/>
      <w:r w:rsidRPr="001E3908">
        <w:rPr>
          <w:rFonts w:ascii="Times New Roman" w:hAnsi="Times New Roman" w:cs="Times New Roman"/>
          <w:sz w:val="24"/>
          <w:szCs w:val="24"/>
        </w:rPr>
        <w:t>kryptoaktywa</w:t>
      </w:r>
      <w:proofErr w:type="spellEnd"/>
      <w:r w:rsidRPr="001E3908">
        <w:rPr>
          <w:rFonts w:ascii="Times New Roman" w:hAnsi="Times New Roman" w:cs="Times New Roman"/>
          <w:sz w:val="24"/>
          <w:szCs w:val="24"/>
        </w:rPr>
        <w:t xml:space="preserve"> o dodatkowe informacje, jeżeli zachodzi konieczność uzupełnienia </w:t>
      </w:r>
      <w:r>
        <w:rPr>
          <w:rFonts w:ascii="Times New Roman" w:hAnsi="Times New Roman" w:cs="Times New Roman"/>
          <w:sz w:val="24"/>
          <w:szCs w:val="24"/>
        </w:rPr>
        <w:t>koniecznego dla</w:t>
      </w:r>
      <w:r w:rsidRPr="001E3908">
        <w:rPr>
          <w:rFonts w:ascii="Times New Roman" w:hAnsi="Times New Roman" w:cs="Times New Roman"/>
          <w:sz w:val="24"/>
          <w:szCs w:val="24"/>
        </w:rPr>
        <w:t xml:space="preserve"> zapewnienia stabilności finansowej oraz ochrony </w:t>
      </w:r>
      <w:r>
        <w:rPr>
          <w:rFonts w:ascii="Times New Roman" w:hAnsi="Times New Roman" w:cs="Times New Roman"/>
          <w:sz w:val="24"/>
          <w:szCs w:val="24"/>
        </w:rPr>
        <w:t xml:space="preserve">interesów </w:t>
      </w:r>
      <w:r w:rsidRPr="001E3908">
        <w:rPr>
          <w:rFonts w:ascii="Times New Roman" w:hAnsi="Times New Roman" w:cs="Times New Roman"/>
          <w:sz w:val="24"/>
          <w:szCs w:val="24"/>
        </w:rPr>
        <w:t xml:space="preserve">posiadaczy </w:t>
      </w:r>
      <w:proofErr w:type="spellStart"/>
      <w:r w:rsidRPr="001E3908">
        <w:rPr>
          <w:rFonts w:ascii="Times New Roman" w:hAnsi="Times New Roman" w:cs="Times New Roman"/>
          <w:sz w:val="24"/>
          <w:szCs w:val="24"/>
        </w:rPr>
        <w:t>kryptoaktywów</w:t>
      </w:r>
      <w:proofErr w:type="spellEnd"/>
      <w:r>
        <w:rPr>
          <w:rFonts w:ascii="Times New Roman" w:hAnsi="Times New Roman" w:cs="Times New Roman"/>
          <w:sz w:val="24"/>
          <w:szCs w:val="24"/>
        </w:rPr>
        <w:t>, w szczególności posiadaczy detalicznych</w:t>
      </w:r>
      <w:r w:rsidRPr="001E3908">
        <w:rPr>
          <w:rFonts w:ascii="Times New Roman" w:hAnsi="Times New Roman" w:cs="Times New Roman"/>
          <w:sz w:val="24"/>
          <w:szCs w:val="24"/>
        </w:rPr>
        <w:t>.</w:t>
      </w:r>
    </w:p>
    <w:p w14:paraId="4ED096E1" w14:textId="7F979576" w:rsidR="00C21D4B" w:rsidRDefault="00C21D4B" w:rsidP="00695ECE">
      <w:pPr>
        <w:pStyle w:val="Akapitzlist"/>
        <w:numPr>
          <w:ilvl w:val="0"/>
          <w:numId w:val="2"/>
        </w:numPr>
        <w:spacing w:line="360" w:lineRule="auto"/>
        <w:jc w:val="both"/>
        <w:rPr>
          <w:rFonts w:ascii="Times New Roman" w:hAnsi="Times New Roman" w:cs="Times New Roman"/>
          <w:bCs/>
          <w:sz w:val="24"/>
          <w:szCs w:val="24"/>
        </w:rPr>
      </w:pPr>
      <w:r w:rsidRPr="00546E53">
        <w:rPr>
          <w:rFonts w:ascii="Times New Roman" w:hAnsi="Times New Roman" w:cs="Times New Roman"/>
          <w:b/>
          <w:sz w:val="24"/>
          <w:szCs w:val="24"/>
        </w:rPr>
        <w:t>Art. 8</w:t>
      </w:r>
      <w:r w:rsidR="0065218B">
        <w:rPr>
          <w:rFonts w:ascii="Times New Roman" w:hAnsi="Times New Roman" w:cs="Times New Roman"/>
          <w:b/>
          <w:sz w:val="24"/>
          <w:szCs w:val="24"/>
        </w:rPr>
        <w:t>4</w:t>
      </w:r>
      <w:r>
        <w:rPr>
          <w:rFonts w:ascii="Times New Roman" w:hAnsi="Times New Roman" w:cs="Times New Roman"/>
          <w:bCs/>
          <w:sz w:val="24"/>
          <w:szCs w:val="24"/>
        </w:rPr>
        <w:t xml:space="preserve"> </w:t>
      </w:r>
      <w:r w:rsidRPr="008A7A1C">
        <w:rPr>
          <w:rFonts w:ascii="Times New Roman" w:hAnsi="Times New Roman" w:cs="Times New Roman"/>
          <w:bCs/>
          <w:sz w:val="24"/>
          <w:szCs w:val="24"/>
        </w:rPr>
        <w:t>wyposaża Komisję w niezbędne uprawnienia wobec emitent</w:t>
      </w:r>
      <w:r>
        <w:rPr>
          <w:rFonts w:ascii="Times New Roman" w:hAnsi="Times New Roman" w:cs="Times New Roman"/>
          <w:bCs/>
          <w:sz w:val="24"/>
          <w:szCs w:val="24"/>
        </w:rPr>
        <w:t>a</w:t>
      </w:r>
      <w:r w:rsidRPr="008A7A1C">
        <w:rPr>
          <w:rFonts w:ascii="Times New Roman" w:hAnsi="Times New Roman" w:cs="Times New Roman"/>
          <w:bCs/>
          <w:sz w:val="24"/>
          <w:szCs w:val="24"/>
        </w:rPr>
        <w:t xml:space="preserve"> </w:t>
      </w:r>
      <w:proofErr w:type="spellStart"/>
      <w:r w:rsidRPr="008A7A1C">
        <w:rPr>
          <w:rFonts w:ascii="Times New Roman" w:hAnsi="Times New Roman" w:cs="Times New Roman"/>
          <w:bCs/>
          <w:sz w:val="24"/>
          <w:szCs w:val="24"/>
        </w:rPr>
        <w:t>tokenów</w:t>
      </w:r>
      <w:proofErr w:type="spellEnd"/>
      <w:r w:rsidRPr="008A7A1C">
        <w:rPr>
          <w:rFonts w:ascii="Times New Roman" w:hAnsi="Times New Roman" w:cs="Times New Roman"/>
          <w:bCs/>
          <w:sz w:val="24"/>
          <w:szCs w:val="24"/>
        </w:rPr>
        <w:t xml:space="preserve"> powiązanych z aktywami lub </w:t>
      </w:r>
      <w:proofErr w:type="spellStart"/>
      <w:r w:rsidRPr="008A7A1C">
        <w:rPr>
          <w:rFonts w:ascii="Times New Roman" w:hAnsi="Times New Roman" w:cs="Times New Roman"/>
          <w:bCs/>
          <w:sz w:val="24"/>
          <w:szCs w:val="24"/>
        </w:rPr>
        <w:t>tokenów</w:t>
      </w:r>
      <w:proofErr w:type="spellEnd"/>
      <w:r w:rsidRPr="008A7A1C">
        <w:rPr>
          <w:rFonts w:ascii="Times New Roman" w:hAnsi="Times New Roman" w:cs="Times New Roman"/>
          <w:bCs/>
          <w:sz w:val="24"/>
          <w:szCs w:val="24"/>
        </w:rPr>
        <w:t xml:space="preserve"> będących e-pieniądzem w sytuacji, gdy podmiot ten nie spełnia tak istotnych wymogów, jak dotyczące rezerwy aktywów, lub istnieje prawdopodobieństwo, że w najbliższej przyszłości nie spełni tych wymogów. Zgodnie z ust. 1 uprawnienia Komisji w tym zakresie to nakazanie emitentowi </w:t>
      </w:r>
      <w:proofErr w:type="spellStart"/>
      <w:r w:rsidRPr="008A7A1C">
        <w:rPr>
          <w:rFonts w:ascii="Times New Roman" w:hAnsi="Times New Roman" w:cs="Times New Roman"/>
          <w:bCs/>
          <w:sz w:val="24"/>
          <w:szCs w:val="24"/>
        </w:rPr>
        <w:t>tokenów</w:t>
      </w:r>
      <w:proofErr w:type="spellEnd"/>
      <w:r w:rsidRPr="008A7A1C">
        <w:rPr>
          <w:rFonts w:ascii="Times New Roman" w:hAnsi="Times New Roman" w:cs="Times New Roman"/>
          <w:bCs/>
          <w:sz w:val="24"/>
          <w:szCs w:val="24"/>
        </w:rPr>
        <w:t xml:space="preserve"> powiązanych z aktywami lub </w:t>
      </w:r>
      <w:proofErr w:type="spellStart"/>
      <w:r w:rsidRPr="008A7A1C">
        <w:rPr>
          <w:rFonts w:ascii="Times New Roman" w:hAnsi="Times New Roman" w:cs="Times New Roman"/>
          <w:bCs/>
          <w:sz w:val="24"/>
          <w:szCs w:val="24"/>
        </w:rPr>
        <w:t>tokenów</w:t>
      </w:r>
      <w:proofErr w:type="spellEnd"/>
      <w:r w:rsidRPr="008A7A1C">
        <w:rPr>
          <w:rFonts w:ascii="Times New Roman" w:hAnsi="Times New Roman" w:cs="Times New Roman"/>
          <w:bCs/>
          <w:sz w:val="24"/>
          <w:szCs w:val="24"/>
        </w:rPr>
        <w:t xml:space="preserve"> będących e-pieniądzem wdrożenia planu naprawy</w:t>
      </w:r>
      <w:r>
        <w:rPr>
          <w:rFonts w:ascii="Times New Roman" w:hAnsi="Times New Roman" w:cs="Times New Roman"/>
          <w:bCs/>
          <w:sz w:val="24"/>
          <w:szCs w:val="24"/>
        </w:rPr>
        <w:t xml:space="preserve"> oraz</w:t>
      </w:r>
      <w:r w:rsidRPr="008A7A1C">
        <w:rPr>
          <w:rFonts w:ascii="Times New Roman" w:hAnsi="Times New Roman" w:cs="Times New Roman"/>
          <w:bCs/>
          <w:sz w:val="24"/>
          <w:szCs w:val="24"/>
        </w:rPr>
        <w:t xml:space="preserve"> podjęcia określonych działań przewidzianych w tym planie, nakazanie aktualizacji planu naprawy</w:t>
      </w:r>
      <w:r>
        <w:rPr>
          <w:rFonts w:ascii="Times New Roman" w:hAnsi="Times New Roman" w:cs="Times New Roman"/>
          <w:bCs/>
          <w:sz w:val="24"/>
          <w:szCs w:val="24"/>
        </w:rPr>
        <w:t xml:space="preserve"> oraz</w:t>
      </w:r>
      <w:r w:rsidRPr="008A7A1C">
        <w:rPr>
          <w:rFonts w:ascii="Times New Roman" w:hAnsi="Times New Roman" w:cs="Times New Roman"/>
          <w:bCs/>
          <w:sz w:val="24"/>
          <w:szCs w:val="24"/>
        </w:rPr>
        <w:t xml:space="preserve"> podjęcia określonych działań przewidzianych w zaktualizowanym planie naprawy oraz, jeżeli jest to uzasadnione interesami posiadaczy </w:t>
      </w:r>
      <w:proofErr w:type="spellStart"/>
      <w:r w:rsidRPr="008A7A1C">
        <w:rPr>
          <w:rFonts w:ascii="Times New Roman" w:hAnsi="Times New Roman" w:cs="Times New Roman"/>
          <w:bCs/>
          <w:sz w:val="24"/>
          <w:szCs w:val="24"/>
        </w:rPr>
        <w:t>tokenów</w:t>
      </w:r>
      <w:proofErr w:type="spellEnd"/>
      <w:r w:rsidRPr="008A7A1C">
        <w:rPr>
          <w:rFonts w:ascii="Times New Roman" w:hAnsi="Times New Roman" w:cs="Times New Roman"/>
          <w:bCs/>
          <w:sz w:val="24"/>
          <w:szCs w:val="24"/>
        </w:rPr>
        <w:t xml:space="preserve"> powiązanych z aktywami lub </w:t>
      </w:r>
      <w:proofErr w:type="spellStart"/>
      <w:r w:rsidRPr="008A7A1C">
        <w:rPr>
          <w:rFonts w:ascii="Times New Roman" w:hAnsi="Times New Roman" w:cs="Times New Roman"/>
          <w:bCs/>
          <w:sz w:val="24"/>
          <w:szCs w:val="24"/>
        </w:rPr>
        <w:t>tokenów</w:t>
      </w:r>
      <w:proofErr w:type="spellEnd"/>
      <w:r w:rsidRPr="008A7A1C">
        <w:rPr>
          <w:rFonts w:ascii="Times New Roman" w:hAnsi="Times New Roman" w:cs="Times New Roman"/>
          <w:bCs/>
          <w:sz w:val="24"/>
          <w:szCs w:val="24"/>
        </w:rPr>
        <w:t xml:space="preserve"> będących e-pieniądzem, lub może służyć to utrzymaniu lub przywróceniu stabilności finansowej tego emitenta, zawieszenie wykupu tych </w:t>
      </w:r>
      <w:proofErr w:type="spellStart"/>
      <w:r w:rsidRPr="008A7A1C">
        <w:rPr>
          <w:rFonts w:ascii="Times New Roman" w:hAnsi="Times New Roman" w:cs="Times New Roman"/>
          <w:bCs/>
          <w:sz w:val="24"/>
          <w:szCs w:val="24"/>
        </w:rPr>
        <w:t>tokenów</w:t>
      </w:r>
      <w:proofErr w:type="spellEnd"/>
      <w:r w:rsidRPr="008A7A1C">
        <w:rPr>
          <w:rFonts w:ascii="Times New Roman" w:hAnsi="Times New Roman" w:cs="Times New Roman"/>
          <w:bCs/>
          <w:sz w:val="24"/>
          <w:szCs w:val="24"/>
        </w:rPr>
        <w:t xml:space="preserve"> na okres nie dłuższy niż 3 miesiące. Komisja </w:t>
      </w:r>
      <w:r w:rsidR="0065218B">
        <w:rPr>
          <w:rFonts w:ascii="Times New Roman" w:hAnsi="Times New Roman" w:cs="Times New Roman"/>
          <w:bCs/>
          <w:sz w:val="24"/>
          <w:szCs w:val="24"/>
        </w:rPr>
        <w:t xml:space="preserve">wydając nakaz </w:t>
      </w:r>
      <w:r w:rsidRPr="008A7A1C">
        <w:rPr>
          <w:rFonts w:ascii="Times New Roman" w:hAnsi="Times New Roman" w:cs="Times New Roman"/>
          <w:bCs/>
          <w:sz w:val="24"/>
          <w:szCs w:val="24"/>
        </w:rPr>
        <w:t xml:space="preserve">będzie miała prawo określenia terminu </w:t>
      </w:r>
      <w:r w:rsidR="0065218B">
        <w:rPr>
          <w:rFonts w:ascii="Times New Roman" w:hAnsi="Times New Roman" w:cs="Times New Roman"/>
          <w:bCs/>
          <w:sz w:val="24"/>
          <w:szCs w:val="24"/>
        </w:rPr>
        <w:t xml:space="preserve">jego </w:t>
      </w:r>
      <w:r w:rsidRPr="008A7A1C">
        <w:rPr>
          <w:rFonts w:ascii="Times New Roman" w:hAnsi="Times New Roman" w:cs="Times New Roman"/>
          <w:bCs/>
          <w:sz w:val="24"/>
          <w:szCs w:val="24"/>
        </w:rPr>
        <w:t>wykonania</w:t>
      </w:r>
      <w:r w:rsidR="0065218B">
        <w:rPr>
          <w:rFonts w:ascii="Times New Roman" w:hAnsi="Times New Roman" w:cs="Times New Roman"/>
          <w:bCs/>
          <w:sz w:val="24"/>
          <w:szCs w:val="24"/>
        </w:rPr>
        <w:t>.</w:t>
      </w:r>
      <w:r w:rsidRPr="008A7A1C">
        <w:rPr>
          <w:rFonts w:ascii="Times New Roman" w:hAnsi="Times New Roman" w:cs="Times New Roman"/>
          <w:bCs/>
          <w:sz w:val="24"/>
          <w:szCs w:val="24"/>
        </w:rPr>
        <w:t xml:space="preserve"> W określonych przypadkach, Komisja zobowiązana będzie do powiadomienia BFG o </w:t>
      </w:r>
      <w:r w:rsidR="0065218B">
        <w:rPr>
          <w:rFonts w:ascii="Times New Roman" w:hAnsi="Times New Roman" w:cs="Times New Roman"/>
          <w:bCs/>
          <w:sz w:val="24"/>
          <w:szCs w:val="24"/>
        </w:rPr>
        <w:t>wydaniu nakazu</w:t>
      </w:r>
      <w:r w:rsidRPr="00615A39">
        <w:rPr>
          <w:rFonts w:ascii="Times New Roman" w:hAnsi="Times New Roman" w:cs="Times New Roman"/>
          <w:bCs/>
          <w:sz w:val="24"/>
          <w:szCs w:val="24"/>
        </w:rPr>
        <w:t>.</w:t>
      </w:r>
    </w:p>
    <w:p w14:paraId="33390696" w14:textId="629FB9AC" w:rsidR="0065218B" w:rsidRPr="00FA7379" w:rsidRDefault="0065218B" w:rsidP="00A472C3">
      <w:pPr>
        <w:pStyle w:val="Akapitzlist"/>
        <w:numPr>
          <w:ilvl w:val="0"/>
          <w:numId w:val="2"/>
        </w:numPr>
        <w:spacing w:line="360" w:lineRule="auto"/>
        <w:jc w:val="both"/>
        <w:rPr>
          <w:rFonts w:ascii="Times New Roman" w:hAnsi="Times New Roman" w:cs="Times New Roman"/>
          <w:bCs/>
          <w:sz w:val="24"/>
          <w:szCs w:val="24"/>
        </w:rPr>
      </w:pPr>
      <w:r w:rsidRPr="00A472C3">
        <w:rPr>
          <w:rFonts w:ascii="Times New Roman" w:hAnsi="Times New Roman" w:cs="Times New Roman"/>
          <w:b/>
          <w:bCs/>
          <w:sz w:val="24"/>
          <w:szCs w:val="24"/>
        </w:rPr>
        <w:t>Art.</w:t>
      </w:r>
      <w:r w:rsidRPr="00FA7379">
        <w:rPr>
          <w:rFonts w:ascii="Times New Roman" w:hAnsi="Times New Roman" w:cs="Times New Roman"/>
          <w:b/>
          <w:bCs/>
          <w:sz w:val="24"/>
          <w:szCs w:val="24"/>
        </w:rPr>
        <w:t xml:space="preserve"> 85 i art. 87</w:t>
      </w:r>
      <w:r w:rsidRPr="00A472C3">
        <w:rPr>
          <w:rFonts w:ascii="Times New Roman" w:hAnsi="Times New Roman" w:cs="Times New Roman"/>
          <w:bCs/>
          <w:sz w:val="24"/>
          <w:szCs w:val="24"/>
        </w:rPr>
        <w:t xml:space="preserve"> </w:t>
      </w:r>
      <w:r w:rsidR="00A472C3" w:rsidRPr="00FA7379">
        <w:rPr>
          <w:rFonts w:ascii="Times New Roman" w:hAnsi="Times New Roman" w:cs="Times New Roman"/>
          <w:bCs/>
          <w:sz w:val="24"/>
          <w:szCs w:val="24"/>
        </w:rPr>
        <w:t xml:space="preserve"> przewidują, że do postępowań w sprawach, o których mowa w art. 84 ust. 1 i w art. 86 ust. 1, Komisja może odstąpić od stosowania przepisu art. 10 § 1 ustawy z dnia 14 czerwca 1960 r. – Kodeks postępowania administracyjnego w przypadkach, gdy zastosowanie tego przepisu mogłoby uniemożliwić albo znacznie utrudnić osiągnięcie celu wynikającego z art. 46 ust. 3 rozporządzenia 2023/1114.</w:t>
      </w:r>
      <w:r w:rsidR="00A472C3">
        <w:rPr>
          <w:rFonts w:ascii="Times New Roman" w:hAnsi="Times New Roman" w:cs="Times New Roman"/>
          <w:bCs/>
          <w:sz w:val="24"/>
          <w:szCs w:val="24"/>
        </w:rPr>
        <w:t xml:space="preserve"> </w:t>
      </w:r>
      <w:r w:rsidR="00A472C3" w:rsidRPr="00FA7379">
        <w:rPr>
          <w:rFonts w:ascii="Times New Roman" w:hAnsi="Times New Roman" w:cs="Times New Roman"/>
          <w:bCs/>
          <w:sz w:val="24"/>
          <w:szCs w:val="24"/>
        </w:rPr>
        <w:t>Decyzje wydawane przez Komisję w tych w sprawach podlegają natychmiastowemu wykonaniu.</w:t>
      </w:r>
    </w:p>
    <w:p w14:paraId="2DBE81F5" w14:textId="431A8C65"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546E53">
        <w:rPr>
          <w:rFonts w:ascii="Times New Roman" w:hAnsi="Times New Roman" w:cs="Times New Roman"/>
          <w:b/>
          <w:sz w:val="24"/>
          <w:szCs w:val="24"/>
        </w:rPr>
        <w:t>Art. 8</w:t>
      </w:r>
      <w:r w:rsidR="0065218B">
        <w:rPr>
          <w:rFonts w:ascii="Times New Roman" w:hAnsi="Times New Roman" w:cs="Times New Roman"/>
          <w:b/>
          <w:sz w:val="24"/>
          <w:szCs w:val="24"/>
        </w:rPr>
        <w:t>6</w:t>
      </w:r>
      <w:r w:rsidRPr="00615A39">
        <w:rPr>
          <w:rFonts w:ascii="Times New Roman" w:hAnsi="Times New Roman" w:cs="Times New Roman"/>
          <w:bCs/>
          <w:sz w:val="24"/>
          <w:szCs w:val="24"/>
        </w:rPr>
        <w:t xml:space="preserve"> </w:t>
      </w:r>
      <w:r w:rsidRPr="0049474C">
        <w:rPr>
          <w:rFonts w:ascii="Times New Roman" w:hAnsi="Times New Roman" w:cs="Times New Roman"/>
          <w:bCs/>
          <w:sz w:val="24"/>
          <w:szCs w:val="24"/>
        </w:rPr>
        <w:t xml:space="preserve">wyposaża Komisję w uprawnienie wobec emitentów </w:t>
      </w:r>
      <w:proofErr w:type="spellStart"/>
      <w:r w:rsidRPr="0049474C">
        <w:rPr>
          <w:rFonts w:ascii="Times New Roman" w:hAnsi="Times New Roman" w:cs="Times New Roman"/>
          <w:bCs/>
          <w:sz w:val="24"/>
          <w:szCs w:val="24"/>
        </w:rPr>
        <w:t>tokenów</w:t>
      </w:r>
      <w:proofErr w:type="spellEnd"/>
      <w:r w:rsidRPr="0049474C">
        <w:rPr>
          <w:rFonts w:ascii="Times New Roman" w:hAnsi="Times New Roman" w:cs="Times New Roman"/>
          <w:bCs/>
          <w:sz w:val="24"/>
          <w:szCs w:val="24"/>
        </w:rPr>
        <w:t xml:space="preserve"> powiązanych z aktywami lub </w:t>
      </w:r>
      <w:proofErr w:type="spellStart"/>
      <w:r w:rsidRPr="0049474C">
        <w:rPr>
          <w:rFonts w:ascii="Times New Roman" w:hAnsi="Times New Roman" w:cs="Times New Roman"/>
          <w:bCs/>
          <w:sz w:val="24"/>
          <w:szCs w:val="24"/>
        </w:rPr>
        <w:t>tokenów</w:t>
      </w:r>
      <w:proofErr w:type="spellEnd"/>
      <w:r w:rsidRPr="0049474C">
        <w:rPr>
          <w:rFonts w:ascii="Times New Roman" w:hAnsi="Times New Roman" w:cs="Times New Roman"/>
          <w:bCs/>
          <w:sz w:val="24"/>
          <w:szCs w:val="24"/>
        </w:rPr>
        <w:t xml:space="preserve"> będących e-pieniądzem w postaci nakazu wdrożenia planu wykupu, w przypadkach określonych w art. 47 ust. 1 rozporządzenia 2023/1114. </w:t>
      </w:r>
    </w:p>
    <w:p w14:paraId="008C6934" w14:textId="6C88DB86"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Art. 8</w:t>
      </w:r>
      <w:r w:rsidR="0065218B">
        <w:rPr>
          <w:rFonts w:ascii="Times New Roman" w:hAnsi="Times New Roman" w:cs="Times New Roman"/>
          <w:b/>
          <w:bCs/>
          <w:sz w:val="24"/>
          <w:szCs w:val="24"/>
        </w:rPr>
        <w:t>8</w:t>
      </w:r>
      <w:r w:rsidRPr="001E3908">
        <w:rPr>
          <w:rFonts w:ascii="Times New Roman" w:hAnsi="Times New Roman" w:cs="Times New Roman"/>
          <w:sz w:val="24"/>
          <w:szCs w:val="24"/>
        </w:rPr>
        <w:t xml:space="preserve"> stanowi, że w przypadku stwierdzenia przez Komisję, że materiały marketingowe dotyczące oferty publicznej lub ubiegania się o dopuszczenie do obrotu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nie spełniają wymogów określonych w art. 7, art. 29 lub art. 53 rozporządzenia 2023/1114, Komisja może nakazać oferującemu, emitentowi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powiązanych z aktywami lub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będących e-pieniądzem lub osobie ubiegającej się o dopuszczenie do obrotu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zmianę treści tych materiałów marketingowych.</w:t>
      </w:r>
    </w:p>
    <w:p w14:paraId="25AC9129" w14:textId="595AA5E7"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sz w:val="24"/>
          <w:szCs w:val="24"/>
        </w:rPr>
        <w:t xml:space="preserve">Zgodnie z </w:t>
      </w:r>
      <w:r w:rsidRPr="00866C87">
        <w:rPr>
          <w:rFonts w:ascii="Times New Roman" w:hAnsi="Times New Roman" w:cs="Times New Roman"/>
          <w:b/>
          <w:bCs/>
          <w:sz w:val="24"/>
          <w:szCs w:val="24"/>
        </w:rPr>
        <w:t xml:space="preserve">art. </w:t>
      </w:r>
      <w:r w:rsidR="0065218B">
        <w:rPr>
          <w:rFonts w:ascii="Times New Roman" w:hAnsi="Times New Roman" w:cs="Times New Roman"/>
          <w:b/>
          <w:bCs/>
          <w:sz w:val="24"/>
          <w:szCs w:val="24"/>
        </w:rPr>
        <w:t>89</w:t>
      </w:r>
      <w:r w:rsidRPr="00866C87">
        <w:rPr>
          <w:rFonts w:ascii="Times New Roman" w:hAnsi="Times New Roman" w:cs="Times New Roman"/>
          <w:sz w:val="24"/>
          <w:szCs w:val="24"/>
        </w:rPr>
        <w:t xml:space="preserve"> w przypadku naruszenia przepisów art. 6, art. 8 ust. 4–6, art. 9, art.</w:t>
      </w:r>
      <w:r>
        <w:rPr>
          <w:rFonts w:ascii="Times New Roman" w:hAnsi="Times New Roman" w:cs="Times New Roman"/>
          <w:sz w:val="24"/>
          <w:szCs w:val="24"/>
        </w:rPr>
        <w:t> </w:t>
      </w:r>
      <w:r w:rsidRPr="00866C87">
        <w:rPr>
          <w:rFonts w:ascii="Times New Roman" w:hAnsi="Times New Roman" w:cs="Times New Roman"/>
          <w:sz w:val="24"/>
          <w:szCs w:val="24"/>
        </w:rPr>
        <w:t xml:space="preserve">12, art. 17, art. 19, art. 25, art. 28 lub art. 51 rozporządzenia 2023/1114, przepisów aktów delegowanych wydanych na podstawie art. 6 lub 12, art. 17 ust. 8, art. 19 ust. 11, art. 51 ust. 15 rozporządzenia 2023/1114 lub przepisów aktów wykonawczych wydanych na podstawie </w:t>
      </w:r>
      <w:r>
        <w:rPr>
          <w:rFonts w:ascii="Times New Roman" w:hAnsi="Times New Roman" w:cs="Times New Roman"/>
          <w:sz w:val="24"/>
          <w:szCs w:val="24"/>
        </w:rPr>
        <w:t xml:space="preserve">art. 6 ust. 11, </w:t>
      </w:r>
      <w:r w:rsidRPr="00866C87">
        <w:rPr>
          <w:rFonts w:ascii="Times New Roman" w:hAnsi="Times New Roman" w:cs="Times New Roman"/>
          <w:sz w:val="24"/>
          <w:szCs w:val="24"/>
        </w:rPr>
        <w:t xml:space="preserve">art. 19 ust. 10 lub art. 51 ust. 10 rozporządzenia 2023/1114, w związku z ofertą publiczną </w:t>
      </w:r>
      <w:proofErr w:type="spellStart"/>
      <w:r w:rsidRPr="00866C87">
        <w:rPr>
          <w:rFonts w:ascii="Times New Roman" w:hAnsi="Times New Roman" w:cs="Times New Roman"/>
          <w:sz w:val="24"/>
          <w:szCs w:val="24"/>
        </w:rPr>
        <w:t>kryptoaktywów</w:t>
      </w:r>
      <w:proofErr w:type="spellEnd"/>
      <w:r w:rsidRPr="00866C87">
        <w:rPr>
          <w:rFonts w:ascii="Times New Roman" w:hAnsi="Times New Roman" w:cs="Times New Roman"/>
          <w:sz w:val="24"/>
          <w:szCs w:val="24"/>
        </w:rPr>
        <w:t xml:space="preserve"> przez oferującego, emitenta </w:t>
      </w:r>
      <w:proofErr w:type="spellStart"/>
      <w:r w:rsidRPr="00866C87">
        <w:rPr>
          <w:rFonts w:ascii="Times New Roman" w:hAnsi="Times New Roman" w:cs="Times New Roman"/>
          <w:sz w:val="24"/>
          <w:szCs w:val="24"/>
        </w:rPr>
        <w:t>tokenów</w:t>
      </w:r>
      <w:proofErr w:type="spellEnd"/>
      <w:r w:rsidRPr="00866C87">
        <w:rPr>
          <w:rFonts w:ascii="Times New Roman" w:hAnsi="Times New Roman" w:cs="Times New Roman"/>
          <w:sz w:val="24"/>
          <w:szCs w:val="24"/>
        </w:rPr>
        <w:t xml:space="preserve"> powiązanych z aktywami lub </w:t>
      </w:r>
      <w:proofErr w:type="spellStart"/>
      <w:r w:rsidRPr="00866C87">
        <w:rPr>
          <w:rFonts w:ascii="Times New Roman" w:hAnsi="Times New Roman" w:cs="Times New Roman"/>
          <w:sz w:val="24"/>
          <w:szCs w:val="24"/>
        </w:rPr>
        <w:t>tokenów</w:t>
      </w:r>
      <w:proofErr w:type="spellEnd"/>
      <w:r w:rsidRPr="00866C87">
        <w:rPr>
          <w:rFonts w:ascii="Times New Roman" w:hAnsi="Times New Roman" w:cs="Times New Roman"/>
          <w:sz w:val="24"/>
          <w:szCs w:val="24"/>
        </w:rPr>
        <w:t xml:space="preserve"> będących e-pieniądzem, Komisja może nakazać wstrzymanie rozpoczęcia oferty publicznej </w:t>
      </w:r>
      <w:proofErr w:type="spellStart"/>
      <w:r w:rsidRPr="00866C87">
        <w:rPr>
          <w:rFonts w:ascii="Times New Roman" w:hAnsi="Times New Roman" w:cs="Times New Roman"/>
          <w:sz w:val="24"/>
          <w:szCs w:val="24"/>
        </w:rPr>
        <w:t>kryptoaktywów</w:t>
      </w:r>
      <w:proofErr w:type="spellEnd"/>
      <w:r w:rsidRPr="00866C87">
        <w:rPr>
          <w:rFonts w:ascii="Times New Roman" w:hAnsi="Times New Roman" w:cs="Times New Roman"/>
          <w:sz w:val="24"/>
          <w:szCs w:val="24"/>
        </w:rPr>
        <w:t xml:space="preserve"> lub przerwanie jej </w:t>
      </w:r>
      <w:r>
        <w:rPr>
          <w:rFonts w:ascii="Times New Roman" w:hAnsi="Times New Roman" w:cs="Times New Roman"/>
          <w:sz w:val="24"/>
          <w:szCs w:val="24"/>
        </w:rPr>
        <w:t xml:space="preserve">biegu </w:t>
      </w:r>
      <w:r w:rsidRPr="00866C87">
        <w:rPr>
          <w:rFonts w:ascii="Times New Roman" w:hAnsi="Times New Roman" w:cs="Times New Roman"/>
          <w:sz w:val="24"/>
          <w:szCs w:val="24"/>
        </w:rPr>
        <w:t xml:space="preserve">na okres nie dłuższy niż 30 dni roboczych </w:t>
      </w:r>
      <w:bookmarkStart w:id="15" w:name="_Hlk181626612"/>
      <w:r w:rsidRPr="00866C87">
        <w:rPr>
          <w:rFonts w:ascii="Times New Roman" w:hAnsi="Times New Roman" w:cs="Times New Roman"/>
          <w:sz w:val="24"/>
          <w:szCs w:val="24"/>
        </w:rPr>
        <w:t>(uprawnienie wynika z art. 94 ust. 1 lit. l rozporządzenia 2023/1114)</w:t>
      </w:r>
      <w:bookmarkEnd w:id="15"/>
      <w:r w:rsidRPr="00866C87">
        <w:rPr>
          <w:rFonts w:ascii="Times New Roman" w:hAnsi="Times New Roman" w:cs="Times New Roman"/>
          <w:sz w:val="24"/>
          <w:szCs w:val="24"/>
        </w:rPr>
        <w:t xml:space="preserve">, lub zakazać rozpoczęcia oferty publicznej albo dalszego jej prowadzenia, </w:t>
      </w:r>
      <w:bookmarkStart w:id="16" w:name="_Hlk181626647"/>
      <w:r w:rsidRPr="00866C87">
        <w:rPr>
          <w:rFonts w:ascii="Times New Roman" w:hAnsi="Times New Roman" w:cs="Times New Roman"/>
          <w:sz w:val="24"/>
          <w:szCs w:val="24"/>
        </w:rPr>
        <w:t>co jest zgodne z uprawnieniami organu właściwego zawartymi w art. 94 ust. 1 lit. m rozporządzenia 2023/1114</w:t>
      </w:r>
      <w:bookmarkEnd w:id="16"/>
      <w:r w:rsidRPr="00866C87">
        <w:rPr>
          <w:rFonts w:ascii="Times New Roman" w:hAnsi="Times New Roman" w:cs="Times New Roman"/>
          <w:sz w:val="24"/>
          <w:szCs w:val="24"/>
        </w:rPr>
        <w:t xml:space="preserve">. Komisja może również opublikować, na koszt oferującego lub emitenta </w:t>
      </w:r>
      <w:proofErr w:type="spellStart"/>
      <w:r w:rsidRPr="00866C87">
        <w:rPr>
          <w:rFonts w:ascii="Times New Roman" w:hAnsi="Times New Roman" w:cs="Times New Roman"/>
          <w:sz w:val="24"/>
          <w:szCs w:val="24"/>
        </w:rPr>
        <w:t>tokenów</w:t>
      </w:r>
      <w:proofErr w:type="spellEnd"/>
      <w:r w:rsidRPr="00866C87">
        <w:rPr>
          <w:rFonts w:ascii="Times New Roman" w:hAnsi="Times New Roman" w:cs="Times New Roman"/>
          <w:sz w:val="24"/>
          <w:szCs w:val="24"/>
        </w:rPr>
        <w:t xml:space="preserve"> powiązanych z aktywami lub </w:t>
      </w:r>
      <w:proofErr w:type="spellStart"/>
      <w:r w:rsidRPr="00866C87">
        <w:rPr>
          <w:rFonts w:ascii="Times New Roman" w:hAnsi="Times New Roman" w:cs="Times New Roman"/>
          <w:sz w:val="24"/>
          <w:szCs w:val="24"/>
        </w:rPr>
        <w:t>tokenów</w:t>
      </w:r>
      <w:proofErr w:type="spellEnd"/>
      <w:r w:rsidRPr="00866C87">
        <w:rPr>
          <w:rFonts w:ascii="Times New Roman" w:hAnsi="Times New Roman" w:cs="Times New Roman"/>
          <w:sz w:val="24"/>
          <w:szCs w:val="24"/>
        </w:rPr>
        <w:t xml:space="preserve"> będących e-pieniądzem, informację o niezgodnym z prawem działaniu w związku z ofertą publiczną </w:t>
      </w:r>
      <w:proofErr w:type="spellStart"/>
      <w:r w:rsidRPr="00866C87">
        <w:rPr>
          <w:rFonts w:ascii="Times New Roman" w:hAnsi="Times New Roman" w:cs="Times New Roman"/>
          <w:sz w:val="24"/>
          <w:szCs w:val="24"/>
        </w:rPr>
        <w:t>kryptoaktywów</w:t>
      </w:r>
      <w:proofErr w:type="spellEnd"/>
      <w:r w:rsidRPr="00866C87">
        <w:rPr>
          <w:rFonts w:ascii="Times New Roman" w:hAnsi="Times New Roman" w:cs="Times New Roman"/>
          <w:sz w:val="24"/>
          <w:szCs w:val="24"/>
        </w:rPr>
        <w:t xml:space="preserve"> </w:t>
      </w:r>
      <w:bookmarkStart w:id="17" w:name="_Hlk181626699"/>
      <w:r w:rsidRPr="00866C87">
        <w:rPr>
          <w:rFonts w:ascii="Times New Roman" w:hAnsi="Times New Roman" w:cs="Times New Roman"/>
          <w:sz w:val="24"/>
          <w:szCs w:val="24"/>
        </w:rPr>
        <w:t>(zgodnie z art. 94 ust. 1 lit. r rozporządzenia 2023/1114)</w:t>
      </w:r>
      <w:bookmarkEnd w:id="17"/>
      <w:r w:rsidRPr="00866C87">
        <w:rPr>
          <w:rFonts w:ascii="Times New Roman" w:hAnsi="Times New Roman" w:cs="Times New Roman"/>
          <w:sz w:val="24"/>
          <w:szCs w:val="24"/>
        </w:rPr>
        <w:t>. Przepisom tym podlegają również inne podmioty uczestniczące w tej ofercie w imieniu lub na zlecenie oferującego lub ww. emitenta. Powyższa sytuacja dotyczy też uzasadnionego podejrzenia takiego naruszenia albo uzasadnionego podejrzenia, że takie naruszenie może nastąpić, albo niewykonania w wyznaczonym terminie zaleceń</w:t>
      </w:r>
      <w:r>
        <w:rPr>
          <w:rFonts w:ascii="Times New Roman" w:hAnsi="Times New Roman" w:cs="Times New Roman"/>
          <w:sz w:val="24"/>
          <w:szCs w:val="24"/>
        </w:rPr>
        <w:t xml:space="preserve"> określonych w ust. 2</w:t>
      </w:r>
      <w:r w:rsidRPr="00866C87">
        <w:rPr>
          <w:rFonts w:ascii="Times New Roman" w:hAnsi="Times New Roman" w:cs="Times New Roman"/>
          <w:sz w:val="24"/>
          <w:szCs w:val="24"/>
        </w:rPr>
        <w:t xml:space="preserve">. Dokonanie publikacji jest zobowiązaniem do działania po stronie KNF i to w gestii organu nadzoru pozostaje dokonanie wyboru miejsca takiej publikacji. Należy wskazać, że biorąc pod uwagę specyfikę rynku </w:t>
      </w:r>
      <w:proofErr w:type="spellStart"/>
      <w:r w:rsidRPr="00866C87">
        <w:rPr>
          <w:rFonts w:ascii="Times New Roman" w:hAnsi="Times New Roman" w:cs="Times New Roman"/>
          <w:sz w:val="24"/>
          <w:szCs w:val="24"/>
        </w:rPr>
        <w:t>kryptoaktywów</w:t>
      </w:r>
      <w:proofErr w:type="spellEnd"/>
      <w:r w:rsidRPr="00866C87">
        <w:rPr>
          <w:rFonts w:ascii="Times New Roman" w:hAnsi="Times New Roman" w:cs="Times New Roman"/>
          <w:sz w:val="24"/>
          <w:szCs w:val="24"/>
        </w:rPr>
        <w:t xml:space="preserve"> publikacja powinna nastąpić natychmiastowo. Ponadto publikacja jest konsekwencją niezgodnego z prawem działania, dlatego też odbywa się na koszt podmiotu, który dopuścił się naruszenia przepisów rozporządzenia 2023/1114. Pominiecie instytucji uprzedniego zobowiązania podmiotu do dokonania takiej publikacji zostało zastosowane z uwagi na koniczność podania takiej informacji do publicznej wiadomości możliwie szybko, mając na względzie bezpieczeństwo innych uczestników rynku i klientów. </w:t>
      </w:r>
    </w:p>
    <w:p w14:paraId="6B48BFBF" w14:textId="0FDBCE7B" w:rsidR="00C21D4B" w:rsidRPr="001E3908" w:rsidRDefault="00C21D4B" w:rsidP="00FA7379">
      <w:pPr>
        <w:pStyle w:val="Akapitzlist"/>
        <w:spacing w:line="360" w:lineRule="auto"/>
        <w:jc w:val="both"/>
        <w:rPr>
          <w:rFonts w:ascii="Times New Roman" w:hAnsi="Times New Roman" w:cs="Times New Roman"/>
          <w:bCs/>
          <w:sz w:val="24"/>
          <w:szCs w:val="24"/>
        </w:rPr>
      </w:pPr>
      <w:r w:rsidRPr="00866C87">
        <w:rPr>
          <w:rFonts w:ascii="Times New Roman" w:hAnsi="Times New Roman" w:cs="Times New Roman"/>
          <w:sz w:val="24"/>
          <w:szCs w:val="24"/>
        </w:rPr>
        <w:t>Ust. 2 przewiduj</w:t>
      </w:r>
      <w:r>
        <w:rPr>
          <w:rFonts w:ascii="Times New Roman" w:hAnsi="Times New Roman" w:cs="Times New Roman"/>
          <w:sz w:val="24"/>
          <w:szCs w:val="24"/>
        </w:rPr>
        <w:t>e</w:t>
      </w:r>
      <w:r w:rsidRPr="00866C87">
        <w:rPr>
          <w:rFonts w:ascii="Times New Roman" w:hAnsi="Times New Roman" w:cs="Times New Roman"/>
          <w:sz w:val="24"/>
          <w:szCs w:val="24"/>
        </w:rPr>
        <w:t xml:space="preserve"> możliwość miarkowania stosowania środków nadzorczych przyznanych Komisji na podstawie uznaniowej, podobnej do </w:t>
      </w:r>
      <w:proofErr w:type="spellStart"/>
      <w:r w:rsidRPr="00866C87">
        <w:rPr>
          <w:rFonts w:ascii="Times New Roman" w:hAnsi="Times New Roman" w:cs="Times New Roman"/>
          <w:sz w:val="24"/>
          <w:szCs w:val="24"/>
        </w:rPr>
        <w:t>karnistycznej</w:t>
      </w:r>
      <w:proofErr w:type="spellEnd"/>
      <w:r w:rsidRPr="00866C87">
        <w:rPr>
          <w:rFonts w:ascii="Times New Roman" w:hAnsi="Times New Roman" w:cs="Times New Roman"/>
          <w:sz w:val="24"/>
          <w:szCs w:val="24"/>
        </w:rPr>
        <w:t xml:space="preserve">, społecznej szkodliwości czynu. Jeżeli KNF uzna, że dokonane przez podmiot naruszenie, o którym mowa powyżej, jest niewielkiej wagi, czyli nie wywołuje poważnych, negatywnych konsekwencji, może ograniczyć się do wydania jedynie zalecenia zaprzestania naruszania prawa, wyznaczając termin jego wykonania. Naruszenie niewielkiej wagi to naruszenie przepisów prawa, które nie wywołało negatywnych następstw dla wartości podlegających ochronie. Ocena wagi naruszenia prawa jako niewielkiej wymaga spełnienia warunku zaprzestania przez stronę naruszania prawa, a zatem przywrócenia przez stronę stanu zgodnego z prawem. Przepisy te wzorowane są na art. 16 i 17 ustawy z dnia 29 lipca 2005 r. o ofercie publicznej i warunkach wprowadzania instrumentów finansowych do zorganizowanego systemu obrotu </w:t>
      </w:r>
      <w:r w:rsidR="00D92F69">
        <w:rPr>
          <w:rFonts w:ascii="Times New Roman" w:hAnsi="Times New Roman" w:cs="Times New Roman"/>
          <w:sz w:val="24"/>
          <w:szCs w:val="24"/>
        </w:rPr>
        <w:t>oraz o spółkach publicznych</w:t>
      </w:r>
      <w:r>
        <w:rPr>
          <w:rFonts w:ascii="Times New Roman" w:hAnsi="Times New Roman" w:cs="Times New Roman"/>
          <w:sz w:val="24"/>
          <w:szCs w:val="24"/>
        </w:rPr>
        <w:t xml:space="preserve">, zwanej </w:t>
      </w:r>
      <w:r w:rsidRPr="00866C87">
        <w:rPr>
          <w:rFonts w:ascii="Times New Roman" w:hAnsi="Times New Roman" w:cs="Times New Roman"/>
          <w:sz w:val="24"/>
          <w:szCs w:val="24"/>
        </w:rPr>
        <w:t xml:space="preserve">dalej </w:t>
      </w:r>
      <w:r>
        <w:rPr>
          <w:rFonts w:ascii="Times New Roman" w:hAnsi="Times New Roman" w:cs="Times New Roman"/>
          <w:sz w:val="24"/>
          <w:szCs w:val="24"/>
        </w:rPr>
        <w:t>„</w:t>
      </w:r>
      <w:r w:rsidRPr="00866C87">
        <w:rPr>
          <w:rFonts w:ascii="Times New Roman" w:hAnsi="Times New Roman" w:cs="Times New Roman"/>
          <w:sz w:val="24"/>
          <w:szCs w:val="24"/>
        </w:rPr>
        <w:t>ustaw</w:t>
      </w:r>
      <w:r>
        <w:rPr>
          <w:rFonts w:ascii="Times New Roman" w:hAnsi="Times New Roman" w:cs="Times New Roman"/>
          <w:sz w:val="24"/>
          <w:szCs w:val="24"/>
        </w:rPr>
        <w:t>ą</w:t>
      </w:r>
      <w:r w:rsidRPr="00866C87">
        <w:rPr>
          <w:rFonts w:ascii="Times New Roman" w:hAnsi="Times New Roman" w:cs="Times New Roman"/>
          <w:sz w:val="24"/>
          <w:szCs w:val="24"/>
        </w:rPr>
        <w:t xml:space="preserve"> o ofercie publicznej</w:t>
      </w:r>
      <w:r>
        <w:rPr>
          <w:rFonts w:ascii="Times New Roman" w:hAnsi="Times New Roman" w:cs="Times New Roman"/>
          <w:sz w:val="24"/>
          <w:szCs w:val="24"/>
        </w:rPr>
        <w:t>”</w:t>
      </w:r>
      <w:r w:rsidRPr="00866C87">
        <w:rPr>
          <w:rFonts w:ascii="Times New Roman" w:hAnsi="Times New Roman" w:cs="Times New Roman"/>
          <w:sz w:val="24"/>
          <w:szCs w:val="24"/>
        </w:rPr>
        <w:t xml:space="preserve">, niebudzących wątpliwości uczestników rynku, stanowiących implementację przepisów dyrektywy 2003/71/WE Parlamentu Europejskiego i Rady z dnia 4 listopada 2003 r. w sprawie prospektu emisyjnego publikowanego w związku z publiczną ofertą lub dopuszczeniem do obrotu papierów wartościowych </w:t>
      </w:r>
      <w:r>
        <w:rPr>
          <w:rFonts w:ascii="Times New Roman" w:hAnsi="Times New Roman" w:cs="Times New Roman"/>
          <w:sz w:val="24"/>
          <w:szCs w:val="24"/>
        </w:rPr>
        <w:t xml:space="preserve">i zmieniającej dyrektywę 2001/34/WE (Dz. Urz. EU L 345 z 31.12.2003, str. 64,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w:t>
      </w:r>
      <w:r w:rsidRPr="00866C87">
        <w:rPr>
          <w:rFonts w:ascii="Times New Roman" w:hAnsi="Times New Roman" w:cs="Times New Roman"/>
          <w:sz w:val="24"/>
          <w:szCs w:val="24"/>
        </w:rPr>
        <w:t xml:space="preserve">(w takim samym brzmieniu) służąc stosowaniu rozporządzenia prospektowego, które zastąpiło dyrektywę. </w:t>
      </w:r>
      <w:r w:rsidRPr="006F49AB">
        <w:rPr>
          <w:rFonts w:ascii="Times New Roman" w:hAnsi="Times New Roman" w:cs="Times New Roman"/>
          <w:sz w:val="24"/>
          <w:szCs w:val="24"/>
        </w:rPr>
        <w:t xml:space="preserve">W </w:t>
      </w:r>
      <w:r w:rsidRPr="00FC2926">
        <w:rPr>
          <w:rFonts w:ascii="Times New Roman" w:hAnsi="Times New Roman" w:cs="Times New Roman"/>
          <w:sz w:val="24"/>
          <w:szCs w:val="24"/>
        </w:rPr>
        <w:t xml:space="preserve">przypadku niewykonania przez oferującego lub emitenta </w:t>
      </w:r>
      <w:proofErr w:type="spellStart"/>
      <w:r w:rsidRPr="00FC2926">
        <w:rPr>
          <w:rFonts w:ascii="Times New Roman" w:hAnsi="Times New Roman" w:cs="Times New Roman"/>
          <w:sz w:val="24"/>
          <w:szCs w:val="24"/>
        </w:rPr>
        <w:t>tokenów</w:t>
      </w:r>
      <w:proofErr w:type="spellEnd"/>
      <w:r w:rsidRPr="00FC2926">
        <w:rPr>
          <w:rFonts w:ascii="Times New Roman" w:hAnsi="Times New Roman" w:cs="Times New Roman"/>
          <w:sz w:val="24"/>
          <w:szCs w:val="24"/>
        </w:rPr>
        <w:t xml:space="preserve"> powiązanych z aktywami lub </w:t>
      </w:r>
      <w:proofErr w:type="spellStart"/>
      <w:r w:rsidRPr="00FC2926">
        <w:rPr>
          <w:rFonts w:ascii="Times New Roman" w:hAnsi="Times New Roman" w:cs="Times New Roman"/>
          <w:sz w:val="24"/>
          <w:szCs w:val="24"/>
        </w:rPr>
        <w:t>tokenów</w:t>
      </w:r>
      <w:proofErr w:type="spellEnd"/>
      <w:r w:rsidRPr="00FC2926">
        <w:rPr>
          <w:rFonts w:ascii="Times New Roman" w:hAnsi="Times New Roman" w:cs="Times New Roman"/>
          <w:sz w:val="24"/>
          <w:szCs w:val="24"/>
        </w:rPr>
        <w:t xml:space="preserve"> będących e-pieniądzem w wyznaczonym terminie zalecenia, o którym mowa w ust. 2, przepis ust. 1 będzie miał zastosowanie</w:t>
      </w:r>
      <w:r>
        <w:rPr>
          <w:rFonts w:ascii="Times New Roman" w:hAnsi="Times New Roman" w:cs="Times New Roman"/>
          <w:sz w:val="24"/>
          <w:szCs w:val="24"/>
        </w:rPr>
        <w:t xml:space="preserve">. </w:t>
      </w: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9</w:t>
      </w:r>
      <w:r w:rsidR="0065218B">
        <w:rPr>
          <w:rFonts w:ascii="Times New Roman" w:hAnsi="Times New Roman" w:cs="Times New Roman"/>
          <w:b/>
          <w:bCs/>
          <w:sz w:val="24"/>
          <w:szCs w:val="24"/>
        </w:rPr>
        <w:t>0</w:t>
      </w:r>
      <w:r w:rsidRPr="001E3908">
        <w:rPr>
          <w:rFonts w:ascii="Times New Roman" w:hAnsi="Times New Roman" w:cs="Times New Roman"/>
          <w:sz w:val="24"/>
          <w:szCs w:val="24"/>
        </w:rPr>
        <w:t xml:space="preserve"> cechuje konstrukcyjne podobieństwo do artykułu poprzedzającego, z tym że dotyczy sytuacji ubiegania się o dopuszczenie do obrotu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na terytorium Rzeczypospolitej Polski</w:t>
      </w:r>
      <w:r>
        <w:rPr>
          <w:rFonts w:ascii="Times New Roman" w:hAnsi="Times New Roman" w:cs="Times New Roman"/>
          <w:sz w:val="24"/>
          <w:szCs w:val="24"/>
        </w:rPr>
        <w:t>ej</w:t>
      </w:r>
      <w:r w:rsidRPr="001E3908">
        <w:rPr>
          <w:rFonts w:ascii="Times New Roman" w:hAnsi="Times New Roman" w:cs="Times New Roman"/>
          <w:sz w:val="24"/>
          <w:szCs w:val="24"/>
        </w:rPr>
        <w:t xml:space="preserve"> oraz powzięcia przez Komisję uzasadnionych podejrzeń co do dokonywania oferty publicznej bez zezwolenia przez oferujących lub osoby ubiegające się o dopuszczenie do obrotu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w:t>
      </w:r>
      <w:r>
        <w:rPr>
          <w:rFonts w:ascii="Times New Roman" w:hAnsi="Times New Roman" w:cs="Times New Roman"/>
          <w:sz w:val="24"/>
          <w:szCs w:val="24"/>
        </w:rPr>
        <w:t xml:space="preserve">Proponuje się przyznanie </w:t>
      </w:r>
      <w:r w:rsidRPr="001E3908">
        <w:rPr>
          <w:rFonts w:ascii="Times New Roman" w:hAnsi="Times New Roman" w:cs="Times New Roman"/>
          <w:sz w:val="24"/>
          <w:szCs w:val="24"/>
        </w:rPr>
        <w:t>KNF środk</w:t>
      </w:r>
      <w:r>
        <w:rPr>
          <w:rFonts w:ascii="Times New Roman" w:hAnsi="Times New Roman" w:cs="Times New Roman"/>
          <w:sz w:val="24"/>
          <w:szCs w:val="24"/>
        </w:rPr>
        <w:t>ów</w:t>
      </w:r>
      <w:r w:rsidRPr="001E3908">
        <w:rPr>
          <w:rFonts w:ascii="Times New Roman" w:hAnsi="Times New Roman" w:cs="Times New Roman"/>
          <w:sz w:val="24"/>
          <w:szCs w:val="24"/>
        </w:rPr>
        <w:t xml:space="preserve"> nadzorcz</w:t>
      </w:r>
      <w:r>
        <w:rPr>
          <w:rFonts w:ascii="Times New Roman" w:hAnsi="Times New Roman" w:cs="Times New Roman"/>
          <w:sz w:val="24"/>
          <w:szCs w:val="24"/>
        </w:rPr>
        <w:t>ych</w:t>
      </w:r>
      <w:r w:rsidRPr="001E3908">
        <w:rPr>
          <w:rFonts w:ascii="Times New Roman" w:hAnsi="Times New Roman" w:cs="Times New Roman"/>
          <w:sz w:val="24"/>
          <w:szCs w:val="24"/>
        </w:rPr>
        <w:t xml:space="preserve"> w postaci nakazu wstrzymania ubiegania się o dopuszczenie do obrotu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na okres nie dłuższy niż 30 dni</w:t>
      </w:r>
      <w:r>
        <w:rPr>
          <w:rFonts w:ascii="Times New Roman" w:hAnsi="Times New Roman" w:cs="Times New Roman"/>
          <w:sz w:val="24"/>
          <w:szCs w:val="24"/>
        </w:rPr>
        <w:t xml:space="preserve"> roboczych </w:t>
      </w:r>
      <w:r w:rsidRPr="00AB2EFA">
        <w:rPr>
          <w:rFonts w:ascii="Times New Roman" w:hAnsi="Times New Roman" w:cs="Times New Roman"/>
          <w:sz w:val="24"/>
          <w:szCs w:val="24"/>
        </w:rPr>
        <w:t>(uprawnienie wynika z art. 94 ust. 1 lit. l rozporządzenia 2023/1114)</w:t>
      </w:r>
      <w:r w:rsidRPr="001E3908">
        <w:rPr>
          <w:rFonts w:ascii="Times New Roman" w:hAnsi="Times New Roman" w:cs="Times New Roman"/>
          <w:sz w:val="24"/>
          <w:szCs w:val="24"/>
        </w:rPr>
        <w:t xml:space="preserve">, zakazu ubiegania się o dopuszczenie do obrotu </w:t>
      </w:r>
      <w:proofErr w:type="spellStart"/>
      <w:r w:rsidRPr="001E3908">
        <w:rPr>
          <w:rFonts w:ascii="Times New Roman" w:hAnsi="Times New Roman" w:cs="Times New Roman"/>
          <w:sz w:val="24"/>
          <w:szCs w:val="24"/>
        </w:rPr>
        <w:t>kryptoaktywów</w:t>
      </w:r>
      <w:proofErr w:type="spellEnd"/>
      <w:r>
        <w:rPr>
          <w:rFonts w:ascii="Times New Roman" w:eastAsiaTheme="minorHAnsi" w:hAnsi="Times New Roman" w:cs="Times New Roman"/>
          <w:sz w:val="24"/>
          <w:szCs w:val="24"/>
        </w:rPr>
        <w:t xml:space="preserve">, </w:t>
      </w:r>
      <w:r w:rsidRPr="00AB2EFA">
        <w:rPr>
          <w:rFonts w:ascii="Times New Roman" w:hAnsi="Times New Roman" w:cs="Times New Roman"/>
          <w:sz w:val="24"/>
          <w:szCs w:val="24"/>
        </w:rPr>
        <w:t>zgodn</w:t>
      </w:r>
      <w:r>
        <w:rPr>
          <w:rFonts w:ascii="Times New Roman" w:hAnsi="Times New Roman" w:cs="Times New Roman"/>
          <w:sz w:val="24"/>
          <w:szCs w:val="24"/>
        </w:rPr>
        <w:t xml:space="preserve">ie </w:t>
      </w:r>
      <w:r w:rsidRPr="00AB2EFA">
        <w:rPr>
          <w:rFonts w:ascii="Times New Roman" w:hAnsi="Times New Roman" w:cs="Times New Roman"/>
          <w:sz w:val="24"/>
          <w:szCs w:val="24"/>
        </w:rPr>
        <w:t>z uprawnieniami organu właściwego zawartymi w art. 94 ust. 1 lit. m rozporządzenia 2023/1114</w:t>
      </w:r>
      <w:r>
        <w:rPr>
          <w:rFonts w:ascii="Times New Roman" w:hAnsi="Times New Roman" w:cs="Times New Roman"/>
          <w:sz w:val="24"/>
          <w:szCs w:val="24"/>
        </w:rPr>
        <w:t>,</w:t>
      </w:r>
      <w:r w:rsidRPr="001E3908">
        <w:rPr>
          <w:rFonts w:ascii="Times New Roman" w:hAnsi="Times New Roman" w:cs="Times New Roman"/>
          <w:sz w:val="24"/>
          <w:szCs w:val="24"/>
        </w:rPr>
        <w:t xml:space="preserve"> oraz publikacji na koszt oferującego lub osoby ubiegającej się o dopuszczenie do obrotu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informacji o niezgodnym z prawem działaniu w związku z rzeczonym ubieganiem się o </w:t>
      </w:r>
      <w:r>
        <w:rPr>
          <w:rFonts w:ascii="Times New Roman" w:hAnsi="Times New Roman" w:cs="Times New Roman"/>
          <w:sz w:val="24"/>
          <w:szCs w:val="24"/>
        </w:rPr>
        <w:t xml:space="preserve">dopuszczenie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do obrotu </w:t>
      </w:r>
      <w:r w:rsidRPr="00AB2EFA">
        <w:rPr>
          <w:rFonts w:ascii="Times New Roman" w:hAnsi="Times New Roman" w:cs="Times New Roman"/>
          <w:sz w:val="24"/>
          <w:szCs w:val="24"/>
        </w:rPr>
        <w:t>(zgodnie z art. 94 ust. 1 lit. r rozporządzenia 2023/1114)</w:t>
      </w:r>
      <w:r w:rsidRPr="001E3908">
        <w:rPr>
          <w:rFonts w:ascii="Times New Roman" w:hAnsi="Times New Roman" w:cs="Times New Roman"/>
          <w:sz w:val="24"/>
          <w:szCs w:val="24"/>
        </w:rPr>
        <w:t xml:space="preserve">. Analogicznie jak w przepisie poprzedzającym, Komisja będzie miała </w:t>
      </w:r>
      <w:r>
        <w:rPr>
          <w:rFonts w:ascii="Times New Roman" w:hAnsi="Times New Roman" w:cs="Times New Roman"/>
          <w:sz w:val="24"/>
          <w:szCs w:val="24"/>
        </w:rPr>
        <w:t xml:space="preserve">możliwość </w:t>
      </w:r>
      <w:r w:rsidRPr="001E3908">
        <w:rPr>
          <w:rFonts w:ascii="Times New Roman" w:hAnsi="Times New Roman" w:cs="Times New Roman"/>
          <w:sz w:val="24"/>
          <w:szCs w:val="24"/>
        </w:rPr>
        <w:t xml:space="preserve">miarkowania środków, a także uprawnienie wielokrotnego ich stosowania. </w:t>
      </w:r>
    </w:p>
    <w:p w14:paraId="60F0F746" w14:textId="2DBC9445"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9</w:t>
      </w:r>
      <w:r w:rsidR="0065218B">
        <w:rPr>
          <w:rFonts w:ascii="Times New Roman" w:hAnsi="Times New Roman" w:cs="Times New Roman"/>
          <w:b/>
          <w:bCs/>
          <w:sz w:val="24"/>
          <w:szCs w:val="24"/>
        </w:rPr>
        <w:t>1</w:t>
      </w:r>
      <w:r w:rsidRPr="001E3908">
        <w:rPr>
          <w:rFonts w:ascii="Times New Roman" w:hAnsi="Times New Roman" w:cs="Times New Roman"/>
          <w:sz w:val="24"/>
          <w:szCs w:val="24"/>
        </w:rPr>
        <w:t xml:space="preserve"> przyznaje Komisji kompetencję stosowania środków w postaci zakazu rozpoczęcia oferty publicznej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w:t>
      </w:r>
      <w:r>
        <w:rPr>
          <w:rFonts w:ascii="Times New Roman" w:hAnsi="Times New Roman" w:cs="Times New Roman"/>
          <w:sz w:val="24"/>
          <w:szCs w:val="24"/>
        </w:rPr>
        <w:t xml:space="preserve">lub </w:t>
      </w:r>
      <w:r w:rsidRPr="001E3908">
        <w:rPr>
          <w:rFonts w:ascii="Times New Roman" w:hAnsi="Times New Roman" w:cs="Times New Roman"/>
          <w:sz w:val="24"/>
          <w:szCs w:val="24"/>
        </w:rPr>
        <w:t xml:space="preserve">jej dalszego prowadzenia oraz zakazu ubiegania się o dopuszczenie do obrotu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w przypadku uzasadnionego podejrzenia dokonywania oferty publicznej lub ubiegania się o dopuszczenie do obrotu </w:t>
      </w:r>
      <w:proofErr w:type="spellStart"/>
      <w:r w:rsidRPr="001E3908">
        <w:rPr>
          <w:rFonts w:ascii="Times New Roman" w:hAnsi="Times New Roman" w:cs="Times New Roman"/>
          <w:bCs/>
          <w:sz w:val="24"/>
          <w:szCs w:val="24"/>
        </w:rPr>
        <w:t>tokenów</w:t>
      </w:r>
      <w:proofErr w:type="spellEnd"/>
      <w:r w:rsidRPr="001E3908">
        <w:rPr>
          <w:rFonts w:ascii="Times New Roman" w:hAnsi="Times New Roman" w:cs="Times New Roman"/>
          <w:bCs/>
          <w:sz w:val="24"/>
          <w:szCs w:val="24"/>
        </w:rPr>
        <w:t xml:space="preserve"> powiązanych z aktywami lub </w:t>
      </w:r>
      <w:proofErr w:type="spellStart"/>
      <w:r w:rsidRPr="001E3908">
        <w:rPr>
          <w:rFonts w:ascii="Times New Roman" w:hAnsi="Times New Roman" w:cs="Times New Roman"/>
          <w:bCs/>
          <w:sz w:val="24"/>
          <w:szCs w:val="24"/>
        </w:rPr>
        <w:t>tokenów</w:t>
      </w:r>
      <w:proofErr w:type="spellEnd"/>
      <w:r w:rsidRPr="001E3908">
        <w:rPr>
          <w:rFonts w:ascii="Times New Roman" w:hAnsi="Times New Roman" w:cs="Times New Roman"/>
          <w:bCs/>
          <w:sz w:val="24"/>
          <w:szCs w:val="24"/>
        </w:rPr>
        <w:t xml:space="preserve"> będących e–pieniądzem bez wymaganego zezwolenia albo innego uprawnienia wynikającego z rozporządzenia 2023/1114, </w:t>
      </w:r>
      <w:r>
        <w:rPr>
          <w:rFonts w:ascii="Times New Roman" w:hAnsi="Times New Roman" w:cs="Times New Roman"/>
          <w:bCs/>
          <w:sz w:val="24"/>
          <w:szCs w:val="24"/>
        </w:rPr>
        <w:t>a także</w:t>
      </w:r>
      <w:r w:rsidRPr="001E3908">
        <w:rPr>
          <w:rFonts w:ascii="Times New Roman" w:hAnsi="Times New Roman" w:cs="Times New Roman"/>
          <w:bCs/>
          <w:sz w:val="24"/>
          <w:szCs w:val="24"/>
        </w:rPr>
        <w:t xml:space="preserve"> </w:t>
      </w:r>
      <w:proofErr w:type="spellStart"/>
      <w:r w:rsidRPr="001E3908">
        <w:rPr>
          <w:rFonts w:ascii="Times New Roman" w:hAnsi="Times New Roman" w:cs="Times New Roman"/>
          <w:bCs/>
          <w:sz w:val="24"/>
          <w:szCs w:val="24"/>
        </w:rPr>
        <w:t>kryptoaktywów</w:t>
      </w:r>
      <w:proofErr w:type="spellEnd"/>
      <w:r w:rsidRPr="001E3908">
        <w:rPr>
          <w:rFonts w:ascii="Times New Roman" w:hAnsi="Times New Roman" w:cs="Times New Roman"/>
          <w:bCs/>
          <w:sz w:val="24"/>
          <w:szCs w:val="24"/>
        </w:rPr>
        <w:t xml:space="preserve"> innych niż </w:t>
      </w:r>
      <w:proofErr w:type="spellStart"/>
      <w:r w:rsidRPr="001E3908">
        <w:rPr>
          <w:rFonts w:ascii="Times New Roman" w:hAnsi="Times New Roman" w:cs="Times New Roman"/>
          <w:bCs/>
          <w:sz w:val="24"/>
          <w:szCs w:val="24"/>
        </w:rPr>
        <w:t>tokeny</w:t>
      </w:r>
      <w:proofErr w:type="spellEnd"/>
      <w:r w:rsidRPr="001E3908">
        <w:rPr>
          <w:rFonts w:ascii="Times New Roman" w:hAnsi="Times New Roman" w:cs="Times New Roman"/>
          <w:bCs/>
          <w:sz w:val="24"/>
          <w:szCs w:val="24"/>
        </w:rPr>
        <w:t xml:space="preserve"> powiązane z aktywami lub </w:t>
      </w:r>
      <w:proofErr w:type="spellStart"/>
      <w:r w:rsidRPr="001E3908">
        <w:rPr>
          <w:rFonts w:ascii="Times New Roman" w:hAnsi="Times New Roman" w:cs="Times New Roman"/>
          <w:bCs/>
          <w:sz w:val="24"/>
          <w:szCs w:val="24"/>
        </w:rPr>
        <w:t>tokeny</w:t>
      </w:r>
      <w:proofErr w:type="spellEnd"/>
      <w:r w:rsidRPr="001E3908">
        <w:rPr>
          <w:rFonts w:ascii="Times New Roman" w:hAnsi="Times New Roman" w:cs="Times New Roman"/>
          <w:bCs/>
          <w:sz w:val="24"/>
          <w:szCs w:val="24"/>
        </w:rPr>
        <w:t xml:space="preserve"> będące e–pieniądzem bez zgłoszenia dokumentu informacyjnego. Ust. 2 wskazuje, że </w:t>
      </w:r>
      <w:r w:rsidRPr="001E3908">
        <w:rPr>
          <w:rFonts w:ascii="Times New Roman" w:hAnsi="Times New Roman" w:cs="Times New Roman"/>
          <w:sz w:val="24"/>
          <w:szCs w:val="24"/>
        </w:rPr>
        <w:t xml:space="preserve">Komisja może zakazać podmiotowi świadczenia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w przypadku uzasadnionego podejrzenia świadczenia przez ten podmiot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bez zezwolenia albo innego uprawnienia wynikającego z rozporządzenia 2023/1114</w:t>
      </w:r>
      <w:r>
        <w:rPr>
          <w:rFonts w:ascii="Times New Roman" w:hAnsi="Times New Roman" w:cs="Times New Roman"/>
          <w:sz w:val="24"/>
          <w:szCs w:val="24"/>
        </w:rPr>
        <w:t>, zgodnie z art. 94 ust. 1 lit. h tego rozporządzenia</w:t>
      </w:r>
      <w:r w:rsidRPr="001E3908">
        <w:rPr>
          <w:rFonts w:ascii="Times New Roman" w:hAnsi="Times New Roman" w:cs="Times New Roman"/>
          <w:sz w:val="24"/>
          <w:szCs w:val="24"/>
        </w:rPr>
        <w:t xml:space="preserve">. </w:t>
      </w:r>
    </w:p>
    <w:p w14:paraId="174B200F" w14:textId="3690EB8A"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sz w:val="24"/>
          <w:szCs w:val="24"/>
        </w:rPr>
        <w:t xml:space="preserve">Art. </w:t>
      </w:r>
      <w:r>
        <w:rPr>
          <w:rFonts w:ascii="Times New Roman" w:hAnsi="Times New Roman" w:cs="Times New Roman"/>
          <w:b/>
          <w:sz w:val="24"/>
          <w:szCs w:val="24"/>
        </w:rPr>
        <w:t>9</w:t>
      </w:r>
      <w:r w:rsidR="0065218B">
        <w:rPr>
          <w:rFonts w:ascii="Times New Roman" w:hAnsi="Times New Roman" w:cs="Times New Roman"/>
          <w:b/>
          <w:sz w:val="24"/>
          <w:szCs w:val="24"/>
        </w:rPr>
        <w:t>2</w:t>
      </w:r>
      <w:r w:rsidRPr="001E3908">
        <w:rPr>
          <w:rFonts w:ascii="Times New Roman" w:hAnsi="Times New Roman" w:cs="Times New Roman"/>
          <w:bCs/>
          <w:sz w:val="24"/>
          <w:szCs w:val="24"/>
        </w:rPr>
        <w:t xml:space="preserve"> ust. 1 reguluje kwestie kompetencji Komisji służących zapewnieniu stosowania art. 94 ust. 1 lit. p </w:t>
      </w:r>
      <w:r>
        <w:rPr>
          <w:rFonts w:ascii="Times New Roman" w:hAnsi="Times New Roman" w:cs="Times New Roman"/>
          <w:bCs/>
          <w:sz w:val="24"/>
          <w:szCs w:val="24"/>
        </w:rPr>
        <w:t xml:space="preserve">i q </w:t>
      </w:r>
      <w:r w:rsidRPr="001E3908">
        <w:rPr>
          <w:rFonts w:ascii="Times New Roman" w:hAnsi="Times New Roman" w:cs="Times New Roman"/>
          <w:bCs/>
          <w:sz w:val="24"/>
          <w:szCs w:val="24"/>
        </w:rPr>
        <w:t>rozporządzenia 2023/1114. Przepis ten stanowi realizację możliwości rozszerzenia kompetencji organu właściwego wynikającą z art. 94 ust. 1 lit</w:t>
      </w:r>
      <w:r>
        <w:rPr>
          <w:rFonts w:ascii="Times New Roman" w:hAnsi="Times New Roman" w:cs="Times New Roman"/>
          <w:bCs/>
          <w:sz w:val="24"/>
          <w:szCs w:val="24"/>
        </w:rPr>
        <w:t>. </w:t>
      </w:r>
      <w:r w:rsidRPr="001E3908">
        <w:rPr>
          <w:rFonts w:ascii="Times New Roman" w:hAnsi="Times New Roman" w:cs="Times New Roman"/>
          <w:bCs/>
          <w:sz w:val="24"/>
          <w:szCs w:val="24"/>
        </w:rPr>
        <w:t>p</w:t>
      </w:r>
      <w:r>
        <w:rPr>
          <w:rFonts w:ascii="Times New Roman" w:hAnsi="Times New Roman" w:cs="Times New Roman"/>
          <w:bCs/>
          <w:sz w:val="24"/>
          <w:szCs w:val="24"/>
        </w:rPr>
        <w:t xml:space="preserve"> i q</w:t>
      </w:r>
      <w:r w:rsidRPr="001E3908">
        <w:rPr>
          <w:rFonts w:ascii="Times New Roman" w:hAnsi="Times New Roman" w:cs="Times New Roman"/>
          <w:bCs/>
          <w:sz w:val="24"/>
          <w:szCs w:val="24"/>
        </w:rPr>
        <w:t xml:space="preserve"> rozporządzenia 2023/1114 i wskazuje:</w:t>
      </w:r>
    </w:p>
    <w:p w14:paraId="38199AF1" w14:textId="77777777" w:rsidR="00C21D4B" w:rsidRDefault="00C21D4B" w:rsidP="00695ECE">
      <w:pPr>
        <w:pStyle w:val="Akapitzlist"/>
        <w:numPr>
          <w:ilvl w:val="0"/>
          <w:numId w:val="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przypadki </w:t>
      </w:r>
      <w:r w:rsidRPr="001E3908">
        <w:rPr>
          <w:rFonts w:ascii="Times New Roman" w:hAnsi="Times New Roman" w:cs="Times New Roman"/>
          <w:bCs/>
          <w:sz w:val="24"/>
          <w:szCs w:val="24"/>
        </w:rPr>
        <w:t xml:space="preserve">naruszenia </w:t>
      </w:r>
      <w:r>
        <w:rPr>
          <w:rFonts w:ascii="Times New Roman" w:hAnsi="Times New Roman" w:cs="Times New Roman"/>
          <w:bCs/>
          <w:sz w:val="24"/>
          <w:szCs w:val="24"/>
        </w:rPr>
        <w:t xml:space="preserve">lub uzasadnionego podejrzenia naruszenia </w:t>
      </w:r>
      <w:r w:rsidRPr="001E3908">
        <w:rPr>
          <w:rFonts w:ascii="Times New Roman" w:hAnsi="Times New Roman" w:cs="Times New Roman"/>
          <w:bCs/>
          <w:sz w:val="24"/>
          <w:szCs w:val="24"/>
        </w:rPr>
        <w:t>art. 7, art. 8 ust.</w:t>
      </w:r>
      <w:r>
        <w:rPr>
          <w:rFonts w:ascii="Times New Roman" w:hAnsi="Times New Roman" w:cs="Times New Roman"/>
          <w:bCs/>
          <w:sz w:val="24"/>
          <w:szCs w:val="24"/>
        </w:rPr>
        <w:t> </w:t>
      </w:r>
      <w:r w:rsidRPr="001E3908">
        <w:rPr>
          <w:rFonts w:ascii="Times New Roman" w:hAnsi="Times New Roman" w:cs="Times New Roman"/>
          <w:bCs/>
          <w:sz w:val="24"/>
          <w:szCs w:val="24"/>
        </w:rPr>
        <w:t>2, art. 9, art. 12, art. 29 lub art. 53 rozporządzenia 2023/1114</w:t>
      </w:r>
      <w:r>
        <w:rPr>
          <w:rFonts w:ascii="Times New Roman" w:hAnsi="Times New Roman" w:cs="Times New Roman"/>
          <w:bCs/>
          <w:sz w:val="24"/>
          <w:szCs w:val="24"/>
        </w:rPr>
        <w:t>,</w:t>
      </w:r>
      <w:r w:rsidRPr="001E3908">
        <w:rPr>
          <w:rFonts w:ascii="Times New Roman" w:hAnsi="Times New Roman" w:cs="Times New Roman"/>
          <w:bCs/>
          <w:sz w:val="24"/>
          <w:szCs w:val="24"/>
        </w:rPr>
        <w:t xml:space="preserve"> </w:t>
      </w:r>
    </w:p>
    <w:p w14:paraId="4959F1EE" w14:textId="77777777" w:rsidR="00C21D4B" w:rsidRDefault="00C21D4B" w:rsidP="00695ECE">
      <w:pPr>
        <w:pStyle w:val="Akapitzlist"/>
        <w:numPr>
          <w:ilvl w:val="0"/>
          <w:numId w:val="4"/>
        </w:numPr>
        <w:spacing w:line="360" w:lineRule="auto"/>
        <w:jc w:val="both"/>
        <w:rPr>
          <w:rFonts w:ascii="Times New Roman" w:hAnsi="Times New Roman" w:cs="Times New Roman"/>
          <w:bCs/>
          <w:sz w:val="24"/>
          <w:szCs w:val="24"/>
        </w:rPr>
      </w:pPr>
      <w:r w:rsidRPr="001E3908">
        <w:rPr>
          <w:rFonts w:ascii="Times New Roman" w:hAnsi="Times New Roman" w:cs="Times New Roman"/>
          <w:bCs/>
          <w:sz w:val="24"/>
          <w:szCs w:val="24"/>
        </w:rPr>
        <w:t xml:space="preserve">krąg podmiotów, których dotyczą środki pozostające w dyspozycji Komisji tj. nakazanie wstrzymania rozpoczęcia rozpowszechniania materiałów marketingowych lub przerwania ich rozpowszechniania na okres maksymalny 30 dni roboczych, zakazania rozpowszechniania materiałów marketingowych lub udostępniania określonych informacji pochodzących z tych materiałów </w:t>
      </w:r>
      <w:r>
        <w:rPr>
          <w:rFonts w:ascii="Times New Roman" w:hAnsi="Times New Roman" w:cs="Times New Roman"/>
          <w:bCs/>
          <w:sz w:val="24"/>
          <w:szCs w:val="24"/>
        </w:rPr>
        <w:t xml:space="preserve">w szczególności </w:t>
      </w:r>
      <w:r w:rsidRPr="001E3908">
        <w:rPr>
          <w:rFonts w:ascii="Times New Roman" w:hAnsi="Times New Roman" w:cs="Times New Roman"/>
          <w:bCs/>
          <w:sz w:val="24"/>
          <w:szCs w:val="24"/>
        </w:rPr>
        <w:t xml:space="preserve">w razie nieusunięcia wskazanych przez KNF nieprawidłowości, a także możliwość publikacji na koszt podmiotu nadzorowanego informacji o niezgodnym z prawem rozpowszechnianiu informacji pochodzących z materiałów marketingowych ze wskazaniem na czym polega naruszenie. </w:t>
      </w:r>
    </w:p>
    <w:p w14:paraId="1AA32442" w14:textId="77777777" w:rsidR="00C21D4B" w:rsidRPr="00AB5AC1" w:rsidRDefault="00C21D4B" w:rsidP="00695ECE">
      <w:pPr>
        <w:spacing w:line="360" w:lineRule="auto"/>
        <w:ind w:left="1080"/>
        <w:jc w:val="both"/>
        <w:rPr>
          <w:rFonts w:ascii="Times New Roman" w:hAnsi="Times New Roman" w:cs="Times New Roman"/>
          <w:bCs/>
          <w:sz w:val="24"/>
          <w:szCs w:val="24"/>
        </w:rPr>
      </w:pPr>
      <w:r w:rsidRPr="00AB5AC1">
        <w:rPr>
          <w:rFonts w:ascii="Times New Roman" w:hAnsi="Times New Roman" w:cs="Times New Roman"/>
          <w:bCs/>
          <w:sz w:val="24"/>
          <w:szCs w:val="24"/>
        </w:rPr>
        <w:t>W ust. 2 w odniesieniu do zakazu udostępniania określonych informacji pochodzących z materiałów marketingowych albo dalszego ich udostępniania w projekcie zaproponowano model wielokrotnego stosowania wymienionych środków nadzorczych.</w:t>
      </w:r>
    </w:p>
    <w:p w14:paraId="7FB2C7EC" w14:textId="70A8EA1E"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FF2AFB">
        <w:rPr>
          <w:rFonts w:ascii="Times New Roman" w:hAnsi="Times New Roman" w:cs="Times New Roman"/>
          <w:b/>
          <w:bCs/>
          <w:sz w:val="24"/>
          <w:szCs w:val="24"/>
        </w:rPr>
        <w:t xml:space="preserve">Art. </w:t>
      </w:r>
      <w:r>
        <w:rPr>
          <w:rFonts w:ascii="Times New Roman" w:hAnsi="Times New Roman" w:cs="Times New Roman"/>
          <w:b/>
          <w:bCs/>
          <w:sz w:val="24"/>
          <w:szCs w:val="24"/>
        </w:rPr>
        <w:t>9</w:t>
      </w:r>
      <w:r w:rsidR="0065218B">
        <w:rPr>
          <w:rFonts w:ascii="Times New Roman" w:hAnsi="Times New Roman" w:cs="Times New Roman"/>
          <w:b/>
          <w:bCs/>
          <w:sz w:val="24"/>
          <w:szCs w:val="24"/>
        </w:rPr>
        <w:t>3</w:t>
      </w:r>
      <w:r w:rsidRPr="00FF2AFB">
        <w:rPr>
          <w:rFonts w:ascii="Times New Roman" w:hAnsi="Times New Roman" w:cs="Times New Roman"/>
          <w:sz w:val="24"/>
          <w:szCs w:val="24"/>
        </w:rPr>
        <w:t xml:space="preserve"> określa jakie środki nadzorcze ustawa przyznaje Komisji</w:t>
      </w:r>
      <w:r>
        <w:rPr>
          <w:rFonts w:ascii="Times New Roman" w:hAnsi="Times New Roman" w:cs="Times New Roman"/>
          <w:sz w:val="24"/>
          <w:szCs w:val="24"/>
        </w:rPr>
        <w:t>, stosownie do art. 94 rozporządzenia 2023/1114, który przyznaje organowi nadzoru zgodnie z prawem krajowym szereg uprawnień nadzorczych i dochodzeniowych</w:t>
      </w:r>
      <w:r w:rsidRPr="00FF2AFB">
        <w:rPr>
          <w:rFonts w:ascii="Times New Roman" w:hAnsi="Times New Roman" w:cs="Times New Roman"/>
          <w:sz w:val="24"/>
          <w:szCs w:val="24"/>
        </w:rPr>
        <w:t xml:space="preserve"> </w:t>
      </w:r>
      <w:r>
        <w:rPr>
          <w:rFonts w:ascii="Times New Roman" w:hAnsi="Times New Roman" w:cs="Times New Roman"/>
          <w:sz w:val="24"/>
          <w:szCs w:val="24"/>
        </w:rPr>
        <w:t xml:space="preserve">w przypadku </w:t>
      </w:r>
      <w:r w:rsidRPr="00FF2AFB">
        <w:rPr>
          <w:rFonts w:ascii="Times New Roman" w:hAnsi="Times New Roman" w:cs="Times New Roman"/>
          <w:sz w:val="24"/>
          <w:szCs w:val="24"/>
        </w:rPr>
        <w:t>naruszenia</w:t>
      </w:r>
      <w:r>
        <w:rPr>
          <w:rFonts w:ascii="Times New Roman" w:hAnsi="Times New Roman" w:cs="Times New Roman"/>
          <w:sz w:val="24"/>
          <w:szCs w:val="24"/>
        </w:rPr>
        <w:t xml:space="preserve"> przez </w:t>
      </w:r>
      <w:r w:rsidRPr="00FF2AFB">
        <w:rPr>
          <w:rFonts w:ascii="Times New Roman" w:hAnsi="Times New Roman" w:cs="Times New Roman"/>
          <w:sz w:val="24"/>
          <w:szCs w:val="24"/>
        </w:rPr>
        <w:t>dostawc</w:t>
      </w:r>
      <w:r>
        <w:rPr>
          <w:rFonts w:ascii="Times New Roman" w:hAnsi="Times New Roman" w:cs="Times New Roman"/>
          <w:sz w:val="24"/>
          <w:szCs w:val="24"/>
        </w:rPr>
        <w:t>ów</w:t>
      </w:r>
      <w:r w:rsidRPr="00FF2AFB">
        <w:rPr>
          <w:rFonts w:ascii="Times New Roman" w:hAnsi="Times New Roman" w:cs="Times New Roman"/>
          <w:sz w:val="24"/>
          <w:szCs w:val="24"/>
        </w:rPr>
        <w:t xml:space="preserve"> usług w zakresie </w:t>
      </w:r>
      <w:proofErr w:type="spellStart"/>
      <w:r w:rsidRPr="00FF2AFB">
        <w:rPr>
          <w:rFonts w:ascii="Times New Roman" w:hAnsi="Times New Roman" w:cs="Times New Roman"/>
          <w:sz w:val="24"/>
          <w:szCs w:val="24"/>
        </w:rPr>
        <w:t>kryptoaktywów</w:t>
      </w:r>
      <w:proofErr w:type="spellEnd"/>
      <w:r w:rsidRPr="00FF2AFB">
        <w:rPr>
          <w:rFonts w:ascii="Times New Roman" w:hAnsi="Times New Roman" w:cs="Times New Roman"/>
          <w:sz w:val="24"/>
          <w:szCs w:val="24"/>
        </w:rPr>
        <w:t xml:space="preserve"> art. 64 ust. 8 lub art. 65–82 rozporządzenia 2023/1114</w:t>
      </w:r>
      <w:r>
        <w:rPr>
          <w:rFonts w:ascii="Times New Roman" w:hAnsi="Times New Roman" w:cs="Times New Roman"/>
          <w:sz w:val="24"/>
          <w:szCs w:val="24"/>
        </w:rPr>
        <w:t xml:space="preserve"> lub</w:t>
      </w:r>
      <w:r w:rsidRPr="00FF2AFB">
        <w:rPr>
          <w:rFonts w:ascii="Times New Roman" w:hAnsi="Times New Roman" w:cs="Times New Roman"/>
          <w:sz w:val="24"/>
          <w:szCs w:val="24"/>
        </w:rPr>
        <w:t xml:space="preserve"> przepisów</w:t>
      </w:r>
      <w:r>
        <w:rPr>
          <w:rFonts w:ascii="Times New Roman" w:hAnsi="Times New Roman" w:cs="Times New Roman"/>
          <w:sz w:val="24"/>
          <w:szCs w:val="24"/>
        </w:rPr>
        <w:t xml:space="preserve"> określonych</w:t>
      </w:r>
      <w:r w:rsidRPr="00FF2AFB">
        <w:rPr>
          <w:rFonts w:ascii="Times New Roman" w:hAnsi="Times New Roman" w:cs="Times New Roman"/>
          <w:sz w:val="24"/>
          <w:szCs w:val="24"/>
        </w:rPr>
        <w:t xml:space="preserve"> aktów delegowanych wydanych na podstawie tego rozporządzenia</w:t>
      </w:r>
      <w:r>
        <w:rPr>
          <w:rFonts w:ascii="Times New Roman" w:hAnsi="Times New Roman" w:cs="Times New Roman"/>
          <w:sz w:val="24"/>
          <w:szCs w:val="24"/>
        </w:rPr>
        <w:t xml:space="preserve">. Przepis również odnosi się do naruszenia </w:t>
      </w:r>
      <w:r w:rsidRPr="009127FF">
        <w:rPr>
          <w:rFonts w:ascii="Times New Roman" w:hAnsi="Times New Roman" w:cs="Times New Roman"/>
          <w:sz w:val="24"/>
          <w:szCs w:val="24"/>
        </w:rPr>
        <w:t>przepisu art. 6 ust. 4 zdanie pierwsze projektu ustawy</w:t>
      </w:r>
      <w:r>
        <w:rPr>
          <w:rFonts w:ascii="Times New Roman" w:hAnsi="Times New Roman" w:cs="Times New Roman"/>
          <w:sz w:val="24"/>
          <w:szCs w:val="24"/>
        </w:rPr>
        <w:t>. Ust. 1 pkt 1 odnosi się do</w:t>
      </w:r>
      <w:r w:rsidRPr="00FF2AFB">
        <w:rPr>
          <w:rFonts w:ascii="Times New Roman" w:hAnsi="Times New Roman" w:cs="Times New Roman"/>
          <w:sz w:val="24"/>
          <w:szCs w:val="24"/>
        </w:rPr>
        <w:t xml:space="preserve"> zakaz</w:t>
      </w:r>
      <w:r>
        <w:rPr>
          <w:rFonts w:ascii="Times New Roman" w:hAnsi="Times New Roman" w:cs="Times New Roman"/>
          <w:sz w:val="24"/>
          <w:szCs w:val="24"/>
        </w:rPr>
        <w:t>u</w:t>
      </w:r>
      <w:r w:rsidRPr="00FF2AFB">
        <w:rPr>
          <w:rFonts w:ascii="Times New Roman" w:hAnsi="Times New Roman" w:cs="Times New Roman"/>
          <w:sz w:val="24"/>
          <w:szCs w:val="24"/>
        </w:rPr>
        <w:t xml:space="preserve"> świadczenia określonych usług w zakresie </w:t>
      </w:r>
      <w:proofErr w:type="spellStart"/>
      <w:r w:rsidRPr="00FF2AFB">
        <w:rPr>
          <w:rFonts w:ascii="Times New Roman" w:hAnsi="Times New Roman" w:cs="Times New Roman"/>
          <w:sz w:val="24"/>
          <w:szCs w:val="24"/>
        </w:rPr>
        <w:t>kryptoaktywów</w:t>
      </w:r>
      <w:proofErr w:type="spellEnd"/>
      <w:r w:rsidRPr="00FF2AFB">
        <w:rPr>
          <w:rFonts w:ascii="Times New Roman" w:hAnsi="Times New Roman" w:cs="Times New Roman"/>
          <w:sz w:val="24"/>
          <w:szCs w:val="24"/>
        </w:rPr>
        <w:t xml:space="preserve"> na okres nie dłuższy niż 12 miesięcy</w:t>
      </w:r>
      <w:r>
        <w:rPr>
          <w:rFonts w:ascii="Times New Roman" w:hAnsi="Times New Roman" w:cs="Times New Roman"/>
          <w:sz w:val="24"/>
          <w:szCs w:val="24"/>
        </w:rPr>
        <w:t xml:space="preserve"> (stosownie do art. 94 ust. 1 lit. c rozporządzenia 2023/1114</w:t>
      </w:r>
      <w:r w:rsidRPr="00FF2AFB">
        <w:rPr>
          <w:rFonts w:ascii="Times New Roman" w:hAnsi="Times New Roman" w:cs="Times New Roman"/>
          <w:sz w:val="24"/>
          <w:szCs w:val="24"/>
        </w:rPr>
        <w:t>,</w:t>
      </w:r>
      <w:r>
        <w:rPr>
          <w:rFonts w:ascii="Times New Roman" w:hAnsi="Times New Roman" w:cs="Times New Roman"/>
          <w:sz w:val="24"/>
          <w:szCs w:val="24"/>
        </w:rPr>
        <w:t xml:space="preserve"> przy czym w projekcie ustawy ograniczono okres tego zawieszenia do 12 miesięcy, stanowi to tym samym łagodniejszy środek nadzorczy, niż przewidziany w rozporządzeniu 2023/1114, gdyż</w:t>
      </w:r>
      <w:r w:rsidRPr="00B11CD6">
        <w:rPr>
          <w:rFonts w:ascii="Times New Roman" w:hAnsi="Times New Roman" w:cs="Times New Roman"/>
          <w:sz w:val="24"/>
          <w:szCs w:val="24"/>
        </w:rPr>
        <w:t xml:space="preserve"> </w:t>
      </w:r>
      <w:r>
        <w:rPr>
          <w:rFonts w:ascii="Times New Roman" w:hAnsi="Times New Roman" w:cs="Times New Roman"/>
          <w:sz w:val="24"/>
          <w:szCs w:val="24"/>
        </w:rPr>
        <w:t xml:space="preserve">art. 94 ust. 1 lit. c tego rozporządzenia nie określa maksymalnego okresu zakazu). Pkt 2 dotyczy </w:t>
      </w:r>
      <w:r w:rsidRPr="00FF2AFB">
        <w:rPr>
          <w:rFonts w:ascii="Times New Roman" w:hAnsi="Times New Roman" w:cs="Times New Roman"/>
          <w:sz w:val="24"/>
          <w:szCs w:val="24"/>
        </w:rPr>
        <w:t>nakaz</w:t>
      </w:r>
      <w:r>
        <w:rPr>
          <w:rFonts w:ascii="Times New Roman" w:hAnsi="Times New Roman" w:cs="Times New Roman"/>
          <w:sz w:val="24"/>
          <w:szCs w:val="24"/>
        </w:rPr>
        <w:t>u</w:t>
      </w:r>
      <w:r w:rsidRPr="00FF2AFB">
        <w:rPr>
          <w:rFonts w:ascii="Times New Roman" w:hAnsi="Times New Roman" w:cs="Times New Roman"/>
          <w:sz w:val="24"/>
          <w:szCs w:val="24"/>
        </w:rPr>
        <w:t xml:space="preserve"> wobec wspomnian</w:t>
      </w:r>
      <w:r>
        <w:rPr>
          <w:rFonts w:ascii="Times New Roman" w:hAnsi="Times New Roman" w:cs="Times New Roman"/>
          <w:sz w:val="24"/>
          <w:szCs w:val="24"/>
        </w:rPr>
        <w:t>ych</w:t>
      </w:r>
      <w:r w:rsidRPr="00FF2AFB">
        <w:rPr>
          <w:rFonts w:ascii="Times New Roman" w:hAnsi="Times New Roman" w:cs="Times New Roman"/>
          <w:sz w:val="24"/>
          <w:szCs w:val="24"/>
        </w:rPr>
        <w:t xml:space="preserve"> dostawc</w:t>
      </w:r>
      <w:r>
        <w:rPr>
          <w:rFonts w:ascii="Times New Roman" w:hAnsi="Times New Roman" w:cs="Times New Roman"/>
          <w:sz w:val="24"/>
          <w:szCs w:val="24"/>
        </w:rPr>
        <w:t>ów</w:t>
      </w:r>
      <w:r w:rsidRPr="00FF2AFB">
        <w:rPr>
          <w:rFonts w:ascii="Times New Roman" w:hAnsi="Times New Roman" w:cs="Times New Roman"/>
          <w:sz w:val="24"/>
          <w:szCs w:val="24"/>
        </w:rPr>
        <w:t xml:space="preserve"> </w:t>
      </w:r>
      <w:r>
        <w:rPr>
          <w:rFonts w:ascii="Times New Roman" w:hAnsi="Times New Roman" w:cs="Times New Roman"/>
          <w:sz w:val="24"/>
          <w:szCs w:val="24"/>
        </w:rPr>
        <w:t xml:space="preserve">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t>
      </w:r>
      <w:r w:rsidRPr="00FF2AFB">
        <w:rPr>
          <w:rFonts w:ascii="Times New Roman" w:hAnsi="Times New Roman" w:cs="Times New Roman"/>
          <w:sz w:val="24"/>
          <w:szCs w:val="24"/>
        </w:rPr>
        <w:t xml:space="preserve">wstrzymania świadczenia określonych usług w zakresie </w:t>
      </w:r>
      <w:proofErr w:type="spellStart"/>
      <w:r w:rsidRPr="00FF2AFB">
        <w:rPr>
          <w:rFonts w:ascii="Times New Roman" w:hAnsi="Times New Roman" w:cs="Times New Roman"/>
          <w:sz w:val="24"/>
          <w:szCs w:val="24"/>
        </w:rPr>
        <w:t>kryptoaktywów</w:t>
      </w:r>
      <w:proofErr w:type="spellEnd"/>
      <w:r w:rsidRPr="00FF2AFB">
        <w:rPr>
          <w:rFonts w:ascii="Times New Roman" w:hAnsi="Times New Roman" w:cs="Times New Roman"/>
          <w:sz w:val="24"/>
          <w:szCs w:val="24"/>
        </w:rPr>
        <w:t xml:space="preserve"> na maksymalnie 30 dni roboczych</w:t>
      </w:r>
      <w:r>
        <w:rPr>
          <w:rFonts w:ascii="Times New Roman" w:hAnsi="Times New Roman" w:cs="Times New Roman"/>
          <w:sz w:val="24"/>
          <w:szCs w:val="24"/>
        </w:rPr>
        <w:t xml:space="preserve"> (art. 94 ust. 1 lit. b rozporządzenia 2023/1114), natomiast w pkt 3 określono</w:t>
      </w:r>
      <w:r w:rsidRPr="00FF2AFB">
        <w:rPr>
          <w:rFonts w:ascii="Times New Roman" w:hAnsi="Times New Roman" w:cs="Times New Roman"/>
          <w:sz w:val="24"/>
          <w:szCs w:val="24"/>
        </w:rPr>
        <w:t xml:space="preserve"> możliwość opublikowani</w:t>
      </w:r>
      <w:r>
        <w:rPr>
          <w:rFonts w:ascii="Times New Roman" w:hAnsi="Times New Roman" w:cs="Times New Roman"/>
          <w:sz w:val="24"/>
          <w:szCs w:val="24"/>
        </w:rPr>
        <w:t>a</w:t>
      </w:r>
      <w:r w:rsidRPr="00FF2AFB">
        <w:rPr>
          <w:rFonts w:ascii="Times New Roman" w:hAnsi="Times New Roman" w:cs="Times New Roman"/>
          <w:sz w:val="24"/>
          <w:szCs w:val="24"/>
        </w:rPr>
        <w:t xml:space="preserve"> na koszt tego dostawcy </w:t>
      </w:r>
      <w:r>
        <w:rPr>
          <w:rFonts w:ascii="Times New Roman" w:hAnsi="Times New Roman" w:cs="Times New Roman"/>
          <w:sz w:val="24"/>
          <w:szCs w:val="24"/>
        </w:rPr>
        <w:t xml:space="preserve">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t>
      </w:r>
      <w:r w:rsidRPr="00FF2AFB">
        <w:rPr>
          <w:rFonts w:ascii="Times New Roman" w:hAnsi="Times New Roman" w:cs="Times New Roman"/>
          <w:sz w:val="24"/>
          <w:szCs w:val="24"/>
        </w:rPr>
        <w:t xml:space="preserve">informacji o niezgodnym z prawem działaniu w związku ze świadczeniem usług w zakresie </w:t>
      </w:r>
      <w:proofErr w:type="spellStart"/>
      <w:r w:rsidRPr="00FF2AFB">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(art. 94 ust. 1 lit. e rozporządzenia 2023/1114)</w:t>
      </w:r>
      <w:r w:rsidRPr="00FF2AFB">
        <w:rPr>
          <w:rFonts w:ascii="Times New Roman" w:hAnsi="Times New Roman" w:cs="Times New Roman"/>
          <w:sz w:val="24"/>
          <w:szCs w:val="24"/>
        </w:rPr>
        <w:t xml:space="preserve">. Środki te zgodnie z ust. 2 </w:t>
      </w:r>
      <w:r>
        <w:rPr>
          <w:rFonts w:ascii="Times New Roman" w:hAnsi="Times New Roman" w:cs="Times New Roman"/>
          <w:sz w:val="24"/>
          <w:szCs w:val="24"/>
        </w:rPr>
        <w:t xml:space="preserve">i 4 </w:t>
      </w:r>
      <w:r w:rsidRPr="00FF2AFB">
        <w:rPr>
          <w:rFonts w:ascii="Times New Roman" w:hAnsi="Times New Roman" w:cs="Times New Roman"/>
          <w:sz w:val="24"/>
          <w:szCs w:val="24"/>
        </w:rPr>
        <w:t>mogą podlegać miarkowaniu oraz być wielokrotnie stosowane.</w:t>
      </w:r>
      <w:r>
        <w:rPr>
          <w:rFonts w:ascii="Times New Roman" w:hAnsi="Times New Roman" w:cs="Times New Roman"/>
          <w:sz w:val="24"/>
          <w:szCs w:val="24"/>
        </w:rPr>
        <w:t xml:space="preserve"> Jednocześnie ust. 3 wskazuje, że w sytuacji, gdy </w:t>
      </w:r>
      <w:r w:rsidRPr="00726D36">
        <w:rPr>
          <w:rFonts w:ascii="Times New Roman" w:hAnsi="Times New Roman" w:cs="Times New Roman"/>
          <w:sz w:val="24"/>
          <w:szCs w:val="24"/>
        </w:rPr>
        <w:t>dostawc</w:t>
      </w:r>
      <w:r>
        <w:rPr>
          <w:rFonts w:ascii="Times New Roman" w:hAnsi="Times New Roman" w:cs="Times New Roman"/>
          <w:sz w:val="24"/>
          <w:szCs w:val="24"/>
        </w:rPr>
        <w:t>a</w:t>
      </w:r>
      <w:r w:rsidRPr="00726D36">
        <w:rPr>
          <w:rFonts w:ascii="Times New Roman" w:hAnsi="Times New Roman" w:cs="Times New Roman"/>
          <w:sz w:val="24"/>
          <w:szCs w:val="24"/>
        </w:rPr>
        <w:t xml:space="preserve"> usług w zakresie </w:t>
      </w:r>
      <w:proofErr w:type="spellStart"/>
      <w:r w:rsidRPr="00726D36">
        <w:rPr>
          <w:rFonts w:ascii="Times New Roman" w:hAnsi="Times New Roman" w:cs="Times New Roman"/>
          <w:sz w:val="24"/>
          <w:szCs w:val="24"/>
        </w:rPr>
        <w:t>kryptoaktywów</w:t>
      </w:r>
      <w:proofErr w:type="spellEnd"/>
      <w:r w:rsidRPr="00726D36">
        <w:rPr>
          <w:rFonts w:ascii="Times New Roman" w:hAnsi="Times New Roman" w:cs="Times New Roman"/>
          <w:sz w:val="24"/>
          <w:szCs w:val="24"/>
        </w:rPr>
        <w:t xml:space="preserve"> </w:t>
      </w:r>
      <w:r>
        <w:rPr>
          <w:rFonts w:ascii="Times New Roman" w:hAnsi="Times New Roman" w:cs="Times New Roman"/>
          <w:sz w:val="24"/>
          <w:szCs w:val="24"/>
        </w:rPr>
        <w:t xml:space="preserve">nie wykona </w:t>
      </w:r>
      <w:r w:rsidRPr="00726D36">
        <w:rPr>
          <w:rFonts w:ascii="Times New Roman" w:hAnsi="Times New Roman" w:cs="Times New Roman"/>
          <w:sz w:val="24"/>
          <w:szCs w:val="24"/>
        </w:rPr>
        <w:t>w wyznaczonym terminie zalecenia, o którym mowa w ust. 2</w:t>
      </w:r>
      <w:r>
        <w:rPr>
          <w:rFonts w:ascii="Times New Roman" w:hAnsi="Times New Roman" w:cs="Times New Roman"/>
          <w:sz w:val="24"/>
          <w:szCs w:val="24"/>
        </w:rPr>
        <w:t xml:space="preserve"> ma zastosowanie </w:t>
      </w:r>
      <w:r w:rsidRPr="00726D36">
        <w:rPr>
          <w:rFonts w:ascii="Times New Roman" w:hAnsi="Times New Roman" w:cs="Times New Roman"/>
          <w:sz w:val="24"/>
          <w:szCs w:val="24"/>
        </w:rPr>
        <w:t>przepis ust. 1</w:t>
      </w:r>
      <w:r>
        <w:rPr>
          <w:rFonts w:ascii="Times New Roman" w:hAnsi="Times New Roman" w:cs="Times New Roman"/>
          <w:sz w:val="24"/>
          <w:szCs w:val="24"/>
        </w:rPr>
        <w:t>.</w:t>
      </w:r>
    </w:p>
    <w:p w14:paraId="08ACA1AC" w14:textId="1B2A6AB3"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FF2AFB">
        <w:rPr>
          <w:rFonts w:ascii="Times New Roman" w:hAnsi="Times New Roman" w:cs="Times New Roman"/>
          <w:b/>
          <w:bCs/>
          <w:sz w:val="24"/>
          <w:szCs w:val="24"/>
        </w:rPr>
        <w:t xml:space="preserve">Art. </w:t>
      </w:r>
      <w:r>
        <w:rPr>
          <w:rFonts w:ascii="Times New Roman" w:hAnsi="Times New Roman" w:cs="Times New Roman"/>
          <w:b/>
          <w:bCs/>
          <w:sz w:val="24"/>
          <w:szCs w:val="24"/>
        </w:rPr>
        <w:t>9</w:t>
      </w:r>
      <w:r w:rsidR="0065218B">
        <w:rPr>
          <w:rFonts w:ascii="Times New Roman" w:hAnsi="Times New Roman" w:cs="Times New Roman"/>
          <w:b/>
          <w:bCs/>
          <w:sz w:val="24"/>
          <w:szCs w:val="24"/>
        </w:rPr>
        <w:t>4</w:t>
      </w:r>
      <w:r w:rsidRPr="00FF2AFB">
        <w:rPr>
          <w:rFonts w:ascii="Times New Roman" w:hAnsi="Times New Roman" w:cs="Times New Roman"/>
          <w:sz w:val="24"/>
          <w:szCs w:val="24"/>
        </w:rPr>
        <w:t xml:space="preserve"> analogicznie do przepisów poprzedzających, wyposaża Komisję w środek umożliwiający zakazanie </w:t>
      </w:r>
      <w:r>
        <w:rPr>
          <w:rFonts w:ascii="Times New Roman" w:hAnsi="Times New Roman" w:cs="Times New Roman"/>
          <w:sz w:val="24"/>
          <w:szCs w:val="24"/>
        </w:rPr>
        <w:t xml:space="preserve">dostawcy 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prowadzącemu </w:t>
      </w:r>
      <w:r w:rsidRPr="00FF2AFB">
        <w:rPr>
          <w:rFonts w:ascii="Times New Roman" w:hAnsi="Times New Roman" w:cs="Times New Roman"/>
          <w:sz w:val="24"/>
          <w:szCs w:val="24"/>
        </w:rPr>
        <w:t>platform</w:t>
      </w:r>
      <w:r>
        <w:rPr>
          <w:rFonts w:ascii="Times New Roman" w:hAnsi="Times New Roman" w:cs="Times New Roman"/>
          <w:sz w:val="24"/>
          <w:szCs w:val="24"/>
        </w:rPr>
        <w:t>ę</w:t>
      </w:r>
      <w:r w:rsidRPr="00FF2AFB">
        <w:rPr>
          <w:rFonts w:ascii="Times New Roman" w:hAnsi="Times New Roman" w:cs="Times New Roman"/>
          <w:sz w:val="24"/>
          <w:szCs w:val="24"/>
        </w:rPr>
        <w:t xml:space="preserve"> obrotu </w:t>
      </w:r>
      <w:proofErr w:type="spellStart"/>
      <w:r w:rsidRPr="00FF2AFB">
        <w:rPr>
          <w:rFonts w:ascii="Times New Roman" w:hAnsi="Times New Roman" w:cs="Times New Roman"/>
          <w:sz w:val="24"/>
          <w:szCs w:val="24"/>
        </w:rPr>
        <w:t>kryptoaktywami</w:t>
      </w:r>
      <w:proofErr w:type="spellEnd"/>
      <w:r w:rsidRPr="00FF2AFB">
        <w:rPr>
          <w:rFonts w:ascii="Times New Roman" w:hAnsi="Times New Roman" w:cs="Times New Roman"/>
          <w:sz w:val="24"/>
          <w:szCs w:val="24"/>
        </w:rPr>
        <w:t xml:space="preserve"> obrotu wskazanymi przez KNF </w:t>
      </w:r>
      <w:proofErr w:type="spellStart"/>
      <w:r w:rsidRPr="00FF2AFB">
        <w:rPr>
          <w:rFonts w:ascii="Times New Roman" w:hAnsi="Times New Roman" w:cs="Times New Roman"/>
          <w:sz w:val="24"/>
          <w:szCs w:val="24"/>
        </w:rPr>
        <w:t>kryptoaktywami</w:t>
      </w:r>
      <w:proofErr w:type="spellEnd"/>
      <w:r w:rsidRPr="00FF2AFB">
        <w:rPr>
          <w:rFonts w:ascii="Times New Roman" w:hAnsi="Times New Roman" w:cs="Times New Roman"/>
          <w:sz w:val="24"/>
          <w:szCs w:val="24"/>
        </w:rPr>
        <w:t xml:space="preserve"> na określony czas</w:t>
      </w:r>
      <w:r>
        <w:rPr>
          <w:rFonts w:ascii="Times New Roman" w:hAnsi="Times New Roman" w:cs="Times New Roman"/>
          <w:sz w:val="24"/>
          <w:szCs w:val="24"/>
        </w:rPr>
        <w:t xml:space="preserve"> nie dłuższy niż </w:t>
      </w:r>
      <w:r w:rsidRPr="00FF2AFB">
        <w:rPr>
          <w:rFonts w:ascii="Times New Roman" w:hAnsi="Times New Roman" w:cs="Times New Roman"/>
          <w:sz w:val="24"/>
          <w:szCs w:val="24"/>
        </w:rPr>
        <w:t>12 miesięcy</w:t>
      </w:r>
      <w:r>
        <w:rPr>
          <w:rFonts w:ascii="Times New Roman" w:hAnsi="Times New Roman" w:cs="Times New Roman"/>
          <w:sz w:val="24"/>
          <w:szCs w:val="24"/>
        </w:rPr>
        <w:t xml:space="preserve"> </w:t>
      </w:r>
      <w:r w:rsidRPr="00C21177">
        <w:rPr>
          <w:rFonts w:ascii="Times New Roman" w:hAnsi="Times New Roman" w:cs="Times New Roman"/>
          <w:sz w:val="24"/>
          <w:szCs w:val="24"/>
        </w:rPr>
        <w:t>(zgodnie z art. 94 ust. 1 lit o</w:t>
      </w:r>
      <w:r>
        <w:rPr>
          <w:rFonts w:ascii="Times New Roman" w:hAnsi="Times New Roman" w:cs="Times New Roman"/>
          <w:sz w:val="24"/>
          <w:szCs w:val="24"/>
        </w:rPr>
        <w:t xml:space="preserve"> rozporządzenia 2023/1114</w:t>
      </w:r>
      <w:r w:rsidRPr="00C21177">
        <w:rPr>
          <w:rFonts w:ascii="Times New Roman" w:hAnsi="Times New Roman" w:cs="Times New Roman"/>
          <w:sz w:val="24"/>
          <w:szCs w:val="24"/>
        </w:rPr>
        <w:t>)</w:t>
      </w:r>
      <w:r w:rsidRPr="00FF2AFB">
        <w:rPr>
          <w:rFonts w:ascii="Times New Roman" w:hAnsi="Times New Roman" w:cs="Times New Roman"/>
          <w:sz w:val="24"/>
          <w:szCs w:val="24"/>
        </w:rPr>
        <w:t xml:space="preserve">, w przypadku naruszenia przepisów art. 65–82 rozporządzenia 2023/1114 </w:t>
      </w:r>
      <w:r>
        <w:rPr>
          <w:rFonts w:ascii="Times New Roman" w:hAnsi="Times New Roman" w:cs="Times New Roman"/>
          <w:sz w:val="24"/>
          <w:szCs w:val="24"/>
        </w:rPr>
        <w:t xml:space="preserve">lub przepisów </w:t>
      </w:r>
      <w:r w:rsidRPr="00FF2AFB">
        <w:rPr>
          <w:rFonts w:ascii="Times New Roman" w:hAnsi="Times New Roman" w:cs="Times New Roman"/>
          <w:sz w:val="24"/>
          <w:szCs w:val="24"/>
        </w:rPr>
        <w:t>aktów delegowanych</w:t>
      </w:r>
      <w:r w:rsidR="00695ECE">
        <w:rPr>
          <w:rFonts w:ascii="Times New Roman" w:hAnsi="Times New Roman" w:cs="Times New Roman"/>
          <w:sz w:val="24"/>
          <w:szCs w:val="24"/>
        </w:rPr>
        <w:t xml:space="preserve"> </w:t>
      </w:r>
      <w:r w:rsidRPr="00FF2AFB">
        <w:rPr>
          <w:rFonts w:ascii="Times New Roman" w:hAnsi="Times New Roman" w:cs="Times New Roman"/>
          <w:sz w:val="24"/>
          <w:szCs w:val="24"/>
        </w:rPr>
        <w:t>wydanych na podstawie art. 66 ust. 6, art. 68 ust.</w:t>
      </w:r>
      <w:r>
        <w:rPr>
          <w:rFonts w:ascii="Times New Roman" w:hAnsi="Times New Roman" w:cs="Times New Roman"/>
          <w:sz w:val="24"/>
          <w:szCs w:val="24"/>
        </w:rPr>
        <w:t> </w:t>
      </w:r>
      <w:r w:rsidRPr="00FF2AFB">
        <w:rPr>
          <w:rFonts w:ascii="Times New Roman" w:hAnsi="Times New Roman" w:cs="Times New Roman"/>
          <w:sz w:val="24"/>
          <w:szCs w:val="24"/>
        </w:rPr>
        <w:t>10, art. 71 ust. 5, art. 72 ust. 5</w:t>
      </w:r>
      <w:r>
        <w:rPr>
          <w:rFonts w:ascii="Times New Roman" w:hAnsi="Times New Roman" w:cs="Times New Roman"/>
          <w:sz w:val="24"/>
          <w:szCs w:val="24"/>
        </w:rPr>
        <w:t xml:space="preserve"> lub</w:t>
      </w:r>
      <w:r w:rsidRPr="00FF2AFB">
        <w:rPr>
          <w:rFonts w:ascii="Times New Roman" w:hAnsi="Times New Roman" w:cs="Times New Roman"/>
          <w:sz w:val="24"/>
          <w:szCs w:val="24"/>
        </w:rPr>
        <w:t xml:space="preserve"> art. 76 ust. 16</w:t>
      </w:r>
      <w:r>
        <w:rPr>
          <w:rFonts w:ascii="Times New Roman" w:hAnsi="Times New Roman" w:cs="Times New Roman"/>
          <w:sz w:val="24"/>
          <w:szCs w:val="24"/>
        </w:rPr>
        <w:t xml:space="preserve"> </w:t>
      </w:r>
      <w:r w:rsidRPr="00FF2AFB">
        <w:rPr>
          <w:rFonts w:ascii="Times New Roman" w:hAnsi="Times New Roman" w:cs="Times New Roman"/>
          <w:sz w:val="24"/>
          <w:szCs w:val="24"/>
        </w:rPr>
        <w:t>tego rozporządzenia</w:t>
      </w:r>
      <w:r>
        <w:rPr>
          <w:rFonts w:ascii="Times New Roman" w:hAnsi="Times New Roman" w:cs="Times New Roman"/>
          <w:sz w:val="24"/>
          <w:szCs w:val="24"/>
        </w:rPr>
        <w:t xml:space="preserve"> </w:t>
      </w:r>
      <w:r w:rsidRPr="00FF2AFB">
        <w:rPr>
          <w:rFonts w:ascii="Times New Roman" w:hAnsi="Times New Roman" w:cs="Times New Roman"/>
          <w:sz w:val="24"/>
          <w:szCs w:val="24"/>
        </w:rPr>
        <w:t>albo w razie powzięcia przez KNF uzasadnionego podejrzenia naruszenia ww. przepisów</w:t>
      </w:r>
      <w:r>
        <w:rPr>
          <w:rFonts w:ascii="Times New Roman" w:hAnsi="Times New Roman" w:cs="Times New Roman"/>
          <w:sz w:val="24"/>
          <w:szCs w:val="24"/>
        </w:rPr>
        <w:t xml:space="preserve"> albo uzasadnionego podejrzenia, że takie naruszenie może nastąpić.</w:t>
      </w:r>
    </w:p>
    <w:p w14:paraId="61C2FD8D" w14:textId="454C1AC9"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FF2AFB">
        <w:rPr>
          <w:rFonts w:ascii="Times New Roman" w:hAnsi="Times New Roman" w:cs="Times New Roman"/>
          <w:b/>
          <w:bCs/>
          <w:sz w:val="24"/>
          <w:szCs w:val="24"/>
        </w:rPr>
        <w:t xml:space="preserve">Art. </w:t>
      </w:r>
      <w:r>
        <w:rPr>
          <w:rFonts w:ascii="Times New Roman" w:hAnsi="Times New Roman" w:cs="Times New Roman"/>
          <w:b/>
          <w:bCs/>
          <w:sz w:val="24"/>
          <w:szCs w:val="24"/>
        </w:rPr>
        <w:t>9</w:t>
      </w:r>
      <w:r w:rsidR="0065218B">
        <w:rPr>
          <w:rFonts w:ascii="Times New Roman" w:hAnsi="Times New Roman" w:cs="Times New Roman"/>
          <w:b/>
          <w:bCs/>
          <w:sz w:val="24"/>
          <w:szCs w:val="24"/>
        </w:rPr>
        <w:t>5</w:t>
      </w:r>
      <w:r w:rsidRPr="00FF2AFB">
        <w:rPr>
          <w:rFonts w:ascii="Times New Roman" w:hAnsi="Times New Roman" w:cs="Times New Roman"/>
          <w:sz w:val="24"/>
          <w:szCs w:val="24"/>
        </w:rPr>
        <w:t xml:space="preserve"> </w:t>
      </w:r>
      <w:r w:rsidRPr="00522969">
        <w:rPr>
          <w:rFonts w:ascii="Times New Roman" w:eastAsia="Times New Roman" w:hAnsi="Times New Roman" w:cs="Times New Roman"/>
          <w:sz w:val="24"/>
          <w:szCs w:val="24"/>
        </w:rPr>
        <w:t xml:space="preserve">ustanawia środki, które Komisja może przedsięwziąć, gdy jest to konieczne dla zapewnienia bezpieczeństwa obrotu na platformie obrotu </w:t>
      </w:r>
      <w:proofErr w:type="spellStart"/>
      <w:r w:rsidRPr="00522969">
        <w:rPr>
          <w:rFonts w:ascii="Times New Roman" w:eastAsia="Times New Roman" w:hAnsi="Times New Roman" w:cs="Times New Roman"/>
          <w:sz w:val="24"/>
          <w:szCs w:val="24"/>
        </w:rPr>
        <w:t>kryptoaktywami</w:t>
      </w:r>
      <w:proofErr w:type="spellEnd"/>
      <w:r w:rsidRPr="00522969">
        <w:rPr>
          <w:rFonts w:ascii="Times New Roman" w:eastAsia="Times New Roman" w:hAnsi="Times New Roman" w:cs="Times New Roman"/>
          <w:sz w:val="24"/>
          <w:szCs w:val="24"/>
        </w:rPr>
        <w:t xml:space="preserve"> lub gdy świadczenie usług w zakresie </w:t>
      </w:r>
      <w:proofErr w:type="spellStart"/>
      <w:r w:rsidRPr="00522969">
        <w:rPr>
          <w:rFonts w:ascii="Times New Roman" w:eastAsia="Times New Roman" w:hAnsi="Times New Roman" w:cs="Times New Roman"/>
          <w:sz w:val="24"/>
          <w:szCs w:val="24"/>
        </w:rPr>
        <w:t>kryptoaktywów</w:t>
      </w:r>
      <w:proofErr w:type="spellEnd"/>
      <w:r w:rsidRPr="00522969">
        <w:rPr>
          <w:rFonts w:ascii="Times New Roman" w:eastAsia="Times New Roman" w:hAnsi="Times New Roman" w:cs="Times New Roman"/>
          <w:b/>
          <w:sz w:val="24"/>
          <w:szCs w:val="24"/>
        </w:rPr>
        <w:t xml:space="preserve"> </w:t>
      </w:r>
      <w:r w:rsidRPr="00522969">
        <w:rPr>
          <w:rFonts w:ascii="Times New Roman" w:eastAsia="Times New Roman" w:hAnsi="Times New Roman" w:cs="Times New Roman"/>
          <w:sz w:val="24"/>
          <w:szCs w:val="24"/>
        </w:rPr>
        <w:t xml:space="preserve">przez dostawcę usług w zakresie </w:t>
      </w:r>
      <w:proofErr w:type="spellStart"/>
      <w:r w:rsidRPr="00522969">
        <w:rPr>
          <w:rFonts w:ascii="Times New Roman" w:eastAsia="Times New Roman" w:hAnsi="Times New Roman" w:cs="Times New Roman"/>
          <w:sz w:val="24"/>
          <w:szCs w:val="24"/>
        </w:rPr>
        <w:t>kryptoaktywów</w:t>
      </w:r>
      <w:proofErr w:type="spellEnd"/>
      <w:r w:rsidRPr="00522969">
        <w:rPr>
          <w:rFonts w:ascii="Times New Roman" w:eastAsia="Times New Roman" w:hAnsi="Times New Roman" w:cs="Times New Roman"/>
          <w:sz w:val="24"/>
          <w:szCs w:val="24"/>
        </w:rPr>
        <w:t xml:space="preserve"> prowadzącego platformę obrotu </w:t>
      </w:r>
      <w:proofErr w:type="spellStart"/>
      <w:r w:rsidRPr="00522969">
        <w:rPr>
          <w:rFonts w:ascii="Times New Roman" w:eastAsia="Times New Roman" w:hAnsi="Times New Roman" w:cs="Times New Roman"/>
          <w:sz w:val="24"/>
          <w:szCs w:val="24"/>
        </w:rPr>
        <w:t>kryptoaktywami</w:t>
      </w:r>
      <w:proofErr w:type="spellEnd"/>
      <w:r w:rsidRPr="00522969">
        <w:rPr>
          <w:rFonts w:ascii="Times New Roman" w:eastAsia="Times New Roman" w:hAnsi="Times New Roman" w:cs="Times New Roman"/>
          <w:sz w:val="24"/>
          <w:szCs w:val="24"/>
        </w:rPr>
        <w:t xml:space="preserve"> byłoby szkodliwe dla interesów klientów, w szczególności posiadaczy detalicznych, albo gdy obrót </w:t>
      </w:r>
      <w:proofErr w:type="spellStart"/>
      <w:r w:rsidRPr="00522969">
        <w:rPr>
          <w:rFonts w:ascii="Times New Roman" w:eastAsia="Times New Roman" w:hAnsi="Times New Roman" w:cs="Times New Roman"/>
          <w:sz w:val="24"/>
          <w:szCs w:val="24"/>
        </w:rPr>
        <w:t>kryptoaktywami</w:t>
      </w:r>
      <w:proofErr w:type="spellEnd"/>
      <w:r w:rsidRPr="00522969">
        <w:rPr>
          <w:rFonts w:ascii="Times New Roman" w:eastAsia="Times New Roman" w:hAnsi="Times New Roman" w:cs="Times New Roman"/>
          <w:sz w:val="24"/>
          <w:szCs w:val="24"/>
        </w:rPr>
        <w:t xml:space="preserve"> zagraża w sposób istotny bezpieczeństwu obrotu lub powoduje naruszenie interesów posiadaczy </w:t>
      </w:r>
      <w:proofErr w:type="spellStart"/>
      <w:r w:rsidRPr="00522969">
        <w:rPr>
          <w:rFonts w:ascii="Times New Roman" w:eastAsia="Times New Roman" w:hAnsi="Times New Roman" w:cs="Times New Roman"/>
          <w:sz w:val="24"/>
          <w:szCs w:val="24"/>
        </w:rPr>
        <w:t>kryptoaktywów</w:t>
      </w:r>
      <w:proofErr w:type="spellEnd"/>
      <w:r w:rsidRPr="00522969">
        <w:rPr>
          <w:rFonts w:ascii="Times New Roman" w:eastAsia="Times New Roman" w:hAnsi="Times New Roman" w:cs="Times New Roman"/>
          <w:sz w:val="24"/>
          <w:szCs w:val="24"/>
        </w:rPr>
        <w:t xml:space="preserve">. Przepis ten służy zapewnieniu stosowania art. 94 ust. 1 lit. f i t rozporządzenia 2023/1114, który uzależnia użycie środków w nim określonych od wystąpienia odpowiednio przesłanki „szkodliwości świadczenia usług dla interesów klientów, w szczególności posiadaczy detalicznych” lub „szkodliwości obrotu dla interesów posiadaczy </w:t>
      </w:r>
      <w:proofErr w:type="spellStart"/>
      <w:r w:rsidRPr="00522969">
        <w:rPr>
          <w:rFonts w:ascii="Times New Roman" w:eastAsia="Times New Roman" w:hAnsi="Times New Roman" w:cs="Times New Roman"/>
          <w:sz w:val="24"/>
          <w:szCs w:val="24"/>
        </w:rPr>
        <w:t>kryptoaktywów</w:t>
      </w:r>
      <w:proofErr w:type="spellEnd"/>
      <w:r w:rsidRPr="00522969">
        <w:rPr>
          <w:rFonts w:ascii="Times New Roman" w:eastAsia="Times New Roman" w:hAnsi="Times New Roman" w:cs="Times New Roman"/>
          <w:sz w:val="24"/>
          <w:szCs w:val="24"/>
        </w:rPr>
        <w:t xml:space="preserve">, w szczególności posiadaczy detalicznych”. Przesłanki te zostały rozszerzone w przepisie krajowym o przesłanki „bezpieczeństwa obrotu na platformie obrotu </w:t>
      </w:r>
      <w:proofErr w:type="spellStart"/>
      <w:r w:rsidRPr="00522969">
        <w:rPr>
          <w:rFonts w:ascii="Times New Roman" w:eastAsia="Times New Roman" w:hAnsi="Times New Roman" w:cs="Times New Roman"/>
          <w:sz w:val="24"/>
          <w:szCs w:val="24"/>
        </w:rPr>
        <w:t>kryptoaktywami</w:t>
      </w:r>
      <w:proofErr w:type="spellEnd"/>
      <w:r w:rsidRPr="00522969">
        <w:rPr>
          <w:rFonts w:ascii="Times New Roman" w:eastAsia="Times New Roman" w:hAnsi="Times New Roman" w:cs="Times New Roman"/>
          <w:sz w:val="24"/>
          <w:szCs w:val="24"/>
        </w:rPr>
        <w:t xml:space="preserve">” (ust. 1 pkt 1) i „bezpieczeństwa obrotu” rozumianego w sposób szeroki (ust. 1 pkt 2). </w:t>
      </w:r>
      <w:r w:rsidRPr="00522969">
        <w:rPr>
          <w:rFonts w:ascii="Times New Roman" w:eastAsia="Calibri" w:hAnsi="Times New Roman" w:cs="Times New Roman"/>
          <w:sz w:val="24"/>
          <w:szCs w:val="24"/>
        </w:rPr>
        <w:t xml:space="preserve">Należy wskazać, że posłużenie się znanym z rynku kapitałowego pojęciem „bezpieczeństwa obrotu” spełnia warunki spójności i jasności przepisów i systemu prawa, oddając jednocześnie cel regulacji. Ponadto posłużenie się dodatkową przesłanką </w:t>
      </w:r>
      <w:r w:rsidRPr="00522969">
        <w:rPr>
          <w:rFonts w:ascii="Times New Roman" w:eastAsia="Times New Roman" w:hAnsi="Times New Roman" w:cs="Times New Roman"/>
          <w:sz w:val="24"/>
          <w:szCs w:val="24"/>
        </w:rPr>
        <w:t xml:space="preserve">jest dopuszczalne </w:t>
      </w:r>
      <w:r w:rsidRPr="00522969">
        <w:rPr>
          <w:rFonts w:ascii="Times New Roman" w:eastAsia="Calibri" w:hAnsi="Times New Roman" w:cs="Times New Roman"/>
          <w:sz w:val="24"/>
          <w:szCs w:val="24"/>
        </w:rPr>
        <w:t xml:space="preserve">na podstawie art. 94 ust. 1 rozporządzenia 2023/1114, który zezwala państwom członkowskim na przyjęcie w prawie krajowym dodatkowych uprawnień nadzorczych i dochodzeniowych w celu realizacji obowiązków spoczywających na właściwych organach na mocy tytułów II–VI rozporządzenia 2023/1114. Należy zauważyć, że wystąpienie stanu szkodliwości dla interesów klientów dostawcy usług w zakresie </w:t>
      </w:r>
      <w:proofErr w:type="spellStart"/>
      <w:r w:rsidRPr="00522969">
        <w:rPr>
          <w:rFonts w:ascii="Times New Roman" w:eastAsia="Calibri" w:hAnsi="Times New Roman" w:cs="Times New Roman"/>
          <w:sz w:val="24"/>
          <w:szCs w:val="24"/>
        </w:rPr>
        <w:t>kryptoaktywów</w:t>
      </w:r>
      <w:proofErr w:type="spellEnd"/>
      <w:r w:rsidRPr="00522969">
        <w:rPr>
          <w:rFonts w:ascii="Times New Roman" w:eastAsia="Calibri" w:hAnsi="Times New Roman" w:cs="Times New Roman"/>
          <w:sz w:val="24"/>
          <w:szCs w:val="24"/>
        </w:rPr>
        <w:t xml:space="preserve"> prowadzącego platformę obrotu </w:t>
      </w:r>
      <w:proofErr w:type="spellStart"/>
      <w:r w:rsidRPr="00522969">
        <w:rPr>
          <w:rFonts w:ascii="Times New Roman" w:eastAsia="Calibri" w:hAnsi="Times New Roman" w:cs="Times New Roman"/>
          <w:sz w:val="24"/>
          <w:szCs w:val="24"/>
        </w:rPr>
        <w:t>kryptoaktywami</w:t>
      </w:r>
      <w:proofErr w:type="spellEnd"/>
      <w:r w:rsidRPr="00522969">
        <w:rPr>
          <w:rFonts w:ascii="Times New Roman" w:eastAsia="Calibri" w:hAnsi="Times New Roman" w:cs="Times New Roman"/>
          <w:sz w:val="24"/>
          <w:szCs w:val="24"/>
        </w:rPr>
        <w:t xml:space="preserve"> lub interesów posiadaczy </w:t>
      </w:r>
      <w:proofErr w:type="spellStart"/>
      <w:r w:rsidRPr="00522969">
        <w:rPr>
          <w:rFonts w:ascii="Times New Roman" w:eastAsia="Calibri" w:hAnsi="Times New Roman" w:cs="Times New Roman"/>
          <w:sz w:val="24"/>
          <w:szCs w:val="24"/>
        </w:rPr>
        <w:t>kryptoaktywów</w:t>
      </w:r>
      <w:proofErr w:type="spellEnd"/>
      <w:r w:rsidRPr="00522969">
        <w:rPr>
          <w:rFonts w:ascii="Times New Roman" w:eastAsia="Calibri" w:hAnsi="Times New Roman" w:cs="Times New Roman"/>
          <w:sz w:val="24"/>
          <w:szCs w:val="24"/>
        </w:rPr>
        <w:t xml:space="preserve"> wiązać się będzie często z równoczesnym powstaniem stanu zagrożenia bezpieczeństwa obrotu w ogólności lub bezpieczeństwa obrotu na danej platformie obrotu </w:t>
      </w:r>
      <w:proofErr w:type="spellStart"/>
      <w:r w:rsidRPr="00522969">
        <w:rPr>
          <w:rFonts w:ascii="Times New Roman" w:eastAsia="Calibri" w:hAnsi="Times New Roman" w:cs="Times New Roman"/>
          <w:sz w:val="24"/>
          <w:szCs w:val="24"/>
        </w:rPr>
        <w:t>kryptoaktywami</w:t>
      </w:r>
      <w:proofErr w:type="spellEnd"/>
      <w:r w:rsidRPr="00522969">
        <w:rPr>
          <w:rFonts w:ascii="Times New Roman" w:eastAsia="Calibri" w:hAnsi="Times New Roman" w:cs="Times New Roman"/>
          <w:sz w:val="24"/>
          <w:szCs w:val="24"/>
        </w:rPr>
        <w:t>.</w:t>
      </w:r>
      <w:r w:rsidRPr="00522969">
        <w:rPr>
          <w:rFonts w:ascii="Times New Roman" w:eastAsia="Times New Roman" w:hAnsi="Times New Roman" w:cs="Times New Roman"/>
          <w:sz w:val="24"/>
          <w:szCs w:val="24"/>
        </w:rPr>
        <w:t xml:space="preserve"> Komisja w swoim żądaniu dotyczącym wstrzymania wprowadzenia określonych </w:t>
      </w:r>
      <w:proofErr w:type="spellStart"/>
      <w:r w:rsidRPr="00522969">
        <w:rPr>
          <w:rFonts w:ascii="Times New Roman" w:eastAsia="Times New Roman" w:hAnsi="Times New Roman" w:cs="Times New Roman"/>
          <w:sz w:val="24"/>
          <w:szCs w:val="24"/>
        </w:rPr>
        <w:t>kryptoaktywów</w:t>
      </w:r>
      <w:proofErr w:type="spellEnd"/>
      <w:r w:rsidRPr="00522969">
        <w:rPr>
          <w:rFonts w:ascii="Times New Roman" w:eastAsia="Times New Roman" w:hAnsi="Times New Roman" w:cs="Times New Roman"/>
          <w:sz w:val="24"/>
          <w:szCs w:val="24"/>
        </w:rPr>
        <w:t xml:space="preserve"> do obrotu lub rozpoczęcia obrotu wskazanymi </w:t>
      </w:r>
      <w:proofErr w:type="spellStart"/>
      <w:r w:rsidRPr="00522969">
        <w:rPr>
          <w:rFonts w:ascii="Times New Roman" w:eastAsia="Times New Roman" w:hAnsi="Times New Roman" w:cs="Times New Roman"/>
          <w:sz w:val="24"/>
          <w:szCs w:val="24"/>
        </w:rPr>
        <w:t>kryptoaktywami</w:t>
      </w:r>
      <w:proofErr w:type="spellEnd"/>
      <w:r w:rsidRPr="00522969">
        <w:rPr>
          <w:rFonts w:ascii="Times New Roman" w:eastAsia="Times New Roman" w:hAnsi="Times New Roman" w:cs="Times New Roman"/>
          <w:sz w:val="24"/>
          <w:szCs w:val="24"/>
        </w:rPr>
        <w:t xml:space="preserve"> (uprawnienie przyznane na podstawie art. 94 ust. 1 lit. v rozporządzenia 2023/1114) wskazuje okres obowiązywania wstrzymania, który jest nie dłuższy niż 30 dni. W przypadku zawieszenia obrotu wskazanymi </w:t>
      </w:r>
      <w:proofErr w:type="spellStart"/>
      <w:r w:rsidRPr="00522969">
        <w:rPr>
          <w:rFonts w:ascii="Times New Roman" w:eastAsia="Times New Roman" w:hAnsi="Times New Roman" w:cs="Times New Roman"/>
          <w:sz w:val="24"/>
          <w:szCs w:val="24"/>
        </w:rPr>
        <w:t>kryptoaktywami</w:t>
      </w:r>
      <w:proofErr w:type="spellEnd"/>
      <w:r w:rsidRPr="00522969">
        <w:rPr>
          <w:rFonts w:ascii="Times New Roman" w:eastAsia="Times New Roman" w:hAnsi="Times New Roman" w:cs="Times New Roman"/>
          <w:sz w:val="24"/>
          <w:szCs w:val="24"/>
        </w:rPr>
        <w:t xml:space="preserve"> Komisja może wskazać termin obowiązywania zawieszenia. Jeśli tego nie uczyni, zawieszenie obowiązuje do momentu uchylenia decyzji zawierającej żądanie, o którym mowa w ust. 1 pkt 1 lit. b, w przypadku gdy po jej wydaniu Komisja stwierdzi, że nie zachodzą przesłanki, o których mowa w tym przepisie. Termin obowiązywania zawieszenia zgodnie z ust. 2 może zostać przedłużony w przypadku uzasadnionych obaw, że w dniu jego upływu będą nadal zachodziły przesłanki, o których mowa w ust. 1 pkt 1</w:t>
      </w:r>
      <w:r>
        <w:rPr>
          <w:rFonts w:ascii="Times New Roman" w:eastAsia="Times New Roman" w:hAnsi="Times New Roman" w:cs="Times New Roman"/>
          <w:sz w:val="24"/>
          <w:szCs w:val="24"/>
        </w:rPr>
        <w:t xml:space="preserve"> lit. b</w:t>
      </w:r>
      <w:r w:rsidRPr="00522969">
        <w:rPr>
          <w:rFonts w:ascii="Times New Roman" w:eastAsia="Times New Roman" w:hAnsi="Times New Roman" w:cs="Times New Roman"/>
          <w:sz w:val="24"/>
          <w:szCs w:val="24"/>
        </w:rPr>
        <w:t xml:space="preserve">. Dostawca usług w zakresie </w:t>
      </w:r>
      <w:proofErr w:type="spellStart"/>
      <w:r w:rsidRPr="00522969">
        <w:rPr>
          <w:rFonts w:ascii="Times New Roman" w:eastAsia="Times New Roman" w:hAnsi="Times New Roman" w:cs="Times New Roman"/>
          <w:sz w:val="24"/>
          <w:szCs w:val="24"/>
        </w:rPr>
        <w:t>kryptoaktywów</w:t>
      </w:r>
      <w:proofErr w:type="spellEnd"/>
      <w:r w:rsidRPr="00522969">
        <w:rPr>
          <w:rFonts w:ascii="Times New Roman" w:eastAsia="Times New Roman" w:hAnsi="Times New Roman" w:cs="Times New Roman"/>
          <w:sz w:val="24"/>
          <w:szCs w:val="24"/>
        </w:rPr>
        <w:t xml:space="preserve"> prowadzący platformę obrotu </w:t>
      </w:r>
      <w:proofErr w:type="spellStart"/>
      <w:r w:rsidRPr="00522969">
        <w:rPr>
          <w:rFonts w:ascii="Times New Roman" w:eastAsia="Times New Roman" w:hAnsi="Times New Roman" w:cs="Times New Roman"/>
          <w:sz w:val="24"/>
          <w:szCs w:val="24"/>
        </w:rPr>
        <w:t>kryptoaktywami</w:t>
      </w:r>
      <w:proofErr w:type="spellEnd"/>
      <w:r w:rsidRPr="00522969">
        <w:rPr>
          <w:rFonts w:ascii="Times New Roman" w:eastAsia="Times New Roman" w:hAnsi="Times New Roman" w:cs="Times New Roman"/>
          <w:sz w:val="24"/>
          <w:szCs w:val="24"/>
        </w:rPr>
        <w:t xml:space="preserve">, który zawiesił lub wykluczył </w:t>
      </w:r>
      <w:proofErr w:type="spellStart"/>
      <w:r w:rsidRPr="00522969">
        <w:rPr>
          <w:rFonts w:ascii="Times New Roman" w:eastAsia="Times New Roman" w:hAnsi="Times New Roman" w:cs="Times New Roman"/>
          <w:sz w:val="24"/>
          <w:szCs w:val="24"/>
        </w:rPr>
        <w:t>kryptoaktywa</w:t>
      </w:r>
      <w:proofErr w:type="spellEnd"/>
      <w:r w:rsidRPr="00522969">
        <w:rPr>
          <w:rFonts w:ascii="Times New Roman" w:eastAsia="Times New Roman" w:hAnsi="Times New Roman" w:cs="Times New Roman"/>
          <w:sz w:val="24"/>
          <w:szCs w:val="24"/>
        </w:rPr>
        <w:t xml:space="preserve"> z obrotu, ma obowiązek poinformowania o tej czynności Komisję oraz podania tej informacji do publicznej wiadomości. Natomiast KNF zobowiązano zgodnie z ust. 3 do podania do publicznej wiadomości informacji o wystąpieniu z żądaniem wstrzymania wprowadzenia określonych </w:t>
      </w:r>
      <w:proofErr w:type="spellStart"/>
      <w:r w:rsidRPr="00522969">
        <w:rPr>
          <w:rFonts w:ascii="Times New Roman" w:eastAsia="Times New Roman" w:hAnsi="Times New Roman" w:cs="Times New Roman"/>
          <w:sz w:val="24"/>
          <w:szCs w:val="24"/>
        </w:rPr>
        <w:t>kryptoaktywów</w:t>
      </w:r>
      <w:proofErr w:type="spellEnd"/>
      <w:r w:rsidRPr="00522969">
        <w:rPr>
          <w:rFonts w:ascii="Times New Roman" w:eastAsia="Times New Roman" w:hAnsi="Times New Roman" w:cs="Times New Roman"/>
          <w:sz w:val="24"/>
          <w:szCs w:val="24"/>
        </w:rPr>
        <w:t xml:space="preserve"> do obrotu lub rozpoczęcia obrotu wskazanymi </w:t>
      </w:r>
      <w:proofErr w:type="spellStart"/>
      <w:r w:rsidRPr="00522969">
        <w:rPr>
          <w:rFonts w:ascii="Times New Roman" w:eastAsia="Times New Roman" w:hAnsi="Times New Roman" w:cs="Times New Roman"/>
          <w:sz w:val="24"/>
          <w:szCs w:val="24"/>
        </w:rPr>
        <w:t>kryptoaktywami</w:t>
      </w:r>
      <w:proofErr w:type="spellEnd"/>
      <w:r w:rsidRPr="00522969">
        <w:rPr>
          <w:rFonts w:ascii="Times New Roman" w:eastAsia="Times New Roman" w:hAnsi="Times New Roman" w:cs="Times New Roman"/>
          <w:sz w:val="24"/>
          <w:szCs w:val="24"/>
        </w:rPr>
        <w:t xml:space="preserve"> lub zawieszenia obrotu wskazanymi </w:t>
      </w:r>
      <w:proofErr w:type="spellStart"/>
      <w:r w:rsidRPr="00522969">
        <w:rPr>
          <w:rFonts w:ascii="Times New Roman" w:eastAsia="Times New Roman" w:hAnsi="Times New Roman" w:cs="Times New Roman"/>
          <w:sz w:val="24"/>
          <w:szCs w:val="24"/>
        </w:rPr>
        <w:t>kryptoaktywami</w:t>
      </w:r>
      <w:proofErr w:type="spellEnd"/>
      <w:r w:rsidRPr="00522969">
        <w:rPr>
          <w:rFonts w:ascii="Times New Roman" w:eastAsia="Times New Roman" w:hAnsi="Times New Roman" w:cs="Times New Roman"/>
          <w:sz w:val="24"/>
          <w:szCs w:val="24"/>
        </w:rPr>
        <w:t xml:space="preserve"> lub wykluczenia z obrotu wskazanych </w:t>
      </w:r>
      <w:proofErr w:type="spellStart"/>
      <w:r w:rsidRPr="00522969">
        <w:rPr>
          <w:rFonts w:ascii="Times New Roman" w:eastAsia="Times New Roman" w:hAnsi="Times New Roman" w:cs="Times New Roman"/>
          <w:sz w:val="24"/>
          <w:szCs w:val="24"/>
        </w:rPr>
        <w:t>kryptoaktywów</w:t>
      </w:r>
      <w:proofErr w:type="spellEnd"/>
      <w:r w:rsidRPr="00522969">
        <w:rPr>
          <w:rFonts w:ascii="Times New Roman" w:eastAsia="Times New Roman" w:hAnsi="Times New Roman" w:cs="Times New Roman"/>
          <w:sz w:val="24"/>
          <w:szCs w:val="24"/>
        </w:rPr>
        <w:t xml:space="preserve"> oraz o przyczynach, które je uzasadniają.</w:t>
      </w:r>
      <w:r>
        <w:rPr>
          <w:rFonts w:ascii="Times New Roman" w:eastAsia="Times New Roman" w:hAnsi="Times New Roman" w:cs="Times New Roman"/>
          <w:sz w:val="24"/>
          <w:szCs w:val="24"/>
        </w:rPr>
        <w:t xml:space="preserve"> </w:t>
      </w:r>
    </w:p>
    <w:p w14:paraId="108601A9" w14:textId="13AC6EFC"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FF2AFB">
        <w:rPr>
          <w:rFonts w:ascii="Times New Roman" w:hAnsi="Times New Roman" w:cs="Times New Roman"/>
          <w:sz w:val="24"/>
          <w:szCs w:val="24"/>
        </w:rPr>
        <w:t xml:space="preserve">Zgodnie z </w:t>
      </w:r>
      <w:r w:rsidRPr="00FF2AFB">
        <w:rPr>
          <w:rFonts w:ascii="Times New Roman" w:hAnsi="Times New Roman" w:cs="Times New Roman"/>
          <w:b/>
          <w:bCs/>
          <w:sz w:val="24"/>
          <w:szCs w:val="24"/>
        </w:rPr>
        <w:t xml:space="preserve">art. </w:t>
      </w:r>
      <w:r>
        <w:rPr>
          <w:rFonts w:ascii="Times New Roman" w:hAnsi="Times New Roman" w:cs="Times New Roman"/>
          <w:b/>
          <w:bCs/>
          <w:sz w:val="24"/>
          <w:szCs w:val="24"/>
        </w:rPr>
        <w:t>9</w:t>
      </w:r>
      <w:r w:rsidR="0065218B">
        <w:rPr>
          <w:rFonts w:ascii="Times New Roman" w:hAnsi="Times New Roman" w:cs="Times New Roman"/>
          <w:b/>
          <w:bCs/>
          <w:sz w:val="24"/>
          <w:szCs w:val="24"/>
        </w:rPr>
        <w:t>6</w:t>
      </w:r>
      <w:r w:rsidRPr="00FF2AFB">
        <w:rPr>
          <w:rFonts w:ascii="Times New Roman" w:hAnsi="Times New Roman" w:cs="Times New Roman"/>
          <w:sz w:val="24"/>
          <w:szCs w:val="24"/>
        </w:rPr>
        <w:t xml:space="preserve"> Komisja, w przypadku gdy wpływ wywierany przez akcjonariuszy</w:t>
      </w:r>
      <w:r>
        <w:rPr>
          <w:rFonts w:ascii="Times New Roman" w:hAnsi="Times New Roman" w:cs="Times New Roman"/>
          <w:sz w:val="24"/>
          <w:szCs w:val="24"/>
        </w:rPr>
        <w:t xml:space="preserve"> lub udziałowców</w:t>
      </w:r>
      <w:r w:rsidRPr="00FF2AFB">
        <w:rPr>
          <w:rFonts w:ascii="Times New Roman" w:hAnsi="Times New Roman" w:cs="Times New Roman"/>
          <w:sz w:val="24"/>
          <w:szCs w:val="24"/>
        </w:rPr>
        <w:t xml:space="preserve">, którzy posiadają znaczne pakiety akcji </w:t>
      </w:r>
      <w:r>
        <w:rPr>
          <w:rFonts w:ascii="Times New Roman" w:hAnsi="Times New Roman" w:cs="Times New Roman"/>
          <w:sz w:val="24"/>
          <w:szCs w:val="24"/>
        </w:rPr>
        <w:t xml:space="preserve">lub udziałów </w:t>
      </w:r>
      <w:r w:rsidRPr="00FF2AFB">
        <w:rPr>
          <w:rFonts w:ascii="Times New Roman" w:hAnsi="Times New Roman" w:cs="Times New Roman"/>
          <w:sz w:val="24"/>
          <w:szCs w:val="24"/>
        </w:rPr>
        <w:t xml:space="preserve">w dostawcy usług w zakresie </w:t>
      </w:r>
      <w:proofErr w:type="spellStart"/>
      <w:r w:rsidRPr="00FF2AFB">
        <w:rPr>
          <w:rFonts w:ascii="Times New Roman" w:hAnsi="Times New Roman" w:cs="Times New Roman"/>
          <w:sz w:val="24"/>
          <w:szCs w:val="24"/>
        </w:rPr>
        <w:t>kryptoaktywów</w:t>
      </w:r>
      <w:proofErr w:type="spellEnd"/>
      <w:r w:rsidRPr="00FF2AFB">
        <w:rPr>
          <w:rFonts w:ascii="Times New Roman" w:hAnsi="Times New Roman" w:cs="Times New Roman"/>
          <w:sz w:val="24"/>
          <w:szCs w:val="24"/>
        </w:rPr>
        <w:t xml:space="preserve">, może być niekorzystny dla prawidłowego i ostrożnego zarządzania tym dostawcą usług w zakresie </w:t>
      </w:r>
      <w:proofErr w:type="spellStart"/>
      <w:r w:rsidRPr="00FF2AFB">
        <w:rPr>
          <w:rFonts w:ascii="Times New Roman" w:hAnsi="Times New Roman" w:cs="Times New Roman"/>
          <w:sz w:val="24"/>
          <w:szCs w:val="24"/>
        </w:rPr>
        <w:t>kryptoaktywów</w:t>
      </w:r>
      <w:proofErr w:type="spellEnd"/>
      <w:r w:rsidRPr="00FF2AFB">
        <w:rPr>
          <w:rFonts w:ascii="Times New Roman" w:hAnsi="Times New Roman" w:cs="Times New Roman"/>
          <w:sz w:val="24"/>
          <w:szCs w:val="24"/>
        </w:rPr>
        <w:t>, może podjąć, w drodze decyzji, odpowiednie środki nadzorcze w celu przeciwdziałania tym ryzykom. Zgodnie z niniejszym przepisem tymi środkami może być nakazanie zaprzestania wywierania takiego wpływu, przy czym Komisja wskazuje termin oraz zakres podjęcia stosownych czynności</w:t>
      </w:r>
      <w:r>
        <w:rPr>
          <w:rFonts w:ascii="Times New Roman" w:hAnsi="Times New Roman" w:cs="Times New Roman"/>
          <w:sz w:val="24"/>
          <w:szCs w:val="24"/>
        </w:rPr>
        <w:t>,</w:t>
      </w:r>
      <w:r w:rsidRPr="00FF2AFB">
        <w:rPr>
          <w:rFonts w:ascii="Times New Roman" w:hAnsi="Times New Roman" w:cs="Times New Roman"/>
          <w:sz w:val="24"/>
          <w:szCs w:val="24"/>
        </w:rPr>
        <w:t xml:space="preserve"> lub nałożenie zakazu wykonywania prawa głosu przez akcjonariusza </w:t>
      </w:r>
      <w:r>
        <w:rPr>
          <w:rFonts w:ascii="Times New Roman" w:hAnsi="Times New Roman" w:cs="Times New Roman"/>
          <w:sz w:val="24"/>
          <w:szCs w:val="24"/>
        </w:rPr>
        <w:t xml:space="preserve">lub udziałowca </w:t>
      </w:r>
      <w:r w:rsidRPr="00FF2AFB">
        <w:rPr>
          <w:rFonts w:ascii="Times New Roman" w:hAnsi="Times New Roman" w:cs="Times New Roman"/>
          <w:sz w:val="24"/>
          <w:szCs w:val="24"/>
        </w:rPr>
        <w:t xml:space="preserve">z posiadanych akcji </w:t>
      </w:r>
      <w:r>
        <w:rPr>
          <w:rFonts w:ascii="Times New Roman" w:hAnsi="Times New Roman" w:cs="Times New Roman"/>
          <w:sz w:val="24"/>
          <w:szCs w:val="24"/>
        </w:rPr>
        <w:t xml:space="preserve">lub udziałów </w:t>
      </w:r>
      <w:r w:rsidRPr="00FF2AFB">
        <w:rPr>
          <w:rFonts w:ascii="Times New Roman" w:hAnsi="Times New Roman" w:cs="Times New Roman"/>
          <w:sz w:val="24"/>
          <w:szCs w:val="24"/>
        </w:rPr>
        <w:t xml:space="preserve">dostawcy usług w zakresie </w:t>
      </w:r>
      <w:proofErr w:type="spellStart"/>
      <w:r w:rsidRPr="00FF2AFB">
        <w:rPr>
          <w:rFonts w:ascii="Times New Roman" w:hAnsi="Times New Roman" w:cs="Times New Roman"/>
          <w:sz w:val="24"/>
          <w:szCs w:val="24"/>
        </w:rPr>
        <w:t>kryptoaktywów</w:t>
      </w:r>
      <w:proofErr w:type="spellEnd"/>
      <w:r w:rsidRPr="00FF2AFB">
        <w:rPr>
          <w:rFonts w:ascii="Times New Roman" w:hAnsi="Times New Roman" w:cs="Times New Roman"/>
          <w:sz w:val="24"/>
          <w:szCs w:val="24"/>
        </w:rPr>
        <w:t xml:space="preserve">. Komisja dokonując oceny, czy zachodzi przesłanka do tego zakazu </w:t>
      </w:r>
      <w:r>
        <w:rPr>
          <w:rFonts w:ascii="Times New Roman" w:hAnsi="Times New Roman" w:cs="Times New Roman"/>
          <w:sz w:val="24"/>
          <w:szCs w:val="24"/>
        </w:rPr>
        <w:t>będzie odpowiednio stosowała</w:t>
      </w:r>
      <w:r w:rsidRPr="00FF2AFB">
        <w:rPr>
          <w:rFonts w:ascii="Times New Roman" w:hAnsi="Times New Roman" w:cs="Times New Roman"/>
          <w:sz w:val="24"/>
          <w:szCs w:val="24"/>
        </w:rPr>
        <w:t xml:space="preserve"> przepisy art.</w:t>
      </w:r>
      <w:r w:rsidRPr="00FC3AF0">
        <w:rPr>
          <w:rFonts w:ascii="Times New Roman" w:eastAsia="Times New Roman" w:hAnsi="Times New Roman" w:cs="Arial"/>
          <w:sz w:val="24"/>
          <w:szCs w:val="20"/>
          <w:lang w:eastAsia="pl-PL"/>
        </w:rPr>
        <w:t xml:space="preserve"> art. 84 ust. 1 i 4 rozporządzenia 2023/1114</w:t>
      </w:r>
      <w:r w:rsidRPr="00FF2AFB">
        <w:rPr>
          <w:rFonts w:ascii="Times New Roman" w:hAnsi="Times New Roman" w:cs="Times New Roman"/>
          <w:sz w:val="24"/>
          <w:szCs w:val="24"/>
        </w:rPr>
        <w:t xml:space="preserve">. W ust. 3 wskazuje się, że </w:t>
      </w:r>
      <w:r>
        <w:rPr>
          <w:rFonts w:ascii="Times New Roman" w:hAnsi="Times New Roman" w:cs="Times New Roman"/>
          <w:sz w:val="24"/>
          <w:szCs w:val="24"/>
        </w:rPr>
        <w:t xml:space="preserve">w przypadku, o którym mowa w ust. 1 pkt 2, </w:t>
      </w:r>
      <w:r w:rsidRPr="00FF2AFB">
        <w:rPr>
          <w:rFonts w:ascii="Times New Roman" w:hAnsi="Times New Roman" w:cs="Times New Roman"/>
          <w:sz w:val="24"/>
          <w:szCs w:val="24"/>
        </w:rPr>
        <w:t xml:space="preserve">wykonywanie przez akcjonariusza </w:t>
      </w:r>
      <w:r>
        <w:rPr>
          <w:rFonts w:ascii="Times New Roman" w:hAnsi="Times New Roman" w:cs="Times New Roman"/>
          <w:sz w:val="24"/>
          <w:szCs w:val="24"/>
        </w:rPr>
        <w:t xml:space="preserve">lub udziałowca </w:t>
      </w:r>
      <w:r w:rsidRPr="00FF2AFB">
        <w:rPr>
          <w:rFonts w:ascii="Times New Roman" w:hAnsi="Times New Roman" w:cs="Times New Roman"/>
          <w:sz w:val="24"/>
          <w:szCs w:val="24"/>
        </w:rPr>
        <w:t xml:space="preserve">prawa głosu ze wszystkich posiadanych akcji </w:t>
      </w:r>
      <w:r>
        <w:rPr>
          <w:rFonts w:ascii="Times New Roman" w:hAnsi="Times New Roman" w:cs="Times New Roman"/>
          <w:sz w:val="24"/>
          <w:szCs w:val="24"/>
        </w:rPr>
        <w:t xml:space="preserve">lub udziałów </w:t>
      </w:r>
      <w:r w:rsidRPr="00FF2AFB">
        <w:rPr>
          <w:rFonts w:ascii="Times New Roman" w:hAnsi="Times New Roman" w:cs="Times New Roman"/>
          <w:sz w:val="24"/>
          <w:szCs w:val="24"/>
        </w:rPr>
        <w:t xml:space="preserve">dostawcy usług w zakresie </w:t>
      </w:r>
      <w:proofErr w:type="spellStart"/>
      <w:r w:rsidRPr="00FF2AFB">
        <w:rPr>
          <w:rFonts w:ascii="Times New Roman" w:hAnsi="Times New Roman" w:cs="Times New Roman"/>
          <w:sz w:val="24"/>
          <w:szCs w:val="24"/>
        </w:rPr>
        <w:t>kryptoaktywów</w:t>
      </w:r>
      <w:proofErr w:type="spellEnd"/>
      <w:r w:rsidRPr="00FF2AFB">
        <w:rPr>
          <w:rFonts w:ascii="Times New Roman" w:hAnsi="Times New Roman" w:cs="Times New Roman"/>
          <w:sz w:val="24"/>
          <w:szCs w:val="24"/>
        </w:rPr>
        <w:t xml:space="preserve"> jest bezskuteczne. Ponadto zgodnie z ust. 4 uchwała walnego zgromadzenia </w:t>
      </w:r>
      <w:r>
        <w:rPr>
          <w:rFonts w:ascii="Times New Roman" w:hAnsi="Times New Roman" w:cs="Times New Roman"/>
          <w:sz w:val="24"/>
          <w:szCs w:val="24"/>
        </w:rPr>
        <w:t xml:space="preserve">lub zgromadzenia wspólników </w:t>
      </w:r>
      <w:r w:rsidRPr="00FF2AFB">
        <w:rPr>
          <w:rFonts w:ascii="Times New Roman" w:hAnsi="Times New Roman" w:cs="Times New Roman"/>
          <w:sz w:val="24"/>
          <w:szCs w:val="24"/>
        </w:rPr>
        <w:t xml:space="preserve">dostawcy </w:t>
      </w:r>
      <w:r>
        <w:rPr>
          <w:rFonts w:ascii="Times New Roman" w:hAnsi="Times New Roman" w:cs="Times New Roman"/>
          <w:sz w:val="24"/>
          <w:szCs w:val="24"/>
        </w:rPr>
        <w:t xml:space="preserve">usług </w:t>
      </w:r>
      <w:r w:rsidRPr="00FF2AFB">
        <w:rPr>
          <w:rFonts w:ascii="Times New Roman" w:hAnsi="Times New Roman" w:cs="Times New Roman"/>
          <w:sz w:val="24"/>
          <w:szCs w:val="24"/>
        </w:rPr>
        <w:t xml:space="preserve">w zakresie </w:t>
      </w:r>
      <w:proofErr w:type="spellStart"/>
      <w:r w:rsidRPr="00FF2AFB">
        <w:rPr>
          <w:rFonts w:ascii="Times New Roman" w:hAnsi="Times New Roman" w:cs="Times New Roman"/>
          <w:sz w:val="24"/>
          <w:szCs w:val="24"/>
        </w:rPr>
        <w:t>kryptoaktywów</w:t>
      </w:r>
      <w:proofErr w:type="spellEnd"/>
      <w:r w:rsidRPr="00FF2AFB">
        <w:rPr>
          <w:rFonts w:ascii="Times New Roman" w:hAnsi="Times New Roman" w:cs="Times New Roman"/>
          <w:sz w:val="24"/>
          <w:szCs w:val="24"/>
        </w:rPr>
        <w:t xml:space="preserve"> uznawana jest za nieważną, jeżeli przy jej podejmowaniu wykonano prawo głosu z </w:t>
      </w:r>
      <w:r>
        <w:rPr>
          <w:rFonts w:ascii="Times New Roman" w:hAnsi="Times New Roman" w:cs="Times New Roman"/>
          <w:sz w:val="24"/>
          <w:szCs w:val="24"/>
        </w:rPr>
        <w:t>udziałów lub akcji</w:t>
      </w:r>
      <w:r w:rsidRPr="00FF2AFB">
        <w:rPr>
          <w:rFonts w:ascii="Times New Roman" w:hAnsi="Times New Roman" w:cs="Times New Roman"/>
          <w:sz w:val="24"/>
          <w:szCs w:val="24"/>
        </w:rPr>
        <w:t xml:space="preserve">, w stosunku do których Komisja wydała na podstawie niniejszego przepisu decyzję w przedmiocie zakazu wykonywania prawa głosu, chyba że uchwała spełnia wymogi kworum oraz większości głosów oddanych bez uwzględnienia głosów nieważnych. Prawo wytoczenia powództwa o stwierdzenie nieważności uchwały </w:t>
      </w:r>
      <w:r>
        <w:rPr>
          <w:rFonts w:ascii="Times New Roman" w:hAnsi="Times New Roman" w:cs="Times New Roman"/>
          <w:sz w:val="24"/>
          <w:szCs w:val="24"/>
        </w:rPr>
        <w:t xml:space="preserve">będzie </w:t>
      </w:r>
      <w:r w:rsidRPr="00FF2AFB">
        <w:rPr>
          <w:rFonts w:ascii="Times New Roman" w:hAnsi="Times New Roman" w:cs="Times New Roman"/>
          <w:sz w:val="24"/>
          <w:szCs w:val="24"/>
        </w:rPr>
        <w:t>przysług</w:t>
      </w:r>
      <w:r>
        <w:rPr>
          <w:rFonts w:ascii="Times New Roman" w:hAnsi="Times New Roman" w:cs="Times New Roman"/>
          <w:sz w:val="24"/>
          <w:szCs w:val="24"/>
        </w:rPr>
        <w:t>iwało</w:t>
      </w:r>
      <w:r w:rsidRPr="00FF2AFB">
        <w:rPr>
          <w:rFonts w:ascii="Times New Roman" w:hAnsi="Times New Roman" w:cs="Times New Roman"/>
          <w:sz w:val="24"/>
          <w:szCs w:val="24"/>
        </w:rPr>
        <w:t xml:space="preserve"> również Komisji. Dodatkowo przepis wskazuje, że przepisy </w:t>
      </w:r>
      <w:r>
        <w:rPr>
          <w:rFonts w:ascii="Times New Roman" w:hAnsi="Times New Roman" w:cs="Times New Roman"/>
          <w:sz w:val="24"/>
          <w:szCs w:val="24"/>
        </w:rPr>
        <w:t xml:space="preserve">art. 252 i </w:t>
      </w:r>
      <w:r w:rsidRPr="00FF2AFB">
        <w:rPr>
          <w:rFonts w:ascii="Times New Roman" w:hAnsi="Times New Roman" w:cs="Times New Roman"/>
          <w:sz w:val="24"/>
          <w:szCs w:val="24"/>
        </w:rPr>
        <w:t>art.</w:t>
      </w:r>
      <w:r>
        <w:rPr>
          <w:rFonts w:ascii="Times New Roman" w:hAnsi="Times New Roman" w:cs="Times New Roman"/>
          <w:sz w:val="24"/>
          <w:szCs w:val="24"/>
        </w:rPr>
        <w:t> </w:t>
      </w:r>
      <w:r w:rsidRPr="00FF2AFB">
        <w:rPr>
          <w:rFonts w:ascii="Times New Roman" w:hAnsi="Times New Roman" w:cs="Times New Roman"/>
          <w:sz w:val="24"/>
          <w:szCs w:val="24"/>
        </w:rPr>
        <w:t xml:space="preserve">425 ustawy z dnia 15 września 2000 r. − Kodeks spółek handlowych stosuje się odpowiednio. Przepis ust. 6 </w:t>
      </w:r>
      <w:r>
        <w:rPr>
          <w:rFonts w:ascii="Times New Roman" w:hAnsi="Times New Roman" w:cs="Times New Roman"/>
          <w:sz w:val="24"/>
          <w:szCs w:val="24"/>
        </w:rPr>
        <w:t>precyzuje, że w przypadku zakazu</w:t>
      </w:r>
      <w:r w:rsidRPr="0035252B">
        <w:rPr>
          <w:rFonts w:ascii="Times New Roman" w:hAnsi="Times New Roman" w:cs="Arial"/>
          <w:sz w:val="24"/>
          <w:szCs w:val="20"/>
          <w:lang w:eastAsia="pl-PL"/>
        </w:rPr>
        <w:t xml:space="preserve"> </w:t>
      </w:r>
      <w:r w:rsidRPr="0035252B">
        <w:rPr>
          <w:rFonts w:ascii="Times New Roman" w:hAnsi="Times New Roman" w:cs="Times New Roman"/>
          <w:sz w:val="24"/>
          <w:szCs w:val="24"/>
        </w:rPr>
        <w:t xml:space="preserve">wykonywania prawa głosu przez udziałowca </w:t>
      </w:r>
      <w:r>
        <w:rPr>
          <w:rFonts w:ascii="Times New Roman" w:hAnsi="Times New Roman" w:cs="Times New Roman"/>
          <w:sz w:val="24"/>
          <w:szCs w:val="24"/>
        </w:rPr>
        <w:t xml:space="preserve">lub akcjonariusza </w:t>
      </w:r>
      <w:r w:rsidRPr="0035252B">
        <w:rPr>
          <w:rFonts w:ascii="Times New Roman" w:hAnsi="Times New Roman" w:cs="Times New Roman"/>
          <w:sz w:val="24"/>
          <w:szCs w:val="24"/>
        </w:rPr>
        <w:t xml:space="preserve">z posiadanych udziałów </w:t>
      </w:r>
      <w:r>
        <w:rPr>
          <w:rFonts w:ascii="Times New Roman" w:hAnsi="Times New Roman" w:cs="Times New Roman"/>
          <w:sz w:val="24"/>
          <w:szCs w:val="24"/>
        </w:rPr>
        <w:t xml:space="preserve">lub akcji </w:t>
      </w:r>
      <w:r w:rsidRPr="0035252B">
        <w:rPr>
          <w:rFonts w:ascii="Times New Roman" w:hAnsi="Times New Roman" w:cs="Times New Roman"/>
          <w:sz w:val="24"/>
          <w:szCs w:val="24"/>
        </w:rPr>
        <w:t xml:space="preserve">dostawcy usług w zakresie </w:t>
      </w:r>
      <w:proofErr w:type="spellStart"/>
      <w:r w:rsidRPr="0035252B">
        <w:rPr>
          <w:rFonts w:ascii="Times New Roman" w:hAnsi="Times New Roman" w:cs="Times New Roman"/>
          <w:sz w:val="24"/>
          <w:szCs w:val="24"/>
        </w:rPr>
        <w:t>kryptoaktywów</w:t>
      </w:r>
      <w:proofErr w:type="spellEnd"/>
      <w:r>
        <w:rPr>
          <w:rFonts w:ascii="Times New Roman" w:hAnsi="Times New Roman" w:cs="Times New Roman"/>
          <w:sz w:val="24"/>
          <w:szCs w:val="24"/>
        </w:rPr>
        <w:t>, Komisja może nakazać zbycie udziałów lub akcji w wyznaczonym terminie. Ust.</w:t>
      </w:r>
      <w:r w:rsidRPr="00FF2AFB">
        <w:rPr>
          <w:rFonts w:ascii="Times New Roman" w:hAnsi="Times New Roman" w:cs="Times New Roman"/>
          <w:sz w:val="24"/>
          <w:szCs w:val="24"/>
        </w:rPr>
        <w:t xml:space="preserve"> 7 wskazuj</w:t>
      </w:r>
      <w:r>
        <w:rPr>
          <w:rFonts w:ascii="Times New Roman" w:hAnsi="Times New Roman" w:cs="Times New Roman"/>
          <w:sz w:val="24"/>
          <w:szCs w:val="24"/>
        </w:rPr>
        <w:t>e</w:t>
      </w:r>
      <w:r w:rsidRPr="00FF2AFB">
        <w:rPr>
          <w:rFonts w:ascii="Times New Roman" w:hAnsi="Times New Roman" w:cs="Times New Roman"/>
          <w:sz w:val="24"/>
          <w:szCs w:val="24"/>
        </w:rPr>
        <w:t xml:space="preserve"> jakie będą konsekwencje w przypadku niezastosowania się do decyzji Komisji, o której mowa w ust. </w:t>
      </w:r>
      <w:r>
        <w:rPr>
          <w:rFonts w:ascii="Times New Roman" w:hAnsi="Times New Roman" w:cs="Times New Roman"/>
          <w:sz w:val="24"/>
          <w:szCs w:val="24"/>
        </w:rPr>
        <w:t>6</w:t>
      </w:r>
      <w:r w:rsidRPr="00FF2AFB">
        <w:rPr>
          <w:rFonts w:ascii="Times New Roman" w:hAnsi="Times New Roman" w:cs="Times New Roman"/>
          <w:sz w:val="24"/>
          <w:szCs w:val="24"/>
        </w:rPr>
        <w:t xml:space="preserve">. Art. 68 ust. 3 rozporządzenia 2023/1114 dotyczy wpływu wywieranego również przez udziałowców. </w:t>
      </w:r>
      <w:r>
        <w:rPr>
          <w:rFonts w:ascii="Times New Roman" w:hAnsi="Times New Roman" w:cs="Times New Roman"/>
          <w:sz w:val="24"/>
          <w:szCs w:val="24"/>
        </w:rPr>
        <w:t xml:space="preserve">Zgodnie z ust. 8 przepisów ust. 1–7 nie stosuje się do dostawców 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o których mowa w art. 59 ust. 1 lit. b rozporządzenia 2023/1114</w:t>
      </w:r>
      <w:r w:rsidRPr="00FF2AFB">
        <w:rPr>
          <w:rFonts w:ascii="Times New Roman" w:hAnsi="Times New Roman" w:cs="Times New Roman"/>
          <w:sz w:val="24"/>
          <w:szCs w:val="24"/>
        </w:rPr>
        <w:t>. Ust.</w:t>
      </w:r>
      <w:r>
        <w:rPr>
          <w:rFonts w:ascii="Times New Roman" w:hAnsi="Times New Roman" w:cs="Times New Roman"/>
          <w:sz w:val="24"/>
          <w:szCs w:val="24"/>
        </w:rPr>
        <w:t> </w:t>
      </w:r>
      <w:r w:rsidRPr="00FF2AFB">
        <w:rPr>
          <w:rFonts w:ascii="Times New Roman" w:hAnsi="Times New Roman" w:cs="Times New Roman"/>
          <w:sz w:val="24"/>
          <w:szCs w:val="24"/>
        </w:rPr>
        <w:t>9 wskazuje, że decyzje</w:t>
      </w:r>
      <w:r>
        <w:rPr>
          <w:rFonts w:ascii="Times New Roman" w:hAnsi="Times New Roman" w:cs="Times New Roman"/>
          <w:sz w:val="24"/>
          <w:szCs w:val="24"/>
        </w:rPr>
        <w:t xml:space="preserve"> w sprawach</w:t>
      </w:r>
      <w:r w:rsidRPr="00FF2AFB">
        <w:rPr>
          <w:rFonts w:ascii="Times New Roman" w:hAnsi="Times New Roman" w:cs="Times New Roman"/>
          <w:sz w:val="24"/>
          <w:szCs w:val="24"/>
        </w:rPr>
        <w:t>, o których mowa w ust. 1, podlegają natychmiastowemu wykonaniu.</w:t>
      </w:r>
    </w:p>
    <w:p w14:paraId="7FFA7866" w14:textId="592A647B"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D17FDB">
        <w:rPr>
          <w:rFonts w:ascii="Times New Roman" w:hAnsi="Times New Roman" w:cs="Times New Roman"/>
          <w:b/>
          <w:bCs/>
          <w:sz w:val="24"/>
          <w:szCs w:val="24"/>
        </w:rPr>
        <w:t>Art. 9</w:t>
      </w:r>
      <w:r w:rsidR="0065218B">
        <w:rPr>
          <w:rFonts w:ascii="Times New Roman" w:hAnsi="Times New Roman" w:cs="Times New Roman"/>
          <w:b/>
          <w:bCs/>
          <w:sz w:val="24"/>
          <w:szCs w:val="24"/>
        </w:rPr>
        <w:t>7</w:t>
      </w:r>
      <w:r w:rsidRPr="00D17FDB">
        <w:rPr>
          <w:rFonts w:ascii="Times New Roman" w:hAnsi="Times New Roman" w:cs="Times New Roman"/>
          <w:sz w:val="24"/>
          <w:szCs w:val="24"/>
        </w:rPr>
        <w:t xml:space="preserve"> służy rozszerzeniu środków nadzorczych na podstawie art. 94 ust. 1 rozporządzenia 2023/1114, który zezwala na przyjęcie dodatkowych uprawnień nadzorczych i dochodzeniowych w prawie krajowym, celem realizacji obowiązków spoczywających na nich na mocy tytułów II–VI tego rozporządzenia. Projektowany przepis urzeczywistnia zasadę transparentności </w:t>
      </w:r>
      <w:r>
        <w:rPr>
          <w:rFonts w:ascii="Times New Roman" w:hAnsi="Times New Roman" w:cs="Times New Roman"/>
          <w:sz w:val="24"/>
          <w:szCs w:val="24"/>
        </w:rPr>
        <w:t>uprawniając</w:t>
      </w:r>
      <w:r w:rsidRPr="00D17FDB">
        <w:rPr>
          <w:rFonts w:ascii="Times New Roman" w:hAnsi="Times New Roman" w:cs="Times New Roman"/>
          <w:sz w:val="24"/>
          <w:szCs w:val="24"/>
        </w:rPr>
        <w:t xml:space="preserve"> Komisję do podawania do publicznej wiadomości </w:t>
      </w:r>
      <w:r>
        <w:rPr>
          <w:rFonts w:ascii="Times New Roman" w:hAnsi="Times New Roman" w:cs="Times New Roman"/>
          <w:sz w:val="24"/>
          <w:szCs w:val="24"/>
        </w:rPr>
        <w:t xml:space="preserve">istotnych </w:t>
      </w:r>
      <w:r w:rsidRPr="00D17FDB">
        <w:rPr>
          <w:rFonts w:ascii="Times New Roman" w:hAnsi="Times New Roman" w:cs="Times New Roman"/>
          <w:sz w:val="24"/>
          <w:szCs w:val="24"/>
        </w:rPr>
        <w:t xml:space="preserve">informacji, które mogą </w:t>
      </w:r>
      <w:r>
        <w:rPr>
          <w:rFonts w:ascii="Times New Roman" w:hAnsi="Times New Roman" w:cs="Times New Roman"/>
          <w:sz w:val="24"/>
          <w:szCs w:val="24"/>
        </w:rPr>
        <w:t>mieć wpływ</w:t>
      </w:r>
      <w:r w:rsidRPr="00D17FDB">
        <w:rPr>
          <w:rFonts w:ascii="Times New Roman" w:hAnsi="Times New Roman" w:cs="Times New Roman"/>
          <w:sz w:val="24"/>
          <w:szCs w:val="24"/>
        </w:rPr>
        <w:t xml:space="preserve"> na ocenę </w:t>
      </w:r>
      <w:proofErr w:type="spellStart"/>
      <w:r w:rsidRPr="00D17FDB">
        <w:rPr>
          <w:rFonts w:ascii="Times New Roman" w:hAnsi="Times New Roman" w:cs="Times New Roman"/>
          <w:sz w:val="24"/>
          <w:szCs w:val="24"/>
        </w:rPr>
        <w:t>kryptoaktywów</w:t>
      </w:r>
      <w:proofErr w:type="spellEnd"/>
      <w:r w:rsidRPr="00D17FDB">
        <w:rPr>
          <w:rFonts w:ascii="Times New Roman" w:hAnsi="Times New Roman" w:cs="Times New Roman"/>
          <w:sz w:val="24"/>
          <w:szCs w:val="24"/>
        </w:rPr>
        <w:t xml:space="preserve"> będących przedmiot</w:t>
      </w:r>
      <w:r>
        <w:rPr>
          <w:rFonts w:ascii="Times New Roman" w:hAnsi="Times New Roman" w:cs="Times New Roman"/>
          <w:sz w:val="24"/>
          <w:szCs w:val="24"/>
        </w:rPr>
        <w:t>em</w:t>
      </w:r>
      <w:r w:rsidRPr="00D17FDB">
        <w:rPr>
          <w:rFonts w:ascii="Times New Roman" w:hAnsi="Times New Roman" w:cs="Times New Roman"/>
          <w:sz w:val="24"/>
          <w:szCs w:val="24"/>
        </w:rPr>
        <w:t xml:space="preserve"> oferty publicznej, już dopuszczonych do obrotu </w:t>
      </w:r>
      <w:r>
        <w:rPr>
          <w:rFonts w:ascii="Times New Roman" w:hAnsi="Times New Roman" w:cs="Times New Roman"/>
          <w:sz w:val="24"/>
          <w:szCs w:val="24"/>
        </w:rPr>
        <w:t>albo na</w:t>
      </w:r>
      <w:r w:rsidRPr="00D17FDB">
        <w:rPr>
          <w:rFonts w:ascii="Times New Roman" w:hAnsi="Times New Roman" w:cs="Times New Roman"/>
          <w:sz w:val="24"/>
          <w:szCs w:val="24"/>
        </w:rPr>
        <w:t xml:space="preserve"> funkcjonowani</w:t>
      </w:r>
      <w:r>
        <w:rPr>
          <w:rFonts w:ascii="Times New Roman" w:hAnsi="Times New Roman" w:cs="Times New Roman"/>
          <w:sz w:val="24"/>
          <w:szCs w:val="24"/>
        </w:rPr>
        <w:t>e</w:t>
      </w:r>
      <w:r w:rsidRPr="00D17FDB">
        <w:rPr>
          <w:rFonts w:ascii="Times New Roman" w:hAnsi="Times New Roman" w:cs="Times New Roman"/>
          <w:sz w:val="24"/>
          <w:szCs w:val="24"/>
        </w:rPr>
        <w:t xml:space="preserve"> rynku </w:t>
      </w:r>
      <w:proofErr w:type="spellStart"/>
      <w:r w:rsidRPr="00D17FDB">
        <w:rPr>
          <w:rFonts w:ascii="Times New Roman" w:hAnsi="Times New Roman" w:cs="Times New Roman"/>
          <w:sz w:val="24"/>
          <w:szCs w:val="24"/>
        </w:rPr>
        <w:t>kryptoaktywów</w:t>
      </w:r>
      <w:proofErr w:type="spellEnd"/>
      <w:r w:rsidRPr="00D17FDB">
        <w:rPr>
          <w:rFonts w:ascii="Times New Roman" w:hAnsi="Times New Roman" w:cs="Times New Roman"/>
          <w:sz w:val="24"/>
          <w:szCs w:val="24"/>
        </w:rPr>
        <w:t>,</w:t>
      </w:r>
      <w:r>
        <w:rPr>
          <w:rFonts w:ascii="Times New Roman" w:hAnsi="Times New Roman" w:cs="Times New Roman"/>
          <w:sz w:val="24"/>
          <w:szCs w:val="24"/>
        </w:rPr>
        <w:t xml:space="preserve"> </w:t>
      </w:r>
      <w:r w:rsidRPr="0018156C">
        <w:rPr>
          <w:rFonts w:ascii="Times New Roman" w:hAnsi="Times New Roman" w:cs="Times New Roman"/>
          <w:sz w:val="24"/>
          <w:szCs w:val="24"/>
        </w:rPr>
        <w:t xml:space="preserve">aby zapewnić ochronę interesów posiadaczy </w:t>
      </w:r>
      <w:proofErr w:type="spellStart"/>
      <w:r w:rsidRPr="0018156C">
        <w:rPr>
          <w:rFonts w:ascii="Times New Roman" w:hAnsi="Times New Roman" w:cs="Times New Roman"/>
          <w:sz w:val="24"/>
          <w:szCs w:val="24"/>
        </w:rPr>
        <w:t>kryptoaktywów</w:t>
      </w:r>
      <w:proofErr w:type="spellEnd"/>
      <w:r w:rsidRPr="0018156C">
        <w:rPr>
          <w:rFonts w:ascii="Times New Roman" w:hAnsi="Times New Roman" w:cs="Times New Roman"/>
          <w:sz w:val="24"/>
          <w:szCs w:val="24"/>
        </w:rPr>
        <w:t>, w szczególności posiadaczy detalicznych, lub na sprawne działanie tego rynku</w:t>
      </w:r>
      <w:r>
        <w:rPr>
          <w:rFonts w:ascii="Times New Roman" w:hAnsi="Times New Roman" w:cs="Times New Roman"/>
          <w:sz w:val="24"/>
          <w:szCs w:val="24"/>
        </w:rPr>
        <w:t>,</w:t>
      </w:r>
      <w:r w:rsidRPr="00D17FDB">
        <w:rPr>
          <w:rFonts w:ascii="Times New Roman" w:hAnsi="Times New Roman" w:cs="Times New Roman"/>
          <w:sz w:val="24"/>
          <w:szCs w:val="24"/>
        </w:rPr>
        <w:t xml:space="preserve"> przez zamieszczenie </w:t>
      </w:r>
      <w:r>
        <w:rPr>
          <w:rFonts w:ascii="Times New Roman" w:hAnsi="Times New Roman" w:cs="Times New Roman"/>
          <w:sz w:val="24"/>
          <w:szCs w:val="24"/>
        </w:rPr>
        <w:t>tych informacji</w:t>
      </w:r>
      <w:r w:rsidRPr="00D17FDB">
        <w:rPr>
          <w:rFonts w:ascii="Times New Roman" w:hAnsi="Times New Roman" w:cs="Times New Roman"/>
          <w:sz w:val="24"/>
          <w:szCs w:val="24"/>
        </w:rPr>
        <w:t xml:space="preserve"> na stronie internetowej Komisji. Celem niniejszego przepisu jest ochrona klientów i zapewnienie prawidłowego funkcjonowania rynku, co jest zgodne z art. 94 ust. 1 lit. s rozporządzenia 2023/1114. Zauważyć należy, że KNF może wydać podmiotowi nadzorowanemu lub trzeciemu</w:t>
      </w:r>
      <w:r>
        <w:rPr>
          <w:rFonts w:ascii="Times New Roman" w:hAnsi="Times New Roman" w:cs="Times New Roman"/>
          <w:sz w:val="24"/>
          <w:szCs w:val="24"/>
        </w:rPr>
        <w:t xml:space="preserve">, </w:t>
      </w:r>
      <w:r w:rsidRPr="00C21177">
        <w:rPr>
          <w:rFonts w:ascii="Times New Roman" w:hAnsi="Times New Roman" w:cs="Times New Roman"/>
          <w:sz w:val="24"/>
          <w:szCs w:val="24"/>
        </w:rPr>
        <w:t xml:space="preserve">któremu dostawca usług w zakresie </w:t>
      </w:r>
      <w:proofErr w:type="spellStart"/>
      <w:r w:rsidRPr="00C21177">
        <w:rPr>
          <w:rFonts w:ascii="Times New Roman" w:hAnsi="Times New Roman" w:cs="Times New Roman"/>
          <w:sz w:val="24"/>
          <w:szCs w:val="24"/>
        </w:rPr>
        <w:t>kryptoaktywów</w:t>
      </w:r>
      <w:proofErr w:type="spellEnd"/>
      <w:r w:rsidRPr="00C21177">
        <w:rPr>
          <w:rFonts w:ascii="Times New Roman" w:hAnsi="Times New Roman" w:cs="Times New Roman"/>
          <w:sz w:val="24"/>
          <w:szCs w:val="24"/>
        </w:rPr>
        <w:t xml:space="preserve"> zlecił wykonywanie czynności związanych z usługą w zakresie </w:t>
      </w:r>
      <w:proofErr w:type="spellStart"/>
      <w:r w:rsidRPr="00C21177">
        <w:rPr>
          <w:rFonts w:ascii="Times New Roman" w:hAnsi="Times New Roman" w:cs="Times New Roman"/>
          <w:sz w:val="24"/>
          <w:szCs w:val="24"/>
        </w:rPr>
        <w:t>kryptoaktywów</w:t>
      </w:r>
      <w:proofErr w:type="spellEnd"/>
      <w:r w:rsidRPr="00C21177">
        <w:rPr>
          <w:rFonts w:ascii="Times New Roman" w:hAnsi="Times New Roman" w:cs="Times New Roman"/>
          <w:sz w:val="24"/>
          <w:szCs w:val="24"/>
        </w:rPr>
        <w:t xml:space="preserve"> na zasadach określonych w art. 73 rozporządzenia 2023/1114,</w:t>
      </w:r>
      <w:r w:rsidRPr="00D17FDB">
        <w:rPr>
          <w:rFonts w:ascii="Times New Roman" w:hAnsi="Times New Roman" w:cs="Times New Roman"/>
          <w:sz w:val="24"/>
          <w:szCs w:val="24"/>
        </w:rPr>
        <w:t xml:space="preserve"> zalecenie opublikowania przez nich informacji</w:t>
      </w:r>
      <w:r>
        <w:rPr>
          <w:rFonts w:ascii="Times New Roman" w:hAnsi="Times New Roman" w:cs="Times New Roman"/>
          <w:sz w:val="24"/>
          <w:szCs w:val="24"/>
        </w:rPr>
        <w:t xml:space="preserve"> na ich stronach internetowych, </w:t>
      </w:r>
      <w:r w:rsidRPr="00D17FDB">
        <w:rPr>
          <w:rFonts w:ascii="Times New Roman" w:hAnsi="Times New Roman" w:cs="Times New Roman"/>
          <w:sz w:val="24"/>
          <w:szCs w:val="24"/>
        </w:rPr>
        <w:t>które mogą wpłynąć na ocenę wcześniej wspomnianych elementów</w:t>
      </w:r>
      <w:r>
        <w:rPr>
          <w:rFonts w:ascii="Times New Roman" w:hAnsi="Times New Roman" w:cs="Times New Roman"/>
          <w:sz w:val="24"/>
          <w:szCs w:val="24"/>
        </w:rPr>
        <w:t xml:space="preserve"> (ust. 1)</w:t>
      </w:r>
      <w:r w:rsidRPr="00D17FDB">
        <w:rPr>
          <w:rFonts w:ascii="Times New Roman" w:hAnsi="Times New Roman" w:cs="Times New Roman"/>
          <w:sz w:val="24"/>
          <w:szCs w:val="24"/>
        </w:rPr>
        <w:t>.</w:t>
      </w:r>
      <w:r>
        <w:rPr>
          <w:rFonts w:ascii="Times New Roman" w:hAnsi="Times New Roman" w:cs="Times New Roman"/>
          <w:sz w:val="24"/>
          <w:szCs w:val="24"/>
        </w:rPr>
        <w:t xml:space="preserve"> Dodatkowo Komisja określa również zakres tych informacji i okres, przez który będą dostępne na tych stronach internetowych. </w:t>
      </w:r>
    </w:p>
    <w:p w14:paraId="46E9D040" w14:textId="4A5D9F98"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D17FDB">
        <w:rPr>
          <w:rFonts w:ascii="Times New Roman" w:hAnsi="Times New Roman" w:cs="Times New Roman"/>
          <w:b/>
          <w:bCs/>
          <w:sz w:val="24"/>
          <w:szCs w:val="24"/>
        </w:rPr>
        <w:t>Art. 9</w:t>
      </w:r>
      <w:r w:rsidR="0065218B">
        <w:rPr>
          <w:rFonts w:ascii="Times New Roman" w:hAnsi="Times New Roman" w:cs="Times New Roman"/>
          <w:b/>
          <w:bCs/>
          <w:sz w:val="24"/>
          <w:szCs w:val="24"/>
        </w:rPr>
        <w:t>8</w:t>
      </w:r>
      <w:r w:rsidRPr="00D17FDB">
        <w:rPr>
          <w:rFonts w:ascii="Times New Roman" w:hAnsi="Times New Roman" w:cs="Times New Roman"/>
          <w:sz w:val="24"/>
          <w:szCs w:val="24"/>
        </w:rPr>
        <w:t>, który służy zapewnieniu stosowania art. 94 ust. 3 lit. h rozporządzenia 2023/1114, wyposaża KNF w uprawnienia do prostowania fałszywych lub wprowadzających w błąd informacji podanych do publicznej wiadomości</w:t>
      </w:r>
      <w:r w:rsidRPr="0003532E">
        <w:t xml:space="preserve"> </w:t>
      </w:r>
      <w:r w:rsidRPr="00D17FDB">
        <w:rPr>
          <w:rFonts w:ascii="Times New Roman" w:hAnsi="Times New Roman" w:cs="Times New Roman"/>
          <w:sz w:val="24"/>
          <w:szCs w:val="24"/>
        </w:rPr>
        <w:t xml:space="preserve">poprzez zamieszczenie tego sprostowania na swojej stronie internetowej </w:t>
      </w:r>
      <w:r>
        <w:rPr>
          <w:rFonts w:ascii="Times New Roman" w:hAnsi="Times New Roman" w:cs="Times New Roman"/>
          <w:sz w:val="24"/>
          <w:szCs w:val="24"/>
        </w:rPr>
        <w:t>albo</w:t>
      </w:r>
      <w:r w:rsidRPr="00D17FDB">
        <w:rPr>
          <w:rFonts w:ascii="Times New Roman" w:hAnsi="Times New Roman" w:cs="Times New Roman"/>
          <w:sz w:val="24"/>
          <w:szCs w:val="24"/>
        </w:rPr>
        <w:t xml:space="preserve"> zobowiązania podmiotów nadzorowanych lub innych osób, które opublikowały i rozpowszechniły fałszywe, tudzież wprowadzające w błąd informacje do niezwłocznego sprostowania tych informacji i podania tego sprostowania do publicznej wiadomości. Wskazany został minimalny </w:t>
      </w:r>
      <w:r>
        <w:rPr>
          <w:rFonts w:ascii="Times New Roman" w:hAnsi="Times New Roman" w:cs="Times New Roman"/>
          <w:sz w:val="24"/>
          <w:szCs w:val="24"/>
        </w:rPr>
        <w:t>okres</w:t>
      </w:r>
      <w:r w:rsidRPr="00D17FDB">
        <w:rPr>
          <w:rFonts w:ascii="Times New Roman" w:hAnsi="Times New Roman" w:cs="Times New Roman"/>
          <w:sz w:val="24"/>
          <w:szCs w:val="24"/>
        </w:rPr>
        <w:t>, w którym sprostowanie będzie dostępne na stronie internetowej Komisji</w:t>
      </w:r>
      <w:r>
        <w:rPr>
          <w:rFonts w:ascii="Times New Roman" w:hAnsi="Times New Roman" w:cs="Times New Roman"/>
          <w:sz w:val="24"/>
          <w:szCs w:val="24"/>
        </w:rPr>
        <w:t xml:space="preserve"> </w:t>
      </w:r>
      <w:r w:rsidRPr="00D17FDB">
        <w:rPr>
          <w:rFonts w:ascii="Times New Roman" w:hAnsi="Times New Roman" w:cs="Times New Roman"/>
          <w:sz w:val="24"/>
          <w:szCs w:val="24"/>
        </w:rPr>
        <w:t>(rok</w:t>
      </w:r>
      <w:r w:rsidRPr="00CC49DB">
        <w:rPr>
          <w:rFonts w:ascii="Times New Roman" w:hAnsi="Times New Roman" w:cs="Times New Roman"/>
          <w:sz w:val="24"/>
          <w:szCs w:val="24"/>
        </w:rPr>
        <w:t xml:space="preserve"> </w:t>
      </w:r>
      <w:r w:rsidRPr="00D17FDB">
        <w:rPr>
          <w:rFonts w:ascii="Times New Roman" w:hAnsi="Times New Roman" w:cs="Times New Roman"/>
          <w:sz w:val="24"/>
          <w:szCs w:val="24"/>
        </w:rPr>
        <w:t xml:space="preserve">od dnia jego udostępnienia). Podanie do publicznej wiadomości ww. sprostowania </w:t>
      </w:r>
      <w:r>
        <w:rPr>
          <w:rFonts w:ascii="Times New Roman" w:hAnsi="Times New Roman" w:cs="Times New Roman"/>
          <w:sz w:val="24"/>
          <w:szCs w:val="24"/>
        </w:rPr>
        <w:t xml:space="preserve">będzie następowało </w:t>
      </w:r>
      <w:r w:rsidRPr="00D17FDB">
        <w:rPr>
          <w:rFonts w:ascii="Times New Roman" w:hAnsi="Times New Roman" w:cs="Times New Roman"/>
          <w:sz w:val="24"/>
          <w:szCs w:val="24"/>
        </w:rPr>
        <w:t>za pośrednictwem agencji informacyjnej, o której mowa w art. 58 ustawy o ofercie publicznej. Koszt podania sprostowania do publicznej wiadomości za pośrednictwem agencji informacyjnej</w:t>
      </w:r>
      <w:r>
        <w:rPr>
          <w:rFonts w:ascii="Times New Roman" w:hAnsi="Times New Roman" w:cs="Times New Roman"/>
          <w:sz w:val="24"/>
          <w:szCs w:val="24"/>
        </w:rPr>
        <w:t xml:space="preserve"> będzie</w:t>
      </w:r>
      <w:r w:rsidRPr="00D17FDB">
        <w:rPr>
          <w:rFonts w:ascii="Times New Roman" w:hAnsi="Times New Roman" w:cs="Times New Roman"/>
          <w:sz w:val="24"/>
          <w:szCs w:val="24"/>
        </w:rPr>
        <w:t xml:space="preserve"> ponosi</w:t>
      </w:r>
      <w:r>
        <w:rPr>
          <w:rFonts w:ascii="Times New Roman" w:hAnsi="Times New Roman" w:cs="Times New Roman"/>
          <w:sz w:val="24"/>
          <w:szCs w:val="24"/>
        </w:rPr>
        <w:t>ł</w:t>
      </w:r>
      <w:r w:rsidRPr="00D17FDB">
        <w:rPr>
          <w:rFonts w:ascii="Times New Roman" w:hAnsi="Times New Roman" w:cs="Times New Roman"/>
          <w:sz w:val="24"/>
          <w:szCs w:val="24"/>
        </w:rPr>
        <w:t xml:space="preserve"> podmiot nadzorowany, który opublikował lub rozpowszechnił fałszywe lub wprowadzające w błąd informacje. Środki te służą zapewnieniu prawidłowego funkcjonowania rynku </w:t>
      </w:r>
      <w:proofErr w:type="spellStart"/>
      <w:r w:rsidRPr="00D17FDB">
        <w:rPr>
          <w:rFonts w:ascii="Times New Roman" w:hAnsi="Times New Roman" w:cs="Times New Roman"/>
          <w:sz w:val="24"/>
          <w:szCs w:val="24"/>
        </w:rPr>
        <w:t>kryptoaktywów</w:t>
      </w:r>
      <w:proofErr w:type="spellEnd"/>
      <w:r w:rsidRPr="00D17FDB">
        <w:rPr>
          <w:rFonts w:ascii="Times New Roman" w:hAnsi="Times New Roman" w:cs="Times New Roman"/>
          <w:sz w:val="24"/>
          <w:szCs w:val="24"/>
        </w:rPr>
        <w:t xml:space="preserve"> oraz rzetelnego informowania opinii publicznej o jego funkcjonowaniu.</w:t>
      </w:r>
    </w:p>
    <w:p w14:paraId="12E6F002" w14:textId="04C06D0E"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D17FDB">
        <w:rPr>
          <w:rFonts w:ascii="Times New Roman" w:hAnsi="Times New Roman" w:cs="Times New Roman"/>
          <w:b/>
          <w:bCs/>
          <w:sz w:val="24"/>
          <w:szCs w:val="24"/>
        </w:rPr>
        <w:t xml:space="preserve">Art. </w:t>
      </w:r>
      <w:r w:rsidR="0065218B">
        <w:rPr>
          <w:rFonts w:ascii="Times New Roman" w:hAnsi="Times New Roman" w:cs="Times New Roman"/>
          <w:b/>
          <w:bCs/>
          <w:sz w:val="24"/>
          <w:szCs w:val="24"/>
        </w:rPr>
        <w:t>99</w:t>
      </w:r>
      <w:r w:rsidRPr="00D17FDB">
        <w:rPr>
          <w:rFonts w:ascii="Times New Roman" w:hAnsi="Times New Roman" w:cs="Times New Roman"/>
          <w:b/>
          <w:bCs/>
          <w:sz w:val="24"/>
          <w:szCs w:val="24"/>
        </w:rPr>
        <w:t xml:space="preserve"> </w:t>
      </w:r>
      <w:r w:rsidRPr="00D17FDB">
        <w:rPr>
          <w:rFonts w:ascii="Times New Roman" w:hAnsi="Times New Roman" w:cs="Times New Roman"/>
          <w:sz w:val="24"/>
          <w:szCs w:val="24"/>
        </w:rPr>
        <w:t xml:space="preserve">przyznaje Komisji środek nadzorczy polegający na możliwości nakazania posiadaczom </w:t>
      </w:r>
      <w:proofErr w:type="spellStart"/>
      <w:r w:rsidRPr="00D17FDB">
        <w:rPr>
          <w:rFonts w:ascii="Times New Roman" w:hAnsi="Times New Roman" w:cs="Times New Roman"/>
          <w:sz w:val="24"/>
          <w:szCs w:val="24"/>
        </w:rPr>
        <w:t>kryptoaktywów</w:t>
      </w:r>
      <w:proofErr w:type="spellEnd"/>
      <w:r w:rsidRPr="00D17FDB">
        <w:rPr>
          <w:rFonts w:ascii="Times New Roman" w:hAnsi="Times New Roman" w:cs="Times New Roman"/>
          <w:sz w:val="24"/>
          <w:szCs w:val="24"/>
        </w:rPr>
        <w:t xml:space="preserve"> ograniczenia rozmiaru otwartych pozycji w </w:t>
      </w:r>
      <w:proofErr w:type="spellStart"/>
      <w:r w:rsidRPr="00D17FDB">
        <w:rPr>
          <w:rFonts w:ascii="Times New Roman" w:hAnsi="Times New Roman" w:cs="Times New Roman"/>
          <w:sz w:val="24"/>
          <w:szCs w:val="24"/>
        </w:rPr>
        <w:t>kryptoaktywach</w:t>
      </w:r>
      <w:proofErr w:type="spellEnd"/>
      <w:r w:rsidRPr="00D17FDB">
        <w:rPr>
          <w:rFonts w:ascii="Times New Roman" w:hAnsi="Times New Roman" w:cs="Times New Roman"/>
          <w:sz w:val="24"/>
          <w:szCs w:val="24"/>
        </w:rPr>
        <w:t xml:space="preserve">. Dotyczy to również ekspozycji na </w:t>
      </w:r>
      <w:proofErr w:type="spellStart"/>
      <w:r w:rsidRPr="00D17FDB">
        <w:rPr>
          <w:rFonts w:ascii="Times New Roman" w:hAnsi="Times New Roman" w:cs="Times New Roman"/>
          <w:sz w:val="24"/>
          <w:szCs w:val="24"/>
        </w:rPr>
        <w:t>kryptoaktywa</w:t>
      </w:r>
      <w:proofErr w:type="spellEnd"/>
      <w:r w:rsidRPr="00D17FDB">
        <w:rPr>
          <w:rFonts w:ascii="Times New Roman" w:hAnsi="Times New Roman" w:cs="Times New Roman"/>
          <w:sz w:val="24"/>
          <w:szCs w:val="24"/>
        </w:rPr>
        <w:t xml:space="preserve">. Zastosowanie projektowanego środka </w:t>
      </w:r>
      <w:r>
        <w:rPr>
          <w:rFonts w:ascii="Times New Roman" w:hAnsi="Times New Roman" w:cs="Times New Roman"/>
          <w:sz w:val="24"/>
          <w:szCs w:val="24"/>
        </w:rPr>
        <w:t>będzie</w:t>
      </w:r>
      <w:r w:rsidRPr="00D17FDB">
        <w:rPr>
          <w:rFonts w:ascii="Times New Roman" w:hAnsi="Times New Roman" w:cs="Times New Roman"/>
          <w:sz w:val="24"/>
          <w:szCs w:val="24"/>
        </w:rPr>
        <w:t xml:space="preserve"> możliwe wyłącznie w</w:t>
      </w:r>
      <w:r>
        <w:rPr>
          <w:rFonts w:ascii="Times New Roman" w:hAnsi="Times New Roman" w:cs="Times New Roman"/>
          <w:sz w:val="24"/>
          <w:szCs w:val="24"/>
        </w:rPr>
        <w:t xml:space="preserve"> celu zapewnienia </w:t>
      </w:r>
      <w:r w:rsidRPr="00204426">
        <w:rPr>
          <w:rFonts w:ascii="Times New Roman" w:hAnsi="Times New Roman" w:cs="Times New Roman"/>
          <w:sz w:val="24"/>
          <w:szCs w:val="24"/>
        </w:rPr>
        <w:t xml:space="preserve">prawidłowego funkcjonowania rynku </w:t>
      </w:r>
      <w:proofErr w:type="spellStart"/>
      <w:r w:rsidRPr="00204426">
        <w:rPr>
          <w:rFonts w:ascii="Times New Roman" w:hAnsi="Times New Roman" w:cs="Times New Roman"/>
          <w:sz w:val="24"/>
          <w:szCs w:val="24"/>
        </w:rPr>
        <w:t>kryptoaktywów</w:t>
      </w:r>
      <w:proofErr w:type="spellEnd"/>
      <w:r w:rsidRPr="00204426">
        <w:rPr>
          <w:rFonts w:ascii="Times New Roman" w:hAnsi="Times New Roman" w:cs="Times New Roman"/>
          <w:sz w:val="24"/>
          <w:szCs w:val="24"/>
        </w:rPr>
        <w:t xml:space="preserve"> lub bezpieczeństwa obrotu na tym rynku</w:t>
      </w:r>
      <w:r w:rsidRPr="00D17FDB">
        <w:rPr>
          <w:rFonts w:ascii="Times New Roman" w:hAnsi="Times New Roman" w:cs="Times New Roman"/>
          <w:sz w:val="24"/>
          <w:szCs w:val="24"/>
        </w:rPr>
        <w:t>. Wprowadzenie tego uprawnienia jest podyktowane potrzebą zapewnienia organom właściwym państw członkowskich odpowiednich uprawnień zgodnie z art. 94 ust. 1 lit. z rozporządzenia 2023/1114.</w:t>
      </w:r>
    </w:p>
    <w:p w14:paraId="40923E84" w14:textId="6524559A" w:rsidR="00C21D4B" w:rsidRPr="0043042A" w:rsidRDefault="00C21D4B" w:rsidP="00695ECE">
      <w:pPr>
        <w:pStyle w:val="Akapitzlist"/>
        <w:numPr>
          <w:ilvl w:val="0"/>
          <w:numId w:val="2"/>
        </w:numPr>
        <w:spacing w:line="360" w:lineRule="auto"/>
        <w:jc w:val="both"/>
        <w:rPr>
          <w:rFonts w:ascii="Times New Roman" w:hAnsi="Times New Roman" w:cs="Times New Roman"/>
          <w:sz w:val="24"/>
          <w:szCs w:val="24"/>
        </w:rPr>
      </w:pPr>
      <w:r w:rsidRPr="00D17FDB">
        <w:rPr>
          <w:rFonts w:ascii="Times New Roman" w:hAnsi="Times New Roman" w:cs="Times New Roman"/>
          <w:b/>
          <w:bCs/>
          <w:sz w:val="24"/>
          <w:szCs w:val="24"/>
        </w:rPr>
        <w:t xml:space="preserve">Art. </w:t>
      </w:r>
      <w:r>
        <w:rPr>
          <w:rFonts w:ascii="Times New Roman" w:hAnsi="Times New Roman" w:cs="Times New Roman"/>
          <w:b/>
          <w:bCs/>
          <w:sz w:val="24"/>
          <w:szCs w:val="24"/>
        </w:rPr>
        <w:t>10</w:t>
      </w:r>
      <w:r w:rsidR="0065218B">
        <w:rPr>
          <w:rFonts w:ascii="Times New Roman" w:hAnsi="Times New Roman" w:cs="Times New Roman"/>
          <w:b/>
          <w:bCs/>
          <w:sz w:val="24"/>
          <w:szCs w:val="24"/>
        </w:rPr>
        <w:t>0</w:t>
      </w:r>
      <w:r w:rsidRPr="00D17FDB">
        <w:rPr>
          <w:rFonts w:ascii="Times New Roman" w:hAnsi="Times New Roman" w:cs="Times New Roman"/>
          <w:sz w:val="24"/>
          <w:szCs w:val="24"/>
        </w:rPr>
        <w:t xml:space="preserve"> </w:t>
      </w:r>
      <w:r>
        <w:rPr>
          <w:rFonts w:ascii="Times" w:hAnsi="Times" w:cs="Arial"/>
          <w:sz w:val="24"/>
          <w:szCs w:val="20"/>
          <w:lang w:eastAsia="pl-PL"/>
        </w:rPr>
        <w:t xml:space="preserve">w ust. 1 wskazuje się możliwość </w:t>
      </w:r>
      <w:r>
        <w:rPr>
          <w:rFonts w:ascii="Times New Roman" w:hAnsi="Times New Roman" w:cs="Times New Roman"/>
          <w:sz w:val="24"/>
          <w:szCs w:val="24"/>
        </w:rPr>
        <w:t>w</w:t>
      </w:r>
      <w:r w:rsidRPr="0085109A">
        <w:rPr>
          <w:rFonts w:ascii="Times New Roman" w:hAnsi="Times New Roman" w:cs="Times New Roman"/>
          <w:sz w:val="24"/>
          <w:szCs w:val="24"/>
        </w:rPr>
        <w:t xml:space="preserve"> przypadk</w:t>
      </w:r>
      <w:r>
        <w:rPr>
          <w:rFonts w:ascii="Times New Roman" w:hAnsi="Times New Roman" w:cs="Times New Roman"/>
          <w:sz w:val="24"/>
          <w:szCs w:val="24"/>
        </w:rPr>
        <w:t>u naruszenia przepisów</w:t>
      </w:r>
      <w:r w:rsidRPr="0085109A">
        <w:rPr>
          <w:rFonts w:ascii="Times New Roman" w:hAnsi="Times New Roman" w:cs="Times New Roman"/>
          <w:sz w:val="24"/>
          <w:szCs w:val="24"/>
        </w:rPr>
        <w:t xml:space="preserve"> art. 3</w:t>
      </w:r>
      <w:r>
        <w:rPr>
          <w:rFonts w:ascii="Times New Roman" w:hAnsi="Times New Roman" w:cs="Times New Roman"/>
          <w:sz w:val="24"/>
          <w:szCs w:val="24"/>
        </w:rPr>
        <w:t>6</w:t>
      </w:r>
      <w:r w:rsidRPr="0085109A">
        <w:rPr>
          <w:rFonts w:ascii="Times New Roman" w:hAnsi="Times New Roman" w:cs="Times New Roman"/>
          <w:sz w:val="24"/>
          <w:szCs w:val="24"/>
        </w:rPr>
        <w:t xml:space="preserve"> ust. 1 lub 2</w:t>
      </w:r>
      <w:r>
        <w:rPr>
          <w:rFonts w:ascii="Times New Roman" w:hAnsi="Times New Roman" w:cs="Times New Roman"/>
          <w:sz w:val="24"/>
          <w:szCs w:val="24"/>
        </w:rPr>
        <w:t xml:space="preserve"> </w:t>
      </w:r>
      <w:r w:rsidRPr="0085109A">
        <w:rPr>
          <w:rFonts w:ascii="Times New Roman" w:hAnsi="Times New Roman" w:cs="Times New Roman"/>
          <w:sz w:val="24"/>
          <w:szCs w:val="24"/>
        </w:rPr>
        <w:t>nakaza</w:t>
      </w:r>
      <w:r>
        <w:rPr>
          <w:rFonts w:ascii="Times New Roman" w:hAnsi="Times New Roman" w:cs="Times New Roman"/>
          <w:sz w:val="24"/>
          <w:szCs w:val="24"/>
        </w:rPr>
        <w:t>nia</w:t>
      </w:r>
      <w:r w:rsidRPr="0085109A">
        <w:rPr>
          <w:rFonts w:ascii="Times New Roman" w:hAnsi="Times New Roman" w:cs="Times New Roman"/>
          <w:sz w:val="24"/>
          <w:szCs w:val="24"/>
        </w:rPr>
        <w:t xml:space="preserve"> </w:t>
      </w:r>
      <w:r>
        <w:rPr>
          <w:rFonts w:ascii="Times New Roman" w:hAnsi="Times New Roman" w:cs="Times New Roman"/>
          <w:sz w:val="24"/>
          <w:szCs w:val="24"/>
        </w:rPr>
        <w:t xml:space="preserve">przez Komisję </w:t>
      </w:r>
      <w:r w:rsidRPr="0085109A">
        <w:rPr>
          <w:rFonts w:ascii="Times New Roman" w:hAnsi="Times New Roman" w:cs="Times New Roman"/>
          <w:sz w:val="24"/>
          <w:szCs w:val="24"/>
        </w:rPr>
        <w:t>zbyci</w:t>
      </w:r>
      <w:r>
        <w:rPr>
          <w:rFonts w:ascii="Times New Roman" w:hAnsi="Times New Roman" w:cs="Times New Roman"/>
          <w:sz w:val="24"/>
          <w:szCs w:val="24"/>
        </w:rPr>
        <w:t>a</w:t>
      </w:r>
      <w:r w:rsidRPr="0085109A">
        <w:rPr>
          <w:rFonts w:ascii="Times New Roman" w:hAnsi="Times New Roman" w:cs="Times New Roman"/>
          <w:sz w:val="24"/>
          <w:szCs w:val="24"/>
        </w:rPr>
        <w:t xml:space="preserve"> udziałów lub akcji w wyznaczonym terminie.</w:t>
      </w:r>
      <w:r>
        <w:rPr>
          <w:rFonts w:ascii="Times New Roman" w:hAnsi="Times New Roman" w:cs="Times New Roman"/>
          <w:sz w:val="24"/>
          <w:szCs w:val="24"/>
        </w:rPr>
        <w:t xml:space="preserve"> U</w:t>
      </w:r>
      <w:r w:rsidRPr="00546E53">
        <w:rPr>
          <w:rFonts w:ascii="Times New Roman" w:hAnsi="Times New Roman" w:cs="Times New Roman"/>
          <w:sz w:val="24"/>
          <w:szCs w:val="24"/>
        </w:rPr>
        <w:t>st. 2 określa, że w przypadku niezbycia udziałów lub akcji w terminie wyznaczonym zgodnie z ust. 1, Komisja może nałożyć na udziałowca</w:t>
      </w:r>
      <w:r>
        <w:rPr>
          <w:rFonts w:ascii="Times New Roman" w:hAnsi="Times New Roman" w:cs="Times New Roman"/>
          <w:sz w:val="24"/>
          <w:szCs w:val="24"/>
        </w:rPr>
        <w:t xml:space="preserve"> </w:t>
      </w:r>
      <w:r w:rsidRPr="00546E53">
        <w:rPr>
          <w:rFonts w:ascii="Times New Roman" w:hAnsi="Times New Roman" w:cs="Times New Roman"/>
          <w:sz w:val="24"/>
          <w:szCs w:val="24"/>
        </w:rPr>
        <w:t>lub akcjonariusza</w:t>
      </w:r>
      <w:r>
        <w:rPr>
          <w:rFonts w:ascii="Times New Roman" w:hAnsi="Times New Roman" w:cs="Times New Roman"/>
          <w:sz w:val="24"/>
          <w:szCs w:val="24"/>
        </w:rPr>
        <w:t xml:space="preserve"> </w:t>
      </w:r>
      <w:r w:rsidRPr="00546E53">
        <w:rPr>
          <w:rFonts w:ascii="Times New Roman" w:hAnsi="Times New Roman" w:cs="Times New Roman"/>
          <w:sz w:val="24"/>
          <w:szCs w:val="24"/>
        </w:rPr>
        <w:t xml:space="preserve">emitenta </w:t>
      </w:r>
      <w:proofErr w:type="spellStart"/>
      <w:r w:rsidRPr="00546E53">
        <w:rPr>
          <w:rFonts w:ascii="Times New Roman" w:hAnsi="Times New Roman" w:cs="Times New Roman"/>
          <w:sz w:val="24"/>
          <w:szCs w:val="24"/>
        </w:rPr>
        <w:t>tokenów</w:t>
      </w:r>
      <w:proofErr w:type="spellEnd"/>
      <w:r w:rsidRPr="00546E53">
        <w:rPr>
          <w:rFonts w:ascii="Times New Roman" w:hAnsi="Times New Roman" w:cs="Times New Roman"/>
          <w:sz w:val="24"/>
          <w:szCs w:val="24"/>
        </w:rPr>
        <w:t xml:space="preserve"> powiązanych z aktywami lub dostawc</w:t>
      </w:r>
      <w:r>
        <w:rPr>
          <w:rFonts w:ascii="Times New Roman" w:hAnsi="Times New Roman" w:cs="Times New Roman"/>
          <w:sz w:val="24"/>
          <w:szCs w:val="24"/>
        </w:rPr>
        <w:t>y</w:t>
      </w:r>
      <w:r w:rsidRPr="00546E53">
        <w:rPr>
          <w:rFonts w:ascii="Times New Roman" w:hAnsi="Times New Roman" w:cs="Times New Roman"/>
          <w:sz w:val="24"/>
          <w:szCs w:val="24"/>
        </w:rPr>
        <w:t xml:space="preserve">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karę pieniężną do wysokości 1 000 000 zł lub cofnąć zezwolenie udzielone emitentowi </w:t>
      </w:r>
      <w:proofErr w:type="spellStart"/>
      <w:r w:rsidRPr="00546E53">
        <w:rPr>
          <w:rFonts w:ascii="Times New Roman" w:hAnsi="Times New Roman" w:cs="Times New Roman"/>
          <w:sz w:val="24"/>
          <w:szCs w:val="24"/>
        </w:rPr>
        <w:t>tokenów</w:t>
      </w:r>
      <w:proofErr w:type="spellEnd"/>
      <w:r w:rsidRPr="00546E53">
        <w:rPr>
          <w:rFonts w:ascii="Times New Roman" w:hAnsi="Times New Roman" w:cs="Times New Roman"/>
          <w:sz w:val="24"/>
          <w:szCs w:val="24"/>
        </w:rPr>
        <w:t xml:space="preserve"> powiązanych z aktywami lub dostawcy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Ust. 3</w:t>
      </w:r>
      <w:r>
        <w:rPr>
          <w:rFonts w:ascii="Times New Roman" w:hAnsi="Times New Roman" w:cs="Times New Roman"/>
          <w:sz w:val="24"/>
          <w:szCs w:val="24"/>
        </w:rPr>
        <w:t xml:space="preserve"> określa, że w</w:t>
      </w:r>
      <w:r w:rsidRPr="0085109A">
        <w:rPr>
          <w:rFonts w:ascii="Times New Roman" w:hAnsi="Times New Roman" w:cs="Times New Roman"/>
          <w:sz w:val="24"/>
          <w:szCs w:val="24"/>
        </w:rPr>
        <w:t xml:space="preserve"> przypadku niezapłacenia w terminie </w:t>
      </w:r>
      <w:r>
        <w:rPr>
          <w:rFonts w:ascii="Times New Roman" w:hAnsi="Times New Roman" w:cs="Times New Roman"/>
          <w:sz w:val="24"/>
          <w:szCs w:val="24"/>
        </w:rPr>
        <w:t xml:space="preserve">ww. </w:t>
      </w:r>
      <w:r w:rsidRPr="0085109A">
        <w:rPr>
          <w:rFonts w:ascii="Times New Roman" w:hAnsi="Times New Roman" w:cs="Times New Roman"/>
          <w:sz w:val="24"/>
          <w:szCs w:val="24"/>
        </w:rPr>
        <w:t xml:space="preserve">kary pieniężnej, Komisja może nakazać emitentowi </w:t>
      </w:r>
      <w:proofErr w:type="spellStart"/>
      <w:r w:rsidRPr="0085109A">
        <w:rPr>
          <w:rFonts w:ascii="Times New Roman" w:hAnsi="Times New Roman" w:cs="Times New Roman"/>
          <w:sz w:val="24"/>
          <w:szCs w:val="24"/>
        </w:rPr>
        <w:t>tokenów</w:t>
      </w:r>
      <w:proofErr w:type="spellEnd"/>
      <w:r w:rsidRPr="0085109A">
        <w:rPr>
          <w:rFonts w:ascii="Times New Roman" w:hAnsi="Times New Roman" w:cs="Times New Roman"/>
          <w:sz w:val="24"/>
          <w:szCs w:val="24"/>
        </w:rPr>
        <w:t xml:space="preserve"> powiązanych z aktywami lub dostawcy usług w zakresie </w:t>
      </w:r>
      <w:proofErr w:type="spellStart"/>
      <w:r w:rsidRPr="0085109A">
        <w:rPr>
          <w:rFonts w:ascii="Times New Roman" w:hAnsi="Times New Roman" w:cs="Times New Roman"/>
          <w:sz w:val="24"/>
          <w:szCs w:val="24"/>
        </w:rPr>
        <w:t>kryptoaktywów</w:t>
      </w:r>
      <w:proofErr w:type="spellEnd"/>
      <w:r w:rsidRPr="0085109A">
        <w:rPr>
          <w:rFonts w:ascii="Times New Roman" w:hAnsi="Times New Roman" w:cs="Times New Roman"/>
          <w:sz w:val="24"/>
          <w:szCs w:val="24"/>
        </w:rPr>
        <w:t xml:space="preserve">, którego udziałowcem lub akcjonariuszem jest podmiot, na który została nałożona ta kara, przekazanie na poczet niezapłaconej kary pieniężnej wraz z odsetkami za zwłokę wszelkich płatności dokonywanych przez emitenta </w:t>
      </w:r>
      <w:proofErr w:type="spellStart"/>
      <w:r w:rsidRPr="0085109A">
        <w:rPr>
          <w:rFonts w:ascii="Times New Roman" w:hAnsi="Times New Roman" w:cs="Times New Roman"/>
          <w:sz w:val="24"/>
          <w:szCs w:val="24"/>
        </w:rPr>
        <w:t>tokenów</w:t>
      </w:r>
      <w:proofErr w:type="spellEnd"/>
      <w:r w:rsidRPr="0085109A">
        <w:rPr>
          <w:rFonts w:ascii="Times New Roman" w:hAnsi="Times New Roman" w:cs="Times New Roman"/>
          <w:sz w:val="24"/>
          <w:szCs w:val="24"/>
        </w:rPr>
        <w:t xml:space="preserve"> powiązanych z aktywami lub dostawcę usług w zakresie </w:t>
      </w:r>
      <w:proofErr w:type="spellStart"/>
      <w:r w:rsidRPr="0085109A">
        <w:rPr>
          <w:rFonts w:ascii="Times New Roman" w:hAnsi="Times New Roman" w:cs="Times New Roman"/>
          <w:sz w:val="24"/>
          <w:szCs w:val="24"/>
        </w:rPr>
        <w:t>kryptoaktywów</w:t>
      </w:r>
      <w:proofErr w:type="spellEnd"/>
      <w:r w:rsidRPr="0085109A">
        <w:rPr>
          <w:rFonts w:ascii="Times New Roman" w:hAnsi="Times New Roman" w:cs="Times New Roman"/>
          <w:sz w:val="24"/>
          <w:szCs w:val="24"/>
        </w:rPr>
        <w:t xml:space="preserve"> na rzecz tego udziałowca lub akcjonariusza, w kwocie odpowiadającej tej karze wraz z odsetkami za zwłokę</w:t>
      </w:r>
      <w:r>
        <w:rPr>
          <w:rFonts w:ascii="Times New Roman" w:hAnsi="Times New Roman" w:cs="Times New Roman"/>
          <w:sz w:val="24"/>
          <w:szCs w:val="24"/>
        </w:rPr>
        <w:t>.</w:t>
      </w:r>
    </w:p>
    <w:p w14:paraId="457513DC" w14:textId="7CA4F25C"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D17FDB">
        <w:rPr>
          <w:rFonts w:ascii="Times New Roman" w:hAnsi="Times New Roman" w:cs="Times New Roman"/>
          <w:b/>
          <w:bCs/>
          <w:sz w:val="24"/>
          <w:szCs w:val="24"/>
        </w:rPr>
        <w:t xml:space="preserve">Art. </w:t>
      </w:r>
      <w:r>
        <w:rPr>
          <w:rFonts w:ascii="Times New Roman" w:hAnsi="Times New Roman" w:cs="Times New Roman"/>
          <w:b/>
          <w:bCs/>
          <w:sz w:val="24"/>
          <w:szCs w:val="24"/>
        </w:rPr>
        <w:t>10</w:t>
      </w:r>
      <w:r w:rsidR="0065218B">
        <w:rPr>
          <w:rFonts w:ascii="Times New Roman" w:hAnsi="Times New Roman" w:cs="Times New Roman"/>
          <w:b/>
          <w:bCs/>
          <w:sz w:val="24"/>
          <w:szCs w:val="24"/>
        </w:rPr>
        <w:t>1</w:t>
      </w:r>
      <w:r w:rsidRPr="00D17FDB">
        <w:rPr>
          <w:rFonts w:ascii="Times New Roman" w:hAnsi="Times New Roman" w:cs="Times New Roman"/>
          <w:b/>
          <w:bCs/>
          <w:sz w:val="24"/>
          <w:szCs w:val="24"/>
        </w:rPr>
        <w:t xml:space="preserve"> </w:t>
      </w:r>
      <w:r w:rsidRPr="00D17FDB">
        <w:rPr>
          <w:rFonts w:ascii="Times New Roman" w:hAnsi="Times New Roman" w:cs="Times New Roman"/>
          <w:sz w:val="24"/>
          <w:szCs w:val="24"/>
        </w:rPr>
        <w:t xml:space="preserve">stanowi, że </w:t>
      </w:r>
      <w:r>
        <w:rPr>
          <w:rFonts w:ascii="Times New Roman" w:hAnsi="Times New Roman" w:cs="Times New Roman"/>
          <w:sz w:val="24"/>
          <w:szCs w:val="24"/>
        </w:rPr>
        <w:t>w przypadku niedokonania</w:t>
      </w:r>
      <w:r w:rsidRPr="00724D07">
        <w:rPr>
          <w:rFonts w:ascii="Times New Roman" w:hAnsi="Times New Roman" w:cs="Times New Roman"/>
          <w:sz w:val="24"/>
          <w:szCs w:val="24"/>
        </w:rPr>
        <w:t xml:space="preserve"> powiadomienia</w:t>
      </w:r>
      <w:r>
        <w:rPr>
          <w:rFonts w:ascii="Times New Roman" w:hAnsi="Times New Roman" w:cs="Times New Roman"/>
          <w:sz w:val="24"/>
          <w:szCs w:val="24"/>
        </w:rPr>
        <w:t>, o którym mowa w</w:t>
      </w:r>
      <w:r w:rsidRPr="00724D07">
        <w:rPr>
          <w:rFonts w:ascii="Times New Roman" w:hAnsi="Times New Roman" w:cs="Times New Roman"/>
          <w:sz w:val="24"/>
          <w:szCs w:val="24"/>
        </w:rPr>
        <w:t xml:space="preserve"> </w:t>
      </w:r>
      <w:r w:rsidRPr="0060049C">
        <w:rPr>
          <w:rFonts w:ascii="Times New Roman" w:hAnsi="Times New Roman" w:cs="Times New Roman"/>
          <w:sz w:val="24"/>
          <w:szCs w:val="24"/>
        </w:rPr>
        <w:t>art.</w:t>
      </w:r>
      <w:r>
        <w:rPr>
          <w:rFonts w:ascii="Times New Roman" w:hAnsi="Times New Roman" w:cs="Times New Roman"/>
          <w:sz w:val="24"/>
          <w:szCs w:val="24"/>
        </w:rPr>
        <w:t> 29</w:t>
      </w:r>
      <w:r w:rsidRPr="0060049C">
        <w:rPr>
          <w:rFonts w:ascii="Times New Roman" w:hAnsi="Times New Roman" w:cs="Times New Roman"/>
          <w:sz w:val="24"/>
          <w:szCs w:val="24"/>
        </w:rPr>
        <w:t xml:space="preserve"> ust.</w:t>
      </w:r>
      <w:r>
        <w:rPr>
          <w:rFonts w:ascii="Times New Roman" w:hAnsi="Times New Roman" w:cs="Times New Roman"/>
          <w:sz w:val="24"/>
          <w:szCs w:val="24"/>
        </w:rPr>
        <w:t> </w:t>
      </w:r>
      <w:r w:rsidRPr="0060049C">
        <w:rPr>
          <w:rFonts w:ascii="Times New Roman" w:hAnsi="Times New Roman" w:cs="Times New Roman"/>
          <w:sz w:val="24"/>
          <w:szCs w:val="24"/>
        </w:rPr>
        <w:t xml:space="preserve">1 </w:t>
      </w:r>
      <w:r>
        <w:rPr>
          <w:rFonts w:ascii="Times New Roman" w:hAnsi="Times New Roman" w:cs="Times New Roman"/>
          <w:sz w:val="24"/>
          <w:szCs w:val="24"/>
        </w:rPr>
        <w:t xml:space="preserve">projektu ustawy </w:t>
      </w:r>
      <w:r w:rsidRPr="0060049C">
        <w:rPr>
          <w:rFonts w:ascii="Times New Roman" w:hAnsi="Times New Roman" w:cs="Times New Roman"/>
          <w:sz w:val="24"/>
          <w:szCs w:val="24"/>
        </w:rPr>
        <w:t xml:space="preserve">lub </w:t>
      </w:r>
      <w:r>
        <w:rPr>
          <w:rFonts w:ascii="Times New Roman" w:hAnsi="Times New Roman" w:cs="Times New Roman"/>
          <w:sz w:val="24"/>
          <w:szCs w:val="24"/>
        </w:rPr>
        <w:t xml:space="preserve">powiadomienia, o którym mowa w </w:t>
      </w:r>
      <w:r w:rsidRPr="0060049C">
        <w:rPr>
          <w:rFonts w:ascii="Times New Roman" w:hAnsi="Times New Roman" w:cs="Times New Roman"/>
          <w:sz w:val="24"/>
          <w:szCs w:val="24"/>
        </w:rPr>
        <w:t xml:space="preserve">art. 41 ust. 1 lub art. 83 ust. 1 </w:t>
      </w:r>
      <w:r w:rsidRPr="00D17FDB">
        <w:rPr>
          <w:rFonts w:ascii="Times New Roman" w:hAnsi="Times New Roman" w:cs="Times New Roman"/>
          <w:sz w:val="24"/>
          <w:szCs w:val="24"/>
        </w:rPr>
        <w:t xml:space="preserve">rozporządzenia 2023/1114, Komisja może nałożyć karę pieniężną w wysokości do 500 000 zł. </w:t>
      </w:r>
      <w:r w:rsidRPr="0043042A">
        <w:rPr>
          <w:rFonts w:ascii="Times New Roman" w:hAnsi="Times New Roman" w:cs="Times New Roman"/>
          <w:sz w:val="24"/>
          <w:szCs w:val="24"/>
        </w:rPr>
        <w:t xml:space="preserve">Należy wskazać, że art. 41 ust. 8 oraz 83 ust. 9 rozporządzenia 2023/1114 nadają organowi właściwemu możliwość wyznaczenia maksymalnego terminu na sfinalizowanie planowanego nabycia odpowiednio emitenta </w:t>
      </w:r>
      <w:proofErr w:type="spellStart"/>
      <w:r w:rsidRPr="0043042A">
        <w:rPr>
          <w:rFonts w:ascii="Times New Roman" w:hAnsi="Times New Roman" w:cs="Times New Roman"/>
          <w:sz w:val="24"/>
          <w:szCs w:val="24"/>
        </w:rPr>
        <w:t>tokenów</w:t>
      </w:r>
      <w:proofErr w:type="spellEnd"/>
      <w:r w:rsidRPr="0043042A">
        <w:rPr>
          <w:rFonts w:ascii="Times New Roman" w:hAnsi="Times New Roman" w:cs="Times New Roman"/>
          <w:sz w:val="24"/>
          <w:szCs w:val="24"/>
        </w:rPr>
        <w:t xml:space="preserve"> powiązanych z aktywami lud dostawcy usług w zakresie </w:t>
      </w:r>
      <w:proofErr w:type="spellStart"/>
      <w:r w:rsidRPr="0043042A">
        <w:rPr>
          <w:rFonts w:ascii="Times New Roman" w:hAnsi="Times New Roman" w:cs="Times New Roman"/>
          <w:sz w:val="24"/>
          <w:szCs w:val="24"/>
        </w:rPr>
        <w:t>kryptoaktywów</w:t>
      </w:r>
      <w:proofErr w:type="spellEnd"/>
      <w:r w:rsidRPr="0043042A">
        <w:rPr>
          <w:rFonts w:ascii="Times New Roman" w:hAnsi="Times New Roman" w:cs="Times New Roman"/>
          <w:sz w:val="24"/>
          <w:szCs w:val="24"/>
        </w:rPr>
        <w:t xml:space="preserve">. </w:t>
      </w:r>
      <w:r>
        <w:rPr>
          <w:rFonts w:ascii="Times New Roman" w:hAnsi="Times New Roman" w:cs="Times New Roman"/>
          <w:sz w:val="24"/>
          <w:szCs w:val="24"/>
        </w:rPr>
        <w:t xml:space="preserve">Przepis ten </w:t>
      </w:r>
      <w:r w:rsidRPr="0043042A">
        <w:rPr>
          <w:rFonts w:ascii="Times New Roman" w:hAnsi="Times New Roman" w:cs="Times New Roman"/>
          <w:sz w:val="24"/>
          <w:szCs w:val="24"/>
        </w:rPr>
        <w:t>stanowi skorzystanie z uprawnienia przewidzianego w art. 9</w:t>
      </w:r>
      <w:r>
        <w:rPr>
          <w:rFonts w:ascii="Times New Roman" w:hAnsi="Times New Roman" w:cs="Times New Roman"/>
          <w:sz w:val="24"/>
          <w:szCs w:val="24"/>
        </w:rPr>
        <w:t>4</w:t>
      </w:r>
      <w:r w:rsidRPr="0054416B">
        <w:rPr>
          <w:rFonts w:ascii="Times New Roman" w:hAnsi="Times New Roman" w:cs="Times New Roman"/>
          <w:sz w:val="24"/>
          <w:szCs w:val="24"/>
        </w:rPr>
        <w:t xml:space="preserve"> ust. 1 lit. v rozporządzenia 2023/1114, które upoważnia organ właściwy do zastosowania </w:t>
      </w:r>
      <w:r w:rsidR="00C727FB">
        <w:rPr>
          <w:rFonts w:ascii="Times New Roman" w:hAnsi="Times New Roman" w:cs="Times New Roman"/>
          <w:sz w:val="24"/>
          <w:szCs w:val="24"/>
        </w:rPr>
        <w:t xml:space="preserve">wszelkich niezbędnych </w:t>
      </w:r>
      <w:r w:rsidRPr="0054416B">
        <w:rPr>
          <w:rFonts w:ascii="Times New Roman" w:hAnsi="Times New Roman" w:cs="Times New Roman"/>
          <w:sz w:val="24"/>
          <w:szCs w:val="24"/>
        </w:rPr>
        <w:t xml:space="preserve">środków w celu zapewnienia, aby podmiot objęty nadzorem przestrzegał przepisów </w:t>
      </w:r>
      <w:r>
        <w:rPr>
          <w:rFonts w:ascii="Times New Roman" w:hAnsi="Times New Roman" w:cs="Times New Roman"/>
          <w:sz w:val="24"/>
          <w:szCs w:val="24"/>
        </w:rPr>
        <w:t>tego</w:t>
      </w:r>
      <w:r w:rsidRPr="0054416B">
        <w:rPr>
          <w:rFonts w:ascii="Times New Roman" w:hAnsi="Times New Roman" w:cs="Times New Roman"/>
          <w:sz w:val="24"/>
          <w:szCs w:val="24"/>
        </w:rPr>
        <w:t xml:space="preserve"> rozporządzenia, włączenie z żądaniem zaprzestania wszelkich praktyk lub postępowania, które organ właściwy uznaje za sprzeczne z </w:t>
      </w:r>
      <w:r>
        <w:rPr>
          <w:rFonts w:ascii="Times New Roman" w:hAnsi="Times New Roman" w:cs="Times New Roman"/>
          <w:sz w:val="24"/>
          <w:szCs w:val="24"/>
        </w:rPr>
        <w:t>tym</w:t>
      </w:r>
      <w:r w:rsidRPr="0054416B">
        <w:rPr>
          <w:rFonts w:ascii="Times New Roman" w:hAnsi="Times New Roman" w:cs="Times New Roman"/>
          <w:sz w:val="24"/>
          <w:szCs w:val="24"/>
        </w:rPr>
        <w:t xml:space="preserve"> rozporządzeniem. </w:t>
      </w:r>
      <w:r w:rsidRPr="00355A0F">
        <w:rPr>
          <w:rFonts w:ascii="Times New Roman" w:hAnsi="Times New Roman" w:cs="Times New Roman"/>
          <w:sz w:val="24"/>
          <w:szCs w:val="24"/>
        </w:rPr>
        <w:t xml:space="preserve">Przepis </w:t>
      </w:r>
      <w:r>
        <w:rPr>
          <w:rFonts w:ascii="Times New Roman" w:hAnsi="Times New Roman" w:cs="Times New Roman"/>
          <w:sz w:val="24"/>
          <w:szCs w:val="24"/>
        </w:rPr>
        <w:t xml:space="preserve">ust. 2 </w:t>
      </w:r>
      <w:r w:rsidRPr="00355A0F">
        <w:rPr>
          <w:rFonts w:ascii="Times New Roman" w:hAnsi="Times New Roman" w:cs="Times New Roman"/>
          <w:sz w:val="24"/>
          <w:szCs w:val="24"/>
        </w:rPr>
        <w:t>wskazuj</w:t>
      </w:r>
      <w:r>
        <w:rPr>
          <w:rFonts w:ascii="Times New Roman" w:hAnsi="Times New Roman" w:cs="Times New Roman"/>
          <w:sz w:val="24"/>
          <w:szCs w:val="24"/>
        </w:rPr>
        <w:t>e</w:t>
      </w:r>
      <w:r w:rsidRPr="00355A0F">
        <w:rPr>
          <w:rFonts w:ascii="Times New Roman" w:hAnsi="Times New Roman" w:cs="Times New Roman"/>
          <w:sz w:val="24"/>
          <w:szCs w:val="24"/>
        </w:rPr>
        <w:t>, że kara ta może również zostać nałożona</w:t>
      </w:r>
      <w:r>
        <w:rPr>
          <w:rFonts w:ascii="Times New Roman" w:hAnsi="Times New Roman" w:cs="Times New Roman"/>
          <w:sz w:val="24"/>
          <w:szCs w:val="24"/>
        </w:rPr>
        <w:t xml:space="preserve"> w przypadku nabycia lub objęcia udziałów lub akcji w przypadku wyrażenia przez Komisję sprzeciwu, </w:t>
      </w:r>
      <w:r w:rsidRPr="00355A0F">
        <w:rPr>
          <w:rFonts w:ascii="Times New Roman" w:hAnsi="Times New Roman" w:cs="Times New Roman"/>
          <w:sz w:val="24"/>
          <w:szCs w:val="24"/>
        </w:rPr>
        <w:t xml:space="preserve">o którym mowa w art. 41 ust. 6 lub art. 83 ust. 7 rozporządzenia 2023/1114. </w:t>
      </w:r>
      <w:r>
        <w:rPr>
          <w:rFonts w:ascii="Times New Roman" w:hAnsi="Times New Roman" w:cs="Times New Roman"/>
          <w:sz w:val="24"/>
          <w:szCs w:val="24"/>
        </w:rPr>
        <w:t xml:space="preserve">Ponadto Komisja będzie miała prawo również nałożyć ww. karę w przypadku </w:t>
      </w:r>
      <w:r w:rsidRPr="007E256E">
        <w:rPr>
          <w:rFonts w:ascii="Times New Roman" w:hAnsi="Times New Roman" w:cs="Times New Roman"/>
          <w:sz w:val="24"/>
          <w:szCs w:val="24"/>
        </w:rPr>
        <w:t>naby</w:t>
      </w:r>
      <w:r>
        <w:rPr>
          <w:rFonts w:ascii="Times New Roman" w:hAnsi="Times New Roman" w:cs="Times New Roman"/>
          <w:sz w:val="24"/>
          <w:szCs w:val="24"/>
        </w:rPr>
        <w:t>cia</w:t>
      </w:r>
      <w:r w:rsidRPr="007E256E">
        <w:rPr>
          <w:rFonts w:ascii="Times New Roman" w:hAnsi="Times New Roman" w:cs="Times New Roman"/>
          <w:sz w:val="24"/>
          <w:szCs w:val="24"/>
        </w:rPr>
        <w:t xml:space="preserve"> lub obję</w:t>
      </w:r>
      <w:r>
        <w:rPr>
          <w:rFonts w:ascii="Times New Roman" w:hAnsi="Times New Roman" w:cs="Times New Roman"/>
          <w:sz w:val="24"/>
          <w:szCs w:val="24"/>
        </w:rPr>
        <w:t>cia</w:t>
      </w:r>
      <w:r w:rsidRPr="007E256E">
        <w:rPr>
          <w:rFonts w:ascii="Times New Roman" w:hAnsi="Times New Roman" w:cs="Times New Roman"/>
          <w:sz w:val="24"/>
          <w:szCs w:val="24"/>
        </w:rPr>
        <w:t xml:space="preserve"> udział</w:t>
      </w:r>
      <w:r>
        <w:rPr>
          <w:rFonts w:ascii="Times New Roman" w:hAnsi="Times New Roman" w:cs="Times New Roman"/>
          <w:sz w:val="24"/>
          <w:szCs w:val="24"/>
        </w:rPr>
        <w:t>ów</w:t>
      </w:r>
      <w:r w:rsidRPr="007E256E">
        <w:rPr>
          <w:rFonts w:ascii="Times New Roman" w:hAnsi="Times New Roman" w:cs="Times New Roman"/>
          <w:sz w:val="24"/>
          <w:szCs w:val="24"/>
        </w:rPr>
        <w:t xml:space="preserve"> lub akcj</w:t>
      </w:r>
      <w:r>
        <w:rPr>
          <w:rFonts w:ascii="Times New Roman" w:hAnsi="Times New Roman" w:cs="Times New Roman"/>
          <w:sz w:val="24"/>
          <w:szCs w:val="24"/>
        </w:rPr>
        <w:t>i</w:t>
      </w:r>
      <w:r w:rsidRPr="007E256E">
        <w:rPr>
          <w:rFonts w:ascii="Times New Roman" w:hAnsi="Times New Roman" w:cs="Times New Roman"/>
          <w:sz w:val="24"/>
          <w:szCs w:val="24"/>
        </w:rPr>
        <w:t xml:space="preserve"> przed upływem terminu, o którym mowa w art. 41 ust. 4 lub art. 83 ust. 4 rozporządzenia 2023/1114, lub okresu zawieszenia, o którym mowa w art.</w:t>
      </w:r>
      <w:r>
        <w:rPr>
          <w:rFonts w:ascii="Times New Roman" w:hAnsi="Times New Roman" w:cs="Times New Roman"/>
          <w:sz w:val="24"/>
          <w:szCs w:val="24"/>
        </w:rPr>
        <w:t> </w:t>
      </w:r>
      <w:r w:rsidRPr="007E256E">
        <w:rPr>
          <w:rFonts w:ascii="Times New Roman" w:hAnsi="Times New Roman" w:cs="Times New Roman"/>
          <w:sz w:val="24"/>
          <w:szCs w:val="24"/>
        </w:rPr>
        <w:t xml:space="preserve">41 ust. 5 lub art. 83 ust. 6 rozporządzenia 2023/1114, </w:t>
      </w:r>
      <w:r>
        <w:rPr>
          <w:rFonts w:ascii="Times New Roman" w:hAnsi="Times New Roman" w:cs="Times New Roman"/>
          <w:sz w:val="24"/>
          <w:szCs w:val="24"/>
        </w:rPr>
        <w:t xml:space="preserve">jak również w przypadku </w:t>
      </w:r>
      <w:r w:rsidRPr="007E256E">
        <w:rPr>
          <w:rFonts w:ascii="Times New Roman" w:hAnsi="Times New Roman" w:cs="Times New Roman"/>
          <w:sz w:val="24"/>
          <w:szCs w:val="24"/>
        </w:rPr>
        <w:t>naby</w:t>
      </w:r>
      <w:r>
        <w:rPr>
          <w:rFonts w:ascii="Times New Roman" w:hAnsi="Times New Roman" w:cs="Times New Roman"/>
          <w:sz w:val="24"/>
          <w:szCs w:val="24"/>
        </w:rPr>
        <w:t>cia</w:t>
      </w:r>
      <w:r w:rsidRPr="007E256E">
        <w:rPr>
          <w:rFonts w:ascii="Times New Roman" w:hAnsi="Times New Roman" w:cs="Times New Roman"/>
          <w:sz w:val="24"/>
          <w:szCs w:val="24"/>
        </w:rPr>
        <w:t xml:space="preserve"> lub obję</w:t>
      </w:r>
      <w:r>
        <w:rPr>
          <w:rFonts w:ascii="Times New Roman" w:hAnsi="Times New Roman" w:cs="Times New Roman"/>
          <w:sz w:val="24"/>
          <w:szCs w:val="24"/>
        </w:rPr>
        <w:t>cia</w:t>
      </w:r>
      <w:r w:rsidRPr="007E256E">
        <w:rPr>
          <w:rFonts w:ascii="Times New Roman" w:hAnsi="Times New Roman" w:cs="Times New Roman"/>
          <w:sz w:val="24"/>
          <w:szCs w:val="24"/>
        </w:rPr>
        <w:t xml:space="preserve"> udział</w:t>
      </w:r>
      <w:r>
        <w:rPr>
          <w:rFonts w:ascii="Times New Roman" w:hAnsi="Times New Roman" w:cs="Times New Roman"/>
          <w:sz w:val="24"/>
          <w:szCs w:val="24"/>
        </w:rPr>
        <w:t>ów</w:t>
      </w:r>
      <w:r w:rsidRPr="007E256E">
        <w:rPr>
          <w:rFonts w:ascii="Times New Roman" w:hAnsi="Times New Roman" w:cs="Times New Roman"/>
          <w:sz w:val="24"/>
          <w:szCs w:val="24"/>
        </w:rPr>
        <w:t xml:space="preserve"> lub akcj</w:t>
      </w:r>
      <w:r>
        <w:rPr>
          <w:rFonts w:ascii="Times New Roman" w:hAnsi="Times New Roman" w:cs="Times New Roman"/>
          <w:sz w:val="24"/>
          <w:szCs w:val="24"/>
        </w:rPr>
        <w:t>i</w:t>
      </w:r>
      <w:r w:rsidRPr="007E256E">
        <w:rPr>
          <w:rFonts w:ascii="Times New Roman" w:hAnsi="Times New Roman" w:cs="Times New Roman"/>
          <w:sz w:val="24"/>
          <w:szCs w:val="24"/>
        </w:rPr>
        <w:t xml:space="preserve"> po upływie wyznaczonego przez Komisję terminie na to nabycie lub objęcie zgodnie art. 41 ust. 8 lub art. 83 ust. 9 rozporządzenia 2023/1114</w:t>
      </w:r>
      <w:r>
        <w:rPr>
          <w:rFonts w:ascii="Times New Roman" w:hAnsi="Times New Roman" w:cs="Times New Roman"/>
          <w:sz w:val="24"/>
          <w:szCs w:val="24"/>
        </w:rPr>
        <w:t xml:space="preserve">. Zgodnie z ust. 3 </w:t>
      </w:r>
      <w:r w:rsidRPr="001976B2">
        <w:rPr>
          <w:rFonts w:ascii="Times New Roman" w:hAnsi="Times New Roman" w:cs="Times New Roman"/>
          <w:sz w:val="24"/>
          <w:szCs w:val="24"/>
        </w:rPr>
        <w:t xml:space="preserve">Komisja może nałożyć karę pieniężną, o której mowa w ust. 1, </w:t>
      </w:r>
      <w:r w:rsidR="0065218B">
        <w:rPr>
          <w:rFonts w:ascii="Times New Roman" w:hAnsi="Times New Roman" w:cs="Times New Roman"/>
          <w:sz w:val="24"/>
          <w:szCs w:val="24"/>
        </w:rPr>
        <w:t xml:space="preserve">także </w:t>
      </w:r>
      <w:r w:rsidRPr="001976B2">
        <w:rPr>
          <w:rFonts w:ascii="Times New Roman" w:hAnsi="Times New Roman" w:cs="Times New Roman"/>
          <w:sz w:val="24"/>
          <w:szCs w:val="24"/>
        </w:rPr>
        <w:t xml:space="preserve">na osobę fizyczną </w:t>
      </w:r>
      <w:bookmarkStart w:id="18" w:name="_Hlk181180369"/>
      <w:r w:rsidRPr="001976B2">
        <w:rPr>
          <w:rFonts w:ascii="Times New Roman" w:hAnsi="Times New Roman" w:cs="Times New Roman"/>
          <w:sz w:val="24"/>
          <w:szCs w:val="24"/>
        </w:rPr>
        <w:t>działającą w imieniu lub interesie osoby prawnej lub jednostki organizacyjnej nieposiadającej osobowości prawnej</w:t>
      </w:r>
      <w:bookmarkEnd w:id="18"/>
      <w:r w:rsidRPr="001976B2">
        <w:rPr>
          <w:rFonts w:ascii="Times New Roman" w:hAnsi="Times New Roman" w:cs="Times New Roman"/>
          <w:sz w:val="24"/>
          <w:szCs w:val="24"/>
        </w:rPr>
        <w:t xml:space="preserve"> w przypadkach, o których mowa w ust. 1.</w:t>
      </w:r>
      <w:r>
        <w:rPr>
          <w:rFonts w:ascii="Times New Roman" w:hAnsi="Times New Roman" w:cs="Times New Roman"/>
          <w:sz w:val="24"/>
          <w:szCs w:val="24"/>
        </w:rPr>
        <w:t xml:space="preserve"> Ust. 4 umożliwia Komisji nakazanie ogłoszenia rozstrzygnięcia w dwóch dziennikach ogólnopolskich lub w inny sposób na koszt strony postępowania. </w:t>
      </w:r>
    </w:p>
    <w:p w14:paraId="3787CAD2" w14:textId="070CB85C" w:rsidR="0065218B" w:rsidRPr="00781E1E" w:rsidRDefault="0065218B" w:rsidP="00695ECE">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Art. 102 </w:t>
      </w:r>
      <w:r w:rsidR="00781E1E" w:rsidRPr="00781E1E">
        <w:rPr>
          <w:rFonts w:ascii="Times New Roman" w:hAnsi="Times New Roman" w:cs="Times New Roman"/>
          <w:bCs/>
          <w:sz w:val="24"/>
          <w:szCs w:val="24"/>
        </w:rPr>
        <w:t xml:space="preserve">uprawnia KNF do nałożenia na kontrolowanego kary pieniężnej w wysokości do 20.000.000 zł jeżeli kontrolowany uniemożliwia lub utrudnia rozpoczęcie lub przeprowadzenie kontroli.  </w:t>
      </w:r>
    </w:p>
    <w:p w14:paraId="6F7CA357" w14:textId="766CFC38"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3</w:t>
      </w:r>
      <w:r w:rsidRPr="00813A5E">
        <w:rPr>
          <w:rFonts w:ascii="Times New Roman" w:hAnsi="Times New Roman" w:cs="Times New Roman"/>
          <w:sz w:val="24"/>
          <w:szCs w:val="24"/>
        </w:rPr>
        <w:t xml:space="preserve"> uprawnia KNF do nałożenia sankcji administracyjnych. Przepis ten wymienia kary pieniężne w wysokościach odpowiednio 5 000 000 zł (dotyczą oferującego, emitenta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powiązanych z aktywami lub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będących e-pieniądzem, osoby ubiegającej się o dopuszczenie do obrotu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oraz dostawcy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oraz 2 500 000 zł (dotyczą osób fizycznych) nakładane w przypadku niewykonania albo nienależytego wykonania określonych w ustawie obowiązków powiązanych ze środkami nadzoru. Są to nie tylko nienależyte wykonywanie i niewykonywanie obowiązków ustawowych, ale także obowiązków wynikających bezpośrednio z uprzednio nałożonych przez KNF nakazów, a także zakazów. Adresatami niniejszego przepisu są oferujący, emitenci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powiązanych z aktywami lub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będących e-pieniądzem, osoby ubiegające się o dopuszczenie do obrotu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i</w:t>
      </w:r>
      <w:r w:rsidRPr="00813A5E">
        <w:rPr>
          <w:rFonts w:ascii="Times New Roman" w:hAnsi="Times New Roman" w:cs="Times New Roman"/>
          <w:sz w:val="24"/>
          <w:szCs w:val="24"/>
        </w:rPr>
        <w:t xml:space="preserve"> dostawcy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Przepisy opisujące środki nadzorcze wskazują podmioty, na które możliwe jest nałożenie określonej sankcji lub kary. Przepis również gwarantuje możliwość nałożenia kary administracyjnej w związku z niewykonaniem lub nienależytym wykonaniem obowiązku nałożonego uprzednio przez KNF w ramach zastosowanych środków nadzoru. Do takich środków należy środek określony w art. </w:t>
      </w:r>
      <w:r w:rsidR="0065218B">
        <w:rPr>
          <w:rFonts w:ascii="Times New Roman" w:hAnsi="Times New Roman" w:cs="Times New Roman"/>
          <w:sz w:val="24"/>
          <w:szCs w:val="24"/>
        </w:rPr>
        <w:t>99</w:t>
      </w:r>
      <w:r w:rsidRPr="00813A5E">
        <w:rPr>
          <w:rFonts w:ascii="Times New Roman" w:hAnsi="Times New Roman" w:cs="Times New Roman"/>
          <w:sz w:val="24"/>
          <w:szCs w:val="24"/>
        </w:rPr>
        <w:t xml:space="preserve"> ustawy, zgodnie z jego brzmieniem KNF może nakazać posiadaczowi </w:t>
      </w:r>
      <w:proofErr w:type="spellStart"/>
      <w:r w:rsidRPr="00813A5E">
        <w:rPr>
          <w:rFonts w:ascii="Times New Roman" w:hAnsi="Times New Roman" w:cs="Times New Roman"/>
          <w:sz w:val="24"/>
          <w:szCs w:val="24"/>
        </w:rPr>
        <w:t>kryptoaktywa</w:t>
      </w:r>
      <w:proofErr w:type="spellEnd"/>
      <w:r w:rsidRPr="00813A5E">
        <w:rPr>
          <w:rFonts w:ascii="Times New Roman" w:hAnsi="Times New Roman" w:cs="Times New Roman"/>
          <w:sz w:val="24"/>
          <w:szCs w:val="24"/>
        </w:rPr>
        <w:t xml:space="preserve"> ograniczenie otwartych pozycji </w:t>
      </w:r>
      <w:r>
        <w:rPr>
          <w:rFonts w:ascii="Times New Roman" w:hAnsi="Times New Roman" w:cs="Times New Roman"/>
          <w:sz w:val="24"/>
          <w:szCs w:val="24"/>
        </w:rPr>
        <w:t>w</w:t>
      </w:r>
      <w:r w:rsidRPr="00813A5E">
        <w:rPr>
          <w:rFonts w:ascii="Times New Roman" w:hAnsi="Times New Roman" w:cs="Times New Roman"/>
          <w:sz w:val="24"/>
          <w:szCs w:val="24"/>
        </w:rPr>
        <w:t xml:space="preserve"> </w:t>
      </w:r>
      <w:proofErr w:type="spellStart"/>
      <w:r w:rsidRPr="00813A5E">
        <w:rPr>
          <w:rFonts w:ascii="Times New Roman" w:hAnsi="Times New Roman" w:cs="Times New Roman"/>
          <w:sz w:val="24"/>
          <w:szCs w:val="24"/>
        </w:rPr>
        <w:t>kryptoaktywa</w:t>
      </w:r>
      <w:r>
        <w:rPr>
          <w:rFonts w:ascii="Times New Roman" w:hAnsi="Times New Roman" w:cs="Times New Roman"/>
          <w:sz w:val="24"/>
          <w:szCs w:val="24"/>
        </w:rPr>
        <w:t>ch</w:t>
      </w:r>
      <w:proofErr w:type="spellEnd"/>
      <w:r w:rsidRPr="00813A5E">
        <w:rPr>
          <w:rFonts w:ascii="Times New Roman" w:hAnsi="Times New Roman" w:cs="Times New Roman"/>
          <w:sz w:val="24"/>
          <w:szCs w:val="24"/>
        </w:rPr>
        <w:t xml:space="preserve"> lub ekspozycji na nie, jeżeli będzie to niezbędne do zagwarantowania prawidłowego funkcjonowania rynku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jak również obrotu na tym rynku. KNF powinien mieć tak jak w innych przypadkach wymienionych w art. 9</w:t>
      </w:r>
      <w:r w:rsidR="0065218B">
        <w:rPr>
          <w:rFonts w:ascii="Times New Roman" w:hAnsi="Times New Roman" w:cs="Times New Roman"/>
          <w:sz w:val="24"/>
          <w:szCs w:val="24"/>
        </w:rPr>
        <w:t>4</w:t>
      </w:r>
      <w:r w:rsidRPr="00866C87">
        <w:rPr>
          <w:rFonts w:ascii="Times New Roman" w:hAnsi="Times New Roman" w:cs="Times New Roman"/>
          <w:sz w:val="24"/>
          <w:szCs w:val="24"/>
        </w:rPr>
        <w:t xml:space="preserve"> możliwość nałożenia kary pieniężnej także i w tym przypadku. Przepis </w:t>
      </w:r>
      <w:r>
        <w:rPr>
          <w:rFonts w:ascii="Times New Roman" w:hAnsi="Times New Roman" w:cs="Times New Roman"/>
          <w:sz w:val="24"/>
          <w:szCs w:val="24"/>
        </w:rPr>
        <w:t>wzoruje się</w:t>
      </w:r>
      <w:r w:rsidR="00695ECE">
        <w:rPr>
          <w:rFonts w:ascii="Times New Roman" w:hAnsi="Times New Roman" w:cs="Times New Roman"/>
          <w:sz w:val="24"/>
          <w:szCs w:val="24"/>
        </w:rPr>
        <w:t xml:space="preserve"> </w:t>
      </w:r>
      <w:r>
        <w:rPr>
          <w:rFonts w:ascii="Times New Roman" w:hAnsi="Times New Roman" w:cs="Times New Roman"/>
          <w:sz w:val="24"/>
          <w:szCs w:val="24"/>
        </w:rPr>
        <w:t>na przepisie</w:t>
      </w:r>
      <w:r w:rsidRPr="00866C87">
        <w:rPr>
          <w:rFonts w:ascii="Times New Roman" w:hAnsi="Times New Roman" w:cs="Times New Roman"/>
          <w:sz w:val="24"/>
          <w:szCs w:val="24"/>
        </w:rPr>
        <w:t xml:space="preserve"> art. 176g ustawy o obrocie instrumentami finansowymi, który odnosi się do podobnego obowiązku z art. 32e ustawy o obrocie instrumentami finansowymi. Przepis określa </w:t>
      </w:r>
      <w:r w:rsidRPr="00813A5E">
        <w:rPr>
          <w:rFonts w:ascii="Times New Roman" w:hAnsi="Times New Roman" w:cs="Times New Roman"/>
          <w:sz w:val="24"/>
          <w:szCs w:val="24"/>
        </w:rPr>
        <w:t xml:space="preserve">górną granicę wysokości kary pieniężnej. Organ może nałożyć karę w niższej wysokości, nie </w:t>
      </w:r>
      <w:r>
        <w:rPr>
          <w:rFonts w:ascii="Times New Roman" w:hAnsi="Times New Roman" w:cs="Times New Roman"/>
          <w:sz w:val="24"/>
          <w:szCs w:val="24"/>
        </w:rPr>
        <w:t xml:space="preserve">może ona jednak być wyższa </w:t>
      </w:r>
      <w:r w:rsidRPr="00813A5E">
        <w:rPr>
          <w:rFonts w:ascii="Times New Roman" w:hAnsi="Times New Roman" w:cs="Times New Roman"/>
          <w:sz w:val="24"/>
          <w:szCs w:val="24"/>
        </w:rPr>
        <w:t xml:space="preserve">niż odpowiednio 5 000 000 i 2 500 000 zł. Możliwe jest zatem miarkowanie przez KNF kary, o której mowa w </w:t>
      </w:r>
      <w:r>
        <w:rPr>
          <w:rFonts w:ascii="Times New Roman" w:hAnsi="Times New Roman" w:cs="Times New Roman"/>
          <w:sz w:val="24"/>
          <w:szCs w:val="24"/>
        </w:rPr>
        <w:t>tym</w:t>
      </w:r>
      <w:r w:rsidRPr="00813A5E">
        <w:rPr>
          <w:rFonts w:ascii="Times New Roman" w:hAnsi="Times New Roman" w:cs="Times New Roman"/>
          <w:sz w:val="24"/>
          <w:szCs w:val="24"/>
        </w:rPr>
        <w:t xml:space="preserve"> artykule, po zapoznaniu się z konkretnym stanem faktycznym, określeniu wagi oraz stopnia naruszenia. Dyrektywy wymiaru kary pieniężnej można odnaleźć w art. 189d KPA. Pozostałe przepisy niniejszego rozdziału wynikają głównie z art. 111 rozporządzenia 2023/1114, który zezwala na przyznanie właściwym organom uprawnień do stosowania odpowiednich kar administracyjnych i innych środków administracyjnych w związku z naruszeniami określonymi w tym przepisie rozporządzenia.</w:t>
      </w:r>
      <w:bookmarkStart w:id="19" w:name="_Hlk173850908"/>
    </w:p>
    <w:p w14:paraId="1B9344A2" w14:textId="4352189F" w:rsidR="00C21D4B" w:rsidRPr="000C2FFC"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4</w:t>
      </w:r>
      <w:r w:rsidRPr="00813A5E">
        <w:rPr>
          <w:rFonts w:ascii="Times New Roman" w:hAnsi="Times New Roman" w:cs="Times New Roman"/>
          <w:b/>
          <w:bCs/>
          <w:sz w:val="24"/>
          <w:szCs w:val="24"/>
        </w:rPr>
        <w:t xml:space="preserve"> </w:t>
      </w:r>
      <w:r w:rsidRPr="00866C87">
        <w:rPr>
          <w:rFonts w:ascii="Times New Roman" w:hAnsi="Times New Roman" w:cs="Times New Roman"/>
          <w:sz w:val="24"/>
          <w:szCs w:val="24"/>
        </w:rPr>
        <w:t>określa wysokość kar pieniężnych, które KNF może nakładać na podmioty nadzorowane w przypadku naruszenia przez nie przepisów art. 2</w:t>
      </w:r>
      <w:r>
        <w:rPr>
          <w:rFonts w:ascii="Times New Roman" w:hAnsi="Times New Roman" w:cs="Times New Roman"/>
          <w:sz w:val="24"/>
          <w:szCs w:val="24"/>
        </w:rPr>
        <w:t>3</w:t>
      </w:r>
      <w:r w:rsidRPr="00813A5E">
        <w:rPr>
          <w:rFonts w:ascii="Times New Roman" w:hAnsi="Times New Roman" w:cs="Times New Roman"/>
          <w:sz w:val="24"/>
          <w:szCs w:val="24"/>
        </w:rPr>
        <w:t xml:space="preserve"> ust. 1, 3 </w:t>
      </w:r>
      <w:r>
        <w:rPr>
          <w:rFonts w:ascii="Times New Roman" w:hAnsi="Times New Roman" w:cs="Times New Roman"/>
          <w:sz w:val="24"/>
          <w:szCs w:val="24"/>
        </w:rPr>
        <w:t>lub</w:t>
      </w:r>
      <w:r w:rsidRPr="00813A5E">
        <w:rPr>
          <w:rFonts w:ascii="Times New Roman" w:hAnsi="Times New Roman" w:cs="Times New Roman"/>
          <w:sz w:val="24"/>
          <w:szCs w:val="24"/>
        </w:rPr>
        <w:t xml:space="preserve"> </w:t>
      </w:r>
      <w:r>
        <w:rPr>
          <w:rFonts w:ascii="Times New Roman" w:hAnsi="Times New Roman" w:cs="Times New Roman"/>
          <w:sz w:val="24"/>
          <w:szCs w:val="24"/>
        </w:rPr>
        <w:t>6</w:t>
      </w:r>
      <w:r w:rsidRPr="00813A5E">
        <w:rPr>
          <w:rFonts w:ascii="Times New Roman" w:hAnsi="Times New Roman" w:cs="Times New Roman"/>
          <w:sz w:val="24"/>
          <w:szCs w:val="24"/>
        </w:rPr>
        <w:t xml:space="preserve"> projektowanej ustawy lub </w:t>
      </w:r>
      <w:r w:rsidRPr="008750E0">
        <w:rPr>
          <w:rFonts w:ascii="Times New Roman" w:hAnsi="Times New Roman" w:cs="Times New Roman"/>
          <w:sz w:val="24"/>
          <w:szCs w:val="24"/>
        </w:rPr>
        <w:t>obowiązku przekazania informacji lub dokumentów, o których mowa w tych przepisach, w terminach określonych w przepisach wydanych</w:t>
      </w:r>
      <w:r>
        <w:rPr>
          <w:rFonts w:ascii="Times New Roman" w:hAnsi="Times New Roman" w:cs="Times New Roman"/>
          <w:sz w:val="24"/>
          <w:szCs w:val="24"/>
        </w:rPr>
        <w:t xml:space="preserve"> na podstawie art. </w:t>
      </w:r>
      <w:r w:rsidRPr="00813A5E">
        <w:rPr>
          <w:rFonts w:ascii="Times New Roman" w:hAnsi="Times New Roman" w:cs="Times New Roman"/>
          <w:sz w:val="24"/>
          <w:szCs w:val="24"/>
        </w:rPr>
        <w:t>2</w:t>
      </w:r>
      <w:r>
        <w:rPr>
          <w:rFonts w:ascii="Times New Roman" w:hAnsi="Times New Roman" w:cs="Times New Roman"/>
          <w:sz w:val="24"/>
          <w:szCs w:val="24"/>
        </w:rPr>
        <w:t>3</w:t>
      </w:r>
      <w:r w:rsidRPr="00813A5E">
        <w:rPr>
          <w:rFonts w:ascii="Times New Roman" w:hAnsi="Times New Roman" w:cs="Times New Roman"/>
          <w:sz w:val="24"/>
          <w:szCs w:val="24"/>
        </w:rPr>
        <w:t xml:space="preserve"> ust. </w:t>
      </w:r>
      <w:r>
        <w:rPr>
          <w:rFonts w:ascii="Times New Roman" w:hAnsi="Times New Roman" w:cs="Times New Roman"/>
          <w:sz w:val="24"/>
          <w:szCs w:val="24"/>
        </w:rPr>
        <w:t>9</w:t>
      </w:r>
      <w:r w:rsidRPr="00813A5E">
        <w:rPr>
          <w:rFonts w:ascii="Times New Roman" w:hAnsi="Times New Roman" w:cs="Times New Roman"/>
          <w:sz w:val="24"/>
          <w:szCs w:val="24"/>
        </w:rPr>
        <w:t xml:space="preserve"> </w:t>
      </w:r>
      <w:r>
        <w:rPr>
          <w:rFonts w:ascii="Times New Roman" w:hAnsi="Times New Roman" w:cs="Times New Roman"/>
          <w:sz w:val="24"/>
          <w:szCs w:val="24"/>
        </w:rPr>
        <w:t>projektowanej</w:t>
      </w:r>
      <w:r w:rsidRPr="00813A5E">
        <w:rPr>
          <w:rFonts w:ascii="Times New Roman" w:hAnsi="Times New Roman" w:cs="Times New Roman"/>
          <w:sz w:val="24"/>
          <w:szCs w:val="24"/>
        </w:rPr>
        <w:t xml:space="preserve"> ustawy lub przepisów art. 17, art. 19, art. 22, art. 23, art. 25, art. 27</w:t>
      </w:r>
      <w:r w:rsidR="00695ECE">
        <w:rPr>
          <w:rFonts w:ascii="Times New Roman" w:hAnsi="Times New Roman" w:cs="Times New Roman"/>
          <w:sz w:val="24"/>
          <w:szCs w:val="24"/>
        </w:rPr>
        <w:t>–</w:t>
      </w:r>
      <w:r w:rsidRPr="00813A5E">
        <w:rPr>
          <w:rFonts w:ascii="Times New Roman" w:hAnsi="Times New Roman" w:cs="Times New Roman"/>
          <w:sz w:val="24"/>
          <w:szCs w:val="24"/>
        </w:rPr>
        <w:t>40, art. 46</w:t>
      </w:r>
      <w:r w:rsidR="0065218B">
        <w:rPr>
          <w:rFonts w:ascii="Times New Roman" w:hAnsi="Times New Roman" w:cs="Times New Roman"/>
          <w:sz w:val="24"/>
          <w:szCs w:val="24"/>
        </w:rPr>
        <w:t xml:space="preserve"> i</w:t>
      </w:r>
      <w:r w:rsidRPr="00813A5E">
        <w:rPr>
          <w:rFonts w:ascii="Times New Roman" w:hAnsi="Times New Roman" w:cs="Times New Roman"/>
          <w:sz w:val="24"/>
          <w:szCs w:val="24"/>
        </w:rPr>
        <w:t>47, art. 49</w:t>
      </w:r>
      <w:r>
        <w:rPr>
          <w:rFonts w:ascii="Times New Roman" w:hAnsi="Times New Roman" w:cs="Times New Roman"/>
          <w:sz w:val="24"/>
          <w:szCs w:val="24"/>
        </w:rPr>
        <w:sym w:font="Symbol" w:char="F02D"/>
      </w:r>
      <w:r w:rsidRPr="00866C87">
        <w:rPr>
          <w:rFonts w:ascii="Times New Roman" w:hAnsi="Times New Roman" w:cs="Times New Roman"/>
          <w:sz w:val="24"/>
          <w:szCs w:val="24"/>
        </w:rPr>
        <w:t xml:space="preserve">51, lub art. 53 i art. 55 rozporządzenia 2023/1114 lub przepisów aktów delegowanych na podstawie art. 6 ust. 12, </w:t>
      </w:r>
      <w:r w:rsidRPr="00813A5E">
        <w:rPr>
          <w:rFonts w:ascii="Times New Roman" w:hAnsi="Times New Roman" w:cs="Times New Roman"/>
          <w:sz w:val="24"/>
          <w:szCs w:val="24"/>
        </w:rPr>
        <w:t>art. 17 ust. 8, art. 19 ust. 10 i 11, art. 22 ust. 6, art. 31 ust. 5, art. 32 ust. 5, art. 35 ust. 6, art. 36 ust. 4, art. 38 ust. 5, lub art. 51 ust. 10 i 15 tego rozporządzenia lub przepisów aktów wykonawczych wydanych na podstawie art. 19 ust. 10 lub art. 22 ust. 7 tego rozporządzenia</w:t>
      </w:r>
      <w:r w:rsidRPr="00925C80">
        <w:rPr>
          <w:rFonts w:ascii="Times New Roman" w:hAnsi="Times New Roman" w:cs="Arial"/>
          <w:sz w:val="24"/>
          <w:szCs w:val="20"/>
          <w:lang w:eastAsia="pl-PL"/>
        </w:rPr>
        <w:t xml:space="preserve"> </w:t>
      </w:r>
      <w:r w:rsidRPr="00925C80">
        <w:rPr>
          <w:rFonts w:ascii="Times New Roman" w:hAnsi="Times New Roman" w:cs="Times New Roman"/>
          <w:sz w:val="24"/>
          <w:szCs w:val="24"/>
        </w:rPr>
        <w:t>lub niewykonania zalece</w:t>
      </w:r>
      <w:r>
        <w:rPr>
          <w:rFonts w:ascii="Times New Roman" w:hAnsi="Times New Roman" w:cs="Times New Roman"/>
          <w:sz w:val="24"/>
          <w:szCs w:val="24"/>
        </w:rPr>
        <w:t xml:space="preserve">nia, o którym mowa w </w:t>
      </w:r>
      <w:r w:rsidRPr="00925C80">
        <w:rPr>
          <w:rFonts w:ascii="Times New Roman" w:hAnsi="Times New Roman" w:cs="Times New Roman"/>
          <w:sz w:val="24"/>
          <w:szCs w:val="24"/>
        </w:rPr>
        <w:t>art. 8</w:t>
      </w:r>
      <w:r w:rsidR="0065218B">
        <w:rPr>
          <w:rFonts w:ascii="Times New Roman" w:hAnsi="Times New Roman" w:cs="Times New Roman"/>
          <w:sz w:val="24"/>
          <w:szCs w:val="24"/>
        </w:rPr>
        <w:t>2</w:t>
      </w:r>
      <w:r w:rsidRPr="00813A5E">
        <w:rPr>
          <w:rFonts w:ascii="Times New Roman" w:hAnsi="Times New Roman" w:cs="Times New Roman"/>
          <w:sz w:val="24"/>
          <w:szCs w:val="24"/>
        </w:rPr>
        <w:t xml:space="preserve">. </w:t>
      </w:r>
      <w:r w:rsidRPr="000C2FFC">
        <w:rPr>
          <w:rFonts w:ascii="Times New Roman" w:hAnsi="Times New Roman" w:cs="Times New Roman"/>
          <w:sz w:val="24"/>
          <w:szCs w:val="24"/>
        </w:rPr>
        <w:t>Zalecenia, o których mowa w art. 8</w:t>
      </w:r>
      <w:r w:rsidR="0065218B">
        <w:rPr>
          <w:rFonts w:ascii="Times New Roman" w:hAnsi="Times New Roman" w:cs="Times New Roman"/>
          <w:sz w:val="24"/>
          <w:szCs w:val="24"/>
        </w:rPr>
        <w:t>2</w:t>
      </w:r>
      <w:r w:rsidRPr="000C2FFC">
        <w:rPr>
          <w:rFonts w:ascii="Times New Roman" w:hAnsi="Times New Roman" w:cs="Times New Roman"/>
          <w:sz w:val="24"/>
          <w:szCs w:val="24"/>
        </w:rPr>
        <w:t xml:space="preserve"> projektu ustawy</w:t>
      </w:r>
      <w:r>
        <w:rPr>
          <w:rFonts w:ascii="Times New Roman" w:hAnsi="Times New Roman" w:cs="Times New Roman"/>
          <w:sz w:val="24"/>
          <w:szCs w:val="24"/>
        </w:rPr>
        <w:t xml:space="preserve">, </w:t>
      </w:r>
      <w:r w:rsidRPr="000C2FFC">
        <w:rPr>
          <w:rFonts w:ascii="Times New Roman" w:hAnsi="Times New Roman" w:cs="Times New Roman"/>
          <w:sz w:val="24"/>
          <w:szCs w:val="24"/>
        </w:rPr>
        <w:t xml:space="preserve">dotyczą m.in. rozpatrywania skarg, polityki, procedury i metodologii zapobiegania konfliktom interesów, wymogów w zakresie funduszy własnych, rezerwy aktywów, instrumentów finansowych, które można uznać za instrumenty wysoce płynne i instrumenty o minimalnym ryzyku rynkowym i kredytowym oraz minimalnym ryzyku koncentracji, w jakie może inwestować emitent </w:t>
      </w:r>
      <w:proofErr w:type="spellStart"/>
      <w:r w:rsidRPr="000C2FFC">
        <w:rPr>
          <w:rFonts w:ascii="Times New Roman" w:hAnsi="Times New Roman" w:cs="Times New Roman"/>
          <w:sz w:val="24"/>
          <w:szCs w:val="24"/>
        </w:rPr>
        <w:t>tokenów</w:t>
      </w:r>
      <w:proofErr w:type="spellEnd"/>
      <w:r w:rsidRPr="000C2FFC">
        <w:rPr>
          <w:rFonts w:ascii="Times New Roman" w:hAnsi="Times New Roman" w:cs="Times New Roman"/>
          <w:sz w:val="24"/>
          <w:szCs w:val="24"/>
        </w:rPr>
        <w:t>. Podobnie jak w przypadku większości zaleceń wydawanych przez KNF wobec podmiotów nadzorowanych rynku finansowego, dotyczą</w:t>
      </w:r>
      <w:r>
        <w:rPr>
          <w:rFonts w:ascii="Times New Roman" w:hAnsi="Times New Roman" w:cs="Times New Roman"/>
          <w:sz w:val="24"/>
          <w:szCs w:val="24"/>
        </w:rPr>
        <w:t xml:space="preserve"> one</w:t>
      </w:r>
      <w:r w:rsidRPr="000C2FFC">
        <w:rPr>
          <w:rFonts w:ascii="Times New Roman" w:hAnsi="Times New Roman" w:cs="Times New Roman"/>
          <w:sz w:val="24"/>
          <w:szCs w:val="24"/>
        </w:rPr>
        <w:t xml:space="preserve"> obowiązku poprawy zarzadzania danym obszarem, osiągnięcia celu opisanego normą ostrożnościową, a nie wykonania jednej, konkretnie wskazanej czynności prawnej albo faktycznej. Zalecenia wskazują</w:t>
      </w:r>
      <w:r>
        <w:rPr>
          <w:rFonts w:ascii="Times New Roman" w:hAnsi="Times New Roman" w:cs="Times New Roman"/>
          <w:sz w:val="24"/>
          <w:szCs w:val="24"/>
        </w:rPr>
        <w:t xml:space="preserve"> </w:t>
      </w:r>
      <w:r w:rsidRPr="000C2FFC">
        <w:rPr>
          <w:rFonts w:ascii="Times New Roman" w:hAnsi="Times New Roman" w:cs="Times New Roman"/>
          <w:sz w:val="24"/>
          <w:szCs w:val="24"/>
        </w:rPr>
        <w:t xml:space="preserve">obszar wymagający poprawy, czyli cel jaki należy osiągnąć, jakim jest zgodność z normą ostrożnościową. Podmiot </w:t>
      </w:r>
      <w:r>
        <w:rPr>
          <w:rFonts w:ascii="Times New Roman" w:hAnsi="Times New Roman" w:cs="Times New Roman"/>
          <w:sz w:val="24"/>
          <w:szCs w:val="24"/>
        </w:rPr>
        <w:t xml:space="preserve">nadzorowany </w:t>
      </w:r>
      <w:r w:rsidRPr="000C2FFC">
        <w:rPr>
          <w:rFonts w:ascii="Times New Roman" w:hAnsi="Times New Roman" w:cs="Times New Roman"/>
          <w:sz w:val="24"/>
          <w:szCs w:val="24"/>
        </w:rPr>
        <w:t>może osiągnąć ten cel na różne prawnie dopuszczalne sposoby (w przypadku normy koncentracji zaangażowani</w:t>
      </w:r>
      <w:r>
        <w:rPr>
          <w:rFonts w:ascii="Times New Roman" w:hAnsi="Times New Roman" w:cs="Times New Roman"/>
          <w:sz w:val="24"/>
          <w:szCs w:val="24"/>
        </w:rPr>
        <w:t>a</w:t>
      </w:r>
      <w:r w:rsidRPr="000C2FFC">
        <w:rPr>
          <w:rFonts w:ascii="Times New Roman" w:hAnsi="Times New Roman" w:cs="Times New Roman"/>
          <w:sz w:val="24"/>
          <w:szCs w:val="24"/>
        </w:rPr>
        <w:t xml:space="preserve"> może np. zdynamizować działalność w jednym obszarze, albo ograniczyć ją w innym). </w:t>
      </w:r>
    </w:p>
    <w:p w14:paraId="7BBCB06C" w14:textId="36BE05FD" w:rsidR="00C21D4B" w:rsidRPr="000C2FFC" w:rsidRDefault="00C21D4B" w:rsidP="00695ECE">
      <w:pPr>
        <w:pStyle w:val="Akapitzlist"/>
        <w:spacing w:line="360" w:lineRule="auto"/>
        <w:jc w:val="both"/>
        <w:rPr>
          <w:rFonts w:ascii="Times New Roman" w:hAnsi="Times New Roman" w:cs="Times New Roman"/>
          <w:sz w:val="24"/>
          <w:szCs w:val="24"/>
        </w:rPr>
      </w:pPr>
      <w:r w:rsidRPr="000C2FFC">
        <w:rPr>
          <w:rFonts w:ascii="Times New Roman" w:hAnsi="Times New Roman" w:cs="Times New Roman"/>
          <w:sz w:val="24"/>
          <w:szCs w:val="24"/>
        </w:rPr>
        <w:t>Przepis ten stanowi wykonanie art. 111</w:t>
      </w:r>
      <w:r>
        <w:rPr>
          <w:rFonts w:ascii="Times New Roman" w:hAnsi="Times New Roman" w:cs="Times New Roman"/>
          <w:sz w:val="24"/>
          <w:szCs w:val="24"/>
        </w:rPr>
        <w:t xml:space="preserve"> (Kary administracyjne i inne środki administracyjne)</w:t>
      </w:r>
      <w:r w:rsidRPr="000C2FFC">
        <w:rPr>
          <w:rFonts w:ascii="Times New Roman" w:hAnsi="Times New Roman" w:cs="Times New Roman"/>
          <w:sz w:val="24"/>
          <w:szCs w:val="24"/>
        </w:rPr>
        <w:t xml:space="preserve"> rozporządzenia 2023/1114, który umożliwia nadanie organowi właściwemu uprawnienia do nakładania administracyjnych kar pieniężnych </w:t>
      </w:r>
      <w:r>
        <w:rPr>
          <w:rFonts w:ascii="Times New Roman" w:hAnsi="Times New Roman" w:cs="Times New Roman"/>
          <w:sz w:val="24"/>
          <w:szCs w:val="24"/>
        </w:rPr>
        <w:t xml:space="preserve">i </w:t>
      </w:r>
      <w:r w:rsidRPr="002452FC">
        <w:rPr>
          <w:rFonts w:ascii="Times New Roman" w:hAnsi="Times New Roman" w:cs="Times New Roman"/>
          <w:sz w:val="24"/>
          <w:szCs w:val="24"/>
        </w:rPr>
        <w:t>inn</w:t>
      </w:r>
      <w:r>
        <w:rPr>
          <w:rFonts w:ascii="Times New Roman" w:hAnsi="Times New Roman" w:cs="Times New Roman"/>
          <w:sz w:val="24"/>
          <w:szCs w:val="24"/>
        </w:rPr>
        <w:t>ych</w:t>
      </w:r>
      <w:r w:rsidRPr="002452FC">
        <w:rPr>
          <w:rFonts w:ascii="Times New Roman" w:hAnsi="Times New Roman" w:cs="Times New Roman"/>
          <w:sz w:val="24"/>
          <w:szCs w:val="24"/>
        </w:rPr>
        <w:t xml:space="preserve"> środk</w:t>
      </w:r>
      <w:r>
        <w:rPr>
          <w:rFonts w:ascii="Times New Roman" w:hAnsi="Times New Roman" w:cs="Times New Roman"/>
          <w:sz w:val="24"/>
          <w:szCs w:val="24"/>
        </w:rPr>
        <w:t>ów</w:t>
      </w:r>
      <w:r w:rsidRPr="002452FC">
        <w:rPr>
          <w:rFonts w:ascii="Times New Roman" w:hAnsi="Times New Roman" w:cs="Times New Roman"/>
          <w:sz w:val="24"/>
          <w:szCs w:val="24"/>
        </w:rPr>
        <w:t xml:space="preserve"> administracyjn</w:t>
      </w:r>
      <w:r>
        <w:rPr>
          <w:rFonts w:ascii="Times New Roman" w:hAnsi="Times New Roman" w:cs="Times New Roman"/>
          <w:sz w:val="24"/>
          <w:szCs w:val="24"/>
        </w:rPr>
        <w:t>ych (w tym np. zaleceń)</w:t>
      </w:r>
      <w:r w:rsidRPr="002452FC">
        <w:rPr>
          <w:rFonts w:ascii="Times New Roman" w:hAnsi="Times New Roman" w:cs="Times New Roman"/>
          <w:sz w:val="24"/>
          <w:szCs w:val="24"/>
        </w:rPr>
        <w:t xml:space="preserve"> </w:t>
      </w:r>
      <w:r w:rsidRPr="000C2FFC">
        <w:rPr>
          <w:rFonts w:ascii="Times New Roman" w:hAnsi="Times New Roman" w:cs="Times New Roman"/>
          <w:sz w:val="24"/>
          <w:szCs w:val="24"/>
        </w:rPr>
        <w:t xml:space="preserve">na nadzorowane podmioty. Niezależnie od nałożenia kary pieniężnej na oferującego, emitenta </w:t>
      </w:r>
      <w:proofErr w:type="spellStart"/>
      <w:r w:rsidRPr="000C2FFC">
        <w:rPr>
          <w:rFonts w:ascii="Times New Roman" w:hAnsi="Times New Roman" w:cs="Times New Roman"/>
          <w:sz w:val="24"/>
          <w:szCs w:val="24"/>
        </w:rPr>
        <w:t>tokenów</w:t>
      </w:r>
      <w:proofErr w:type="spellEnd"/>
      <w:r w:rsidRPr="000C2FFC">
        <w:rPr>
          <w:rFonts w:ascii="Times New Roman" w:hAnsi="Times New Roman" w:cs="Times New Roman"/>
          <w:sz w:val="24"/>
          <w:szCs w:val="24"/>
        </w:rPr>
        <w:t xml:space="preserve"> powiązanych z aktywami lub </w:t>
      </w:r>
      <w:proofErr w:type="spellStart"/>
      <w:r w:rsidRPr="000C2FFC">
        <w:rPr>
          <w:rFonts w:ascii="Times New Roman" w:hAnsi="Times New Roman" w:cs="Times New Roman"/>
          <w:sz w:val="24"/>
          <w:szCs w:val="24"/>
        </w:rPr>
        <w:t>tokenów</w:t>
      </w:r>
      <w:proofErr w:type="spellEnd"/>
      <w:r w:rsidRPr="000C2FFC">
        <w:rPr>
          <w:rFonts w:ascii="Times New Roman" w:hAnsi="Times New Roman" w:cs="Times New Roman"/>
          <w:sz w:val="24"/>
          <w:szCs w:val="24"/>
        </w:rPr>
        <w:t xml:space="preserve"> będących e-pieniądzem lub osobę ubiegającą się o dopuszczenie do obrotu </w:t>
      </w:r>
      <w:proofErr w:type="spellStart"/>
      <w:r w:rsidRPr="000C2FFC">
        <w:rPr>
          <w:rFonts w:ascii="Times New Roman" w:hAnsi="Times New Roman" w:cs="Times New Roman"/>
          <w:sz w:val="24"/>
          <w:szCs w:val="24"/>
        </w:rPr>
        <w:t>kryptoaktywów</w:t>
      </w:r>
      <w:proofErr w:type="spellEnd"/>
      <w:r w:rsidRPr="000C2FFC">
        <w:rPr>
          <w:rFonts w:ascii="Times New Roman" w:hAnsi="Times New Roman" w:cs="Times New Roman"/>
          <w:sz w:val="24"/>
          <w:szCs w:val="24"/>
        </w:rPr>
        <w:t xml:space="preserve"> za naruszenie przepisów rozporządzenia 2023/1114 Komisja może również nakazać podmiotowi, który dopuścił się danego naruszenia lub nie wykonał zalecenia, zaprzestanie tego naruszenia i niepodejmowanie tego działania w przyszłości, </w:t>
      </w:r>
      <w:r>
        <w:rPr>
          <w:rFonts w:ascii="Times New Roman" w:hAnsi="Times New Roman" w:cs="Times New Roman"/>
          <w:sz w:val="24"/>
          <w:szCs w:val="24"/>
        </w:rPr>
        <w:t xml:space="preserve">lub wykonanie tego zalecenia, </w:t>
      </w:r>
      <w:r w:rsidRPr="000C2FFC">
        <w:rPr>
          <w:rFonts w:ascii="Times New Roman" w:hAnsi="Times New Roman" w:cs="Times New Roman"/>
          <w:sz w:val="24"/>
          <w:szCs w:val="24"/>
        </w:rPr>
        <w:t>nałożyć na osobę odpowiedzialną za naruszenie lub niewykonanie zalecenia karę pieniężną do określonej wysokości oraz, w przypadku gdy naruszenie to ma charakter poważny, wystąpić z wnioskiem o odwołanie ze składu organu zarządzającego osoby odpowiedzialnej za stwierdzone naruszenie. Wskazać należy, że użycie terminu „poważnego charakteru” jest tożsame z użyciem tego terminu w ustawie o obrocie instrumentami finansowymi, gdzie została wprowadzona analogiczna terminologia. Nakaz zaprzestania określonego działania wprowadza gradację ingerencji KNF w swobodę działalności gospodarczej przedsiębiorcy. Co do zasady, to przedsiębiorca powinien samodzielnie podjąć takie działania, które pozwolą trwale osiągnąć stan zgodności z normą prawa. Władcza ingerencja organu nadzoru nakazująca zaprzestanie, lub podjęcie określonego działania, będzie mieć miejsce dopiero kiedy przedsiębiorca nie podejmie skutecznych działań. Kolejnym krokiem może być zastosowanie sankcji.</w:t>
      </w:r>
      <w:r>
        <w:rPr>
          <w:rFonts w:ascii="Times New Roman" w:hAnsi="Times New Roman" w:cs="Times New Roman"/>
          <w:sz w:val="24"/>
          <w:szCs w:val="24"/>
        </w:rPr>
        <w:t xml:space="preserve"> </w:t>
      </w:r>
      <w:r w:rsidRPr="000C2FFC">
        <w:rPr>
          <w:rFonts w:ascii="Times New Roman" w:hAnsi="Times New Roman" w:cs="Times New Roman"/>
          <w:sz w:val="24"/>
          <w:szCs w:val="24"/>
        </w:rPr>
        <w:t xml:space="preserve">Nadanie Komisji powyższych uprawnień do stosowania odpowiednich kar i środków administracyjnych stanowi wykonanie przepisów art. 111 ust. 2 lit. b oraz d, ust. 5 lit. b oraz e rozporządzenia 2023/1114. Ust. </w:t>
      </w:r>
      <w:r w:rsidR="0065218B">
        <w:rPr>
          <w:rFonts w:ascii="Times New Roman" w:hAnsi="Times New Roman" w:cs="Times New Roman"/>
          <w:sz w:val="24"/>
          <w:szCs w:val="24"/>
        </w:rPr>
        <w:t>4</w:t>
      </w:r>
      <w:r w:rsidRPr="000C2FFC">
        <w:rPr>
          <w:rFonts w:ascii="Times New Roman" w:hAnsi="Times New Roman" w:cs="Times New Roman"/>
          <w:sz w:val="24"/>
          <w:szCs w:val="24"/>
        </w:rPr>
        <w:t xml:space="preserve"> stanowi, że w przypadku gdy jest możliwe ustalenie kwoty korzyści osiągniętej lub straty unikniętej w wyniku tego naruszenia lub niewykonania zalecenia,</w:t>
      </w:r>
      <w:r w:rsidRPr="00813A5E">
        <w:t xml:space="preserve"> </w:t>
      </w:r>
      <w:r w:rsidRPr="000C2FFC">
        <w:rPr>
          <w:rFonts w:ascii="Times New Roman" w:hAnsi="Times New Roman" w:cs="Times New Roman"/>
          <w:sz w:val="24"/>
          <w:szCs w:val="24"/>
        </w:rPr>
        <w:t>kara pieniężna, o której mowa w ust. 1</w:t>
      </w:r>
      <w:r w:rsidR="0065218B">
        <w:rPr>
          <w:rFonts w:ascii="Times New Roman" w:hAnsi="Times New Roman" w:cs="Times New Roman"/>
          <w:sz w:val="24"/>
          <w:szCs w:val="24"/>
        </w:rPr>
        <w:t xml:space="preserve">, 2 </w:t>
      </w:r>
      <w:r w:rsidRPr="000C2FFC">
        <w:rPr>
          <w:rFonts w:ascii="Times New Roman" w:hAnsi="Times New Roman" w:cs="Times New Roman"/>
          <w:sz w:val="24"/>
          <w:szCs w:val="24"/>
        </w:rPr>
        <w:t xml:space="preserve"> i ust. </w:t>
      </w:r>
      <w:r w:rsidR="0065218B">
        <w:rPr>
          <w:rFonts w:ascii="Times New Roman" w:hAnsi="Times New Roman" w:cs="Times New Roman"/>
          <w:sz w:val="24"/>
          <w:szCs w:val="24"/>
        </w:rPr>
        <w:t>3</w:t>
      </w:r>
      <w:r w:rsidRPr="000C2FFC">
        <w:rPr>
          <w:rFonts w:ascii="Times New Roman" w:hAnsi="Times New Roman" w:cs="Times New Roman"/>
          <w:sz w:val="24"/>
          <w:szCs w:val="24"/>
        </w:rPr>
        <w:t xml:space="preserve"> pkt 2 może być nałożona do wysokości dwukrotności tej kwoty. Ust. 4 określa co stanowi całkowity roczny przychód w przypadku gdy podmiot nadzorowany jest jednostką dominującą, która sporządza skonsolidowane sprawozdanie finansowe, albo jednostką zależną od jednostki dominującej, która sporządza skonsolidowane sprawozdanie finansowe. Wysokość maksymalnej wysokości kar pieniężnych wynika odpowiednio z przepisów art. 111 ust. 2 lit. d oraz ust. 3 lit. a, b d rozporządzenia 2023/1114. Ust. </w:t>
      </w:r>
      <w:r w:rsidR="0065218B">
        <w:rPr>
          <w:rFonts w:ascii="Times New Roman" w:hAnsi="Times New Roman" w:cs="Times New Roman"/>
          <w:sz w:val="24"/>
          <w:szCs w:val="24"/>
        </w:rPr>
        <w:t>6</w:t>
      </w:r>
      <w:r w:rsidRPr="000C2FFC">
        <w:rPr>
          <w:rFonts w:ascii="Times New Roman" w:hAnsi="Times New Roman" w:cs="Times New Roman"/>
          <w:sz w:val="24"/>
          <w:szCs w:val="24"/>
        </w:rPr>
        <w:t xml:space="preserve"> precyzuje, że </w:t>
      </w:r>
      <w:r w:rsidRPr="000C2FFC">
        <w:rPr>
          <w:rFonts w:ascii="Times New Roman" w:eastAsia="Times New Roman" w:hAnsi="Times New Roman" w:cs="Arial"/>
          <w:sz w:val="24"/>
          <w:szCs w:val="20"/>
          <w:lang w:eastAsia="pl-PL"/>
        </w:rPr>
        <w:t xml:space="preserve">Komisja w przypadku cofnięcia zezwolenia zgodnie z art. 24 ust. 1 lit. b–d oraz g rozporządzenia 2023/1114, </w:t>
      </w:r>
      <w:r w:rsidRPr="000C2FFC">
        <w:rPr>
          <w:rFonts w:ascii="Times New Roman" w:hAnsi="Times New Roman" w:cs="Times New Roman"/>
          <w:sz w:val="24"/>
          <w:szCs w:val="24"/>
        </w:rPr>
        <w:t xml:space="preserve">jeżeli uzasadnia to charakter naruszenia przez emitenta </w:t>
      </w:r>
      <w:proofErr w:type="spellStart"/>
      <w:r w:rsidRPr="000C2FFC">
        <w:rPr>
          <w:rFonts w:ascii="Times New Roman" w:hAnsi="Times New Roman" w:cs="Times New Roman"/>
          <w:sz w:val="24"/>
          <w:szCs w:val="24"/>
        </w:rPr>
        <w:t>tokenów</w:t>
      </w:r>
      <w:proofErr w:type="spellEnd"/>
      <w:r w:rsidRPr="000C2FFC">
        <w:rPr>
          <w:rFonts w:ascii="Times New Roman" w:hAnsi="Times New Roman" w:cs="Times New Roman"/>
          <w:sz w:val="24"/>
          <w:szCs w:val="24"/>
        </w:rPr>
        <w:t xml:space="preserve"> powiązanych z aktywami, może nałożyć środki i sankcje, o których mowa w ust. 1</w:t>
      </w:r>
      <w:r w:rsidR="0065218B">
        <w:rPr>
          <w:rFonts w:ascii="Times New Roman" w:hAnsi="Times New Roman" w:cs="Times New Roman"/>
          <w:sz w:val="24"/>
          <w:szCs w:val="24"/>
        </w:rPr>
        <w:t xml:space="preserve">–3. </w:t>
      </w:r>
      <w:r w:rsidRPr="000C2FFC">
        <w:rPr>
          <w:rFonts w:ascii="Times New Roman" w:hAnsi="Times New Roman" w:cs="Times New Roman"/>
          <w:sz w:val="24"/>
          <w:szCs w:val="24"/>
        </w:rPr>
        <w:t xml:space="preserve"> </w:t>
      </w:r>
    </w:p>
    <w:p w14:paraId="10C91A92" w14:textId="77777777"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5</w:t>
      </w:r>
      <w:r w:rsidRPr="00813A5E">
        <w:rPr>
          <w:rFonts w:ascii="Times New Roman" w:hAnsi="Times New Roman" w:cs="Times New Roman"/>
          <w:sz w:val="24"/>
          <w:szCs w:val="24"/>
        </w:rPr>
        <w:t xml:space="preserve"> </w:t>
      </w:r>
      <w:r w:rsidRPr="00866C87">
        <w:rPr>
          <w:rFonts w:ascii="Times New Roman" w:hAnsi="Times New Roman" w:cs="Times New Roman"/>
          <w:sz w:val="24"/>
          <w:szCs w:val="24"/>
        </w:rPr>
        <w:t xml:space="preserve">ust. 1 określa środki, jakie Komisja może zastosować w przypadku naruszenia przez dostawcę usług w zakresie </w:t>
      </w:r>
      <w:proofErr w:type="spellStart"/>
      <w:r w:rsidRPr="00866C87">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przepisów art. 6 ust. 4, art. 2</w:t>
      </w:r>
      <w:r>
        <w:rPr>
          <w:rFonts w:ascii="Times New Roman" w:hAnsi="Times New Roman" w:cs="Times New Roman"/>
          <w:sz w:val="24"/>
          <w:szCs w:val="24"/>
        </w:rPr>
        <w:t>3</w:t>
      </w:r>
      <w:r w:rsidRPr="00813A5E">
        <w:rPr>
          <w:rFonts w:ascii="Times New Roman" w:hAnsi="Times New Roman" w:cs="Times New Roman"/>
          <w:sz w:val="24"/>
          <w:szCs w:val="24"/>
        </w:rPr>
        <w:t xml:space="preserve"> ust. 2</w:t>
      </w:r>
      <w:r>
        <w:rPr>
          <w:rFonts w:ascii="Times New Roman" w:hAnsi="Times New Roman" w:cs="Times New Roman"/>
          <w:sz w:val="24"/>
          <w:szCs w:val="24"/>
        </w:rPr>
        <w:t>, 3</w:t>
      </w:r>
      <w:r w:rsidRPr="00813A5E">
        <w:rPr>
          <w:rFonts w:ascii="Times New Roman" w:hAnsi="Times New Roman" w:cs="Times New Roman"/>
          <w:sz w:val="24"/>
          <w:szCs w:val="24"/>
        </w:rPr>
        <w:t xml:space="preserve"> </w:t>
      </w:r>
      <w:r>
        <w:rPr>
          <w:rFonts w:ascii="Times New Roman" w:hAnsi="Times New Roman" w:cs="Times New Roman"/>
          <w:sz w:val="24"/>
          <w:szCs w:val="24"/>
        </w:rPr>
        <w:t>lub</w:t>
      </w:r>
      <w:r w:rsidRPr="00813A5E">
        <w:rPr>
          <w:rFonts w:ascii="Times New Roman" w:hAnsi="Times New Roman" w:cs="Times New Roman"/>
          <w:sz w:val="24"/>
          <w:szCs w:val="24"/>
        </w:rPr>
        <w:t xml:space="preserve"> </w:t>
      </w:r>
      <w:r>
        <w:rPr>
          <w:rFonts w:ascii="Times New Roman" w:hAnsi="Times New Roman" w:cs="Times New Roman"/>
          <w:sz w:val="24"/>
          <w:szCs w:val="24"/>
        </w:rPr>
        <w:t>6</w:t>
      </w:r>
      <w:r w:rsidRPr="00813A5E">
        <w:rPr>
          <w:rFonts w:ascii="Times New Roman" w:hAnsi="Times New Roman" w:cs="Times New Roman"/>
          <w:sz w:val="24"/>
          <w:szCs w:val="24"/>
        </w:rPr>
        <w:t xml:space="preserve"> projektowanej ustawy </w:t>
      </w:r>
      <w:r w:rsidRPr="00F12BC7">
        <w:rPr>
          <w:rFonts w:ascii="Times New Roman" w:eastAsia="Times New Roman" w:hAnsi="Times New Roman" w:cs="Arial"/>
          <w:sz w:val="24"/>
          <w:szCs w:val="20"/>
          <w:lang w:eastAsia="pl-PL"/>
        </w:rPr>
        <w:t xml:space="preserve">lub obowiązku przekazania informacji lub dokumentów, o których mowa w tych przepisach, w </w:t>
      </w:r>
      <w:r w:rsidRPr="00445F99">
        <w:rPr>
          <w:rFonts w:ascii="Times New Roman" w:eastAsia="Times New Roman" w:hAnsi="Times New Roman" w:cs="Arial"/>
          <w:sz w:val="24"/>
          <w:szCs w:val="20"/>
          <w:lang w:eastAsia="pl-PL"/>
        </w:rPr>
        <w:t>terminach okre</w:t>
      </w:r>
      <w:r w:rsidRPr="00445F99">
        <w:rPr>
          <w:rFonts w:ascii="Times New Roman" w:eastAsia="Times New Roman" w:hAnsi="Times New Roman" w:cs="Arial" w:hint="eastAsia"/>
          <w:sz w:val="24"/>
          <w:szCs w:val="20"/>
          <w:lang w:eastAsia="pl-PL"/>
        </w:rPr>
        <w:t>ś</w:t>
      </w:r>
      <w:r w:rsidRPr="00445F99">
        <w:rPr>
          <w:rFonts w:ascii="Times New Roman" w:eastAsia="Times New Roman" w:hAnsi="Times New Roman" w:cs="Arial"/>
          <w:sz w:val="24"/>
          <w:szCs w:val="20"/>
          <w:lang w:eastAsia="pl-PL"/>
        </w:rPr>
        <w:t xml:space="preserve">lonych w przepisach wydanych na podstawie art. 23 ust. </w:t>
      </w:r>
      <w:r>
        <w:rPr>
          <w:rFonts w:ascii="Times New Roman" w:eastAsia="Times New Roman" w:hAnsi="Times New Roman" w:cs="Arial"/>
          <w:sz w:val="24"/>
          <w:szCs w:val="20"/>
          <w:lang w:eastAsia="pl-PL"/>
        </w:rPr>
        <w:t xml:space="preserve">9, </w:t>
      </w:r>
      <w:r w:rsidRPr="00813A5E">
        <w:rPr>
          <w:rFonts w:ascii="Times New Roman" w:hAnsi="Times New Roman" w:cs="Times New Roman"/>
          <w:sz w:val="24"/>
          <w:szCs w:val="24"/>
        </w:rPr>
        <w:t>przepisów aktów wykonawczych wydanych na podstawie art. 4</w:t>
      </w:r>
      <w:r>
        <w:rPr>
          <w:rFonts w:ascii="Times New Roman" w:hAnsi="Times New Roman" w:cs="Times New Roman"/>
          <w:sz w:val="24"/>
          <w:szCs w:val="24"/>
        </w:rPr>
        <w:t xml:space="preserve"> ust. 4</w:t>
      </w:r>
      <w:r w:rsidRPr="00813A5E">
        <w:rPr>
          <w:rFonts w:ascii="Times New Roman" w:hAnsi="Times New Roman" w:cs="Times New Roman"/>
          <w:sz w:val="24"/>
          <w:szCs w:val="24"/>
        </w:rPr>
        <w:t xml:space="preserve">, art. </w:t>
      </w:r>
      <w:r>
        <w:rPr>
          <w:rFonts w:ascii="Times New Roman" w:hAnsi="Times New Roman" w:cs="Times New Roman"/>
          <w:sz w:val="24"/>
          <w:szCs w:val="24"/>
        </w:rPr>
        <w:t>14</w:t>
      </w:r>
      <w:r w:rsidRPr="00813A5E">
        <w:rPr>
          <w:rFonts w:ascii="Times New Roman" w:hAnsi="Times New Roman" w:cs="Times New Roman"/>
          <w:sz w:val="24"/>
          <w:szCs w:val="24"/>
        </w:rPr>
        <w:t xml:space="preserve"> projektowanej ustawy lub przepisów art. 22 ust. 3, art. 40 ust. 2, art. 64 ust. 8 i art. 65–82 rozporządzenia 2023/1114 lub przepisów aktów delegowanych wydanych na podstawie art. 66 ust. 6, art. 68 ust. 10, art. 71 ust. 5, art. 72 ust. 5, art. 76 ust. 16, tego rozporządzenia lub przepisów aktów wykonawczych wydanych na podstawie art. 22 ust. 7 tego rozporządzenia. Na tej podstawie, zgodnie z przepisami art. 111 rozporządzenia 2023/1114, Komisja może nałożyć karę pieniężną zarówno na osobę odpowiedzialną za zaistniałe naruszenie, jak i dostawcę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Ust. 2 natomiast określa</w:t>
      </w:r>
      <w:r>
        <w:rPr>
          <w:rFonts w:ascii="Times New Roman" w:hAnsi="Times New Roman" w:cs="Times New Roman"/>
          <w:sz w:val="24"/>
          <w:szCs w:val="24"/>
        </w:rPr>
        <w:t xml:space="preserve">, że </w:t>
      </w:r>
      <w:r w:rsidRPr="00813A5E">
        <w:rPr>
          <w:rFonts w:ascii="Times New Roman" w:hAnsi="Times New Roman" w:cs="Times New Roman"/>
          <w:sz w:val="24"/>
          <w:szCs w:val="24"/>
        </w:rPr>
        <w:t xml:space="preserve">w przypadku naruszenia przez dostawcę usług w zakresie </w:t>
      </w:r>
      <w:proofErr w:type="spellStart"/>
      <w:r w:rsidRPr="00813A5E">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ww. przepisów, </w:t>
      </w:r>
      <w:r w:rsidRPr="00813A5E">
        <w:rPr>
          <w:rFonts w:ascii="Times New Roman" w:hAnsi="Times New Roman" w:cs="Times New Roman"/>
          <w:sz w:val="24"/>
          <w:szCs w:val="24"/>
        </w:rPr>
        <w:t>Komisja</w:t>
      </w:r>
      <w:r>
        <w:rPr>
          <w:rFonts w:ascii="Times New Roman" w:hAnsi="Times New Roman" w:cs="Times New Roman"/>
          <w:sz w:val="24"/>
          <w:szCs w:val="24"/>
        </w:rPr>
        <w:t>,</w:t>
      </w:r>
      <w:r w:rsidRPr="00813A5E">
        <w:rPr>
          <w:rFonts w:ascii="Times New Roman" w:hAnsi="Times New Roman" w:cs="Times New Roman"/>
          <w:sz w:val="24"/>
          <w:szCs w:val="24"/>
        </w:rPr>
        <w:t xml:space="preserve"> </w:t>
      </w:r>
      <w:r>
        <w:rPr>
          <w:rFonts w:ascii="Times New Roman" w:hAnsi="Times New Roman" w:cs="Times New Roman"/>
          <w:sz w:val="24"/>
          <w:szCs w:val="24"/>
        </w:rPr>
        <w:t>niezależnie od zastosowania kary pieniężnej, o której mowa w tym przepisie</w:t>
      </w:r>
      <w:r w:rsidRPr="00813A5E">
        <w:rPr>
          <w:rFonts w:ascii="Times New Roman" w:hAnsi="Times New Roman" w:cs="Times New Roman"/>
          <w:sz w:val="24"/>
          <w:szCs w:val="24"/>
        </w:rPr>
        <w:t xml:space="preserve"> może zastosować</w:t>
      </w:r>
      <w:r>
        <w:rPr>
          <w:rFonts w:ascii="Times New Roman" w:hAnsi="Times New Roman" w:cs="Times New Roman"/>
          <w:sz w:val="24"/>
          <w:szCs w:val="24"/>
        </w:rPr>
        <w:t xml:space="preserve"> inne odpowiednie środki tj.</w:t>
      </w:r>
      <w:r w:rsidRPr="00813A5E">
        <w:rPr>
          <w:rFonts w:ascii="Times New Roman" w:hAnsi="Times New Roman" w:cs="Times New Roman"/>
          <w:sz w:val="24"/>
          <w:szCs w:val="24"/>
        </w:rPr>
        <w:t xml:space="preserve"> może zakazać świadczenia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(w przypadku instytucji kredytowej, centralnego depozytu papierów wartościowych, firmy inwestycyjnej, uczestnika rynku, instytucji pieniądza elektronicznego, spółki zarządzającej UCITS lub zarządzającego alternatywnym funduszem inwestycyjnym, którym zezwolono na świadczenie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w:t>
      </w:r>
      <w:r>
        <w:rPr>
          <w:rFonts w:ascii="Times New Roman" w:hAnsi="Times New Roman" w:cs="Times New Roman"/>
          <w:sz w:val="24"/>
          <w:szCs w:val="24"/>
        </w:rPr>
        <w:t>.</w:t>
      </w:r>
      <w:r w:rsidRPr="00813A5E">
        <w:rPr>
          <w:rFonts w:ascii="Times New Roman" w:hAnsi="Times New Roman" w:cs="Times New Roman"/>
          <w:sz w:val="24"/>
          <w:szCs w:val="24"/>
        </w:rPr>
        <w:t xml:space="preserve"> Zgodnie z ust. 3</w:t>
      </w:r>
      <w:bookmarkStart w:id="20" w:name="_Hlk156912416"/>
      <w:r w:rsidRPr="00813A5E">
        <w:rPr>
          <w:rFonts w:ascii="Times New Roman" w:hAnsi="Times New Roman" w:cs="Times New Roman"/>
          <w:sz w:val="24"/>
          <w:szCs w:val="24"/>
        </w:rPr>
        <w:t xml:space="preserve"> w przypadku gdy jest możliwe ustalenie kwoty korzyści osiągniętej lub straty unikniętej w wyniku wskazanego w tym artykule naruszenia, kara pieniężna może być nałożona do wysokości </w:t>
      </w:r>
      <w:r w:rsidRPr="00813A5E">
        <w:rPr>
          <w:rFonts w:ascii="Times New Roman" w:hAnsi="Times New Roman"/>
          <w:sz w:val="24"/>
        </w:rPr>
        <w:t xml:space="preserve">dwukrotności tej </w:t>
      </w:r>
      <w:bookmarkEnd w:id="20"/>
      <w:r w:rsidRPr="00813A5E">
        <w:rPr>
          <w:rFonts w:ascii="Times New Roman" w:hAnsi="Times New Roman"/>
          <w:sz w:val="24"/>
        </w:rPr>
        <w:t>kwoty</w:t>
      </w:r>
      <w:r w:rsidRPr="00813A5E">
        <w:rPr>
          <w:rFonts w:ascii="Times New Roman" w:hAnsi="Times New Roman" w:cs="Times New Roman"/>
          <w:sz w:val="24"/>
          <w:szCs w:val="24"/>
        </w:rPr>
        <w:t>. Ponadto określa się co stanowi całkowity roczny przychód w przypadku, gdy podmiot nadzorowany jest jednostką dominującą, która sporządza skonsolidowane sprawozdanie finansowe, albo jednostką zależną od jednostki dominującej, która sporządza skonsolidowane sprawozdanie finansowe. Ust.</w:t>
      </w:r>
      <w:r>
        <w:rPr>
          <w:rFonts w:ascii="Times New Roman" w:hAnsi="Times New Roman" w:cs="Times New Roman"/>
          <w:sz w:val="24"/>
          <w:szCs w:val="24"/>
        </w:rPr>
        <w:t> 5</w:t>
      </w:r>
      <w:r w:rsidRPr="00813A5E">
        <w:rPr>
          <w:rFonts w:ascii="Times New Roman" w:hAnsi="Times New Roman" w:cs="Times New Roman"/>
          <w:sz w:val="24"/>
          <w:szCs w:val="24"/>
        </w:rPr>
        <w:t xml:space="preserve"> z kolei doprecyzowuje jakich dodatkowych środków może użyć Komisja w przypadku naruszeń, o których mowa w ust. 1 tego artykułu. Tymi środkami są: nakaz zaprzestania działań skutkujących powstaniem naruszenia i niepodejmowania tych działań w przyszłości wobec dostawców</w:t>
      </w:r>
      <w:r>
        <w:rPr>
          <w:rFonts w:ascii="Times New Roman" w:hAnsi="Times New Roman" w:cs="Times New Roman"/>
          <w:sz w:val="24"/>
          <w:szCs w:val="24"/>
        </w:rPr>
        <w:t xml:space="preserve"> usług w zakresie </w:t>
      </w:r>
      <w:proofErr w:type="spellStart"/>
      <w:r>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zakaz pełnienia funkcji członka zarządu lub rady dyrektorów lub funkcji kierowniczych u dostawcy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przez okres nie krótszy niż miesiąc i nie dłuższy niż rok wobec osoby odpowiedzialnej za naruszenie,</w:t>
      </w:r>
      <w:r w:rsidRPr="00813A5E">
        <w:t xml:space="preserve"> </w:t>
      </w:r>
      <w:r w:rsidRPr="00813A5E">
        <w:rPr>
          <w:rFonts w:ascii="Times New Roman" w:hAnsi="Times New Roman" w:cs="Times New Roman"/>
          <w:sz w:val="24"/>
          <w:szCs w:val="24"/>
        </w:rPr>
        <w:t xml:space="preserve">zakaz pełnienia funkcji członka zarządu lub rady dyrektorów lub funkcji kierowniczych w podmiotach będących dostawcami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przez okres nie krótszy niż 10 lat i nie dłuższy niż 15 lat wobec osoby odpowiedzialnej za naruszenie </w:t>
      </w:r>
      <w:r>
        <w:rPr>
          <w:rFonts w:ascii="Times New Roman" w:hAnsi="Times New Roman" w:cs="Times New Roman"/>
          <w:sz w:val="24"/>
          <w:szCs w:val="24"/>
        </w:rPr>
        <w:t>–</w:t>
      </w:r>
      <w:r w:rsidRPr="00813A5E">
        <w:rPr>
          <w:rFonts w:ascii="Times New Roman" w:hAnsi="Times New Roman" w:cs="Times New Roman"/>
          <w:sz w:val="24"/>
          <w:szCs w:val="24"/>
        </w:rPr>
        <w:t xml:space="preserve"> w przypadku gdy doszło do ponownego naruszenia</w:t>
      </w:r>
      <w:r>
        <w:rPr>
          <w:rFonts w:ascii="Times New Roman" w:hAnsi="Times New Roman" w:cs="Times New Roman"/>
          <w:sz w:val="24"/>
          <w:szCs w:val="24"/>
        </w:rPr>
        <w:t>,</w:t>
      </w:r>
      <w:r w:rsidRPr="00813A5E">
        <w:rPr>
          <w:rFonts w:ascii="Times New Roman" w:hAnsi="Times New Roman" w:cs="Times New Roman"/>
          <w:sz w:val="24"/>
          <w:szCs w:val="24"/>
        </w:rPr>
        <w:t xml:space="preserve"> oraz wystąpienie z wnioskiem o odwołanie członka zarządu lub rady dyrektorów odpowiedzialnego za stwierdzone naruszenie, w przypadku gdy te naruszenia mają charakter poważny. Ust. 6 uwzględnia sankcjonowanie niewykonania lub nienależytego wykonania przez dostawcę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prowadzącego platformę obrotu </w:t>
      </w:r>
      <w:proofErr w:type="spellStart"/>
      <w:r w:rsidRPr="00813A5E">
        <w:rPr>
          <w:rFonts w:ascii="Times New Roman" w:hAnsi="Times New Roman" w:cs="Times New Roman"/>
          <w:sz w:val="24"/>
          <w:szCs w:val="24"/>
        </w:rPr>
        <w:t>kryptoaktywami</w:t>
      </w:r>
      <w:proofErr w:type="spellEnd"/>
      <w:r w:rsidRPr="00813A5E">
        <w:rPr>
          <w:rFonts w:ascii="Times New Roman" w:hAnsi="Times New Roman" w:cs="Times New Roman"/>
          <w:sz w:val="24"/>
          <w:szCs w:val="24"/>
        </w:rPr>
        <w:t xml:space="preserve"> obowiązków nałożonych przez KNF na podstawie art. 9</w:t>
      </w:r>
      <w:r>
        <w:rPr>
          <w:rFonts w:ascii="Times New Roman" w:hAnsi="Times New Roman" w:cs="Times New Roman"/>
          <w:sz w:val="24"/>
          <w:szCs w:val="24"/>
        </w:rPr>
        <w:t>6</w:t>
      </w:r>
      <w:r w:rsidRPr="00813A5E">
        <w:rPr>
          <w:rFonts w:ascii="Times New Roman" w:hAnsi="Times New Roman" w:cs="Times New Roman"/>
          <w:sz w:val="24"/>
          <w:szCs w:val="24"/>
        </w:rPr>
        <w:t xml:space="preserve"> ust. 1 ustawy. </w:t>
      </w:r>
      <w:bookmarkStart w:id="21" w:name="_Hlk191900317"/>
      <w:r w:rsidRPr="00813A5E">
        <w:rPr>
          <w:rFonts w:ascii="Times New Roman" w:hAnsi="Times New Roman" w:cs="Times New Roman"/>
          <w:sz w:val="24"/>
          <w:szCs w:val="24"/>
        </w:rPr>
        <w:t xml:space="preserve">Ust. 7 precyzuje, że </w:t>
      </w:r>
      <w:r w:rsidRPr="00F12BC7">
        <w:rPr>
          <w:rFonts w:ascii="Times New Roman" w:eastAsia="Times New Roman" w:hAnsi="Times New Roman" w:cs="Arial"/>
          <w:sz w:val="24"/>
          <w:szCs w:val="20"/>
          <w:lang w:eastAsia="pl-PL"/>
        </w:rPr>
        <w:t>Komisja w przypadku cofnięcia zezwolenia zgodnie z art. 64 ust. 1 lit. d</w:t>
      </w:r>
      <w:r>
        <w:rPr>
          <w:rFonts w:ascii="Times New Roman" w:eastAsia="Times New Roman" w:hAnsi="Times New Roman" w:cs="Arial"/>
          <w:sz w:val="24"/>
          <w:szCs w:val="20"/>
          <w:lang w:eastAsia="pl-PL"/>
        </w:rPr>
        <w:t>–</w:t>
      </w:r>
      <w:r w:rsidRPr="00F12BC7">
        <w:rPr>
          <w:rFonts w:ascii="Times New Roman" w:eastAsia="Times New Roman" w:hAnsi="Times New Roman" w:cs="Arial"/>
          <w:sz w:val="24"/>
          <w:szCs w:val="20"/>
          <w:lang w:eastAsia="pl-PL"/>
        </w:rPr>
        <w:t>g rozporządzenia 2023/1114</w:t>
      </w:r>
      <w:r>
        <w:rPr>
          <w:rFonts w:ascii="Times New Roman" w:eastAsia="Times New Roman" w:hAnsi="Times New Roman" w:cs="Arial"/>
          <w:sz w:val="24"/>
          <w:szCs w:val="20"/>
          <w:lang w:eastAsia="pl-PL"/>
        </w:rPr>
        <w:t xml:space="preserve">, </w:t>
      </w:r>
      <w:r w:rsidRPr="00FC2926">
        <w:rPr>
          <w:rFonts w:ascii="Times New Roman" w:hAnsi="Times New Roman" w:cs="Times New Roman"/>
          <w:sz w:val="24"/>
          <w:szCs w:val="24"/>
        </w:rPr>
        <w:t>jeżeli uzasadnia to charakter naruszenia, może nałożyć środki i sankcje, o których mowa w ust. 1 i 5</w:t>
      </w:r>
      <w:r>
        <w:rPr>
          <w:rFonts w:ascii="Times New Roman" w:hAnsi="Times New Roman" w:cs="Times New Roman"/>
          <w:sz w:val="24"/>
          <w:szCs w:val="24"/>
        </w:rPr>
        <w:t>.</w:t>
      </w:r>
    </w:p>
    <w:p w14:paraId="07BB5505" w14:textId="0B6DB077" w:rsidR="00BE08AC" w:rsidRPr="00FA7379" w:rsidRDefault="0065218B" w:rsidP="00FA7379">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Art.</w:t>
      </w:r>
      <w:r>
        <w:rPr>
          <w:rFonts w:ascii="Times New Roman" w:hAnsi="Times New Roman" w:cs="Times New Roman"/>
          <w:sz w:val="24"/>
          <w:szCs w:val="24"/>
        </w:rPr>
        <w:t xml:space="preserve"> </w:t>
      </w:r>
      <w:r w:rsidRPr="00FA7379">
        <w:rPr>
          <w:rFonts w:ascii="Times New Roman" w:hAnsi="Times New Roman" w:cs="Times New Roman"/>
          <w:b/>
          <w:bCs/>
          <w:sz w:val="24"/>
          <w:szCs w:val="24"/>
        </w:rPr>
        <w:t xml:space="preserve">106 </w:t>
      </w:r>
      <w:r w:rsidR="00914A43" w:rsidRPr="00FA7379">
        <w:rPr>
          <w:rFonts w:ascii="Times New Roman" w:hAnsi="Times New Roman" w:cs="Times New Roman"/>
          <w:sz w:val="24"/>
          <w:szCs w:val="24"/>
        </w:rPr>
        <w:t xml:space="preserve">przewiduje, </w:t>
      </w:r>
      <w:r w:rsidR="00914A43">
        <w:rPr>
          <w:rFonts w:ascii="Times New Roman" w:hAnsi="Times New Roman" w:cs="Times New Roman"/>
          <w:sz w:val="24"/>
          <w:szCs w:val="24"/>
        </w:rPr>
        <w:t xml:space="preserve">że </w:t>
      </w:r>
      <w:r w:rsidR="00914A43">
        <w:rPr>
          <w:rFonts w:ascii="Times New Roman" w:eastAsia="Aptos" w:hAnsi="Times New Roman" w:cs="Times New Roman"/>
          <w:kern w:val="2"/>
          <w:sz w:val="24"/>
          <w:szCs w:val="24"/>
          <w:shd w:val="clear" w:color="auto" w:fill="FFFFFF"/>
          <w14:ligatures w14:val="standardContextual"/>
        </w:rPr>
        <w:t>w</w:t>
      </w:r>
      <w:r w:rsidR="00914A43" w:rsidRPr="00914A43">
        <w:rPr>
          <w:rFonts w:ascii="Times New Roman" w:eastAsia="Aptos" w:hAnsi="Times New Roman" w:cs="Times New Roman"/>
          <w:kern w:val="2"/>
          <w:sz w:val="24"/>
          <w:szCs w:val="24"/>
          <w:shd w:val="clear" w:color="auto" w:fill="FFFFFF"/>
          <w14:ligatures w14:val="standardContextual"/>
        </w:rPr>
        <w:t xml:space="preserve"> przypadku naruszenia przez</w:t>
      </w:r>
      <w:r w:rsidR="00914A43" w:rsidRPr="00914A43">
        <w:rPr>
          <w:rFonts w:ascii="Times New Roman" w:eastAsia="Aptos" w:hAnsi="Times New Roman" w:cs="Times New Roman"/>
          <w:b/>
          <w:bCs/>
          <w:kern w:val="2"/>
          <w:sz w:val="24"/>
          <w:szCs w:val="24"/>
          <w:shd w:val="clear" w:color="auto" w:fill="FFFFFF"/>
          <w14:ligatures w14:val="standardContextual"/>
        </w:rPr>
        <w:t xml:space="preserve"> </w:t>
      </w:r>
      <w:r w:rsidR="00914A43" w:rsidRPr="00914A43">
        <w:rPr>
          <w:rFonts w:ascii="Times New Roman" w:eastAsia="Aptos" w:hAnsi="Times New Roman" w:cs="Times New Roman"/>
          <w:kern w:val="2"/>
          <w:sz w:val="24"/>
          <w:szCs w:val="24"/>
          <w14:ligatures w14:val="standardContextual"/>
        </w:rPr>
        <w:t xml:space="preserve">podmiot wykorzystujący nazwę domeny internetowej lub </w:t>
      </w:r>
      <w:r w:rsidR="000F5ED7">
        <w:rPr>
          <w:rFonts w:ascii="Times New Roman" w:eastAsia="Aptos" w:hAnsi="Times New Roman" w:cs="Times New Roman"/>
          <w:kern w:val="2"/>
          <w:sz w:val="24"/>
          <w:szCs w:val="24"/>
          <w14:ligatures w14:val="standardContextual"/>
        </w:rPr>
        <w:t>posiadający</w:t>
      </w:r>
      <w:r w:rsidR="00914A43" w:rsidRPr="00914A43">
        <w:rPr>
          <w:rFonts w:ascii="Times New Roman" w:eastAsia="Aptos" w:hAnsi="Times New Roman" w:cs="Times New Roman"/>
          <w:kern w:val="2"/>
          <w:sz w:val="24"/>
          <w:szCs w:val="24"/>
          <w14:ligatures w14:val="standardContextual"/>
        </w:rPr>
        <w:t xml:space="preserve"> tytuł prawny do tej domeny obowiązku wykonania żądania Przewodniczącego Komisji, o którym mowa art. 7</w:t>
      </w:r>
      <w:r w:rsidR="000F5ED7">
        <w:rPr>
          <w:rFonts w:ascii="Times New Roman" w:eastAsia="Aptos" w:hAnsi="Times New Roman" w:cs="Times New Roman"/>
          <w:kern w:val="2"/>
          <w:sz w:val="24"/>
          <w:szCs w:val="24"/>
          <w14:ligatures w14:val="standardContextual"/>
        </w:rPr>
        <w:t>6</w:t>
      </w:r>
      <w:r w:rsidR="00914A43" w:rsidRPr="00914A43">
        <w:rPr>
          <w:rFonts w:ascii="Times New Roman" w:eastAsia="Aptos" w:hAnsi="Times New Roman" w:cs="Times New Roman"/>
          <w:kern w:val="2"/>
          <w:sz w:val="24"/>
          <w:szCs w:val="24"/>
          <w14:ligatures w14:val="standardContextual"/>
        </w:rPr>
        <w:t xml:space="preserve"> ust. </w:t>
      </w:r>
      <w:r w:rsidR="00914A43">
        <w:rPr>
          <w:rFonts w:ascii="Times New Roman" w:eastAsia="Aptos" w:hAnsi="Times New Roman" w:cs="Times New Roman"/>
          <w:kern w:val="2"/>
          <w:sz w:val="24"/>
          <w:szCs w:val="24"/>
          <w14:ligatures w14:val="standardContextual"/>
        </w:rPr>
        <w:t>8</w:t>
      </w:r>
      <w:r w:rsidR="00914A43" w:rsidRPr="00914A43">
        <w:rPr>
          <w:rFonts w:ascii="Times New Roman" w:eastAsia="Aptos" w:hAnsi="Times New Roman" w:cs="Times New Roman"/>
          <w:kern w:val="2"/>
          <w:sz w:val="24"/>
          <w:szCs w:val="24"/>
          <w14:ligatures w14:val="standardContextual"/>
        </w:rPr>
        <w:t>, Komisja może nałożyć karę pieniężną do wysokości 1 000 000 zł.</w:t>
      </w:r>
      <w:r w:rsidR="00BE08AC">
        <w:rPr>
          <w:rFonts w:ascii="Times New Roman" w:eastAsia="Aptos" w:hAnsi="Times New Roman" w:cs="Times New Roman"/>
          <w:kern w:val="2"/>
          <w:sz w:val="24"/>
          <w:szCs w:val="24"/>
          <w14:ligatures w14:val="standardContextual"/>
        </w:rPr>
        <w:t xml:space="preserve"> </w:t>
      </w:r>
      <w:r w:rsidR="00BE08AC" w:rsidRPr="00FA7379">
        <w:rPr>
          <w:rFonts w:ascii="Times New Roman" w:hAnsi="Times New Roman" w:cs="Times New Roman"/>
          <w:sz w:val="24"/>
          <w:szCs w:val="24"/>
        </w:rPr>
        <w:t>Rozwiązanie</w:t>
      </w:r>
      <w:r w:rsidR="00BE08AC">
        <w:rPr>
          <w:rFonts w:ascii="Times New Roman" w:hAnsi="Times New Roman" w:cs="Times New Roman"/>
          <w:sz w:val="24"/>
          <w:szCs w:val="24"/>
        </w:rPr>
        <w:t xml:space="preserve"> to</w:t>
      </w:r>
      <w:r w:rsidR="00BE08AC" w:rsidRPr="00FA7379">
        <w:rPr>
          <w:rFonts w:ascii="Times New Roman" w:hAnsi="Times New Roman" w:cs="Times New Roman"/>
          <w:sz w:val="24"/>
          <w:szCs w:val="24"/>
        </w:rPr>
        <w:t xml:space="preserve"> jest konsekwencją wprowadzenia obowiązku publikowania komunikatu </w:t>
      </w:r>
      <w:r w:rsidR="00BE08AC" w:rsidRPr="00FA7379">
        <w:rPr>
          <w:rFonts w:ascii="Times New Roman" w:hAnsi="Times New Roman" w:cs="Times New Roman"/>
          <w:color w:val="000000"/>
          <w:sz w:val="24"/>
          <w:szCs w:val="24"/>
        </w:rPr>
        <w:t xml:space="preserve">przez podmiot wykorzystujący nazwę domeny internetowej lub posiadającej tytuł prawny do tej domeny fakcie publikacji tych informacji na Liście ostrzeżeń publicznych Komisji Nadzoru Finansowego oraz o ich treści. W celu gwarancji obowiązku wykonania żądania </w:t>
      </w:r>
      <w:r w:rsidR="00BE08AC">
        <w:rPr>
          <w:rFonts w:ascii="Times New Roman" w:hAnsi="Times New Roman" w:cs="Times New Roman"/>
          <w:color w:val="000000"/>
          <w:sz w:val="24"/>
          <w:szCs w:val="24"/>
        </w:rPr>
        <w:t xml:space="preserve">zasadne jest </w:t>
      </w:r>
      <w:r w:rsidR="00BE08AC" w:rsidRPr="00FA7379">
        <w:rPr>
          <w:rFonts w:ascii="Times New Roman" w:hAnsi="Times New Roman" w:cs="Times New Roman"/>
          <w:color w:val="000000"/>
          <w:sz w:val="24"/>
          <w:szCs w:val="24"/>
        </w:rPr>
        <w:t>wprowadz</w:t>
      </w:r>
      <w:r w:rsidR="00BE08AC">
        <w:rPr>
          <w:rFonts w:ascii="Times New Roman" w:hAnsi="Times New Roman" w:cs="Times New Roman"/>
          <w:color w:val="000000"/>
          <w:sz w:val="24"/>
          <w:szCs w:val="24"/>
        </w:rPr>
        <w:t>enie</w:t>
      </w:r>
      <w:r w:rsidR="00BE08AC" w:rsidRPr="00FA7379">
        <w:rPr>
          <w:rFonts w:ascii="Times New Roman" w:hAnsi="Times New Roman" w:cs="Times New Roman"/>
          <w:color w:val="000000"/>
          <w:sz w:val="24"/>
          <w:szCs w:val="24"/>
        </w:rPr>
        <w:t xml:space="preserve"> dodatkow</w:t>
      </w:r>
      <w:r w:rsidR="00BE08AC">
        <w:rPr>
          <w:rFonts w:ascii="Times New Roman" w:hAnsi="Times New Roman" w:cs="Times New Roman"/>
          <w:color w:val="000000"/>
          <w:sz w:val="24"/>
          <w:szCs w:val="24"/>
        </w:rPr>
        <w:t>ej</w:t>
      </w:r>
      <w:r w:rsidR="00BE08AC" w:rsidRPr="00FA7379">
        <w:rPr>
          <w:rFonts w:ascii="Times New Roman" w:hAnsi="Times New Roman" w:cs="Times New Roman"/>
          <w:color w:val="000000"/>
          <w:sz w:val="24"/>
          <w:szCs w:val="24"/>
        </w:rPr>
        <w:t xml:space="preserve"> sankcj</w:t>
      </w:r>
      <w:r w:rsidR="00BE08AC">
        <w:rPr>
          <w:rFonts w:ascii="Times New Roman" w:hAnsi="Times New Roman" w:cs="Times New Roman"/>
          <w:color w:val="000000"/>
          <w:sz w:val="24"/>
          <w:szCs w:val="24"/>
        </w:rPr>
        <w:t>i administracyjnej</w:t>
      </w:r>
      <w:r w:rsidR="00BE08AC" w:rsidRPr="00FA7379">
        <w:rPr>
          <w:rFonts w:ascii="Times New Roman" w:hAnsi="Times New Roman" w:cs="Times New Roman"/>
          <w:color w:val="000000"/>
          <w:sz w:val="24"/>
          <w:szCs w:val="24"/>
        </w:rPr>
        <w:t xml:space="preserve">. </w:t>
      </w:r>
    </w:p>
    <w:bookmarkEnd w:id="21"/>
    <w:p w14:paraId="24A8C8A9" w14:textId="32F87C79"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10</w:t>
      </w:r>
      <w:r w:rsidR="0065218B">
        <w:rPr>
          <w:rFonts w:ascii="Times New Roman" w:hAnsi="Times New Roman" w:cs="Times New Roman"/>
          <w:b/>
          <w:bCs/>
          <w:sz w:val="24"/>
          <w:szCs w:val="24"/>
        </w:rPr>
        <w:t>7</w:t>
      </w:r>
      <w:r w:rsidRPr="00813A5E">
        <w:rPr>
          <w:rFonts w:ascii="Times New Roman" w:hAnsi="Times New Roman" w:cs="Times New Roman"/>
          <w:sz w:val="24"/>
          <w:szCs w:val="24"/>
        </w:rPr>
        <w:t xml:space="preserve"> wskazuje, że w przypadku gdy emitent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oferujący lub osoba ubiegająca się o dopuszczenie do obrotu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t>
      </w:r>
      <w:r w:rsidRPr="00813A5E">
        <w:rPr>
          <w:rFonts w:ascii="Times New Roman" w:hAnsi="Times New Roman" w:cs="Times New Roman"/>
          <w:sz w:val="24"/>
          <w:szCs w:val="24"/>
        </w:rPr>
        <w:t>nie wykonuje obowiązków, o których mowa w art. 88 ust. 1 lub 3 rozporządzenia 2023/1114 lub w przepisach aktu wykonawczego wydanego na podstawie art. 88 ust. 4 rozporządzenia, lub wykonuje je nienależycie, Komisja może nałożyć karę pieniężną do wysokości nieprzekraczającej kwoty 4 456 800 zł na osobę odpowiedzialną za zaistniałe naruszenie w przypadku osób fizycznych, oraz w przypadku osób prawnych lub jednostek organizacyjnych nieposiadających osobowości prawnej</w:t>
      </w:r>
      <w:r w:rsidRPr="00866C87">
        <w:rPr>
          <w:rFonts w:ascii="Times New Roman" w:hAnsi="Times New Roman" w:cs="Times New Roman"/>
          <w:sz w:val="24"/>
          <w:szCs w:val="24"/>
        </w:rPr>
        <w:t xml:space="preserve"> do wysokości </w:t>
      </w:r>
      <w:bookmarkStart w:id="22" w:name="_Hlk181181849"/>
      <w:r w:rsidRPr="00866C87">
        <w:rPr>
          <w:rFonts w:ascii="Times New Roman" w:hAnsi="Times New Roman" w:cs="Times New Roman"/>
          <w:sz w:val="24"/>
          <w:szCs w:val="24"/>
        </w:rPr>
        <w:t xml:space="preserve">11 142 000 zł </w:t>
      </w:r>
      <w:bookmarkEnd w:id="22"/>
      <w:r w:rsidRPr="00866C87">
        <w:rPr>
          <w:rFonts w:ascii="Times New Roman" w:hAnsi="Times New Roman" w:cs="Times New Roman"/>
          <w:sz w:val="24"/>
          <w:szCs w:val="24"/>
        </w:rPr>
        <w:t xml:space="preserve">albo kwoty stanowiącej równowartość 2% całkowitego rocznego przychodu tego emitenta, oferującego lub osoby ubiegającej się o dopuszczenie do obrotu w ostatnim zbadanym sprawozdaniu finansowym za rok obrotowy, jeżeli kwota stanowiąca tę równowartość przekracza 11 142 000 zł. Maksymalna wysokość </w:t>
      </w:r>
      <w:r w:rsidRPr="00813A5E">
        <w:rPr>
          <w:rFonts w:ascii="Times New Roman" w:hAnsi="Times New Roman" w:cs="Times New Roman"/>
          <w:sz w:val="24"/>
          <w:szCs w:val="24"/>
        </w:rPr>
        <w:t>tych kar pieniężnych została ustalona na podstawie art. 111 ust. 5 lit. i</w:t>
      </w:r>
      <w:r w:rsidR="00695ECE">
        <w:rPr>
          <w:rFonts w:ascii="Times New Roman" w:hAnsi="Times New Roman" w:cs="Times New Roman"/>
          <w:sz w:val="24"/>
          <w:szCs w:val="24"/>
        </w:rPr>
        <w:t>–</w:t>
      </w:r>
      <w:r w:rsidRPr="00813A5E">
        <w:rPr>
          <w:rFonts w:ascii="Times New Roman" w:hAnsi="Times New Roman" w:cs="Times New Roman"/>
          <w:sz w:val="24"/>
          <w:szCs w:val="24"/>
        </w:rPr>
        <w:t xml:space="preserve">j rozporządzenia 2023/1114. Ponadto wskazuje się, że w przypadku gdy jest możliwe ustalenie kwoty korzyści osiągniętej lub straty unikniętej w wyniku wskazanego w tym artykule naruszenia, kara pieniężna może być nałożona do wysokości trzykrotności tej kwoty oraz określa się co stanowi całkowity roczny przychód w przypadku, gdy emitent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oferujący lub osoba ubiegająca się o dopuszczenie do obrotu</w:t>
      </w:r>
      <w:r w:rsidRPr="00813A5E" w:rsidDel="000A29F2">
        <w:rPr>
          <w:rFonts w:ascii="Times New Roman" w:hAnsi="Times New Roman" w:cs="Times New Roman"/>
          <w:sz w:val="24"/>
          <w:szCs w:val="24"/>
        </w:rPr>
        <w:t xml:space="preserve"> </w:t>
      </w:r>
      <w:r w:rsidRPr="00813A5E">
        <w:rPr>
          <w:rFonts w:ascii="Times New Roman" w:hAnsi="Times New Roman" w:cs="Times New Roman"/>
          <w:sz w:val="24"/>
          <w:szCs w:val="24"/>
        </w:rPr>
        <w:t>jest jednostką dominującą</w:t>
      </w:r>
      <w:r w:rsidRPr="007D016B">
        <w:rPr>
          <w:rFonts w:ascii="Times New Roman" w:hAnsi="Times New Roman" w:cs="Arial"/>
          <w:sz w:val="24"/>
          <w:szCs w:val="20"/>
          <w:lang w:eastAsia="pl-PL"/>
        </w:rPr>
        <w:t xml:space="preserve"> </w:t>
      </w:r>
      <w:r w:rsidRPr="007D016B">
        <w:rPr>
          <w:rFonts w:ascii="Times New Roman" w:hAnsi="Times New Roman" w:cs="Times New Roman"/>
          <w:sz w:val="24"/>
          <w:szCs w:val="24"/>
        </w:rPr>
        <w:t>albo jednostką zależną od tej jednostki dominującej</w:t>
      </w:r>
      <w:r w:rsidRPr="00813A5E">
        <w:rPr>
          <w:rFonts w:ascii="Times New Roman" w:hAnsi="Times New Roman" w:cs="Times New Roman"/>
          <w:sz w:val="24"/>
          <w:szCs w:val="24"/>
        </w:rPr>
        <w:t>.</w:t>
      </w:r>
      <w:r w:rsidRPr="00813A5E">
        <w:t xml:space="preserve"> </w:t>
      </w:r>
      <w:r w:rsidRPr="00813A5E">
        <w:rPr>
          <w:rFonts w:ascii="Times New Roman" w:hAnsi="Times New Roman" w:cs="Times New Roman"/>
          <w:sz w:val="24"/>
          <w:szCs w:val="24"/>
        </w:rPr>
        <w:t xml:space="preserve">Przepis ten </w:t>
      </w:r>
      <w:r w:rsidRPr="00866C87">
        <w:rPr>
          <w:rFonts w:ascii="Times New Roman" w:hAnsi="Times New Roman" w:cs="Times New Roman"/>
          <w:sz w:val="24"/>
          <w:szCs w:val="24"/>
        </w:rPr>
        <w:t>obejmuje</w:t>
      </w:r>
      <w:r w:rsidRPr="00813A5E">
        <w:rPr>
          <w:rFonts w:ascii="Times New Roman" w:hAnsi="Times New Roman" w:cs="Times New Roman"/>
          <w:sz w:val="24"/>
          <w:szCs w:val="24"/>
        </w:rPr>
        <w:t xml:space="preserve"> wykonywanie nadzoru w zakresie ujawniania i zapobiegania nadużyciom na rynku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Zasadne jest objęcie tym przepisem wszystkich emitentów (także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innych niż </w:t>
      </w:r>
      <w:proofErr w:type="spellStart"/>
      <w:r w:rsidRPr="00813A5E">
        <w:rPr>
          <w:rFonts w:ascii="Times New Roman" w:hAnsi="Times New Roman" w:cs="Times New Roman"/>
          <w:sz w:val="24"/>
          <w:szCs w:val="24"/>
        </w:rPr>
        <w:t>tokeny</w:t>
      </w:r>
      <w:proofErr w:type="spellEnd"/>
      <w:r w:rsidRPr="00813A5E">
        <w:rPr>
          <w:rFonts w:ascii="Times New Roman" w:hAnsi="Times New Roman" w:cs="Times New Roman"/>
          <w:sz w:val="24"/>
          <w:szCs w:val="24"/>
        </w:rPr>
        <w:t xml:space="preserve"> powiązane z aktywami lub </w:t>
      </w:r>
      <w:proofErr w:type="spellStart"/>
      <w:r w:rsidRPr="00813A5E">
        <w:rPr>
          <w:rFonts w:ascii="Times New Roman" w:hAnsi="Times New Roman" w:cs="Times New Roman"/>
          <w:sz w:val="24"/>
          <w:szCs w:val="24"/>
        </w:rPr>
        <w:t>tokeny</w:t>
      </w:r>
      <w:proofErr w:type="spellEnd"/>
      <w:r w:rsidRPr="00813A5E">
        <w:rPr>
          <w:rFonts w:ascii="Times New Roman" w:hAnsi="Times New Roman" w:cs="Times New Roman"/>
          <w:sz w:val="24"/>
          <w:szCs w:val="24"/>
        </w:rPr>
        <w:t xml:space="preserve"> będące pieniądzem elektronicznym). W przypadku tych emitentów możliwe jest, że będą to również osoby fizyczne, co wynika m.in. z definicji pojęcia emitenta na gruncie rozporządzenia </w:t>
      </w:r>
      <w:proofErr w:type="spellStart"/>
      <w:r w:rsidRPr="00813A5E">
        <w:rPr>
          <w:rFonts w:ascii="Times New Roman" w:hAnsi="Times New Roman" w:cs="Times New Roman"/>
          <w:sz w:val="24"/>
          <w:szCs w:val="24"/>
        </w:rPr>
        <w:t>MiCA</w:t>
      </w:r>
      <w:proofErr w:type="spellEnd"/>
      <w:r w:rsidRPr="00813A5E">
        <w:rPr>
          <w:rFonts w:ascii="Times New Roman" w:hAnsi="Times New Roman" w:cs="Times New Roman"/>
          <w:sz w:val="24"/>
          <w:szCs w:val="24"/>
        </w:rPr>
        <w:t>. Również i tacy emitenci będą mieli obowiązki w zakresie informacji poufnych (podawanie do publicznej wiadomości), o których mowa w art. 88 ust. 1</w:t>
      </w:r>
      <w:r>
        <w:rPr>
          <w:rFonts w:ascii="Times New Roman" w:hAnsi="Times New Roman" w:cs="Times New Roman"/>
          <w:sz w:val="24"/>
          <w:szCs w:val="24"/>
        </w:rPr>
        <w:sym w:font="Symbol" w:char="F02D"/>
      </w:r>
      <w:r w:rsidRPr="00866C87">
        <w:rPr>
          <w:rFonts w:ascii="Times New Roman" w:hAnsi="Times New Roman" w:cs="Times New Roman"/>
          <w:sz w:val="24"/>
          <w:szCs w:val="24"/>
        </w:rPr>
        <w:t xml:space="preserve">3 rozporządzenia </w:t>
      </w:r>
      <w:proofErr w:type="spellStart"/>
      <w:r w:rsidRPr="00866C87">
        <w:rPr>
          <w:rFonts w:ascii="Times New Roman" w:hAnsi="Times New Roman" w:cs="Times New Roman"/>
          <w:sz w:val="24"/>
          <w:szCs w:val="24"/>
        </w:rPr>
        <w:t>Mi</w:t>
      </w:r>
      <w:r w:rsidRPr="00813A5E">
        <w:rPr>
          <w:rFonts w:ascii="Times New Roman" w:hAnsi="Times New Roman" w:cs="Times New Roman"/>
          <w:sz w:val="24"/>
          <w:szCs w:val="24"/>
        </w:rPr>
        <w:t>CA</w:t>
      </w:r>
      <w:proofErr w:type="spellEnd"/>
      <w:r w:rsidRPr="00813A5E">
        <w:rPr>
          <w:rFonts w:ascii="Times New Roman" w:hAnsi="Times New Roman" w:cs="Times New Roman"/>
          <w:sz w:val="24"/>
          <w:szCs w:val="24"/>
        </w:rPr>
        <w:t xml:space="preserve">. Konieczne jest zatem objęcie tych osób przepisem sankcyjnym. W związku z tym doprecyzowano zakres podmiotowy przepisu. W przypadku deliktów stanowiących naruszenie art. 88 rozporządzenia </w:t>
      </w:r>
      <w:proofErr w:type="spellStart"/>
      <w:r w:rsidRPr="00813A5E">
        <w:rPr>
          <w:rFonts w:ascii="Times New Roman" w:hAnsi="Times New Roman" w:cs="Times New Roman"/>
          <w:sz w:val="24"/>
          <w:szCs w:val="24"/>
        </w:rPr>
        <w:t>MiCA</w:t>
      </w:r>
      <w:proofErr w:type="spellEnd"/>
      <w:r w:rsidRPr="00813A5E">
        <w:rPr>
          <w:rFonts w:ascii="Times New Roman" w:hAnsi="Times New Roman" w:cs="Times New Roman"/>
          <w:sz w:val="24"/>
          <w:szCs w:val="24"/>
        </w:rPr>
        <w:t>, prawodawca europejski ustalił maksymalną kwotę kar pieniężnych na równowartość co najmniej 1 000 000 euro w przypadku osób fizycznych i 2 500 000 euro w przypadku osób prawnych</w:t>
      </w:r>
      <w:r>
        <w:rPr>
          <w:rFonts w:ascii="Times New Roman" w:hAnsi="Times New Roman" w:cs="Times New Roman"/>
          <w:sz w:val="24"/>
          <w:szCs w:val="24"/>
        </w:rPr>
        <w:t xml:space="preserve"> </w:t>
      </w:r>
      <w:r w:rsidRPr="00813A5E">
        <w:rPr>
          <w:rFonts w:ascii="Times New Roman" w:hAnsi="Times New Roman" w:cs="Times New Roman"/>
          <w:sz w:val="24"/>
          <w:szCs w:val="24"/>
        </w:rPr>
        <w:t xml:space="preserve">(art. 111 ust. 5 lit. i oraz lit. j w związku z ust. 1 lit. e rozporządzenia </w:t>
      </w:r>
      <w:proofErr w:type="spellStart"/>
      <w:r w:rsidRPr="00813A5E">
        <w:rPr>
          <w:rFonts w:ascii="Times New Roman" w:hAnsi="Times New Roman" w:cs="Times New Roman"/>
          <w:sz w:val="24"/>
          <w:szCs w:val="24"/>
        </w:rPr>
        <w:t>MiCA</w:t>
      </w:r>
      <w:proofErr w:type="spellEnd"/>
      <w:r w:rsidRPr="00813A5E">
        <w:rPr>
          <w:rFonts w:ascii="Times New Roman" w:hAnsi="Times New Roman" w:cs="Times New Roman"/>
          <w:sz w:val="24"/>
          <w:szCs w:val="24"/>
        </w:rPr>
        <w:t xml:space="preserve">). Wyższa sankcja powinna objąć nie tylko osoby prawne, ale również jednostki organizacyjne nieposiadające osobowości prawnej. W związku z tym, że art. 88 rozporządzenia </w:t>
      </w:r>
      <w:proofErr w:type="spellStart"/>
      <w:r w:rsidRPr="00813A5E">
        <w:rPr>
          <w:rFonts w:ascii="Times New Roman" w:hAnsi="Times New Roman" w:cs="Times New Roman"/>
          <w:sz w:val="24"/>
          <w:szCs w:val="24"/>
        </w:rPr>
        <w:t>MiCA</w:t>
      </w:r>
      <w:proofErr w:type="spellEnd"/>
      <w:r w:rsidRPr="00813A5E">
        <w:rPr>
          <w:rFonts w:ascii="Times New Roman" w:hAnsi="Times New Roman" w:cs="Times New Roman"/>
          <w:sz w:val="24"/>
          <w:szCs w:val="24"/>
        </w:rPr>
        <w:t xml:space="preserve"> przewiduje wydanie rozporządzenia wykonawczego, zasadne jest, celem uniknięcia wątpliwości interpretacyjnych, objęcie przepisem sankcyjnym również naruszenia przepisów tego aktu, dotyczącego podania informacji poufnej do publicznej wiadomości oraz opóźniania jej podawania. Przepisy dotyczące informacji poufnej mają zasadnicze znaczenie dla transparentności wobec uczestników rynku. Uzupełnienie zapewni pełną możliwość skutecznego sankcjonowania naruszeń związanych z obowiązkami wynikającymi z wymienionych przepisów.</w:t>
      </w:r>
    </w:p>
    <w:p w14:paraId="7A26CF63" w14:textId="01CC0554"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10</w:t>
      </w:r>
      <w:r w:rsidR="0065218B">
        <w:rPr>
          <w:rFonts w:ascii="Times New Roman" w:hAnsi="Times New Roman" w:cs="Times New Roman"/>
          <w:b/>
          <w:bCs/>
          <w:sz w:val="24"/>
          <w:szCs w:val="24"/>
        </w:rPr>
        <w:t>8</w:t>
      </w:r>
      <w:r w:rsidRPr="00813A5E">
        <w:rPr>
          <w:rFonts w:ascii="Times New Roman" w:hAnsi="Times New Roman" w:cs="Times New Roman"/>
          <w:sz w:val="24"/>
          <w:szCs w:val="24"/>
        </w:rPr>
        <w:t xml:space="preserve"> nadaje Komisji uprawnienie do nałożenia kary pieniężnej na podmiot, który narusza zakazy w zakresie wykorzystywania i bezprawnego ujawniania informacji poufnych oraz manipulacji na rynku, o których mowa w art. 89 ust. 2 </w:t>
      </w:r>
      <w:r>
        <w:rPr>
          <w:rFonts w:ascii="Times New Roman" w:hAnsi="Times New Roman" w:cs="Times New Roman"/>
          <w:sz w:val="24"/>
          <w:szCs w:val="24"/>
        </w:rPr>
        <w:t>lub</w:t>
      </w:r>
      <w:r w:rsidRPr="00813A5E">
        <w:rPr>
          <w:rFonts w:ascii="Times New Roman" w:hAnsi="Times New Roman" w:cs="Times New Roman"/>
          <w:sz w:val="24"/>
          <w:szCs w:val="24"/>
        </w:rPr>
        <w:t xml:space="preserve"> 3, art. 90 ust.</w:t>
      </w:r>
      <w:r>
        <w:rPr>
          <w:rFonts w:ascii="Times New Roman" w:hAnsi="Times New Roman" w:cs="Times New Roman"/>
          <w:sz w:val="24"/>
          <w:szCs w:val="24"/>
        </w:rPr>
        <w:t> </w:t>
      </w:r>
      <w:r w:rsidRPr="00813A5E">
        <w:rPr>
          <w:rFonts w:ascii="Times New Roman" w:hAnsi="Times New Roman" w:cs="Times New Roman"/>
          <w:sz w:val="24"/>
          <w:szCs w:val="24"/>
        </w:rPr>
        <w:t xml:space="preserve">1 </w:t>
      </w:r>
      <w:r>
        <w:rPr>
          <w:rFonts w:ascii="Times New Roman" w:hAnsi="Times New Roman" w:cs="Times New Roman"/>
          <w:sz w:val="24"/>
          <w:szCs w:val="24"/>
        </w:rPr>
        <w:t>lub</w:t>
      </w:r>
      <w:r w:rsidRPr="00813A5E">
        <w:rPr>
          <w:rFonts w:ascii="Times New Roman" w:hAnsi="Times New Roman" w:cs="Times New Roman"/>
          <w:sz w:val="24"/>
          <w:szCs w:val="24"/>
        </w:rPr>
        <w:t xml:space="preserve"> art. 91 ust. 1 rozporządzenia 2023/1114, do wysokości 22 284 000 zł </w:t>
      </w:r>
      <w:r w:rsidRPr="00973CD7">
        <w:rPr>
          <w:rFonts w:ascii="Times New Roman" w:hAnsi="Times New Roman" w:cs="Times New Roman"/>
          <w:sz w:val="24"/>
          <w:szCs w:val="24"/>
        </w:rPr>
        <w:sym w:font="Symbol" w:char="F02D"/>
      </w:r>
      <w:r w:rsidRPr="00866C87">
        <w:rPr>
          <w:rFonts w:ascii="Times New Roman" w:hAnsi="Times New Roman" w:cs="Times New Roman"/>
          <w:sz w:val="24"/>
          <w:szCs w:val="24"/>
        </w:rPr>
        <w:t xml:space="preserve"> na podmiot, który dopuścił się naruszenia, będący osobą fizyczną, natomiast w przypadku podmiotu będącego osobą prawną lub jednostką organizacyjną nieposiadającą osobowości prawnej</w:t>
      </w:r>
      <w:r w:rsidRPr="00866C87">
        <w:rPr>
          <w:rFonts w:ascii="Times New Roman" w:hAnsi="Times New Roman" w:cs="Arial"/>
          <w:sz w:val="24"/>
          <w:szCs w:val="20"/>
          <w:lang w:eastAsia="pl-PL"/>
        </w:rPr>
        <w:t xml:space="preserve"> do wysokości </w:t>
      </w:r>
      <w:bookmarkStart w:id="23" w:name="_Hlk181181945"/>
      <w:r w:rsidRPr="00813A5E">
        <w:rPr>
          <w:rFonts w:ascii="Times New Roman" w:hAnsi="Times New Roman" w:cs="Arial"/>
          <w:sz w:val="24"/>
          <w:szCs w:val="20"/>
          <w:lang w:eastAsia="pl-PL"/>
        </w:rPr>
        <w:t>66 852 000 zł</w:t>
      </w:r>
      <w:bookmarkEnd w:id="23"/>
      <w:r w:rsidRPr="00813A5E">
        <w:rPr>
          <w:rFonts w:ascii="Times New Roman" w:hAnsi="Times New Roman" w:cs="Arial"/>
          <w:sz w:val="24"/>
          <w:szCs w:val="20"/>
          <w:lang w:eastAsia="pl-PL"/>
        </w:rPr>
        <w:t xml:space="preserve"> </w:t>
      </w:r>
      <w:r w:rsidRPr="00813A5E">
        <w:rPr>
          <w:rFonts w:ascii="Times New Roman" w:hAnsi="Times New Roman" w:cs="Times New Roman"/>
          <w:sz w:val="24"/>
          <w:szCs w:val="24"/>
        </w:rPr>
        <w:t>albo kwoty stanowiącej równowartość 15% całkowitego rocznego przychodu podmiotu, który dopuścił się naruszenia, według ostatniego dostępnego sprawozdania finansowego zatwierdzonego przez organ zarządzający, jeżeli kwota stanowiąca tę równowartość przekracza 66</w:t>
      </w:r>
      <w:r>
        <w:rPr>
          <w:rFonts w:ascii="Times New Roman" w:hAnsi="Times New Roman" w:cs="Times New Roman"/>
          <w:sz w:val="24"/>
          <w:szCs w:val="24"/>
        </w:rPr>
        <w:t> </w:t>
      </w:r>
      <w:r w:rsidRPr="00813A5E">
        <w:rPr>
          <w:rFonts w:ascii="Times New Roman" w:hAnsi="Times New Roman" w:cs="Times New Roman"/>
          <w:sz w:val="24"/>
          <w:szCs w:val="24"/>
        </w:rPr>
        <w:t>852</w:t>
      </w:r>
      <w:r>
        <w:rPr>
          <w:rFonts w:ascii="Times New Roman" w:hAnsi="Times New Roman" w:cs="Times New Roman"/>
          <w:sz w:val="24"/>
          <w:szCs w:val="24"/>
        </w:rPr>
        <w:t> </w:t>
      </w:r>
      <w:r w:rsidRPr="00813A5E">
        <w:rPr>
          <w:rFonts w:ascii="Times New Roman" w:hAnsi="Times New Roman" w:cs="Times New Roman"/>
          <w:sz w:val="24"/>
          <w:szCs w:val="24"/>
        </w:rPr>
        <w:t xml:space="preserve">000 zł, zgodnie z art. 111 ust. 5 lit. i tego rozporządzenia. </w:t>
      </w:r>
      <w:r w:rsidRPr="00866C87">
        <w:rPr>
          <w:rFonts w:ascii="Times New Roman" w:hAnsi="Times New Roman" w:cs="Times New Roman"/>
          <w:sz w:val="24"/>
          <w:szCs w:val="24"/>
        </w:rPr>
        <w:t xml:space="preserve">W przypadku, gdy jest możliwe ustalenie kwoty korzyści osiągniętej lub straty unikniętej w wyniku wskazanego w tym artykule naruszenia, kara pieniężna może być nałożona do wysokości </w:t>
      </w:r>
      <w:r w:rsidRPr="00866C87">
        <w:rPr>
          <w:rFonts w:ascii="Times New Roman" w:hAnsi="Times New Roman"/>
          <w:sz w:val="24"/>
        </w:rPr>
        <w:t>trzykrotności tej kwoty</w:t>
      </w:r>
      <w:r w:rsidRPr="00866C87">
        <w:rPr>
          <w:rFonts w:ascii="Times New Roman" w:hAnsi="Times New Roman" w:cs="Times New Roman"/>
          <w:sz w:val="24"/>
          <w:szCs w:val="24"/>
        </w:rPr>
        <w:t>.</w:t>
      </w:r>
      <w:r w:rsidRPr="00866C87">
        <w:t xml:space="preserve"> </w:t>
      </w:r>
      <w:r w:rsidRPr="00866C87">
        <w:rPr>
          <w:rFonts w:ascii="Times New Roman" w:hAnsi="Times New Roman" w:cs="Times New Roman"/>
          <w:sz w:val="24"/>
          <w:szCs w:val="24"/>
        </w:rPr>
        <w:t xml:space="preserve">W przypadku deliktów dotyczących wskazanych przepisów rozporządzenia </w:t>
      </w:r>
      <w:proofErr w:type="spellStart"/>
      <w:r w:rsidRPr="00866C87">
        <w:rPr>
          <w:rFonts w:ascii="Times New Roman" w:hAnsi="Times New Roman" w:cs="Times New Roman"/>
          <w:sz w:val="24"/>
          <w:szCs w:val="24"/>
        </w:rPr>
        <w:t>M</w:t>
      </w:r>
      <w:r w:rsidRPr="00813A5E">
        <w:rPr>
          <w:rFonts w:ascii="Times New Roman" w:hAnsi="Times New Roman" w:cs="Times New Roman"/>
          <w:sz w:val="24"/>
          <w:szCs w:val="24"/>
        </w:rPr>
        <w:t>iCA</w:t>
      </w:r>
      <w:proofErr w:type="spellEnd"/>
      <w:r w:rsidRPr="00813A5E">
        <w:rPr>
          <w:rFonts w:ascii="Times New Roman" w:hAnsi="Times New Roman" w:cs="Times New Roman"/>
          <w:sz w:val="24"/>
          <w:szCs w:val="24"/>
        </w:rPr>
        <w:t>, prawodawca europejski ustalił maksymalną kwotę sankcji na równowartość co najmniej 5 000 000 euro w przypadku osób fizycznych i 15 000 000 euro w przypadku osób prawnych, co zostało odzwierciedlone w brzmieniu omawianego przepisu</w:t>
      </w:r>
      <w:r>
        <w:rPr>
          <w:rFonts w:ascii="Times New Roman" w:hAnsi="Times New Roman" w:cs="Times New Roman"/>
          <w:sz w:val="24"/>
          <w:szCs w:val="24"/>
        </w:rPr>
        <w:t xml:space="preserve"> </w:t>
      </w:r>
      <w:r w:rsidRPr="00813A5E">
        <w:rPr>
          <w:rFonts w:ascii="Times New Roman" w:hAnsi="Times New Roman" w:cs="Times New Roman"/>
          <w:sz w:val="24"/>
          <w:szCs w:val="24"/>
        </w:rPr>
        <w:t xml:space="preserve">(art. 111 ust. 5 lit. i oraz lit. j w związku z ust. 1 lit. e rozporządzenia </w:t>
      </w:r>
      <w:proofErr w:type="spellStart"/>
      <w:r w:rsidRPr="00813A5E">
        <w:rPr>
          <w:rFonts w:ascii="Times New Roman" w:hAnsi="Times New Roman" w:cs="Times New Roman"/>
          <w:sz w:val="24"/>
          <w:szCs w:val="24"/>
        </w:rPr>
        <w:t>MiCA</w:t>
      </w:r>
      <w:proofErr w:type="spellEnd"/>
      <w:r w:rsidRPr="00813A5E">
        <w:rPr>
          <w:rFonts w:ascii="Times New Roman" w:hAnsi="Times New Roman" w:cs="Times New Roman"/>
          <w:sz w:val="24"/>
          <w:szCs w:val="24"/>
        </w:rPr>
        <w:t>). Wyższa sankcja powinna dotyczyć nie tylko osób prawnych, ale również jednostek organizacyjnych nieposiadających osobowości prawnej.</w:t>
      </w:r>
    </w:p>
    <w:p w14:paraId="3DEEFA8E" w14:textId="0AF5130D" w:rsidR="00C21D4B" w:rsidRPr="007D016B" w:rsidRDefault="00C21D4B" w:rsidP="00695ECE">
      <w:pPr>
        <w:pStyle w:val="Akapitzlist"/>
        <w:numPr>
          <w:ilvl w:val="0"/>
          <w:numId w:val="2"/>
        </w:numPr>
        <w:spacing w:line="360" w:lineRule="auto"/>
        <w:jc w:val="both"/>
      </w:pPr>
      <w:r w:rsidRPr="007D016B">
        <w:rPr>
          <w:rFonts w:ascii="Times New Roman" w:hAnsi="Times New Roman" w:cs="Times New Roman"/>
          <w:b/>
          <w:bCs/>
          <w:sz w:val="24"/>
          <w:szCs w:val="24"/>
        </w:rPr>
        <w:t>Art. 10</w:t>
      </w:r>
      <w:r w:rsidR="0065218B">
        <w:rPr>
          <w:rFonts w:ascii="Times New Roman" w:hAnsi="Times New Roman" w:cs="Times New Roman"/>
          <w:b/>
          <w:bCs/>
          <w:sz w:val="24"/>
          <w:szCs w:val="24"/>
        </w:rPr>
        <w:t>9</w:t>
      </w:r>
      <w:r w:rsidRPr="007D016B">
        <w:rPr>
          <w:rFonts w:ascii="Times New Roman" w:hAnsi="Times New Roman" w:cs="Times New Roman"/>
          <w:sz w:val="24"/>
          <w:szCs w:val="24"/>
        </w:rPr>
        <w:t xml:space="preserve"> określa środki, jakie może podjąć Komisja w przypadku naruszeń obowiązków, o których mowa w art. 92 ust. 1 rozporządzenia 2023/1114, lub w przepisach aktu delegowanego wydanego na podstawie art. 92 ust. 2 rozporządzenia 2023/1114, tj. w zakresie zapobiegania i</w:t>
      </w:r>
      <w:r>
        <w:rPr>
          <w:rFonts w:ascii="Times New Roman" w:hAnsi="Times New Roman" w:cs="Times New Roman"/>
          <w:sz w:val="24"/>
          <w:szCs w:val="24"/>
        </w:rPr>
        <w:t xml:space="preserve"> </w:t>
      </w:r>
      <w:r w:rsidRPr="007D016B">
        <w:rPr>
          <w:rFonts w:ascii="Times New Roman" w:hAnsi="Times New Roman" w:cs="Times New Roman"/>
          <w:sz w:val="24"/>
          <w:szCs w:val="24"/>
        </w:rPr>
        <w:t xml:space="preserve">wykrywania nadużyć na rynku </w:t>
      </w:r>
      <w:proofErr w:type="spellStart"/>
      <w:r w:rsidRPr="007D016B">
        <w:rPr>
          <w:rFonts w:ascii="Times New Roman" w:hAnsi="Times New Roman" w:cs="Times New Roman"/>
          <w:sz w:val="24"/>
          <w:szCs w:val="24"/>
        </w:rPr>
        <w:t>kryptoaktywów</w:t>
      </w:r>
      <w:proofErr w:type="spellEnd"/>
      <w:r w:rsidRPr="007D016B">
        <w:rPr>
          <w:rFonts w:ascii="Times New Roman" w:hAnsi="Times New Roman" w:cs="Times New Roman"/>
          <w:sz w:val="24"/>
          <w:szCs w:val="24"/>
        </w:rPr>
        <w:t>. Zgodnie z art. 111 ust. 5 tego rozporządzenia państwa członkowskie są zobowiązane do nadania organom właściwym uprawnień do nakładania administracyjnych kar pieniężnych za naruszenie m.in. wskazanych wyżej obowiązków. Ust. 1 projektowanego artykułu nadaje Komisji uprawnienie do nałożenia kary pieniężnej do wysokości</w:t>
      </w:r>
      <w:r w:rsidRPr="007D016B">
        <w:rPr>
          <w:rFonts w:ascii="Times New Roman" w:hAnsi="Times New Roman" w:cs="Arial"/>
          <w:sz w:val="24"/>
          <w:szCs w:val="20"/>
          <w:lang w:eastAsia="pl-PL"/>
        </w:rPr>
        <w:t xml:space="preserve"> </w:t>
      </w:r>
      <w:r w:rsidRPr="007D016B">
        <w:rPr>
          <w:rFonts w:ascii="Times New Roman" w:hAnsi="Times New Roman" w:cs="Times New Roman"/>
          <w:sz w:val="24"/>
          <w:szCs w:val="24"/>
        </w:rPr>
        <w:t>22</w:t>
      </w:r>
      <w:r>
        <w:rPr>
          <w:rFonts w:ascii="Times New Roman" w:hAnsi="Times New Roman" w:cs="Times New Roman"/>
          <w:sz w:val="24"/>
          <w:szCs w:val="24"/>
        </w:rPr>
        <w:t xml:space="preserve"> </w:t>
      </w:r>
      <w:r w:rsidRPr="007D016B">
        <w:rPr>
          <w:rFonts w:ascii="Times New Roman" w:hAnsi="Times New Roman" w:cs="Times New Roman"/>
          <w:sz w:val="24"/>
          <w:szCs w:val="24"/>
        </w:rPr>
        <w:t>284 000 zł na</w:t>
      </w:r>
      <w:r w:rsidRPr="00813A5E">
        <w:t xml:space="preserve"> </w:t>
      </w:r>
      <w:r w:rsidRPr="007D016B">
        <w:rPr>
          <w:rFonts w:ascii="Times New Roman" w:hAnsi="Times New Roman" w:cs="Times New Roman"/>
          <w:sz w:val="24"/>
          <w:szCs w:val="24"/>
        </w:rPr>
        <w:t xml:space="preserve">osobę zawodowo pośredniczącą w zawieraniu transakcji lub realizującą transakcje związane z </w:t>
      </w:r>
      <w:proofErr w:type="spellStart"/>
      <w:r w:rsidRPr="007D016B">
        <w:rPr>
          <w:rFonts w:ascii="Times New Roman" w:hAnsi="Times New Roman" w:cs="Times New Roman"/>
          <w:sz w:val="24"/>
          <w:szCs w:val="24"/>
        </w:rPr>
        <w:t>kryptoaktywami</w:t>
      </w:r>
      <w:proofErr w:type="spellEnd"/>
      <w:r w:rsidRPr="007D016B">
        <w:rPr>
          <w:rFonts w:ascii="Times New Roman" w:hAnsi="Times New Roman" w:cs="Times New Roman"/>
          <w:sz w:val="24"/>
          <w:szCs w:val="24"/>
        </w:rPr>
        <w:t xml:space="preserve"> będącą osobą fizyczną, natomiast w przypadku osoby zawodowo pośredniczącej w zawieraniu transakcji lub realizując</w:t>
      </w:r>
      <w:r>
        <w:rPr>
          <w:rFonts w:ascii="Times New Roman" w:hAnsi="Times New Roman" w:cs="Times New Roman"/>
          <w:sz w:val="24"/>
          <w:szCs w:val="24"/>
        </w:rPr>
        <w:t>ej</w:t>
      </w:r>
      <w:r w:rsidRPr="007D016B">
        <w:rPr>
          <w:rFonts w:ascii="Times New Roman" w:hAnsi="Times New Roman" w:cs="Times New Roman"/>
          <w:sz w:val="24"/>
          <w:szCs w:val="24"/>
        </w:rPr>
        <w:t xml:space="preserve"> transakcje związane z </w:t>
      </w:r>
      <w:proofErr w:type="spellStart"/>
      <w:r w:rsidRPr="007D016B">
        <w:rPr>
          <w:rFonts w:ascii="Times New Roman" w:hAnsi="Times New Roman" w:cs="Times New Roman"/>
          <w:sz w:val="24"/>
          <w:szCs w:val="24"/>
        </w:rPr>
        <w:t>kryptoaktywami</w:t>
      </w:r>
      <w:proofErr w:type="spellEnd"/>
      <w:r w:rsidRPr="007D016B">
        <w:rPr>
          <w:rFonts w:ascii="Times New Roman" w:hAnsi="Times New Roman" w:cs="Times New Roman"/>
          <w:sz w:val="24"/>
          <w:szCs w:val="24"/>
        </w:rPr>
        <w:t xml:space="preserve"> będącej osobą prawną lub jednostką organizacyjną nieposiadającą osobowości prawnej do wysokości 66</w:t>
      </w:r>
      <w:r>
        <w:rPr>
          <w:rFonts w:ascii="Times New Roman" w:hAnsi="Times New Roman" w:cs="Times New Roman"/>
          <w:sz w:val="24"/>
          <w:szCs w:val="24"/>
        </w:rPr>
        <w:t> </w:t>
      </w:r>
      <w:r w:rsidRPr="007D016B">
        <w:rPr>
          <w:rFonts w:ascii="Times New Roman" w:hAnsi="Times New Roman" w:cs="Times New Roman"/>
          <w:sz w:val="24"/>
          <w:szCs w:val="24"/>
        </w:rPr>
        <w:t>852</w:t>
      </w:r>
      <w:r>
        <w:rPr>
          <w:rFonts w:ascii="Times New Roman" w:hAnsi="Times New Roman" w:cs="Times New Roman"/>
          <w:sz w:val="24"/>
          <w:szCs w:val="24"/>
        </w:rPr>
        <w:t> </w:t>
      </w:r>
      <w:r w:rsidRPr="007D016B">
        <w:rPr>
          <w:rFonts w:ascii="Times New Roman" w:hAnsi="Times New Roman" w:cs="Times New Roman"/>
          <w:sz w:val="24"/>
          <w:szCs w:val="24"/>
        </w:rPr>
        <w:t xml:space="preserve">000 zł albo kwoty stanowiącej równowartość 15% całkowitego rocznego przychodu osoby zawodowo pośredniczącej w zawieraniu transakcji lub realizującej transakcje związane z </w:t>
      </w:r>
      <w:proofErr w:type="spellStart"/>
      <w:r w:rsidRPr="007D016B">
        <w:rPr>
          <w:rFonts w:ascii="Times New Roman" w:hAnsi="Times New Roman" w:cs="Times New Roman"/>
          <w:sz w:val="24"/>
          <w:szCs w:val="24"/>
        </w:rPr>
        <w:t>kryptoaktywami</w:t>
      </w:r>
      <w:proofErr w:type="spellEnd"/>
      <w:r w:rsidRPr="007D016B">
        <w:rPr>
          <w:rFonts w:ascii="Times New Roman" w:hAnsi="Times New Roman" w:cs="Times New Roman"/>
          <w:sz w:val="24"/>
          <w:szCs w:val="24"/>
        </w:rPr>
        <w:t xml:space="preserve"> według ostatniego dostępnego sprawozdania finansowego zatwierdzonego przez organ zarządzający, jeżeli kwota stanowiąca tę równowartość przekracza 66 852 000 zł. Maksymalna wysokość tych kar została wyznaczona zgodnie z art. 111 ust. 5 lit. j rozporządzenia 2023/1114. </w:t>
      </w:r>
      <w:r w:rsidRPr="007D016B">
        <w:rPr>
          <w:rFonts w:ascii="Times New Roman" w:hAnsi="Times New Roman" w:cs="Times New Roman"/>
        </w:rPr>
        <w:t>W</w:t>
      </w:r>
      <w:r w:rsidRPr="00813A5E">
        <w:t xml:space="preserve"> </w:t>
      </w:r>
      <w:r w:rsidRPr="007D016B">
        <w:rPr>
          <w:rFonts w:ascii="Times New Roman" w:hAnsi="Times New Roman" w:cs="Times New Roman"/>
          <w:sz w:val="24"/>
          <w:szCs w:val="24"/>
        </w:rPr>
        <w:t xml:space="preserve">przypadku gdy jest możliwe ustalenie kwoty korzyści osiągniętej lub straty unikniętej w wyniku naruszenia, kara pieniężna może być nałożona do wysokości </w:t>
      </w:r>
      <w:r w:rsidRPr="007D016B">
        <w:rPr>
          <w:rFonts w:ascii="Times New Roman" w:hAnsi="Times New Roman"/>
          <w:sz w:val="24"/>
        </w:rPr>
        <w:t>dwukrotności tej kwoty</w:t>
      </w:r>
      <w:r w:rsidRPr="007D016B">
        <w:rPr>
          <w:rFonts w:ascii="Times New Roman" w:hAnsi="Times New Roman" w:cs="Times New Roman"/>
          <w:sz w:val="24"/>
          <w:szCs w:val="24"/>
        </w:rPr>
        <w:t xml:space="preserve">. Ust. 3 wskazuje, że w przypadku wskazanych w tym przepisie naruszeń Komisja może również zakazać świadczenia usług w zakresie </w:t>
      </w:r>
      <w:proofErr w:type="spellStart"/>
      <w:r w:rsidRPr="007D016B">
        <w:rPr>
          <w:rFonts w:ascii="Times New Roman" w:hAnsi="Times New Roman" w:cs="Times New Roman"/>
          <w:sz w:val="24"/>
          <w:szCs w:val="24"/>
        </w:rPr>
        <w:t>kryptoaktywów</w:t>
      </w:r>
      <w:proofErr w:type="spellEnd"/>
      <w:r w:rsidRPr="007D016B">
        <w:rPr>
          <w:rFonts w:ascii="Times New Roman" w:hAnsi="Times New Roman" w:cs="Times New Roman"/>
          <w:sz w:val="24"/>
          <w:szCs w:val="24"/>
        </w:rPr>
        <w:t xml:space="preserve"> (w przypadku</w:t>
      </w:r>
      <w:r w:rsidRPr="00866C87">
        <w:t xml:space="preserve"> </w:t>
      </w:r>
      <w:r w:rsidRPr="007D016B">
        <w:rPr>
          <w:rFonts w:ascii="Times New Roman" w:hAnsi="Times New Roman" w:cs="Times New Roman"/>
          <w:sz w:val="24"/>
          <w:szCs w:val="24"/>
        </w:rPr>
        <w:t xml:space="preserve">instytucji kredytowej, centralnego depozytu papierów wartościowych, firmy inwestycyjnej, uczestnika rynku, instytucji pieniądza elektronicznego, spółki zarządzającej UCITS lub zarządzającego alternatywnym funduszem inwestycyjnym, którym zezwolono na świadczenie usług w zakresie </w:t>
      </w:r>
      <w:proofErr w:type="spellStart"/>
      <w:r w:rsidRPr="007D016B">
        <w:rPr>
          <w:rFonts w:ascii="Times New Roman" w:hAnsi="Times New Roman" w:cs="Times New Roman"/>
          <w:sz w:val="24"/>
          <w:szCs w:val="24"/>
        </w:rPr>
        <w:t>kryptoaktywów</w:t>
      </w:r>
      <w:proofErr w:type="spellEnd"/>
      <w:r w:rsidRPr="007D016B">
        <w:rPr>
          <w:rFonts w:ascii="Times New Roman" w:hAnsi="Times New Roman" w:cs="Times New Roman"/>
          <w:sz w:val="24"/>
          <w:szCs w:val="24"/>
        </w:rPr>
        <w:t>) lub nakazać osobie odpowiedzialnej za naruszeni</w:t>
      </w:r>
      <w:r>
        <w:rPr>
          <w:rFonts w:ascii="Times New Roman" w:hAnsi="Times New Roman" w:cs="Times New Roman"/>
          <w:sz w:val="24"/>
          <w:szCs w:val="24"/>
        </w:rPr>
        <w:t>e</w:t>
      </w:r>
      <w:r w:rsidRPr="007D016B">
        <w:rPr>
          <w:rFonts w:ascii="Times New Roman" w:hAnsi="Times New Roman" w:cs="Times New Roman"/>
          <w:sz w:val="24"/>
          <w:szCs w:val="24"/>
        </w:rPr>
        <w:t xml:space="preserve"> zaprzestanie działań skutkujących powstaniem t</w:t>
      </w:r>
      <w:r>
        <w:rPr>
          <w:rFonts w:ascii="Times New Roman" w:hAnsi="Times New Roman" w:cs="Times New Roman"/>
          <w:sz w:val="24"/>
          <w:szCs w:val="24"/>
        </w:rPr>
        <w:t>ego</w:t>
      </w:r>
      <w:r w:rsidRPr="007D016B">
        <w:rPr>
          <w:rFonts w:ascii="Times New Roman" w:hAnsi="Times New Roman" w:cs="Times New Roman"/>
          <w:sz w:val="24"/>
          <w:szCs w:val="24"/>
        </w:rPr>
        <w:t xml:space="preserve"> narusze</w:t>
      </w:r>
      <w:r>
        <w:rPr>
          <w:rFonts w:ascii="Times New Roman" w:hAnsi="Times New Roman" w:cs="Times New Roman"/>
          <w:sz w:val="24"/>
          <w:szCs w:val="24"/>
        </w:rPr>
        <w:t>nia</w:t>
      </w:r>
      <w:r w:rsidRPr="007D016B">
        <w:rPr>
          <w:rFonts w:ascii="Times New Roman" w:hAnsi="Times New Roman" w:cs="Times New Roman"/>
          <w:sz w:val="24"/>
          <w:szCs w:val="24"/>
        </w:rPr>
        <w:t xml:space="preserve"> i niepodejmowanie takich działań w przyszłości. Przepis ten wdraża przepis art. 111 ust.</w:t>
      </w:r>
      <w:r>
        <w:rPr>
          <w:rFonts w:ascii="Times New Roman" w:hAnsi="Times New Roman" w:cs="Times New Roman"/>
          <w:sz w:val="24"/>
          <w:szCs w:val="24"/>
        </w:rPr>
        <w:t> </w:t>
      </w:r>
      <w:r w:rsidRPr="007D016B">
        <w:rPr>
          <w:rFonts w:ascii="Times New Roman" w:hAnsi="Times New Roman" w:cs="Times New Roman"/>
          <w:sz w:val="24"/>
          <w:szCs w:val="24"/>
        </w:rPr>
        <w:t>5 lit. d rozporządzenia 2023/1114. Ust. 4</w:t>
      </w:r>
      <w:r w:rsidRPr="00866C87">
        <w:t xml:space="preserve"> </w:t>
      </w:r>
      <w:bookmarkStart w:id="24" w:name="_Hlk156992580"/>
      <w:r w:rsidRPr="007D016B">
        <w:rPr>
          <w:rFonts w:ascii="Times New Roman" w:hAnsi="Times New Roman" w:cs="Times New Roman"/>
          <w:sz w:val="24"/>
          <w:szCs w:val="24"/>
        </w:rPr>
        <w:t xml:space="preserve">określa co stanowi całkowity roczny przychód w przypadku, gdy osoba zawodowo pośrednicząca w zawieraniu transakcji lub realizująca transakcje związane z </w:t>
      </w:r>
      <w:proofErr w:type="spellStart"/>
      <w:r w:rsidRPr="007D016B">
        <w:rPr>
          <w:rFonts w:ascii="Times New Roman" w:hAnsi="Times New Roman" w:cs="Times New Roman"/>
          <w:sz w:val="24"/>
          <w:szCs w:val="24"/>
        </w:rPr>
        <w:t>kryptoaktywami</w:t>
      </w:r>
      <w:proofErr w:type="spellEnd"/>
      <w:r w:rsidRPr="007D016B">
        <w:rPr>
          <w:rFonts w:ascii="Times New Roman" w:hAnsi="Times New Roman" w:cs="Times New Roman"/>
          <w:sz w:val="24"/>
          <w:szCs w:val="24"/>
        </w:rPr>
        <w:t xml:space="preserve"> jest jednostką dominującą, która sporządza skonsolidowane sprawozdanie finansowe, albo jednostką zależną od jednostki dominującej</w:t>
      </w:r>
      <w:bookmarkEnd w:id="24"/>
      <w:r w:rsidRPr="007D016B">
        <w:rPr>
          <w:rFonts w:ascii="Times New Roman" w:hAnsi="Times New Roman" w:cs="Times New Roman"/>
          <w:sz w:val="24"/>
          <w:szCs w:val="24"/>
        </w:rPr>
        <w:t>.</w:t>
      </w:r>
      <w:r w:rsidRPr="00813A5E">
        <w:t xml:space="preserve"> </w:t>
      </w:r>
      <w:r w:rsidRPr="007D016B">
        <w:rPr>
          <w:rFonts w:ascii="Times New Roman" w:hAnsi="Times New Roman" w:cs="Times New Roman"/>
          <w:sz w:val="24"/>
          <w:szCs w:val="24"/>
        </w:rPr>
        <w:t xml:space="preserve">Art. 92 ust. 1 rozporządzenia 2023/1114 dotyczy osób zawodowo pośredniczących w zawieraniu transakcji lub realizujących transakcje związane z </w:t>
      </w:r>
      <w:proofErr w:type="spellStart"/>
      <w:r w:rsidRPr="007D016B">
        <w:rPr>
          <w:rFonts w:ascii="Times New Roman" w:hAnsi="Times New Roman" w:cs="Times New Roman"/>
          <w:sz w:val="24"/>
          <w:szCs w:val="24"/>
        </w:rPr>
        <w:t>kryptoaktywami</w:t>
      </w:r>
      <w:proofErr w:type="spellEnd"/>
      <w:r w:rsidRPr="007D016B">
        <w:rPr>
          <w:rFonts w:ascii="Times New Roman" w:hAnsi="Times New Roman" w:cs="Times New Roman"/>
          <w:sz w:val="24"/>
          <w:szCs w:val="24"/>
        </w:rPr>
        <w:t xml:space="preserve">. Stąd konieczność doprecyzowania zakresu podmiotowego przepisu ustawy w kontekście zróżnicowanej wysokości kar. W przypadku deliktu stanowiącego naruszenie art. 92 ust. 1 rozporządzenia </w:t>
      </w:r>
      <w:proofErr w:type="spellStart"/>
      <w:r w:rsidRPr="007D016B">
        <w:rPr>
          <w:rFonts w:ascii="Times New Roman" w:hAnsi="Times New Roman" w:cs="Times New Roman"/>
          <w:sz w:val="24"/>
          <w:szCs w:val="24"/>
        </w:rPr>
        <w:t>MiCA</w:t>
      </w:r>
      <w:proofErr w:type="spellEnd"/>
      <w:r w:rsidRPr="007D016B">
        <w:rPr>
          <w:rFonts w:ascii="Times New Roman" w:hAnsi="Times New Roman" w:cs="Times New Roman"/>
          <w:sz w:val="24"/>
          <w:szCs w:val="24"/>
        </w:rPr>
        <w:t>, prawodawca europejski ustalił maksymalną wysokość sankcji na równowartość co najmniej 5 000 000 euro w przypadku osób fizycznych i 15 000 000 euro w przypadku osób prawnych (por. art.</w:t>
      </w:r>
      <w:r>
        <w:rPr>
          <w:rFonts w:ascii="Times New Roman" w:hAnsi="Times New Roman" w:cs="Times New Roman"/>
          <w:sz w:val="24"/>
          <w:szCs w:val="24"/>
        </w:rPr>
        <w:t> </w:t>
      </w:r>
      <w:r w:rsidRPr="007D016B">
        <w:rPr>
          <w:rFonts w:ascii="Times New Roman" w:hAnsi="Times New Roman" w:cs="Times New Roman"/>
          <w:sz w:val="24"/>
          <w:szCs w:val="24"/>
        </w:rPr>
        <w:t>111 ust. 5 lit</w:t>
      </w:r>
      <w:r>
        <w:rPr>
          <w:rFonts w:ascii="Times New Roman" w:hAnsi="Times New Roman" w:cs="Times New Roman"/>
          <w:sz w:val="24"/>
          <w:szCs w:val="24"/>
        </w:rPr>
        <w:t>. i</w:t>
      </w:r>
      <w:r w:rsidRPr="007D016B">
        <w:rPr>
          <w:rFonts w:ascii="Times New Roman" w:hAnsi="Times New Roman" w:cs="Times New Roman"/>
          <w:sz w:val="24"/>
          <w:szCs w:val="24"/>
        </w:rPr>
        <w:t xml:space="preserve"> oraz lit. j w związku z ust. 1 lit. e rozporządzenia 2023/1114). Sankcje pieniężne należy zatem zróżnicować w zależności czy osoba zawodowo pośrednicząca w zawieraniu transakcji lub realizująca transakcje związane z </w:t>
      </w:r>
      <w:proofErr w:type="spellStart"/>
      <w:r w:rsidRPr="007D016B">
        <w:rPr>
          <w:rFonts w:ascii="Times New Roman" w:hAnsi="Times New Roman" w:cs="Times New Roman"/>
          <w:sz w:val="24"/>
          <w:szCs w:val="24"/>
        </w:rPr>
        <w:t>kryptoaktywami</w:t>
      </w:r>
      <w:proofErr w:type="spellEnd"/>
      <w:r w:rsidRPr="007D016B">
        <w:rPr>
          <w:rFonts w:ascii="Times New Roman" w:hAnsi="Times New Roman" w:cs="Times New Roman"/>
          <w:sz w:val="24"/>
          <w:szCs w:val="24"/>
        </w:rPr>
        <w:t xml:space="preserve"> jest osobą fizyczną</w:t>
      </w:r>
      <w:r>
        <w:rPr>
          <w:rFonts w:ascii="Times New Roman" w:hAnsi="Times New Roman" w:cs="Times New Roman"/>
          <w:sz w:val="24"/>
          <w:szCs w:val="24"/>
        </w:rPr>
        <w:t>,</w:t>
      </w:r>
      <w:r w:rsidRPr="007D016B">
        <w:rPr>
          <w:rFonts w:ascii="Times New Roman" w:hAnsi="Times New Roman" w:cs="Times New Roman"/>
          <w:sz w:val="24"/>
          <w:szCs w:val="24"/>
        </w:rPr>
        <w:t xml:space="preserve"> czy też osobą prawną lub jednostką organizacyjną nieposiadającą osobowości prawnej. Wyższa sankcja powinna dotyczyć nie tylko osób prawnych, ale również jednostek organizacyjnych nieposiadających osobowości prawnej. W związku z tym, że wskazany przepis przewiduje wydanie rozporządzenia delegowanego, zasadne jest, celem uniknięcia wątpliwości interpretacyjnych, uwzględnienie w przepisie sankcyjnym naruszenia również tego aktu, regulującego rozwiązania, systemy i procedury służące wykonaniu nałożonego przez art. 92 rozporządzenia </w:t>
      </w:r>
      <w:proofErr w:type="spellStart"/>
      <w:r w:rsidRPr="007D016B">
        <w:rPr>
          <w:rFonts w:ascii="Times New Roman" w:hAnsi="Times New Roman" w:cs="Times New Roman"/>
          <w:sz w:val="24"/>
          <w:szCs w:val="24"/>
        </w:rPr>
        <w:t>MiCA</w:t>
      </w:r>
      <w:proofErr w:type="spellEnd"/>
      <w:r w:rsidRPr="007D016B">
        <w:rPr>
          <w:rFonts w:ascii="Times New Roman" w:hAnsi="Times New Roman" w:cs="Times New Roman"/>
          <w:sz w:val="24"/>
          <w:szCs w:val="24"/>
        </w:rPr>
        <w:t xml:space="preserve"> obowiązku. Zapewni to pełną możliwość skutecznego sankcjonowania naruszeń związanych z obowiązkami wynikającymi z wymienionych przepisów. Ust. </w:t>
      </w:r>
      <w:r>
        <w:rPr>
          <w:rFonts w:ascii="Times New Roman" w:hAnsi="Times New Roman" w:cs="Times New Roman"/>
          <w:sz w:val="24"/>
          <w:szCs w:val="24"/>
        </w:rPr>
        <w:t>5</w:t>
      </w:r>
      <w:r w:rsidRPr="007D016B">
        <w:rPr>
          <w:rFonts w:ascii="Times New Roman" w:hAnsi="Times New Roman" w:cs="Times New Roman"/>
          <w:sz w:val="24"/>
          <w:szCs w:val="24"/>
        </w:rPr>
        <w:t xml:space="preserve"> precyzuje, że Komisja w przypadku cofnięcia zezwolenia zgodnie z art. 64 ust. 1 lit. d</w:t>
      </w:r>
      <w:r>
        <w:rPr>
          <w:rFonts w:ascii="Times New Roman" w:hAnsi="Times New Roman" w:cs="Times New Roman"/>
          <w:sz w:val="24"/>
          <w:szCs w:val="24"/>
        </w:rPr>
        <w:t>–</w:t>
      </w:r>
      <w:r w:rsidRPr="007D016B">
        <w:rPr>
          <w:rFonts w:ascii="Times New Roman" w:hAnsi="Times New Roman" w:cs="Times New Roman"/>
          <w:sz w:val="24"/>
          <w:szCs w:val="24"/>
        </w:rPr>
        <w:t xml:space="preserve">g rozporządzenia 2023/1114, jeżeli uzasadnia to charakter naruszenia, może nałożyć środki i sankcje, o których mowa w ust. 1 i </w:t>
      </w:r>
      <w:r>
        <w:rPr>
          <w:rFonts w:ascii="Times New Roman" w:hAnsi="Times New Roman" w:cs="Times New Roman"/>
          <w:sz w:val="24"/>
          <w:szCs w:val="24"/>
        </w:rPr>
        <w:t>ust. 3 pkt 2</w:t>
      </w:r>
      <w:r w:rsidRPr="007D016B">
        <w:rPr>
          <w:rFonts w:ascii="Times New Roman" w:hAnsi="Times New Roman" w:cs="Times New Roman"/>
          <w:sz w:val="24"/>
          <w:szCs w:val="24"/>
        </w:rPr>
        <w:t>.</w:t>
      </w:r>
    </w:p>
    <w:p w14:paraId="140F0184" w14:textId="558E82E3"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w:t>
      </w:r>
      <w:r w:rsidR="0065218B">
        <w:rPr>
          <w:rFonts w:ascii="Times New Roman" w:hAnsi="Times New Roman" w:cs="Times New Roman"/>
          <w:b/>
          <w:bCs/>
          <w:sz w:val="24"/>
          <w:szCs w:val="24"/>
        </w:rPr>
        <w:t>10</w:t>
      </w:r>
      <w:r w:rsidRPr="00813A5E">
        <w:rPr>
          <w:rFonts w:ascii="Times New Roman" w:hAnsi="Times New Roman" w:cs="Times New Roman"/>
          <w:sz w:val="24"/>
          <w:szCs w:val="24"/>
        </w:rPr>
        <w:t xml:space="preserve"> określa dodatkowe środki jakie Komisja może stosować w przypadku naruszeń</w:t>
      </w:r>
      <w:r w:rsidRPr="00813A5E">
        <w:t xml:space="preserve"> </w:t>
      </w:r>
      <w:r w:rsidRPr="00813A5E">
        <w:rPr>
          <w:rFonts w:ascii="Times New Roman" w:hAnsi="Times New Roman" w:cs="Times New Roman"/>
          <w:sz w:val="24"/>
          <w:szCs w:val="24"/>
        </w:rPr>
        <w:t xml:space="preserve">przepisów związanych z podawaniem informacji poufnych do publicznej wiadomości, zakazem manipulacji na rynku oraz zapobieganiem nadużyciom na rynku i ich wykrywaniem, tj. art. 88 ust. 1–3, art. 89 ust. 2 </w:t>
      </w:r>
      <w:r>
        <w:rPr>
          <w:rFonts w:ascii="Times New Roman" w:hAnsi="Times New Roman" w:cs="Times New Roman"/>
          <w:sz w:val="24"/>
          <w:szCs w:val="24"/>
        </w:rPr>
        <w:t>lub</w:t>
      </w:r>
      <w:r w:rsidRPr="00813A5E">
        <w:rPr>
          <w:rFonts w:ascii="Times New Roman" w:hAnsi="Times New Roman" w:cs="Times New Roman"/>
          <w:sz w:val="24"/>
          <w:szCs w:val="24"/>
        </w:rPr>
        <w:t xml:space="preserve"> 3, art. 90 ust. 1, art. 91 ust. 1 lub art.</w:t>
      </w:r>
      <w:r>
        <w:rPr>
          <w:rFonts w:ascii="Times New Roman" w:hAnsi="Times New Roman" w:cs="Times New Roman"/>
          <w:sz w:val="24"/>
          <w:szCs w:val="24"/>
        </w:rPr>
        <w:t> </w:t>
      </w:r>
      <w:r w:rsidRPr="00813A5E">
        <w:rPr>
          <w:rFonts w:ascii="Times New Roman" w:hAnsi="Times New Roman" w:cs="Times New Roman"/>
          <w:sz w:val="24"/>
          <w:szCs w:val="24"/>
        </w:rPr>
        <w:t xml:space="preserve">92 ust. 1 rozporządzenia 2023/1114 lub przepisów aktów </w:t>
      </w:r>
      <w:r>
        <w:rPr>
          <w:rFonts w:ascii="Times New Roman" w:hAnsi="Times New Roman" w:cs="Times New Roman"/>
          <w:sz w:val="24"/>
          <w:szCs w:val="24"/>
        </w:rPr>
        <w:t xml:space="preserve">wykonawczych </w:t>
      </w:r>
      <w:r w:rsidRPr="00813A5E">
        <w:rPr>
          <w:rFonts w:ascii="Times New Roman" w:hAnsi="Times New Roman" w:cs="Times New Roman"/>
          <w:sz w:val="24"/>
          <w:szCs w:val="24"/>
        </w:rPr>
        <w:t xml:space="preserve">wydanych na podstawie art. 88 ust. 4 lub </w:t>
      </w:r>
      <w:r w:rsidRPr="00AF0A48">
        <w:rPr>
          <w:rFonts w:ascii="Times New Roman" w:eastAsia="Times New Roman" w:hAnsi="Times New Roman" w:cs="Arial"/>
          <w:sz w:val="24"/>
          <w:szCs w:val="20"/>
          <w:lang w:eastAsia="pl-PL"/>
        </w:rPr>
        <w:t>przepisów aktów delegowanych wydanych na podstawie</w:t>
      </w:r>
      <w:r w:rsidRPr="00813A5E">
        <w:rPr>
          <w:rFonts w:ascii="Times New Roman" w:hAnsi="Times New Roman" w:cs="Times New Roman"/>
          <w:sz w:val="24"/>
          <w:szCs w:val="24"/>
        </w:rPr>
        <w:t xml:space="preserve"> art. 92 ust. 2 tego rozporządzenia. Środki te obejmują nakaz wobec podmiotu, który dopuścił się naruszenia, wydania korzyści osiągniętej lub wyrównanie straty unikniętej w wyniku naruszenia, o ile możliwe jest ich ustalenie, zakaz wobec osoby odpowiedzialnej za naruszenie pełnienia funkcji członka zarządu lub rady dyrektorów lub funkcji kierowniczych w podmiotach będących dostawcami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przez okres nie krótszy niż miesiąc i nie dłuższy niż rok, a w przypadku gdy doszło do ponownego naruszenia ww. przepisów przez okres nie krótszy niż 10 lat i nie dłuższy niż 15 lat, zakaz wobec członków zarządu lub rady dyrektorów dostawcy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lub innych osób odpowiedzialnych za naruszenie, zawierania transakcji na własny rachunek, których przedmiotem są </w:t>
      </w:r>
      <w:proofErr w:type="spellStart"/>
      <w:r w:rsidRPr="00813A5E">
        <w:rPr>
          <w:rFonts w:ascii="Times New Roman" w:hAnsi="Times New Roman" w:cs="Times New Roman"/>
          <w:sz w:val="24"/>
          <w:szCs w:val="24"/>
        </w:rPr>
        <w:t>kryptoaktywa</w:t>
      </w:r>
      <w:proofErr w:type="spellEnd"/>
      <w:r w:rsidRPr="00813A5E">
        <w:rPr>
          <w:rFonts w:ascii="Times New Roman" w:hAnsi="Times New Roman" w:cs="Times New Roman"/>
          <w:sz w:val="24"/>
          <w:szCs w:val="24"/>
        </w:rPr>
        <w:t xml:space="preserve"> przez okres nie krótszy niż miesiąc i nie dłuższy niż rok oraz nakaz osobom odpowiedzialnym za naruszenia zaprzestanie działań skutkujących powstaniem tych naruszeń i niepodejmowanie takich działań w przyszłości. Nadanie Komisji powyższych uprawnień do stosowania odpowiednich sankcji i środków nadzorczych stanowi wykonanie przepisów art. 111 ust. 5 lit. g oraz ust. 6 rozporządzenia 2023/1114, zgodnie z którym</w:t>
      </w:r>
      <w:r w:rsidRPr="00813A5E">
        <w:t xml:space="preserve"> </w:t>
      </w:r>
      <w:r w:rsidRPr="00813A5E">
        <w:rPr>
          <w:rFonts w:ascii="Times New Roman" w:hAnsi="Times New Roman" w:cs="Times New Roman"/>
          <w:sz w:val="24"/>
          <w:szCs w:val="24"/>
        </w:rPr>
        <w:t>państwa członkowskie mogą przyznać właściwym organom dodatkowe uprawnienia.</w:t>
      </w:r>
      <w:r w:rsidRPr="00813A5E">
        <w:t xml:space="preserve"> </w:t>
      </w:r>
      <w:r w:rsidRPr="00813A5E">
        <w:rPr>
          <w:rFonts w:ascii="Times New Roman" w:hAnsi="Times New Roman" w:cs="Times New Roman"/>
          <w:sz w:val="24"/>
          <w:szCs w:val="24"/>
        </w:rPr>
        <w:t xml:space="preserve">W związku z tym, że przepisy art. 88 i 92 rozporządzenia 2023/1114 przewidują wydanie </w:t>
      </w:r>
      <w:r>
        <w:rPr>
          <w:rFonts w:ascii="Times New Roman" w:hAnsi="Times New Roman" w:cs="Times New Roman"/>
          <w:sz w:val="24"/>
          <w:szCs w:val="24"/>
        </w:rPr>
        <w:t xml:space="preserve">odpowiednio rozporządzenia wykonawczego i </w:t>
      </w:r>
      <w:r w:rsidRPr="00813A5E">
        <w:rPr>
          <w:rFonts w:ascii="Times New Roman" w:hAnsi="Times New Roman" w:cs="Times New Roman"/>
          <w:sz w:val="24"/>
          <w:szCs w:val="24"/>
        </w:rPr>
        <w:t>rozporządzenia delegowanego, zasadne jest celem uniknięcia wątpliwości interpretacyjnych, objęcie przepisem sankcyjnym naruszenia również przepisów t</w:t>
      </w:r>
      <w:r>
        <w:rPr>
          <w:rFonts w:ascii="Times New Roman" w:hAnsi="Times New Roman" w:cs="Times New Roman"/>
          <w:sz w:val="24"/>
          <w:szCs w:val="24"/>
        </w:rPr>
        <w:t xml:space="preserve">ych </w:t>
      </w:r>
      <w:r w:rsidRPr="00813A5E">
        <w:rPr>
          <w:rFonts w:ascii="Times New Roman" w:hAnsi="Times New Roman" w:cs="Times New Roman"/>
          <w:sz w:val="24"/>
          <w:szCs w:val="24"/>
        </w:rPr>
        <w:t>akt</w:t>
      </w:r>
      <w:r>
        <w:rPr>
          <w:rFonts w:ascii="Times New Roman" w:hAnsi="Times New Roman" w:cs="Times New Roman"/>
          <w:sz w:val="24"/>
          <w:szCs w:val="24"/>
        </w:rPr>
        <w:t>ów.</w:t>
      </w:r>
      <w:r w:rsidRPr="00813A5E">
        <w:rPr>
          <w:rFonts w:ascii="Times New Roman" w:hAnsi="Times New Roman" w:cs="Times New Roman"/>
          <w:sz w:val="24"/>
          <w:szCs w:val="24"/>
        </w:rPr>
        <w:t xml:space="preserve"> </w:t>
      </w:r>
      <w:r>
        <w:rPr>
          <w:rFonts w:ascii="Times New Roman" w:hAnsi="Times New Roman" w:cs="Times New Roman"/>
          <w:sz w:val="24"/>
          <w:szCs w:val="24"/>
        </w:rPr>
        <w:t xml:space="preserve">Akt delegowany wydany na podstawie </w:t>
      </w:r>
      <w:r w:rsidRPr="00813A5E">
        <w:rPr>
          <w:rFonts w:ascii="Times New Roman" w:hAnsi="Times New Roman" w:cs="Times New Roman"/>
          <w:sz w:val="24"/>
          <w:szCs w:val="24"/>
        </w:rPr>
        <w:t xml:space="preserve">art. 92 rozporządzenia 2023/1114 będzie regulował rozwiązania, systemy i procedury służące wykonaniu nałożonego przez art. 92 rozporządzenia 2023/1114 obowiązku. Przepisy aktu </w:t>
      </w:r>
      <w:r>
        <w:rPr>
          <w:rFonts w:ascii="Times New Roman" w:hAnsi="Times New Roman" w:cs="Times New Roman"/>
          <w:sz w:val="24"/>
          <w:szCs w:val="24"/>
        </w:rPr>
        <w:t xml:space="preserve">wykonawczego </w:t>
      </w:r>
      <w:r w:rsidRPr="00813A5E">
        <w:rPr>
          <w:rFonts w:ascii="Times New Roman" w:hAnsi="Times New Roman" w:cs="Times New Roman"/>
          <w:sz w:val="24"/>
          <w:szCs w:val="24"/>
        </w:rPr>
        <w:t xml:space="preserve">wydanego na podstawie art. 88 </w:t>
      </w:r>
      <w:r>
        <w:rPr>
          <w:rFonts w:ascii="Times New Roman" w:hAnsi="Times New Roman" w:cs="Times New Roman"/>
          <w:sz w:val="24"/>
          <w:szCs w:val="24"/>
        </w:rPr>
        <w:t xml:space="preserve">ust. 4 </w:t>
      </w:r>
      <w:r w:rsidRPr="00813A5E">
        <w:rPr>
          <w:rFonts w:ascii="Times New Roman" w:hAnsi="Times New Roman" w:cs="Times New Roman"/>
          <w:sz w:val="24"/>
          <w:szCs w:val="24"/>
        </w:rPr>
        <w:t xml:space="preserve">rozporządzenia 2023/1114 będą z kolei dotyczyć podania informacji poufnej do publicznej wiadomości oraz opóźniania jej podawania. Przepisy dotyczące informacji poufnej mają zasadnicze znaczenie dla transparentności wobec uczestników rynku. Takie rozwiązanie zapewni pełną możliwość skutecznego sankcjonowania naruszeń związanych z obowiązkami wynikającymi z wymienionych przepisów. Dodatkowo przepisy rozporządzenia </w:t>
      </w:r>
      <w:proofErr w:type="spellStart"/>
      <w:r w:rsidRPr="00813A5E">
        <w:rPr>
          <w:rFonts w:ascii="Times New Roman" w:hAnsi="Times New Roman" w:cs="Times New Roman"/>
          <w:sz w:val="24"/>
          <w:szCs w:val="24"/>
        </w:rPr>
        <w:t>MiCA</w:t>
      </w:r>
      <w:proofErr w:type="spellEnd"/>
      <w:r w:rsidRPr="00813A5E">
        <w:rPr>
          <w:rFonts w:ascii="Times New Roman" w:hAnsi="Times New Roman" w:cs="Times New Roman"/>
          <w:sz w:val="24"/>
          <w:szCs w:val="24"/>
        </w:rPr>
        <w:t xml:space="preserve"> w zakresie zakazu pełnienia funkcji przewidują, że ten zakaz ma obowiązywać w podmiotach będących dostawcami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co nie powinno być rozumiane jako zakaz pełnienia funkcji u tego konkretnego dostawcy, w którym ta osoba aktualnie pełni funkcję.</w:t>
      </w:r>
    </w:p>
    <w:p w14:paraId="1EB9D5F5" w14:textId="57401980"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w:t>
      </w:r>
      <w:r>
        <w:rPr>
          <w:rFonts w:ascii="Times New Roman" w:hAnsi="Times New Roman" w:cs="Times New Roman"/>
          <w:b/>
          <w:bCs/>
          <w:sz w:val="24"/>
          <w:szCs w:val="24"/>
        </w:rPr>
        <w:t>1</w:t>
      </w:r>
      <w:r w:rsidR="0065218B">
        <w:rPr>
          <w:rFonts w:ascii="Times New Roman" w:hAnsi="Times New Roman" w:cs="Times New Roman"/>
          <w:b/>
          <w:bCs/>
          <w:sz w:val="24"/>
          <w:szCs w:val="24"/>
        </w:rPr>
        <w:t>1</w:t>
      </w:r>
      <w:r w:rsidRPr="00813A5E">
        <w:rPr>
          <w:rFonts w:ascii="Times New Roman" w:hAnsi="Times New Roman" w:cs="Times New Roman"/>
          <w:sz w:val="24"/>
          <w:szCs w:val="24"/>
        </w:rPr>
        <w:t xml:space="preserve"> przyznaje Komisji kompetencje w postaci możliwości nałożenia, w drodze decyzji, kary pieniężnej na podmiot, który naruszył zakaz lub ograniczenia, o których mowa</w:t>
      </w:r>
      <w:r w:rsidRPr="00813A5E">
        <w:t xml:space="preserve"> </w:t>
      </w:r>
      <w:r w:rsidRPr="00813A5E">
        <w:rPr>
          <w:rFonts w:ascii="Times New Roman" w:hAnsi="Times New Roman" w:cs="Times New Roman"/>
          <w:sz w:val="24"/>
          <w:szCs w:val="24"/>
        </w:rPr>
        <w:t>w art. 103, art. 104 lub art. 105 rozporządzenia 2023/1114, tj. przepisach dotyczących uprawnień Europejskiego Urzędu Nadzoru Giełd i Papierów Wartościowych (dalej: ESMA) oraz Europejskiego Urzędu Nadzoru Bankowego do tymczasowej interwencji oraz interwencji produktowej organów właściwych. Górna granica tej kary pieniężnej została ustalona na kwotę 20 000 000 zł albo kwotę stanowiącą równowartość 10</w:t>
      </w:r>
      <w:r>
        <w:rPr>
          <w:rFonts w:ascii="Times New Roman" w:hAnsi="Times New Roman" w:cs="Times New Roman"/>
          <w:sz w:val="24"/>
          <w:szCs w:val="24"/>
        </w:rPr>
        <w:t xml:space="preserve"> </w:t>
      </w:r>
      <w:r w:rsidRPr="00813A5E">
        <w:rPr>
          <w:rFonts w:ascii="Times New Roman" w:hAnsi="Times New Roman" w:cs="Times New Roman"/>
          <w:sz w:val="24"/>
          <w:szCs w:val="24"/>
        </w:rPr>
        <w:t>% całkowitego rocznego przychodu wykazanego w ostatnim zbadanym sprawozdaniu finansowym, jeżeli kwota stanowiąca tę równowartość przekracza kwotę 20 000 000 zł. Przepis określa również co jest uznawane za całkowity roczny przychód w przypadku, gdy podmiot jest jednostką dominującą, która sporządza skonsolidowane sprawozdanie finansowe, lub jednostką zależną od jednostki dominującej.</w:t>
      </w:r>
    </w:p>
    <w:p w14:paraId="5A51E9E6" w14:textId="3EA6E156"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sidR="0065218B">
        <w:rPr>
          <w:rFonts w:ascii="Times New Roman" w:hAnsi="Times New Roman" w:cs="Times New Roman"/>
          <w:b/>
          <w:bCs/>
          <w:sz w:val="24"/>
          <w:szCs w:val="24"/>
        </w:rPr>
        <w:t>2</w:t>
      </w:r>
      <w:r w:rsidRPr="00813A5E">
        <w:rPr>
          <w:rFonts w:ascii="Times New Roman" w:hAnsi="Times New Roman" w:cs="Times New Roman"/>
          <w:b/>
          <w:bCs/>
          <w:sz w:val="24"/>
          <w:szCs w:val="24"/>
        </w:rPr>
        <w:t xml:space="preserve"> </w:t>
      </w:r>
      <w:r w:rsidRPr="00813A5E">
        <w:rPr>
          <w:rFonts w:ascii="Times New Roman" w:hAnsi="Times New Roman" w:cs="Times New Roman"/>
          <w:sz w:val="24"/>
          <w:szCs w:val="24"/>
        </w:rPr>
        <w:t xml:space="preserve">precyzuje, że Komisja, określając rodzaj i poziom kary administracyjnej lub innych środków administracyjnych, o których mowa w art. </w:t>
      </w:r>
      <w:r>
        <w:rPr>
          <w:rFonts w:ascii="Times New Roman" w:hAnsi="Times New Roman" w:cs="Times New Roman"/>
          <w:sz w:val="24"/>
          <w:szCs w:val="24"/>
        </w:rPr>
        <w:t>9</w:t>
      </w:r>
      <w:r w:rsidR="0065218B">
        <w:rPr>
          <w:rFonts w:ascii="Times New Roman" w:hAnsi="Times New Roman" w:cs="Times New Roman"/>
          <w:sz w:val="24"/>
          <w:szCs w:val="24"/>
        </w:rPr>
        <w:t>6</w:t>
      </w:r>
      <w:r>
        <w:rPr>
          <w:rFonts w:ascii="Times New Roman" w:hAnsi="Times New Roman" w:cs="Times New Roman"/>
          <w:sz w:val="24"/>
          <w:szCs w:val="24"/>
        </w:rPr>
        <w:t xml:space="preserve"> ust. 7, art. 10</w:t>
      </w:r>
      <w:r w:rsidR="0065218B">
        <w:rPr>
          <w:rFonts w:ascii="Times New Roman" w:hAnsi="Times New Roman" w:cs="Times New Roman"/>
          <w:sz w:val="24"/>
          <w:szCs w:val="24"/>
        </w:rPr>
        <w:t>0</w:t>
      </w:r>
      <w:r>
        <w:rPr>
          <w:rFonts w:ascii="Times New Roman" w:hAnsi="Times New Roman" w:cs="Times New Roman"/>
          <w:sz w:val="24"/>
          <w:szCs w:val="24"/>
        </w:rPr>
        <w:t xml:space="preserve"> ust. 2 oraz art. </w:t>
      </w:r>
      <w:r w:rsidRPr="00813A5E">
        <w:rPr>
          <w:rFonts w:ascii="Times New Roman" w:hAnsi="Times New Roman" w:cs="Times New Roman"/>
          <w:sz w:val="24"/>
          <w:szCs w:val="24"/>
        </w:rPr>
        <w:t>10</w:t>
      </w:r>
      <w:r w:rsidR="0065218B">
        <w:rPr>
          <w:rFonts w:ascii="Times New Roman" w:hAnsi="Times New Roman" w:cs="Times New Roman"/>
          <w:sz w:val="24"/>
          <w:szCs w:val="24"/>
        </w:rPr>
        <w:t>1</w:t>
      </w:r>
      <w:r w:rsidRPr="00813A5E">
        <w:rPr>
          <w:rFonts w:ascii="Times New Roman" w:hAnsi="Times New Roman" w:cs="Times New Roman"/>
          <w:sz w:val="24"/>
          <w:szCs w:val="24"/>
        </w:rPr>
        <w:t>–1</w:t>
      </w:r>
      <w:r>
        <w:rPr>
          <w:rFonts w:ascii="Times New Roman" w:hAnsi="Times New Roman" w:cs="Times New Roman"/>
          <w:sz w:val="24"/>
          <w:szCs w:val="24"/>
        </w:rPr>
        <w:t>1</w:t>
      </w:r>
      <w:r w:rsidR="0065218B">
        <w:rPr>
          <w:rFonts w:ascii="Times New Roman" w:hAnsi="Times New Roman" w:cs="Times New Roman"/>
          <w:sz w:val="24"/>
          <w:szCs w:val="24"/>
        </w:rPr>
        <w:t>2</w:t>
      </w:r>
      <w:r w:rsidRPr="00813A5E">
        <w:rPr>
          <w:rFonts w:ascii="Times New Roman" w:hAnsi="Times New Roman" w:cs="Times New Roman"/>
          <w:sz w:val="24"/>
          <w:szCs w:val="24"/>
        </w:rPr>
        <w:t xml:space="preserve">, </w:t>
      </w:r>
      <w:r w:rsidRPr="00866C87">
        <w:rPr>
          <w:rFonts w:ascii="Times New Roman" w:hAnsi="Times New Roman" w:cs="Times New Roman"/>
          <w:sz w:val="24"/>
          <w:szCs w:val="24"/>
        </w:rPr>
        <w:t>uwzględnia okoliczności określone w art. 11</w:t>
      </w:r>
      <w:r w:rsidR="0065218B">
        <w:rPr>
          <w:rFonts w:ascii="Times New Roman" w:hAnsi="Times New Roman" w:cs="Times New Roman"/>
          <w:sz w:val="24"/>
          <w:szCs w:val="24"/>
        </w:rPr>
        <w:t>2</w:t>
      </w:r>
      <w:r w:rsidRPr="00866C87">
        <w:rPr>
          <w:rFonts w:ascii="Times New Roman" w:hAnsi="Times New Roman" w:cs="Times New Roman"/>
          <w:sz w:val="24"/>
          <w:szCs w:val="24"/>
        </w:rPr>
        <w:t xml:space="preserve"> ust. 1 rozporządzenia 2023/1114.</w:t>
      </w:r>
    </w:p>
    <w:p w14:paraId="13870ADA" w14:textId="11AC1AB1"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sidR="0065218B">
        <w:rPr>
          <w:rFonts w:ascii="Times New Roman" w:hAnsi="Times New Roman" w:cs="Times New Roman"/>
          <w:b/>
          <w:bCs/>
          <w:sz w:val="24"/>
          <w:szCs w:val="24"/>
        </w:rPr>
        <w:t>3</w:t>
      </w:r>
      <w:r w:rsidRPr="00813A5E">
        <w:rPr>
          <w:rFonts w:ascii="Times New Roman" w:hAnsi="Times New Roman" w:cs="Times New Roman"/>
          <w:sz w:val="24"/>
          <w:szCs w:val="24"/>
        </w:rPr>
        <w:t xml:space="preserve"> precyzuje natomiast sposób obliczania równowartości w złotych kwoty wyrażonej w walucie obcej, w przypadku gdy dane finansowe w sprawozdaniu finansowym, o którym mowa w art. 10</w:t>
      </w:r>
      <w:r>
        <w:rPr>
          <w:rFonts w:ascii="Times New Roman" w:hAnsi="Times New Roman" w:cs="Times New Roman"/>
          <w:sz w:val="24"/>
          <w:szCs w:val="24"/>
        </w:rPr>
        <w:t>4</w:t>
      </w:r>
      <w:r w:rsidRPr="00813A5E">
        <w:rPr>
          <w:rFonts w:ascii="Times New Roman" w:hAnsi="Times New Roman" w:cs="Times New Roman"/>
          <w:sz w:val="24"/>
          <w:szCs w:val="24"/>
        </w:rPr>
        <w:t xml:space="preserve"> ust. 1</w:t>
      </w:r>
      <w:r w:rsidR="00D80F06">
        <w:rPr>
          <w:rFonts w:ascii="Times New Roman" w:hAnsi="Times New Roman" w:cs="Times New Roman"/>
          <w:sz w:val="24"/>
          <w:szCs w:val="24"/>
        </w:rPr>
        <w:t>, 2 i 5</w:t>
      </w:r>
      <w:r w:rsidRPr="00813A5E">
        <w:rPr>
          <w:rFonts w:ascii="Times New Roman" w:hAnsi="Times New Roman" w:cs="Times New Roman"/>
          <w:sz w:val="24"/>
          <w:szCs w:val="24"/>
        </w:rPr>
        <w:t>, art. 10</w:t>
      </w:r>
      <w:r>
        <w:rPr>
          <w:rFonts w:ascii="Times New Roman" w:hAnsi="Times New Roman" w:cs="Times New Roman"/>
          <w:sz w:val="24"/>
          <w:szCs w:val="24"/>
        </w:rPr>
        <w:t>5</w:t>
      </w:r>
      <w:r w:rsidRPr="00813A5E">
        <w:rPr>
          <w:rFonts w:ascii="Times New Roman" w:hAnsi="Times New Roman" w:cs="Times New Roman"/>
          <w:sz w:val="24"/>
          <w:szCs w:val="24"/>
        </w:rPr>
        <w:t xml:space="preserve"> ust. </w:t>
      </w:r>
      <w:r>
        <w:rPr>
          <w:rFonts w:ascii="Times New Roman" w:hAnsi="Times New Roman" w:cs="Times New Roman"/>
          <w:sz w:val="24"/>
          <w:szCs w:val="24"/>
        </w:rPr>
        <w:t>1</w:t>
      </w:r>
      <w:r w:rsidRPr="00813A5E">
        <w:rPr>
          <w:rFonts w:ascii="Times New Roman" w:hAnsi="Times New Roman" w:cs="Times New Roman"/>
          <w:sz w:val="24"/>
          <w:szCs w:val="24"/>
        </w:rPr>
        <w:t xml:space="preserve"> pkt </w:t>
      </w:r>
      <w:r>
        <w:rPr>
          <w:rFonts w:ascii="Times New Roman" w:hAnsi="Times New Roman" w:cs="Times New Roman"/>
          <w:sz w:val="24"/>
          <w:szCs w:val="24"/>
        </w:rPr>
        <w:t>1</w:t>
      </w:r>
      <w:r w:rsidRPr="00813A5E">
        <w:rPr>
          <w:rFonts w:ascii="Times New Roman" w:hAnsi="Times New Roman" w:cs="Times New Roman"/>
          <w:sz w:val="24"/>
          <w:szCs w:val="24"/>
        </w:rPr>
        <w:t xml:space="preserve"> i ust. 4, art. 10</w:t>
      </w:r>
      <w:r w:rsidR="00D80F06">
        <w:rPr>
          <w:rFonts w:ascii="Times New Roman" w:hAnsi="Times New Roman" w:cs="Times New Roman"/>
          <w:sz w:val="24"/>
          <w:szCs w:val="24"/>
        </w:rPr>
        <w:t>7</w:t>
      </w:r>
      <w:r w:rsidRPr="00813A5E">
        <w:rPr>
          <w:rFonts w:ascii="Times New Roman" w:hAnsi="Times New Roman" w:cs="Times New Roman"/>
          <w:sz w:val="24"/>
          <w:szCs w:val="24"/>
        </w:rPr>
        <w:t xml:space="preserve"> ust. 1 pkt 2 i ust. 3, art. 10</w:t>
      </w:r>
      <w:r w:rsidR="00D80F06">
        <w:rPr>
          <w:rFonts w:ascii="Times New Roman" w:hAnsi="Times New Roman" w:cs="Times New Roman"/>
          <w:sz w:val="24"/>
          <w:szCs w:val="24"/>
        </w:rPr>
        <w:t>8</w:t>
      </w:r>
      <w:r w:rsidRPr="00813A5E">
        <w:rPr>
          <w:rFonts w:ascii="Times New Roman" w:hAnsi="Times New Roman" w:cs="Times New Roman"/>
          <w:sz w:val="24"/>
          <w:szCs w:val="24"/>
        </w:rPr>
        <w:t xml:space="preserve"> ust. 1 pkt 2 i ust. 3, art. 10</w:t>
      </w:r>
      <w:r w:rsidR="00D80F06">
        <w:rPr>
          <w:rFonts w:ascii="Times New Roman" w:hAnsi="Times New Roman" w:cs="Times New Roman"/>
          <w:sz w:val="24"/>
          <w:szCs w:val="24"/>
        </w:rPr>
        <w:t>9</w:t>
      </w:r>
      <w:r w:rsidRPr="00813A5E">
        <w:rPr>
          <w:rFonts w:ascii="Times New Roman" w:hAnsi="Times New Roman" w:cs="Times New Roman"/>
          <w:sz w:val="24"/>
          <w:szCs w:val="24"/>
        </w:rPr>
        <w:t xml:space="preserve"> ust. 1 pkt 2 i ust. 4 oraz art. 1</w:t>
      </w:r>
      <w:r>
        <w:rPr>
          <w:rFonts w:ascii="Times New Roman" w:hAnsi="Times New Roman" w:cs="Times New Roman"/>
          <w:sz w:val="24"/>
          <w:szCs w:val="24"/>
        </w:rPr>
        <w:t>1</w:t>
      </w:r>
      <w:r w:rsidR="00D80F06">
        <w:rPr>
          <w:rFonts w:ascii="Times New Roman" w:hAnsi="Times New Roman" w:cs="Times New Roman"/>
          <w:sz w:val="24"/>
          <w:szCs w:val="24"/>
        </w:rPr>
        <w:t>1</w:t>
      </w:r>
      <w:r w:rsidRPr="00813A5E">
        <w:rPr>
          <w:rFonts w:ascii="Times New Roman" w:hAnsi="Times New Roman" w:cs="Times New Roman"/>
          <w:sz w:val="24"/>
          <w:szCs w:val="24"/>
        </w:rPr>
        <w:t xml:space="preserve"> </w:t>
      </w:r>
      <w:r w:rsidRPr="00866C87">
        <w:rPr>
          <w:rFonts w:ascii="Times New Roman" w:hAnsi="Times New Roman" w:cs="Times New Roman"/>
          <w:sz w:val="24"/>
          <w:szCs w:val="24"/>
        </w:rPr>
        <w:t>są podane w walucie innej niż polska. Wartość tę oblicza się według średniego kursu tej waluty ogłoszonego przez Narodowy Bank Polski w dniu bilansowym, na który zostało sporządzone to sprawozdanie finansowe.</w:t>
      </w:r>
    </w:p>
    <w:p w14:paraId="3EB80F0F" w14:textId="7F7DFAE2"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sidR="00D80F06">
        <w:rPr>
          <w:rFonts w:ascii="Times New Roman" w:hAnsi="Times New Roman" w:cs="Times New Roman"/>
          <w:b/>
          <w:bCs/>
          <w:sz w:val="24"/>
          <w:szCs w:val="24"/>
        </w:rPr>
        <w:t>4</w:t>
      </w:r>
      <w:r w:rsidRPr="00813A5E">
        <w:rPr>
          <w:rFonts w:ascii="Times New Roman" w:hAnsi="Times New Roman" w:cs="Times New Roman"/>
          <w:sz w:val="24"/>
          <w:szCs w:val="24"/>
        </w:rPr>
        <w:t xml:space="preserve"> zobowiązuje Komisję, zgodnie z art. 114 rozporządzenia 2023/1114, do podania, w drodze uchwały, do publicznej wiadomości informacji o wydaniu decyzji</w:t>
      </w:r>
      <w:r>
        <w:rPr>
          <w:rFonts w:ascii="Times New Roman" w:hAnsi="Times New Roman" w:cs="Times New Roman"/>
          <w:sz w:val="24"/>
          <w:szCs w:val="24"/>
        </w:rPr>
        <w:t xml:space="preserve"> w sprawach</w:t>
      </w:r>
      <w:r w:rsidRPr="00813A5E">
        <w:rPr>
          <w:rFonts w:ascii="Times New Roman" w:hAnsi="Times New Roman" w:cs="Times New Roman"/>
          <w:sz w:val="24"/>
          <w:szCs w:val="24"/>
        </w:rPr>
        <w:t>, o których mowa w art. 9</w:t>
      </w:r>
      <w:r w:rsidR="00D80F06">
        <w:rPr>
          <w:rFonts w:ascii="Times New Roman" w:hAnsi="Times New Roman" w:cs="Times New Roman"/>
          <w:sz w:val="24"/>
          <w:szCs w:val="24"/>
        </w:rPr>
        <w:t>6</w:t>
      </w:r>
      <w:r w:rsidRPr="00813A5E">
        <w:rPr>
          <w:rFonts w:ascii="Times New Roman" w:hAnsi="Times New Roman" w:cs="Times New Roman"/>
          <w:sz w:val="24"/>
          <w:szCs w:val="24"/>
        </w:rPr>
        <w:t xml:space="preserve"> ust. 7</w:t>
      </w:r>
      <w:r>
        <w:rPr>
          <w:rFonts w:ascii="Times New Roman" w:hAnsi="Times New Roman" w:cs="Times New Roman"/>
          <w:sz w:val="24"/>
          <w:szCs w:val="24"/>
        </w:rPr>
        <w:t xml:space="preserve">, </w:t>
      </w:r>
      <w:r w:rsidRPr="00813A5E">
        <w:rPr>
          <w:rFonts w:ascii="Times New Roman" w:hAnsi="Times New Roman" w:cs="Times New Roman"/>
          <w:sz w:val="24"/>
          <w:szCs w:val="24"/>
        </w:rPr>
        <w:t>art. 10</w:t>
      </w:r>
      <w:r w:rsidR="00D80F06">
        <w:rPr>
          <w:rFonts w:ascii="Times New Roman" w:hAnsi="Times New Roman" w:cs="Times New Roman"/>
          <w:sz w:val="24"/>
          <w:szCs w:val="24"/>
        </w:rPr>
        <w:t>0</w:t>
      </w:r>
      <w:r>
        <w:rPr>
          <w:rFonts w:ascii="Times New Roman" w:hAnsi="Times New Roman" w:cs="Times New Roman"/>
          <w:sz w:val="24"/>
          <w:szCs w:val="24"/>
        </w:rPr>
        <w:t xml:space="preserve"> ust. 2 oraz art. 10</w:t>
      </w:r>
      <w:r w:rsidR="00D80F06">
        <w:rPr>
          <w:rFonts w:ascii="Times New Roman" w:hAnsi="Times New Roman" w:cs="Times New Roman"/>
          <w:sz w:val="24"/>
          <w:szCs w:val="24"/>
        </w:rPr>
        <w:t>1</w:t>
      </w:r>
      <w:r>
        <w:rPr>
          <w:rFonts w:ascii="Times New Roman" w:hAnsi="Times New Roman" w:cs="Times New Roman"/>
          <w:sz w:val="24"/>
          <w:szCs w:val="24"/>
        </w:rPr>
        <w:t>–11</w:t>
      </w:r>
      <w:r w:rsidR="00D80F06">
        <w:rPr>
          <w:rFonts w:ascii="Times New Roman" w:hAnsi="Times New Roman" w:cs="Times New Roman"/>
          <w:sz w:val="24"/>
          <w:szCs w:val="24"/>
        </w:rPr>
        <w:t>1</w:t>
      </w:r>
      <w:r>
        <w:rPr>
          <w:rFonts w:ascii="Times New Roman" w:hAnsi="Times New Roman" w:cs="Times New Roman"/>
          <w:sz w:val="24"/>
          <w:szCs w:val="24"/>
        </w:rPr>
        <w:t xml:space="preserve"> projektu ustawy,</w:t>
      </w:r>
      <w:r w:rsidRPr="00866C87">
        <w:rPr>
          <w:rFonts w:ascii="Times New Roman" w:hAnsi="Times New Roman" w:cs="Times New Roman"/>
          <w:sz w:val="24"/>
          <w:szCs w:val="24"/>
        </w:rPr>
        <w:t xml:space="preserve"> w </w:t>
      </w:r>
      <w:r w:rsidRPr="00813A5E">
        <w:rPr>
          <w:rFonts w:ascii="Times New Roman" w:hAnsi="Times New Roman" w:cs="Times New Roman"/>
          <w:sz w:val="24"/>
          <w:szCs w:val="24"/>
        </w:rPr>
        <w:t>zakresie i w sposób określony w art. 114 rozporządzenia 2023/1114. Informacje przekazywane przez Komisję do publicznej wiadomości będą dostępne na jej stronie internetowej przez okres nie dłuższy niż 5 lat,</w:t>
      </w:r>
      <w:r w:rsidRPr="00813A5E">
        <w:t xml:space="preserve"> </w:t>
      </w:r>
      <w:r w:rsidRPr="00813A5E">
        <w:rPr>
          <w:rFonts w:ascii="Times New Roman" w:hAnsi="Times New Roman" w:cs="Times New Roman"/>
          <w:sz w:val="24"/>
          <w:szCs w:val="24"/>
        </w:rPr>
        <w:t>licząc od dnia ich opublikowania. Wyjątkiem będą jednakże informacje dotyczące imienia i nazwiska osoby lub firmy (nazwy podmiotu)</w:t>
      </w:r>
      <w:r>
        <w:rPr>
          <w:rFonts w:ascii="Times New Roman" w:hAnsi="Times New Roman" w:cs="Times New Roman"/>
          <w:sz w:val="24"/>
          <w:szCs w:val="24"/>
        </w:rPr>
        <w:t xml:space="preserve">, </w:t>
      </w:r>
      <w:r w:rsidRPr="00813A5E">
        <w:rPr>
          <w:rFonts w:ascii="Times New Roman" w:hAnsi="Times New Roman" w:cs="Times New Roman"/>
          <w:sz w:val="24"/>
          <w:szCs w:val="24"/>
        </w:rPr>
        <w:t xml:space="preserve">na którą została nałożona sankcja, które będą dostępne na tej stronie przez okres nie dłuższy niż jeden rok. </w:t>
      </w:r>
    </w:p>
    <w:p w14:paraId="36267F54" w14:textId="17D902A6"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sidR="00D80F06">
        <w:rPr>
          <w:rFonts w:ascii="Times New Roman" w:hAnsi="Times New Roman" w:cs="Times New Roman"/>
          <w:b/>
          <w:bCs/>
          <w:sz w:val="24"/>
          <w:szCs w:val="24"/>
        </w:rPr>
        <w:t>5</w:t>
      </w:r>
      <w:r w:rsidRPr="00813A5E">
        <w:rPr>
          <w:rFonts w:ascii="Times New Roman" w:hAnsi="Times New Roman" w:cs="Times New Roman"/>
          <w:sz w:val="24"/>
          <w:szCs w:val="24"/>
        </w:rPr>
        <w:t xml:space="preserve"> doprecyzowuje, że środki nadzorcze będą nakładane przez Komisję w drodze decyzji. Ust. 2 nadaje decyzjom wydanym w wyniku zastosowania środków nadzoru, o których mowa w art. 8</w:t>
      </w:r>
      <w:r w:rsidR="00D80F06">
        <w:rPr>
          <w:rFonts w:ascii="Times New Roman" w:hAnsi="Times New Roman" w:cs="Times New Roman"/>
          <w:sz w:val="24"/>
          <w:szCs w:val="24"/>
        </w:rPr>
        <w:t>3, art. 88</w:t>
      </w:r>
      <w:r w:rsidRPr="00546E53">
        <w:rPr>
          <w:rFonts w:ascii="Times New Roman" w:hAnsi="Times New Roman" w:cs="Times New Roman"/>
          <w:sz w:val="24"/>
          <w:szCs w:val="24"/>
        </w:rPr>
        <w:t>, art. 8</w:t>
      </w:r>
      <w:r>
        <w:rPr>
          <w:rFonts w:ascii="Times New Roman" w:hAnsi="Times New Roman" w:cs="Times New Roman"/>
          <w:sz w:val="24"/>
          <w:szCs w:val="24"/>
        </w:rPr>
        <w:t>9</w:t>
      </w:r>
      <w:r w:rsidR="00D80F06">
        <w:rPr>
          <w:rFonts w:ascii="Times New Roman" w:hAnsi="Times New Roman" w:cs="Times New Roman"/>
          <w:sz w:val="24"/>
          <w:szCs w:val="24"/>
        </w:rPr>
        <w:t xml:space="preserve"> ust. 1 pkt 1 i 2</w:t>
      </w:r>
      <w:r w:rsidRPr="00546E53">
        <w:rPr>
          <w:rFonts w:ascii="Times New Roman" w:hAnsi="Times New Roman" w:cs="Times New Roman"/>
          <w:sz w:val="24"/>
          <w:szCs w:val="24"/>
        </w:rPr>
        <w:t xml:space="preserve">, art. </w:t>
      </w:r>
      <w:r>
        <w:rPr>
          <w:rFonts w:ascii="Times New Roman" w:hAnsi="Times New Roman" w:cs="Times New Roman"/>
          <w:sz w:val="24"/>
          <w:szCs w:val="24"/>
        </w:rPr>
        <w:t>90</w:t>
      </w:r>
      <w:r w:rsidRPr="00546E53">
        <w:rPr>
          <w:rFonts w:ascii="Times New Roman" w:hAnsi="Times New Roman" w:cs="Times New Roman"/>
          <w:sz w:val="24"/>
          <w:szCs w:val="24"/>
        </w:rPr>
        <w:t xml:space="preserve"> ust. 1 pkt 1 i 2</w:t>
      </w:r>
      <w:r>
        <w:rPr>
          <w:rFonts w:ascii="Times New Roman" w:hAnsi="Times New Roman" w:cs="Times New Roman"/>
          <w:sz w:val="24"/>
          <w:szCs w:val="24"/>
        </w:rPr>
        <w:t xml:space="preserve"> i ust. 4 pkt 1 i 2</w:t>
      </w:r>
      <w:r w:rsidRPr="00546E53">
        <w:rPr>
          <w:rFonts w:ascii="Times New Roman" w:hAnsi="Times New Roman" w:cs="Times New Roman"/>
          <w:sz w:val="24"/>
          <w:szCs w:val="24"/>
        </w:rPr>
        <w:t>, art. 9</w:t>
      </w:r>
      <w:r>
        <w:rPr>
          <w:rFonts w:ascii="Times New Roman" w:hAnsi="Times New Roman" w:cs="Times New Roman"/>
          <w:sz w:val="24"/>
          <w:szCs w:val="24"/>
        </w:rPr>
        <w:t xml:space="preserve">1, </w:t>
      </w:r>
      <w:r w:rsidRPr="00546E53">
        <w:rPr>
          <w:rFonts w:ascii="Times New Roman" w:hAnsi="Times New Roman" w:cs="Times New Roman"/>
          <w:sz w:val="24"/>
          <w:szCs w:val="24"/>
        </w:rPr>
        <w:t>art. 9</w:t>
      </w:r>
      <w:r>
        <w:rPr>
          <w:rFonts w:ascii="Times New Roman" w:hAnsi="Times New Roman" w:cs="Times New Roman"/>
          <w:sz w:val="24"/>
          <w:szCs w:val="24"/>
        </w:rPr>
        <w:t>2</w:t>
      </w:r>
      <w:r w:rsidR="00D80F06">
        <w:rPr>
          <w:rFonts w:ascii="Times New Roman" w:hAnsi="Times New Roman" w:cs="Times New Roman"/>
          <w:sz w:val="24"/>
          <w:szCs w:val="24"/>
        </w:rPr>
        <w:t xml:space="preserve"> ust. 1 pkt 1 i 2</w:t>
      </w:r>
      <w:r w:rsidRPr="00546E53">
        <w:rPr>
          <w:rFonts w:ascii="Times New Roman" w:hAnsi="Times New Roman" w:cs="Times New Roman"/>
          <w:sz w:val="24"/>
          <w:szCs w:val="24"/>
        </w:rPr>
        <w:t>, art. 9</w:t>
      </w:r>
      <w:r>
        <w:rPr>
          <w:rFonts w:ascii="Times New Roman" w:hAnsi="Times New Roman" w:cs="Times New Roman"/>
          <w:sz w:val="24"/>
          <w:szCs w:val="24"/>
        </w:rPr>
        <w:t>3</w:t>
      </w:r>
      <w:r w:rsidRPr="00546E53">
        <w:rPr>
          <w:rFonts w:ascii="Times New Roman" w:hAnsi="Times New Roman" w:cs="Times New Roman"/>
          <w:sz w:val="24"/>
          <w:szCs w:val="24"/>
        </w:rPr>
        <w:t xml:space="preserve"> ust. 1 pkt 1 i 2, art. 9</w:t>
      </w:r>
      <w:r>
        <w:rPr>
          <w:rFonts w:ascii="Times New Roman" w:hAnsi="Times New Roman" w:cs="Times New Roman"/>
          <w:sz w:val="24"/>
          <w:szCs w:val="24"/>
        </w:rPr>
        <w:t>4</w:t>
      </w:r>
      <w:r w:rsidRPr="00546E53">
        <w:rPr>
          <w:rFonts w:ascii="Times New Roman" w:hAnsi="Times New Roman" w:cs="Times New Roman"/>
          <w:sz w:val="24"/>
          <w:szCs w:val="24"/>
        </w:rPr>
        <w:t>, art. 9</w:t>
      </w:r>
      <w:r>
        <w:rPr>
          <w:rFonts w:ascii="Times New Roman" w:hAnsi="Times New Roman" w:cs="Times New Roman"/>
          <w:sz w:val="24"/>
          <w:szCs w:val="24"/>
        </w:rPr>
        <w:t>5</w:t>
      </w:r>
      <w:r w:rsidR="00D80F06">
        <w:rPr>
          <w:rFonts w:ascii="Times New Roman" w:hAnsi="Times New Roman" w:cs="Times New Roman"/>
          <w:sz w:val="24"/>
          <w:szCs w:val="24"/>
        </w:rPr>
        <w:t xml:space="preserve"> ust. 1</w:t>
      </w:r>
      <w:r>
        <w:rPr>
          <w:rFonts w:ascii="Times New Roman" w:hAnsi="Times New Roman" w:cs="Times New Roman"/>
          <w:sz w:val="24"/>
          <w:szCs w:val="24"/>
        </w:rPr>
        <w:t xml:space="preserve"> </w:t>
      </w:r>
      <w:r w:rsidRPr="00546E53">
        <w:rPr>
          <w:rFonts w:ascii="Times New Roman" w:hAnsi="Times New Roman" w:cs="Times New Roman"/>
          <w:sz w:val="24"/>
          <w:szCs w:val="24"/>
        </w:rPr>
        <w:t xml:space="preserve">oraz art. </w:t>
      </w:r>
      <w:r w:rsidR="00D80F06">
        <w:rPr>
          <w:rFonts w:ascii="Times New Roman" w:hAnsi="Times New Roman" w:cs="Times New Roman"/>
          <w:sz w:val="24"/>
          <w:szCs w:val="24"/>
        </w:rPr>
        <w:t>99</w:t>
      </w:r>
      <w:r w:rsidRPr="00546E53">
        <w:rPr>
          <w:rFonts w:ascii="Times New Roman" w:hAnsi="Times New Roman" w:cs="Times New Roman"/>
          <w:sz w:val="24"/>
          <w:szCs w:val="24"/>
        </w:rPr>
        <w:t xml:space="preserve"> projektu ustawy </w:t>
      </w:r>
      <w:r w:rsidRPr="00813A5E">
        <w:rPr>
          <w:rFonts w:ascii="Times New Roman" w:hAnsi="Times New Roman" w:cs="Times New Roman"/>
          <w:sz w:val="24"/>
          <w:szCs w:val="24"/>
        </w:rPr>
        <w:t xml:space="preserve">rygor natychmiastowej wykonalności oraz ustala 14-dniowy termin na doręczenie uzasadnienia, który rozpoczyna swój bieg od doręczenia tej decyzji. Ust. 3 określa, że w przypadku gdy oferta publiczna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lub ubieganie się o dopuszczenie do obrotu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są przeprowadzane za pośrednictwem dostawcy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postanowienie o wszczęciu postępowania w sprawie zastosowania środków</w:t>
      </w:r>
      <w:r>
        <w:rPr>
          <w:rFonts w:ascii="Times New Roman" w:hAnsi="Times New Roman" w:cs="Times New Roman"/>
          <w:sz w:val="24"/>
          <w:szCs w:val="24"/>
        </w:rPr>
        <w:t>, o których mowa w</w:t>
      </w:r>
      <w:r w:rsidRPr="00813A5E">
        <w:rPr>
          <w:rFonts w:ascii="Times New Roman" w:hAnsi="Times New Roman" w:cs="Times New Roman"/>
          <w:sz w:val="24"/>
          <w:szCs w:val="24"/>
        </w:rPr>
        <w:t xml:space="preserve"> </w:t>
      </w:r>
      <w:r w:rsidRPr="007D016B">
        <w:rPr>
          <w:rFonts w:ascii="Times New Roman" w:hAnsi="Times New Roman" w:cs="Times New Roman"/>
          <w:sz w:val="24"/>
          <w:szCs w:val="24"/>
        </w:rPr>
        <w:t>art. 8</w:t>
      </w:r>
      <w:r w:rsidR="00D80F06">
        <w:rPr>
          <w:rFonts w:ascii="Times New Roman" w:hAnsi="Times New Roman" w:cs="Times New Roman"/>
          <w:sz w:val="24"/>
          <w:szCs w:val="24"/>
        </w:rPr>
        <w:t>3, art. 88</w:t>
      </w:r>
      <w:r w:rsidRPr="007D016B">
        <w:rPr>
          <w:rFonts w:ascii="Times New Roman" w:hAnsi="Times New Roman" w:cs="Times New Roman"/>
          <w:sz w:val="24"/>
          <w:szCs w:val="24"/>
        </w:rPr>
        <w:t>, art. 8</w:t>
      </w:r>
      <w:r>
        <w:rPr>
          <w:rFonts w:ascii="Times New Roman" w:hAnsi="Times New Roman" w:cs="Times New Roman"/>
          <w:sz w:val="24"/>
          <w:szCs w:val="24"/>
        </w:rPr>
        <w:t>9</w:t>
      </w:r>
      <w:r w:rsidR="00D80F06">
        <w:rPr>
          <w:rFonts w:ascii="Times New Roman" w:hAnsi="Times New Roman" w:cs="Times New Roman"/>
          <w:sz w:val="24"/>
          <w:szCs w:val="24"/>
        </w:rPr>
        <w:t xml:space="preserve"> ust. 1 pkt 1 i 2</w:t>
      </w:r>
      <w:r w:rsidRPr="007D016B">
        <w:rPr>
          <w:rFonts w:ascii="Times New Roman" w:hAnsi="Times New Roman" w:cs="Times New Roman"/>
          <w:sz w:val="24"/>
          <w:szCs w:val="24"/>
        </w:rPr>
        <w:t>, art. 9</w:t>
      </w:r>
      <w:r>
        <w:rPr>
          <w:rFonts w:ascii="Times New Roman" w:hAnsi="Times New Roman" w:cs="Times New Roman"/>
          <w:sz w:val="24"/>
          <w:szCs w:val="24"/>
        </w:rPr>
        <w:t>0</w:t>
      </w:r>
      <w:r w:rsidRPr="007D016B">
        <w:rPr>
          <w:rFonts w:ascii="Times New Roman" w:hAnsi="Times New Roman" w:cs="Times New Roman"/>
          <w:sz w:val="24"/>
          <w:szCs w:val="24"/>
        </w:rPr>
        <w:t xml:space="preserve"> ust. 1 pkt 1 i 2, art. 9</w:t>
      </w:r>
      <w:r>
        <w:rPr>
          <w:rFonts w:ascii="Times New Roman" w:hAnsi="Times New Roman" w:cs="Times New Roman"/>
          <w:sz w:val="24"/>
          <w:szCs w:val="24"/>
        </w:rPr>
        <w:t>1</w:t>
      </w:r>
      <w:r w:rsidRPr="007D016B">
        <w:rPr>
          <w:rFonts w:ascii="Times New Roman" w:hAnsi="Times New Roman" w:cs="Times New Roman"/>
          <w:sz w:val="24"/>
          <w:szCs w:val="24"/>
        </w:rPr>
        <w:t xml:space="preserve">, </w:t>
      </w:r>
      <w:r w:rsidR="00D80F06">
        <w:rPr>
          <w:rFonts w:ascii="Times New Roman" w:hAnsi="Times New Roman" w:cs="Times New Roman"/>
          <w:sz w:val="24"/>
          <w:szCs w:val="24"/>
        </w:rPr>
        <w:t xml:space="preserve">lub </w:t>
      </w:r>
      <w:r w:rsidRPr="007D016B">
        <w:rPr>
          <w:rFonts w:ascii="Times New Roman" w:hAnsi="Times New Roman" w:cs="Times New Roman"/>
          <w:sz w:val="24"/>
          <w:szCs w:val="24"/>
        </w:rPr>
        <w:t>art. 9</w:t>
      </w:r>
      <w:r>
        <w:rPr>
          <w:rFonts w:ascii="Times New Roman" w:hAnsi="Times New Roman" w:cs="Times New Roman"/>
          <w:sz w:val="24"/>
          <w:szCs w:val="24"/>
        </w:rPr>
        <w:t>2</w:t>
      </w:r>
      <w:r w:rsidRPr="007D016B">
        <w:rPr>
          <w:rFonts w:ascii="Times New Roman" w:hAnsi="Times New Roman" w:cs="Times New Roman"/>
          <w:sz w:val="24"/>
          <w:szCs w:val="24"/>
        </w:rPr>
        <w:t xml:space="preserve"> ust. 1 pkt 1 i 2,</w:t>
      </w:r>
      <w:r>
        <w:rPr>
          <w:rFonts w:ascii="Times New Roman" w:hAnsi="Times New Roman" w:cs="Times New Roman"/>
          <w:sz w:val="24"/>
          <w:szCs w:val="24"/>
        </w:rPr>
        <w:t xml:space="preserve"> </w:t>
      </w:r>
      <w:r w:rsidRPr="00813A5E">
        <w:rPr>
          <w:rFonts w:ascii="Times New Roman" w:hAnsi="Times New Roman" w:cs="Times New Roman"/>
          <w:sz w:val="24"/>
          <w:szCs w:val="24"/>
        </w:rPr>
        <w:t xml:space="preserve">decyzję o ich zastosowaniu doręcza się temu dostawcy. W przypadku większej liczby dostawców dokonujących wymienione wcześniej czynności, przepis przewiduje doręczenie postanowienia o wszczęciu postępowania i decyzji tylko jednemu z nich, bez konieczności skutecznego doręczenia wszystkim dostawcom. Takie doręczenie uznaje się za doręczenie stronie postępowania. Zgodnie z ust. 5, w przypadku braku pośrednictwa dostawcy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o którym mowa w ust. 3, doręczenie postanowienia o wszczęciu postępowania i decyzji następuje także przez ich opublikowanie na stronie internetowej KNF i jest skuteczne z dniem publikacji. Niezwłocznej publikacji na stronie internetowej KNF podlega komunikat o wszczęciu postępowania lub zastosowaniu środków nadzorczych</w:t>
      </w:r>
      <w:r>
        <w:rPr>
          <w:rFonts w:ascii="Times New Roman" w:hAnsi="Times New Roman" w:cs="Times New Roman"/>
          <w:sz w:val="24"/>
          <w:szCs w:val="24"/>
        </w:rPr>
        <w:t>,</w:t>
      </w:r>
      <w:r w:rsidRPr="00D00AC5">
        <w:rPr>
          <w:rFonts w:ascii="Times New Roman" w:hAnsi="Times New Roman" w:cs="Arial"/>
          <w:sz w:val="24"/>
          <w:szCs w:val="20"/>
          <w:lang w:eastAsia="pl-PL"/>
        </w:rPr>
        <w:t xml:space="preserve"> </w:t>
      </w:r>
      <w:r w:rsidRPr="00D00AC5">
        <w:rPr>
          <w:rFonts w:ascii="Times New Roman" w:hAnsi="Times New Roman" w:cs="Times New Roman"/>
          <w:sz w:val="24"/>
          <w:szCs w:val="24"/>
        </w:rPr>
        <w:t>o których mowa w art. 8</w:t>
      </w:r>
      <w:r w:rsidR="00D80F06">
        <w:rPr>
          <w:rFonts w:ascii="Times New Roman" w:hAnsi="Times New Roman" w:cs="Times New Roman"/>
          <w:sz w:val="24"/>
          <w:szCs w:val="24"/>
        </w:rPr>
        <w:t>3, art. 88</w:t>
      </w:r>
      <w:r w:rsidRPr="00D00AC5">
        <w:rPr>
          <w:rFonts w:ascii="Times New Roman" w:hAnsi="Times New Roman" w:cs="Times New Roman"/>
          <w:sz w:val="24"/>
          <w:szCs w:val="24"/>
        </w:rPr>
        <w:t>, art. 8</w:t>
      </w:r>
      <w:r>
        <w:rPr>
          <w:rFonts w:ascii="Times New Roman" w:hAnsi="Times New Roman" w:cs="Times New Roman"/>
          <w:sz w:val="24"/>
          <w:szCs w:val="24"/>
        </w:rPr>
        <w:t>9</w:t>
      </w:r>
      <w:r w:rsidR="00D80F06">
        <w:rPr>
          <w:rFonts w:ascii="Times New Roman" w:hAnsi="Times New Roman" w:cs="Times New Roman"/>
          <w:sz w:val="24"/>
          <w:szCs w:val="24"/>
        </w:rPr>
        <w:t xml:space="preserve"> ust. 1 pkt 1 i 2</w:t>
      </w:r>
      <w:r w:rsidRPr="00D00AC5">
        <w:rPr>
          <w:rFonts w:ascii="Times New Roman" w:hAnsi="Times New Roman" w:cs="Times New Roman"/>
          <w:sz w:val="24"/>
          <w:szCs w:val="24"/>
        </w:rPr>
        <w:t>, art. </w:t>
      </w:r>
      <w:r>
        <w:rPr>
          <w:rFonts w:ascii="Times New Roman" w:hAnsi="Times New Roman" w:cs="Times New Roman"/>
          <w:sz w:val="24"/>
          <w:szCs w:val="24"/>
        </w:rPr>
        <w:t>90</w:t>
      </w:r>
      <w:r w:rsidRPr="00D00AC5">
        <w:rPr>
          <w:rFonts w:ascii="Times New Roman" w:hAnsi="Times New Roman" w:cs="Times New Roman"/>
          <w:sz w:val="24"/>
          <w:szCs w:val="24"/>
        </w:rPr>
        <w:t xml:space="preserve"> ust. 1 pkt 1 i 2</w:t>
      </w:r>
      <w:r>
        <w:rPr>
          <w:rFonts w:ascii="Times New Roman" w:hAnsi="Times New Roman" w:cs="Times New Roman"/>
          <w:sz w:val="24"/>
          <w:szCs w:val="24"/>
        </w:rPr>
        <w:t xml:space="preserve"> i</w:t>
      </w:r>
      <w:r w:rsidRPr="00D00AC5">
        <w:rPr>
          <w:rFonts w:ascii="Times New Roman" w:hAnsi="Times New Roman" w:cs="Times New Roman"/>
          <w:sz w:val="24"/>
          <w:szCs w:val="24"/>
        </w:rPr>
        <w:t xml:space="preserve"> ust. 4 pkt 1 i 2, art. 9</w:t>
      </w:r>
      <w:r>
        <w:rPr>
          <w:rFonts w:ascii="Times New Roman" w:hAnsi="Times New Roman" w:cs="Times New Roman"/>
          <w:sz w:val="24"/>
          <w:szCs w:val="24"/>
        </w:rPr>
        <w:t>1</w:t>
      </w:r>
      <w:r w:rsidRPr="00D00AC5">
        <w:rPr>
          <w:rFonts w:ascii="Times New Roman" w:hAnsi="Times New Roman" w:cs="Times New Roman"/>
          <w:sz w:val="24"/>
          <w:szCs w:val="24"/>
        </w:rPr>
        <w:t>, art. 9</w:t>
      </w:r>
      <w:r>
        <w:rPr>
          <w:rFonts w:ascii="Times New Roman" w:hAnsi="Times New Roman" w:cs="Times New Roman"/>
          <w:sz w:val="24"/>
          <w:szCs w:val="24"/>
        </w:rPr>
        <w:t>2</w:t>
      </w:r>
      <w:r w:rsidR="00D80F06">
        <w:rPr>
          <w:rFonts w:ascii="Times New Roman" w:hAnsi="Times New Roman" w:cs="Times New Roman"/>
          <w:sz w:val="24"/>
          <w:szCs w:val="24"/>
        </w:rPr>
        <w:t xml:space="preserve"> ust. 1 pkt 1 i 2</w:t>
      </w:r>
      <w:r w:rsidRPr="00D00AC5">
        <w:rPr>
          <w:rFonts w:ascii="Times New Roman" w:hAnsi="Times New Roman" w:cs="Times New Roman"/>
          <w:sz w:val="24"/>
          <w:szCs w:val="24"/>
        </w:rPr>
        <w:t>, art. 9</w:t>
      </w:r>
      <w:r>
        <w:rPr>
          <w:rFonts w:ascii="Times New Roman" w:hAnsi="Times New Roman" w:cs="Times New Roman"/>
          <w:sz w:val="24"/>
          <w:szCs w:val="24"/>
        </w:rPr>
        <w:t>3</w:t>
      </w:r>
      <w:r w:rsidRPr="00D00AC5">
        <w:rPr>
          <w:rFonts w:ascii="Times New Roman" w:hAnsi="Times New Roman" w:cs="Times New Roman"/>
          <w:sz w:val="24"/>
          <w:szCs w:val="24"/>
        </w:rPr>
        <w:t xml:space="preserve"> ust. 1 pkt 1 i 2, art. 9</w:t>
      </w:r>
      <w:r>
        <w:rPr>
          <w:rFonts w:ascii="Times New Roman" w:hAnsi="Times New Roman" w:cs="Times New Roman"/>
          <w:sz w:val="24"/>
          <w:szCs w:val="24"/>
        </w:rPr>
        <w:t>4</w:t>
      </w:r>
      <w:r w:rsidRPr="00D00AC5">
        <w:rPr>
          <w:rFonts w:ascii="Times New Roman" w:hAnsi="Times New Roman" w:cs="Times New Roman"/>
          <w:sz w:val="24"/>
          <w:szCs w:val="24"/>
        </w:rPr>
        <w:t>, , art. 9</w:t>
      </w:r>
      <w:r w:rsidR="00D80F06">
        <w:rPr>
          <w:rFonts w:ascii="Times New Roman" w:hAnsi="Times New Roman" w:cs="Times New Roman"/>
          <w:sz w:val="24"/>
          <w:szCs w:val="24"/>
        </w:rPr>
        <w:t>6</w:t>
      </w:r>
      <w:r w:rsidRPr="00D00AC5">
        <w:rPr>
          <w:rFonts w:ascii="Times New Roman" w:hAnsi="Times New Roman" w:cs="Times New Roman"/>
          <w:sz w:val="24"/>
          <w:szCs w:val="24"/>
        </w:rPr>
        <w:t xml:space="preserve"> ust. 1, art. 9</w:t>
      </w:r>
      <w:r w:rsidR="00D80F06">
        <w:rPr>
          <w:rFonts w:ascii="Times New Roman" w:hAnsi="Times New Roman" w:cs="Times New Roman"/>
          <w:sz w:val="24"/>
          <w:szCs w:val="24"/>
        </w:rPr>
        <w:t>8</w:t>
      </w:r>
      <w:r w:rsidRPr="00D00AC5">
        <w:rPr>
          <w:rFonts w:ascii="Times New Roman" w:hAnsi="Times New Roman" w:cs="Times New Roman"/>
          <w:sz w:val="24"/>
          <w:szCs w:val="24"/>
        </w:rPr>
        <w:t xml:space="preserve"> ust. 1 pkt 2 lub art. </w:t>
      </w:r>
      <w:r w:rsidR="00D80F06">
        <w:rPr>
          <w:rFonts w:ascii="Times New Roman" w:hAnsi="Times New Roman" w:cs="Times New Roman"/>
          <w:sz w:val="24"/>
          <w:szCs w:val="24"/>
        </w:rPr>
        <w:t>99</w:t>
      </w:r>
      <w:r w:rsidRPr="00813A5E">
        <w:rPr>
          <w:rFonts w:ascii="Times New Roman" w:hAnsi="Times New Roman" w:cs="Times New Roman"/>
          <w:sz w:val="24"/>
          <w:szCs w:val="24"/>
        </w:rPr>
        <w:t xml:space="preserve">. Wprowadzenie przepisów tego artykułu </w:t>
      </w:r>
      <w:r>
        <w:rPr>
          <w:rFonts w:ascii="Times New Roman" w:hAnsi="Times New Roman" w:cs="Times New Roman"/>
          <w:sz w:val="24"/>
          <w:szCs w:val="24"/>
        </w:rPr>
        <w:t>jest</w:t>
      </w:r>
      <w:r w:rsidRPr="00813A5E">
        <w:rPr>
          <w:rFonts w:ascii="Times New Roman" w:hAnsi="Times New Roman" w:cs="Times New Roman"/>
          <w:sz w:val="24"/>
          <w:szCs w:val="24"/>
        </w:rPr>
        <w:t xml:space="preserve"> niezbędne, aby szczegółowo uregulować kwestie związane z decyzjami o zastosowaniu środków nadzorczych i sankcji administracyjnych wydawanymi przez Komisję.</w:t>
      </w:r>
    </w:p>
    <w:p w14:paraId="7DEF7AED" w14:textId="4EB44F8D"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sidR="00D80F06">
        <w:rPr>
          <w:rFonts w:ascii="Times New Roman" w:hAnsi="Times New Roman" w:cs="Times New Roman"/>
          <w:b/>
          <w:bCs/>
          <w:sz w:val="24"/>
          <w:szCs w:val="24"/>
        </w:rPr>
        <w:t>6</w:t>
      </w:r>
      <w:r w:rsidRPr="00813A5E">
        <w:rPr>
          <w:rFonts w:ascii="Times New Roman" w:hAnsi="Times New Roman" w:cs="Times New Roman"/>
          <w:sz w:val="24"/>
          <w:szCs w:val="24"/>
        </w:rPr>
        <w:t xml:space="preserve"> uprawnia KNF do uchylenia decyzji o zastosowaniu środków nadzorczych wymienionych w art. 8</w:t>
      </w:r>
      <w:r w:rsidR="00D80F06">
        <w:rPr>
          <w:rFonts w:ascii="Times New Roman" w:hAnsi="Times New Roman" w:cs="Times New Roman"/>
          <w:sz w:val="24"/>
          <w:szCs w:val="24"/>
        </w:rPr>
        <w:t>3</w:t>
      </w:r>
      <w:r w:rsidRPr="00813A5E">
        <w:rPr>
          <w:rFonts w:ascii="Times New Roman" w:hAnsi="Times New Roman" w:cs="Times New Roman"/>
          <w:sz w:val="24"/>
          <w:szCs w:val="24"/>
        </w:rPr>
        <w:t>,</w:t>
      </w:r>
      <w:r w:rsidR="00D80F06">
        <w:rPr>
          <w:rFonts w:ascii="Times New Roman" w:hAnsi="Times New Roman" w:cs="Times New Roman"/>
          <w:sz w:val="24"/>
          <w:szCs w:val="24"/>
        </w:rPr>
        <w:t xml:space="preserve"> art. 88,</w:t>
      </w:r>
      <w:r w:rsidRPr="00813A5E">
        <w:rPr>
          <w:rFonts w:ascii="Times New Roman" w:hAnsi="Times New Roman" w:cs="Times New Roman"/>
          <w:sz w:val="24"/>
          <w:szCs w:val="24"/>
        </w:rPr>
        <w:t xml:space="preserve"> art. 8</w:t>
      </w:r>
      <w:r>
        <w:rPr>
          <w:rFonts w:ascii="Times New Roman" w:hAnsi="Times New Roman" w:cs="Times New Roman"/>
          <w:sz w:val="24"/>
          <w:szCs w:val="24"/>
        </w:rPr>
        <w:t>9</w:t>
      </w:r>
      <w:r w:rsidR="00D80F06">
        <w:rPr>
          <w:rFonts w:ascii="Times New Roman" w:hAnsi="Times New Roman" w:cs="Times New Roman"/>
          <w:sz w:val="24"/>
          <w:szCs w:val="24"/>
        </w:rPr>
        <w:t xml:space="preserve"> ust. 1 pkt 1 i 2</w:t>
      </w:r>
      <w:r w:rsidRPr="00813A5E">
        <w:rPr>
          <w:rFonts w:ascii="Times New Roman" w:hAnsi="Times New Roman" w:cs="Times New Roman"/>
          <w:sz w:val="24"/>
          <w:szCs w:val="24"/>
        </w:rPr>
        <w:t xml:space="preserve">, art. </w:t>
      </w:r>
      <w:r>
        <w:rPr>
          <w:rFonts w:ascii="Times New Roman" w:hAnsi="Times New Roman" w:cs="Times New Roman"/>
          <w:sz w:val="24"/>
          <w:szCs w:val="24"/>
        </w:rPr>
        <w:t>90</w:t>
      </w:r>
      <w:r w:rsidRPr="00813A5E">
        <w:rPr>
          <w:rFonts w:ascii="Times New Roman" w:hAnsi="Times New Roman" w:cs="Times New Roman"/>
          <w:sz w:val="24"/>
          <w:szCs w:val="24"/>
        </w:rPr>
        <w:t xml:space="preserve"> ust. 1 pkt 1 i 2</w:t>
      </w:r>
      <w:r>
        <w:rPr>
          <w:rFonts w:ascii="Times New Roman" w:hAnsi="Times New Roman" w:cs="Times New Roman"/>
          <w:sz w:val="24"/>
          <w:szCs w:val="24"/>
        </w:rPr>
        <w:t xml:space="preserve"> i</w:t>
      </w:r>
      <w:r w:rsidRPr="00813A5E">
        <w:rPr>
          <w:rFonts w:ascii="Times New Roman" w:hAnsi="Times New Roman" w:cs="Times New Roman"/>
          <w:sz w:val="24"/>
          <w:szCs w:val="24"/>
        </w:rPr>
        <w:t xml:space="preserve"> </w:t>
      </w:r>
      <w:r>
        <w:rPr>
          <w:rFonts w:ascii="Times New Roman" w:hAnsi="Times New Roman" w:cs="Times New Roman"/>
          <w:sz w:val="24"/>
          <w:szCs w:val="24"/>
        </w:rPr>
        <w:t xml:space="preserve">ust. 4 pkt 1 i 2, </w:t>
      </w:r>
      <w:r w:rsidRPr="00813A5E">
        <w:rPr>
          <w:rFonts w:ascii="Times New Roman" w:hAnsi="Times New Roman" w:cs="Times New Roman"/>
          <w:sz w:val="24"/>
          <w:szCs w:val="24"/>
        </w:rPr>
        <w:t>art. 9</w:t>
      </w:r>
      <w:r w:rsidR="00D80F06">
        <w:rPr>
          <w:rFonts w:ascii="Times New Roman" w:hAnsi="Times New Roman" w:cs="Times New Roman"/>
          <w:sz w:val="24"/>
          <w:szCs w:val="24"/>
        </w:rPr>
        <w:t>2 ust. 1 pkt 1 i 2</w:t>
      </w:r>
      <w:r>
        <w:rPr>
          <w:rFonts w:ascii="Times New Roman" w:hAnsi="Times New Roman" w:cs="Times New Roman"/>
          <w:sz w:val="24"/>
          <w:szCs w:val="24"/>
        </w:rPr>
        <w:t xml:space="preserve">, </w:t>
      </w:r>
      <w:r w:rsidRPr="00813A5E">
        <w:rPr>
          <w:rFonts w:ascii="Times New Roman" w:hAnsi="Times New Roman" w:cs="Times New Roman"/>
          <w:sz w:val="24"/>
          <w:szCs w:val="24"/>
        </w:rPr>
        <w:t>art. 9</w:t>
      </w:r>
      <w:r>
        <w:rPr>
          <w:rFonts w:ascii="Times New Roman" w:hAnsi="Times New Roman" w:cs="Times New Roman"/>
          <w:sz w:val="24"/>
          <w:szCs w:val="24"/>
        </w:rPr>
        <w:t>3</w:t>
      </w:r>
      <w:r w:rsidRPr="00813A5E">
        <w:rPr>
          <w:rFonts w:ascii="Times New Roman" w:hAnsi="Times New Roman" w:cs="Times New Roman"/>
          <w:sz w:val="24"/>
          <w:szCs w:val="24"/>
        </w:rPr>
        <w:t xml:space="preserve"> ust. 1 pkt 1 i 2, art. 9</w:t>
      </w:r>
      <w:r>
        <w:rPr>
          <w:rFonts w:ascii="Times New Roman" w:hAnsi="Times New Roman" w:cs="Times New Roman"/>
          <w:sz w:val="24"/>
          <w:szCs w:val="24"/>
        </w:rPr>
        <w:t>4</w:t>
      </w:r>
      <w:r w:rsidRPr="00813A5E">
        <w:rPr>
          <w:rFonts w:ascii="Times New Roman" w:hAnsi="Times New Roman" w:cs="Times New Roman"/>
          <w:sz w:val="24"/>
          <w:szCs w:val="24"/>
        </w:rPr>
        <w:t>, art. 9</w:t>
      </w:r>
      <w:r>
        <w:rPr>
          <w:rFonts w:ascii="Times New Roman" w:hAnsi="Times New Roman" w:cs="Times New Roman"/>
          <w:sz w:val="24"/>
          <w:szCs w:val="24"/>
        </w:rPr>
        <w:t>6</w:t>
      </w:r>
      <w:r w:rsidRPr="00813A5E">
        <w:rPr>
          <w:rFonts w:ascii="Times New Roman" w:hAnsi="Times New Roman" w:cs="Times New Roman"/>
          <w:sz w:val="24"/>
          <w:szCs w:val="24"/>
        </w:rPr>
        <w:t xml:space="preserve"> ust. 1 oraz art. </w:t>
      </w:r>
      <w:r w:rsidR="0031059E">
        <w:rPr>
          <w:rFonts w:ascii="Times New Roman" w:hAnsi="Times New Roman" w:cs="Times New Roman"/>
          <w:sz w:val="24"/>
          <w:szCs w:val="24"/>
        </w:rPr>
        <w:t>99</w:t>
      </w:r>
      <w:r w:rsidRPr="00813A5E">
        <w:rPr>
          <w:rFonts w:ascii="Times New Roman" w:hAnsi="Times New Roman" w:cs="Times New Roman"/>
          <w:sz w:val="24"/>
          <w:szCs w:val="24"/>
        </w:rPr>
        <w:t>, z urzędu lub na wniosek strony, wyłącznie wtedy, gdy ustaną opisane w ww. przepisach przyczyny ich zastosowania.</w:t>
      </w:r>
    </w:p>
    <w:p w14:paraId="674BC5E3" w14:textId="765CB028"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sidR="0031059E">
        <w:rPr>
          <w:rFonts w:ascii="Times New Roman" w:hAnsi="Times New Roman" w:cs="Times New Roman"/>
          <w:b/>
          <w:bCs/>
          <w:sz w:val="24"/>
          <w:szCs w:val="24"/>
        </w:rPr>
        <w:t>7</w:t>
      </w:r>
      <w:r w:rsidRPr="00866C87">
        <w:rPr>
          <w:rFonts w:ascii="Times New Roman" w:hAnsi="Times New Roman" w:cs="Times New Roman"/>
          <w:b/>
          <w:bCs/>
          <w:sz w:val="24"/>
          <w:szCs w:val="24"/>
        </w:rPr>
        <w:t xml:space="preserve"> </w:t>
      </w:r>
      <w:r w:rsidRPr="00866C87">
        <w:rPr>
          <w:rFonts w:ascii="Times New Roman" w:hAnsi="Times New Roman" w:cs="Times New Roman"/>
          <w:sz w:val="24"/>
          <w:szCs w:val="24"/>
        </w:rPr>
        <w:t>zapewnia stosowanie art. 105 rozporządzenia 2023/1114, przyznając</w:t>
      </w:r>
      <w:r>
        <w:rPr>
          <w:rFonts w:ascii="Times New Roman" w:hAnsi="Times New Roman" w:cs="Times New Roman"/>
          <w:sz w:val="24"/>
          <w:szCs w:val="24"/>
        </w:rPr>
        <w:t>ego</w:t>
      </w:r>
      <w:r w:rsidRPr="00866C87">
        <w:rPr>
          <w:rFonts w:ascii="Times New Roman" w:hAnsi="Times New Roman" w:cs="Times New Roman"/>
          <w:sz w:val="24"/>
          <w:szCs w:val="24"/>
        </w:rPr>
        <w:t xml:space="preserve"> prawo do wprowadzania zakazu lub ograniczenia w zakresie wprowadzania do obrotu, dystrybucji lub sprzedaży niektórych </w:t>
      </w:r>
      <w:proofErr w:type="spellStart"/>
      <w:r w:rsidRPr="00866C87">
        <w:rPr>
          <w:rFonts w:ascii="Times New Roman" w:hAnsi="Times New Roman" w:cs="Times New Roman"/>
          <w:sz w:val="24"/>
          <w:szCs w:val="24"/>
        </w:rPr>
        <w:t>kryptoaktywów</w:t>
      </w:r>
      <w:proofErr w:type="spellEnd"/>
      <w:r w:rsidRPr="00866C87">
        <w:rPr>
          <w:rFonts w:ascii="Times New Roman" w:hAnsi="Times New Roman" w:cs="Times New Roman"/>
          <w:sz w:val="24"/>
          <w:szCs w:val="24"/>
        </w:rPr>
        <w:t xml:space="preserve"> lub </w:t>
      </w:r>
      <w:proofErr w:type="spellStart"/>
      <w:r w:rsidRPr="00866C87">
        <w:rPr>
          <w:rFonts w:ascii="Times New Roman" w:hAnsi="Times New Roman" w:cs="Times New Roman"/>
          <w:sz w:val="24"/>
          <w:szCs w:val="24"/>
        </w:rPr>
        <w:t>kryptoaktywów</w:t>
      </w:r>
      <w:proofErr w:type="spellEnd"/>
      <w:r w:rsidRPr="00866C87">
        <w:rPr>
          <w:rFonts w:ascii="Times New Roman" w:hAnsi="Times New Roman" w:cs="Times New Roman"/>
          <w:sz w:val="24"/>
          <w:szCs w:val="24"/>
        </w:rPr>
        <w:t xml:space="preserve"> o pewnych określonych cechach lub rodzaju działalności lub praktyki związanej z </w:t>
      </w:r>
      <w:proofErr w:type="spellStart"/>
      <w:r w:rsidRPr="00866C87">
        <w:rPr>
          <w:rFonts w:ascii="Times New Roman" w:hAnsi="Times New Roman" w:cs="Times New Roman"/>
          <w:sz w:val="24"/>
          <w:szCs w:val="24"/>
        </w:rPr>
        <w:t>kryptoaktywami</w:t>
      </w:r>
      <w:proofErr w:type="spellEnd"/>
      <w:r w:rsidRPr="00866C87">
        <w:rPr>
          <w:rFonts w:ascii="Times New Roman" w:hAnsi="Times New Roman" w:cs="Times New Roman"/>
          <w:sz w:val="24"/>
          <w:szCs w:val="24"/>
        </w:rPr>
        <w:t xml:space="preserve">. Zgodnie z projektowanym przepisem wyżej wskazany zakaz lub ograniczenie nakładane będą w drodze decyzji </w:t>
      </w:r>
      <w:r>
        <w:rPr>
          <w:rFonts w:ascii="Times New Roman" w:hAnsi="Times New Roman" w:cs="Times New Roman"/>
          <w:sz w:val="24"/>
          <w:szCs w:val="24"/>
        </w:rPr>
        <w:t xml:space="preserve">wydawanej przez </w:t>
      </w:r>
      <w:r w:rsidRPr="00866C87">
        <w:rPr>
          <w:rFonts w:ascii="Times New Roman" w:hAnsi="Times New Roman" w:cs="Times New Roman"/>
          <w:sz w:val="24"/>
          <w:szCs w:val="24"/>
        </w:rPr>
        <w:t>Komisj</w:t>
      </w:r>
      <w:r>
        <w:rPr>
          <w:rFonts w:ascii="Times New Roman" w:hAnsi="Times New Roman" w:cs="Times New Roman"/>
          <w:sz w:val="24"/>
          <w:szCs w:val="24"/>
        </w:rPr>
        <w:t>ę</w:t>
      </w:r>
      <w:r w:rsidRPr="00866C87">
        <w:rPr>
          <w:rFonts w:ascii="Times New Roman" w:hAnsi="Times New Roman" w:cs="Times New Roman"/>
          <w:sz w:val="24"/>
          <w:szCs w:val="24"/>
        </w:rPr>
        <w:t xml:space="preserve">, </w:t>
      </w:r>
      <w:r w:rsidRPr="00146126">
        <w:rPr>
          <w:rFonts w:ascii="Times New Roman" w:hAnsi="Times New Roman" w:cs="Times New Roman"/>
          <w:sz w:val="24"/>
          <w:szCs w:val="24"/>
        </w:rPr>
        <w:t>podlegającej ogłoszeniu w Dzienniku Urzędowym Komisji Nadzoru Finansowego. Do decyzj</w:t>
      </w:r>
      <w:r w:rsidRPr="0090496B">
        <w:rPr>
          <w:rFonts w:ascii="Times New Roman" w:hAnsi="Times New Roman" w:cs="Times New Roman"/>
          <w:sz w:val="24"/>
          <w:szCs w:val="24"/>
        </w:rPr>
        <w:t xml:space="preserve">i tych będą odpowiednio stosowane przepisy KPA. Przepis określa również, że informacje o wydaniu tych decyzji są </w:t>
      </w:r>
      <w:r w:rsidRPr="000402CA">
        <w:rPr>
          <w:rFonts w:ascii="Times New Roman" w:hAnsi="Times New Roman" w:cs="Times New Roman"/>
          <w:sz w:val="24"/>
          <w:szCs w:val="24"/>
        </w:rPr>
        <w:t>niezwłocznie</w:t>
      </w:r>
      <w:r w:rsidRPr="0090496B">
        <w:rPr>
          <w:rFonts w:ascii="Times New Roman" w:hAnsi="Times New Roman" w:cs="Times New Roman"/>
          <w:sz w:val="24"/>
          <w:szCs w:val="24"/>
        </w:rPr>
        <w:t xml:space="preserve"> podawane </w:t>
      </w:r>
      <w:r w:rsidRPr="000402CA">
        <w:rPr>
          <w:rFonts w:ascii="Times New Roman" w:hAnsi="Times New Roman" w:cs="Times New Roman"/>
          <w:sz w:val="24"/>
          <w:szCs w:val="24"/>
        </w:rPr>
        <w:t>przez Komisję do publicznej wiadomości za pośrednictwem agencji informacyjnej</w:t>
      </w:r>
      <w:r>
        <w:rPr>
          <w:rFonts w:ascii="Times New Roman" w:hAnsi="Times New Roman" w:cs="Times New Roman"/>
          <w:sz w:val="24"/>
          <w:szCs w:val="24"/>
        </w:rPr>
        <w:t>, o której mowa w art. 58 ust. 1 ustawy o ofercie publicznej</w:t>
      </w:r>
      <w:r w:rsidRPr="000402CA">
        <w:rPr>
          <w:rFonts w:ascii="Times New Roman" w:hAnsi="Times New Roman" w:cs="Times New Roman"/>
          <w:sz w:val="24"/>
          <w:szCs w:val="24"/>
        </w:rPr>
        <w:t>.</w:t>
      </w:r>
    </w:p>
    <w:p w14:paraId="60F395F7" w14:textId="3FC0D054"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sidR="0031059E">
        <w:rPr>
          <w:rFonts w:ascii="Times New Roman" w:hAnsi="Times New Roman" w:cs="Times New Roman"/>
          <w:b/>
          <w:bCs/>
          <w:sz w:val="24"/>
          <w:szCs w:val="24"/>
        </w:rPr>
        <w:t>8</w:t>
      </w:r>
      <w:r w:rsidRPr="00813A5E">
        <w:rPr>
          <w:rFonts w:ascii="Times New Roman" w:hAnsi="Times New Roman" w:cs="Times New Roman"/>
          <w:b/>
          <w:bCs/>
          <w:sz w:val="24"/>
          <w:szCs w:val="24"/>
        </w:rPr>
        <w:t>–12</w:t>
      </w:r>
      <w:r w:rsidR="0031059E">
        <w:rPr>
          <w:rFonts w:ascii="Times New Roman" w:hAnsi="Times New Roman" w:cs="Times New Roman"/>
          <w:b/>
          <w:bCs/>
          <w:sz w:val="24"/>
          <w:szCs w:val="24"/>
        </w:rPr>
        <w:t>8</w:t>
      </w:r>
      <w:r w:rsidRPr="00813A5E">
        <w:rPr>
          <w:rFonts w:ascii="Times New Roman" w:hAnsi="Times New Roman" w:cs="Times New Roman"/>
          <w:sz w:val="24"/>
          <w:szCs w:val="24"/>
        </w:rPr>
        <w:t xml:space="preserve"> tworzą rozdział zawierający przepisy karne. Przepisy te regulują odpowiedzialność karną za popełnienie wymienionych czynów, ze wskazaniem kar w postaci grzywny, kary ograniczenia wolności oraz kary pozbawienia wolności przy jednoczesnej możliwości ich łącznego zastosowania. Odpowiedzialność karna została wprowadzona w odniesieniu do najpoważniejszych naruszeń. Podejście to, jak i sama surowość przewidzianych kar są zbieżne z podejściem wynikającym z innych ustaw regulujących funkcjonowanie rynku finansowego, gdzie za podobne lub tożsame naruszenia przewidziano odpowiedzialność karną z zastosowaniem tych samych kar oraz możliwość ich łącznego zastosowania. Surowość kar uzależniona jest od stopnia przewinienia oraz pozostaje w ścisłym związku z rodzajem czynu poddanego kryminalizacji. Przyjęte rozwiązania mają na celu zapewnienie bezpieczeństwa obrotu, w tym przede wszystkim klientów i inwestorów, i mają służyć prewencji ogólnej. Stąd relatywnie duża surowość kar, przy czym jest to maksymalne zagrożenie, a ich ewentualne wymierzenie nastąpi na podstawie przepisów </w:t>
      </w:r>
      <w:r w:rsidRPr="00146126">
        <w:rPr>
          <w:rFonts w:ascii="Times New Roman" w:hAnsi="Times New Roman" w:cs="Times New Roman"/>
          <w:sz w:val="24"/>
          <w:szCs w:val="24"/>
        </w:rPr>
        <w:t>ustawy z dnia 6 czerwca 1997 r. – Kodeks karny</w:t>
      </w:r>
      <w:r>
        <w:rPr>
          <w:rFonts w:ascii="Times New Roman" w:hAnsi="Times New Roman" w:cs="Times New Roman"/>
          <w:sz w:val="24"/>
          <w:szCs w:val="24"/>
        </w:rPr>
        <w:t xml:space="preserve"> </w:t>
      </w:r>
      <w:r w:rsidRPr="00813A5E">
        <w:rPr>
          <w:rFonts w:ascii="Times New Roman" w:hAnsi="Times New Roman" w:cs="Times New Roman"/>
          <w:sz w:val="24"/>
          <w:szCs w:val="24"/>
        </w:rPr>
        <w:t xml:space="preserve">określających zasady wymiaru kary. Z uwagi na niebagatelną wartość obrotu </w:t>
      </w:r>
      <w:proofErr w:type="spellStart"/>
      <w:r w:rsidRPr="00813A5E">
        <w:rPr>
          <w:rFonts w:ascii="Times New Roman" w:hAnsi="Times New Roman" w:cs="Times New Roman"/>
          <w:sz w:val="24"/>
          <w:szCs w:val="24"/>
        </w:rPr>
        <w:t>kryptoaktyw</w:t>
      </w:r>
      <w:r>
        <w:rPr>
          <w:rFonts w:ascii="Times New Roman" w:hAnsi="Times New Roman" w:cs="Times New Roman"/>
          <w:sz w:val="24"/>
          <w:szCs w:val="24"/>
        </w:rPr>
        <w:t>ami</w:t>
      </w:r>
      <w:proofErr w:type="spellEnd"/>
      <w:r w:rsidRPr="00813A5E">
        <w:rPr>
          <w:rFonts w:ascii="Times New Roman" w:hAnsi="Times New Roman" w:cs="Times New Roman"/>
          <w:sz w:val="24"/>
          <w:szCs w:val="24"/>
        </w:rPr>
        <w:t xml:space="preserve"> i rosnącą popularność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wśród inwestorów w Polsce, a z drugiej strony ze względu na fakt, że rynek ten dopiero zostaje objęty nadzorem, a inwestowanie w </w:t>
      </w:r>
      <w:proofErr w:type="spellStart"/>
      <w:r w:rsidRPr="00813A5E">
        <w:rPr>
          <w:rFonts w:ascii="Times New Roman" w:hAnsi="Times New Roman" w:cs="Times New Roman"/>
          <w:sz w:val="24"/>
          <w:szCs w:val="24"/>
        </w:rPr>
        <w:t>kryptoaktywa</w:t>
      </w:r>
      <w:proofErr w:type="spellEnd"/>
      <w:r w:rsidRPr="00813A5E">
        <w:rPr>
          <w:rFonts w:ascii="Times New Roman" w:hAnsi="Times New Roman" w:cs="Times New Roman"/>
          <w:sz w:val="24"/>
          <w:szCs w:val="24"/>
        </w:rPr>
        <w:t xml:space="preserve"> wiąże się ze znacznym ryzykiem, brak jest podstaw do zastosowania odmiennych rozwiązań od znanych już z innych obszarów rynku finansowego, w tym przede wszystkim rynku kapitałowego. Rynek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przejawia również wiele podobieństw do rynku kapitałowego w tych regulowanych obszarach, w których przewidziano zastosowanie odpowiedzialności karnej (np. w obszarze oferowania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W żadnym przypadku nie przewidziano odpowiedzialności karnej i administracyjnej za te same czyny, respektując w pełni zasadę </w:t>
      </w:r>
      <w:proofErr w:type="spellStart"/>
      <w:r w:rsidRPr="00813A5E">
        <w:rPr>
          <w:rFonts w:ascii="Times New Roman" w:hAnsi="Times New Roman" w:cs="Times New Roman"/>
          <w:i/>
          <w:iCs/>
          <w:sz w:val="24"/>
          <w:szCs w:val="24"/>
        </w:rPr>
        <w:t>ne</w:t>
      </w:r>
      <w:proofErr w:type="spellEnd"/>
      <w:r w:rsidRPr="00813A5E">
        <w:rPr>
          <w:rFonts w:ascii="Times New Roman" w:hAnsi="Times New Roman" w:cs="Times New Roman"/>
          <w:i/>
          <w:iCs/>
          <w:sz w:val="24"/>
          <w:szCs w:val="24"/>
        </w:rPr>
        <w:t xml:space="preserve"> bis in </w:t>
      </w:r>
      <w:proofErr w:type="spellStart"/>
      <w:r w:rsidRPr="00813A5E">
        <w:rPr>
          <w:rFonts w:ascii="Times New Roman" w:hAnsi="Times New Roman" w:cs="Times New Roman"/>
          <w:i/>
          <w:iCs/>
          <w:sz w:val="24"/>
          <w:szCs w:val="24"/>
        </w:rPr>
        <w:t>idem</w:t>
      </w:r>
      <w:proofErr w:type="spellEnd"/>
      <w:r w:rsidRPr="00813A5E">
        <w:rPr>
          <w:rFonts w:ascii="Times New Roman" w:hAnsi="Times New Roman" w:cs="Times New Roman"/>
          <w:sz w:val="24"/>
          <w:szCs w:val="24"/>
        </w:rPr>
        <w:t>. Przypadki odpowiedzialności karnej ograniczono do kilku najistotniejszych naruszeń. Wszystkie czyny muszą zostać popełnione z winy umyślnej.</w:t>
      </w:r>
    </w:p>
    <w:p w14:paraId="7BCD1246" w14:textId="2187A755" w:rsidR="00C21D4B" w:rsidRPr="00546E53"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sidR="006E3B30">
        <w:rPr>
          <w:rFonts w:ascii="Times New Roman" w:hAnsi="Times New Roman" w:cs="Times New Roman"/>
          <w:b/>
          <w:bCs/>
          <w:sz w:val="24"/>
          <w:szCs w:val="24"/>
        </w:rPr>
        <w:t>8</w:t>
      </w:r>
      <w:r w:rsidRPr="00813A5E">
        <w:rPr>
          <w:rFonts w:ascii="Times New Roman" w:hAnsi="Times New Roman" w:cs="Times New Roman"/>
          <w:sz w:val="24"/>
          <w:szCs w:val="24"/>
        </w:rPr>
        <w:t xml:space="preserve"> stanowi, że za dokonywanie oferty publicznej </w:t>
      </w:r>
      <w:proofErr w:type="spellStart"/>
      <w:r w:rsidRPr="00813A5E">
        <w:rPr>
          <w:rFonts w:ascii="Times New Roman" w:hAnsi="Times New Roman" w:cs="Times New Roman"/>
          <w:sz w:val="24"/>
          <w:szCs w:val="24"/>
        </w:rPr>
        <w:t>kryptoaktywa</w:t>
      </w:r>
      <w:proofErr w:type="spellEnd"/>
      <w:r w:rsidRPr="00813A5E">
        <w:rPr>
          <w:rFonts w:ascii="Times New Roman" w:hAnsi="Times New Roman" w:cs="Times New Roman"/>
          <w:sz w:val="24"/>
          <w:szCs w:val="24"/>
        </w:rPr>
        <w:t xml:space="preserve"> innego niż </w:t>
      </w:r>
      <w:proofErr w:type="spellStart"/>
      <w:r w:rsidRPr="00813A5E">
        <w:rPr>
          <w:rFonts w:ascii="Times New Roman" w:hAnsi="Times New Roman" w:cs="Times New Roman"/>
          <w:sz w:val="24"/>
          <w:szCs w:val="24"/>
        </w:rPr>
        <w:t>tokeny</w:t>
      </w:r>
      <w:proofErr w:type="spellEnd"/>
      <w:r w:rsidRPr="00813A5E">
        <w:rPr>
          <w:rFonts w:ascii="Times New Roman" w:hAnsi="Times New Roman" w:cs="Times New Roman"/>
          <w:sz w:val="24"/>
          <w:szCs w:val="24"/>
        </w:rPr>
        <w:t xml:space="preserve"> powiązane z aktywami lub </w:t>
      </w:r>
      <w:proofErr w:type="spellStart"/>
      <w:r w:rsidRPr="00813A5E">
        <w:rPr>
          <w:rFonts w:ascii="Times New Roman" w:hAnsi="Times New Roman" w:cs="Times New Roman"/>
          <w:sz w:val="24"/>
          <w:szCs w:val="24"/>
        </w:rPr>
        <w:t>tokeny</w:t>
      </w:r>
      <w:proofErr w:type="spellEnd"/>
      <w:r w:rsidRPr="00813A5E">
        <w:rPr>
          <w:rFonts w:ascii="Times New Roman" w:hAnsi="Times New Roman" w:cs="Times New Roman"/>
          <w:sz w:val="24"/>
          <w:szCs w:val="24"/>
        </w:rPr>
        <w:t xml:space="preserve"> będące e-pieniądzem lub ubieganie się o dopuszczenie takiego </w:t>
      </w:r>
      <w:proofErr w:type="spellStart"/>
      <w:r w:rsidRPr="00813A5E">
        <w:rPr>
          <w:rFonts w:ascii="Times New Roman" w:hAnsi="Times New Roman" w:cs="Times New Roman"/>
          <w:sz w:val="24"/>
          <w:szCs w:val="24"/>
        </w:rPr>
        <w:t>kryptoaktywa</w:t>
      </w:r>
      <w:proofErr w:type="spellEnd"/>
      <w:r w:rsidRPr="00813A5E">
        <w:rPr>
          <w:rFonts w:ascii="Times New Roman" w:hAnsi="Times New Roman" w:cs="Times New Roman"/>
          <w:sz w:val="24"/>
          <w:szCs w:val="24"/>
        </w:rPr>
        <w:t xml:space="preserve"> do obrotu bez wymaganego przepisami rozporządzenia 2023/1114 sporządzenia, zgłoszenia Komisji lub opublikowania dokumentu informacyjnego dotyczącego tego </w:t>
      </w:r>
      <w:proofErr w:type="spellStart"/>
      <w:r w:rsidRPr="00813A5E">
        <w:rPr>
          <w:rFonts w:ascii="Times New Roman" w:hAnsi="Times New Roman" w:cs="Times New Roman"/>
          <w:sz w:val="24"/>
          <w:szCs w:val="24"/>
        </w:rPr>
        <w:t>kryptoaktywa</w:t>
      </w:r>
      <w:proofErr w:type="spellEnd"/>
      <w:r w:rsidRPr="00813A5E">
        <w:rPr>
          <w:rFonts w:ascii="Times New Roman" w:hAnsi="Times New Roman" w:cs="Times New Roman"/>
          <w:sz w:val="24"/>
          <w:szCs w:val="24"/>
        </w:rPr>
        <w:t xml:space="preserve">, podlega się grzywnie do 10 000 000 zł albo karze pozbawienia wolności do 2 lat, albo obu tym karom łącznie. Tej samej karze podlega również ten, kto dokonuje oferty publicznej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powiązanych z aktywami lub ubiega się o ich dopuszczenie do obrotu bez wymaganego przepisami rozporządzenia 2023/1114 zezwolenia lub bez sporządzenia, zgłoszenia Komisji do zatwierdzenia lub bez opublikowania zatwierdzonego dokumentu informacyjnego dotyczącego tych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lub bez złożenia Komisji powiadomienia, o którym mowa w art. 17 ust. 1 lit. b rozporządzenia 2023/1114.</w:t>
      </w:r>
      <w:r w:rsidRPr="00813A5E">
        <w:t xml:space="preserve"> </w:t>
      </w:r>
      <w:r w:rsidRPr="00813A5E">
        <w:rPr>
          <w:rFonts w:ascii="Times New Roman" w:hAnsi="Times New Roman" w:cs="Times New Roman"/>
          <w:sz w:val="24"/>
          <w:szCs w:val="24"/>
        </w:rPr>
        <w:t xml:space="preserve">Tej samej karze podlega również ten, kto dokonuje oferty publicznej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w:t>
      </w:r>
      <w:r>
        <w:rPr>
          <w:rFonts w:ascii="Times New Roman" w:hAnsi="Times New Roman" w:cs="Times New Roman"/>
          <w:sz w:val="24"/>
          <w:szCs w:val="24"/>
        </w:rPr>
        <w:t>będących e-pieniądzem</w:t>
      </w:r>
      <w:r w:rsidRPr="00813A5E">
        <w:rPr>
          <w:rFonts w:ascii="Times New Roman" w:hAnsi="Times New Roman" w:cs="Times New Roman"/>
          <w:sz w:val="24"/>
          <w:szCs w:val="24"/>
        </w:rPr>
        <w:t xml:space="preserve"> lub ubiega się o ich dopuszczenie do obrotu bez wymaganego przepisami rozporządzenia 2023/1114 zezwolenia lub bez sporządzenia, zgłoszenia Komisji lub opublikowania dokumentu informacyjnego dotyczącego tych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Ponadto tej samej karze podlega ten, kto dopuszcza się czynu określonego w ust. 1–3, działając w imieniu lub interesie osoby prawnej lub jednostki organizacyjnej nieposiadającej osobowości prawnej. W przypadku mniejszej wagi, jego sprawca podlega mniejszej grzywnie.</w:t>
      </w:r>
      <w:r w:rsidRPr="00813A5E">
        <w:t xml:space="preserve"> </w:t>
      </w:r>
      <w:r w:rsidRPr="00813A5E">
        <w:rPr>
          <w:rFonts w:ascii="Times New Roman" w:hAnsi="Times New Roman" w:cs="Times New Roman"/>
          <w:sz w:val="24"/>
          <w:szCs w:val="24"/>
        </w:rPr>
        <w:t xml:space="preserve">Podobne przepisy znajdują się w ustawie o ofercie publicznej. Dotyczą one nieprzekazania suplementu do dokumentów informacyjnych dotyczących papierów wartościowych, który dotyczy zaistnienia znaczących czynników mogących wpływać na ocenę papierów wartościowych objętych tym dokumentem. W przypadku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informacja o zaistnieniu takich czynników powinna być uwzględniana w nowej, zmienionej wersji dokumentu informacyjnego. Niezależnie od tych różnic w obydwu przypadkach chronione jest podobne dobro prawne, a penalizacji podlega umyślne zatajenie przed inwestorami znaczących okoliczności mogących wpływać na ocenę przez nich oferowanego papieru wartościowego lub </w:t>
      </w:r>
      <w:proofErr w:type="spellStart"/>
      <w:r w:rsidRPr="00813A5E">
        <w:rPr>
          <w:rFonts w:ascii="Times New Roman" w:hAnsi="Times New Roman" w:cs="Times New Roman"/>
          <w:sz w:val="24"/>
          <w:szCs w:val="24"/>
        </w:rPr>
        <w:t>kryptoaktywa</w:t>
      </w:r>
      <w:proofErr w:type="spellEnd"/>
      <w:r w:rsidRPr="00813A5E">
        <w:rPr>
          <w:rFonts w:ascii="Times New Roman" w:hAnsi="Times New Roman" w:cs="Times New Roman"/>
          <w:sz w:val="24"/>
          <w:szCs w:val="24"/>
        </w:rPr>
        <w:t>.</w:t>
      </w:r>
    </w:p>
    <w:p w14:paraId="0542F6B4" w14:textId="6C2B3C05" w:rsidR="00C21D4B" w:rsidRPr="00546E53"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sidR="006E3B30">
        <w:rPr>
          <w:rFonts w:ascii="Times New Roman" w:hAnsi="Times New Roman" w:cs="Times New Roman"/>
          <w:b/>
          <w:bCs/>
          <w:sz w:val="24"/>
          <w:szCs w:val="24"/>
        </w:rPr>
        <w:t>9</w:t>
      </w:r>
      <w:r w:rsidRPr="00813A5E">
        <w:rPr>
          <w:rFonts w:ascii="Times New Roman" w:hAnsi="Times New Roman" w:cs="Times New Roman"/>
          <w:sz w:val="24"/>
          <w:szCs w:val="24"/>
        </w:rPr>
        <w:t xml:space="preserve"> wprowadza </w:t>
      </w:r>
      <w:r w:rsidRPr="00866C87">
        <w:rPr>
          <w:rFonts w:ascii="Times New Roman" w:hAnsi="Times New Roman" w:cs="Times New Roman"/>
          <w:sz w:val="24"/>
          <w:szCs w:val="24"/>
        </w:rPr>
        <w:t>kary w przypadku osób, które na terytorium jednego państwa członkowskiego</w:t>
      </w:r>
      <w:r>
        <w:rPr>
          <w:rFonts w:ascii="Times New Roman" w:hAnsi="Times New Roman" w:cs="Times New Roman"/>
          <w:sz w:val="24"/>
          <w:szCs w:val="24"/>
        </w:rPr>
        <w:t xml:space="preserve"> </w:t>
      </w:r>
      <w:r w:rsidRPr="00813A5E">
        <w:rPr>
          <w:rFonts w:ascii="Times New Roman" w:hAnsi="Times New Roman" w:cs="Times New Roman"/>
          <w:sz w:val="24"/>
          <w:szCs w:val="24"/>
        </w:rPr>
        <w:t>Unii Europejskiej</w:t>
      </w:r>
      <w:r w:rsidRPr="00866C87">
        <w:rPr>
          <w:rFonts w:ascii="Times New Roman" w:hAnsi="Times New Roman" w:cs="Times New Roman"/>
          <w:sz w:val="24"/>
          <w:szCs w:val="24"/>
        </w:rPr>
        <w:t xml:space="preserve"> udostępniają co najmniej 150 osobom lub nieoznaczonemu adresatowi materiały marketingowe dotyczące oferty publicznej </w:t>
      </w:r>
      <w:proofErr w:type="spellStart"/>
      <w:r w:rsidRPr="00866C87">
        <w:rPr>
          <w:rFonts w:ascii="Times New Roman" w:hAnsi="Times New Roman" w:cs="Times New Roman"/>
          <w:sz w:val="24"/>
          <w:szCs w:val="24"/>
        </w:rPr>
        <w:t>kryptoaktywa</w:t>
      </w:r>
      <w:proofErr w:type="spellEnd"/>
      <w:r w:rsidRPr="00866C87">
        <w:rPr>
          <w:rFonts w:ascii="Times New Roman" w:hAnsi="Times New Roman" w:cs="Times New Roman"/>
          <w:sz w:val="24"/>
          <w:szCs w:val="24"/>
        </w:rPr>
        <w:t xml:space="preserve"> innego niż </w:t>
      </w:r>
      <w:proofErr w:type="spellStart"/>
      <w:r w:rsidRPr="00866C87">
        <w:rPr>
          <w:rFonts w:ascii="Times New Roman" w:hAnsi="Times New Roman" w:cs="Times New Roman"/>
          <w:sz w:val="24"/>
          <w:szCs w:val="24"/>
        </w:rPr>
        <w:t>tokeny</w:t>
      </w:r>
      <w:proofErr w:type="spellEnd"/>
      <w:r w:rsidRPr="00866C87">
        <w:rPr>
          <w:rFonts w:ascii="Times New Roman" w:hAnsi="Times New Roman" w:cs="Times New Roman"/>
          <w:sz w:val="24"/>
          <w:szCs w:val="24"/>
        </w:rPr>
        <w:t xml:space="preserve"> powiązane z aktywami lub </w:t>
      </w:r>
      <w:proofErr w:type="spellStart"/>
      <w:r w:rsidRPr="00866C87">
        <w:rPr>
          <w:rFonts w:ascii="Times New Roman" w:hAnsi="Times New Roman" w:cs="Times New Roman"/>
          <w:sz w:val="24"/>
          <w:szCs w:val="24"/>
        </w:rPr>
        <w:t>tokeny</w:t>
      </w:r>
      <w:proofErr w:type="spellEnd"/>
      <w:r w:rsidRPr="00866C87">
        <w:rPr>
          <w:rFonts w:ascii="Times New Roman" w:hAnsi="Times New Roman" w:cs="Times New Roman"/>
          <w:sz w:val="24"/>
          <w:szCs w:val="24"/>
        </w:rPr>
        <w:t xml:space="preserve"> będące e-pieniądzem, jeśli zachodzą przesłanki, o których mowa w art. 4 ust. 2 lit. a rozporządzenia 2023/1114. Przepis ten nie stanowi ograniczenia zasady terytorialności, reguluje natomiast </w:t>
      </w:r>
      <w:r w:rsidRPr="00813A5E">
        <w:rPr>
          <w:rFonts w:ascii="Times New Roman" w:hAnsi="Times New Roman" w:cs="Times New Roman"/>
          <w:sz w:val="24"/>
          <w:szCs w:val="24"/>
        </w:rPr>
        <w:t xml:space="preserve">sytuację, w której podmiot wykonując na terytorium RP działalność transgraniczną, podlegający nadzorowi KNF, formalnie spełnia warunek wyrażony w art. 4 ust. 2 lit. a rozporządzenia 2023/1114, jednak poprzez udostepnienie materiałów marketingowych dotyczących swojej oferty, dopuszcza się w praktyce obejścia tego wymogu. Sformułowanie „na terytorium jednego państwa członkowskiego Unii Europejskiej” służy uniknięciu wątpliwości, że wskazany limit dla udostępnianych materiałów marketingowych oferty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dotyczy sytuacji, w których dochodzi do udostępniania ich na terenie przykładowo w sumie trzech państw członkowskich (limit na każde państwo członkowskie). </w:t>
      </w:r>
      <w:r w:rsidRPr="00866C87">
        <w:rPr>
          <w:rFonts w:ascii="Times New Roman" w:hAnsi="Times New Roman" w:cs="Times New Roman"/>
          <w:sz w:val="24"/>
          <w:szCs w:val="24"/>
        </w:rPr>
        <w:t>Tej samej karze podlega również ten, kto dopuszcza się wyżej określonego czynu działając w imieniu lub interesie osoby prawnej lub jednostki organizacyjnej nieposiadającej osobowości prawnej.</w:t>
      </w:r>
      <w:r w:rsidRPr="00866C87">
        <w:rPr>
          <w:rFonts w:ascii="Times New Roman" w:hAnsi="Times New Roman" w:cs="Times New Roman"/>
          <w:b/>
          <w:bCs/>
          <w:sz w:val="24"/>
          <w:szCs w:val="24"/>
        </w:rPr>
        <w:t xml:space="preserve"> </w:t>
      </w:r>
      <w:r w:rsidRPr="00866C87">
        <w:rPr>
          <w:rFonts w:ascii="Times New Roman" w:hAnsi="Times New Roman" w:cs="Times New Roman"/>
          <w:sz w:val="24"/>
          <w:szCs w:val="24"/>
        </w:rPr>
        <w:t xml:space="preserve">Analogicznie do poprzedniego przepisu, w przypadku </w:t>
      </w:r>
      <w:r w:rsidRPr="00813A5E">
        <w:rPr>
          <w:rFonts w:ascii="Times New Roman" w:hAnsi="Times New Roman" w:cs="Times New Roman"/>
          <w:sz w:val="24"/>
          <w:szCs w:val="24"/>
        </w:rPr>
        <w:t>mniejszej wagi, jego sprawca podlega niższej grzywnie.</w:t>
      </w:r>
      <w:r w:rsidRPr="00813A5E">
        <w:t xml:space="preserve"> </w:t>
      </w:r>
      <w:r>
        <w:rPr>
          <w:rFonts w:ascii="Times New Roman" w:hAnsi="Times New Roman" w:cs="Times New Roman"/>
          <w:sz w:val="24"/>
          <w:szCs w:val="24"/>
        </w:rPr>
        <w:t>Podobna</w:t>
      </w:r>
      <w:r w:rsidRPr="00813A5E">
        <w:rPr>
          <w:rFonts w:ascii="Times New Roman" w:hAnsi="Times New Roman" w:cs="Times New Roman"/>
          <w:sz w:val="24"/>
          <w:szCs w:val="24"/>
        </w:rPr>
        <w:t xml:space="preserve"> sankcja karna znajduje się w art. 99 ust. 2 ustawy o ofercie publicznej. Wskazany przepis dotyczy dokonywania oferty publicznej papierów wartościowych oraz stanowi, że karze podlega również ten, kto na terytorium jednego państwa członkowskiego udostępnia 150 osobom lub większej liczbie osób, lub nieoznaczonemu adresatowi reklamę oferty publicznej. Na wzór przepisów ustawy o ofercie publicznej, przestępstwa przewidziane w tym przepisie mają charakter publicznoskargowy i są ścigane z urzędu przez właściwe organy ścigania. Ściganie tych przestępstw nie wymaga więc wniosku lub zgody (zawiadomienia) </w:t>
      </w:r>
      <w:r w:rsidRPr="00866C87">
        <w:rPr>
          <w:rFonts w:ascii="Times New Roman" w:hAnsi="Times New Roman" w:cs="Times New Roman"/>
          <w:sz w:val="24"/>
          <w:szCs w:val="24"/>
        </w:rPr>
        <w:t xml:space="preserve">określonej osoby, a w szczególności wniosku pokrzywdzonego. Organem ścigania właściwym miejscowo do wszczęcia i prowadzenia postępowania karnego w zakresie tych przestępstw jest organ, którego siedziba znajduje się w miejscu ich popełnienia, tj. w miejscu, w którym (z którego) sprawca proponował nabycie </w:t>
      </w:r>
      <w:proofErr w:type="spellStart"/>
      <w:r w:rsidRPr="00866C87">
        <w:rPr>
          <w:rFonts w:ascii="Times New Roman" w:hAnsi="Times New Roman" w:cs="Times New Roman"/>
          <w:sz w:val="24"/>
          <w:szCs w:val="24"/>
        </w:rPr>
        <w:t>kryptoaktywów</w:t>
      </w:r>
      <w:proofErr w:type="spellEnd"/>
      <w:r w:rsidRPr="00866C87">
        <w:rPr>
          <w:rFonts w:ascii="Times New Roman" w:hAnsi="Times New Roman" w:cs="Times New Roman"/>
          <w:sz w:val="24"/>
          <w:szCs w:val="24"/>
        </w:rPr>
        <w:t xml:space="preserve"> (zgodnie z </w:t>
      </w:r>
      <w:r w:rsidRPr="00D1153C">
        <w:rPr>
          <w:rFonts w:ascii="Times New Roman" w:hAnsi="Times New Roman" w:cs="Times New Roman"/>
          <w:sz w:val="24"/>
          <w:szCs w:val="24"/>
        </w:rPr>
        <w:t>art. 6 § 2</w:t>
      </w:r>
      <w:r>
        <w:rPr>
          <w:rFonts w:ascii="Times New Roman" w:hAnsi="Times New Roman" w:cs="Times New Roman"/>
          <w:sz w:val="24"/>
          <w:szCs w:val="24"/>
        </w:rPr>
        <w:t xml:space="preserve"> ustawy</w:t>
      </w:r>
      <w:r w:rsidRPr="00813A5E">
        <w:rPr>
          <w:rFonts w:ascii="Times New Roman" w:hAnsi="Times New Roman" w:cs="Times New Roman"/>
          <w:sz w:val="24"/>
          <w:szCs w:val="24"/>
        </w:rPr>
        <w:t xml:space="preserve"> </w:t>
      </w:r>
      <w:r w:rsidRPr="00146126">
        <w:rPr>
          <w:rFonts w:ascii="Times New Roman" w:hAnsi="Times New Roman" w:cs="Times New Roman"/>
          <w:sz w:val="24"/>
          <w:szCs w:val="24"/>
        </w:rPr>
        <w:t>z dnia 6 czerwca 1997 r. – Kodeks karny</w:t>
      </w:r>
      <w:r w:rsidRPr="00813A5E">
        <w:rPr>
          <w:rFonts w:ascii="Times New Roman" w:hAnsi="Times New Roman" w:cs="Times New Roman"/>
          <w:sz w:val="24"/>
          <w:szCs w:val="24"/>
        </w:rPr>
        <w:t>).</w:t>
      </w:r>
    </w:p>
    <w:p w14:paraId="74FF00D3" w14:textId="16B08ECE" w:rsidR="00C21D4B" w:rsidRPr="00546E53"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w:t>
      </w:r>
      <w:r w:rsidR="006E3B30">
        <w:rPr>
          <w:rFonts w:ascii="Times New Roman" w:hAnsi="Times New Roman" w:cs="Times New Roman"/>
          <w:b/>
          <w:bCs/>
          <w:sz w:val="24"/>
          <w:szCs w:val="24"/>
        </w:rPr>
        <w:t>20</w:t>
      </w:r>
      <w:r w:rsidRPr="00813A5E">
        <w:rPr>
          <w:rFonts w:ascii="Times New Roman" w:hAnsi="Times New Roman" w:cs="Times New Roman"/>
          <w:sz w:val="24"/>
          <w:szCs w:val="24"/>
        </w:rPr>
        <w:t xml:space="preserve"> stanowi, że grzywnie w wysokości do 1 000 000 zł albo karze pozbawienia wolności do lat 2, albo obu tym karom łącznie, podlega ten kto, działając w imieniu lub w interesie osoby prawnej lub jednostki organizacyjnej nieposiadającej osobowości prawnej, wbrew obowiązkowi, nie dokonuje zmiany opublikowanego dokumentu informacyjnego dotyczącego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nie przekazuje Komisji zmienionego dokumentu informacyjnego lub nie publikuje takiego dokumentu informacyjnego.</w:t>
      </w:r>
      <w:r w:rsidRPr="00813A5E">
        <w:t xml:space="preserve"> </w:t>
      </w:r>
      <w:r w:rsidRPr="00813A5E">
        <w:rPr>
          <w:rFonts w:ascii="Times New Roman" w:hAnsi="Times New Roman" w:cs="Times New Roman"/>
          <w:sz w:val="24"/>
          <w:szCs w:val="24"/>
        </w:rPr>
        <w:t xml:space="preserve">Analogiczna sankcja karna znajduje się w art. 103 ustawy o ofercie publicznej. Dotyczy on nieprzekazania suplementu do dokumentów informacyjnych dotyczących papierów wartościowych, który dotyczy zaistnienia znaczących czynników mogących wpływać na ocenę papierów wartościowych objętych tym dokumentem. W przypadku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informacja o zaistnieniu takich czynników powinna być uwzględniana w nowej, zmienionej wersji dokumentu informacyjnego. Niezależnie od tych różnic w obydwu przypadkach chronione jest podobne dobro prawne, a penalizacji podlega umyślne zatajenie przed inwestorami znaczących okoliczności mogących wpływać na ocenę przez nich oferowanego papieru wartościowego lub </w:t>
      </w:r>
      <w:proofErr w:type="spellStart"/>
      <w:r w:rsidRPr="00813A5E">
        <w:rPr>
          <w:rFonts w:ascii="Times New Roman" w:hAnsi="Times New Roman" w:cs="Times New Roman"/>
          <w:sz w:val="24"/>
          <w:szCs w:val="24"/>
        </w:rPr>
        <w:t>kryptoaktywa</w:t>
      </w:r>
      <w:proofErr w:type="spellEnd"/>
      <w:r w:rsidRPr="00813A5E">
        <w:rPr>
          <w:rFonts w:ascii="Times New Roman" w:hAnsi="Times New Roman" w:cs="Times New Roman"/>
          <w:sz w:val="24"/>
          <w:szCs w:val="24"/>
        </w:rPr>
        <w:t>.</w:t>
      </w:r>
    </w:p>
    <w:p w14:paraId="75CF89A6" w14:textId="0E633487" w:rsidR="00C21D4B" w:rsidRPr="00546E53"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w:t>
      </w:r>
      <w:r>
        <w:rPr>
          <w:rFonts w:ascii="Times New Roman" w:hAnsi="Times New Roman" w:cs="Times New Roman"/>
          <w:b/>
          <w:bCs/>
          <w:sz w:val="24"/>
          <w:szCs w:val="24"/>
        </w:rPr>
        <w:t>2</w:t>
      </w:r>
      <w:r w:rsidR="006E3B30">
        <w:rPr>
          <w:rFonts w:ascii="Times New Roman" w:hAnsi="Times New Roman" w:cs="Times New Roman"/>
          <w:b/>
          <w:bCs/>
          <w:sz w:val="24"/>
          <w:szCs w:val="24"/>
        </w:rPr>
        <w:t>1</w:t>
      </w:r>
      <w:r w:rsidRPr="00813A5E">
        <w:rPr>
          <w:rFonts w:ascii="Times New Roman" w:hAnsi="Times New Roman" w:cs="Times New Roman"/>
          <w:sz w:val="24"/>
          <w:szCs w:val="24"/>
        </w:rPr>
        <w:t xml:space="preserve"> stanowi, że osoba odpowiedzialna za informacje zawarte w dokumencie informacyjnym dotyczącym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powiązanych z aktywami lub w dokumencie informacyjnym dotyczącym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będących e-pieniądzem, która podaje nieprawdziwe dane lub zataja prawdziwe dane, w istotny sposób wpływające na treść informacji, podlega grzywnie w wysokości do 5 000 000 zł albo karze pozbawienia wolności od 6 miesięcy do lat 5, albo obu tym karom łącznie. Tej samej karze podlega ten, kto będąc odpowiedzialnym za informacje zawarte w zmienionym dokumencie informacyjnym, podaje nieprawdziwe dane lub zataja prawdziwe dane, które w istotny sposób wpływają na wycenę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oraz ten, kto dopuszcza się ww. czynów, działając w imieniu lub w interesie osoby prawnej lub jednostki organizacyjnej nieposiadającej osobowości prawnej. Ponadto w przypadku mniejszej wagi, jego sprawca podlega grzywnie do 1 000 000 zł.</w:t>
      </w:r>
      <w:r w:rsidRPr="00813A5E">
        <w:t xml:space="preserve"> </w:t>
      </w:r>
      <w:r w:rsidRPr="00813A5E">
        <w:rPr>
          <w:rFonts w:ascii="Times New Roman" w:hAnsi="Times New Roman" w:cs="Times New Roman"/>
          <w:sz w:val="24"/>
          <w:szCs w:val="24"/>
        </w:rPr>
        <w:t>Analogiczna sankcja karna znajduje się w art. 100 ustawy o ofercie publicznej. Oba przypadki penalizują dezinformację w odniesieniu do treści dokumentu będącego podstawą oferty</w:t>
      </w:r>
      <w:r w:rsidRPr="00866C87">
        <w:rPr>
          <w:rFonts w:ascii="Times New Roman" w:hAnsi="Times New Roman" w:cs="Times New Roman"/>
          <w:sz w:val="24"/>
          <w:szCs w:val="24"/>
        </w:rPr>
        <w:t xml:space="preserve"> publicznej lub dopuszczenia do obrotu na rynku regulowanym papierów wartościowych czy to oferty </w:t>
      </w:r>
      <w:proofErr w:type="spellStart"/>
      <w:r w:rsidRPr="00866C87">
        <w:rPr>
          <w:rFonts w:ascii="Times New Roman" w:hAnsi="Times New Roman" w:cs="Times New Roman"/>
          <w:sz w:val="24"/>
          <w:szCs w:val="24"/>
        </w:rPr>
        <w:t>kryptoaktywa</w:t>
      </w:r>
      <w:proofErr w:type="spellEnd"/>
      <w:r w:rsidRPr="00866C87">
        <w:rPr>
          <w:rFonts w:ascii="Times New Roman" w:hAnsi="Times New Roman" w:cs="Times New Roman"/>
          <w:sz w:val="24"/>
          <w:szCs w:val="24"/>
        </w:rPr>
        <w:t xml:space="preserve"> lub jego dopuszczenia do obrotu na platformie obrotu prowadzonej</w:t>
      </w:r>
      <w:r w:rsidRPr="00813A5E">
        <w:rPr>
          <w:rFonts w:ascii="Times New Roman" w:hAnsi="Times New Roman" w:cs="Times New Roman"/>
          <w:sz w:val="24"/>
          <w:szCs w:val="24"/>
        </w:rPr>
        <w:t xml:space="preserve"> przez dostawcę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w:t>
      </w:r>
    </w:p>
    <w:p w14:paraId="35E08DD5" w14:textId="0EE2E1A8" w:rsidR="00C21D4B" w:rsidRPr="00546E53"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12</w:t>
      </w:r>
      <w:r w:rsidR="006E3B30">
        <w:rPr>
          <w:rFonts w:ascii="Times New Roman" w:hAnsi="Times New Roman" w:cs="Times New Roman"/>
          <w:b/>
          <w:bCs/>
          <w:sz w:val="24"/>
          <w:szCs w:val="24"/>
        </w:rPr>
        <w:t>2</w:t>
      </w:r>
      <w:r w:rsidRPr="00813A5E">
        <w:rPr>
          <w:rFonts w:ascii="Times New Roman" w:hAnsi="Times New Roman" w:cs="Times New Roman"/>
          <w:sz w:val="24"/>
          <w:szCs w:val="24"/>
        </w:rPr>
        <w:t xml:space="preserve"> stanowi, że kto prowadzi działalność związaną ze świadczeniem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o której mowa w art. 59 lub art. 60 rozporządzenia 2023/1114, nie będąc do tego uprawnionym, podlega grzywnie w wysokości do 5 000 000 zł albo karze pozbawienia wolności do lat 5, albo obu tym karom łącznie. Tej samej karze podlega</w:t>
      </w:r>
      <w:r>
        <w:rPr>
          <w:rFonts w:ascii="Times New Roman" w:hAnsi="Times New Roman" w:cs="Times New Roman"/>
          <w:sz w:val="24"/>
          <w:szCs w:val="24"/>
        </w:rPr>
        <w:t>,</w:t>
      </w:r>
      <w:r w:rsidRPr="00813A5E">
        <w:rPr>
          <w:rFonts w:ascii="Times New Roman" w:hAnsi="Times New Roman" w:cs="Times New Roman"/>
          <w:sz w:val="24"/>
          <w:szCs w:val="24"/>
        </w:rPr>
        <w:t xml:space="preserve"> kto dopuszcza się ww. czynu, działając w imieniu lub w interesie osoby prawnej lub jednostki organizacyjnej nieposiadającej osobowości prawnej.</w:t>
      </w:r>
      <w:r w:rsidRPr="00813A5E">
        <w:t xml:space="preserve"> </w:t>
      </w:r>
      <w:r w:rsidRPr="00813A5E">
        <w:rPr>
          <w:rFonts w:ascii="Times New Roman" w:hAnsi="Times New Roman" w:cs="Times New Roman"/>
          <w:sz w:val="24"/>
          <w:szCs w:val="24"/>
        </w:rPr>
        <w:t>Analogiczna sankcja karna znajduje się w art. 178 ustawy o obrocie instrumentami finansowymi.</w:t>
      </w:r>
    </w:p>
    <w:p w14:paraId="02ADE6D8" w14:textId="30F7AFDE" w:rsidR="00C21D4B"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12</w:t>
      </w:r>
      <w:r w:rsidR="006E3B30">
        <w:rPr>
          <w:rFonts w:ascii="Times New Roman" w:hAnsi="Times New Roman" w:cs="Times New Roman"/>
          <w:b/>
          <w:bCs/>
          <w:sz w:val="24"/>
          <w:szCs w:val="24"/>
        </w:rPr>
        <w:t>3</w:t>
      </w:r>
      <w:r w:rsidRPr="00813A5E">
        <w:rPr>
          <w:rFonts w:ascii="Times New Roman" w:hAnsi="Times New Roman" w:cs="Times New Roman"/>
          <w:sz w:val="24"/>
          <w:szCs w:val="24"/>
        </w:rPr>
        <w:t xml:space="preserve"> stanowi, że sankcjom karnym w postaci grzywny do 1 000 000 </w:t>
      </w:r>
      <w:r w:rsidRPr="009F0C78">
        <w:rPr>
          <w:rFonts w:ascii="Times New Roman" w:hAnsi="Times New Roman" w:cs="Times New Roman"/>
          <w:sz w:val="24"/>
          <w:szCs w:val="24"/>
        </w:rPr>
        <w:t>zł</w:t>
      </w:r>
      <w:r w:rsidRPr="00813A5E">
        <w:rPr>
          <w:rFonts w:ascii="Times New Roman" w:hAnsi="Times New Roman" w:cs="Times New Roman"/>
          <w:sz w:val="24"/>
          <w:szCs w:val="24"/>
        </w:rPr>
        <w:t xml:space="preserve"> albo kar</w:t>
      </w:r>
      <w:r>
        <w:rPr>
          <w:rFonts w:ascii="Times New Roman" w:hAnsi="Times New Roman" w:cs="Times New Roman"/>
          <w:sz w:val="24"/>
          <w:szCs w:val="24"/>
        </w:rPr>
        <w:t>ze</w:t>
      </w:r>
      <w:r w:rsidRPr="00813A5E">
        <w:rPr>
          <w:rFonts w:ascii="Times New Roman" w:hAnsi="Times New Roman" w:cs="Times New Roman"/>
          <w:sz w:val="24"/>
          <w:szCs w:val="24"/>
        </w:rPr>
        <w:t xml:space="preserve"> pozbawienia wolności do lat 3, albo obu tym karom łącznie podlega ten, kto, będąc obowiązanym do zachowania tajemnicy zawodowej, o której mowa w art. 1</w:t>
      </w:r>
      <w:r>
        <w:rPr>
          <w:rFonts w:ascii="Times New Roman" w:hAnsi="Times New Roman" w:cs="Times New Roman"/>
          <w:sz w:val="24"/>
          <w:szCs w:val="24"/>
        </w:rPr>
        <w:t>7</w:t>
      </w:r>
      <w:r w:rsidRPr="00813A5E">
        <w:rPr>
          <w:rFonts w:ascii="Times New Roman" w:hAnsi="Times New Roman" w:cs="Times New Roman"/>
          <w:sz w:val="24"/>
          <w:szCs w:val="24"/>
        </w:rPr>
        <w:t xml:space="preserve"> </w:t>
      </w:r>
      <w:r w:rsidRPr="00866C87">
        <w:rPr>
          <w:rFonts w:ascii="Times New Roman" w:hAnsi="Times New Roman" w:cs="Times New Roman"/>
          <w:sz w:val="24"/>
          <w:szCs w:val="24"/>
        </w:rPr>
        <w:t>projektowanej ustawy, ujawnia lub wykorzystuje informację stanowiącą taką tajemnicę. Analogicznie do wcześniejszych przepisów tożsamym karom podlega ten, kto dopuszcza się ww. czynów, działając w imieniu lub w interesie osoby prawnej lub jednostki organizacyjnej nieposiadającej osobowości prawnej.</w:t>
      </w:r>
      <w:r w:rsidRPr="00866C87">
        <w:t xml:space="preserve"> </w:t>
      </w:r>
      <w:r w:rsidRPr="00866C87">
        <w:rPr>
          <w:rFonts w:ascii="Times New Roman" w:hAnsi="Times New Roman" w:cs="Times New Roman"/>
          <w:sz w:val="24"/>
          <w:szCs w:val="24"/>
        </w:rPr>
        <w:t>Podobne przepisy znajdują się w innych ustawach sektorowych rynku finansowego, np. w art. 179 ustawy o obrocie instrumentami finansowymi. Penalizacja złamania obowiązku zachowania tajemnicy zawodowej jest niezbędna, z uwagi na istotę informacji ob</w:t>
      </w:r>
      <w:r w:rsidRPr="00813A5E">
        <w:rPr>
          <w:rFonts w:ascii="Times New Roman" w:hAnsi="Times New Roman" w:cs="Times New Roman"/>
          <w:sz w:val="24"/>
          <w:szCs w:val="24"/>
        </w:rPr>
        <w:t>jętych tą tajemnicą oraz potencjalne niepożądane skutki, jakie ujawnienie lub wykorzystanie takich informacji może powodować.</w:t>
      </w:r>
    </w:p>
    <w:p w14:paraId="647DA45D" w14:textId="29229637" w:rsidR="00C21D4B" w:rsidRPr="00546E53"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sz w:val="24"/>
          <w:szCs w:val="24"/>
        </w:rPr>
        <w:t xml:space="preserve">Zgodnie z </w:t>
      </w:r>
      <w:r w:rsidRPr="00866C87">
        <w:rPr>
          <w:rFonts w:ascii="Times New Roman" w:hAnsi="Times New Roman" w:cs="Times New Roman"/>
          <w:b/>
          <w:bCs/>
          <w:sz w:val="24"/>
          <w:szCs w:val="24"/>
        </w:rPr>
        <w:t>art. 12</w:t>
      </w:r>
      <w:r w:rsidR="006E3B30">
        <w:rPr>
          <w:rFonts w:ascii="Times New Roman" w:hAnsi="Times New Roman" w:cs="Times New Roman"/>
          <w:b/>
          <w:bCs/>
          <w:sz w:val="24"/>
          <w:szCs w:val="24"/>
        </w:rPr>
        <w:t>4</w:t>
      </w:r>
      <w:r w:rsidRPr="00813A5E">
        <w:rPr>
          <w:rFonts w:ascii="Times New Roman" w:hAnsi="Times New Roman" w:cs="Times New Roman"/>
          <w:sz w:val="24"/>
          <w:szCs w:val="24"/>
        </w:rPr>
        <w:t xml:space="preserve"> kto, nie będąc do tego uprawnionym, używa w firmie (nazwie), nazwie handlowej, reklamie, informacji reklamowej lub do określenia wykonywanej przez siebie działalności gospodarczej określeń wskazujących, że jest dostawcą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lub określeń mogących wprowadzać w tym względzie w błąd klientów, inwestorów lub uczestników rynku, podlega grzywnie do 1 000 000 zł albo karze pozbawienia wolności do lat 2, albo obu tym karom łącznie. Tej samej karze podlega, kto dopuszcza się ww. czynów, działając w imieniu lub w interesie osoby prawnej lub jednostki organizacyjnej nieposiadającej osobowości prawnej.</w:t>
      </w:r>
      <w:r w:rsidRPr="00813A5E">
        <w:t xml:space="preserve"> </w:t>
      </w:r>
      <w:r w:rsidRPr="00813A5E">
        <w:rPr>
          <w:rFonts w:ascii="Times New Roman" w:hAnsi="Times New Roman" w:cs="Times New Roman"/>
          <w:sz w:val="24"/>
          <w:szCs w:val="24"/>
        </w:rPr>
        <w:t xml:space="preserve">Podobne przepisy znajdują się w innych ustawach sektorowych rynku finansowego. Usankcjonowanie wskazanego </w:t>
      </w:r>
      <w:r w:rsidRPr="00866C87">
        <w:rPr>
          <w:rFonts w:ascii="Times New Roman" w:hAnsi="Times New Roman" w:cs="Times New Roman"/>
          <w:sz w:val="24"/>
          <w:szCs w:val="24"/>
        </w:rPr>
        <w:t xml:space="preserve">czynu jest zasadne, gdyż używanie nazwy oraz stosowanie określeń wskazujących, że dany podmiot jest dostawcą usług w zakresie </w:t>
      </w:r>
      <w:proofErr w:type="spellStart"/>
      <w:r w:rsidRPr="00866C87">
        <w:rPr>
          <w:rFonts w:ascii="Times New Roman" w:hAnsi="Times New Roman" w:cs="Times New Roman"/>
          <w:sz w:val="24"/>
          <w:szCs w:val="24"/>
        </w:rPr>
        <w:t>kryptoaktywów</w:t>
      </w:r>
      <w:proofErr w:type="spellEnd"/>
      <w:r w:rsidRPr="00866C87">
        <w:rPr>
          <w:rFonts w:ascii="Times New Roman" w:hAnsi="Times New Roman" w:cs="Times New Roman"/>
          <w:sz w:val="24"/>
          <w:szCs w:val="24"/>
        </w:rPr>
        <w:t xml:space="preserve"> może wprowadzać w błąd uczestników rynku finansowego, co może prowadzić do negatywnych dla nich skutków, jak np. utrata zainwestowanych środków w instytucji nienadzorowanej.</w:t>
      </w:r>
    </w:p>
    <w:p w14:paraId="431770F5" w14:textId="2EE98928" w:rsidR="00C21D4B" w:rsidRPr="00EB10D2" w:rsidRDefault="00C21D4B" w:rsidP="00695ECE">
      <w:pPr>
        <w:pStyle w:val="Akapitzlist"/>
        <w:spacing w:line="360" w:lineRule="auto"/>
        <w:jc w:val="both"/>
        <w:rPr>
          <w:rFonts w:ascii="Times New Roman" w:hAnsi="Times New Roman" w:cs="Times New Roman"/>
          <w:b/>
          <w:bCs/>
          <w:sz w:val="24"/>
          <w:szCs w:val="24"/>
        </w:rPr>
      </w:pPr>
      <w:r w:rsidRPr="004E3AEF">
        <w:rPr>
          <w:rFonts w:ascii="Times New Roman" w:hAnsi="Times New Roman" w:cs="Times New Roman"/>
          <w:b/>
          <w:bCs/>
          <w:sz w:val="24"/>
          <w:szCs w:val="24"/>
        </w:rPr>
        <w:t>Art. 12</w:t>
      </w:r>
      <w:r w:rsidR="006E3B30">
        <w:rPr>
          <w:rFonts w:ascii="Times New Roman" w:hAnsi="Times New Roman" w:cs="Times New Roman"/>
          <w:b/>
          <w:bCs/>
          <w:sz w:val="24"/>
          <w:szCs w:val="24"/>
        </w:rPr>
        <w:t>5</w:t>
      </w:r>
      <w:r w:rsidRPr="004E3AEF">
        <w:rPr>
          <w:rFonts w:ascii="Times New Roman" w:hAnsi="Times New Roman" w:cs="Times New Roman"/>
          <w:sz w:val="24"/>
          <w:szCs w:val="24"/>
        </w:rPr>
        <w:t xml:space="preserve"> stanowi, że karze grzywny, ograniczenia wolności albo pozbawienia wolności do lat 2 podlega kto nie udziela informacji lub wyjaśnień, a także nie sporządza lub nie przekazuje kopii dokumentów i innych nośników informacji, o których mowa w art. 3</w:t>
      </w:r>
      <w:r>
        <w:rPr>
          <w:rFonts w:ascii="Times New Roman" w:hAnsi="Times New Roman" w:cs="Times New Roman"/>
          <w:sz w:val="24"/>
          <w:szCs w:val="24"/>
        </w:rPr>
        <w:t>8</w:t>
      </w:r>
      <w:r w:rsidRPr="004E3AEF">
        <w:rPr>
          <w:rFonts w:ascii="Times New Roman" w:hAnsi="Times New Roman" w:cs="Times New Roman"/>
          <w:sz w:val="24"/>
          <w:szCs w:val="24"/>
        </w:rPr>
        <w:t xml:space="preserve"> ust. 1</w:t>
      </w:r>
      <w:r>
        <w:rPr>
          <w:rFonts w:ascii="Times New Roman" w:hAnsi="Times New Roman" w:cs="Times New Roman"/>
          <w:sz w:val="24"/>
          <w:szCs w:val="24"/>
        </w:rPr>
        <w:t xml:space="preserve"> lub</w:t>
      </w:r>
      <w:r w:rsidRPr="004E3AEF">
        <w:rPr>
          <w:rFonts w:ascii="Times New Roman" w:hAnsi="Times New Roman" w:cs="Times New Roman"/>
          <w:sz w:val="24"/>
          <w:szCs w:val="24"/>
        </w:rPr>
        <w:t xml:space="preserve"> 2</w:t>
      </w:r>
      <w:r>
        <w:rPr>
          <w:rFonts w:ascii="Times New Roman" w:hAnsi="Times New Roman" w:cs="Times New Roman"/>
          <w:sz w:val="24"/>
          <w:szCs w:val="24"/>
        </w:rPr>
        <w:t>,</w:t>
      </w:r>
      <w:r w:rsidRPr="004E3AEF">
        <w:rPr>
          <w:rFonts w:ascii="Times New Roman" w:hAnsi="Times New Roman" w:cs="Times New Roman"/>
          <w:sz w:val="24"/>
          <w:szCs w:val="24"/>
        </w:rPr>
        <w:t xml:space="preserve"> </w:t>
      </w:r>
      <w:r>
        <w:rPr>
          <w:rFonts w:ascii="Times New Roman" w:hAnsi="Times New Roman" w:cs="Times New Roman"/>
          <w:sz w:val="24"/>
          <w:szCs w:val="24"/>
        </w:rPr>
        <w:t xml:space="preserve">lub 3 </w:t>
      </w:r>
      <w:r w:rsidRPr="004E3AEF">
        <w:rPr>
          <w:rFonts w:ascii="Times New Roman" w:hAnsi="Times New Roman" w:cs="Times New Roman"/>
          <w:sz w:val="24"/>
          <w:szCs w:val="24"/>
        </w:rPr>
        <w:t>projektu ustawy</w:t>
      </w:r>
      <w:r>
        <w:rPr>
          <w:rFonts w:ascii="Times New Roman" w:hAnsi="Times New Roman" w:cs="Times New Roman"/>
          <w:sz w:val="24"/>
          <w:szCs w:val="24"/>
        </w:rPr>
        <w:t xml:space="preserve"> lub wykonuje te obowiązki nienależycie</w:t>
      </w:r>
      <w:r w:rsidRPr="004E3AEF">
        <w:rPr>
          <w:rFonts w:ascii="Times New Roman" w:hAnsi="Times New Roman" w:cs="Times New Roman"/>
          <w:sz w:val="24"/>
          <w:szCs w:val="24"/>
        </w:rPr>
        <w:t>.</w:t>
      </w:r>
      <w:r w:rsidRPr="00866C87">
        <w:t xml:space="preserve"> </w:t>
      </w:r>
      <w:r w:rsidRPr="004E3AEF">
        <w:rPr>
          <w:rFonts w:ascii="Times New Roman" w:hAnsi="Times New Roman" w:cs="Times New Roman"/>
          <w:sz w:val="24"/>
          <w:szCs w:val="24"/>
        </w:rPr>
        <w:t xml:space="preserve">Należy wskazać, że niewykonanie obowiązku, o którym mowa w </w:t>
      </w:r>
      <w:r>
        <w:rPr>
          <w:rFonts w:ascii="Times New Roman" w:hAnsi="Times New Roman" w:cs="Times New Roman"/>
          <w:sz w:val="24"/>
          <w:szCs w:val="24"/>
        </w:rPr>
        <w:t xml:space="preserve">tym przepisie </w:t>
      </w:r>
      <w:r w:rsidRPr="00793FB3">
        <w:rPr>
          <w:rFonts w:ascii="Times New Roman" w:hAnsi="Times New Roman" w:cs="Times New Roman"/>
          <w:sz w:val="24"/>
          <w:szCs w:val="24"/>
        </w:rPr>
        <w:t xml:space="preserve">projektu ustawy, będzie polegało na nieudzieleniu wymaganych informacji lub wyjaśnień w ogóle lub niesporządzeniu lub nieprzekazaniu kopii dokumentów i innych nośników informacji. Natomiast nienależyte wykonanie obowiązku, o którym mowa w ww. przepisie, może polegać na wypełnieniu go w sposób niepełny, nieprawidłowy, obstrukcyjny, nieterminowy, np. przekazanie tylko części żądanych dokumentów, przekazanie ich ze znacznym opóźnieniem mimo braku obiektywnych przeszkód do przekazania ich niezwłocznie. </w:t>
      </w:r>
      <w:r w:rsidRPr="004E3AEF">
        <w:rPr>
          <w:rFonts w:ascii="Times New Roman" w:hAnsi="Times New Roman" w:cs="Times New Roman"/>
          <w:sz w:val="24"/>
          <w:szCs w:val="24"/>
        </w:rPr>
        <w:t>Jest to przepis, który stanowi środek</w:t>
      </w:r>
      <w:r w:rsidRPr="00EB10D2">
        <w:rPr>
          <w:rFonts w:ascii="Times New Roman" w:hAnsi="Times New Roman" w:cs="Times New Roman"/>
          <w:sz w:val="24"/>
          <w:szCs w:val="24"/>
        </w:rPr>
        <w:t xml:space="preserve"> pozwalający zapewnić skuteczne sprawowanie nadzoru. Podobne przepisy znane są już na gruncie innych ustaw sektorowych (np. art. 102 ustawy o ofercie publicznej penalizujący podobny czyn wynikający z podobnych obowiązków, jak te z art. 16 ust. 1 – por. 68 ustawy o ofercie publicznej </w:t>
      </w:r>
      <w:r>
        <w:rPr>
          <w:rFonts w:ascii="Times New Roman" w:hAnsi="Times New Roman" w:cs="Times New Roman"/>
          <w:sz w:val="24"/>
          <w:szCs w:val="24"/>
        </w:rPr>
        <w:t>−</w:t>
      </w:r>
      <w:r w:rsidRPr="00EB10D2">
        <w:rPr>
          <w:rFonts w:ascii="Times New Roman" w:hAnsi="Times New Roman" w:cs="Times New Roman"/>
          <w:sz w:val="24"/>
          <w:szCs w:val="24"/>
        </w:rPr>
        <w:t xml:space="preserve"> i przewidujący takie same kary). Utrudnianie lub udaremnianie przeprowadzenia czynności w postępowaniu wyjaśniający</w:t>
      </w:r>
      <w:r w:rsidRPr="004E3AEF">
        <w:rPr>
          <w:rFonts w:ascii="Times New Roman" w:hAnsi="Times New Roman" w:cs="Times New Roman"/>
          <w:sz w:val="24"/>
          <w:szCs w:val="24"/>
        </w:rPr>
        <w:t>m jest penalizowane z kolei przez art. 20a ustawy o nadzorze nad rynkiem finansowym, w którym to przepisie przewidziano dokładnie takie same kary. Przestępstwa te są przestępstwami umyślnymi, do ich zaistnienia konieczne jest wykazanie winy umyślnej sprawcy, a więc odpowiedzialność karna nie będzie dotyczyć braku współpracy z organem nadzoru wynikającej z obiektywnych przyczyn np. z niemożności przedstawienia dokumentów i nośników informacji lub udzielenia wyjaśnień z powodów losowych.</w:t>
      </w:r>
    </w:p>
    <w:p w14:paraId="75554A6E" w14:textId="5B60EFC8" w:rsidR="00C21D4B" w:rsidRPr="00546E53"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12</w:t>
      </w:r>
      <w:r w:rsidR="006E3B30">
        <w:rPr>
          <w:rFonts w:ascii="Times New Roman" w:hAnsi="Times New Roman" w:cs="Times New Roman"/>
          <w:b/>
          <w:bCs/>
          <w:sz w:val="24"/>
          <w:szCs w:val="24"/>
        </w:rPr>
        <w:t>6</w:t>
      </w:r>
      <w:r w:rsidRPr="00813A5E">
        <w:rPr>
          <w:rFonts w:ascii="Times New Roman" w:hAnsi="Times New Roman" w:cs="Times New Roman"/>
          <w:b/>
          <w:bCs/>
          <w:sz w:val="24"/>
          <w:szCs w:val="24"/>
        </w:rPr>
        <w:t xml:space="preserve"> </w:t>
      </w:r>
      <w:r w:rsidRPr="00813A5E">
        <w:rPr>
          <w:rFonts w:ascii="Times New Roman" w:hAnsi="Times New Roman" w:cs="Times New Roman"/>
          <w:sz w:val="24"/>
          <w:szCs w:val="24"/>
        </w:rPr>
        <w:t xml:space="preserve">stanowi, że grzywnie do 1 000 000 </w:t>
      </w:r>
      <w:r w:rsidRPr="0042105E">
        <w:rPr>
          <w:rFonts w:ascii="Times New Roman" w:hAnsi="Times New Roman" w:cs="Times New Roman"/>
          <w:sz w:val="24"/>
          <w:szCs w:val="24"/>
        </w:rPr>
        <w:t>zł</w:t>
      </w:r>
      <w:r w:rsidRPr="00813A5E">
        <w:rPr>
          <w:rFonts w:ascii="Times New Roman" w:hAnsi="Times New Roman" w:cs="Times New Roman"/>
          <w:sz w:val="24"/>
          <w:szCs w:val="24"/>
        </w:rPr>
        <w:t xml:space="preserve"> albo karze pozbawienia wolności do lat 3, albo obu tym karom łącznie podlega osoba, która działając w imieniu lub interesie dostawcy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nie dopełnia obowiązku dokonania blokady, o której mowa w art. 6</w:t>
      </w:r>
      <w:r w:rsidR="006E3B30">
        <w:rPr>
          <w:rFonts w:ascii="Times New Roman" w:hAnsi="Times New Roman" w:cs="Times New Roman"/>
          <w:sz w:val="24"/>
          <w:szCs w:val="24"/>
        </w:rPr>
        <w:t>3</w:t>
      </w:r>
      <w:r w:rsidRPr="00813A5E">
        <w:rPr>
          <w:rFonts w:ascii="Times New Roman" w:hAnsi="Times New Roman" w:cs="Times New Roman"/>
          <w:sz w:val="24"/>
          <w:szCs w:val="24"/>
        </w:rPr>
        <w:t xml:space="preserve"> ust. 1, lub przedłużenia blokady lub wstrzymania transakcji, o których mowa w art. 6</w:t>
      </w:r>
      <w:r w:rsidR="006E3B30">
        <w:rPr>
          <w:rFonts w:ascii="Times New Roman" w:hAnsi="Times New Roman" w:cs="Times New Roman"/>
          <w:sz w:val="24"/>
          <w:szCs w:val="24"/>
        </w:rPr>
        <w:t>4</w:t>
      </w:r>
      <w:r w:rsidRPr="00813A5E">
        <w:rPr>
          <w:rFonts w:ascii="Times New Roman" w:hAnsi="Times New Roman" w:cs="Times New Roman"/>
          <w:sz w:val="24"/>
          <w:szCs w:val="24"/>
        </w:rPr>
        <w:t xml:space="preserve"> ust. </w:t>
      </w:r>
      <w:r w:rsidR="006E3B30">
        <w:rPr>
          <w:rFonts w:ascii="Times New Roman" w:hAnsi="Times New Roman" w:cs="Times New Roman"/>
          <w:sz w:val="24"/>
          <w:szCs w:val="24"/>
        </w:rPr>
        <w:t>1</w:t>
      </w:r>
      <w:r w:rsidRPr="00813A5E">
        <w:rPr>
          <w:rFonts w:ascii="Times New Roman" w:hAnsi="Times New Roman" w:cs="Times New Roman"/>
          <w:sz w:val="24"/>
          <w:szCs w:val="24"/>
        </w:rPr>
        <w:t xml:space="preserve">. Wprowadzenie ww. kary podyktowane jest istotą dokonania blokady, która ma na celu zapobieżenie manipulacji lub usiłowaniu manipulacji na rynku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lub wykorzystaniu informacji poufnej.</w:t>
      </w:r>
    </w:p>
    <w:p w14:paraId="64155F96" w14:textId="30DBB53B" w:rsidR="00C21D4B"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12</w:t>
      </w:r>
      <w:r w:rsidR="006E3B30">
        <w:rPr>
          <w:rFonts w:ascii="Times New Roman" w:hAnsi="Times New Roman" w:cs="Times New Roman"/>
          <w:b/>
          <w:bCs/>
          <w:sz w:val="24"/>
          <w:szCs w:val="24"/>
        </w:rPr>
        <w:t>7</w:t>
      </w:r>
      <w:r w:rsidRPr="00813A5E">
        <w:rPr>
          <w:rFonts w:ascii="Times New Roman" w:hAnsi="Times New Roman" w:cs="Times New Roman"/>
          <w:sz w:val="24"/>
          <w:szCs w:val="24"/>
        </w:rPr>
        <w:t xml:space="preserve"> stanowi, że </w:t>
      </w:r>
      <w:r>
        <w:rPr>
          <w:rFonts w:ascii="Times New Roman" w:hAnsi="Times New Roman" w:cs="Times New Roman"/>
          <w:sz w:val="24"/>
          <w:szCs w:val="24"/>
        </w:rPr>
        <w:t xml:space="preserve">grzywnie </w:t>
      </w:r>
      <w:r w:rsidRPr="00813A5E">
        <w:rPr>
          <w:rFonts w:ascii="Times New Roman" w:hAnsi="Times New Roman" w:cs="Times New Roman"/>
          <w:sz w:val="24"/>
          <w:szCs w:val="24"/>
        </w:rPr>
        <w:t>do 500 000 zł, karze ograniczenia wolności albo pozbawienia wolności do lat 2 podlega ten, kto utrudnia lub udaremnia Komisji przeprowadzenie kontroli. Ust. 2 stanowi, że tej same karze podlega ten, kto dopuszcza się ww. czynu, działając w imieniu lub w interesie osoby prawnej lub jednostki organizacyjnej nieposiadającej osobowości prawnej.</w:t>
      </w:r>
    </w:p>
    <w:p w14:paraId="2300E0A0" w14:textId="2076568C" w:rsidR="00C21D4B" w:rsidRPr="004E3AEF" w:rsidRDefault="00C21D4B" w:rsidP="00695ECE">
      <w:pPr>
        <w:pStyle w:val="Akapitzlist"/>
        <w:spacing w:line="360" w:lineRule="auto"/>
        <w:jc w:val="both"/>
        <w:rPr>
          <w:rFonts w:ascii="Times New Roman" w:hAnsi="Times New Roman" w:cs="Times New Roman"/>
          <w:sz w:val="24"/>
          <w:szCs w:val="24"/>
        </w:rPr>
      </w:pPr>
      <w:r w:rsidRPr="004E3AEF">
        <w:rPr>
          <w:rFonts w:ascii="Times New Roman" w:hAnsi="Times New Roman" w:cs="Times New Roman"/>
          <w:sz w:val="24"/>
          <w:szCs w:val="24"/>
        </w:rPr>
        <w:t xml:space="preserve">Zgodnie z </w:t>
      </w:r>
      <w:r w:rsidRPr="004E3AEF">
        <w:rPr>
          <w:rFonts w:ascii="Times New Roman" w:hAnsi="Times New Roman" w:cs="Times New Roman"/>
          <w:b/>
          <w:bCs/>
          <w:sz w:val="24"/>
          <w:szCs w:val="24"/>
        </w:rPr>
        <w:t>art. 1</w:t>
      </w:r>
      <w:r w:rsidRPr="00EB10D2">
        <w:rPr>
          <w:rFonts w:ascii="Times New Roman" w:hAnsi="Times New Roman" w:cs="Times New Roman"/>
          <w:b/>
          <w:bCs/>
          <w:sz w:val="24"/>
          <w:szCs w:val="24"/>
        </w:rPr>
        <w:t>2</w:t>
      </w:r>
      <w:r w:rsidR="004D4416">
        <w:rPr>
          <w:rFonts w:ascii="Times New Roman" w:hAnsi="Times New Roman" w:cs="Times New Roman"/>
          <w:b/>
          <w:bCs/>
          <w:sz w:val="24"/>
          <w:szCs w:val="24"/>
        </w:rPr>
        <w:t>8</w:t>
      </w:r>
      <w:r w:rsidRPr="004E3AEF">
        <w:rPr>
          <w:rFonts w:ascii="Times New Roman" w:hAnsi="Times New Roman" w:cs="Times New Roman"/>
          <w:sz w:val="24"/>
          <w:szCs w:val="24"/>
        </w:rPr>
        <w:t xml:space="preserve"> karze aresztu, ograniczenia wolności albo grzywny podlega kto</w:t>
      </w:r>
      <w:r>
        <w:rPr>
          <w:rFonts w:ascii="Times New Roman" w:hAnsi="Times New Roman" w:cs="Times New Roman"/>
          <w:sz w:val="24"/>
          <w:szCs w:val="24"/>
        </w:rPr>
        <w:t>,</w:t>
      </w:r>
      <w:r w:rsidRPr="004E3AEF">
        <w:rPr>
          <w:rFonts w:ascii="Times New Roman" w:hAnsi="Times New Roman" w:cs="Times New Roman"/>
          <w:sz w:val="24"/>
          <w:szCs w:val="24"/>
        </w:rPr>
        <w:t xml:space="preserve"> działając w imieniu lub w interesie osoby prawnej lub jednostki organizacyjnej nieposiadającej osobowości prawnej wbrew obowiązkowi, o którym mowa w art. 7 ust. 1 projektowanej ustawy, nie przechowuje na trwałym nośniku dokumentacji związanej z prowadzeniem działalności związanej ze świadczeniem usług w zakresie </w:t>
      </w:r>
      <w:proofErr w:type="spellStart"/>
      <w:r w:rsidRPr="004E3AEF">
        <w:rPr>
          <w:rFonts w:ascii="Times New Roman" w:hAnsi="Times New Roman" w:cs="Times New Roman"/>
          <w:sz w:val="24"/>
          <w:szCs w:val="24"/>
        </w:rPr>
        <w:t>kryptoaktywów</w:t>
      </w:r>
      <w:proofErr w:type="spellEnd"/>
      <w:r w:rsidRPr="004E3AEF">
        <w:rPr>
          <w:rFonts w:ascii="Times New Roman" w:hAnsi="Times New Roman" w:cs="Times New Roman"/>
          <w:sz w:val="24"/>
          <w:szCs w:val="24"/>
        </w:rPr>
        <w:t>,</w:t>
      </w:r>
      <w:r w:rsidRPr="00813A5E">
        <w:t xml:space="preserve"> </w:t>
      </w:r>
      <w:r w:rsidRPr="004E3AEF">
        <w:rPr>
          <w:rFonts w:ascii="Times New Roman" w:hAnsi="Times New Roman" w:cs="Times New Roman"/>
          <w:sz w:val="24"/>
          <w:szCs w:val="24"/>
        </w:rPr>
        <w:t>oraz wbrew nakazowi, o którym mowa w</w:t>
      </w:r>
      <w:r w:rsidRPr="00EB10D2">
        <w:rPr>
          <w:rFonts w:ascii="Times New Roman" w:hAnsi="Times New Roman" w:cs="Times New Roman"/>
          <w:sz w:val="24"/>
          <w:szCs w:val="24"/>
        </w:rPr>
        <w:t xml:space="preserve"> art. 6 ust. </w:t>
      </w:r>
      <w:r w:rsidR="00691351">
        <w:rPr>
          <w:rFonts w:ascii="Times New Roman" w:hAnsi="Times New Roman" w:cs="Times New Roman"/>
          <w:sz w:val="24"/>
          <w:szCs w:val="24"/>
        </w:rPr>
        <w:t>5</w:t>
      </w:r>
      <w:r w:rsidRPr="00EB10D2">
        <w:rPr>
          <w:rFonts w:ascii="Times New Roman" w:hAnsi="Times New Roman" w:cs="Times New Roman"/>
          <w:sz w:val="24"/>
          <w:szCs w:val="24"/>
        </w:rPr>
        <w:t xml:space="preserve">projektowanej ustawy nie dokonuje przeniesienia na innego dostawcę usług w zakresie </w:t>
      </w:r>
      <w:proofErr w:type="spellStart"/>
      <w:r w:rsidRPr="00EB10D2">
        <w:rPr>
          <w:rFonts w:ascii="Times New Roman" w:hAnsi="Times New Roman" w:cs="Times New Roman"/>
          <w:sz w:val="24"/>
          <w:szCs w:val="24"/>
        </w:rPr>
        <w:t>kryptoaktywów</w:t>
      </w:r>
      <w:proofErr w:type="spellEnd"/>
      <w:r w:rsidRPr="00EB10D2">
        <w:rPr>
          <w:rFonts w:ascii="Times New Roman" w:hAnsi="Times New Roman" w:cs="Times New Roman"/>
          <w:sz w:val="24"/>
          <w:szCs w:val="24"/>
        </w:rPr>
        <w:t xml:space="preserve"> praw i obowiązków wynikających z umów zawartych z klientami</w:t>
      </w:r>
      <w:r w:rsidRPr="004E3AEF">
        <w:rPr>
          <w:rFonts w:ascii="Times New Roman" w:hAnsi="Times New Roman" w:cs="Times New Roman"/>
          <w:sz w:val="24"/>
          <w:szCs w:val="24"/>
        </w:rPr>
        <w:t>, jak również wbrew</w:t>
      </w:r>
      <w:r w:rsidRPr="00813A5E">
        <w:t xml:space="preserve"> </w:t>
      </w:r>
      <w:r w:rsidRPr="004E3AEF">
        <w:rPr>
          <w:rFonts w:ascii="Times New Roman" w:hAnsi="Times New Roman" w:cs="Times New Roman"/>
          <w:sz w:val="24"/>
          <w:szCs w:val="24"/>
        </w:rPr>
        <w:t>obowiązkowi, nie wydaje dokumentów, o których mowa w art. 6 ust.</w:t>
      </w:r>
      <w:r w:rsidRPr="00EB10D2">
        <w:rPr>
          <w:rFonts w:ascii="Times New Roman" w:hAnsi="Times New Roman" w:cs="Times New Roman"/>
          <w:sz w:val="24"/>
          <w:szCs w:val="24"/>
        </w:rPr>
        <w:t xml:space="preserve"> </w:t>
      </w:r>
      <w:r w:rsidR="00691351">
        <w:rPr>
          <w:rFonts w:ascii="Times New Roman" w:hAnsi="Times New Roman" w:cs="Times New Roman"/>
          <w:sz w:val="24"/>
          <w:szCs w:val="24"/>
        </w:rPr>
        <w:t>6</w:t>
      </w:r>
      <w:r w:rsidRPr="00EB10D2">
        <w:rPr>
          <w:rFonts w:ascii="Times New Roman" w:hAnsi="Times New Roman" w:cs="Times New Roman"/>
          <w:sz w:val="24"/>
          <w:szCs w:val="24"/>
        </w:rPr>
        <w:t xml:space="preserve"> projektowanej ustawy.</w:t>
      </w:r>
      <w:r w:rsidRPr="00813A5E">
        <w:t xml:space="preserve"> </w:t>
      </w:r>
      <w:r w:rsidRPr="004E3AEF">
        <w:rPr>
          <w:rFonts w:ascii="Times New Roman" w:hAnsi="Times New Roman" w:cs="Times New Roman"/>
          <w:sz w:val="24"/>
          <w:szCs w:val="24"/>
        </w:rPr>
        <w:t>Podobny przepis funkcjonuje już w ustawie o obrocie instrumentami finansowymi (art. 184 ust. 2).</w:t>
      </w:r>
      <w:r>
        <w:rPr>
          <w:rFonts w:ascii="Times New Roman" w:hAnsi="Times New Roman" w:cs="Times New Roman"/>
          <w:sz w:val="24"/>
          <w:szCs w:val="24"/>
        </w:rPr>
        <w:t xml:space="preserve"> Z </w:t>
      </w:r>
      <w:r w:rsidRPr="004E3AEF">
        <w:rPr>
          <w:rFonts w:ascii="Times New Roman" w:hAnsi="Times New Roman" w:cs="Times New Roman"/>
          <w:sz w:val="24"/>
          <w:szCs w:val="24"/>
        </w:rPr>
        <w:t>uwagi na możliwe problemy interpretacyjne co do charakteru czynów opisanych w art. 12</w:t>
      </w:r>
      <w:r w:rsidR="004D4416">
        <w:rPr>
          <w:rFonts w:ascii="Times New Roman" w:hAnsi="Times New Roman" w:cs="Times New Roman"/>
          <w:sz w:val="24"/>
          <w:szCs w:val="24"/>
        </w:rPr>
        <w:t>8</w:t>
      </w:r>
      <w:r w:rsidRPr="004E3AEF">
        <w:rPr>
          <w:rFonts w:ascii="Times New Roman" w:hAnsi="Times New Roman" w:cs="Times New Roman"/>
          <w:sz w:val="24"/>
          <w:szCs w:val="24"/>
        </w:rPr>
        <w:t xml:space="preserve"> </w:t>
      </w:r>
      <w:r w:rsidRPr="00EB10D2">
        <w:rPr>
          <w:rFonts w:ascii="Times New Roman" w:hAnsi="Times New Roman" w:cs="Times New Roman"/>
          <w:sz w:val="24"/>
          <w:szCs w:val="24"/>
        </w:rPr>
        <w:t>projektowanej ustawy</w:t>
      </w:r>
      <w:r w:rsidRPr="004E3AEF">
        <w:rPr>
          <w:rFonts w:ascii="Times New Roman" w:hAnsi="Times New Roman" w:cs="Times New Roman"/>
          <w:sz w:val="24"/>
          <w:szCs w:val="24"/>
        </w:rPr>
        <w:t xml:space="preserve">, </w:t>
      </w:r>
      <w:r>
        <w:rPr>
          <w:rFonts w:ascii="Times New Roman" w:hAnsi="Times New Roman" w:cs="Times New Roman"/>
          <w:sz w:val="24"/>
          <w:szCs w:val="24"/>
        </w:rPr>
        <w:t>proponuje się</w:t>
      </w:r>
      <w:r w:rsidRPr="004E3AEF">
        <w:rPr>
          <w:rFonts w:ascii="Times New Roman" w:hAnsi="Times New Roman" w:cs="Times New Roman"/>
          <w:sz w:val="24"/>
          <w:szCs w:val="24"/>
        </w:rPr>
        <w:t xml:space="preserve"> przepis wskazujący, że orzekanie w sprawach o czyny, o których mowa w art. 12</w:t>
      </w:r>
      <w:r w:rsidR="004D4416">
        <w:rPr>
          <w:rFonts w:ascii="Times New Roman" w:hAnsi="Times New Roman" w:cs="Times New Roman"/>
          <w:sz w:val="24"/>
          <w:szCs w:val="24"/>
        </w:rPr>
        <w:t>8</w:t>
      </w:r>
      <w:r w:rsidRPr="004E3AEF">
        <w:rPr>
          <w:rFonts w:ascii="Times New Roman" w:hAnsi="Times New Roman" w:cs="Times New Roman"/>
          <w:sz w:val="24"/>
          <w:szCs w:val="24"/>
        </w:rPr>
        <w:t xml:space="preserve">, następuje w trybie przepisów ustawy z dnia 24 sierpnia 2001 r. – Kodeks postępowania </w:t>
      </w:r>
      <w:r w:rsidR="00D92F69">
        <w:rPr>
          <w:rFonts w:ascii="Times New Roman" w:hAnsi="Times New Roman" w:cs="Times New Roman"/>
          <w:sz w:val="24"/>
          <w:szCs w:val="24"/>
        </w:rPr>
        <w:t>w sprawach o wykroczenia</w:t>
      </w:r>
      <w:r w:rsidRPr="004E3AEF">
        <w:rPr>
          <w:rFonts w:ascii="Times New Roman" w:hAnsi="Times New Roman" w:cs="Times New Roman"/>
          <w:sz w:val="24"/>
          <w:szCs w:val="24"/>
        </w:rPr>
        <w:t>.</w:t>
      </w:r>
    </w:p>
    <w:p w14:paraId="73B61983" w14:textId="73B8BBF8" w:rsidR="00C21D4B" w:rsidRPr="00813A5E"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12</w:t>
      </w:r>
      <w:r w:rsidR="004D4416">
        <w:rPr>
          <w:rFonts w:ascii="Times New Roman" w:hAnsi="Times New Roman" w:cs="Times New Roman"/>
          <w:b/>
          <w:bCs/>
          <w:sz w:val="24"/>
          <w:szCs w:val="24"/>
        </w:rPr>
        <w:t>9</w:t>
      </w:r>
      <w:r w:rsidRPr="00813A5E">
        <w:rPr>
          <w:rFonts w:ascii="Times New Roman" w:hAnsi="Times New Roman" w:cs="Times New Roman"/>
          <w:b/>
          <w:bCs/>
          <w:sz w:val="24"/>
          <w:szCs w:val="24"/>
        </w:rPr>
        <w:t>–15</w:t>
      </w:r>
      <w:r w:rsidR="004D4416">
        <w:rPr>
          <w:rFonts w:ascii="Times New Roman" w:hAnsi="Times New Roman" w:cs="Times New Roman"/>
          <w:b/>
          <w:bCs/>
          <w:sz w:val="24"/>
          <w:szCs w:val="24"/>
        </w:rPr>
        <w:t>7</w:t>
      </w:r>
      <w:r w:rsidRPr="00813A5E">
        <w:rPr>
          <w:rFonts w:ascii="Times New Roman" w:hAnsi="Times New Roman" w:cs="Times New Roman"/>
          <w:sz w:val="24"/>
          <w:szCs w:val="24"/>
        </w:rPr>
        <w:t xml:space="preserve"> zawierają zmiany aktów prawnych, które są konieczne do zapewnienia prawidłowego stosowania rozporządzenia 2023/1114 oraz niniejszej ustawy. Zmiany przewidziano w:</w:t>
      </w:r>
    </w:p>
    <w:p w14:paraId="2BFDAA0E" w14:textId="22B7A737" w:rsidR="00C21D4B"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8F1ACF">
        <w:rPr>
          <w:rFonts w:ascii="Times New Roman" w:eastAsiaTheme="minorEastAsia" w:hAnsi="Times New Roman" w:cs="Times New Roman"/>
          <w:sz w:val="24"/>
          <w:szCs w:val="24"/>
        </w:rPr>
        <w:t xml:space="preserve">ustawie z dnia 17 listopada 1964 r. </w:t>
      </w:r>
      <w:r>
        <w:rPr>
          <w:rFonts w:ascii="Times New Roman" w:eastAsiaTheme="minorEastAsia" w:hAnsi="Times New Roman" w:cs="Times New Roman"/>
          <w:sz w:val="24"/>
          <w:szCs w:val="24"/>
        </w:rPr>
        <w:t>–</w:t>
      </w:r>
      <w:r w:rsidRPr="008F1ACF">
        <w:rPr>
          <w:rFonts w:ascii="Times New Roman" w:eastAsiaTheme="minorEastAsia" w:hAnsi="Times New Roman" w:cs="Times New Roman"/>
          <w:sz w:val="24"/>
          <w:szCs w:val="24"/>
        </w:rPr>
        <w:t xml:space="preserve"> Kodeks post</w:t>
      </w:r>
      <w:r w:rsidR="00D92F69">
        <w:rPr>
          <w:rFonts w:ascii="Times New Roman" w:eastAsiaTheme="minorEastAsia" w:hAnsi="Times New Roman" w:cs="Times New Roman"/>
          <w:sz w:val="24"/>
          <w:szCs w:val="24"/>
        </w:rPr>
        <w:t>ępowania cywilnego</w:t>
      </w:r>
      <w:r>
        <w:rPr>
          <w:rFonts w:ascii="Times New Roman" w:eastAsiaTheme="minorEastAsia" w:hAnsi="Times New Roman" w:cs="Times New Roman"/>
          <w:sz w:val="24"/>
          <w:szCs w:val="24"/>
        </w:rPr>
        <w:t>;</w:t>
      </w:r>
    </w:p>
    <w:p w14:paraId="3D71B17B" w14:textId="4409FC08" w:rsidR="00C21D4B"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372D5A">
        <w:rPr>
          <w:rFonts w:ascii="Times New Roman" w:eastAsia="Times New Roman" w:hAnsi="Times New Roman" w:cs="Arial"/>
          <w:sz w:val="24"/>
          <w:szCs w:val="20"/>
          <w:lang w:eastAsia="pl-PL"/>
        </w:rPr>
        <w:t>ustawie</w:t>
      </w:r>
      <w:r w:rsidRPr="00372D5A">
        <w:rPr>
          <w:rFonts w:ascii="Times New Roman" w:eastAsia="Times New Roman" w:hAnsi="Times New Roman" w:cs="Arial"/>
          <w:b/>
          <w:sz w:val="24"/>
          <w:szCs w:val="20"/>
          <w:lang w:eastAsia="pl-PL"/>
        </w:rPr>
        <w:t xml:space="preserve"> </w:t>
      </w:r>
      <w:r w:rsidRPr="00372D5A">
        <w:rPr>
          <w:rFonts w:ascii="Times New Roman" w:eastAsia="Times New Roman" w:hAnsi="Times New Roman" w:cs="Arial"/>
          <w:sz w:val="24"/>
          <w:szCs w:val="20"/>
          <w:lang w:eastAsia="pl-PL"/>
        </w:rPr>
        <w:t>z dnia 17 czerwca 1966 r. o postępowaniu egzekucyjnym w administ</w:t>
      </w:r>
      <w:r w:rsidR="00D92F69">
        <w:rPr>
          <w:rFonts w:ascii="Times New Roman" w:eastAsia="Times New Roman" w:hAnsi="Times New Roman" w:cs="Arial"/>
          <w:sz w:val="24"/>
          <w:szCs w:val="20"/>
          <w:lang w:eastAsia="pl-PL"/>
        </w:rPr>
        <w:t>racji</w:t>
      </w:r>
      <w:r>
        <w:rPr>
          <w:rFonts w:ascii="Times New Roman" w:eastAsia="Times New Roman" w:hAnsi="Times New Roman" w:cs="Arial"/>
          <w:sz w:val="24"/>
          <w:szCs w:val="20"/>
          <w:lang w:eastAsia="pl-PL"/>
        </w:rPr>
        <w:t>;</w:t>
      </w:r>
    </w:p>
    <w:p w14:paraId="4DB27FB8" w14:textId="78D8BFC8" w:rsidR="00C21D4B" w:rsidRPr="00EC2337"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6 kwietnia 1990 r</w:t>
      </w:r>
      <w:r w:rsidRPr="00A859E5">
        <w:rPr>
          <w:rFonts w:ascii="Times New Roman" w:eastAsiaTheme="minorEastAsia" w:hAnsi="Times New Roman" w:cs="Times New Roman"/>
          <w:sz w:val="24"/>
          <w:szCs w:val="24"/>
        </w:rPr>
        <w:t>. o Policji</w:t>
      </w:r>
      <w:r>
        <w:rPr>
          <w:rFonts w:ascii="Times New Roman" w:hAnsi="Times New Roman" w:cs="Times New Roman"/>
          <w:sz w:val="24"/>
          <w:szCs w:val="24"/>
        </w:rPr>
        <w:t>, zwanej dalej „ustawą o Policji”</w:t>
      </w:r>
      <w:r w:rsidRPr="00A859E5">
        <w:rPr>
          <w:rFonts w:ascii="Times New Roman" w:eastAsiaTheme="minorEastAsia" w:hAnsi="Times New Roman" w:cs="Times New Roman"/>
          <w:sz w:val="24"/>
          <w:szCs w:val="24"/>
        </w:rPr>
        <w:t>;</w:t>
      </w:r>
    </w:p>
    <w:p w14:paraId="53DA8CFC" w14:textId="2424CE91"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12 października 1990 r. o Straży Graniczn</w:t>
      </w:r>
      <w:r w:rsidR="00D92F69">
        <w:rPr>
          <w:rFonts w:ascii="Times New Roman" w:eastAsiaTheme="minorEastAsia" w:hAnsi="Times New Roman" w:cs="Times New Roman"/>
          <w:sz w:val="24"/>
          <w:szCs w:val="24"/>
        </w:rPr>
        <w:t>ej</w:t>
      </w:r>
      <w:r>
        <w:rPr>
          <w:rFonts w:ascii="Times New Roman" w:eastAsiaTheme="minorEastAsia" w:hAnsi="Times New Roman" w:cs="Times New Roman"/>
          <w:sz w:val="24"/>
          <w:szCs w:val="24"/>
        </w:rPr>
        <w:t>, zwanej dalej „ustawą o Straży Granicznej”</w:t>
      </w:r>
      <w:r w:rsidRPr="00486C63">
        <w:rPr>
          <w:rFonts w:ascii="Times New Roman" w:eastAsiaTheme="minorEastAsia" w:hAnsi="Times New Roman" w:cs="Times New Roman"/>
          <w:sz w:val="24"/>
          <w:szCs w:val="24"/>
        </w:rPr>
        <w:t>;</w:t>
      </w:r>
    </w:p>
    <w:p w14:paraId="025F82E8" w14:textId="38D004E5"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z dnia 26 lipca 1991 r. o podatku dochod</w:t>
      </w:r>
      <w:r w:rsidR="00D92F69">
        <w:rPr>
          <w:rFonts w:ascii="Times New Roman" w:eastAsiaTheme="minorEastAsia" w:hAnsi="Times New Roman" w:cs="Times New Roman"/>
          <w:sz w:val="24"/>
          <w:szCs w:val="24"/>
        </w:rPr>
        <w:t>owym od osób fizycznych</w:t>
      </w:r>
      <w:r>
        <w:rPr>
          <w:rFonts w:ascii="Times New Roman" w:eastAsiaTheme="minorEastAsia" w:hAnsi="Times New Roman" w:cs="Times New Roman"/>
          <w:sz w:val="24"/>
          <w:szCs w:val="24"/>
        </w:rPr>
        <w:t>, zwanej dalej „ustawą PIT”</w:t>
      </w:r>
      <w:r w:rsidRPr="00486C63">
        <w:rPr>
          <w:rFonts w:ascii="Times New Roman" w:eastAsiaTheme="minorEastAsia" w:hAnsi="Times New Roman" w:cs="Times New Roman"/>
          <w:sz w:val="24"/>
          <w:szCs w:val="24"/>
        </w:rPr>
        <w:t xml:space="preserve">; </w:t>
      </w:r>
    </w:p>
    <w:p w14:paraId="252DAC37" w14:textId="54B4B501"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15 lutego 1992 r. o podatku dochodowym od osób prawnych</w:t>
      </w:r>
      <w:r>
        <w:rPr>
          <w:rFonts w:ascii="Times New Roman" w:eastAsiaTheme="minorEastAsia" w:hAnsi="Times New Roman" w:cs="Times New Roman"/>
          <w:sz w:val="24"/>
          <w:szCs w:val="24"/>
        </w:rPr>
        <w:t>, zwanej dalej „ustawą CIT”</w:t>
      </w:r>
      <w:r w:rsidRPr="00486C63">
        <w:rPr>
          <w:rFonts w:ascii="Times New Roman" w:eastAsiaTheme="minorEastAsia" w:hAnsi="Times New Roman" w:cs="Times New Roman"/>
          <w:sz w:val="24"/>
          <w:szCs w:val="24"/>
        </w:rPr>
        <w:t>;</w:t>
      </w:r>
    </w:p>
    <w:p w14:paraId="64347AB8" w14:textId="52E4A22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29 września 19</w:t>
      </w:r>
      <w:r w:rsidR="00D92F69">
        <w:rPr>
          <w:rFonts w:ascii="Times New Roman" w:eastAsiaTheme="minorEastAsia" w:hAnsi="Times New Roman" w:cs="Times New Roman"/>
          <w:sz w:val="24"/>
          <w:szCs w:val="24"/>
        </w:rPr>
        <w:t>94 r. o rachunkowości</w:t>
      </w:r>
      <w:r w:rsidRPr="00486C63">
        <w:rPr>
          <w:rFonts w:ascii="Times New Roman" w:eastAsiaTheme="minorEastAsia" w:hAnsi="Times New Roman" w:cs="Times New Roman"/>
          <w:sz w:val="24"/>
          <w:szCs w:val="24"/>
        </w:rPr>
        <w:t>;</w:t>
      </w:r>
    </w:p>
    <w:p w14:paraId="4C54D34A" w14:textId="2EF3A6BA"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z dnia 21 czerwca 1996 r. o szczególnych formach sprawowania nadzoru przez ministra właściwego do </w:t>
      </w:r>
      <w:r w:rsidR="00D92F69">
        <w:rPr>
          <w:rFonts w:ascii="Times New Roman" w:eastAsiaTheme="minorEastAsia" w:hAnsi="Times New Roman" w:cs="Times New Roman"/>
          <w:sz w:val="24"/>
          <w:szCs w:val="24"/>
        </w:rPr>
        <w:t>spraw wewnętrznych</w:t>
      </w:r>
      <w:r w:rsidRPr="00486C63">
        <w:rPr>
          <w:rFonts w:ascii="Times New Roman" w:eastAsiaTheme="minorEastAsia" w:hAnsi="Times New Roman" w:cs="Times New Roman"/>
          <w:sz w:val="24"/>
          <w:szCs w:val="24"/>
        </w:rPr>
        <w:t>;</w:t>
      </w:r>
    </w:p>
    <w:p w14:paraId="6D3A8DAE" w14:textId="33DDBC4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6 czerwca 1997 r. – Kod</w:t>
      </w:r>
      <w:r w:rsidR="00D92F69">
        <w:rPr>
          <w:rFonts w:ascii="Times New Roman" w:eastAsiaTheme="minorEastAsia" w:hAnsi="Times New Roman" w:cs="Times New Roman"/>
          <w:sz w:val="24"/>
          <w:szCs w:val="24"/>
        </w:rPr>
        <w:t>eks postępowania karnego</w:t>
      </w:r>
      <w:r w:rsidRPr="00486C63">
        <w:rPr>
          <w:rFonts w:ascii="Times New Roman" w:eastAsiaTheme="minorEastAsia" w:hAnsi="Times New Roman" w:cs="Times New Roman"/>
          <w:sz w:val="24"/>
          <w:szCs w:val="24"/>
        </w:rPr>
        <w:t>;</w:t>
      </w:r>
    </w:p>
    <w:p w14:paraId="7A5A3735"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 Prawo bankowe;</w:t>
      </w:r>
    </w:p>
    <w:p w14:paraId="7204D4C7" w14:textId="78A263C1"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9 września 2000 r. o podatku od czynności cywilnopra</w:t>
      </w:r>
      <w:r w:rsidR="00D92F69">
        <w:rPr>
          <w:rFonts w:ascii="Times New Roman" w:eastAsiaTheme="minorEastAsia" w:hAnsi="Times New Roman" w:cs="Times New Roman"/>
          <w:sz w:val="24"/>
          <w:szCs w:val="24"/>
        </w:rPr>
        <w:t>wnych</w:t>
      </w:r>
      <w:r w:rsidRPr="00486C63">
        <w:rPr>
          <w:rFonts w:ascii="Times New Roman" w:eastAsiaTheme="minorEastAsia" w:hAnsi="Times New Roman" w:cs="Times New Roman"/>
          <w:sz w:val="24"/>
          <w:szCs w:val="24"/>
        </w:rPr>
        <w:t>;</w:t>
      </w:r>
    </w:p>
    <w:p w14:paraId="3E63BF1E" w14:textId="56FBEF3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7 grudnia 2000 r. o funkcjonowaniu banków spółdzielczych, ich zrzeszaniu się i b</w:t>
      </w:r>
      <w:r w:rsidR="00D92F69">
        <w:rPr>
          <w:rFonts w:ascii="Times New Roman" w:eastAsiaTheme="minorEastAsia" w:hAnsi="Times New Roman" w:cs="Times New Roman"/>
          <w:sz w:val="24"/>
          <w:szCs w:val="24"/>
        </w:rPr>
        <w:t>ankach zrzeszających</w:t>
      </w:r>
      <w:r w:rsidRPr="00486C63">
        <w:rPr>
          <w:rFonts w:ascii="Times New Roman" w:eastAsiaTheme="minorEastAsia" w:hAnsi="Times New Roman" w:cs="Times New Roman"/>
          <w:sz w:val="24"/>
          <w:szCs w:val="24"/>
        </w:rPr>
        <w:t>;</w:t>
      </w:r>
    </w:p>
    <w:p w14:paraId="13A7C03C" w14:textId="22AE560A"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24 sierpnia 2001 r. o Żandarmerii Wojskowej i wojskowych org</w:t>
      </w:r>
      <w:r w:rsidR="00D92F69">
        <w:rPr>
          <w:rFonts w:ascii="Times New Roman" w:eastAsiaTheme="minorEastAsia" w:hAnsi="Times New Roman" w:cs="Times New Roman"/>
          <w:sz w:val="24"/>
          <w:szCs w:val="24"/>
        </w:rPr>
        <w:t>anach porządkowych</w:t>
      </w:r>
      <w:r w:rsidRPr="00486C63">
        <w:rPr>
          <w:rFonts w:ascii="Times New Roman" w:eastAsiaTheme="minorEastAsia" w:hAnsi="Times New Roman" w:cs="Times New Roman"/>
          <w:sz w:val="24"/>
          <w:szCs w:val="24"/>
        </w:rPr>
        <w:t>;</w:t>
      </w:r>
    </w:p>
    <w:p w14:paraId="25868B93" w14:textId="66B11E5E" w:rsidR="00C21D4B"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24 maja 2002 r. o Agencji Bezpieczeństwa Wewnętrznego or</w:t>
      </w:r>
      <w:r w:rsidR="00D92F69">
        <w:rPr>
          <w:rFonts w:ascii="Times New Roman" w:eastAsiaTheme="minorEastAsia" w:hAnsi="Times New Roman" w:cs="Times New Roman"/>
          <w:sz w:val="24"/>
          <w:szCs w:val="24"/>
        </w:rPr>
        <w:t>az Agencji Wywiadu</w:t>
      </w:r>
      <w:r w:rsidRPr="00486C63">
        <w:rPr>
          <w:rFonts w:ascii="Times New Roman" w:eastAsiaTheme="minorEastAsia" w:hAnsi="Times New Roman" w:cs="Times New Roman"/>
          <w:sz w:val="24"/>
          <w:szCs w:val="24"/>
        </w:rPr>
        <w:t>;</w:t>
      </w:r>
    </w:p>
    <w:p w14:paraId="35A54EB6" w14:textId="00FCF8A5" w:rsidR="00C21D4B" w:rsidRPr="00414CA7"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14CA7">
        <w:rPr>
          <w:rFonts w:ascii="Times New Roman" w:eastAsiaTheme="minorEastAsia" w:hAnsi="Times New Roman" w:cs="Times New Roman"/>
          <w:sz w:val="24"/>
          <w:szCs w:val="24"/>
        </w:rPr>
        <w:t>ustawie z dnia 27 lipca 2002 r. – Prawo</w:t>
      </w:r>
      <w:r w:rsidR="00D92F69">
        <w:rPr>
          <w:rFonts w:ascii="Times New Roman" w:eastAsiaTheme="minorEastAsia" w:hAnsi="Times New Roman" w:cs="Times New Roman"/>
          <w:sz w:val="24"/>
          <w:szCs w:val="24"/>
        </w:rPr>
        <w:t xml:space="preserve"> dewizowe</w:t>
      </w:r>
      <w:r w:rsidRPr="00414CA7">
        <w:rPr>
          <w:rFonts w:ascii="Times New Roman" w:eastAsiaTheme="minorEastAsia" w:hAnsi="Times New Roman" w:cs="Times New Roman"/>
          <w:sz w:val="24"/>
          <w:szCs w:val="24"/>
        </w:rPr>
        <w:t>;</w:t>
      </w:r>
    </w:p>
    <w:p w14:paraId="21C95A76" w14:textId="7D554223" w:rsidR="00C21D4B"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8F1ACF">
        <w:rPr>
          <w:rFonts w:ascii="Times New Roman" w:eastAsiaTheme="minorEastAsia" w:hAnsi="Times New Roman" w:cs="Times New Roman"/>
          <w:sz w:val="24"/>
          <w:szCs w:val="24"/>
        </w:rPr>
        <w:t>ustawie z dnia 28 października 2002 r. o odpowiedzialności podmiotów zbiorowych za czyny zabronione pod gro</w:t>
      </w:r>
      <w:r w:rsidR="00D92F69">
        <w:rPr>
          <w:rFonts w:ascii="Times New Roman" w:eastAsiaTheme="minorEastAsia" w:hAnsi="Times New Roman" w:cs="Times New Roman"/>
          <w:sz w:val="24"/>
          <w:szCs w:val="24"/>
        </w:rPr>
        <w:t>źbą kary</w:t>
      </w:r>
      <w:r>
        <w:rPr>
          <w:rFonts w:ascii="Times New Roman" w:eastAsiaTheme="minorEastAsia" w:hAnsi="Times New Roman" w:cs="Times New Roman"/>
          <w:sz w:val="24"/>
          <w:szCs w:val="24"/>
        </w:rPr>
        <w:t>;</w:t>
      </w:r>
    </w:p>
    <w:p w14:paraId="44A01923" w14:textId="2A8374F3"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27 maja 2004 r. o funduszach inwestycyjnych i zarządzaniu alternatywnymi funduszami inwestycyj</w:t>
      </w:r>
      <w:r w:rsidR="00D92F69">
        <w:rPr>
          <w:rFonts w:ascii="Times New Roman" w:eastAsiaTheme="minorEastAsia" w:hAnsi="Times New Roman" w:cs="Times New Roman"/>
          <w:sz w:val="24"/>
          <w:szCs w:val="24"/>
        </w:rPr>
        <w:t>nymi</w:t>
      </w:r>
      <w:r w:rsidRPr="00486C63">
        <w:rPr>
          <w:rFonts w:ascii="Times New Roman" w:eastAsiaTheme="minorEastAsia" w:hAnsi="Times New Roman" w:cs="Times New Roman"/>
          <w:sz w:val="24"/>
          <w:szCs w:val="24"/>
        </w:rPr>
        <w:t>;</w:t>
      </w:r>
    </w:p>
    <w:p w14:paraId="4CF13D5D"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o nadzorze nad rynkiem kapitałowym</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w:t>
      </w:r>
    </w:p>
    <w:p w14:paraId="5DCBF6F8"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o obrocie instrumentami finansowymi;</w:t>
      </w:r>
    </w:p>
    <w:p w14:paraId="74CE6E4B" w14:textId="5E7B1A6A"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9 czerwca 2006 r. o Centralnym Biur</w:t>
      </w:r>
      <w:r w:rsidR="00D92F69">
        <w:rPr>
          <w:rFonts w:ascii="Times New Roman" w:eastAsiaTheme="minorEastAsia" w:hAnsi="Times New Roman" w:cs="Times New Roman"/>
          <w:sz w:val="24"/>
          <w:szCs w:val="24"/>
        </w:rPr>
        <w:t>ze Antykorupcyjnym</w:t>
      </w:r>
      <w:r w:rsidRPr="00486C63">
        <w:rPr>
          <w:rFonts w:ascii="Times New Roman" w:eastAsiaTheme="minorEastAsia" w:hAnsi="Times New Roman" w:cs="Times New Roman"/>
          <w:sz w:val="24"/>
          <w:szCs w:val="24"/>
        </w:rPr>
        <w:t>;</w:t>
      </w:r>
    </w:p>
    <w:p w14:paraId="2E6A2A29"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o nadzorze nad rynkiem finansowym; </w:t>
      </w:r>
    </w:p>
    <w:p w14:paraId="39E02490" w14:textId="775611F2"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sz w:val="24"/>
        </w:rPr>
        <w:t>ustawie z dnia z dnia 5 listopada 2009 r. o spółdzielczych kasach oszc</w:t>
      </w:r>
      <w:r w:rsidR="00D92F69">
        <w:rPr>
          <w:rFonts w:ascii="Times New Roman" w:eastAsiaTheme="minorEastAsia" w:hAnsi="Times New Roman"/>
          <w:sz w:val="24"/>
        </w:rPr>
        <w:t>zędnościowo-kredytowych</w:t>
      </w:r>
      <w:r w:rsidRPr="00486C63">
        <w:rPr>
          <w:rFonts w:ascii="Times New Roman" w:eastAsiaTheme="minorEastAsia" w:hAnsi="Times New Roman" w:cs="Times New Roman"/>
          <w:sz w:val="24"/>
          <w:szCs w:val="24"/>
        </w:rPr>
        <w:t>;</w:t>
      </w:r>
    </w:p>
    <w:p w14:paraId="66E76E98" w14:textId="4DF80C30"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19 sierpnia 2011 r. o us</w:t>
      </w:r>
      <w:r w:rsidR="00D92F69">
        <w:rPr>
          <w:rFonts w:ascii="Times New Roman" w:eastAsiaTheme="minorEastAsia" w:hAnsi="Times New Roman" w:cs="Times New Roman"/>
          <w:sz w:val="24"/>
          <w:szCs w:val="24"/>
        </w:rPr>
        <w:t>ługach płatniczych</w:t>
      </w:r>
      <w:r w:rsidRPr="00486C63">
        <w:rPr>
          <w:rFonts w:ascii="Times New Roman" w:eastAsiaTheme="minorEastAsia" w:hAnsi="Times New Roman" w:cs="Times New Roman"/>
          <w:sz w:val="24"/>
          <w:szCs w:val="24"/>
        </w:rPr>
        <w:t>;</w:t>
      </w:r>
    </w:p>
    <w:p w14:paraId="578AA598" w14:textId="4B676AB5"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bookmarkStart w:id="25" w:name="_Hlk168917037"/>
      <w:r w:rsidRPr="00486C63">
        <w:rPr>
          <w:rFonts w:ascii="Times New Roman" w:eastAsiaTheme="minorEastAsia" w:hAnsi="Times New Roman" w:cs="Times New Roman"/>
          <w:sz w:val="24"/>
          <w:szCs w:val="24"/>
        </w:rPr>
        <w:t>ustawie z dnia 30 maja 2014 r. o prawach konsumenta</w:t>
      </w:r>
      <w:bookmarkEnd w:id="25"/>
      <w:r w:rsidRPr="00486C63">
        <w:rPr>
          <w:rFonts w:ascii="Times New Roman" w:eastAsiaTheme="minorEastAsia" w:hAnsi="Times New Roman" w:cs="Times New Roman"/>
          <w:sz w:val="24"/>
          <w:szCs w:val="24"/>
        </w:rPr>
        <w:t>;</w:t>
      </w:r>
    </w:p>
    <w:p w14:paraId="7CFF9307" w14:textId="311D7C44"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bookmarkStart w:id="26" w:name="_Hlk168917002"/>
      <w:r w:rsidRPr="00486C63">
        <w:rPr>
          <w:rFonts w:ascii="Times New Roman" w:eastAsiaTheme="minorEastAsia" w:hAnsi="Times New Roman" w:cs="Times New Roman"/>
          <w:sz w:val="24"/>
          <w:szCs w:val="24"/>
        </w:rPr>
        <w:t>ustawie z dnia 15 maja 2015 r. − Prawo restrukturyzacyjne</w:t>
      </w:r>
      <w:bookmarkEnd w:id="26"/>
      <w:r w:rsidRPr="00486C63">
        <w:rPr>
          <w:rFonts w:ascii="Times New Roman" w:eastAsiaTheme="minorEastAsia" w:hAnsi="Times New Roman" w:cs="Times New Roman"/>
          <w:sz w:val="24"/>
          <w:szCs w:val="24"/>
        </w:rPr>
        <w:t>;</w:t>
      </w:r>
    </w:p>
    <w:p w14:paraId="73B87970" w14:textId="6E2B8B30"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bookmarkStart w:id="27" w:name="_Hlk168916911"/>
      <w:r w:rsidRPr="00486C63">
        <w:rPr>
          <w:rFonts w:ascii="Times New Roman" w:eastAsiaTheme="minorEastAsia" w:hAnsi="Times New Roman" w:cs="Times New Roman"/>
          <w:sz w:val="24"/>
          <w:szCs w:val="24"/>
        </w:rPr>
        <w:t>ustawie z dnia 5 sierpnia 2015 r. o rozpatrywaniu reklamacji przez podmioty rynku finansowego, o Rzeczniku Finansowym i o Funduszu Edukacji Finansowej</w:t>
      </w:r>
      <w:bookmarkEnd w:id="27"/>
      <w:r w:rsidRPr="00486C63">
        <w:rPr>
          <w:rFonts w:ascii="Times New Roman" w:eastAsiaTheme="minorEastAsia" w:hAnsi="Times New Roman" w:cs="Times New Roman"/>
          <w:sz w:val="24"/>
          <w:szCs w:val="24"/>
        </w:rPr>
        <w:t>;</w:t>
      </w:r>
    </w:p>
    <w:p w14:paraId="0717AE4F" w14:textId="658D0589"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16 listopada 2016 r. o Krajowej Admin</w:t>
      </w:r>
      <w:r w:rsidR="00D92F69">
        <w:rPr>
          <w:rFonts w:ascii="Times New Roman" w:eastAsiaTheme="minorEastAsia" w:hAnsi="Times New Roman" w:cs="Times New Roman"/>
          <w:sz w:val="24"/>
          <w:szCs w:val="24"/>
        </w:rPr>
        <w:t>istracji Skarbowej</w:t>
      </w:r>
      <w:r w:rsidRPr="00486C63">
        <w:rPr>
          <w:rFonts w:ascii="Times New Roman" w:eastAsiaTheme="minorEastAsia" w:hAnsi="Times New Roman" w:cs="Times New Roman"/>
          <w:sz w:val="24"/>
          <w:szCs w:val="24"/>
        </w:rPr>
        <w:t>;</w:t>
      </w:r>
    </w:p>
    <w:p w14:paraId="3286C07A"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11 maja 2017 r. o biegłych rewidentach, firmach audytorskich oraz nadzorze publicznym;</w:t>
      </w:r>
    </w:p>
    <w:p w14:paraId="7692CF80" w14:textId="77777777" w:rsidR="00C21D4B"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o przeciwdziałaniu praniu pieniędzy oraz finansowaniu terroryzmu.</w:t>
      </w:r>
    </w:p>
    <w:p w14:paraId="792F50C4" w14:textId="77777777" w:rsidR="00C21D4B" w:rsidRPr="00486C63" w:rsidRDefault="00C21D4B" w:rsidP="00695ECE">
      <w:pPr>
        <w:spacing w:line="360" w:lineRule="auto"/>
        <w:ind w:left="1788"/>
        <w:contextualSpacing/>
        <w:jc w:val="both"/>
        <w:rPr>
          <w:rFonts w:ascii="Times New Roman" w:eastAsiaTheme="minorEastAsia" w:hAnsi="Times New Roman" w:cs="Times New Roman"/>
          <w:sz w:val="24"/>
          <w:szCs w:val="24"/>
        </w:rPr>
      </w:pPr>
    </w:p>
    <w:p w14:paraId="273A655E" w14:textId="5D993288" w:rsidR="00C21D4B" w:rsidRDefault="00C21D4B" w:rsidP="00781E1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3</w:t>
      </w:r>
      <w:r w:rsidR="004D4416">
        <w:rPr>
          <w:rFonts w:ascii="Times New Roman" w:eastAsia="Times New Roman" w:hAnsi="Times New Roman" w:cs="Arial"/>
          <w:b/>
          <w:bCs/>
          <w:sz w:val="24"/>
          <w:szCs w:val="20"/>
          <w:lang w:eastAsia="pl-PL"/>
        </w:rPr>
        <w:t>1</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3</w:t>
      </w:r>
      <w:r w:rsidR="004D4416">
        <w:rPr>
          <w:rFonts w:ascii="Times New Roman" w:eastAsia="Times New Roman" w:hAnsi="Times New Roman" w:cs="Arial"/>
          <w:b/>
          <w:bCs/>
          <w:sz w:val="24"/>
          <w:szCs w:val="20"/>
          <w:lang w:eastAsia="pl-PL"/>
        </w:rPr>
        <w:t>2</w:t>
      </w:r>
      <w:r w:rsidRPr="00486C63">
        <w:rPr>
          <w:rFonts w:ascii="Times New Roman" w:eastAsia="Times New Roman" w:hAnsi="Times New Roman" w:cs="Arial"/>
          <w:b/>
          <w:bCs/>
          <w:sz w:val="24"/>
          <w:szCs w:val="20"/>
          <w:lang w:eastAsia="pl-PL"/>
        </w:rPr>
        <w:t>,</w:t>
      </w:r>
      <w:r w:rsidRPr="00486C63">
        <w:rPr>
          <w:rFonts w:ascii="Times New Roman" w:eastAsia="Times New Roman" w:hAnsi="Times New Roman" w:cs="Times New Roman"/>
          <w:b/>
          <w:bCs/>
          <w:sz w:val="24"/>
          <w:szCs w:val="20"/>
          <w:lang w:eastAsia="pl-PL"/>
        </w:rPr>
        <w:t xml:space="preserve"> </w:t>
      </w:r>
      <w:r>
        <w:rPr>
          <w:rFonts w:ascii="Times New Roman" w:eastAsia="Times New Roman" w:hAnsi="Times New Roman" w:cs="Times New Roman"/>
          <w:b/>
          <w:bCs/>
          <w:sz w:val="24"/>
          <w:szCs w:val="20"/>
          <w:lang w:eastAsia="pl-PL"/>
        </w:rPr>
        <w:t>art. 13</w:t>
      </w:r>
      <w:r w:rsidR="004D4416">
        <w:rPr>
          <w:rFonts w:ascii="Times New Roman" w:eastAsia="Times New Roman" w:hAnsi="Times New Roman" w:cs="Times New Roman"/>
          <w:b/>
          <w:bCs/>
          <w:sz w:val="24"/>
          <w:szCs w:val="20"/>
          <w:lang w:eastAsia="pl-PL"/>
        </w:rPr>
        <w:t>6</w:t>
      </w:r>
      <w:r>
        <w:rPr>
          <w:rFonts w:ascii="Times New Roman" w:eastAsia="Times New Roman" w:hAnsi="Times New Roman" w:cs="Times New Roman"/>
          <w:b/>
          <w:bCs/>
          <w:sz w:val="24"/>
          <w:szCs w:val="20"/>
          <w:lang w:eastAsia="pl-PL"/>
        </w:rPr>
        <w:t xml:space="preserve">, </w:t>
      </w:r>
      <w:r w:rsidRPr="00486C63">
        <w:rPr>
          <w:rFonts w:ascii="Times New Roman" w:eastAsia="Times New Roman" w:hAnsi="Times New Roman" w:cs="Times New Roman"/>
          <w:b/>
          <w:bCs/>
          <w:sz w:val="24"/>
          <w:szCs w:val="20"/>
          <w:lang w:eastAsia="pl-PL"/>
        </w:rPr>
        <w:t xml:space="preserve">art. </w:t>
      </w:r>
      <w:r w:rsidRPr="00486C63">
        <w:rPr>
          <w:rFonts w:ascii="Times New Roman" w:eastAsia="Times New Roman" w:hAnsi="Times New Roman" w:cs="Arial"/>
          <w:b/>
          <w:bCs/>
          <w:sz w:val="24"/>
          <w:szCs w:val="20"/>
          <w:lang w:eastAsia="pl-PL"/>
        </w:rPr>
        <w:t>1</w:t>
      </w:r>
      <w:r>
        <w:rPr>
          <w:rFonts w:ascii="Times New Roman" w:eastAsia="Times New Roman" w:hAnsi="Times New Roman" w:cs="Arial"/>
          <w:b/>
          <w:bCs/>
          <w:sz w:val="24"/>
          <w:szCs w:val="20"/>
          <w:lang w:eastAsia="pl-PL"/>
        </w:rPr>
        <w:t>4</w:t>
      </w:r>
      <w:r w:rsidR="004D4416">
        <w:rPr>
          <w:rFonts w:ascii="Times New Roman" w:eastAsia="Times New Roman" w:hAnsi="Times New Roman" w:cs="Arial"/>
          <w:b/>
          <w:bCs/>
          <w:sz w:val="24"/>
          <w:szCs w:val="20"/>
          <w:lang w:eastAsia="pl-PL"/>
        </w:rPr>
        <w:t>1</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4</w:t>
      </w:r>
      <w:r w:rsidR="004D4416">
        <w:rPr>
          <w:rFonts w:ascii="Times New Roman" w:eastAsia="Times New Roman" w:hAnsi="Times New Roman" w:cs="Arial"/>
          <w:b/>
          <w:bCs/>
          <w:sz w:val="24"/>
          <w:szCs w:val="20"/>
          <w:lang w:eastAsia="pl-PL"/>
        </w:rPr>
        <w:t>2</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4</w:t>
      </w:r>
      <w:r w:rsidR="004D4416">
        <w:rPr>
          <w:rFonts w:ascii="Times New Roman" w:eastAsia="Times New Roman" w:hAnsi="Times New Roman" w:cs="Arial"/>
          <w:b/>
          <w:bCs/>
          <w:sz w:val="24"/>
          <w:szCs w:val="20"/>
          <w:lang w:eastAsia="pl-PL"/>
        </w:rPr>
        <w:t>8</w:t>
      </w:r>
      <w:r w:rsidRPr="00486C63">
        <w:rPr>
          <w:rFonts w:ascii="Times New Roman" w:eastAsia="Times New Roman" w:hAnsi="Times New Roman" w:cs="Arial"/>
          <w:b/>
          <w:bCs/>
          <w:sz w:val="24"/>
          <w:szCs w:val="20"/>
          <w:lang w:eastAsia="pl-PL"/>
        </w:rPr>
        <w:t>, i art. 1</w:t>
      </w:r>
      <w:r>
        <w:rPr>
          <w:rFonts w:ascii="Times New Roman" w:eastAsia="Times New Roman" w:hAnsi="Times New Roman" w:cs="Arial"/>
          <w:b/>
          <w:bCs/>
          <w:sz w:val="24"/>
          <w:szCs w:val="20"/>
          <w:lang w:eastAsia="pl-PL"/>
        </w:rPr>
        <w:t>5</w:t>
      </w:r>
      <w:r w:rsidR="004D4416">
        <w:rPr>
          <w:rFonts w:ascii="Times New Roman" w:eastAsia="Times New Roman" w:hAnsi="Times New Roman" w:cs="Arial"/>
          <w:b/>
          <w:bCs/>
          <w:sz w:val="24"/>
          <w:szCs w:val="20"/>
          <w:lang w:eastAsia="pl-PL"/>
        </w:rPr>
        <w:t>5</w:t>
      </w:r>
      <w:r w:rsidRPr="00486C63">
        <w:rPr>
          <w:rFonts w:ascii="Times New Roman" w:eastAsia="Times New Roman" w:hAnsi="Times New Roman" w:cs="Arial"/>
          <w:sz w:val="24"/>
          <w:szCs w:val="20"/>
          <w:lang w:eastAsia="pl-PL"/>
        </w:rPr>
        <w:t xml:space="preserve"> wprowadzają zmiany odpowiednio w ustawie o Policji, ustawie o Straży Granicznej, </w:t>
      </w:r>
      <w:r w:rsidRPr="00486C63">
        <w:rPr>
          <w:rFonts w:ascii="Times New Roman" w:eastAsiaTheme="minorEastAsia" w:hAnsi="Times New Roman" w:cs="Times New Roman"/>
          <w:sz w:val="24"/>
          <w:szCs w:val="24"/>
        </w:rPr>
        <w:t xml:space="preserve">ustawie z dnia 21 czerwca 1996 r. o szczególnych formach sprawowania nadzoru przez ministra właściwego do spraw wewnętrznych, </w:t>
      </w:r>
      <w:r w:rsidRPr="00486C63">
        <w:rPr>
          <w:rFonts w:ascii="Times New Roman" w:eastAsia="Times New Roman" w:hAnsi="Times New Roman" w:cs="Arial"/>
          <w:sz w:val="24"/>
          <w:szCs w:val="20"/>
          <w:lang w:eastAsia="pl-PL"/>
        </w:rPr>
        <w:t>ustawie z dnia 24 sierpnia 2001 r. o Żandarmerii Wojskowej i wojskowych organach porządkowych, ustawie z dnia 24 maja 2002 r. o Agencji Bezpieczeństwa Wewnętrznego oraz Agencji Wywiadu, ustawie z dnia 9 czerwca 2006 r. o Centralnym Biurze Antykorupcyjnym,</w:t>
      </w:r>
      <w:r w:rsidRPr="00486C63">
        <w:rPr>
          <w:rFonts w:ascii="Times New Roman" w:eastAsiaTheme="minorEastAsia" w:hAnsi="Times New Roman" w:cs="Times New Roman"/>
          <w:sz w:val="24"/>
          <w:szCs w:val="24"/>
        </w:rPr>
        <w:t xml:space="preserve"> ustawie z dnia 16 listopada 2016 r. o Krajowej Administracji Skarbowej</w:t>
      </w:r>
      <w:r w:rsidRPr="00486C63">
        <w:rPr>
          <w:rFonts w:ascii="Times New Roman" w:eastAsia="Times New Roman" w:hAnsi="Times New Roman" w:cs="Arial"/>
          <w:sz w:val="24"/>
          <w:szCs w:val="20"/>
          <w:lang w:eastAsia="pl-PL"/>
        </w:rPr>
        <w:t xml:space="preserve">. Odpowiednikiem tego rodzaju regulacji, tj. w zakresie tajemnicy zawodowej, jest art. 20 ustawy o Policji, art. 11p ustawy z dnia 21 czerwca 1996 r. o szczególnych formach sprawowania nadzoru przez ministra właściwego do spraw wewnętrznych, art. 40b ustawy z dnia 24 sierpnia 2001 r. o Żandarmerii Wojskowej i wojskowych organach porządkowych, art. 34a ustawy z dnia 24 maja 2002 r. o Agencji Bezpieczeństwa Wewnętrznego oraz Agencji Wywiadu, art. 23 ustawy z dnia 9 czerwca 2006 r. o Centralnym Biurze Antykorupcyjnym oraz art. 127a ust. ustawy z dnia 16 listopada 2016 r. o Krajowej Administracji Skarbowej. Wobec powyższego zasadne jest, aby art. </w:t>
      </w:r>
      <w:r>
        <w:rPr>
          <w:rFonts w:ascii="Times New Roman" w:eastAsia="Times New Roman" w:hAnsi="Times New Roman" w:cs="Arial"/>
          <w:sz w:val="24"/>
          <w:szCs w:val="20"/>
          <w:lang w:eastAsia="pl-PL"/>
        </w:rPr>
        <w:t>20</w:t>
      </w:r>
      <w:r w:rsidRPr="00486C63">
        <w:rPr>
          <w:rFonts w:ascii="Times New Roman" w:eastAsia="Times New Roman" w:hAnsi="Times New Roman" w:cs="Arial"/>
          <w:sz w:val="24"/>
          <w:szCs w:val="20"/>
          <w:lang w:eastAsia="pl-PL"/>
        </w:rPr>
        <w:t xml:space="preserve"> i </w:t>
      </w:r>
      <w:r>
        <w:rPr>
          <w:rFonts w:ascii="Times New Roman" w:eastAsia="Times New Roman" w:hAnsi="Times New Roman" w:cs="Arial"/>
          <w:sz w:val="24"/>
          <w:szCs w:val="20"/>
          <w:lang w:eastAsia="pl-PL"/>
        </w:rPr>
        <w:t>21</w:t>
      </w:r>
      <w:r w:rsidRPr="00486C63">
        <w:rPr>
          <w:rFonts w:ascii="Times New Roman" w:eastAsia="Times New Roman" w:hAnsi="Times New Roman" w:cs="Arial"/>
          <w:sz w:val="24"/>
          <w:szCs w:val="20"/>
          <w:lang w:eastAsia="pl-PL"/>
        </w:rPr>
        <w:t xml:space="preserve"> projektu obejmował również obowiązek określony w analogicznych przepisach regulujących działalność Inspektora Nadzoru Wewnętrznego, Policji, Żandarmerii Wojskowej, Agencji Bezpieczeństwa Wewnętrznego, Centraln</w:t>
      </w:r>
      <w:r>
        <w:rPr>
          <w:rFonts w:ascii="Times New Roman" w:eastAsia="Times New Roman" w:hAnsi="Times New Roman" w:cs="Arial"/>
          <w:sz w:val="24"/>
          <w:szCs w:val="20"/>
          <w:lang w:eastAsia="pl-PL"/>
        </w:rPr>
        <w:t>ego</w:t>
      </w:r>
      <w:r w:rsidRPr="00486C63">
        <w:rPr>
          <w:rFonts w:ascii="Times New Roman" w:eastAsia="Times New Roman" w:hAnsi="Times New Roman" w:cs="Arial"/>
          <w:sz w:val="24"/>
          <w:szCs w:val="20"/>
          <w:lang w:eastAsia="pl-PL"/>
        </w:rPr>
        <w:t xml:space="preserve"> Biur</w:t>
      </w:r>
      <w:r>
        <w:rPr>
          <w:rFonts w:ascii="Times New Roman" w:eastAsia="Times New Roman" w:hAnsi="Times New Roman" w:cs="Arial"/>
          <w:sz w:val="24"/>
          <w:szCs w:val="20"/>
          <w:lang w:eastAsia="pl-PL"/>
        </w:rPr>
        <w:t>a</w:t>
      </w:r>
      <w:r w:rsidRPr="00486C63">
        <w:rPr>
          <w:rFonts w:ascii="Times New Roman" w:eastAsia="Times New Roman" w:hAnsi="Times New Roman" w:cs="Arial"/>
          <w:sz w:val="24"/>
          <w:szCs w:val="20"/>
          <w:lang w:eastAsia="pl-PL"/>
        </w:rPr>
        <w:t xml:space="preserve"> Antykorupcyjn</w:t>
      </w:r>
      <w:r>
        <w:rPr>
          <w:rFonts w:ascii="Times New Roman" w:eastAsia="Times New Roman" w:hAnsi="Times New Roman" w:cs="Arial"/>
          <w:sz w:val="24"/>
          <w:szCs w:val="20"/>
          <w:lang w:eastAsia="pl-PL"/>
        </w:rPr>
        <w:t>ego</w:t>
      </w:r>
      <w:r w:rsidRPr="00486C63">
        <w:rPr>
          <w:rFonts w:ascii="Times New Roman" w:eastAsia="Times New Roman" w:hAnsi="Times New Roman" w:cs="Arial"/>
          <w:sz w:val="24"/>
          <w:szCs w:val="20"/>
          <w:lang w:eastAsia="pl-PL"/>
        </w:rPr>
        <w:t xml:space="preserve"> i </w:t>
      </w:r>
      <w:r>
        <w:rPr>
          <w:rFonts w:ascii="Times New Roman" w:eastAsia="Times New Roman" w:hAnsi="Times New Roman" w:cs="Arial"/>
          <w:sz w:val="24"/>
          <w:szCs w:val="20"/>
          <w:lang w:eastAsia="pl-PL"/>
        </w:rPr>
        <w:t>Krajowej Administracji Skarbowej (</w:t>
      </w:r>
      <w:r w:rsidRPr="00486C63">
        <w:rPr>
          <w:rFonts w:ascii="Times New Roman" w:eastAsia="Times New Roman" w:hAnsi="Times New Roman" w:cs="Arial"/>
          <w:sz w:val="24"/>
          <w:szCs w:val="20"/>
          <w:lang w:eastAsia="pl-PL"/>
        </w:rPr>
        <w:t>KAS</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w:t>
      </w:r>
    </w:p>
    <w:p w14:paraId="064F8BDD" w14:textId="59347847" w:rsidR="00C21D4B" w:rsidRPr="006251E4" w:rsidRDefault="00C21D4B" w:rsidP="00781E1E">
      <w:pPr>
        <w:spacing w:line="360" w:lineRule="auto"/>
        <w:ind w:left="709"/>
        <w:contextualSpacing/>
        <w:jc w:val="both"/>
        <w:rPr>
          <w:rFonts w:ascii="Times New Roman" w:eastAsia="Times New Roman" w:hAnsi="Times New Roman" w:cs="Arial"/>
          <w:sz w:val="24"/>
          <w:szCs w:val="20"/>
          <w:lang w:eastAsia="pl-PL"/>
        </w:rPr>
      </w:pPr>
      <w:r w:rsidRPr="00546E53">
        <w:rPr>
          <w:rFonts w:ascii="Times New Roman" w:eastAsia="Times New Roman" w:hAnsi="Times New Roman" w:cs="Arial"/>
          <w:b/>
          <w:bCs/>
          <w:sz w:val="24"/>
          <w:szCs w:val="20"/>
          <w:lang w:eastAsia="pl-PL"/>
        </w:rPr>
        <w:t>Art. 12</w:t>
      </w:r>
      <w:r w:rsidR="001F704A">
        <w:rPr>
          <w:rFonts w:ascii="Times New Roman" w:eastAsia="Times New Roman" w:hAnsi="Times New Roman" w:cs="Arial"/>
          <w:b/>
          <w:bCs/>
          <w:sz w:val="24"/>
          <w:szCs w:val="20"/>
          <w:lang w:eastAsia="pl-PL"/>
        </w:rPr>
        <w:t>9</w:t>
      </w:r>
      <w:r w:rsidRPr="00546E53">
        <w:rPr>
          <w:rFonts w:ascii="Times New Roman" w:eastAsia="Times New Roman" w:hAnsi="Times New Roman" w:cs="Arial"/>
          <w:sz w:val="24"/>
          <w:szCs w:val="20"/>
          <w:lang w:eastAsia="pl-PL"/>
        </w:rPr>
        <w:t xml:space="preserve"> wprowadza zmiany w art. 829 ustawy z dnia 17 listopada 1964 r. – Kodeks postępowania cywilnego, które stanowią</w:t>
      </w:r>
      <w:r>
        <w:rPr>
          <w:rFonts w:ascii="Times New Roman" w:eastAsia="Times New Roman" w:hAnsi="Times New Roman" w:cs="Arial"/>
          <w:sz w:val="24"/>
          <w:szCs w:val="20"/>
          <w:lang w:eastAsia="pl-PL"/>
        </w:rPr>
        <w:t xml:space="preserve"> wyłączenie</w:t>
      </w:r>
      <w:r w:rsidRPr="00546E53">
        <w:rPr>
          <w:rFonts w:ascii="Times New Roman" w:eastAsia="Times New Roman" w:hAnsi="Times New Roman" w:cs="Arial"/>
          <w:sz w:val="24"/>
          <w:szCs w:val="20"/>
          <w:lang w:eastAsia="pl-PL"/>
        </w:rPr>
        <w:t xml:space="preserve"> </w:t>
      </w:r>
      <w:bookmarkStart w:id="28" w:name="_Hlk182495484"/>
      <w:r w:rsidRPr="006251E4">
        <w:rPr>
          <w:rFonts w:ascii="Times New Roman" w:eastAsia="Times New Roman" w:hAnsi="Times New Roman" w:cs="Arial"/>
          <w:sz w:val="24"/>
          <w:szCs w:val="20"/>
          <w:lang w:eastAsia="pl-PL"/>
        </w:rPr>
        <w:t>spod egzekucji środk</w:t>
      </w:r>
      <w:r w:rsidRPr="00E67B30">
        <w:rPr>
          <w:rFonts w:ascii="Times New Roman" w:eastAsia="Times New Roman" w:hAnsi="Times New Roman" w:cs="Arial"/>
          <w:sz w:val="24"/>
          <w:szCs w:val="20"/>
          <w:lang w:eastAsia="pl-PL"/>
        </w:rPr>
        <w:t>ów</w:t>
      </w:r>
      <w:r w:rsidRPr="006251E4">
        <w:rPr>
          <w:rFonts w:ascii="Times New Roman" w:eastAsia="Times New Roman" w:hAnsi="Times New Roman" w:cs="Arial"/>
          <w:sz w:val="24"/>
          <w:szCs w:val="20"/>
          <w:lang w:eastAsia="pl-PL"/>
        </w:rPr>
        <w:t xml:space="preserve"> pieniężnych klienta, powierzonych dłużnikowi będącemu dostawcą usług w zakresie </w:t>
      </w:r>
      <w:proofErr w:type="spellStart"/>
      <w:r w:rsidRPr="006251E4">
        <w:rPr>
          <w:rFonts w:ascii="Times New Roman" w:eastAsia="Times New Roman" w:hAnsi="Times New Roman" w:cs="Arial"/>
          <w:sz w:val="24"/>
          <w:szCs w:val="20"/>
          <w:lang w:eastAsia="pl-PL"/>
        </w:rPr>
        <w:t>kryptoaktywów</w:t>
      </w:r>
      <w:proofErr w:type="spellEnd"/>
      <w:r w:rsidRPr="006251E4">
        <w:rPr>
          <w:rFonts w:ascii="Times New Roman" w:eastAsia="Times New Roman" w:hAnsi="Times New Roman" w:cs="Arial"/>
          <w:sz w:val="24"/>
          <w:szCs w:val="20"/>
          <w:lang w:eastAsia="pl-PL"/>
        </w:rPr>
        <w:t xml:space="preserve">, w związku ze świadczeniem przez tego dłużnika usług w zakresie </w:t>
      </w:r>
      <w:proofErr w:type="spellStart"/>
      <w:r w:rsidRPr="006251E4">
        <w:rPr>
          <w:rFonts w:ascii="Times New Roman" w:eastAsia="Times New Roman" w:hAnsi="Times New Roman" w:cs="Arial"/>
          <w:sz w:val="24"/>
          <w:szCs w:val="20"/>
          <w:lang w:eastAsia="pl-PL"/>
        </w:rPr>
        <w:t>kryptoaktywów</w:t>
      </w:r>
      <w:proofErr w:type="spellEnd"/>
      <w:r w:rsidRPr="006251E4">
        <w:rPr>
          <w:rFonts w:ascii="Times New Roman" w:eastAsia="Times New Roman" w:hAnsi="Times New Roman" w:cs="Arial"/>
          <w:sz w:val="24"/>
          <w:szCs w:val="20"/>
          <w:lang w:eastAsia="pl-PL"/>
        </w:rPr>
        <w:t xml:space="preserve">, środków pieniężnych klienta, powierzonych dłużnikowi będącemu dostawcą usług w zakresie </w:t>
      </w:r>
      <w:proofErr w:type="spellStart"/>
      <w:r w:rsidRPr="006251E4">
        <w:rPr>
          <w:rFonts w:ascii="Times New Roman" w:eastAsia="Times New Roman" w:hAnsi="Times New Roman" w:cs="Arial"/>
          <w:sz w:val="24"/>
          <w:szCs w:val="20"/>
          <w:lang w:eastAsia="pl-PL"/>
        </w:rPr>
        <w:t>kryptoaktywów</w:t>
      </w:r>
      <w:proofErr w:type="spellEnd"/>
      <w:r w:rsidRPr="006251E4">
        <w:rPr>
          <w:rFonts w:ascii="Times New Roman" w:eastAsia="Times New Roman" w:hAnsi="Times New Roman" w:cs="Arial"/>
          <w:sz w:val="24"/>
          <w:szCs w:val="20"/>
          <w:lang w:eastAsia="pl-PL"/>
        </w:rPr>
        <w:t xml:space="preserve">, w przypadku, o którym mowa w art. 70 ust. 3 </w:t>
      </w:r>
      <w:r>
        <w:rPr>
          <w:rFonts w:ascii="Times New Roman" w:eastAsia="Times New Roman" w:hAnsi="Times New Roman" w:cs="Arial"/>
          <w:sz w:val="24"/>
          <w:szCs w:val="20"/>
          <w:lang w:eastAsia="pl-PL"/>
        </w:rPr>
        <w:t xml:space="preserve">rozporządzenia </w:t>
      </w:r>
      <w:proofErr w:type="spellStart"/>
      <w:r w:rsidRPr="00E67B30">
        <w:rPr>
          <w:rFonts w:ascii="Times New Roman" w:eastAsia="Times New Roman" w:hAnsi="Times New Roman" w:cs="Arial"/>
          <w:sz w:val="24"/>
          <w:szCs w:val="20"/>
          <w:lang w:eastAsia="pl-PL"/>
        </w:rPr>
        <w:t>MiCA</w:t>
      </w:r>
      <w:proofErr w:type="spellEnd"/>
      <w:r w:rsidRPr="00E67B30">
        <w:rPr>
          <w:rFonts w:ascii="Times New Roman" w:eastAsia="Times New Roman" w:hAnsi="Times New Roman" w:cs="Arial"/>
          <w:sz w:val="24"/>
          <w:szCs w:val="20"/>
          <w:lang w:eastAsia="pl-PL"/>
        </w:rPr>
        <w:t xml:space="preserve">, </w:t>
      </w:r>
      <w:proofErr w:type="spellStart"/>
      <w:r w:rsidRPr="006251E4">
        <w:rPr>
          <w:rFonts w:ascii="Times New Roman" w:eastAsia="Times New Roman" w:hAnsi="Times New Roman" w:cs="Arial"/>
          <w:sz w:val="24"/>
          <w:szCs w:val="20"/>
          <w:lang w:eastAsia="pl-PL"/>
        </w:rPr>
        <w:t>kryptoaktywów</w:t>
      </w:r>
      <w:proofErr w:type="spellEnd"/>
      <w:r w:rsidRPr="006251E4">
        <w:rPr>
          <w:rFonts w:ascii="Times New Roman" w:eastAsia="Times New Roman" w:hAnsi="Times New Roman" w:cs="Arial"/>
          <w:sz w:val="24"/>
          <w:szCs w:val="20"/>
          <w:lang w:eastAsia="pl-PL"/>
        </w:rPr>
        <w:t xml:space="preserve"> klienta przechowywanych przez dłużnika będącego dostawcą usług w zakresie </w:t>
      </w:r>
      <w:proofErr w:type="spellStart"/>
      <w:r w:rsidRPr="006251E4">
        <w:rPr>
          <w:rFonts w:ascii="Times New Roman" w:eastAsia="Times New Roman" w:hAnsi="Times New Roman" w:cs="Arial"/>
          <w:sz w:val="24"/>
          <w:szCs w:val="20"/>
          <w:lang w:eastAsia="pl-PL"/>
        </w:rPr>
        <w:t>kryptoaktywów</w:t>
      </w:r>
      <w:proofErr w:type="spellEnd"/>
      <w:r w:rsidRPr="006251E4">
        <w:rPr>
          <w:rFonts w:ascii="Times New Roman" w:eastAsia="Times New Roman" w:hAnsi="Times New Roman" w:cs="Arial"/>
          <w:sz w:val="24"/>
          <w:szCs w:val="20"/>
          <w:lang w:eastAsia="pl-PL"/>
        </w:rPr>
        <w:t xml:space="preserve"> na rachunku </w:t>
      </w:r>
      <w:proofErr w:type="spellStart"/>
      <w:r w:rsidRPr="006251E4">
        <w:rPr>
          <w:rFonts w:ascii="Times New Roman" w:eastAsia="Times New Roman" w:hAnsi="Times New Roman" w:cs="Arial"/>
          <w:sz w:val="24"/>
          <w:szCs w:val="20"/>
          <w:lang w:eastAsia="pl-PL"/>
        </w:rPr>
        <w:t>kryptoaktywów</w:t>
      </w:r>
      <w:proofErr w:type="spellEnd"/>
      <w:r w:rsidRPr="006251E4">
        <w:rPr>
          <w:rFonts w:ascii="Times New Roman" w:eastAsia="Times New Roman" w:hAnsi="Times New Roman" w:cs="Arial"/>
          <w:sz w:val="24"/>
          <w:szCs w:val="20"/>
          <w:lang w:eastAsia="pl-PL"/>
        </w:rPr>
        <w:t xml:space="preserve"> tego dłużnika w związku ze świadczeniem przez niego usług w zakresie </w:t>
      </w:r>
      <w:proofErr w:type="spellStart"/>
      <w:r w:rsidRPr="006251E4">
        <w:rPr>
          <w:rFonts w:ascii="Times New Roman" w:eastAsia="Times New Roman" w:hAnsi="Times New Roman" w:cs="Arial"/>
          <w:sz w:val="24"/>
          <w:szCs w:val="20"/>
          <w:lang w:eastAsia="pl-PL"/>
        </w:rPr>
        <w:t>kryptoaktywów</w:t>
      </w:r>
      <w:proofErr w:type="spellEnd"/>
      <w:r w:rsidRPr="006251E4">
        <w:rPr>
          <w:rFonts w:ascii="Times New Roman" w:eastAsia="Times New Roman" w:hAnsi="Times New Roman" w:cs="Arial"/>
          <w:sz w:val="24"/>
          <w:szCs w:val="20"/>
          <w:lang w:eastAsia="pl-PL"/>
        </w:rPr>
        <w:t xml:space="preserve">, a także aktywów stanowiących rezerwę aktywów, o której mowa w art. 36 ust. 1 rozporządzenia </w:t>
      </w:r>
      <w:proofErr w:type="spellStart"/>
      <w:r w:rsidRPr="006251E4">
        <w:rPr>
          <w:rFonts w:ascii="Times New Roman" w:eastAsia="Times New Roman" w:hAnsi="Times New Roman" w:cs="Arial"/>
          <w:sz w:val="24"/>
          <w:szCs w:val="20"/>
          <w:lang w:eastAsia="pl-PL"/>
        </w:rPr>
        <w:t>MiCA</w:t>
      </w:r>
      <w:proofErr w:type="spellEnd"/>
      <w:r w:rsidRPr="006251E4">
        <w:rPr>
          <w:rFonts w:ascii="Times New Roman" w:eastAsia="Times New Roman" w:hAnsi="Times New Roman" w:cs="Arial"/>
          <w:sz w:val="24"/>
          <w:szCs w:val="20"/>
          <w:lang w:eastAsia="pl-PL"/>
        </w:rPr>
        <w:t>.</w:t>
      </w:r>
      <w:bookmarkEnd w:id="28"/>
    </w:p>
    <w:p w14:paraId="34B5400E" w14:textId="3D959E91" w:rsidR="00C21D4B" w:rsidRPr="00546E53" w:rsidRDefault="00C21D4B" w:rsidP="00781E1E">
      <w:pPr>
        <w:spacing w:line="360" w:lineRule="auto"/>
        <w:ind w:left="709"/>
        <w:contextualSpacing/>
        <w:jc w:val="both"/>
        <w:rPr>
          <w:rFonts w:ascii="Times New Roman" w:eastAsiaTheme="minorEastAsia" w:hAnsi="Times New Roman" w:cs="Times New Roman"/>
          <w:sz w:val="24"/>
          <w:szCs w:val="24"/>
        </w:rPr>
      </w:pPr>
      <w:r w:rsidRPr="00866C87">
        <w:rPr>
          <w:rFonts w:ascii="Times New Roman" w:eastAsia="Times New Roman" w:hAnsi="Times New Roman" w:cs="Arial"/>
          <w:b/>
          <w:bCs/>
          <w:sz w:val="24"/>
          <w:szCs w:val="20"/>
          <w:lang w:eastAsia="pl-PL"/>
        </w:rPr>
        <w:t>Art.</w:t>
      </w:r>
      <w:r w:rsidRPr="00866C87">
        <w:rPr>
          <w:rFonts w:ascii="Times New Roman" w:eastAsia="Times New Roman" w:hAnsi="Times New Roman" w:cs="Arial"/>
          <w:sz w:val="24"/>
          <w:szCs w:val="20"/>
          <w:lang w:eastAsia="pl-PL"/>
        </w:rPr>
        <w:t xml:space="preserve"> </w:t>
      </w:r>
      <w:r w:rsidRPr="00546E53">
        <w:rPr>
          <w:rFonts w:ascii="Times New Roman" w:eastAsia="Times New Roman" w:hAnsi="Times New Roman" w:cs="Arial"/>
          <w:b/>
          <w:bCs/>
          <w:sz w:val="24"/>
          <w:szCs w:val="20"/>
          <w:lang w:eastAsia="pl-PL"/>
        </w:rPr>
        <w:t>1</w:t>
      </w:r>
      <w:r w:rsidR="001F704A">
        <w:rPr>
          <w:rFonts w:ascii="Times New Roman" w:eastAsia="Times New Roman" w:hAnsi="Times New Roman" w:cs="Arial"/>
          <w:b/>
          <w:bCs/>
          <w:sz w:val="24"/>
          <w:szCs w:val="20"/>
          <w:lang w:eastAsia="pl-PL"/>
        </w:rPr>
        <w:t>30</w:t>
      </w:r>
      <w:r w:rsidRPr="00546E53">
        <w:rPr>
          <w:rFonts w:ascii="Times New Roman" w:eastAsia="Times New Roman" w:hAnsi="Times New Roman" w:cs="Arial"/>
          <w:b/>
          <w:bCs/>
          <w:sz w:val="24"/>
          <w:szCs w:val="20"/>
          <w:lang w:eastAsia="pl-PL"/>
        </w:rPr>
        <w:t xml:space="preserve"> </w:t>
      </w:r>
      <w:r w:rsidRPr="00866C87">
        <w:rPr>
          <w:rFonts w:ascii="Times New Roman" w:eastAsia="Times New Roman" w:hAnsi="Times New Roman" w:cs="Arial"/>
          <w:sz w:val="24"/>
          <w:szCs w:val="20"/>
          <w:lang w:eastAsia="pl-PL"/>
        </w:rPr>
        <w:t xml:space="preserve">wprowadza zmiany w ustawie z dnia 17 czerwca 1966 r. o postepowaniu egzekucyjnym w administracji </w:t>
      </w:r>
      <w:r>
        <w:rPr>
          <w:rFonts w:ascii="Times New Roman" w:eastAsia="Times New Roman" w:hAnsi="Times New Roman" w:cs="Arial"/>
          <w:sz w:val="24"/>
          <w:szCs w:val="20"/>
          <w:lang w:eastAsia="pl-PL"/>
        </w:rPr>
        <w:t xml:space="preserve">analogiczne do zmian </w:t>
      </w:r>
      <w:r w:rsidRPr="00E116AC">
        <w:rPr>
          <w:rFonts w:ascii="Times New Roman" w:eastAsia="Times New Roman" w:hAnsi="Times New Roman" w:cs="Arial"/>
          <w:sz w:val="24"/>
          <w:szCs w:val="20"/>
          <w:lang w:eastAsia="pl-PL"/>
        </w:rPr>
        <w:t>proponowany</w:t>
      </w:r>
      <w:r>
        <w:rPr>
          <w:rFonts w:ascii="Times New Roman" w:eastAsia="Times New Roman" w:hAnsi="Times New Roman" w:cs="Arial"/>
          <w:sz w:val="24"/>
          <w:szCs w:val="20"/>
          <w:lang w:eastAsia="pl-PL"/>
        </w:rPr>
        <w:t>ch</w:t>
      </w:r>
      <w:r w:rsidRPr="00E116AC">
        <w:rPr>
          <w:rFonts w:ascii="Times New Roman" w:eastAsia="Times New Roman" w:hAnsi="Times New Roman" w:cs="Arial"/>
          <w:sz w:val="24"/>
          <w:szCs w:val="20"/>
          <w:lang w:eastAsia="pl-PL"/>
        </w:rPr>
        <w:t xml:space="preserve"> w </w:t>
      </w:r>
      <w:r w:rsidRPr="003A4BB1">
        <w:rPr>
          <w:rFonts w:ascii="Times New Roman" w:eastAsia="Times New Roman" w:hAnsi="Times New Roman" w:cs="Arial"/>
          <w:sz w:val="24"/>
          <w:szCs w:val="20"/>
          <w:lang w:eastAsia="pl-PL"/>
        </w:rPr>
        <w:t>ustawie z dnia 17 listopada 1964 r. – Kodeks postępowania cywilnego</w:t>
      </w:r>
      <w:r w:rsidRPr="00E116AC">
        <w:rPr>
          <w:rFonts w:ascii="Times New Roman" w:eastAsia="Times New Roman" w:hAnsi="Times New Roman" w:cs="Arial"/>
          <w:sz w:val="24"/>
          <w:szCs w:val="20"/>
          <w:lang w:eastAsia="pl-PL"/>
        </w:rPr>
        <w:t>.</w:t>
      </w:r>
    </w:p>
    <w:p w14:paraId="2867175A" w14:textId="4BCCFFDB" w:rsidR="00C21D4B" w:rsidRPr="00866C87" w:rsidRDefault="00C21D4B" w:rsidP="00781E1E">
      <w:pPr>
        <w:spacing w:line="360" w:lineRule="auto"/>
        <w:ind w:left="709"/>
        <w:contextualSpacing/>
        <w:jc w:val="both"/>
        <w:rPr>
          <w:rFonts w:ascii="Times New Roman" w:eastAsiaTheme="minorEastAsia" w:hAnsi="Times New Roman" w:cs="Times New Roman"/>
          <w:sz w:val="24"/>
          <w:szCs w:val="24"/>
        </w:rPr>
      </w:pPr>
      <w:r w:rsidRPr="00866C87">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w:t>
      </w:r>
      <w:r w:rsidR="001F704A">
        <w:rPr>
          <w:rFonts w:ascii="Times New Roman" w:eastAsiaTheme="minorEastAsia" w:hAnsi="Times New Roman" w:cs="Times New Roman"/>
          <w:b/>
          <w:bCs/>
          <w:sz w:val="24"/>
          <w:szCs w:val="24"/>
        </w:rPr>
        <w:t>1</w:t>
      </w:r>
      <w:r w:rsidRPr="00866C87">
        <w:rPr>
          <w:rFonts w:ascii="Times New Roman" w:eastAsiaTheme="minorEastAsia" w:hAnsi="Times New Roman" w:cs="Times New Roman"/>
          <w:b/>
          <w:bCs/>
          <w:sz w:val="24"/>
          <w:szCs w:val="24"/>
        </w:rPr>
        <w:t xml:space="preserve"> i art. 13</w:t>
      </w:r>
      <w:r w:rsidR="001F704A">
        <w:rPr>
          <w:rFonts w:ascii="Times New Roman" w:eastAsiaTheme="minorEastAsia" w:hAnsi="Times New Roman" w:cs="Times New Roman"/>
          <w:b/>
          <w:bCs/>
          <w:sz w:val="24"/>
          <w:szCs w:val="24"/>
        </w:rPr>
        <w:t>2</w:t>
      </w:r>
      <w:r w:rsidRPr="00866C87">
        <w:rPr>
          <w:rFonts w:ascii="Times New Roman" w:eastAsiaTheme="minorEastAsia" w:hAnsi="Times New Roman" w:cs="Times New Roman"/>
          <w:b/>
          <w:bCs/>
          <w:sz w:val="24"/>
          <w:szCs w:val="24"/>
        </w:rPr>
        <w:t xml:space="preserve"> </w:t>
      </w:r>
      <w:r w:rsidRPr="00E116AC">
        <w:rPr>
          <w:rFonts w:ascii="Times New Roman" w:eastAsiaTheme="minorEastAsia" w:hAnsi="Times New Roman" w:cs="Times New Roman"/>
          <w:sz w:val="24"/>
          <w:szCs w:val="24"/>
        </w:rPr>
        <w:t>wprowadzają kolejno zmiany w</w:t>
      </w:r>
      <w:r w:rsidRPr="00E116AC">
        <w:rPr>
          <w:rFonts w:ascii="Times New Roman" w:eastAsiaTheme="minorEastAsia" w:hAnsi="Times New Roman" w:cs="Times New Roman"/>
          <w:b/>
          <w:bCs/>
          <w:sz w:val="24"/>
          <w:szCs w:val="24"/>
        </w:rPr>
        <w:t xml:space="preserve"> </w:t>
      </w:r>
      <w:r w:rsidRPr="00E116AC">
        <w:rPr>
          <w:rFonts w:ascii="Times New Roman" w:eastAsiaTheme="minorEastAsia" w:hAnsi="Times New Roman" w:cs="Times New Roman"/>
          <w:sz w:val="24"/>
          <w:szCs w:val="24"/>
        </w:rPr>
        <w:t>ustawie o Policji i w ustawie o Straży Granicznej poprzez dodanie Straży Granicznej i Policji do katalogu podmiotów uprawnionych do otrzymywania informacji stanowiących tajemnicę zawodową, o któr</w:t>
      </w:r>
      <w:r>
        <w:rPr>
          <w:rFonts w:ascii="Times New Roman" w:eastAsiaTheme="minorEastAsia" w:hAnsi="Times New Roman" w:cs="Times New Roman"/>
          <w:sz w:val="24"/>
          <w:szCs w:val="24"/>
        </w:rPr>
        <w:t>ej</w:t>
      </w:r>
      <w:r w:rsidRPr="00E116AC">
        <w:rPr>
          <w:rFonts w:ascii="Times New Roman" w:eastAsiaTheme="minorEastAsia" w:hAnsi="Times New Roman" w:cs="Times New Roman"/>
          <w:sz w:val="24"/>
          <w:szCs w:val="24"/>
        </w:rPr>
        <w:t xml:space="preserve"> mowa art. 1</w:t>
      </w:r>
      <w:r>
        <w:rPr>
          <w:rFonts w:ascii="Times New Roman" w:eastAsiaTheme="minorEastAsia" w:hAnsi="Times New Roman" w:cs="Times New Roman"/>
          <w:sz w:val="24"/>
          <w:szCs w:val="24"/>
        </w:rPr>
        <w:t>7 projektowanej ustawy</w:t>
      </w:r>
      <w:r w:rsidRPr="00E116AC">
        <w:rPr>
          <w:rFonts w:ascii="Times New Roman" w:eastAsiaTheme="minorEastAsia" w:hAnsi="Times New Roman" w:cs="Times New Roman"/>
          <w:sz w:val="24"/>
          <w:szCs w:val="24"/>
        </w:rPr>
        <w:t>. Należy wskazać, że zarówno art. 20 ustawy o Policji, jak i art. 10c ustawy o Straży Granicznej przewidują dwa tryby uzyskiwania przez te formacje informacji stanowiących tajemnicę zawodową. Pierwszy z nich został uregulowany odpowiednio w art. 20 ust. 3 i 5 ustawy o Policji oraz w art. 10c ust. 1 i 3 ustawy o Straży Granicznej. Zgodnie z tymi przepisami, jeżeli jest to konieczne do skutecznego zapobieżenia przestępstwom, o których mowa odpowiednio w art. 19 ust.</w:t>
      </w:r>
      <w:r>
        <w:rPr>
          <w:rFonts w:ascii="Times New Roman" w:eastAsiaTheme="minorEastAsia" w:hAnsi="Times New Roman" w:cs="Times New Roman"/>
          <w:sz w:val="24"/>
          <w:szCs w:val="24"/>
        </w:rPr>
        <w:t> </w:t>
      </w:r>
      <w:r w:rsidRPr="00E116AC">
        <w:rPr>
          <w:rFonts w:ascii="Times New Roman" w:eastAsiaTheme="minorEastAsia" w:hAnsi="Times New Roman" w:cs="Times New Roman"/>
          <w:sz w:val="24"/>
          <w:szCs w:val="24"/>
        </w:rPr>
        <w:t xml:space="preserve">1 ustawy o Policji oraz w art. 9e ust. 1 ustawy o Straży Granicznej, lub ich wykrycia, ustalenia ich sprawców, uzyskania i utrwalenia dowodów, a także wykrycia i identyfikacji przedmiotów i innych korzyści majątkowych pochodzących z tych przestępstw albo ich równowartości, Policja lub Straż Graniczna mogą korzystać z informacji stanowiących tajemnicę zawodową. Informacje i dane, o których mowa odpowiednio w art. 20 ust. 3 ustawy o Policji i art. 10c ust. 1 ustawy o Straży Granicznej, udostępnia się nieodpłatnie na podstawie postanowienia wydanego na pisemny wniosek Komendanta Głównego Policji, Komendanta Centralnego Biura Śledczego Policji (CBŚP), Komendanta Biura Spraw Wewnętrznych Policji (BSWP), Komendanta Centralnego Biura Zwalczania Cyberprzestępczości (CBZC) albo komendanta wojewódzkiego Policji (zgodnie z ustawą o Policji) oraz Komendanta Głównego Straży Granicznej, Komendanta Biura Spraw Wewnętrznych Straży Granicznej (BSWSG) </w:t>
      </w:r>
      <w:r w:rsidRPr="00866C87">
        <w:rPr>
          <w:rFonts w:ascii="Times New Roman" w:eastAsiaTheme="minorEastAsia" w:hAnsi="Times New Roman" w:cs="Times New Roman"/>
          <w:sz w:val="24"/>
          <w:szCs w:val="24"/>
        </w:rPr>
        <w:t xml:space="preserve">albo komendanta oddziału Straży Granicznej (zgodnie z ustawą o Straży Granicznej) przez sąd okręgowy właściwy miejscowo ze względu na siedzibę wnioskującego organu. Odmienny tryb uzyskiwania tych informacji przez Policję i Straż Graniczną określają odpowiednio art. 20 ust. 5a ustawy o Policji oraz art. 10c ust. 4 ustawy o Straży Granicznej. Na podstawie ww. przepisów informacje i dane, o których mowa w art. 20 ust. 3 ustawy o Policji oraz art. 10c ust. 1 ustawy o Straży Granicznej udostępnia się nieodpłatnie, w formie pisemnej lub za pomocą środków komunikacji elektronicznej, na wniosek odpowiednio w Policji </w:t>
      </w:r>
      <w:r>
        <w:rPr>
          <w:rFonts w:ascii="Times New Roman" w:eastAsiaTheme="minorEastAsia" w:hAnsi="Times New Roman" w:cs="Times New Roman"/>
          <w:sz w:val="24"/>
          <w:szCs w:val="24"/>
        </w:rPr>
        <w:t>−</w:t>
      </w:r>
      <w:r w:rsidRPr="00866C87">
        <w:rPr>
          <w:rFonts w:ascii="Times New Roman" w:eastAsiaTheme="minorEastAsia" w:hAnsi="Times New Roman" w:cs="Times New Roman"/>
          <w:sz w:val="24"/>
          <w:szCs w:val="24"/>
        </w:rPr>
        <w:t xml:space="preserve"> Komendanta Głównego Policji, Komendanta CBŚP, Komendanta BSWP, Komendanta CBZC albo komendanta wojewódzkiego Policji lub upoważnionych przez nich pisemnie funkcjonariuszy lub w przypadku Straży Granicznej − Komendanta Głównego Straży Granicznej, Komendanta BSWSG albo komendanta oddziału Straży Granicznej lub upoważnionych przez nich pisemnie funkcjonariuszy. Podkreślenia wymaga jednak, że wskazane powyżej tryby różnicuje zakres informacji możliwych do uzyskania przez Policję oraz Straż Graniczną. O ile w pierwszym trybie jest to całokształt informacji stanowiących tajemnicę zawodową, o tyle w drugim opisanym trybie jest to jedynie wycinek tych informacji, wskazany indywidualnie w odniesieniu do każdej z tajemnic zawodowych. Dodatkowo należy zauważyć, że projektowana ustawa przewiduje możliwość dostępu przez Policję do informacji stanowiących tajemnicę zawodową, o której mowa w art. </w:t>
      </w:r>
      <w:r w:rsidRPr="00E116AC">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7</w:t>
      </w:r>
      <w:r w:rsidRPr="00E116AC">
        <w:rPr>
          <w:rFonts w:ascii="Times New Roman" w:eastAsiaTheme="minorEastAsia" w:hAnsi="Times New Roman" w:cs="Times New Roman"/>
          <w:sz w:val="24"/>
          <w:szCs w:val="24"/>
        </w:rPr>
        <w:t xml:space="preserve"> projektu, </w:t>
      </w:r>
      <w:r>
        <w:rPr>
          <w:rFonts w:ascii="Times New Roman" w:eastAsiaTheme="minorEastAsia" w:hAnsi="Times New Roman" w:cs="Times New Roman"/>
          <w:sz w:val="24"/>
          <w:szCs w:val="24"/>
        </w:rPr>
        <w:t xml:space="preserve">nie </w:t>
      </w:r>
      <w:r w:rsidRPr="00E116AC">
        <w:rPr>
          <w:rFonts w:ascii="Times New Roman" w:eastAsiaTheme="minorEastAsia" w:hAnsi="Times New Roman" w:cs="Times New Roman"/>
          <w:sz w:val="24"/>
          <w:szCs w:val="24"/>
        </w:rPr>
        <w:t xml:space="preserve">tylko w trybie wskazanym w art. 20 ust. 3 ustawy o Policji. </w:t>
      </w:r>
      <w:r>
        <w:rPr>
          <w:rFonts w:ascii="Times New Roman" w:eastAsiaTheme="minorEastAsia" w:hAnsi="Times New Roman" w:cs="Times New Roman"/>
          <w:sz w:val="24"/>
          <w:szCs w:val="24"/>
        </w:rPr>
        <w:t>B</w:t>
      </w:r>
      <w:r w:rsidRPr="00E116AC">
        <w:rPr>
          <w:rFonts w:ascii="Times New Roman" w:eastAsiaTheme="minorEastAsia" w:hAnsi="Times New Roman" w:cs="Times New Roman"/>
          <w:sz w:val="24"/>
          <w:szCs w:val="24"/>
        </w:rPr>
        <w:t xml:space="preserve">iorąc pod uwagę regulacje w tym zakresie odnoszące się do tajemnic zawodowych określonych w innych przepisach, celowe jest umożliwienie Policji i </w:t>
      </w:r>
      <w:r w:rsidRPr="00866C87">
        <w:rPr>
          <w:rFonts w:ascii="Times New Roman" w:eastAsiaTheme="minorEastAsia" w:hAnsi="Times New Roman" w:cs="Times New Roman"/>
          <w:sz w:val="24"/>
          <w:szCs w:val="24"/>
        </w:rPr>
        <w:t>Straży Granicznej</w:t>
      </w:r>
      <w:r w:rsidRPr="00E116AC">
        <w:rPr>
          <w:rFonts w:ascii="Times New Roman" w:eastAsiaTheme="minorEastAsia" w:hAnsi="Times New Roman" w:cs="Times New Roman"/>
          <w:sz w:val="24"/>
          <w:szCs w:val="24"/>
        </w:rPr>
        <w:t xml:space="preserve"> dostępu do informacji stanowiących tajemnicę zawodową, o których mowa w art. 1</w:t>
      </w:r>
      <w:r>
        <w:rPr>
          <w:rFonts w:ascii="Times New Roman" w:eastAsiaTheme="minorEastAsia" w:hAnsi="Times New Roman" w:cs="Times New Roman"/>
          <w:sz w:val="24"/>
          <w:szCs w:val="24"/>
        </w:rPr>
        <w:t>7</w:t>
      </w:r>
      <w:r w:rsidRPr="00E116AC">
        <w:rPr>
          <w:rFonts w:ascii="Times New Roman" w:eastAsiaTheme="minorEastAsia" w:hAnsi="Times New Roman" w:cs="Times New Roman"/>
          <w:sz w:val="24"/>
          <w:szCs w:val="24"/>
        </w:rPr>
        <w:t xml:space="preserve"> projektu, również w trybie określonym w art. 20 ust. 5a ustawy o Policji (i analogicznie art. 10c ust. 4 ustawy o Straży Granicznej). Takie rozwiązanie umożliwi szybszą wymianę informacji z podmiotami, o których mowa w art. </w:t>
      </w:r>
      <w:r>
        <w:rPr>
          <w:rFonts w:ascii="Times New Roman" w:eastAsiaTheme="minorEastAsia" w:hAnsi="Times New Roman" w:cs="Times New Roman"/>
          <w:sz w:val="24"/>
          <w:szCs w:val="24"/>
        </w:rPr>
        <w:t>20</w:t>
      </w:r>
      <w:r w:rsidRPr="00E116AC">
        <w:rPr>
          <w:rFonts w:ascii="Times New Roman" w:eastAsiaTheme="minorEastAsia" w:hAnsi="Times New Roman" w:cs="Times New Roman"/>
          <w:sz w:val="24"/>
          <w:szCs w:val="24"/>
        </w:rPr>
        <w:t xml:space="preserve"> ust. 1 projektowanej ustawy, w zakresie pozwalającym na ustalenie danych identyfikujących stronę umowy lub innej czynności prawnej, o których mowa w projektowanej ustawie. Zauważyć również należy, że zakresy informacji wskazanych w zaproponowanych art. 20 ust. 5a pkt 11 ustawy o Policji i art. 10c ust. 4 pkt 11 ustawy o Straży Granicznej nie obejmują całości informacji objętych tajemnicą zawodową, o której mowa w art. 1</w:t>
      </w:r>
      <w:r>
        <w:rPr>
          <w:rFonts w:ascii="Times New Roman" w:eastAsiaTheme="minorEastAsia" w:hAnsi="Times New Roman" w:cs="Times New Roman"/>
          <w:sz w:val="24"/>
          <w:szCs w:val="24"/>
        </w:rPr>
        <w:t>7</w:t>
      </w:r>
      <w:r w:rsidRPr="00E116AC">
        <w:rPr>
          <w:rFonts w:ascii="Times New Roman" w:eastAsiaTheme="minorEastAsia" w:hAnsi="Times New Roman" w:cs="Times New Roman"/>
          <w:sz w:val="24"/>
          <w:szCs w:val="24"/>
        </w:rPr>
        <w:t xml:space="preserve"> projektowanej ustawy (przepis ten stanowi, że tajemnica zawodowa obejmuje informacje dotyczące chronionych prawem interesów podmiotów, na rzecz których są świadczone usługi w zakresie </w:t>
      </w:r>
      <w:proofErr w:type="spellStart"/>
      <w:r w:rsidRPr="00E116AC">
        <w:rPr>
          <w:rFonts w:ascii="Times New Roman" w:eastAsiaTheme="minorEastAsia" w:hAnsi="Times New Roman" w:cs="Times New Roman"/>
          <w:sz w:val="24"/>
          <w:szCs w:val="24"/>
        </w:rPr>
        <w:t>kryptoaktywów</w:t>
      </w:r>
      <w:proofErr w:type="spellEnd"/>
      <w:r w:rsidRPr="00E116AC">
        <w:rPr>
          <w:rFonts w:ascii="Times New Roman" w:eastAsiaTheme="minorEastAsia" w:hAnsi="Times New Roman" w:cs="Times New Roman"/>
          <w:sz w:val="24"/>
          <w:szCs w:val="24"/>
        </w:rPr>
        <w:t>, uzyskane przez osoby, o których mowa w art. 1</w:t>
      </w:r>
      <w:r>
        <w:rPr>
          <w:rFonts w:ascii="Times New Roman" w:eastAsiaTheme="minorEastAsia" w:hAnsi="Times New Roman" w:cs="Times New Roman"/>
          <w:sz w:val="24"/>
          <w:szCs w:val="24"/>
        </w:rPr>
        <w:t>8</w:t>
      </w:r>
      <w:r w:rsidRPr="00E116AC">
        <w:rPr>
          <w:rFonts w:ascii="Times New Roman" w:eastAsiaTheme="minorEastAsia" w:hAnsi="Times New Roman" w:cs="Times New Roman"/>
          <w:sz w:val="24"/>
          <w:szCs w:val="24"/>
        </w:rPr>
        <w:t xml:space="preserve"> ust. 1 tej ustawy, w związku z czynnościami służbowymi podejmowanymi przez nie w ramach stosunku pracy, zlecenia lub innego stosunku prawnego o podobnym charakterze, a także informacje uzyskane przez te osoby w związku z innymi czynnościami podejmowanymi w ramach działalności prowadzonej na podstawie przepisów rozporządzenia 2023/1114, objętej nadzorem Komisji lub właściwego organu nadzoru w innym państwie członkowskim Unii Europejskiej, jak również informacje dotyczące czynności podejmowanych w ramach wykonywania tego nadzoru, w szczególności dane identyfikujące stronę umowy lub innej czynności prawnej, treść umowy lub przedmiot innej czynności prawnej oraz dane o sytuacji majątkowej strony umowy, w tym liczbę i oznaczenie przechowywanych </w:t>
      </w:r>
      <w:proofErr w:type="spellStart"/>
      <w:r w:rsidRPr="00E116AC">
        <w:rPr>
          <w:rFonts w:ascii="Times New Roman" w:eastAsiaTheme="minorEastAsia" w:hAnsi="Times New Roman" w:cs="Times New Roman"/>
          <w:sz w:val="24"/>
          <w:szCs w:val="24"/>
        </w:rPr>
        <w:t>kryptoaktywów</w:t>
      </w:r>
      <w:proofErr w:type="spellEnd"/>
      <w:r w:rsidRPr="00E116AC">
        <w:rPr>
          <w:rFonts w:ascii="Times New Roman" w:eastAsiaTheme="minorEastAsia" w:hAnsi="Times New Roman" w:cs="Times New Roman"/>
          <w:sz w:val="24"/>
          <w:szCs w:val="24"/>
        </w:rPr>
        <w:t xml:space="preserve">, oznaczenie rejestru pozycji odpowiadających prawom do </w:t>
      </w:r>
      <w:proofErr w:type="spellStart"/>
      <w:r w:rsidRPr="00E116AC">
        <w:rPr>
          <w:rFonts w:ascii="Times New Roman" w:eastAsiaTheme="minorEastAsia" w:hAnsi="Times New Roman" w:cs="Times New Roman"/>
          <w:sz w:val="24"/>
          <w:szCs w:val="24"/>
        </w:rPr>
        <w:t>kryptoaktywów</w:t>
      </w:r>
      <w:proofErr w:type="spellEnd"/>
      <w:r w:rsidRPr="00E116AC">
        <w:rPr>
          <w:rFonts w:ascii="Times New Roman" w:eastAsiaTheme="minorEastAsia" w:hAnsi="Times New Roman" w:cs="Times New Roman"/>
          <w:sz w:val="24"/>
          <w:szCs w:val="24"/>
        </w:rPr>
        <w:t xml:space="preserve"> oraz wartość środków w rejestrze i na rachunkach pieniężnych służących do obsługi transakcji). W związku z tym w art. 1</w:t>
      </w:r>
      <w:r>
        <w:rPr>
          <w:rFonts w:ascii="Times New Roman" w:eastAsiaTheme="minorEastAsia" w:hAnsi="Times New Roman" w:cs="Times New Roman"/>
          <w:sz w:val="24"/>
          <w:szCs w:val="24"/>
        </w:rPr>
        <w:t>30</w:t>
      </w:r>
      <w:r w:rsidRPr="00E116AC">
        <w:rPr>
          <w:rFonts w:ascii="Times New Roman" w:eastAsiaTheme="minorEastAsia" w:hAnsi="Times New Roman" w:cs="Times New Roman"/>
          <w:sz w:val="24"/>
          <w:szCs w:val="24"/>
        </w:rPr>
        <w:t xml:space="preserve"> </w:t>
      </w:r>
      <w:r w:rsidRPr="00866C87">
        <w:rPr>
          <w:rFonts w:ascii="Times New Roman" w:eastAsiaTheme="minorEastAsia" w:hAnsi="Times New Roman" w:cs="Times New Roman"/>
          <w:sz w:val="24"/>
          <w:szCs w:val="24"/>
        </w:rPr>
        <w:t>projektu ustawy zawarto zmianę art. </w:t>
      </w:r>
      <w:r w:rsidRPr="00E116AC">
        <w:rPr>
          <w:rFonts w:ascii="Times New Roman" w:eastAsiaTheme="minorEastAsia" w:hAnsi="Times New Roman" w:cs="Times New Roman"/>
          <w:sz w:val="24"/>
          <w:szCs w:val="24"/>
        </w:rPr>
        <w:t>20 ust. 5a ustawy o Policji. Analogiczną zmianę przewidziano w ustawie o Straży Granicznej. Pozwoli to na zapewnienie możliwości skorzystania przez Policję i Straż Graniczną z obu trybów uzyskiwania informacji stanowiących tajemnicę zawodową. W trybie wskazanym w art. 20 ust. 3 ustawy o Policji oraz art. 10c ust. 1 ustawy o Straży Granicznej możliwy byłby dostęp do całokształtu informacji stanowiących tajemnicę zawodową, o której mowa w art. 1</w:t>
      </w:r>
      <w:r>
        <w:rPr>
          <w:rFonts w:ascii="Times New Roman" w:eastAsiaTheme="minorEastAsia" w:hAnsi="Times New Roman" w:cs="Times New Roman"/>
          <w:sz w:val="24"/>
          <w:szCs w:val="24"/>
        </w:rPr>
        <w:t xml:space="preserve">7 </w:t>
      </w:r>
      <w:r w:rsidRPr="00866C87">
        <w:rPr>
          <w:rFonts w:ascii="Times New Roman" w:eastAsiaTheme="minorEastAsia" w:hAnsi="Times New Roman" w:cs="Times New Roman"/>
          <w:sz w:val="24"/>
          <w:szCs w:val="24"/>
        </w:rPr>
        <w:t>projektowanej ustawy, natomiast w trybie określonym w art. 20 ust. 5a ustawy o Policji i art. 10c ust. 4 ustawy o Straży Granicznej – do pewnego wycinka tych informacji, a więc informacji dotyczących ustalenia, czy osoba fizyczna lub prawna, a także podmiot nieposiadający osobowości prawnej jest stroną umowy lub innej czynności prawnej, o której mowa w projektowanej ustawie. Takie rozwiązanie będzie też spójne z dotychczasowymi regulacjami dotyczącymi dostępu Policji i Straży Granicznej do informacji stanowiących tajemnicę zawodową.</w:t>
      </w:r>
    </w:p>
    <w:p w14:paraId="15F7AF5D" w14:textId="06887F0C" w:rsidR="00C21D4B" w:rsidRPr="00486C63" w:rsidRDefault="00C21D4B" w:rsidP="00781E1E">
      <w:pPr>
        <w:spacing w:line="360" w:lineRule="auto"/>
        <w:ind w:left="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w:t>
      </w:r>
      <w:r w:rsidR="001F704A">
        <w:rPr>
          <w:rFonts w:ascii="Times New Roman" w:eastAsiaTheme="minorEastAsia" w:hAnsi="Times New Roman" w:cs="Times New Roman"/>
          <w:b/>
          <w:bCs/>
          <w:sz w:val="24"/>
          <w:szCs w:val="24"/>
        </w:rPr>
        <w:t>3</w:t>
      </w:r>
      <w:r w:rsidRPr="00486C63">
        <w:rPr>
          <w:rFonts w:ascii="Times New Roman" w:eastAsiaTheme="minorEastAsia" w:hAnsi="Times New Roman" w:cs="Times New Roman"/>
          <w:sz w:val="24"/>
          <w:szCs w:val="24"/>
        </w:rPr>
        <w:t xml:space="preserve"> oraz </w:t>
      </w: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w:t>
      </w:r>
      <w:r w:rsidR="001F704A">
        <w:rPr>
          <w:rFonts w:ascii="Times New Roman" w:eastAsiaTheme="minorEastAsia" w:hAnsi="Times New Roman" w:cs="Times New Roman"/>
          <w:b/>
          <w:bCs/>
          <w:sz w:val="24"/>
          <w:szCs w:val="24"/>
        </w:rPr>
        <w:t>4</w:t>
      </w:r>
      <w:r w:rsidRPr="00486C63">
        <w:rPr>
          <w:rFonts w:ascii="Times New Roman" w:eastAsiaTheme="minorEastAsia" w:hAnsi="Times New Roman" w:cs="Times New Roman"/>
          <w:sz w:val="24"/>
          <w:szCs w:val="24"/>
        </w:rPr>
        <w:t xml:space="preserve"> wprowadzają zmiany odpowiednio do </w:t>
      </w:r>
      <w:bookmarkStart w:id="29" w:name="_Hlk158380400"/>
      <w:r w:rsidRPr="00486C63">
        <w:rPr>
          <w:rFonts w:ascii="Times New Roman" w:eastAsiaTheme="minorEastAsia" w:hAnsi="Times New Roman" w:cs="Times New Roman"/>
          <w:sz w:val="24"/>
          <w:szCs w:val="24"/>
        </w:rPr>
        <w:t xml:space="preserve">ustawy PIT oraz ustawy </w:t>
      </w:r>
      <w:bookmarkEnd w:id="29"/>
      <w:r w:rsidRPr="00486C63">
        <w:rPr>
          <w:rFonts w:ascii="Times New Roman" w:eastAsiaTheme="minorEastAsia" w:hAnsi="Times New Roman" w:cs="Times New Roman"/>
          <w:sz w:val="24"/>
          <w:szCs w:val="24"/>
        </w:rPr>
        <w:t>CIT. Z uwagi na treść art. 1</w:t>
      </w:r>
      <w:r>
        <w:rPr>
          <w:rFonts w:ascii="Times New Roman" w:eastAsiaTheme="minorEastAsia" w:hAnsi="Times New Roman" w:cs="Times New Roman"/>
          <w:sz w:val="24"/>
          <w:szCs w:val="24"/>
        </w:rPr>
        <w:t>5</w:t>
      </w:r>
      <w:r w:rsidR="001F704A">
        <w:rPr>
          <w:rFonts w:ascii="Times New Roman" w:eastAsiaTheme="minorEastAsia" w:hAnsi="Times New Roman" w:cs="Times New Roman"/>
          <w:sz w:val="24"/>
          <w:szCs w:val="24"/>
        </w:rPr>
        <w:t>7</w:t>
      </w:r>
      <w:r w:rsidRPr="00486C63">
        <w:rPr>
          <w:rFonts w:ascii="Times New Roman" w:eastAsiaTheme="minorEastAsia" w:hAnsi="Times New Roman" w:cs="Times New Roman"/>
          <w:sz w:val="24"/>
          <w:szCs w:val="24"/>
        </w:rPr>
        <w:t xml:space="preserve"> pkt 3 lit. b projektu ustawy, który dokonuje zmiany w art. 2 ust. 2 pkt 26 ustawy o przeciwdziałaniu praniu pieniędzy oraz finansowaniu terroryzmu poprzez wykreślenie definicji „waluty wirtualnej” (do której odsyła bezpośrednio przepis art. 5a pkt 33a ustawy PIT oraz art. 4a pkt 22a ustawy CIT) oraz zastąpienie jej definicją „</w:t>
      </w:r>
      <w:proofErr w:type="spellStart"/>
      <w:r w:rsidRPr="00486C63">
        <w:rPr>
          <w:rFonts w:ascii="Times New Roman" w:eastAsiaTheme="minorEastAsia" w:hAnsi="Times New Roman" w:cs="Times New Roman"/>
          <w:sz w:val="24"/>
          <w:szCs w:val="24"/>
        </w:rPr>
        <w:t>kryptoaktywa</w:t>
      </w:r>
      <w:proofErr w:type="spellEnd"/>
      <w:r w:rsidRPr="00486C63">
        <w:rPr>
          <w:rFonts w:ascii="Times New Roman" w:eastAsiaTheme="minorEastAsia" w:hAnsi="Times New Roman" w:cs="Times New Roman"/>
          <w:sz w:val="24"/>
          <w:szCs w:val="24"/>
        </w:rPr>
        <w:t xml:space="preserve">”, która jest dużo szerszym pojęciem. Powyższej zmiany dokonano poprzez wprowadzenie do wskazanych przepisów definicji waluty wirtualnej, która została przeniesiona z ustawy o przeciwdziałaniu praniu pieniędzy oraz finansowaniu terroryzmu, w dotychczasowym brzmieniu. Ponadto w art. 5a ustawy PIT dodano pkt 33aa oraz w art. 4a ustawy CIT dodano pkt 22c, w których wprowadzono definicję „podmiotów prowadzących działalność w zakresie obrotu walutami wirtualnymi”, przez które rozumie się podmioty prowadzące działalność gospodarczą polegającą na świadczeniu usług w zakresie: wymiany pomiędzy walutami i środkami płatniczymi, wymiany pomiędzy walutami wirtualnymi, pośrednictwa w tej wymianie oraz prowadzenia w formie elektronicznej zbioru danych identyfikacyjnych zapewniających osobom uprawnionym możliwość korzystania z jednostek walut wirtualnych, w tym przeprowadzania transakcji ich wymiany. Zmiany te mają na celu kontynuację zasad opodatkowania przychodów z odpłatnego zbycia walut wirtualnych w zakresie przedmiotowym obowiązującym przed zmianami dokonanymi </w:t>
      </w:r>
      <w:r>
        <w:rPr>
          <w:rFonts w:ascii="Times New Roman" w:eastAsiaTheme="minorEastAsia" w:hAnsi="Times New Roman" w:cs="Times New Roman"/>
          <w:sz w:val="24"/>
          <w:szCs w:val="24"/>
        </w:rPr>
        <w:t xml:space="preserve">projektowaną </w:t>
      </w:r>
      <w:r w:rsidRPr="00486C63">
        <w:rPr>
          <w:rFonts w:ascii="Times New Roman" w:eastAsiaTheme="minorEastAsia" w:hAnsi="Times New Roman" w:cs="Times New Roman"/>
          <w:sz w:val="24"/>
          <w:szCs w:val="24"/>
        </w:rPr>
        <w:t xml:space="preserve">ustawą. Zarówno w ustawie PIT, jak i ustawie CIT przychody z wymiany waluty wirtualnej na prawny środek płatniczy, towar, usługę lub prawo majątkowe inne niż waluta wirtualna lub z regulowania innych zobowiązań walutę wirtualną uważa się za przychody z kapitałów pieniężnych, z wyjątkiem podatników prowadzących działalność w zakresie obrotu walutami wirtualnymi. W przypadku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które nie są walutą wirtualną opodatkowanie podatkiem dochodowym odbywać się będzie na dotychczasowych zasadach opodatkowania. </w:t>
      </w:r>
    </w:p>
    <w:p w14:paraId="5A0F4A31" w14:textId="77777777" w:rsidR="00C21D4B" w:rsidRPr="00486C63" w:rsidRDefault="00C21D4B" w:rsidP="00695ECE">
      <w:pPr>
        <w:spacing w:line="360" w:lineRule="auto"/>
        <w:ind w:left="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Wprowadzone do ustaw</w:t>
      </w:r>
      <w:r>
        <w:rPr>
          <w:rFonts w:ascii="Times New Roman" w:eastAsiaTheme="minorEastAsia" w:hAnsi="Times New Roman" w:cs="Times New Roman"/>
          <w:sz w:val="24"/>
          <w:szCs w:val="24"/>
        </w:rPr>
        <w:t>y</w:t>
      </w:r>
      <w:r w:rsidRPr="00486C63">
        <w:rPr>
          <w:rFonts w:ascii="Times New Roman" w:eastAsiaTheme="minorEastAsia" w:hAnsi="Times New Roman" w:cs="Times New Roman"/>
          <w:sz w:val="24"/>
          <w:szCs w:val="24"/>
        </w:rPr>
        <w:t xml:space="preserve"> PIT i </w:t>
      </w:r>
      <w:r>
        <w:rPr>
          <w:rFonts w:ascii="Times New Roman" w:eastAsiaTheme="minorEastAsia" w:hAnsi="Times New Roman" w:cs="Times New Roman"/>
          <w:sz w:val="24"/>
          <w:szCs w:val="24"/>
        </w:rPr>
        <w:t xml:space="preserve">ustawy </w:t>
      </w:r>
      <w:r w:rsidRPr="00486C63">
        <w:rPr>
          <w:rFonts w:ascii="Times New Roman" w:eastAsiaTheme="minorEastAsia" w:hAnsi="Times New Roman" w:cs="Times New Roman"/>
          <w:sz w:val="24"/>
          <w:szCs w:val="24"/>
        </w:rPr>
        <w:t xml:space="preserve">CIT zmiany mają na celu zachowanie status quo istniejących regulacji, z uwzględnieniem stanu prawnego powstałego w wyniku zmienianych przepisów odrębnych ustaw, w tym ustawy o przeciwdziałaniu praniu pieniędzy oraz finansowaniu terroryzmu. Z definicji pieniądza elektronicznego wyodrębniono </w:t>
      </w:r>
      <w:proofErr w:type="spellStart"/>
      <w:r w:rsidRPr="00486C63">
        <w:rPr>
          <w:rFonts w:ascii="Times New Roman" w:eastAsiaTheme="minorEastAsia" w:hAnsi="Times New Roman" w:cs="Times New Roman"/>
          <w:sz w:val="24"/>
          <w:szCs w:val="24"/>
        </w:rPr>
        <w:t>tokeny</w:t>
      </w:r>
      <w:proofErr w:type="spellEnd"/>
      <w:r w:rsidRPr="00486C63">
        <w:rPr>
          <w:rFonts w:ascii="Times New Roman" w:eastAsiaTheme="minorEastAsia" w:hAnsi="Times New Roman" w:cs="Times New Roman"/>
          <w:sz w:val="24"/>
          <w:szCs w:val="24"/>
        </w:rPr>
        <w:t xml:space="preserve"> będące e-pieniądzem w rozumieniu art. 3 ust. 1 pkt 7 rozporządzenia 2023/1114 pod warunkiem, że podatnik lub spółka niebędąca osobą prawną, w której podatnik jest wspólnikiem, dla celów prowadzenia ksiąg rachunkowych, zgodnie z przepisami o rachunkowości, a także sporządzenia wyniku finansowego netto, nie kwalifikuje tego </w:t>
      </w:r>
      <w:proofErr w:type="spellStart"/>
      <w:r w:rsidRPr="00486C63">
        <w:rPr>
          <w:rFonts w:ascii="Times New Roman" w:eastAsiaTheme="minorEastAsia" w:hAnsi="Times New Roman" w:cs="Times New Roman"/>
          <w:sz w:val="24"/>
          <w:szCs w:val="24"/>
        </w:rPr>
        <w:t>tokena</w:t>
      </w:r>
      <w:proofErr w:type="spellEnd"/>
      <w:r w:rsidRPr="00486C63">
        <w:rPr>
          <w:rFonts w:ascii="Times New Roman" w:eastAsiaTheme="minorEastAsia" w:hAnsi="Times New Roman" w:cs="Times New Roman"/>
          <w:sz w:val="24"/>
          <w:szCs w:val="24"/>
        </w:rPr>
        <w:t xml:space="preserve"> jako pieniądza elektronicznego lub instrumentu finansowego w rozumieniu ustawy o obrocie instrumentami finansowymi. Wskazany warunek ma istotne znaczenie dla podatników w przypadku prowadzenia przez podmiot ksiąg rachunkowych lub sporządzania wyniku finansowego netto. </w:t>
      </w:r>
      <w:proofErr w:type="spellStart"/>
      <w:r w:rsidRPr="00486C63">
        <w:rPr>
          <w:rFonts w:ascii="Times New Roman" w:eastAsiaTheme="minorEastAsia" w:hAnsi="Times New Roman" w:cs="Times New Roman"/>
          <w:sz w:val="24"/>
          <w:szCs w:val="24"/>
        </w:rPr>
        <w:t>Tokeny</w:t>
      </w:r>
      <w:proofErr w:type="spellEnd"/>
      <w:r w:rsidRPr="00486C63">
        <w:rPr>
          <w:rFonts w:ascii="Times New Roman" w:eastAsiaTheme="minorEastAsia" w:hAnsi="Times New Roman" w:cs="Times New Roman"/>
          <w:sz w:val="24"/>
          <w:szCs w:val="24"/>
        </w:rPr>
        <w:t xml:space="preserve"> będące e-pieniądzem, co do zasady utrzymywać będą stabilną wartość dzięki powiązaniu z tylko jedną walutą urzędową, która jest wyemitowana przez bank centralny lub inny organ kształtujący politykę pieniężną. Takie </w:t>
      </w:r>
      <w:proofErr w:type="spellStart"/>
      <w:r w:rsidRPr="00486C63">
        <w:rPr>
          <w:rFonts w:ascii="Times New Roman" w:eastAsiaTheme="minorEastAsia" w:hAnsi="Times New Roman" w:cs="Times New Roman"/>
          <w:sz w:val="24"/>
          <w:szCs w:val="24"/>
        </w:rPr>
        <w:t>kryptoaktywa</w:t>
      </w:r>
      <w:proofErr w:type="spellEnd"/>
      <w:r w:rsidRPr="00486C63">
        <w:rPr>
          <w:rFonts w:ascii="Times New Roman" w:eastAsiaTheme="minorEastAsia" w:hAnsi="Times New Roman" w:cs="Times New Roman"/>
          <w:sz w:val="24"/>
          <w:szCs w:val="24"/>
        </w:rPr>
        <w:t xml:space="preserve"> pełnią funkcję bardzo podobną do tej, jaką pełni pieniądz elektroniczny (zgodnie z definicją zawartą w </w:t>
      </w:r>
      <w:r>
        <w:rPr>
          <w:rFonts w:ascii="Times New Roman" w:eastAsiaTheme="minorEastAsia" w:hAnsi="Times New Roman" w:cs="Times New Roman"/>
          <w:sz w:val="24"/>
          <w:szCs w:val="24"/>
        </w:rPr>
        <w:t>d</w:t>
      </w:r>
      <w:r w:rsidRPr="00486C63">
        <w:rPr>
          <w:rFonts w:ascii="Times New Roman" w:eastAsiaTheme="minorEastAsia" w:hAnsi="Times New Roman" w:cs="Times New Roman"/>
          <w:sz w:val="24"/>
          <w:szCs w:val="24"/>
        </w:rPr>
        <w:t>yrektywie Parlamentu Europejskiego i Rady 2009/110/WE z dnia 16 września 2009 r. w sprawie podejmowania i prowadzenia działalności przez instytucje pieniądza elektronicznego oraz nadzoru ostrożnościowego nad ich działalnością, zmieniającej dyrektywy 2005/60/WE i 2006/48/WE oraz uchylająca dyrektywę 2000/46/WE (Dz.</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U</w:t>
      </w:r>
      <w:r>
        <w:rPr>
          <w:rFonts w:ascii="Times New Roman" w:eastAsiaTheme="minorEastAsia" w:hAnsi="Times New Roman" w:cs="Times New Roman"/>
          <w:sz w:val="24"/>
          <w:szCs w:val="24"/>
        </w:rPr>
        <w:t>rz</w:t>
      </w:r>
      <w:r w:rsidRPr="00486C6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UE</w:t>
      </w:r>
      <w:r w:rsidRPr="00486C63">
        <w:rPr>
          <w:rFonts w:ascii="Times New Roman" w:eastAsiaTheme="minorEastAsia" w:hAnsi="Times New Roman" w:cs="Times New Roman"/>
          <w:sz w:val="24"/>
          <w:szCs w:val="24"/>
        </w:rPr>
        <w:t xml:space="preserve"> L 267/7 z 10.10.2009 r.</w:t>
      </w:r>
      <w:r>
        <w:rPr>
          <w:rFonts w:ascii="Times New Roman" w:eastAsiaTheme="minorEastAsia" w:hAnsi="Times New Roman" w:cs="Times New Roman"/>
          <w:sz w:val="24"/>
          <w:szCs w:val="24"/>
        </w:rPr>
        <w:t>, str. 7−17</w:t>
      </w:r>
      <w:r w:rsidRPr="00486C63">
        <w:rPr>
          <w:rFonts w:ascii="Times New Roman" w:eastAsiaTheme="minorEastAsia" w:hAnsi="Times New Roman" w:cs="Times New Roman"/>
          <w:sz w:val="24"/>
          <w:szCs w:val="24"/>
        </w:rPr>
        <w:t xml:space="preserve">). Unijny </w:t>
      </w:r>
      <w:r>
        <w:rPr>
          <w:rFonts w:ascii="Times New Roman" w:eastAsiaTheme="minorEastAsia" w:hAnsi="Times New Roman" w:cs="Times New Roman"/>
          <w:sz w:val="24"/>
          <w:szCs w:val="24"/>
        </w:rPr>
        <w:t xml:space="preserve">ustawodawca </w:t>
      </w:r>
      <w:r w:rsidRPr="00486C63">
        <w:rPr>
          <w:rFonts w:ascii="Times New Roman" w:eastAsiaTheme="minorEastAsia" w:hAnsi="Times New Roman" w:cs="Times New Roman"/>
          <w:sz w:val="24"/>
          <w:szCs w:val="24"/>
        </w:rPr>
        <w:t xml:space="preserve">w rozporządzeniu </w:t>
      </w:r>
      <w:proofErr w:type="spellStart"/>
      <w:r w:rsidRPr="00486C63">
        <w:rPr>
          <w:rFonts w:ascii="Times New Roman" w:eastAsiaTheme="minorEastAsia" w:hAnsi="Times New Roman" w:cs="Times New Roman"/>
          <w:sz w:val="24"/>
          <w:szCs w:val="24"/>
        </w:rPr>
        <w:t>MiCA</w:t>
      </w:r>
      <w:proofErr w:type="spellEnd"/>
      <w:r w:rsidRPr="00486C63">
        <w:rPr>
          <w:rFonts w:ascii="Times New Roman" w:eastAsiaTheme="minorEastAsia" w:hAnsi="Times New Roman" w:cs="Times New Roman"/>
          <w:sz w:val="24"/>
          <w:szCs w:val="24"/>
        </w:rPr>
        <w:t xml:space="preserve">, co do zasady, zdecydował się na objęcie regulacją i nadzorem </w:t>
      </w:r>
      <w:proofErr w:type="spellStart"/>
      <w:r w:rsidRPr="00486C63">
        <w:rPr>
          <w:rFonts w:ascii="Times New Roman" w:eastAsiaTheme="minorEastAsia" w:hAnsi="Times New Roman" w:cs="Times New Roman"/>
          <w:sz w:val="24"/>
          <w:szCs w:val="24"/>
        </w:rPr>
        <w:t>kryptowalut</w:t>
      </w:r>
      <w:proofErr w:type="spellEnd"/>
      <w:r w:rsidRPr="00486C63">
        <w:rPr>
          <w:rFonts w:ascii="Times New Roman" w:eastAsiaTheme="minorEastAsia" w:hAnsi="Times New Roman" w:cs="Times New Roman"/>
          <w:sz w:val="24"/>
          <w:szCs w:val="24"/>
        </w:rPr>
        <w:t xml:space="preserve"> będących </w:t>
      </w:r>
      <w:proofErr w:type="spellStart"/>
      <w:r w:rsidRPr="00486C63">
        <w:rPr>
          <w:rFonts w:ascii="Times New Roman" w:eastAsiaTheme="minorEastAsia" w:hAnsi="Times New Roman" w:cs="Times New Roman"/>
          <w:sz w:val="24"/>
          <w:szCs w:val="24"/>
        </w:rPr>
        <w:t>stablecoinami</w:t>
      </w:r>
      <w:proofErr w:type="spellEnd"/>
      <w:r w:rsidRPr="00486C63">
        <w:rPr>
          <w:rFonts w:ascii="Times New Roman" w:eastAsiaTheme="minorEastAsia" w:hAnsi="Times New Roman" w:cs="Times New Roman"/>
          <w:sz w:val="24"/>
          <w:szCs w:val="24"/>
        </w:rPr>
        <w:t xml:space="preserve"> zabezpieczonymi walutą tradycyjną, z uwagi z jednej strony na potencjalny wpływ takich aktywów na stabilność finansową państw członkowskich, z drugiej na zapewnienie ich lepszego wykorzystywania do ustabilizowania cen najbardziej popularnych </w:t>
      </w:r>
      <w:proofErr w:type="spellStart"/>
      <w:r w:rsidRPr="00486C63">
        <w:rPr>
          <w:rFonts w:ascii="Times New Roman" w:eastAsiaTheme="minorEastAsia" w:hAnsi="Times New Roman" w:cs="Times New Roman"/>
          <w:sz w:val="24"/>
          <w:szCs w:val="24"/>
        </w:rPr>
        <w:t>kryptowalut</w:t>
      </w:r>
      <w:proofErr w:type="spellEnd"/>
      <w:r w:rsidRPr="00486C63">
        <w:rPr>
          <w:rFonts w:ascii="Times New Roman" w:eastAsiaTheme="minorEastAsia" w:hAnsi="Times New Roman" w:cs="Times New Roman"/>
          <w:sz w:val="24"/>
          <w:szCs w:val="24"/>
        </w:rPr>
        <w:t xml:space="preserve"> niebędących </w:t>
      </w:r>
      <w:proofErr w:type="spellStart"/>
      <w:r w:rsidRPr="00486C63">
        <w:rPr>
          <w:rFonts w:ascii="Times New Roman" w:eastAsiaTheme="minorEastAsia" w:hAnsi="Times New Roman" w:cs="Times New Roman"/>
          <w:sz w:val="24"/>
          <w:szCs w:val="24"/>
        </w:rPr>
        <w:t>stablecoinem</w:t>
      </w:r>
      <w:proofErr w:type="spellEnd"/>
      <w:r w:rsidRPr="00486C63">
        <w:rPr>
          <w:rFonts w:ascii="Times New Roman" w:eastAsiaTheme="minorEastAsia" w:hAnsi="Times New Roman" w:cs="Times New Roman"/>
          <w:sz w:val="24"/>
          <w:szCs w:val="24"/>
        </w:rPr>
        <w:t>. Z uwagi na dostosowawczy charakter przedmiotowych zmian mogą one wejść w życie w trakcie roku, gdyż nie zmieniają zasad opodatkowania podatkiem PIT</w:t>
      </w:r>
      <w:r w:rsidRPr="00BB3E59">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i CIT.</w:t>
      </w:r>
    </w:p>
    <w:p w14:paraId="179E179D" w14:textId="578F95BA" w:rsidR="00C21D4B" w:rsidRDefault="00C21D4B" w:rsidP="00781E1E">
      <w:pPr>
        <w:spacing w:line="360" w:lineRule="auto"/>
        <w:ind w:left="708"/>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w:t>
      </w:r>
      <w:r w:rsidR="001F704A">
        <w:rPr>
          <w:rFonts w:ascii="Times New Roman" w:eastAsiaTheme="minorEastAsia" w:hAnsi="Times New Roman" w:cs="Times New Roman"/>
          <w:b/>
          <w:bCs/>
          <w:sz w:val="24"/>
          <w:szCs w:val="24"/>
        </w:rPr>
        <w:t>5</w:t>
      </w:r>
      <w:r w:rsidRPr="00486C63">
        <w:rPr>
          <w:rFonts w:ascii="Times New Roman" w:eastAsiaTheme="minorEastAsia" w:hAnsi="Times New Roman" w:cs="Times New Roman"/>
          <w:sz w:val="24"/>
          <w:szCs w:val="24"/>
        </w:rPr>
        <w:t xml:space="preserve"> wprowadza zmiany w ustawie z dnia 29 września 1994 r. o rachunkowości w zakresie informacji dodatkowej, do której sporządzenia zobowiązany będzie dostawca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Zgodnie z wprowadzaną zmianą w art. 48 zmienianej ustawy dostawca ten jest zobowiązany do wykazania w tej informacji również wartości przychodów z tytułu świadczenia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w:t>
      </w:r>
      <w:r w:rsidRPr="00486C63">
        <w:rPr>
          <w:rFonts w:eastAsiaTheme="minorEastAsia"/>
        </w:rPr>
        <w:t xml:space="preserve"> </w:t>
      </w:r>
      <w:r>
        <w:rPr>
          <w:rFonts w:ascii="Times New Roman" w:eastAsiaTheme="minorEastAsia" w:hAnsi="Times New Roman" w:cs="Times New Roman"/>
          <w:sz w:val="24"/>
          <w:szCs w:val="24"/>
        </w:rPr>
        <w:t xml:space="preserve">Uwzględniono </w:t>
      </w:r>
      <w:r w:rsidRPr="00486C63">
        <w:rPr>
          <w:rFonts w:ascii="Times New Roman" w:eastAsiaTheme="minorEastAsia" w:hAnsi="Times New Roman" w:cs="Times New Roman"/>
          <w:sz w:val="24"/>
          <w:szCs w:val="24"/>
        </w:rPr>
        <w:t xml:space="preserve">również zmianę w art. 64 </w:t>
      </w:r>
      <w:r>
        <w:rPr>
          <w:rFonts w:ascii="Times New Roman" w:eastAsiaTheme="minorEastAsia" w:hAnsi="Times New Roman" w:cs="Times New Roman"/>
          <w:sz w:val="24"/>
          <w:szCs w:val="24"/>
        </w:rPr>
        <w:t xml:space="preserve">ust. 1 ww. </w:t>
      </w:r>
      <w:r w:rsidRPr="00486C63">
        <w:rPr>
          <w:rFonts w:ascii="Times New Roman" w:eastAsiaTheme="minorEastAsia" w:hAnsi="Times New Roman" w:cs="Times New Roman"/>
          <w:sz w:val="24"/>
          <w:szCs w:val="24"/>
        </w:rPr>
        <w:t xml:space="preserve">ustawy poprzez dodanie pkt 2c uwzględniającego podmioty działające na podstawie projektowanej ustawy. </w:t>
      </w:r>
      <w:r>
        <w:rPr>
          <w:rFonts w:ascii="Times New Roman" w:eastAsiaTheme="minorEastAsia" w:hAnsi="Times New Roman" w:cs="Times New Roman"/>
          <w:sz w:val="24"/>
          <w:szCs w:val="24"/>
        </w:rPr>
        <w:t xml:space="preserve">Natomiast do </w:t>
      </w:r>
      <w:r w:rsidRPr="00486C63">
        <w:rPr>
          <w:rFonts w:ascii="Times New Roman" w:eastAsiaTheme="minorEastAsia" w:hAnsi="Times New Roman" w:cs="Times New Roman"/>
          <w:sz w:val="24"/>
          <w:szCs w:val="24"/>
        </w:rPr>
        <w:t xml:space="preserve">art. 81 zmienianej ustawy </w:t>
      </w:r>
      <w:r>
        <w:rPr>
          <w:rFonts w:ascii="Times New Roman" w:eastAsiaTheme="minorEastAsia" w:hAnsi="Times New Roman" w:cs="Times New Roman"/>
          <w:sz w:val="24"/>
          <w:szCs w:val="24"/>
        </w:rPr>
        <w:t xml:space="preserve">wprowadza się upoważnienie do wydania przez ministra do spraw finansów publicznych rozporządzenia w zakresie doprecyzowania kwestii opłat za nadzór na rynku </w:t>
      </w:r>
      <w:proofErr w:type="spellStart"/>
      <w:r>
        <w:rPr>
          <w:rFonts w:ascii="Times New Roman" w:eastAsiaTheme="minorEastAsia" w:hAnsi="Times New Roman" w:cs="Times New Roman"/>
          <w:sz w:val="24"/>
          <w:szCs w:val="24"/>
        </w:rPr>
        <w:t>kryptoaktywów</w:t>
      </w:r>
      <w:proofErr w:type="spellEnd"/>
      <w:r>
        <w:rPr>
          <w:rFonts w:ascii="Times New Roman" w:eastAsiaTheme="minorEastAsia" w:hAnsi="Times New Roman" w:cs="Times New Roman"/>
          <w:sz w:val="24"/>
          <w:szCs w:val="24"/>
        </w:rPr>
        <w:t>, w szczególności dookreślenie</w:t>
      </w:r>
      <w:r w:rsidR="00ED6195">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że wpłata na pokrycie kosztów nadzoru dotyczy jedynie działalności związanej ze świadczeniem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w:t>
      </w:r>
    </w:p>
    <w:p w14:paraId="26FCA566" w14:textId="3CDB0D31" w:rsidR="00C21D4B" w:rsidRPr="00486C63" w:rsidRDefault="00C21D4B" w:rsidP="00781E1E">
      <w:pPr>
        <w:spacing w:line="360" w:lineRule="auto"/>
        <w:ind w:left="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w:t>
      </w:r>
      <w:r w:rsidR="001F704A">
        <w:rPr>
          <w:rFonts w:ascii="Times New Roman" w:eastAsiaTheme="minorEastAsia" w:hAnsi="Times New Roman" w:cs="Times New Roman"/>
          <w:b/>
          <w:bCs/>
          <w:sz w:val="24"/>
          <w:szCs w:val="24"/>
        </w:rPr>
        <w:t>7</w:t>
      </w:r>
      <w:r w:rsidRPr="00486C63">
        <w:rPr>
          <w:rFonts w:ascii="Times New Roman" w:eastAsiaTheme="minorEastAsia" w:hAnsi="Times New Roman" w:cs="Times New Roman"/>
          <w:sz w:val="24"/>
          <w:szCs w:val="24"/>
        </w:rPr>
        <w:t xml:space="preserve"> wprowadza zmiany w ustawie z dnia 6 czerwca 1997 roku – Kodeks postępowania karnego. Zmiana art. 236b ww. ustawy polega na dodaniu </w:t>
      </w:r>
      <w:proofErr w:type="spellStart"/>
      <w:r w:rsidRPr="00486C63">
        <w:rPr>
          <w:rFonts w:ascii="Times New Roman" w:eastAsiaTheme="minorEastAsia" w:hAnsi="Times New Roman" w:cs="Times New Roman"/>
          <w:sz w:val="24"/>
          <w:szCs w:val="24"/>
        </w:rPr>
        <w:t>kryptoaktywa</w:t>
      </w:r>
      <w:proofErr w:type="spellEnd"/>
      <w:r w:rsidRPr="00486C63">
        <w:rPr>
          <w:rFonts w:ascii="Times New Roman" w:eastAsiaTheme="minorEastAsia" w:hAnsi="Times New Roman" w:cs="Times New Roman"/>
          <w:sz w:val="24"/>
          <w:szCs w:val="24"/>
        </w:rPr>
        <w:t xml:space="preserve"> do katalogu rzeczy i przedmiotów. Dzięki proponowanej zmianie możliwe będzie ich objęcie postanowieniem w przedmiocie dowodów rzeczowych, czego rezultatem będzie m.in. objęcie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obowiązkiem ich wydania na żądanie sądu lub prokuratora, a w wypadkach niecierpiących zwłoki </w:t>
      </w:r>
      <w:r>
        <w:rPr>
          <w:rFonts w:ascii="Times New Roman" w:eastAsiaTheme="minorEastAsia" w:hAnsi="Times New Roman" w:cs="Times New Roman"/>
          <w:sz w:val="24"/>
          <w:szCs w:val="24"/>
        </w:rPr>
        <w:sym w:font="Symbol" w:char="F02D"/>
      </w:r>
      <w:r w:rsidRPr="00486C63">
        <w:rPr>
          <w:rFonts w:ascii="Times New Roman" w:eastAsiaTheme="minorEastAsia" w:hAnsi="Times New Roman" w:cs="Times New Roman"/>
          <w:sz w:val="24"/>
          <w:szCs w:val="24"/>
        </w:rPr>
        <w:t xml:space="preserve"> także na żądanie Policji lub innego uprawnionego organu, w przypadku gdy te </w:t>
      </w:r>
      <w:proofErr w:type="spellStart"/>
      <w:r w:rsidRPr="00486C63">
        <w:rPr>
          <w:rFonts w:ascii="Times New Roman" w:eastAsiaTheme="minorEastAsia" w:hAnsi="Times New Roman" w:cs="Times New Roman"/>
          <w:sz w:val="24"/>
          <w:szCs w:val="24"/>
        </w:rPr>
        <w:t>kryptoaktywa</w:t>
      </w:r>
      <w:proofErr w:type="spellEnd"/>
      <w:r w:rsidRPr="00486C63">
        <w:rPr>
          <w:rFonts w:ascii="Times New Roman" w:eastAsiaTheme="minorEastAsia" w:hAnsi="Times New Roman" w:cs="Times New Roman"/>
          <w:sz w:val="24"/>
          <w:szCs w:val="24"/>
        </w:rPr>
        <w:t xml:space="preserve"> stanowić będą dowód w sprawie lub będą podlegać zajęciu w celu zabezpieczenia kar majątkowych, środków karnych o charakterze majątkowym, przepadku, środków kompensacyjnych albo roszczeń o naprawienie szkody.</w:t>
      </w:r>
    </w:p>
    <w:p w14:paraId="4561F8D8" w14:textId="3A95EE3D" w:rsidR="00C21D4B" w:rsidRPr="00486C63" w:rsidRDefault="00C21D4B" w:rsidP="00781E1E">
      <w:pPr>
        <w:spacing w:line="360" w:lineRule="auto"/>
        <w:ind w:left="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w:t>
      </w:r>
      <w:r w:rsidR="00A3036A">
        <w:rPr>
          <w:rFonts w:ascii="Times New Roman" w:eastAsiaTheme="minorEastAsia" w:hAnsi="Times New Roman" w:cs="Times New Roman"/>
          <w:b/>
          <w:bCs/>
          <w:sz w:val="24"/>
          <w:szCs w:val="24"/>
        </w:rPr>
        <w:t>8</w:t>
      </w:r>
      <w:r w:rsidRPr="00486C63">
        <w:rPr>
          <w:rFonts w:ascii="Times New Roman" w:eastAsiaTheme="minorEastAsia" w:hAnsi="Times New Roman" w:cs="Times New Roman"/>
          <w:sz w:val="24"/>
          <w:szCs w:val="24"/>
        </w:rPr>
        <w:t xml:space="preserve"> wprowadza zmiany do </w:t>
      </w:r>
      <w:bookmarkStart w:id="30" w:name="_Hlk172889878"/>
      <w:r w:rsidRPr="00486C63">
        <w:rPr>
          <w:rFonts w:ascii="Times New Roman" w:eastAsiaTheme="minorEastAsia" w:hAnsi="Times New Roman" w:cs="Times New Roman"/>
          <w:sz w:val="24"/>
          <w:szCs w:val="24"/>
        </w:rPr>
        <w:t>ustawy</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 </w:t>
      </w:r>
      <w:bookmarkEnd w:id="30"/>
      <w:r w:rsidRPr="00486C63">
        <w:rPr>
          <w:rFonts w:ascii="Times New Roman" w:eastAsiaTheme="minorEastAsia" w:hAnsi="Times New Roman" w:cs="Times New Roman"/>
          <w:sz w:val="24"/>
          <w:szCs w:val="24"/>
        </w:rPr>
        <w:t xml:space="preserve">Prawo bankowe. W </w:t>
      </w:r>
      <w:r w:rsidRPr="00486C63">
        <w:rPr>
          <w:rFonts w:ascii="Times New Roman" w:eastAsiaTheme="minorEastAsia" w:hAnsi="Times New Roman"/>
          <w:bCs/>
          <w:sz w:val="24"/>
        </w:rPr>
        <w:t>pkt 1</w:t>
      </w:r>
      <w:r w:rsidRPr="00486C63">
        <w:rPr>
          <w:rFonts w:ascii="Times New Roman" w:eastAsiaTheme="minorEastAsia" w:hAnsi="Times New Roman" w:cs="Times New Roman"/>
          <w:sz w:val="24"/>
          <w:szCs w:val="24"/>
        </w:rPr>
        <w:t xml:space="preserve"> lit. a zmienia się zakres czynności bankowych poprzez zmianę art. 5 ust. 2 pkt 3, który zawęża się do świadczenia usług płatniczych, natomiast w kwestii wydawania pieniądza elektronicznego dodaje się pkt 3a </w:t>
      </w:r>
      <w:r w:rsidRPr="00486C63">
        <w:rPr>
          <w:rFonts w:ascii="Times New Roman" w:eastAsiaTheme="minorEastAsia" w:hAnsi="Times New Roman"/>
          <w:b/>
          <w:sz w:val="24"/>
        </w:rPr>
        <w:t>(</w:t>
      </w:r>
      <w:r w:rsidRPr="00486C63">
        <w:rPr>
          <w:rFonts w:ascii="Times New Roman" w:eastAsiaTheme="minorEastAsia" w:hAnsi="Times New Roman" w:cs="Times New Roman"/>
          <w:sz w:val="24"/>
          <w:szCs w:val="24"/>
        </w:rPr>
        <w:t xml:space="preserve">pkt 1 </w:t>
      </w:r>
      <w:r w:rsidRPr="00486C63">
        <w:rPr>
          <w:rFonts w:ascii="Times New Roman" w:eastAsiaTheme="minorEastAsia" w:hAnsi="Times New Roman"/>
          <w:sz w:val="24"/>
        </w:rPr>
        <w:t>lit. b projektu</w:t>
      </w:r>
      <w:r w:rsidRPr="00486C63">
        <w:rPr>
          <w:rFonts w:ascii="Times New Roman" w:eastAsiaTheme="minorEastAsia" w:hAnsi="Times New Roman"/>
          <w:b/>
          <w:sz w:val="24"/>
        </w:rPr>
        <w:t>)</w:t>
      </w:r>
      <w:r w:rsidRPr="00486C63">
        <w:rPr>
          <w:rFonts w:ascii="Times New Roman" w:eastAsiaTheme="minorEastAsia" w:hAnsi="Times New Roman" w:cs="Times New Roman"/>
          <w:sz w:val="24"/>
          <w:szCs w:val="24"/>
        </w:rPr>
        <w:t xml:space="preserve">, który odnosi się również do emisji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xml:space="preserve"> będących </w:t>
      </w:r>
      <w:r>
        <w:rPr>
          <w:rFonts w:ascii="Times New Roman" w:eastAsiaTheme="minorEastAsia" w:hAnsi="Times New Roman" w:cs="Times New Roman"/>
          <w:sz w:val="24"/>
          <w:szCs w:val="24"/>
        </w:rPr>
        <w:t>e-</w:t>
      </w:r>
      <w:r w:rsidRPr="00486C63">
        <w:rPr>
          <w:rFonts w:ascii="Times New Roman" w:eastAsiaTheme="minorEastAsia" w:hAnsi="Times New Roman" w:cs="Times New Roman"/>
          <w:sz w:val="24"/>
          <w:szCs w:val="24"/>
        </w:rPr>
        <w:t xml:space="preserve">pieniądzem, zdefiniowanym w art. 3 ust. 1 pkt 7 rozporządzenia 2023/1114. W pkt 1 </w:t>
      </w:r>
      <w:r w:rsidRPr="00486C63">
        <w:rPr>
          <w:rFonts w:ascii="Times New Roman" w:eastAsiaTheme="minorEastAsia" w:hAnsi="Times New Roman"/>
          <w:sz w:val="24"/>
        </w:rPr>
        <w:t>lit. c</w:t>
      </w:r>
      <w:r w:rsidRPr="00486C63">
        <w:rPr>
          <w:rFonts w:ascii="Times New Roman" w:eastAsiaTheme="minorEastAsia" w:hAnsi="Times New Roman"/>
          <w:b/>
          <w:sz w:val="24"/>
        </w:rPr>
        <w:t xml:space="preserve"> </w:t>
      </w:r>
      <w:r w:rsidRPr="00486C63">
        <w:rPr>
          <w:rFonts w:ascii="Times New Roman" w:eastAsiaTheme="minorEastAsia" w:hAnsi="Times New Roman"/>
          <w:sz w:val="24"/>
        </w:rPr>
        <w:t>projektu</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ustawy </w:t>
      </w:r>
      <w:r w:rsidRPr="00486C63">
        <w:rPr>
          <w:rFonts w:ascii="Times New Roman" w:eastAsiaTheme="minorEastAsia" w:hAnsi="Times New Roman" w:cs="Times New Roman"/>
          <w:sz w:val="24"/>
          <w:szCs w:val="24"/>
        </w:rPr>
        <w:t xml:space="preserve">rozszerza się katalog czynności bankowych, o których mowa w art. 5 ust. 2 wykonywanych przez banki poprzez dodanie pkt 14, dotyczącego emisji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xml:space="preserve"> powiązanych z aktywami zdefiniowanych w art. 3 ust. 1 pkt 6 rozporządzenia 2023/1114 oraz pkt 15 dotyczącego świadczenia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zdefiniowanych w art. 3 ust. 1 pkt 16 rozporządzenia 2023/1114. </w:t>
      </w:r>
      <w:r>
        <w:rPr>
          <w:rFonts w:ascii="Times New Roman" w:eastAsiaTheme="minorEastAsia" w:hAnsi="Times New Roman" w:cs="Times New Roman"/>
          <w:sz w:val="24"/>
          <w:szCs w:val="24"/>
        </w:rPr>
        <w:t>Stosownie</w:t>
      </w:r>
      <w:r w:rsidRPr="00486C63">
        <w:rPr>
          <w:rFonts w:ascii="Times New Roman" w:eastAsiaTheme="minorEastAsia" w:hAnsi="Times New Roman" w:cs="Times New Roman"/>
          <w:sz w:val="24"/>
          <w:szCs w:val="24"/>
        </w:rPr>
        <w:t xml:space="preserve"> do zaproponowanej zmiany w art. 1</w:t>
      </w:r>
      <w:r>
        <w:rPr>
          <w:rFonts w:ascii="Times New Roman" w:eastAsiaTheme="minorEastAsia" w:hAnsi="Times New Roman" w:cs="Times New Roman"/>
          <w:sz w:val="24"/>
          <w:szCs w:val="24"/>
        </w:rPr>
        <w:t>9</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projektu </w:t>
      </w:r>
      <w:r w:rsidRPr="00486C63">
        <w:rPr>
          <w:rFonts w:ascii="Times New Roman" w:eastAsiaTheme="minorEastAsia" w:hAnsi="Times New Roman" w:cs="Times New Roman"/>
          <w:sz w:val="24"/>
          <w:szCs w:val="24"/>
        </w:rPr>
        <w:t xml:space="preserve">ustawy, możliwość wymiany informacji w celach </w:t>
      </w:r>
      <w:proofErr w:type="spellStart"/>
      <w:r w:rsidRPr="00486C63">
        <w:rPr>
          <w:rFonts w:ascii="Times New Roman" w:eastAsiaTheme="minorEastAsia" w:hAnsi="Times New Roman" w:cs="Times New Roman"/>
          <w:sz w:val="24"/>
          <w:szCs w:val="24"/>
        </w:rPr>
        <w:t>antyfraudowych</w:t>
      </w:r>
      <w:proofErr w:type="spellEnd"/>
      <w:r w:rsidRPr="00486C63">
        <w:rPr>
          <w:rFonts w:ascii="Times New Roman" w:eastAsiaTheme="minorEastAsia" w:hAnsi="Times New Roman" w:cs="Times New Roman"/>
          <w:sz w:val="24"/>
          <w:szCs w:val="24"/>
        </w:rPr>
        <w:t xml:space="preserve"> i AML ma kluczowe znaczenie dla zapewnienia bezpieczeństwa działalności prowadzonej przez podmioty nadzorowane, a w szerszym kontekście bezpieczeństwa całego rynku finansowego i obrotu gospodarczego w Rzeczypospolitej Polskiej. Z tego względu należy dodać dostawców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do art. 106d</w:t>
      </w:r>
      <w:r>
        <w:rPr>
          <w:rFonts w:ascii="Times New Roman" w:eastAsiaTheme="minorEastAsia" w:hAnsi="Times New Roman" w:cs="Times New Roman"/>
          <w:sz w:val="24"/>
          <w:szCs w:val="24"/>
        </w:rPr>
        <w:t xml:space="preserve"> zmienianej w tym artykule</w:t>
      </w:r>
      <w:r w:rsidRPr="00486C63">
        <w:rPr>
          <w:rFonts w:ascii="Times New Roman" w:eastAsiaTheme="minorEastAsia" w:hAnsi="Times New Roman" w:cs="Times New Roman"/>
          <w:sz w:val="24"/>
          <w:szCs w:val="24"/>
        </w:rPr>
        <w:t xml:space="preserve"> ustawy (pkt 2). Tym samym podmioty te będą uprawnione do wymiany informacji na podstawie tego przepisu. Przepis ten odnosi się do szerokiego katalogu podmiotów rynku finansowego, które mogą wymieniać między sobą informacje w celach zapobiegania przestępstwom oraz zapobiegania praniu pieniędzy i finansowaniu terroryzmu. Włączenie dostawców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do systemu wymiany tego rodzaju informacji ma istotne znaczenie także z</w:t>
      </w:r>
      <w:r>
        <w:rPr>
          <w:rFonts w:ascii="Times New Roman" w:eastAsiaTheme="minorEastAsia" w:hAnsi="Times New Roman" w:cs="Times New Roman"/>
          <w:sz w:val="24"/>
          <w:szCs w:val="24"/>
        </w:rPr>
        <w:t>e</w:t>
      </w:r>
      <w:r w:rsidRPr="00486C63">
        <w:rPr>
          <w:rFonts w:ascii="Times New Roman" w:eastAsiaTheme="minorEastAsia" w:hAnsi="Times New Roman" w:cs="Times New Roman"/>
          <w:sz w:val="24"/>
          <w:szCs w:val="24"/>
        </w:rPr>
        <w:t xml:space="preserve"> względu na dokonywanie transakcji związanych z </w:t>
      </w:r>
      <w:proofErr w:type="spellStart"/>
      <w:r w:rsidRPr="00486C63">
        <w:rPr>
          <w:rFonts w:ascii="Times New Roman" w:eastAsiaTheme="minorEastAsia" w:hAnsi="Times New Roman" w:cs="Times New Roman"/>
          <w:sz w:val="24"/>
          <w:szCs w:val="24"/>
        </w:rPr>
        <w:t>kryptoaktywami</w:t>
      </w:r>
      <w:proofErr w:type="spellEnd"/>
      <w:r w:rsidRPr="00486C63">
        <w:rPr>
          <w:rFonts w:ascii="Times New Roman" w:eastAsiaTheme="minorEastAsia" w:hAnsi="Times New Roman" w:cs="Times New Roman"/>
          <w:sz w:val="24"/>
          <w:szCs w:val="24"/>
        </w:rPr>
        <w:t xml:space="preserve"> z wykorzystaniem środków pieniężnych zgromadzonych na rachunkach bankowych. Uwzględniając potrzebę zapewnienia możliwości współpracy, w tym wymiany informacji, w szczególności pomiędzy bankami a dostawcami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w celach </w:t>
      </w:r>
      <w:proofErr w:type="spellStart"/>
      <w:r w:rsidRPr="00486C63">
        <w:rPr>
          <w:rFonts w:ascii="Times New Roman" w:eastAsiaTheme="minorEastAsia" w:hAnsi="Times New Roman" w:cs="Times New Roman"/>
          <w:sz w:val="24"/>
          <w:szCs w:val="24"/>
        </w:rPr>
        <w:t>antyfraudowych</w:t>
      </w:r>
      <w:proofErr w:type="spellEnd"/>
      <w:r w:rsidRPr="00486C63">
        <w:rPr>
          <w:rFonts w:ascii="Times New Roman" w:eastAsiaTheme="minorEastAsia" w:hAnsi="Times New Roman" w:cs="Times New Roman"/>
          <w:sz w:val="24"/>
          <w:szCs w:val="24"/>
        </w:rPr>
        <w:t xml:space="preserve"> i AML, tym bardziej zasadne wydaje się dodanie dostawców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do katalogu podmiotów z art. 106d ww</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ustawy. W przeciwnym razie dostawcy ci mogą napotykać na przeszkody natury prawnej w podejmowan</w:t>
      </w:r>
      <w:r>
        <w:rPr>
          <w:rFonts w:ascii="Times New Roman" w:eastAsiaTheme="minorEastAsia" w:hAnsi="Times New Roman" w:cs="Times New Roman"/>
          <w:sz w:val="24"/>
          <w:szCs w:val="24"/>
        </w:rPr>
        <w:t>iu</w:t>
      </w:r>
      <w:r w:rsidRPr="00486C63">
        <w:rPr>
          <w:rFonts w:ascii="Times New Roman" w:eastAsiaTheme="minorEastAsia" w:hAnsi="Times New Roman" w:cs="Times New Roman"/>
          <w:sz w:val="24"/>
          <w:szCs w:val="24"/>
        </w:rPr>
        <w:t xml:space="preserve"> działań służących m.in. zagwarantowaniu bezpieczeństwa ich klientów, którzy mogą padać ofiarą przestępstw związanych z </w:t>
      </w:r>
      <w:proofErr w:type="spellStart"/>
      <w:r w:rsidRPr="00486C63">
        <w:rPr>
          <w:rFonts w:ascii="Times New Roman" w:eastAsiaTheme="minorEastAsia" w:hAnsi="Times New Roman" w:cs="Times New Roman"/>
          <w:sz w:val="24"/>
          <w:szCs w:val="24"/>
        </w:rPr>
        <w:t>kryptoaktywami</w:t>
      </w:r>
      <w:proofErr w:type="spellEnd"/>
      <w:r w:rsidRPr="00486C63">
        <w:rPr>
          <w:rFonts w:ascii="Times New Roman" w:eastAsiaTheme="minorEastAsia" w:hAnsi="Times New Roman" w:cs="Times New Roman"/>
          <w:sz w:val="24"/>
          <w:szCs w:val="24"/>
        </w:rPr>
        <w:t>.</w:t>
      </w:r>
    </w:p>
    <w:p w14:paraId="5A94588C" w14:textId="7554B663" w:rsidR="00C21D4B" w:rsidRPr="00486C63" w:rsidRDefault="00C21D4B" w:rsidP="00781E1E">
      <w:pPr>
        <w:spacing w:line="360" w:lineRule="auto"/>
        <w:ind w:left="142"/>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w:t>
      </w:r>
      <w:r w:rsidR="00A3036A">
        <w:rPr>
          <w:rFonts w:ascii="Times New Roman" w:eastAsiaTheme="minorEastAsia" w:hAnsi="Times New Roman" w:cs="Times New Roman"/>
          <w:b/>
          <w:bCs/>
          <w:sz w:val="24"/>
          <w:szCs w:val="24"/>
        </w:rPr>
        <w:t>9</w:t>
      </w:r>
      <w:r w:rsidRPr="00486C63">
        <w:rPr>
          <w:rFonts w:ascii="Segoe UI" w:eastAsiaTheme="minorEastAsia" w:hAnsi="Segoe UI" w:cs="Segoe UI"/>
          <w:sz w:val="21"/>
          <w:szCs w:val="21"/>
          <w:lang w:eastAsia="pl-PL"/>
        </w:rPr>
        <w:t xml:space="preserve"> </w:t>
      </w:r>
      <w:r w:rsidRPr="00486C63">
        <w:rPr>
          <w:rFonts w:ascii="Times New Roman" w:eastAsiaTheme="minorEastAsia" w:hAnsi="Times New Roman" w:cs="Times New Roman"/>
          <w:sz w:val="24"/>
          <w:szCs w:val="24"/>
          <w:lang w:eastAsia="pl-PL"/>
        </w:rPr>
        <w:t xml:space="preserve">projektowana zmiana w ustawie z dnia 9 września 2000 r. o podatku od czynności cywilnoprawnych obejmuje zwolnienie z podatku od czynności cywilnoprawnych sprzedaży i zamiany </w:t>
      </w:r>
      <w:proofErr w:type="spellStart"/>
      <w:r w:rsidRPr="00486C63">
        <w:rPr>
          <w:rFonts w:ascii="Times New Roman" w:eastAsiaTheme="minorEastAsia" w:hAnsi="Times New Roman" w:cs="Times New Roman"/>
          <w:sz w:val="24"/>
          <w:szCs w:val="24"/>
          <w:lang w:eastAsia="pl-PL"/>
        </w:rPr>
        <w:t>kryptoaktywów</w:t>
      </w:r>
      <w:proofErr w:type="spellEnd"/>
      <w:r w:rsidRPr="00486C63">
        <w:rPr>
          <w:rFonts w:ascii="Times New Roman" w:eastAsiaTheme="minorEastAsia" w:hAnsi="Times New Roman" w:cs="Times New Roman"/>
          <w:sz w:val="24"/>
          <w:szCs w:val="24"/>
          <w:lang w:eastAsia="pl-PL"/>
        </w:rPr>
        <w:t xml:space="preserve"> w rozumieniu rozporządzenia 2023/1114. Konieczność wprowadzenia przedmiotowej zmiany w przepisach ustawy o podatku od czynności cywilnoprawnych wynika ze zmian wprowadzanych art. 1</w:t>
      </w:r>
      <w:r>
        <w:rPr>
          <w:rFonts w:ascii="Times New Roman" w:eastAsiaTheme="minorEastAsia" w:hAnsi="Times New Roman" w:cs="Times New Roman"/>
          <w:sz w:val="24"/>
          <w:szCs w:val="24"/>
          <w:lang w:eastAsia="pl-PL"/>
        </w:rPr>
        <w:t>5</w:t>
      </w:r>
      <w:r w:rsidR="00A3036A">
        <w:rPr>
          <w:rFonts w:ascii="Times New Roman" w:eastAsiaTheme="minorEastAsia" w:hAnsi="Times New Roman" w:cs="Times New Roman"/>
          <w:sz w:val="24"/>
          <w:szCs w:val="24"/>
          <w:lang w:eastAsia="pl-PL"/>
        </w:rPr>
        <w:t>7</w:t>
      </w:r>
      <w:r w:rsidRPr="00486C63">
        <w:rPr>
          <w:rFonts w:ascii="Times New Roman" w:eastAsiaTheme="minorEastAsia" w:hAnsi="Times New Roman" w:cs="Times New Roman"/>
          <w:sz w:val="24"/>
          <w:szCs w:val="24"/>
          <w:lang w:eastAsia="pl-PL"/>
        </w:rPr>
        <w:t xml:space="preserve"> projektu ustawy, obejmujących nowelizację przepisów ustawy o przeciwdziałaniu praniu pieniędzy oraz finansowaniu terroryzmu przez usunięcie definicji waluty wirtualnej, do której wprost odsyła art. 9 pkt 1a ustawy o podatku od czynności cywilnoprawnych. Zwolnienie walut wirtualnych z podatku od czynności cywilnoprawnych weszło w życie z dniem 1 lipca 2020 r. Ustawa o przeciwdziałaniu praniu pieniędzy i finansowania terroryzmu jako jedyny akt prawny rangi ustawowej, posługiwała się definicją walut wirtualnych, z tego też względu do niej odniesiono się w przepisach ustawy o podatku od czynności cywilnoprawnych. W związku z wprowadzeniem rozporządzenia 2023/1114, które zawiera definicję </w:t>
      </w:r>
      <w:proofErr w:type="spellStart"/>
      <w:r w:rsidRPr="00486C63">
        <w:rPr>
          <w:rFonts w:ascii="Times New Roman" w:eastAsiaTheme="minorEastAsia" w:hAnsi="Times New Roman" w:cs="Times New Roman"/>
          <w:sz w:val="24"/>
          <w:szCs w:val="24"/>
          <w:lang w:eastAsia="pl-PL"/>
        </w:rPr>
        <w:t>kryptoaktywów</w:t>
      </w:r>
      <w:proofErr w:type="spellEnd"/>
      <w:r w:rsidRPr="00486C63">
        <w:rPr>
          <w:rFonts w:ascii="Times New Roman" w:eastAsiaTheme="minorEastAsia" w:hAnsi="Times New Roman" w:cs="Times New Roman"/>
          <w:sz w:val="24"/>
          <w:szCs w:val="24"/>
          <w:lang w:eastAsia="pl-PL"/>
        </w:rPr>
        <w:t xml:space="preserve"> i jako wiążący akt ustawodawczy U</w:t>
      </w:r>
      <w:r>
        <w:rPr>
          <w:rFonts w:ascii="Times New Roman" w:eastAsiaTheme="minorEastAsia" w:hAnsi="Times New Roman" w:cs="Times New Roman"/>
          <w:sz w:val="24"/>
          <w:szCs w:val="24"/>
          <w:lang w:eastAsia="pl-PL"/>
        </w:rPr>
        <w:t xml:space="preserve">nii </w:t>
      </w:r>
      <w:r w:rsidRPr="00486C63">
        <w:rPr>
          <w:rFonts w:ascii="Times New Roman" w:eastAsiaTheme="minorEastAsia" w:hAnsi="Times New Roman" w:cs="Times New Roman"/>
          <w:sz w:val="24"/>
          <w:szCs w:val="24"/>
          <w:lang w:eastAsia="pl-PL"/>
        </w:rPr>
        <w:t>E</w:t>
      </w:r>
      <w:r>
        <w:rPr>
          <w:rFonts w:ascii="Times New Roman" w:eastAsiaTheme="minorEastAsia" w:hAnsi="Times New Roman" w:cs="Times New Roman"/>
          <w:sz w:val="24"/>
          <w:szCs w:val="24"/>
          <w:lang w:eastAsia="pl-PL"/>
        </w:rPr>
        <w:t>uropejskiej</w:t>
      </w:r>
      <w:r w:rsidRPr="00486C63">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 xml:space="preserve">(UE) </w:t>
      </w:r>
      <w:r w:rsidRPr="00486C63">
        <w:rPr>
          <w:rFonts w:ascii="Times New Roman" w:eastAsiaTheme="minorEastAsia" w:hAnsi="Times New Roman" w:cs="Times New Roman"/>
          <w:sz w:val="24"/>
          <w:szCs w:val="24"/>
          <w:lang w:eastAsia="pl-PL"/>
        </w:rPr>
        <w:t>jest bezpośrednio stosowane we wszystkich państwach członkowskich UE, przy określaniu zakresu zwolnienia z PCC możliwe jest oparcie się na definicji wynikającej wprost z jego przepisów.</w:t>
      </w:r>
    </w:p>
    <w:p w14:paraId="0815EA26" w14:textId="0AC93C4E" w:rsidR="00C21D4B" w:rsidRDefault="00C21D4B" w:rsidP="00781E1E">
      <w:pPr>
        <w:spacing w:line="360" w:lineRule="auto"/>
        <w:ind w:left="142"/>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sidR="00A3036A">
        <w:rPr>
          <w:rFonts w:ascii="Times New Roman" w:eastAsiaTheme="minorEastAsia" w:hAnsi="Times New Roman" w:cs="Times New Roman"/>
          <w:b/>
          <w:bCs/>
          <w:sz w:val="24"/>
          <w:szCs w:val="24"/>
        </w:rPr>
        <w:t>40</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 xml:space="preserve">wprowadza zmiany w ustawie z </w:t>
      </w:r>
      <w:bookmarkStart w:id="31" w:name="_Hlk172889496"/>
      <w:r w:rsidRPr="00486C63">
        <w:rPr>
          <w:rFonts w:ascii="Times New Roman" w:eastAsiaTheme="minorEastAsia" w:hAnsi="Times New Roman" w:cs="Times New Roman"/>
          <w:sz w:val="24"/>
          <w:szCs w:val="24"/>
        </w:rPr>
        <w:t>dnia 7 grudnia 2000 r. o funkcjonowaniu banków spółdzielczych, ich zrzeszaniu się i bankach zrzeszających</w:t>
      </w:r>
      <w:bookmarkEnd w:id="31"/>
      <w:r w:rsidRPr="00486C63">
        <w:rPr>
          <w:rFonts w:ascii="Times New Roman" w:eastAsiaTheme="minorEastAsia" w:hAnsi="Times New Roman" w:cs="Times New Roman"/>
          <w:sz w:val="24"/>
          <w:szCs w:val="24"/>
        </w:rPr>
        <w:t xml:space="preserve">. Modyfikacja art. 6 ust. 1 zmienianej ustawy ma na celu jednolite traktowanie zrzeszonych banków spółdzielczych i banków w formie spółki akcyjnej w odniesieniu do wydawania pieniądza elektronicznego oraz emisji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xml:space="preserve"> będących e-pieniądzem, z uwagi na fakt, że brak jest przesłanek o charakterze systemowym uzasadniających ich odmienne traktowanie. </w:t>
      </w:r>
    </w:p>
    <w:p w14:paraId="4BC46DE0" w14:textId="651B2A57" w:rsidR="00C21D4B" w:rsidRDefault="00C21D4B" w:rsidP="00781E1E">
      <w:pPr>
        <w:spacing w:line="360" w:lineRule="auto"/>
        <w:ind w:left="142"/>
        <w:contextualSpacing/>
        <w:jc w:val="both"/>
        <w:rPr>
          <w:rFonts w:ascii="Times New Roman" w:hAnsi="Times New Roman" w:cs="Times New Roman"/>
          <w:sz w:val="24"/>
          <w:szCs w:val="24"/>
        </w:rPr>
      </w:pPr>
      <w:bookmarkStart w:id="32" w:name="_Hlk181008697"/>
      <w:r>
        <w:rPr>
          <w:rFonts w:ascii="Times New Roman" w:eastAsiaTheme="minorEastAsia" w:hAnsi="Times New Roman" w:cs="Times New Roman"/>
          <w:b/>
          <w:bCs/>
          <w:sz w:val="24"/>
          <w:szCs w:val="24"/>
        </w:rPr>
        <w:t>Art. 14</w:t>
      </w:r>
      <w:r w:rsidR="00A3036A">
        <w:rPr>
          <w:rFonts w:ascii="Times New Roman" w:eastAsiaTheme="minorEastAsia" w:hAnsi="Times New Roman" w:cs="Times New Roman"/>
          <w:b/>
          <w:bCs/>
          <w:sz w:val="24"/>
          <w:szCs w:val="24"/>
        </w:rPr>
        <w:t>3</w:t>
      </w:r>
      <w:r>
        <w:rPr>
          <w:rFonts w:ascii="Times New Roman" w:eastAsiaTheme="minorEastAsia" w:hAnsi="Times New Roman" w:cs="Times New Roman"/>
          <w:b/>
          <w:bCs/>
          <w:sz w:val="24"/>
          <w:szCs w:val="24"/>
        </w:rPr>
        <w:t xml:space="preserve"> </w:t>
      </w:r>
      <w:r w:rsidRPr="00913E65">
        <w:rPr>
          <w:rFonts w:ascii="Times New Roman" w:eastAsiaTheme="minorEastAsia" w:hAnsi="Times New Roman" w:cs="Times New Roman"/>
          <w:sz w:val="24"/>
          <w:szCs w:val="24"/>
        </w:rPr>
        <w:t>wprowadza zmiany w ustawie</w:t>
      </w:r>
      <w:r>
        <w:rPr>
          <w:rFonts w:ascii="Times New Roman" w:eastAsiaTheme="minorEastAsia" w:hAnsi="Times New Roman" w:cs="Times New Roman"/>
          <w:b/>
          <w:bCs/>
          <w:sz w:val="24"/>
          <w:szCs w:val="24"/>
        </w:rPr>
        <w:t xml:space="preserve"> </w:t>
      </w:r>
      <w:r w:rsidRPr="00546E53">
        <w:rPr>
          <w:rFonts w:ascii="Times New Roman" w:eastAsiaTheme="minorEastAsia" w:hAnsi="Times New Roman" w:cs="Times New Roman"/>
          <w:sz w:val="24"/>
          <w:szCs w:val="24"/>
        </w:rPr>
        <w:t>z dnia 27 lipca 2002 r. – Prawo dewizowe</w:t>
      </w:r>
      <w:r w:rsidRPr="00546E53">
        <w:rPr>
          <w:rFonts w:ascii="Times New Roman" w:hAnsi="Times New Roman" w:cs="Times New Roman"/>
          <w:sz w:val="24"/>
          <w:szCs w:val="24"/>
        </w:rPr>
        <w:t xml:space="preserve"> </w:t>
      </w:r>
      <w:r>
        <w:rPr>
          <w:rFonts w:ascii="Times New Roman" w:hAnsi="Times New Roman" w:cs="Times New Roman"/>
          <w:sz w:val="24"/>
          <w:szCs w:val="24"/>
        </w:rPr>
        <w:t xml:space="preserve">mające na celu uregulowanie usług </w:t>
      </w:r>
      <w:r w:rsidRPr="00913E65">
        <w:rPr>
          <w:rFonts w:ascii="Times New Roman" w:hAnsi="Times New Roman" w:cs="Times New Roman"/>
          <w:sz w:val="24"/>
          <w:szCs w:val="24"/>
        </w:rPr>
        <w:t>związan</w:t>
      </w:r>
      <w:r>
        <w:rPr>
          <w:rFonts w:ascii="Times New Roman" w:hAnsi="Times New Roman" w:cs="Times New Roman"/>
          <w:sz w:val="24"/>
          <w:szCs w:val="24"/>
        </w:rPr>
        <w:t>ych</w:t>
      </w:r>
      <w:r w:rsidRPr="00913E65">
        <w:rPr>
          <w:rFonts w:ascii="Times New Roman" w:hAnsi="Times New Roman" w:cs="Times New Roman"/>
          <w:sz w:val="24"/>
          <w:szCs w:val="24"/>
        </w:rPr>
        <w:t xml:space="preserve"> z działalnością</w:t>
      </w:r>
      <w:r>
        <w:rPr>
          <w:rFonts w:ascii="Times New Roman" w:hAnsi="Times New Roman" w:cs="Times New Roman"/>
          <w:sz w:val="24"/>
          <w:szCs w:val="24"/>
        </w:rPr>
        <w:t xml:space="preserve"> </w:t>
      </w:r>
      <w:r w:rsidRPr="00913E65">
        <w:rPr>
          <w:rFonts w:ascii="Times New Roman" w:hAnsi="Times New Roman" w:cs="Times New Roman"/>
          <w:sz w:val="24"/>
          <w:szCs w:val="24"/>
        </w:rPr>
        <w:t>tzw. internetowych kantorów walutowych, tj. podmiotów świadczących usługi bezgotówkowej</w:t>
      </w:r>
      <w:r>
        <w:rPr>
          <w:rFonts w:ascii="Times New Roman" w:hAnsi="Times New Roman" w:cs="Times New Roman"/>
          <w:sz w:val="24"/>
          <w:szCs w:val="24"/>
        </w:rPr>
        <w:t xml:space="preserve"> </w:t>
      </w:r>
      <w:r w:rsidRPr="00913E65">
        <w:rPr>
          <w:rFonts w:ascii="Times New Roman" w:hAnsi="Times New Roman" w:cs="Times New Roman"/>
          <w:sz w:val="24"/>
          <w:szCs w:val="24"/>
        </w:rPr>
        <w:t>wymiany walut</w:t>
      </w:r>
      <w:r>
        <w:rPr>
          <w:rFonts w:ascii="Times New Roman" w:hAnsi="Times New Roman" w:cs="Times New Roman"/>
          <w:sz w:val="24"/>
          <w:szCs w:val="24"/>
        </w:rPr>
        <w:t xml:space="preserve">. </w:t>
      </w:r>
    </w:p>
    <w:p w14:paraId="49B7FB72" w14:textId="77777777" w:rsidR="00C21D4B" w:rsidRPr="00BB4B87" w:rsidRDefault="00C21D4B" w:rsidP="00781E1E">
      <w:pPr>
        <w:spacing w:line="360" w:lineRule="auto"/>
        <w:ind w:firstLine="142"/>
        <w:contextualSpacing/>
        <w:jc w:val="both"/>
        <w:rPr>
          <w:rFonts w:ascii="Times New Roman" w:eastAsiaTheme="minorEastAsia" w:hAnsi="Times New Roman" w:cs="Times New Roman"/>
          <w:sz w:val="24"/>
          <w:szCs w:val="24"/>
        </w:rPr>
      </w:pPr>
      <w:r w:rsidRPr="00BB4B87">
        <w:rPr>
          <w:rFonts w:ascii="Times New Roman" w:eastAsiaTheme="minorEastAsia" w:hAnsi="Times New Roman" w:cs="Times New Roman"/>
          <w:sz w:val="24"/>
          <w:szCs w:val="24"/>
        </w:rPr>
        <w:t xml:space="preserve">Zmiany </w:t>
      </w:r>
      <w:r>
        <w:rPr>
          <w:rFonts w:ascii="Times New Roman" w:eastAsiaTheme="minorEastAsia" w:hAnsi="Times New Roman" w:cs="Times New Roman"/>
          <w:sz w:val="24"/>
          <w:szCs w:val="24"/>
        </w:rPr>
        <w:t xml:space="preserve">wprowadzane tym przepisem </w:t>
      </w:r>
      <w:r w:rsidRPr="00BB4B87">
        <w:rPr>
          <w:rFonts w:ascii="Times New Roman" w:eastAsiaTheme="minorEastAsia" w:hAnsi="Times New Roman" w:cs="Times New Roman"/>
          <w:sz w:val="24"/>
          <w:szCs w:val="24"/>
        </w:rPr>
        <w:t>przewidują:</w:t>
      </w:r>
    </w:p>
    <w:p w14:paraId="323632C9" w14:textId="77777777" w:rsidR="00C21D4B" w:rsidRDefault="00C21D4B" w:rsidP="00695ECE">
      <w:pPr>
        <w:pStyle w:val="Akapitzlist"/>
        <w:numPr>
          <w:ilvl w:val="0"/>
          <w:numId w:val="7"/>
        </w:numPr>
        <w:spacing w:line="360" w:lineRule="auto"/>
        <w:jc w:val="both"/>
        <w:rPr>
          <w:rFonts w:ascii="Times New Roman" w:hAnsi="Times New Roman" w:cs="Times New Roman"/>
          <w:sz w:val="24"/>
          <w:szCs w:val="24"/>
        </w:rPr>
      </w:pPr>
      <w:r w:rsidRPr="00BB4B87">
        <w:rPr>
          <w:rFonts w:ascii="Times New Roman" w:hAnsi="Times New Roman" w:cs="Times New Roman"/>
          <w:sz w:val="24"/>
          <w:szCs w:val="24"/>
        </w:rPr>
        <w:t>zdefiniowanie pojęć: bezgotówkowych krajowych środków płatniczych, bezgotówkowych zagranicznych środków płatniczych oraz bezgotówkowej wymiany walut</w:t>
      </w:r>
      <w:r>
        <w:rPr>
          <w:rFonts w:ascii="Times New Roman" w:hAnsi="Times New Roman" w:cs="Times New Roman"/>
          <w:sz w:val="24"/>
          <w:szCs w:val="24"/>
        </w:rPr>
        <w:t>;</w:t>
      </w:r>
    </w:p>
    <w:p w14:paraId="644711D9" w14:textId="77777777" w:rsidR="00C21D4B" w:rsidRPr="00BB4B87" w:rsidRDefault="00C21D4B" w:rsidP="00695ECE">
      <w:pPr>
        <w:pStyle w:val="Akapitzlist"/>
        <w:numPr>
          <w:ilvl w:val="0"/>
          <w:numId w:val="7"/>
        </w:numPr>
        <w:spacing w:line="360" w:lineRule="auto"/>
        <w:jc w:val="both"/>
        <w:rPr>
          <w:rFonts w:ascii="Times New Roman" w:hAnsi="Times New Roman" w:cs="Times New Roman"/>
          <w:sz w:val="24"/>
          <w:szCs w:val="24"/>
        </w:rPr>
      </w:pPr>
      <w:r w:rsidRPr="00BB4B87">
        <w:rPr>
          <w:rFonts w:ascii="Times New Roman" w:hAnsi="Times New Roman" w:cs="Times New Roman"/>
          <w:sz w:val="24"/>
          <w:szCs w:val="24"/>
        </w:rPr>
        <w:t>wprowadzenie wymogów, w myśl których:</w:t>
      </w:r>
    </w:p>
    <w:p w14:paraId="1584A0F4" w14:textId="77777777" w:rsidR="00C21D4B" w:rsidRPr="00522861" w:rsidRDefault="00C21D4B" w:rsidP="00695ECE">
      <w:pPr>
        <w:spacing w:line="360" w:lineRule="auto"/>
        <w:ind w:left="7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45187">
        <w:rPr>
          <w:rFonts w:ascii="Times New Roman" w:hAnsi="Times New Roman" w:cs="Times New Roman"/>
          <w:sz w:val="24"/>
          <w:szCs w:val="24"/>
        </w:rPr>
        <w:t xml:space="preserve">bezgotówkowa wymiana walut będzie mogła być dokonywana wyłącznie za pośrednictwem rachunków płatniczych w rozumieniu art. 2 pkt 25 ustawy </w:t>
      </w:r>
      <w:r w:rsidRPr="00486C63">
        <w:rPr>
          <w:rFonts w:ascii="Times New Roman" w:eastAsiaTheme="minorEastAsia" w:hAnsi="Times New Roman" w:cs="Times New Roman"/>
          <w:sz w:val="24"/>
          <w:szCs w:val="24"/>
        </w:rPr>
        <w:t xml:space="preserve">z dnia 19 sierpnia 2011 r. </w:t>
      </w:r>
      <w:r w:rsidRPr="00BB4B87">
        <w:rPr>
          <w:rFonts w:ascii="Times New Roman" w:hAnsi="Times New Roman" w:cs="Times New Roman"/>
          <w:sz w:val="24"/>
          <w:szCs w:val="24"/>
        </w:rPr>
        <w:t>o usługach płatniczych</w:t>
      </w:r>
      <w:r>
        <w:rPr>
          <w:rFonts w:ascii="Times New Roman" w:hAnsi="Times New Roman" w:cs="Times New Roman"/>
          <w:sz w:val="24"/>
          <w:szCs w:val="24"/>
        </w:rPr>
        <w:t>;</w:t>
      </w:r>
    </w:p>
    <w:p w14:paraId="1C1F726E" w14:textId="77777777" w:rsidR="00C21D4B" w:rsidRPr="00245187" w:rsidRDefault="00C21D4B" w:rsidP="00695ECE">
      <w:pPr>
        <w:spacing w:line="360" w:lineRule="auto"/>
        <w:ind w:left="7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45187">
        <w:rPr>
          <w:rFonts w:ascii="Times New Roman" w:hAnsi="Times New Roman" w:cs="Times New Roman"/>
          <w:sz w:val="24"/>
          <w:szCs w:val="24"/>
        </w:rPr>
        <w:t xml:space="preserve">działalność gospodarcza w zakresie usług takiej wymiany (tj. obecna działalność kantorów internetowych) będzie mogła być wykonywana wyłącznie przez dostawcę usług płatniczych w rozumieniu </w:t>
      </w:r>
      <w:r w:rsidRPr="00DF63DF">
        <w:rPr>
          <w:rFonts w:ascii="Times New Roman" w:hAnsi="Times New Roman" w:cs="Times New Roman"/>
          <w:sz w:val="24"/>
          <w:szCs w:val="24"/>
        </w:rPr>
        <w:t xml:space="preserve">ustawy </w:t>
      </w:r>
      <w:r w:rsidRPr="00486C63">
        <w:rPr>
          <w:rFonts w:ascii="Times New Roman" w:eastAsiaTheme="minorEastAsia" w:hAnsi="Times New Roman" w:cs="Times New Roman"/>
          <w:sz w:val="24"/>
          <w:szCs w:val="24"/>
        </w:rPr>
        <w:t xml:space="preserve">z dnia 19 sierpnia 2011 r. </w:t>
      </w:r>
      <w:r w:rsidRPr="00DF63DF">
        <w:rPr>
          <w:rFonts w:ascii="Times New Roman" w:hAnsi="Times New Roman" w:cs="Times New Roman"/>
          <w:sz w:val="24"/>
          <w:szCs w:val="24"/>
        </w:rPr>
        <w:t>o usługach płatniczych</w:t>
      </w:r>
      <w:r w:rsidRPr="00245187">
        <w:rPr>
          <w:rFonts w:ascii="Times New Roman" w:hAnsi="Times New Roman" w:cs="Times New Roman"/>
          <w:sz w:val="24"/>
          <w:szCs w:val="24"/>
        </w:rPr>
        <w:t>, prowadzącego dla usługobiorcy bezgotówkowej wymiany walut taki rachunek płatniczy</w:t>
      </w:r>
      <w:r>
        <w:rPr>
          <w:rFonts w:ascii="Times New Roman" w:hAnsi="Times New Roman" w:cs="Times New Roman"/>
          <w:sz w:val="24"/>
          <w:szCs w:val="24"/>
        </w:rPr>
        <w:t>.</w:t>
      </w:r>
    </w:p>
    <w:p w14:paraId="7D75ABDE" w14:textId="77777777" w:rsidR="00C21D4B" w:rsidRDefault="00C21D4B" w:rsidP="00695ECE">
      <w:pPr>
        <w:spacing w:line="360" w:lineRule="auto"/>
        <w:ind w:left="709"/>
        <w:contextualSpacing/>
        <w:jc w:val="both"/>
        <w:rPr>
          <w:rFonts w:ascii="Times New Roman" w:hAnsi="Times New Roman" w:cs="Times New Roman"/>
          <w:sz w:val="24"/>
          <w:szCs w:val="24"/>
        </w:rPr>
      </w:pPr>
    </w:p>
    <w:p w14:paraId="264F4F8C" w14:textId="24DF9AB7" w:rsidR="00C21D4B" w:rsidRDefault="00C21D4B" w:rsidP="00695ECE">
      <w:pPr>
        <w:spacing w:line="360" w:lineRule="auto"/>
        <w:ind w:left="349"/>
        <w:contextualSpacing/>
        <w:jc w:val="both"/>
        <w:rPr>
          <w:rFonts w:ascii="Times New Roman" w:hAnsi="Times New Roman" w:cs="Times New Roman"/>
          <w:sz w:val="24"/>
          <w:szCs w:val="24"/>
        </w:rPr>
      </w:pPr>
      <w:r w:rsidRPr="00245187">
        <w:rPr>
          <w:rFonts w:ascii="Times New Roman" w:hAnsi="Times New Roman" w:cs="Times New Roman"/>
          <w:sz w:val="24"/>
          <w:szCs w:val="24"/>
        </w:rPr>
        <w:t>Nieregulowana do tej pory działalność kantorów internetowych dotyczy modelu, w którym klient przekazuje</w:t>
      </w:r>
      <w:r>
        <w:rPr>
          <w:rFonts w:ascii="Times New Roman" w:hAnsi="Times New Roman" w:cs="Times New Roman"/>
          <w:sz w:val="24"/>
          <w:szCs w:val="24"/>
        </w:rPr>
        <w:t xml:space="preserve"> w formie</w:t>
      </w:r>
      <w:r w:rsidRPr="00245187">
        <w:rPr>
          <w:rFonts w:ascii="Times New Roman" w:hAnsi="Times New Roman" w:cs="Times New Roman"/>
          <w:sz w:val="24"/>
          <w:szCs w:val="24"/>
        </w:rPr>
        <w:t xml:space="preserve"> bezgotówkow</w:t>
      </w:r>
      <w:r>
        <w:rPr>
          <w:rFonts w:ascii="Times New Roman" w:hAnsi="Times New Roman" w:cs="Times New Roman"/>
          <w:sz w:val="24"/>
          <w:szCs w:val="24"/>
        </w:rPr>
        <w:t>ej</w:t>
      </w:r>
      <w:r w:rsidRPr="00245187">
        <w:rPr>
          <w:rFonts w:ascii="Times New Roman" w:hAnsi="Times New Roman" w:cs="Times New Roman"/>
          <w:sz w:val="24"/>
          <w:szCs w:val="24"/>
        </w:rPr>
        <w:t xml:space="preserve"> przedsiębiorcy (na rachunek płatniczy przedsiębiorcy </w:t>
      </w:r>
      <w:r w:rsidRPr="00522861">
        <w:rPr>
          <w:rFonts w:ascii="Times New Roman" w:hAnsi="Times New Roman" w:cs="Times New Roman"/>
          <w:sz w:val="24"/>
          <w:szCs w:val="24"/>
        </w:rPr>
        <w:t>prowadzącego kantor internetowy) środki pieniężne w określonej walucie cel</w:t>
      </w:r>
      <w:r w:rsidRPr="004E127D">
        <w:rPr>
          <w:rFonts w:ascii="Times New Roman" w:hAnsi="Times New Roman" w:cs="Times New Roman"/>
          <w:sz w:val="24"/>
          <w:szCs w:val="24"/>
        </w:rPr>
        <w:t>em</w:t>
      </w:r>
      <w:r w:rsidRPr="00245187">
        <w:rPr>
          <w:rFonts w:ascii="Times New Roman" w:hAnsi="Times New Roman" w:cs="Times New Roman"/>
          <w:sz w:val="24"/>
          <w:szCs w:val="24"/>
        </w:rPr>
        <w:t xml:space="preserve"> wykonania przez tego przedsiębiorcę usługi wymiany tych środków, po umówionym kursie, na środki pieniężne w innej walucie. W ramach wykonywania tej usługi przedsiębiorca przekazuje bezgotówkowo</w:t>
      </w:r>
      <w:r w:rsidRPr="00522861">
        <w:rPr>
          <w:rFonts w:ascii="Times New Roman" w:hAnsi="Times New Roman" w:cs="Times New Roman"/>
          <w:sz w:val="24"/>
          <w:szCs w:val="24"/>
        </w:rPr>
        <w:t xml:space="preserve"> </w:t>
      </w:r>
      <w:r w:rsidRPr="002B5EAC">
        <w:rPr>
          <w:rFonts w:ascii="Times New Roman" w:hAnsi="Times New Roman" w:cs="Times New Roman"/>
          <w:sz w:val="24"/>
          <w:szCs w:val="24"/>
        </w:rPr>
        <w:t xml:space="preserve">klientowi (na rachunek płatniczy klienta) wymienione </w:t>
      </w:r>
      <w:r w:rsidRPr="004E127D">
        <w:rPr>
          <w:rFonts w:ascii="Times New Roman" w:hAnsi="Times New Roman" w:cs="Times New Roman"/>
          <w:sz w:val="24"/>
          <w:szCs w:val="24"/>
        </w:rPr>
        <w:t>wcześniej środki. Działalność tego rodzaju</w:t>
      </w:r>
      <w:r w:rsidRPr="00245187">
        <w:rPr>
          <w:rFonts w:ascii="Times New Roman" w:hAnsi="Times New Roman" w:cs="Times New Roman"/>
          <w:sz w:val="24"/>
          <w:szCs w:val="24"/>
        </w:rPr>
        <w:t xml:space="preserve"> nie może zostać zakwalifikowana jako działalność w zakresie usług płatniczych w rozumieniu przepisów ustawy z dnia 19 sierpnia 2011 r. o usługach płatniczych, gdyż nie dochodzi tu do realizacji przez kantor internetowy transakcji płatniczych pomiędzy płatnikiem a odbiorcą płatności. Mianowicie kantor internetowy wchodzi w posiadanie środków klienta w celu dokonania wymiany walut na zasadach analogicznych, jak w przypadku sklepów internetowych przyjmujących zapłatę za wysyłany następnie towar lub świadczoną usługę. Zasadnicza różnica polega jednak na tym, że jedną z opcji, jaką kantory internetowe udostępniają klientom jest możliwość dokonania wymiany walut wielokrotnie bądź w terminie późniejszym po dokonaniu wpłaty, zgodnie z preferencjami klienta co do kursu wymiany. W takiej sytuacji kantor internetowy przyjmuje i przechowuje środki pieniężne na poczet przyszłych transakcji wymiany walut. Wpłacone przez klienta na poczet wymiany walut środki pozostają wówczas w dyspozycji kantoru internetowego przez nieograniczony regulacyjnie czas, co następuje bez szczególnych ustawowych zasad ochrony tych środków, takich jak obowiązek ich separacji, wyłączenie spod egzekucji czy gwarantowanie depozytów. Ograniczenia w dysponowaniu tymi środkami wynikają </w:t>
      </w:r>
      <w:r>
        <w:rPr>
          <w:rFonts w:ascii="Times New Roman" w:hAnsi="Times New Roman" w:cs="Times New Roman"/>
          <w:sz w:val="24"/>
          <w:szCs w:val="24"/>
        </w:rPr>
        <w:t xml:space="preserve">z </w:t>
      </w:r>
      <w:r w:rsidRPr="002230BE">
        <w:rPr>
          <w:rFonts w:ascii="Times New Roman" w:hAnsi="Times New Roman" w:cs="Times New Roman"/>
          <w:sz w:val="24"/>
          <w:szCs w:val="24"/>
        </w:rPr>
        <w:t xml:space="preserve">umowy z klientem oraz przepisów </w:t>
      </w:r>
      <w:r w:rsidRPr="004E127D">
        <w:rPr>
          <w:rFonts w:ascii="Times New Roman" w:hAnsi="Times New Roman" w:cs="Times New Roman"/>
          <w:sz w:val="24"/>
          <w:szCs w:val="24"/>
        </w:rPr>
        <w:t>karnych, w tym art. 171 ust.1 ustawy</w:t>
      </w:r>
      <w:r>
        <w:rPr>
          <w:rFonts w:ascii="Times New Roman" w:hAnsi="Times New Roman" w:cs="Times New Roman"/>
          <w:sz w:val="24"/>
          <w:szCs w:val="24"/>
        </w:rPr>
        <w:t xml:space="preserve"> </w:t>
      </w:r>
      <w:r w:rsidRPr="004E127D">
        <w:rPr>
          <w:rFonts w:ascii="Times New Roman" w:hAnsi="Times New Roman" w:cs="Times New Roman"/>
          <w:sz w:val="24"/>
          <w:szCs w:val="24"/>
        </w:rPr>
        <w:t xml:space="preserve">– Prawo bankowe. </w:t>
      </w:r>
      <w:r w:rsidRPr="00BC60EF">
        <w:rPr>
          <w:rFonts w:ascii="Times New Roman" w:hAnsi="Times New Roman" w:cs="Times New Roman"/>
          <w:sz w:val="24"/>
          <w:szCs w:val="24"/>
        </w:rPr>
        <w:t xml:space="preserve">W rezultacie </w:t>
      </w:r>
      <w:r w:rsidRPr="00245187">
        <w:rPr>
          <w:rFonts w:ascii="Times New Roman" w:hAnsi="Times New Roman" w:cs="Times New Roman"/>
          <w:sz w:val="24"/>
          <w:szCs w:val="24"/>
        </w:rPr>
        <w:t xml:space="preserve">możliwa skala działalności kantorów internetowych generuje istotne ryzyko dla bezpieczeństwa powierzanych im przez ich klientów środków (często w znacznych rozmiarach). Kantory internetowe, tak jak inni przedsiębiorcy, obciążone są ryzykiem płynności i wypłacalności, bądź innymi </w:t>
      </w:r>
      <w:proofErr w:type="spellStart"/>
      <w:r w:rsidRPr="00245187">
        <w:rPr>
          <w:rFonts w:ascii="Times New Roman" w:hAnsi="Times New Roman" w:cs="Times New Roman"/>
          <w:sz w:val="24"/>
          <w:szCs w:val="24"/>
        </w:rPr>
        <w:t>ryzykami</w:t>
      </w:r>
      <w:proofErr w:type="spellEnd"/>
      <w:r w:rsidRPr="00245187">
        <w:rPr>
          <w:rFonts w:ascii="Times New Roman" w:hAnsi="Times New Roman" w:cs="Times New Roman"/>
          <w:sz w:val="24"/>
          <w:szCs w:val="24"/>
        </w:rPr>
        <w:t xml:space="preserve"> swoistymi dla prowadzenia działalności gospodarczej. Model ich działalności pozwalający na łączenie (mieszanie) środków własnych ze środkami przekazanymi przez klientów na poczet wymiany walut obciąża tymi rodzajami ryzyka także środki przekazane przez klientów, co nie powinno mieć miejsca. Dodatkowo podkreślić należy, że kantory internetowe prowadzić mogą także inną działalność gospodarczą, w tym generującą wysokie ryzyko utraty zaangażowanych w tę działalność środków lub powstania znaczących zobowiązań finansowych. W ramach przykładu szereg kantorów internetowych oferuje możliwość wymiany walut FIAT na </w:t>
      </w:r>
      <w:proofErr w:type="spellStart"/>
      <w:r w:rsidRPr="00245187">
        <w:rPr>
          <w:rFonts w:ascii="Times New Roman" w:hAnsi="Times New Roman" w:cs="Times New Roman"/>
          <w:sz w:val="24"/>
          <w:szCs w:val="24"/>
        </w:rPr>
        <w:t>kryptowaluty</w:t>
      </w:r>
      <w:proofErr w:type="spellEnd"/>
      <w:r w:rsidRPr="00245187">
        <w:rPr>
          <w:rFonts w:ascii="Times New Roman" w:hAnsi="Times New Roman" w:cs="Times New Roman"/>
          <w:sz w:val="24"/>
          <w:szCs w:val="24"/>
        </w:rPr>
        <w:t xml:space="preserve">, które cechują się wysoką zmiennością. Omawiany model działalności obciążony jest również podwyższonym ryzykiem oszustwa, gdyż daje łatwą możliwość przywłaszczenia lub wykorzystywania powierzonych środków finansowych wbrew postanowieniom umownym. Mitygowanie tego rodzaju </w:t>
      </w:r>
      <w:proofErr w:type="spellStart"/>
      <w:r w:rsidRPr="00245187">
        <w:rPr>
          <w:rFonts w:ascii="Times New Roman" w:hAnsi="Times New Roman" w:cs="Times New Roman"/>
          <w:sz w:val="24"/>
          <w:szCs w:val="24"/>
        </w:rPr>
        <w:t>ryzyk</w:t>
      </w:r>
      <w:proofErr w:type="spellEnd"/>
      <w:r w:rsidRPr="00245187">
        <w:rPr>
          <w:rFonts w:ascii="Times New Roman" w:hAnsi="Times New Roman" w:cs="Times New Roman"/>
          <w:sz w:val="24"/>
          <w:szCs w:val="24"/>
        </w:rPr>
        <w:t xml:space="preserve"> i konieczności zapewnienia pełnej transparentności stabilności rynku finansowego jest niezbędne. Z powyższych względów wskazane jest uregulowanie działalności kantorów internetowych, wprowadzające charakterystyczne standardy dla prowadzenia działalności tego rodzaju, a w konsekwencji zapewniające odpowiednią ochronę środków przekazywanych kantorom internetowym przez ich klientów. </w:t>
      </w:r>
    </w:p>
    <w:p w14:paraId="4BAB76EA" w14:textId="6071FA6E" w:rsidR="00C21D4B" w:rsidRDefault="00C21D4B" w:rsidP="00695ECE">
      <w:pPr>
        <w:spacing w:line="360" w:lineRule="auto"/>
        <w:ind w:left="349"/>
        <w:contextualSpacing/>
        <w:jc w:val="both"/>
        <w:rPr>
          <w:rFonts w:ascii="Times New Roman" w:hAnsi="Times New Roman" w:cs="Times New Roman"/>
          <w:sz w:val="24"/>
          <w:szCs w:val="24"/>
        </w:rPr>
      </w:pPr>
      <w:r w:rsidRPr="002B5EAC">
        <w:rPr>
          <w:rFonts w:ascii="Times New Roman" w:hAnsi="Times New Roman" w:cs="Times New Roman"/>
          <w:sz w:val="24"/>
          <w:szCs w:val="24"/>
        </w:rPr>
        <w:t>W obecnym stanie prawnym przekazanie środków na poczet wymiany kantorowi internetowemu, który nie jest dostawcą usług płatniczych dla wymieniającego wiąże się z przekazaniem tych środków na rachunek płatniczy prowadzony dla takiego kantoru, a nie przez ten kantor. Innymi słowy, jest to rachunek, którego posiadaczem i swobodnym dysponentem pozostaje kantor. Środki zgromadzone na takim rachunku nie podlegają żadnym zasadom ochrony, a korzystający z usług bezgotówkowej wymiany walut nie mają na</w:t>
      </w:r>
      <w:r>
        <w:rPr>
          <w:rFonts w:ascii="Times New Roman" w:hAnsi="Times New Roman" w:cs="Times New Roman"/>
          <w:sz w:val="24"/>
          <w:szCs w:val="24"/>
        </w:rPr>
        <w:t>d</w:t>
      </w:r>
      <w:r w:rsidRPr="002B5EAC">
        <w:rPr>
          <w:rFonts w:ascii="Times New Roman" w:hAnsi="Times New Roman" w:cs="Times New Roman"/>
          <w:sz w:val="24"/>
          <w:szCs w:val="24"/>
        </w:rPr>
        <w:t xml:space="preserve"> nimi kontroli i nie mogą nimi dysponować</w:t>
      </w:r>
      <w:r>
        <w:rPr>
          <w:rFonts w:ascii="Times New Roman" w:hAnsi="Times New Roman" w:cs="Times New Roman"/>
          <w:sz w:val="24"/>
          <w:szCs w:val="24"/>
        </w:rPr>
        <w:t>,</w:t>
      </w:r>
      <w:r w:rsidRPr="002B5EAC">
        <w:rPr>
          <w:rFonts w:ascii="Times New Roman" w:hAnsi="Times New Roman" w:cs="Times New Roman"/>
          <w:sz w:val="24"/>
          <w:szCs w:val="24"/>
        </w:rPr>
        <w:t xml:space="preserve"> tak jak w przypadku ich środków zapisanych na rachunkach płatniczych prowadzonych przez kantor działający jako dostawca usług płatniczych. Proponowane rozwiązania zmieniają ten stan, wprowadzając przy tym dodatkowe obowiązki po stronie usługobiorców (konieczność korzystania przy dokonywaniu bezgotówkowej wymiany walut z</w:t>
      </w:r>
      <w:r w:rsidR="00695ECE">
        <w:rPr>
          <w:rFonts w:ascii="Times New Roman" w:hAnsi="Times New Roman" w:cs="Times New Roman"/>
          <w:sz w:val="24"/>
          <w:szCs w:val="24"/>
        </w:rPr>
        <w:t xml:space="preserve"> </w:t>
      </w:r>
      <w:r w:rsidRPr="002B5EAC">
        <w:rPr>
          <w:rFonts w:ascii="Times New Roman" w:hAnsi="Times New Roman" w:cs="Times New Roman"/>
          <w:sz w:val="24"/>
          <w:szCs w:val="24"/>
        </w:rPr>
        <w:t xml:space="preserve">rachunku płatniczego prowadzonego przez kantor internetowy), które to obowiązki są niezbędne dla zapewnienia właściwej ochrony środków klientów przechowywanych w postaci zapisów księgowych (pieniądza </w:t>
      </w:r>
      <w:proofErr w:type="spellStart"/>
      <w:r w:rsidRPr="002B5EAC">
        <w:rPr>
          <w:rFonts w:ascii="Times New Roman" w:hAnsi="Times New Roman" w:cs="Times New Roman"/>
          <w:sz w:val="24"/>
          <w:szCs w:val="24"/>
        </w:rPr>
        <w:t>skrypturalnego</w:t>
      </w:r>
      <w:proofErr w:type="spellEnd"/>
      <w:r w:rsidRPr="002B5EAC">
        <w:rPr>
          <w:rFonts w:ascii="Times New Roman" w:hAnsi="Times New Roman" w:cs="Times New Roman"/>
          <w:sz w:val="24"/>
          <w:szCs w:val="24"/>
        </w:rPr>
        <w:t>).</w:t>
      </w:r>
    </w:p>
    <w:p w14:paraId="0BFDCCAC" w14:textId="77777777" w:rsidR="00C21D4B" w:rsidRDefault="00C21D4B" w:rsidP="00695ECE">
      <w:pPr>
        <w:spacing w:line="360" w:lineRule="auto"/>
        <w:ind w:left="349"/>
        <w:contextualSpacing/>
        <w:jc w:val="both"/>
        <w:rPr>
          <w:rFonts w:ascii="Times New Roman" w:hAnsi="Times New Roman" w:cs="Times New Roman"/>
          <w:sz w:val="24"/>
          <w:szCs w:val="24"/>
        </w:rPr>
      </w:pPr>
      <w:r>
        <w:rPr>
          <w:rFonts w:ascii="Times New Roman" w:hAnsi="Times New Roman" w:cs="Times New Roman"/>
          <w:sz w:val="24"/>
          <w:szCs w:val="24"/>
        </w:rPr>
        <w:t xml:space="preserve">Natomiast w </w:t>
      </w:r>
      <w:r w:rsidRPr="00546E53">
        <w:rPr>
          <w:rFonts w:ascii="Times New Roman" w:hAnsi="Times New Roman" w:cs="Times New Roman"/>
          <w:sz w:val="24"/>
          <w:szCs w:val="24"/>
        </w:rPr>
        <w:t xml:space="preserve">efekcie proponowanych zmian środki powierzane przez usługobiorców bezgotówkowej wymiany walut na poczet takiej wymiany będą </w:t>
      </w:r>
      <w:r w:rsidRPr="00D723E5">
        <w:rPr>
          <w:rFonts w:ascii="Times New Roman" w:hAnsi="Times New Roman" w:cs="Times New Roman"/>
          <w:sz w:val="24"/>
          <w:szCs w:val="24"/>
        </w:rPr>
        <w:t>w każdym przypadku</w:t>
      </w:r>
      <w:r w:rsidRPr="00546E53">
        <w:rPr>
          <w:rFonts w:ascii="Times New Roman" w:hAnsi="Times New Roman" w:cs="Times New Roman"/>
          <w:sz w:val="24"/>
          <w:szCs w:val="24"/>
        </w:rPr>
        <w:t xml:space="preserve"> przechowywane na rachunku płatniczym prowadzonym dla takiego odbiorcy przez dostawcę usług </w:t>
      </w:r>
      <w:r>
        <w:rPr>
          <w:rFonts w:ascii="Times New Roman" w:hAnsi="Times New Roman" w:cs="Times New Roman"/>
          <w:sz w:val="24"/>
          <w:szCs w:val="24"/>
        </w:rPr>
        <w:t xml:space="preserve">płatniczych </w:t>
      </w:r>
      <w:r w:rsidRPr="00546E53">
        <w:rPr>
          <w:rFonts w:ascii="Times New Roman" w:hAnsi="Times New Roman" w:cs="Times New Roman"/>
          <w:sz w:val="24"/>
          <w:szCs w:val="24"/>
        </w:rPr>
        <w:t xml:space="preserve">i </w:t>
      </w:r>
      <w:r w:rsidRPr="00D723E5">
        <w:rPr>
          <w:rFonts w:ascii="Times New Roman" w:hAnsi="Times New Roman" w:cs="Times New Roman"/>
          <w:sz w:val="24"/>
          <w:szCs w:val="24"/>
        </w:rPr>
        <w:t xml:space="preserve">z tego tytułu </w:t>
      </w:r>
      <w:r w:rsidRPr="00546E53">
        <w:rPr>
          <w:rFonts w:ascii="Times New Roman" w:hAnsi="Times New Roman" w:cs="Times New Roman"/>
          <w:sz w:val="24"/>
          <w:szCs w:val="24"/>
        </w:rPr>
        <w:t>podlegać będą ustawowej ochronie prawnej, przewidzianej w szczególności w ustaw</w:t>
      </w:r>
      <w:r>
        <w:rPr>
          <w:rFonts w:ascii="Times New Roman" w:hAnsi="Times New Roman" w:cs="Times New Roman"/>
          <w:sz w:val="24"/>
          <w:szCs w:val="24"/>
        </w:rPr>
        <w:t xml:space="preserve">ie </w:t>
      </w:r>
      <w:r w:rsidRPr="00BE29E5">
        <w:rPr>
          <w:rFonts w:ascii="Times New Roman" w:hAnsi="Times New Roman" w:cs="Times New Roman"/>
          <w:sz w:val="24"/>
          <w:szCs w:val="24"/>
        </w:rPr>
        <w:t>z dnia 19 sierpnia 2011 r.</w:t>
      </w:r>
      <w:r>
        <w:rPr>
          <w:rFonts w:ascii="Times New Roman" w:hAnsi="Times New Roman" w:cs="Times New Roman"/>
          <w:sz w:val="24"/>
          <w:szCs w:val="24"/>
        </w:rPr>
        <w:t xml:space="preserve"> </w:t>
      </w:r>
      <w:r w:rsidRPr="00546E53">
        <w:rPr>
          <w:rFonts w:ascii="Times New Roman" w:hAnsi="Times New Roman" w:cs="Times New Roman"/>
          <w:sz w:val="24"/>
          <w:szCs w:val="24"/>
        </w:rPr>
        <w:t>o usługach płatniczych (</w:t>
      </w:r>
      <w:r>
        <w:rPr>
          <w:rFonts w:ascii="Times New Roman" w:hAnsi="Times New Roman" w:cs="Times New Roman"/>
          <w:sz w:val="24"/>
          <w:szCs w:val="24"/>
        </w:rPr>
        <w:t xml:space="preserve">w </w:t>
      </w:r>
      <w:r w:rsidRPr="00546E53">
        <w:rPr>
          <w:rFonts w:ascii="Times New Roman" w:hAnsi="Times New Roman" w:cs="Times New Roman"/>
          <w:sz w:val="24"/>
          <w:szCs w:val="24"/>
        </w:rPr>
        <w:t xml:space="preserve">przypadku rachunków prowadzonych przez instytucje płatnicze) czy w ustawie </w:t>
      </w:r>
      <w:r>
        <w:rPr>
          <w:rFonts w:ascii="Times New Roman" w:hAnsi="Times New Roman" w:cs="Times New Roman"/>
          <w:sz w:val="24"/>
          <w:szCs w:val="24"/>
        </w:rPr>
        <w:t xml:space="preserve">− </w:t>
      </w:r>
      <w:r w:rsidRPr="00546E53">
        <w:rPr>
          <w:rFonts w:ascii="Times New Roman" w:hAnsi="Times New Roman" w:cs="Times New Roman"/>
          <w:sz w:val="24"/>
          <w:szCs w:val="24"/>
        </w:rPr>
        <w:t xml:space="preserve">Prawo bankowe i ustawie </w:t>
      </w:r>
      <w:r w:rsidRPr="00FC2926">
        <w:rPr>
          <w:rFonts w:ascii="Times New Roman" w:hAnsi="Times New Roman" w:cs="Times New Roman"/>
          <w:color w:val="000000"/>
          <w:sz w:val="24"/>
          <w:szCs w:val="24"/>
        </w:rPr>
        <w:t>z dnia 10 czerwca 2016 r. o Bankowym Funduszu Gwarancyjnym, systemie gwarantowania depozytów oraz przymusowej restrukturyzacji</w:t>
      </w:r>
      <w:r w:rsidRPr="00546E53">
        <w:rPr>
          <w:rFonts w:ascii="Times New Roman" w:hAnsi="Times New Roman" w:cs="Times New Roman"/>
          <w:sz w:val="24"/>
          <w:szCs w:val="24"/>
        </w:rPr>
        <w:t xml:space="preserve"> (w przypadku rachunków prowadzonych przez banki). </w:t>
      </w:r>
      <w:r w:rsidRPr="00BC60EF">
        <w:rPr>
          <w:rFonts w:ascii="Times New Roman" w:hAnsi="Times New Roman" w:cs="Times New Roman"/>
          <w:sz w:val="24"/>
          <w:szCs w:val="24"/>
        </w:rPr>
        <w:t xml:space="preserve">Przy czym, przez prowadzenie rachunku rozumie się </w:t>
      </w:r>
      <w:r>
        <w:rPr>
          <w:rFonts w:ascii="Times New Roman" w:hAnsi="Times New Roman" w:cs="Times New Roman"/>
          <w:sz w:val="24"/>
          <w:szCs w:val="24"/>
        </w:rPr>
        <w:t xml:space="preserve">prowadzenie ewidencji </w:t>
      </w:r>
      <w:r w:rsidRPr="00BC60EF">
        <w:rPr>
          <w:rFonts w:ascii="Times New Roman" w:hAnsi="Times New Roman" w:cs="Times New Roman"/>
          <w:sz w:val="24"/>
          <w:szCs w:val="24"/>
        </w:rPr>
        <w:t>dla każdego klienta</w:t>
      </w:r>
      <w:r>
        <w:rPr>
          <w:rFonts w:ascii="Times New Roman" w:hAnsi="Times New Roman" w:cs="Times New Roman"/>
          <w:sz w:val="24"/>
          <w:szCs w:val="24"/>
        </w:rPr>
        <w:t>/usługobiorcy dostawcy/kantoru</w:t>
      </w:r>
      <w:r w:rsidRPr="00BC60EF">
        <w:rPr>
          <w:rFonts w:ascii="Times New Roman" w:hAnsi="Times New Roman" w:cs="Times New Roman"/>
          <w:sz w:val="24"/>
          <w:szCs w:val="24"/>
        </w:rPr>
        <w:t xml:space="preserve">, który może na postawie tej ewidencji zlecać operacje przy użyciu przechowywanych na rachunku </w:t>
      </w:r>
      <w:r>
        <w:rPr>
          <w:rFonts w:ascii="Times New Roman" w:hAnsi="Times New Roman" w:cs="Times New Roman"/>
          <w:sz w:val="24"/>
          <w:szCs w:val="24"/>
        </w:rPr>
        <w:t xml:space="preserve">własnych </w:t>
      </w:r>
      <w:r w:rsidRPr="00BC60EF">
        <w:rPr>
          <w:rFonts w:ascii="Times New Roman" w:hAnsi="Times New Roman" w:cs="Times New Roman"/>
          <w:sz w:val="24"/>
          <w:szCs w:val="24"/>
        </w:rPr>
        <w:t>środków</w:t>
      </w:r>
      <w:r>
        <w:rPr>
          <w:rFonts w:ascii="Times New Roman" w:hAnsi="Times New Roman" w:cs="Times New Roman"/>
          <w:sz w:val="24"/>
          <w:szCs w:val="24"/>
        </w:rPr>
        <w:t xml:space="preserve"> pieniężnych.</w:t>
      </w:r>
    </w:p>
    <w:p w14:paraId="22A197E9" w14:textId="77777777" w:rsidR="00C21D4B" w:rsidRPr="00D723E5" w:rsidRDefault="00C21D4B" w:rsidP="00695ECE">
      <w:pPr>
        <w:spacing w:line="360" w:lineRule="auto"/>
        <w:ind w:left="349"/>
        <w:contextualSpacing/>
        <w:jc w:val="both"/>
        <w:rPr>
          <w:rFonts w:ascii="Times New Roman" w:hAnsi="Times New Roman" w:cs="Times New Roman"/>
          <w:sz w:val="24"/>
          <w:szCs w:val="24"/>
        </w:rPr>
      </w:pPr>
      <w:r w:rsidRPr="00D723E5">
        <w:rPr>
          <w:rFonts w:ascii="Times New Roman" w:hAnsi="Times New Roman" w:cs="Times New Roman"/>
          <w:sz w:val="24"/>
          <w:szCs w:val="24"/>
        </w:rPr>
        <w:t xml:space="preserve">Świadczenie usługi bezgotówkowej wymiany walut za pośrednictwem rachunków płatniczych (lub bankowych) prowadzonych w związku z wymianą, jest standardem działania dla kantorów internetowych. Należy wskazać, że bezgotówkowa wymiana walut (zgodnie z proponowaną definicją) polega na wymianie pieniądza </w:t>
      </w:r>
      <w:proofErr w:type="spellStart"/>
      <w:r w:rsidRPr="00D723E5">
        <w:rPr>
          <w:rFonts w:ascii="Times New Roman" w:hAnsi="Times New Roman" w:cs="Times New Roman"/>
          <w:sz w:val="24"/>
          <w:szCs w:val="24"/>
        </w:rPr>
        <w:t>skrypturalnego</w:t>
      </w:r>
      <w:proofErr w:type="spellEnd"/>
      <w:r w:rsidRPr="00D723E5">
        <w:rPr>
          <w:rFonts w:ascii="Times New Roman" w:hAnsi="Times New Roman" w:cs="Times New Roman"/>
          <w:sz w:val="24"/>
          <w:szCs w:val="24"/>
        </w:rPr>
        <w:t xml:space="preserve"> w jednej walucie na pieniądz </w:t>
      </w:r>
      <w:proofErr w:type="spellStart"/>
      <w:r w:rsidRPr="00D723E5">
        <w:rPr>
          <w:rFonts w:ascii="Times New Roman" w:hAnsi="Times New Roman" w:cs="Times New Roman"/>
          <w:sz w:val="24"/>
          <w:szCs w:val="24"/>
        </w:rPr>
        <w:t>skrypturalny</w:t>
      </w:r>
      <w:proofErr w:type="spellEnd"/>
      <w:r w:rsidRPr="00D723E5">
        <w:rPr>
          <w:rFonts w:ascii="Times New Roman" w:hAnsi="Times New Roman" w:cs="Times New Roman"/>
          <w:sz w:val="24"/>
          <w:szCs w:val="24"/>
        </w:rPr>
        <w:t xml:space="preserve"> w innej walucie. Dla realizacji bezgotówkowej wymiany walut muszą zatem zawsze istnieć i być wykorzystane rachunki płatnicze prowadzone przez jednego lub kilku dostawców usług płatniczych dla obydwu wymienianych walut. W ramach tych rachunków zlecane są transakcje płatnicze </w:t>
      </w:r>
      <w:r>
        <w:rPr>
          <w:rFonts w:ascii="Times New Roman" w:hAnsi="Times New Roman" w:cs="Times New Roman"/>
          <w:sz w:val="24"/>
          <w:szCs w:val="24"/>
        </w:rPr>
        <w:t>−</w:t>
      </w:r>
      <w:r w:rsidRPr="00D723E5">
        <w:rPr>
          <w:rFonts w:ascii="Times New Roman" w:hAnsi="Times New Roman" w:cs="Times New Roman"/>
          <w:sz w:val="24"/>
          <w:szCs w:val="24"/>
        </w:rPr>
        <w:t xml:space="preserve"> transfer waluty A z rachunku w walucie A na rachunek odbiorcy w walucie A i będący przedmiotem wymiany transfer waluty B z rachunku w walucie B na rachunek w walucie B prowadzony dla usługobiorcy bezgotówkowej wymiany walut.</w:t>
      </w:r>
      <w:r>
        <w:rPr>
          <w:rFonts w:ascii="Times New Roman" w:hAnsi="Times New Roman" w:cs="Times New Roman"/>
          <w:sz w:val="24"/>
          <w:szCs w:val="24"/>
        </w:rPr>
        <w:t xml:space="preserve"> </w:t>
      </w:r>
      <w:r w:rsidRPr="00D723E5">
        <w:rPr>
          <w:rFonts w:ascii="Times New Roman" w:hAnsi="Times New Roman" w:cs="Times New Roman"/>
          <w:sz w:val="24"/>
          <w:szCs w:val="24"/>
        </w:rPr>
        <w:t xml:space="preserve">Innymi słowy, już w obecnym stanie prawnym do wykonania bezgotówkowej wymiany walut przez kantor internetowy niezbędne </w:t>
      </w:r>
      <w:r>
        <w:rPr>
          <w:rFonts w:ascii="Times New Roman" w:hAnsi="Times New Roman" w:cs="Times New Roman"/>
          <w:sz w:val="24"/>
          <w:szCs w:val="24"/>
        </w:rPr>
        <w:t xml:space="preserve">jest posiadanie przez usługobiorcę </w:t>
      </w:r>
      <w:r w:rsidRPr="00D723E5">
        <w:rPr>
          <w:rFonts w:ascii="Times New Roman" w:hAnsi="Times New Roman" w:cs="Times New Roman"/>
          <w:sz w:val="24"/>
          <w:szCs w:val="24"/>
        </w:rPr>
        <w:t>rachunk</w:t>
      </w:r>
      <w:r>
        <w:rPr>
          <w:rFonts w:ascii="Times New Roman" w:hAnsi="Times New Roman" w:cs="Times New Roman"/>
          <w:sz w:val="24"/>
          <w:szCs w:val="24"/>
        </w:rPr>
        <w:t>ów</w:t>
      </w:r>
      <w:r w:rsidRPr="00D723E5">
        <w:rPr>
          <w:rFonts w:ascii="Times New Roman" w:hAnsi="Times New Roman" w:cs="Times New Roman"/>
          <w:sz w:val="24"/>
          <w:szCs w:val="24"/>
        </w:rPr>
        <w:t xml:space="preserve"> płatnicz</w:t>
      </w:r>
      <w:r>
        <w:rPr>
          <w:rFonts w:ascii="Times New Roman" w:hAnsi="Times New Roman" w:cs="Times New Roman"/>
          <w:sz w:val="24"/>
          <w:szCs w:val="24"/>
        </w:rPr>
        <w:t>ych</w:t>
      </w:r>
      <w:r w:rsidRPr="00D723E5">
        <w:rPr>
          <w:rFonts w:ascii="Times New Roman" w:hAnsi="Times New Roman" w:cs="Times New Roman"/>
          <w:sz w:val="24"/>
          <w:szCs w:val="24"/>
        </w:rPr>
        <w:t xml:space="preserve"> dla obydwu wymienianych walut prowadzone przez jakiegoś dostawcę usług płatniczych (z reguły bank). Niemniej wadą obecnego stanu faktycznego jest sytuacja, że</w:t>
      </w:r>
      <w:r w:rsidR="00695ECE">
        <w:rPr>
          <w:rFonts w:ascii="Times New Roman" w:hAnsi="Times New Roman" w:cs="Times New Roman"/>
          <w:sz w:val="24"/>
          <w:szCs w:val="24"/>
        </w:rPr>
        <w:t xml:space="preserve"> </w:t>
      </w:r>
      <w:r>
        <w:rPr>
          <w:rFonts w:ascii="Times New Roman" w:hAnsi="Times New Roman" w:cs="Times New Roman"/>
          <w:sz w:val="24"/>
          <w:szCs w:val="24"/>
        </w:rPr>
        <w:t>u</w:t>
      </w:r>
      <w:r w:rsidRPr="00D723E5">
        <w:rPr>
          <w:rFonts w:ascii="Times New Roman" w:hAnsi="Times New Roman" w:cs="Times New Roman"/>
          <w:sz w:val="24"/>
          <w:szCs w:val="24"/>
        </w:rPr>
        <w:t xml:space="preserve">sługobiorca bezgotówkowej wymiany walut traci kontrolę nad przekazanymi środkami – nie są one zapisane (przechowywane) na należącym do niego rachunku płatniczym i nie może on nimi swobodnie dysponować, zlecając wypłatę lub transfer tych środków. </w:t>
      </w:r>
      <w:r>
        <w:rPr>
          <w:rFonts w:ascii="Times New Roman" w:hAnsi="Times New Roman" w:cs="Times New Roman"/>
          <w:bCs/>
          <w:sz w:val="24"/>
          <w:szCs w:val="24"/>
        </w:rPr>
        <w:t>W</w:t>
      </w:r>
      <w:r w:rsidRPr="00BC60EF">
        <w:rPr>
          <w:rFonts w:ascii="Times New Roman" w:hAnsi="Times New Roman" w:cs="Times New Roman"/>
          <w:bCs/>
          <w:sz w:val="24"/>
          <w:szCs w:val="24"/>
        </w:rPr>
        <w:t>prowadzenie wymogu</w:t>
      </w:r>
      <w:r>
        <w:rPr>
          <w:rFonts w:ascii="Times New Roman" w:hAnsi="Times New Roman" w:cs="Times New Roman"/>
          <w:bCs/>
          <w:sz w:val="24"/>
          <w:szCs w:val="24"/>
        </w:rPr>
        <w:t xml:space="preserve"> by </w:t>
      </w:r>
      <w:r w:rsidRPr="00BC60EF">
        <w:rPr>
          <w:rFonts w:ascii="Times New Roman" w:hAnsi="Times New Roman" w:cs="Times New Roman"/>
          <w:bCs/>
          <w:sz w:val="24"/>
          <w:szCs w:val="24"/>
        </w:rPr>
        <w:t>usługa</w:t>
      </w:r>
      <w:r>
        <w:rPr>
          <w:rFonts w:ascii="Times New Roman" w:hAnsi="Times New Roman" w:cs="Times New Roman"/>
          <w:bCs/>
          <w:sz w:val="24"/>
          <w:szCs w:val="24"/>
        </w:rPr>
        <w:t xml:space="preserve"> bezgotówkowej wymiany walut</w:t>
      </w:r>
      <w:r w:rsidRPr="00BC60EF">
        <w:rPr>
          <w:rFonts w:ascii="Times New Roman" w:hAnsi="Times New Roman" w:cs="Times New Roman"/>
          <w:bCs/>
          <w:sz w:val="24"/>
          <w:szCs w:val="24"/>
        </w:rPr>
        <w:t xml:space="preserve"> prowadzona była wyłącznie za pośrednictwem i przy wykorzystaniu rachunków płatniczych prowadzonych dla usługobiorcy przez dostawcę tej usługi</w:t>
      </w:r>
      <w:r>
        <w:rPr>
          <w:rFonts w:ascii="Times New Roman" w:hAnsi="Times New Roman" w:cs="Times New Roman"/>
          <w:bCs/>
          <w:sz w:val="24"/>
          <w:szCs w:val="24"/>
        </w:rPr>
        <w:t xml:space="preserve"> wiąże się również z koniecznością zawarcia umowy przez tego dostawcę ze swoim klientem. Należy wskazać, że po stronie klienta wymóg ten nie wprowadza w praktyce nowych obowiązków, bowiem już teraz by skorzystać z usługi bezgotówkowej wymiany walut musi posiadać on jakąś formę umowy ze swoim kantorem. Ponadto rozwiązanie to jest ekwiwalentem zawarcia przez klienta umowy ze swoim bankiem, któremu zleca wymianę walut w sposób bezgotówkowy. Rozwiązanie to skutkuje ochroną środków należących do klienta i praktyczną swobodą dysponowania przez niego tymi środkami. </w:t>
      </w:r>
    </w:p>
    <w:p w14:paraId="2C4D8CAE" w14:textId="3D8B9932" w:rsidR="00C21D4B" w:rsidRPr="00AF644A" w:rsidRDefault="00C21D4B" w:rsidP="00695ECE">
      <w:pPr>
        <w:spacing w:after="0" w:line="360" w:lineRule="auto"/>
        <w:ind w:left="349"/>
        <w:jc w:val="both"/>
        <w:rPr>
          <w:rFonts w:ascii="Times New Roman" w:hAnsi="Times New Roman" w:cs="Times New Roman"/>
          <w:bCs/>
          <w:sz w:val="24"/>
          <w:szCs w:val="24"/>
        </w:rPr>
      </w:pPr>
      <w:r w:rsidRPr="00D723E5">
        <w:rPr>
          <w:rFonts w:ascii="Times New Roman" w:hAnsi="Times New Roman" w:cs="Times New Roman"/>
          <w:bCs/>
          <w:sz w:val="24"/>
          <w:szCs w:val="24"/>
        </w:rPr>
        <w:t>Wprowadzenie jedynie obowiązku łączenia roli dostawcy usług płatniczych i dostawcy bezgotówkowej wymiany walut, bez obowiązku prowadzenia rachunków dla usługobiorcy bezgotówkowej wymiany walut w związku z bezgotówkową wymianą walut nie realizowałoby tego celu. Działalność w zakresie bezgotówkowej wymiany walut mogłaby być takim przypadku nadal wykonywana według obecnie funkcjonującego modelu – jako działalność hybrydowa dostawcy usług płatniczych. Tego typu rozwiązanie mogłoby przy tym wywoływać nieprawdziwe przeświadczenie u nieprofesjonalnych uczestników rynku, że działalność w zakresie usług bezgotówkowej wymiany walut, z których korzystają takiemu nadzorowi podlega, a wpłacane środki podlegają szczególnym zabezpieczeniom. Zgodnie z powyższym nie było</w:t>
      </w:r>
      <w:r>
        <w:rPr>
          <w:rFonts w:ascii="Times New Roman" w:hAnsi="Times New Roman" w:cs="Times New Roman"/>
          <w:bCs/>
          <w:sz w:val="24"/>
          <w:szCs w:val="24"/>
        </w:rPr>
        <w:t>,</w:t>
      </w:r>
      <w:r w:rsidRPr="00D723E5">
        <w:rPr>
          <w:rFonts w:ascii="Times New Roman" w:hAnsi="Times New Roman" w:cs="Times New Roman"/>
          <w:bCs/>
          <w:sz w:val="24"/>
          <w:szCs w:val="24"/>
        </w:rPr>
        <w:t xml:space="preserve"> ani nie jest intencją pr</w:t>
      </w:r>
      <w:r>
        <w:rPr>
          <w:rFonts w:ascii="Times New Roman" w:hAnsi="Times New Roman" w:cs="Times New Roman"/>
          <w:bCs/>
          <w:sz w:val="24"/>
          <w:szCs w:val="24"/>
        </w:rPr>
        <w:t>ojektodawcy</w:t>
      </w:r>
      <w:r w:rsidRPr="00D723E5">
        <w:rPr>
          <w:rFonts w:ascii="Times New Roman" w:hAnsi="Times New Roman" w:cs="Times New Roman"/>
          <w:bCs/>
          <w:sz w:val="24"/>
          <w:szCs w:val="24"/>
        </w:rPr>
        <w:t xml:space="preserve"> kwalifikacja tej usługi jako usługi płatniczej. Kwalifikacja taka nie może być również dokonana na podstawie przepisów ustawy z dnia 19 sierpnia 2011 r. o usługach płatniczych</w:t>
      </w:r>
      <w:r>
        <w:rPr>
          <w:rFonts w:ascii="Times New Roman" w:hAnsi="Times New Roman" w:cs="Times New Roman"/>
          <w:bCs/>
          <w:sz w:val="24"/>
          <w:szCs w:val="24"/>
        </w:rPr>
        <w:t xml:space="preserve">. </w:t>
      </w:r>
      <w:r w:rsidRPr="003116F1">
        <w:rPr>
          <w:rFonts w:ascii="Times New Roman" w:hAnsi="Times New Roman" w:cs="Times New Roman"/>
          <w:bCs/>
          <w:sz w:val="24"/>
          <w:szCs w:val="24"/>
        </w:rPr>
        <w:t xml:space="preserve">Tym niemniej do wykonania usługi </w:t>
      </w:r>
      <w:r>
        <w:rPr>
          <w:rFonts w:ascii="Times New Roman" w:hAnsi="Times New Roman" w:cs="Times New Roman"/>
          <w:bCs/>
          <w:sz w:val="24"/>
          <w:szCs w:val="24"/>
        </w:rPr>
        <w:t xml:space="preserve">bezgotówkowej wymiany walut </w:t>
      </w:r>
      <w:r w:rsidRPr="003116F1">
        <w:rPr>
          <w:rFonts w:ascii="Times New Roman" w:hAnsi="Times New Roman" w:cs="Times New Roman"/>
          <w:bCs/>
          <w:sz w:val="24"/>
          <w:szCs w:val="24"/>
        </w:rPr>
        <w:t xml:space="preserve">niezbędne jest świadczenie usług płatniczych. Podobnie sprzedaż na odległość (internetowa) nie jest usługą płatniczą, lecz do jej zrealizowania niezbędne jest co do zasady świadczenie usług płatniczych (usługa rachunku, instrument płatniczy, </w:t>
      </w:r>
      <w:proofErr w:type="spellStart"/>
      <w:r w:rsidRPr="003116F1">
        <w:rPr>
          <w:rFonts w:ascii="Times New Roman" w:hAnsi="Times New Roman" w:cs="Times New Roman"/>
          <w:bCs/>
          <w:sz w:val="24"/>
          <w:szCs w:val="24"/>
        </w:rPr>
        <w:t>acquiring</w:t>
      </w:r>
      <w:proofErr w:type="spellEnd"/>
      <w:r w:rsidRPr="003116F1">
        <w:rPr>
          <w:rFonts w:ascii="Times New Roman" w:hAnsi="Times New Roman" w:cs="Times New Roman"/>
          <w:bCs/>
          <w:sz w:val="24"/>
          <w:szCs w:val="24"/>
        </w:rPr>
        <w:t>).</w:t>
      </w:r>
      <w:r w:rsidR="000D3AE6">
        <w:rPr>
          <w:rFonts w:ascii="Times New Roman" w:hAnsi="Times New Roman" w:cs="Times New Roman"/>
          <w:bCs/>
          <w:sz w:val="24"/>
          <w:szCs w:val="24"/>
        </w:rPr>
        <w:t xml:space="preserve"> </w:t>
      </w:r>
      <w:r w:rsidRPr="00AF644A">
        <w:rPr>
          <w:rFonts w:ascii="Times New Roman" w:hAnsi="Times New Roman" w:cs="Times New Roman"/>
          <w:bCs/>
          <w:sz w:val="24"/>
          <w:szCs w:val="24"/>
        </w:rPr>
        <w:t xml:space="preserve">Należy wskazać, że proponowane zmiany w </w:t>
      </w:r>
      <w:r>
        <w:rPr>
          <w:rFonts w:ascii="Times New Roman" w:hAnsi="Times New Roman" w:cs="Times New Roman"/>
          <w:bCs/>
          <w:sz w:val="24"/>
          <w:szCs w:val="24"/>
        </w:rPr>
        <w:t>ustawie z dnia 27 lipca 2002 r. – P</w:t>
      </w:r>
      <w:r w:rsidRPr="00AF644A">
        <w:rPr>
          <w:rFonts w:ascii="Times New Roman" w:hAnsi="Times New Roman" w:cs="Times New Roman"/>
          <w:bCs/>
          <w:sz w:val="24"/>
          <w:szCs w:val="24"/>
        </w:rPr>
        <w:t>raw</w:t>
      </w:r>
      <w:r>
        <w:rPr>
          <w:rFonts w:ascii="Times New Roman" w:hAnsi="Times New Roman" w:cs="Times New Roman"/>
          <w:bCs/>
          <w:sz w:val="24"/>
          <w:szCs w:val="24"/>
        </w:rPr>
        <w:t>o</w:t>
      </w:r>
      <w:r w:rsidRPr="00AF644A">
        <w:rPr>
          <w:rFonts w:ascii="Times New Roman" w:hAnsi="Times New Roman" w:cs="Times New Roman"/>
          <w:bCs/>
          <w:sz w:val="24"/>
          <w:szCs w:val="24"/>
        </w:rPr>
        <w:t xml:space="preserve"> dewizo</w:t>
      </w:r>
      <w:r>
        <w:rPr>
          <w:rFonts w:ascii="Times New Roman" w:hAnsi="Times New Roman" w:cs="Times New Roman"/>
          <w:bCs/>
          <w:sz w:val="24"/>
          <w:szCs w:val="24"/>
        </w:rPr>
        <w:t>we</w:t>
      </w:r>
      <w:r w:rsidRPr="00AF644A">
        <w:rPr>
          <w:rFonts w:ascii="Times New Roman" w:hAnsi="Times New Roman" w:cs="Times New Roman"/>
          <w:bCs/>
          <w:sz w:val="24"/>
          <w:szCs w:val="24"/>
        </w:rPr>
        <w:t xml:space="preserve"> jedynie definiują bezgotówkową wymianę walut i nakładają wymóg prowadzenia działalności w zakresie usług bezgotówkowej wymiany walut przez dostawców usług płatniczych, przy wykorzystaniu rachunku płatniczego</w:t>
      </w:r>
      <w:r>
        <w:rPr>
          <w:rFonts w:ascii="Times New Roman" w:hAnsi="Times New Roman" w:cs="Times New Roman"/>
          <w:bCs/>
          <w:sz w:val="24"/>
          <w:szCs w:val="24"/>
        </w:rPr>
        <w:t xml:space="preserve">, odnosząc się wprost do istniejącej definicji tego rachunku w </w:t>
      </w:r>
      <w:r w:rsidRPr="00DF63DF">
        <w:rPr>
          <w:rFonts w:ascii="Times New Roman" w:hAnsi="Times New Roman" w:cs="Times New Roman"/>
          <w:bCs/>
          <w:sz w:val="24"/>
          <w:szCs w:val="24"/>
        </w:rPr>
        <w:t>ustaw</w:t>
      </w:r>
      <w:r>
        <w:rPr>
          <w:rFonts w:ascii="Times New Roman" w:hAnsi="Times New Roman" w:cs="Times New Roman"/>
          <w:bCs/>
          <w:sz w:val="24"/>
          <w:szCs w:val="24"/>
        </w:rPr>
        <w:t>ie</w:t>
      </w:r>
      <w:r w:rsidRPr="00DF63DF">
        <w:rPr>
          <w:rFonts w:ascii="Times New Roman" w:hAnsi="Times New Roman" w:cs="Times New Roman"/>
          <w:bCs/>
          <w:sz w:val="24"/>
          <w:szCs w:val="24"/>
        </w:rPr>
        <w:t xml:space="preserve"> </w:t>
      </w:r>
      <w:r w:rsidRPr="00486C63">
        <w:rPr>
          <w:rFonts w:ascii="Times New Roman" w:eastAsiaTheme="minorEastAsia" w:hAnsi="Times New Roman" w:cs="Times New Roman"/>
          <w:sz w:val="24"/>
          <w:szCs w:val="24"/>
        </w:rPr>
        <w:t xml:space="preserve">z dnia 19 sierpnia 2011 r. </w:t>
      </w:r>
      <w:r w:rsidRPr="00DF63DF">
        <w:rPr>
          <w:rFonts w:ascii="Times New Roman" w:hAnsi="Times New Roman" w:cs="Times New Roman"/>
          <w:bCs/>
          <w:sz w:val="24"/>
          <w:szCs w:val="24"/>
        </w:rPr>
        <w:t xml:space="preserve">o usługach płatniczych </w:t>
      </w:r>
      <w:r>
        <w:rPr>
          <w:rFonts w:ascii="Times New Roman" w:hAnsi="Times New Roman" w:cs="Times New Roman"/>
          <w:bCs/>
          <w:sz w:val="24"/>
          <w:szCs w:val="24"/>
        </w:rPr>
        <w:t xml:space="preserve">(art. 2 pkt 25 tej ustawy stanowi, że </w:t>
      </w:r>
      <w:r w:rsidRPr="00AB5AC1">
        <w:rPr>
          <w:rFonts w:ascii="Times New Roman" w:hAnsi="Times New Roman" w:cs="Times New Roman"/>
          <w:bCs/>
          <w:sz w:val="24"/>
          <w:szCs w:val="24"/>
        </w:rPr>
        <w:t>rachunek płatniczy to rachunek prowadzony dla jednego lub większej liczby użytkowników służący do wykonywania transakcji płatniczych, przy czym przez rachunek płatniczy rozumie się także rachunek bankowy oraz rachunek członka spółdzielczej kasy oszczędnościowo-kredytowej, jeżeli rachunki te służą do wykonywania transakcji płatniczych</w:t>
      </w:r>
      <w:r w:rsidRPr="00D040EC">
        <w:rPr>
          <w:rFonts w:ascii="Times New Roman" w:hAnsi="Times New Roman" w:cs="Times New Roman"/>
          <w:bCs/>
          <w:sz w:val="24"/>
          <w:szCs w:val="24"/>
        </w:rPr>
        <w:t>).</w:t>
      </w:r>
      <w:r w:rsidRPr="00AF644A">
        <w:rPr>
          <w:rFonts w:ascii="Times New Roman" w:hAnsi="Times New Roman" w:cs="Times New Roman"/>
          <w:bCs/>
          <w:sz w:val="24"/>
          <w:szCs w:val="24"/>
        </w:rPr>
        <w:t xml:space="preserve"> Nie dochodzi tutaj do nakładania się reżimów regulacyjnych – bezgotówkowa wymiana walut nadal nie będzie działalnością kantorową </w:t>
      </w:r>
      <w:r w:rsidRPr="00AF644A">
        <w:rPr>
          <w:rFonts w:ascii="Times New Roman" w:hAnsi="Times New Roman" w:cs="Times New Roman"/>
          <w:bCs/>
          <w:i/>
          <w:iCs/>
          <w:sz w:val="24"/>
          <w:szCs w:val="24"/>
        </w:rPr>
        <w:t>sensu stricto</w:t>
      </w:r>
      <w:r w:rsidRPr="00AF644A">
        <w:rPr>
          <w:rFonts w:ascii="Times New Roman" w:hAnsi="Times New Roman" w:cs="Times New Roman"/>
          <w:bCs/>
          <w:sz w:val="24"/>
          <w:szCs w:val="24"/>
        </w:rPr>
        <w:t>.</w:t>
      </w:r>
    </w:p>
    <w:p w14:paraId="361AAA2E" w14:textId="19E59D94" w:rsidR="00C21D4B" w:rsidRPr="00546E53" w:rsidRDefault="00C21D4B" w:rsidP="00781E1E">
      <w:pPr>
        <w:pStyle w:val="Akapitzlist"/>
        <w:spacing w:after="0" w:line="360" w:lineRule="auto"/>
        <w:ind w:left="426"/>
        <w:jc w:val="both"/>
        <w:rPr>
          <w:rFonts w:ascii="Times New Roman" w:hAnsi="Times New Roman" w:cs="Times New Roman"/>
          <w:sz w:val="24"/>
          <w:szCs w:val="24"/>
        </w:rPr>
      </w:pPr>
      <w:r w:rsidRPr="00546E53">
        <w:rPr>
          <w:rFonts w:ascii="Times New Roman" w:hAnsi="Times New Roman" w:cs="Times New Roman"/>
          <w:b/>
          <w:bCs/>
          <w:sz w:val="24"/>
          <w:szCs w:val="24"/>
        </w:rPr>
        <w:t>Art. 14</w:t>
      </w:r>
      <w:r w:rsidR="00A3036A">
        <w:rPr>
          <w:rFonts w:ascii="Times New Roman" w:hAnsi="Times New Roman" w:cs="Times New Roman"/>
          <w:b/>
          <w:bCs/>
          <w:sz w:val="24"/>
          <w:szCs w:val="24"/>
        </w:rPr>
        <w:t>4</w:t>
      </w:r>
      <w:r w:rsidRPr="00546E53">
        <w:rPr>
          <w:rFonts w:ascii="Times New Roman" w:hAnsi="Times New Roman" w:cs="Times New Roman"/>
          <w:b/>
          <w:bCs/>
          <w:sz w:val="24"/>
          <w:szCs w:val="24"/>
        </w:rPr>
        <w:t xml:space="preserve"> </w:t>
      </w:r>
      <w:r w:rsidRPr="00546E53">
        <w:rPr>
          <w:rFonts w:ascii="Times New Roman" w:hAnsi="Times New Roman" w:cs="Times New Roman"/>
          <w:sz w:val="24"/>
          <w:szCs w:val="24"/>
        </w:rPr>
        <w:t xml:space="preserve">wprowadza zmiany do art. 16 ustawy </w:t>
      </w:r>
      <w:r w:rsidRPr="003A4BB1">
        <w:rPr>
          <w:rFonts w:ascii="Times New Roman" w:hAnsi="Times New Roman" w:cs="Times New Roman"/>
          <w:sz w:val="24"/>
          <w:szCs w:val="24"/>
        </w:rPr>
        <w:t>z dnia 28 października 2002 r.</w:t>
      </w:r>
      <w:r w:rsidRPr="002B0F91">
        <w:rPr>
          <w:rFonts w:ascii="Times New Roman" w:hAnsi="Times New Roman" w:cs="Times New Roman"/>
          <w:sz w:val="24"/>
          <w:szCs w:val="24"/>
        </w:rPr>
        <w:t xml:space="preserve"> </w:t>
      </w:r>
      <w:r w:rsidRPr="00546E53">
        <w:rPr>
          <w:rFonts w:ascii="Times New Roman" w:hAnsi="Times New Roman" w:cs="Times New Roman"/>
          <w:sz w:val="24"/>
          <w:szCs w:val="24"/>
        </w:rPr>
        <w:t>o</w:t>
      </w:r>
      <w:r w:rsidRPr="00546E53">
        <w:rPr>
          <w:rFonts w:ascii="Times New Roman" w:hAnsi="Times New Roman" w:cs="Times New Roman"/>
          <w:b/>
          <w:bCs/>
          <w:sz w:val="24"/>
          <w:szCs w:val="24"/>
        </w:rPr>
        <w:t xml:space="preserve"> </w:t>
      </w:r>
      <w:r w:rsidRPr="00546E53">
        <w:rPr>
          <w:rFonts w:ascii="Times New Roman" w:hAnsi="Times New Roman" w:cs="Times New Roman"/>
          <w:sz w:val="24"/>
          <w:szCs w:val="24"/>
        </w:rPr>
        <w:t>odpowiedzialności podmiotów zbiorowych za czyny zabronione pod groźbą kary. Uzasadnienie do objęcia wskazanych przestępstw z ustawy również ww. ustawą dotyczącą karnej odpowiedzialności podmiotów zbiorowych wynika z analogicznego obejmowania nimi w aktualnym stanie prawnym również przestępstw związanych z obrotem papierami wartościowymi. Wskazane przepisy art. 1</w:t>
      </w:r>
      <w:r>
        <w:rPr>
          <w:rFonts w:ascii="Times New Roman" w:hAnsi="Times New Roman" w:cs="Times New Roman"/>
          <w:sz w:val="24"/>
          <w:szCs w:val="24"/>
        </w:rPr>
        <w:t>1</w:t>
      </w:r>
      <w:r w:rsidR="00A3036A">
        <w:rPr>
          <w:rFonts w:ascii="Times New Roman" w:hAnsi="Times New Roman" w:cs="Times New Roman"/>
          <w:sz w:val="24"/>
          <w:szCs w:val="24"/>
        </w:rPr>
        <w:t>8</w:t>
      </w:r>
      <w:r w:rsidRPr="00546E53">
        <w:rPr>
          <w:rFonts w:ascii="Times New Roman" w:hAnsi="Times New Roman" w:cs="Times New Roman"/>
          <w:sz w:val="24"/>
          <w:szCs w:val="24"/>
        </w:rPr>
        <w:t xml:space="preserve"> i art. 1</w:t>
      </w:r>
      <w:r>
        <w:rPr>
          <w:rFonts w:ascii="Times New Roman" w:hAnsi="Times New Roman" w:cs="Times New Roman"/>
          <w:sz w:val="24"/>
          <w:szCs w:val="24"/>
        </w:rPr>
        <w:t>2</w:t>
      </w:r>
      <w:r w:rsidR="00A3036A">
        <w:rPr>
          <w:rFonts w:ascii="Times New Roman" w:hAnsi="Times New Roman" w:cs="Times New Roman"/>
          <w:sz w:val="24"/>
          <w:szCs w:val="24"/>
        </w:rPr>
        <w:t>2</w:t>
      </w:r>
      <w:r>
        <w:rPr>
          <w:rFonts w:ascii="Times New Roman" w:hAnsi="Times New Roman" w:cs="Times New Roman"/>
          <w:sz w:val="24"/>
          <w:szCs w:val="24"/>
        </w:rPr>
        <w:t>–</w:t>
      </w:r>
      <w:r w:rsidRPr="00546E53">
        <w:rPr>
          <w:rFonts w:ascii="Times New Roman" w:hAnsi="Times New Roman" w:cs="Times New Roman"/>
          <w:sz w:val="24"/>
          <w:szCs w:val="24"/>
        </w:rPr>
        <w:t>1</w:t>
      </w:r>
      <w:r>
        <w:rPr>
          <w:rFonts w:ascii="Times New Roman" w:hAnsi="Times New Roman" w:cs="Times New Roman"/>
          <w:sz w:val="24"/>
          <w:szCs w:val="24"/>
        </w:rPr>
        <w:t>2</w:t>
      </w:r>
      <w:r w:rsidR="00A3036A">
        <w:rPr>
          <w:rFonts w:ascii="Times New Roman" w:hAnsi="Times New Roman" w:cs="Times New Roman"/>
          <w:sz w:val="24"/>
          <w:szCs w:val="24"/>
        </w:rPr>
        <w:t>4</w:t>
      </w:r>
      <w:r w:rsidRPr="00546E53">
        <w:rPr>
          <w:rFonts w:ascii="Times New Roman" w:hAnsi="Times New Roman" w:cs="Times New Roman"/>
          <w:sz w:val="24"/>
          <w:szCs w:val="24"/>
        </w:rPr>
        <w:t xml:space="preserve"> ustawy to analogiczne przestępstwa</w:t>
      </w:r>
      <w:r>
        <w:rPr>
          <w:rFonts w:ascii="Times New Roman" w:hAnsi="Times New Roman" w:cs="Times New Roman"/>
          <w:sz w:val="24"/>
          <w:szCs w:val="24"/>
        </w:rPr>
        <w:t>,</w:t>
      </w:r>
      <w:r w:rsidRPr="00546E53">
        <w:rPr>
          <w:rFonts w:ascii="Times New Roman" w:hAnsi="Times New Roman" w:cs="Times New Roman"/>
          <w:sz w:val="24"/>
          <w:szCs w:val="24"/>
        </w:rPr>
        <w:t xml:space="preserve"> jak wymienione w ww. ustawie o odpowiedzialności podmiotów zbiorowych art. 99 i </w:t>
      </w:r>
      <w:r>
        <w:rPr>
          <w:rFonts w:ascii="Times New Roman" w:hAnsi="Times New Roman" w:cs="Times New Roman"/>
          <w:sz w:val="24"/>
          <w:szCs w:val="24"/>
        </w:rPr>
        <w:t xml:space="preserve">art. </w:t>
      </w:r>
      <w:r w:rsidRPr="00546E53">
        <w:rPr>
          <w:rFonts w:ascii="Times New Roman" w:hAnsi="Times New Roman" w:cs="Times New Roman"/>
          <w:sz w:val="24"/>
          <w:szCs w:val="24"/>
        </w:rPr>
        <w:t xml:space="preserve">100 ustawy o ofercie publicznej oraz art. 178, art. 178a i </w:t>
      </w:r>
      <w:r>
        <w:rPr>
          <w:rFonts w:ascii="Times New Roman" w:hAnsi="Times New Roman" w:cs="Times New Roman"/>
          <w:sz w:val="24"/>
          <w:szCs w:val="24"/>
        </w:rPr>
        <w:t xml:space="preserve">art. </w:t>
      </w:r>
      <w:r w:rsidRPr="00546E53">
        <w:rPr>
          <w:rFonts w:ascii="Times New Roman" w:hAnsi="Times New Roman" w:cs="Times New Roman"/>
          <w:sz w:val="24"/>
          <w:szCs w:val="24"/>
        </w:rPr>
        <w:t>179 ustawy o obrocie instrumentami finansowymi.</w:t>
      </w:r>
    </w:p>
    <w:bookmarkEnd w:id="32"/>
    <w:p w14:paraId="37FF7EAD" w14:textId="18DAE466" w:rsidR="00C21D4B" w:rsidRPr="008440B6" w:rsidRDefault="00C21D4B" w:rsidP="00781E1E">
      <w:pPr>
        <w:spacing w:line="360" w:lineRule="auto"/>
        <w:ind w:left="426"/>
        <w:contextualSpacing/>
        <w:jc w:val="both"/>
        <w:rPr>
          <w:rFonts w:ascii="Times New Roman" w:eastAsiaTheme="minorEastAsia" w:hAnsi="Times New Roman" w:cs="Times New Roman"/>
          <w:bCs/>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4</w:t>
      </w:r>
      <w:r w:rsidR="00A3036A">
        <w:rPr>
          <w:rFonts w:ascii="Times New Roman" w:eastAsiaTheme="minorEastAsia" w:hAnsi="Times New Roman" w:cs="Times New Roman"/>
          <w:b/>
          <w:bCs/>
          <w:sz w:val="24"/>
          <w:szCs w:val="24"/>
        </w:rPr>
        <w:t>5</w:t>
      </w:r>
      <w:r w:rsidRPr="00486C63">
        <w:rPr>
          <w:rFonts w:ascii="Times New Roman" w:eastAsiaTheme="minorEastAsia" w:hAnsi="Times New Roman" w:cs="Times New Roman"/>
          <w:sz w:val="24"/>
          <w:szCs w:val="24"/>
        </w:rPr>
        <w:t xml:space="preserve"> przewiduje zmiany w ustawie z dnia 27 maja 2004 r. o funduszach inwestycyjnych i zarządzaniu alternatywnymi funduszami inwestycyjnymi poprzez dodanie w tej ustawie art. 45 ust. 2b, który uprawnia towarzystwo funduszy inwestycyjnych do świadczenia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o których mowa w art. 60 ust. 5 rozporządzenia 2023/1114 na zasadach określonych w tym rozporządzeniu. </w:t>
      </w:r>
      <w:r>
        <w:rPr>
          <w:rFonts w:ascii="Times New Roman" w:eastAsiaTheme="minorEastAsia" w:hAnsi="Times New Roman" w:cs="Times New Roman"/>
          <w:sz w:val="24"/>
          <w:szCs w:val="24"/>
        </w:rPr>
        <w:t>P</w:t>
      </w:r>
      <w:r w:rsidRPr="00486C63">
        <w:rPr>
          <w:rFonts w:ascii="Times New Roman" w:eastAsiaTheme="minorEastAsia" w:hAnsi="Times New Roman" w:cs="Times New Roman"/>
          <w:sz w:val="24"/>
          <w:szCs w:val="24"/>
        </w:rPr>
        <w:t>kt 1 wprowadza</w:t>
      </w:r>
      <w:r>
        <w:rPr>
          <w:rFonts w:ascii="Times New Roman" w:eastAsiaTheme="minorEastAsia" w:hAnsi="Times New Roman" w:cs="Times New Roman"/>
          <w:sz w:val="24"/>
          <w:szCs w:val="24"/>
        </w:rPr>
        <w:t xml:space="preserve"> skrót dla</w:t>
      </w:r>
      <w:r w:rsidRPr="00486C63">
        <w:rPr>
          <w:rFonts w:ascii="Times New Roman" w:eastAsiaTheme="minorEastAsia" w:hAnsi="Times New Roman" w:cs="Times New Roman"/>
          <w:sz w:val="24"/>
          <w:szCs w:val="24"/>
        </w:rPr>
        <w:t xml:space="preserve"> rozporządzenia 2023/1114, do którego odwołują się pozostałe zmieniane przepisy. </w:t>
      </w:r>
      <w:r>
        <w:rPr>
          <w:rFonts w:ascii="Times New Roman" w:eastAsiaTheme="minorEastAsia" w:hAnsi="Times New Roman" w:cs="Times New Roman"/>
          <w:sz w:val="24"/>
          <w:szCs w:val="24"/>
        </w:rPr>
        <w:t xml:space="preserve">Pkt 3 wprowadza zmiany do </w:t>
      </w:r>
      <w:r w:rsidRPr="00486C63">
        <w:rPr>
          <w:rFonts w:ascii="Times New Roman" w:eastAsiaTheme="minorEastAsia" w:hAnsi="Times New Roman" w:cs="Times New Roman"/>
          <w:sz w:val="24"/>
          <w:szCs w:val="24"/>
        </w:rPr>
        <w:t>art. 145 w ust. 1</w:t>
      </w:r>
      <w:r>
        <w:rPr>
          <w:rFonts w:ascii="Times New Roman" w:eastAsiaTheme="minorEastAsia" w:hAnsi="Times New Roman" w:cs="Times New Roman"/>
          <w:sz w:val="24"/>
          <w:szCs w:val="24"/>
        </w:rPr>
        <w:t xml:space="preserve"> ustawy</w:t>
      </w:r>
      <w:r w:rsidRPr="00486C63">
        <w:rPr>
          <w:rFonts w:ascii="Times New Roman" w:eastAsiaTheme="minorEastAsia" w:hAnsi="Times New Roman" w:cs="Times New Roman"/>
          <w:sz w:val="24"/>
          <w:szCs w:val="24"/>
        </w:rPr>
        <w:t xml:space="preserve"> z dnia 27 maja 2004 r. o funduszach inwestycyjnych i zarządzaniu alternatywnymi funduszami inwestycyjnymi polegając</w:t>
      </w:r>
      <w:r>
        <w:rPr>
          <w:rFonts w:ascii="Times New Roman" w:eastAsiaTheme="minorEastAsia" w:hAnsi="Times New Roman" w:cs="Times New Roman"/>
          <w:sz w:val="24"/>
          <w:szCs w:val="24"/>
        </w:rPr>
        <w:t>e</w:t>
      </w:r>
      <w:r w:rsidRPr="00486C63">
        <w:rPr>
          <w:rFonts w:ascii="Times New Roman" w:eastAsiaTheme="minorEastAsia" w:hAnsi="Times New Roman" w:cs="Times New Roman"/>
          <w:sz w:val="24"/>
          <w:szCs w:val="24"/>
        </w:rPr>
        <w:t xml:space="preserve"> na dodaniu projektowanego pkt </w:t>
      </w:r>
      <w:r>
        <w:rPr>
          <w:rFonts w:ascii="Times New Roman" w:eastAsiaTheme="minorEastAsia" w:hAnsi="Times New Roman" w:cs="Times New Roman"/>
          <w:sz w:val="24"/>
          <w:szCs w:val="24"/>
        </w:rPr>
        <w:t>8</w:t>
      </w:r>
      <w:r w:rsidRPr="00486C6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który</w:t>
      </w:r>
      <w:r w:rsidRPr="00486C63">
        <w:rPr>
          <w:rFonts w:ascii="Times New Roman" w:eastAsiaTheme="minorEastAsia" w:hAnsi="Times New Roman" w:cs="Times New Roman"/>
          <w:sz w:val="24"/>
          <w:szCs w:val="24"/>
        </w:rPr>
        <w:t xml:space="preserve"> ma na celu umożliwienie zamkniętym funduszom inwestycyjnym nabywanie do swojego portfela inwestycyjnego oferowanych publicznie lub dopuszczonych do obrotu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xml:space="preserve"> powiązanych z aktywami lub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xml:space="preserve"> będących e–pieniądzem</w:t>
      </w:r>
      <w:r>
        <w:rPr>
          <w:rFonts w:ascii="Times New Roman" w:eastAsiaTheme="minorEastAsia" w:hAnsi="Times New Roman" w:cs="Times New Roman"/>
          <w:sz w:val="24"/>
          <w:szCs w:val="24"/>
        </w:rPr>
        <w:t xml:space="preserve">. Zmiany w ust. 3 tego przepisu są wynikową zaproponowanych zmian w ust. 1, w którym dodaje się </w:t>
      </w:r>
      <w:r w:rsidRPr="00B751DC">
        <w:rPr>
          <w:rFonts w:ascii="Times New Roman" w:eastAsiaTheme="minorEastAsia" w:hAnsi="Times New Roman" w:cs="Times New Roman"/>
          <w:sz w:val="24"/>
          <w:szCs w:val="24"/>
        </w:rPr>
        <w:t xml:space="preserve">oferowane publicznie lub dopuszczone do obrotu </w:t>
      </w:r>
      <w:proofErr w:type="spellStart"/>
      <w:r w:rsidRPr="00B751DC">
        <w:rPr>
          <w:rFonts w:ascii="Times New Roman" w:eastAsiaTheme="minorEastAsia" w:hAnsi="Times New Roman" w:cs="Times New Roman"/>
          <w:sz w:val="24"/>
          <w:szCs w:val="24"/>
        </w:rPr>
        <w:t>tokeny</w:t>
      </w:r>
      <w:proofErr w:type="spellEnd"/>
      <w:r w:rsidRPr="00B751DC">
        <w:rPr>
          <w:rFonts w:ascii="Times New Roman" w:eastAsiaTheme="minorEastAsia" w:hAnsi="Times New Roman" w:cs="Times New Roman"/>
          <w:sz w:val="24"/>
          <w:szCs w:val="24"/>
        </w:rPr>
        <w:t xml:space="preserve"> powiązane z aktywami lub </w:t>
      </w:r>
      <w:proofErr w:type="spellStart"/>
      <w:r w:rsidRPr="00B751DC">
        <w:rPr>
          <w:rFonts w:ascii="Times New Roman" w:eastAsiaTheme="minorEastAsia" w:hAnsi="Times New Roman" w:cs="Times New Roman"/>
          <w:sz w:val="24"/>
          <w:szCs w:val="24"/>
        </w:rPr>
        <w:t>tokeny</w:t>
      </w:r>
      <w:proofErr w:type="spellEnd"/>
      <w:r w:rsidRPr="00B751DC">
        <w:rPr>
          <w:rFonts w:ascii="Times New Roman" w:eastAsiaTheme="minorEastAsia" w:hAnsi="Times New Roman" w:cs="Times New Roman"/>
          <w:sz w:val="24"/>
          <w:szCs w:val="24"/>
        </w:rPr>
        <w:t xml:space="preserve"> będące e-pieniądzem wyemitowane przez jeden podmiot</w:t>
      </w:r>
      <w:r>
        <w:rPr>
          <w:rFonts w:ascii="Times New Roman" w:eastAsiaTheme="minorEastAsia" w:hAnsi="Times New Roman" w:cs="Times New Roman"/>
          <w:sz w:val="24"/>
          <w:szCs w:val="24"/>
        </w:rPr>
        <w:t xml:space="preserve"> do katalogu czynności, odnośnie do których</w:t>
      </w:r>
      <w:r w:rsidRPr="00B751DC">
        <w:rPr>
          <w:rFonts w:ascii="Times New Roman" w:eastAsiaTheme="minorEastAsia" w:hAnsi="Times New Roman" w:cs="Times New Roman"/>
          <w:sz w:val="24"/>
          <w:szCs w:val="24"/>
        </w:rPr>
        <w:t xml:space="preserve"> wierzytelności wobec tego podmiotu i udziały w tym podmiocie nie mogą stanowić, z zastrzeżeniem ust. 4, łącznie więcej niż 20 % wartości aktywów funduszu</w:t>
      </w:r>
      <w:r>
        <w:rPr>
          <w:rFonts w:ascii="Times New Roman" w:eastAsiaTheme="minorEastAsia" w:hAnsi="Times New Roman" w:cs="Times New Roman"/>
          <w:sz w:val="24"/>
          <w:szCs w:val="24"/>
        </w:rPr>
        <w:t xml:space="preserve">. Ponadto dodaje się ust. 3a wskazujący, że </w:t>
      </w:r>
      <w:bookmarkStart w:id="33" w:name="_Hlk180749867"/>
      <w:r>
        <w:rPr>
          <w:rFonts w:ascii="Times New Roman" w:eastAsiaTheme="minorEastAsia" w:hAnsi="Times New Roman" w:cs="Times New Roman"/>
          <w:sz w:val="24"/>
          <w:szCs w:val="24"/>
        </w:rPr>
        <w:t>o</w:t>
      </w:r>
      <w:r w:rsidRPr="008440B6">
        <w:rPr>
          <w:rFonts w:ascii="Times New Roman" w:eastAsiaTheme="minorEastAsia" w:hAnsi="Times New Roman" w:cs="Times New Roman"/>
          <w:sz w:val="24"/>
          <w:szCs w:val="24"/>
        </w:rPr>
        <w:t xml:space="preserve">ferowane publicznie lub dopuszczone do obrotu </w:t>
      </w:r>
      <w:bookmarkEnd w:id="33"/>
      <w:r>
        <w:rPr>
          <w:rFonts w:ascii="Times New Roman" w:eastAsiaTheme="minorEastAsia" w:hAnsi="Times New Roman" w:cs="Times New Roman"/>
          <w:sz w:val="24"/>
          <w:szCs w:val="24"/>
        </w:rPr>
        <w:t xml:space="preserve">ww. aktywa </w:t>
      </w:r>
      <w:r w:rsidRPr="008440B6">
        <w:rPr>
          <w:rFonts w:ascii="Times New Roman" w:eastAsiaTheme="minorEastAsia" w:hAnsi="Times New Roman" w:cs="Times New Roman"/>
          <w:sz w:val="24"/>
          <w:szCs w:val="24"/>
        </w:rPr>
        <w:t>nie mo</w:t>
      </w:r>
      <w:r>
        <w:rPr>
          <w:rFonts w:ascii="Times New Roman" w:eastAsiaTheme="minorEastAsia" w:hAnsi="Times New Roman" w:cs="Times New Roman"/>
          <w:sz w:val="24"/>
          <w:szCs w:val="24"/>
        </w:rPr>
        <w:t>gą</w:t>
      </w:r>
      <w:r w:rsidRPr="008440B6">
        <w:rPr>
          <w:rFonts w:ascii="Times New Roman" w:eastAsiaTheme="minorEastAsia" w:hAnsi="Times New Roman" w:cs="Times New Roman"/>
          <w:sz w:val="24"/>
          <w:szCs w:val="24"/>
        </w:rPr>
        <w:t xml:space="preserve"> stanowić więcej niż 20% wartości aktywów funduszu inwestycyjnego zamkniętego, </w:t>
      </w:r>
      <w:r>
        <w:rPr>
          <w:rFonts w:ascii="Times New Roman" w:eastAsiaTheme="minorEastAsia" w:hAnsi="Times New Roman" w:cs="Times New Roman"/>
          <w:sz w:val="24"/>
          <w:szCs w:val="24"/>
        </w:rPr>
        <w:t xml:space="preserve">jednocześnie </w:t>
      </w:r>
      <w:r w:rsidRPr="008440B6">
        <w:rPr>
          <w:rFonts w:ascii="Times New Roman" w:eastAsiaTheme="minorEastAsia" w:hAnsi="Times New Roman" w:cs="Times New Roman"/>
          <w:sz w:val="24"/>
          <w:szCs w:val="24"/>
        </w:rPr>
        <w:t xml:space="preserve">wyemitowane przez jeden podmiot oferowane publicznie lub dopuszczone do obrotu </w:t>
      </w:r>
      <w:proofErr w:type="spellStart"/>
      <w:r w:rsidRPr="008440B6">
        <w:rPr>
          <w:rFonts w:ascii="Times New Roman" w:eastAsiaTheme="minorEastAsia" w:hAnsi="Times New Roman" w:cs="Times New Roman"/>
          <w:sz w:val="24"/>
          <w:szCs w:val="24"/>
        </w:rPr>
        <w:t>tokeny</w:t>
      </w:r>
      <w:proofErr w:type="spellEnd"/>
      <w:r w:rsidRPr="008440B6">
        <w:rPr>
          <w:rFonts w:ascii="Times New Roman" w:eastAsiaTheme="minorEastAsia" w:hAnsi="Times New Roman" w:cs="Times New Roman"/>
          <w:sz w:val="24"/>
          <w:szCs w:val="24"/>
        </w:rPr>
        <w:t xml:space="preserve"> powiązane z aktywami lub </w:t>
      </w:r>
      <w:proofErr w:type="spellStart"/>
      <w:r w:rsidRPr="008440B6">
        <w:rPr>
          <w:rFonts w:ascii="Times New Roman" w:eastAsiaTheme="minorEastAsia" w:hAnsi="Times New Roman" w:cs="Times New Roman"/>
          <w:sz w:val="24"/>
          <w:szCs w:val="24"/>
        </w:rPr>
        <w:t>tokeny</w:t>
      </w:r>
      <w:proofErr w:type="spellEnd"/>
      <w:r w:rsidRPr="008440B6">
        <w:rPr>
          <w:rFonts w:ascii="Times New Roman" w:eastAsiaTheme="minorEastAsia" w:hAnsi="Times New Roman" w:cs="Times New Roman"/>
          <w:sz w:val="24"/>
          <w:szCs w:val="24"/>
        </w:rPr>
        <w:t xml:space="preserve"> będące e-pieniądzem nie mogą stanowić więcej niż 10% wartości aktywów funduszu</w:t>
      </w:r>
      <w:r>
        <w:rPr>
          <w:rFonts w:ascii="Times New Roman" w:eastAsiaTheme="minorEastAsia" w:hAnsi="Times New Roman" w:cs="Times New Roman"/>
          <w:sz w:val="24"/>
          <w:szCs w:val="24"/>
        </w:rPr>
        <w:t>. Przepis ten ma na celu zwiększenie bezpieczeństwa inwestorów.</w:t>
      </w:r>
      <w:r w:rsidRPr="008440B6">
        <w:rPr>
          <w:rFonts w:ascii="Times New Roman" w:eastAsiaTheme="minorEastAsia" w:hAnsi="Times New Roman" w:cs="Times New Roman"/>
          <w:sz w:val="24"/>
          <w:szCs w:val="24"/>
        </w:rPr>
        <w:t xml:space="preserve"> </w:t>
      </w:r>
      <w:r w:rsidRPr="00C47068">
        <w:rPr>
          <w:rFonts w:ascii="Times New Roman" w:eastAsiaTheme="minorEastAsia" w:hAnsi="Times New Roman" w:cs="Times New Roman"/>
          <w:sz w:val="24"/>
          <w:szCs w:val="24"/>
        </w:rPr>
        <w:t xml:space="preserve">Zmiana art. 145 ust. 7 tej ustawy ma na celu doprecyzowanie, że w 20% limicie waluty obcej jednego państwa lub euro względem wartości aktywów danego funduszu inwestycyjnego uwzględnia się również wartość </w:t>
      </w:r>
      <w:proofErr w:type="spellStart"/>
      <w:r w:rsidRPr="00C47068">
        <w:rPr>
          <w:rFonts w:ascii="Times New Roman" w:eastAsiaTheme="minorEastAsia" w:hAnsi="Times New Roman" w:cs="Times New Roman"/>
          <w:sz w:val="24"/>
          <w:szCs w:val="24"/>
        </w:rPr>
        <w:t>tokenów</w:t>
      </w:r>
      <w:proofErr w:type="spellEnd"/>
      <w:r w:rsidRPr="00C47068">
        <w:rPr>
          <w:rFonts w:ascii="Times New Roman" w:eastAsiaTheme="minorEastAsia" w:hAnsi="Times New Roman" w:cs="Times New Roman"/>
          <w:sz w:val="24"/>
          <w:szCs w:val="24"/>
        </w:rPr>
        <w:t xml:space="preserve"> powiązanych z walutami obcymi lub euro. Zmiana ta pozwoli towarzystwom funduszy inwestycyjnych na poszerzenie oferty w zakresie oferowanych na krajowym rynku funduszy inwestycyjnych oraz na dalszą dywersyfikację portfela inwestycyjnego tych funduszy. Zauważenia wymaga, że fundusze inwestycyjne zamknięte, co do zasady, są produktami kierowanymi do inwestorów profesjonalnych, natomiast rozporządzenie 2023/1114 ustanawia jednolite wymogi dotyczące oferty publicznej i dopuszczania do obrotu na platformie obrotu wcześniej wymienionych </w:t>
      </w:r>
      <w:proofErr w:type="spellStart"/>
      <w:r w:rsidRPr="00C47068">
        <w:rPr>
          <w:rFonts w:ascii="Times New Roman" w:eastAsiaTheme="minorEastAsia" w:hAnsi="Times New Roman" w:cs="Times New Roman"/>
          <w:sz w:val="24"/>
          <w:szCs w:val="24"/>
        </w:rPr>
        <w:t>kryptoaktywów</w:t>
      </w:r>
      <w:proofErr w:type="spellEnd"/>
      <w:r w:rsidRPr="00C47068">
        <w:rPr>
          <w:rFonts w:ascii="Times New Roman" w:eastAsiaTheme="minorEastAsia" w:hAnsi="Times New Roman" w:cs="Times New Roman"/>
          <w:sz w:val="24"/>
          <w:szCs w:val="24"/>
        </w:rPr>
        <w:t xml:space="preserve">, a także wymogi w odniesieniu do dostawców usług w zakresie </w:t>
      </w:r>
      <w:proofErr w:type="spellStart"/>
      <w:r w:rsidRPr="00C47068">
        <w:rPr>
          <w:rFonts w:ascii="Times New Roman" w:eastAsiaTheme="minorEastAsia" w:hAnsi="Times New Roman" w:cs="Times New Roman"/>
          <w:sz w:val="24"/>
          <w:szCs w:val="24"/>
        </w:rPr>
        <w:t>kryptoaktywów</w:t>
      </w:r>
      <w:proofErr w:type="spellEnd"/>
      <w:r w:rsidRPr="00C47068">
        <w:rPr>
          <w:rFonts w:ascii="Times New Roman" w:eastAsiaTheme="minorEastAsia" w:hAnsi="Times New Roman" w:cs="Times New Roman"/>
          <w:sz w:val="24"/>
          <w:szCs w:val="24"/>
        </w:rPr>
        <w:t xml:space="preserve">. Jak wskazano w motywach przedmiotowego rozporządzenia wprowadzone ramy prawne powinny służyć wspieraniu innowacji i uczciwej konkurencji, a jednocześnie zapewniać wysoki poziom ochrony posiadaczy detalicznych i integralności rynków </w:t>
      </w:r>
      <w:proofErr w:type="spellStart"/>
      <w:r w:rsidRPr="00C47068">
        <w:rPr>
          <w:rFonts w:ascii="Times New Roman" w:eastAsiaTheme="minorEastAsia" w:hAnsi="Times New Roman" w:cs="Times New Roman"/>
          <w:sz w:val="24"/>
          <w:szCs w:val="24"/>
        </w:rPr>
        <w:t>kryptoaktywów</w:t>
      </w:r>
      <w:proofErr w:type="spellEnd"/>
      <w:r w:rsidRPr="00C47068">
        <w:rPr>
          <w:rFonts w:ascii="Times New Roman" w:eastAsiaTheme="minorEastAsia" w:hAnsi="Times New Roman" w:cs="Times New Roman"/>
          <w:sz w:val="24"/>
          <w:szCs w:val="24"/>
        </w:rPr>
        <w:t xml:space="preserve">. Dodatkowym argumentem dla poszerzenia możliwości inwestycyjnych krajowych zamkniętych funduszy inwestycyjnych może być fakt, że rozporządzenie 2023/1114 umożliwia towarzystwom funduszy inwestycyjnych świadczenie dodatkowych usług w zakresie </w:t>
      </w:r>
      <w:proofErr w:type="spellStart"/>
      <w:r w:rsidRPr="00C47068">
        <w:rPr>
          <w:rFonts w:ascii="Times New Roman" w:eastAsiaTheme="minorEastAsia" w:hAnsi="Times New Roman" w:cs="Times New Roman"/>
          <w:sz w:val="24"/>
          <w:szCs w:val="24"/>
        </w:rPr>
        <w:t>kryptoaktywów</w:t>
      </w:r>
      <w:proofErr w:type="spellEnd"/>
      <w:r w:rsidRPr="00C47068">
        <w:rPr>
          <w:rFonts w:ascii="Times New Roman" w:eastAsiaTheme="minorEastAsia" w:hAnsi="Times New Roman" w:cs="Times New Roman"/>
          <w:sz w:val="24"/>
          <w:szCs w:val="24"/>
        </w:rPr>
        <w:t xml:space="preserve">, np. zarządzanie portfelem </w:t>
      </w:r>
      <w:proofErr w:type="spellStart"/>
      <w:r w:rsidRPr="00C47068">
        <w:rPr>
          <w:rFonts w:ascii="Times New Roman" w:eastAsiaTheme="minorEastAsia" w:hAnsi="Times New Roman" w:cs="Times New Roman"/>
          <w:sz w:val="24"/>
          <w:szCs w:val="24"/>
        </w:rPr>
        <w:t>kryptoaktywów</w:t>
      </w:r>
      <w:proofErr w:type="spellEnd"/>
      <w:r w:rsidRPr="00C47068">
        <w:rPr>
          <w:rFonts w:ascii="Times New Roman" w:eastAsiaTheme="minorEastAsia" w:hAnsi="Times New Roman" w:cs="Times New Roman"/>
          <w:sz w:val="24"/>
          <w:szCs w:val="24"/>
        </w:rPr>
        <w:t>. Skoro zatem ustawodawca unijny umożliwił towarzystwom funduszy inwestycyjnych świadczenie takich usług bezpośrednio na rzecz ich klientów</w:t>
      </w:r>
      <w:r>
        <w:rPr>
          <w:rFonts w:ascii="Times New Roman" w:eastAsiaTheme="minorEastAsia" w:hAnsi="Times New Roman" w:cs="Times New Roman"/>
          <w:sz w:val="24"/>
          <w:szCs w:val="24"/>
        </w:rPr>
        <w:t>,</w:t>
      </w:r>
      <w:r w:rsidRPr="00C47068">
        <w:rPr>
          <w:rFonts w:ascii="Times New Roman" w:eastAsiaTheme="minorEastAsia" w:hAnsi="Times New Roman" w:cs="Times New Roman"/>
          <w:sz w:val="24"/>
          <w:szCs w:val="24"/>
        </w:rPr>
        <w:t xml:space="preserve"> zasadnym wydaje się, aby te podmioty mogły również zarządzać zamkniętymi funduszami inwestycyjnymi, które w swoim portfelu posiadają </w:t>
      </w:r>
      <w:proofErr w:type="spellStart"/>
      <w:r w:rsidRPr="00C47068">
        <w:rPr>
          <w:rFonts w:ascii="Times New Roman" w:eastAsiaTheme="minorEastAsia" w:hAnsi="Times New Roman" w:cs="Times New Roman"/>
          <w:sz w:val="24"/>
          <w:szCs w:val="24"/>
        </w:rPr>
        <w:t>kryptoaktywa</w:t>
      </w:r>
      <w:proofErr w:type="spellEnd"/>
      <w:r w:rsidRPr="00C47068">
        <w:rPr>
          <w:rFonts w:ascii="Times New Roman" w:eastAsiaTheme="minorEastAsia" w:hAnsi="Times New Roman" w:cs="Times New Roman"/>
          <w:sz w:val="24"/>
          <w:szCs w:val="24"/>
        </w:rPr>
        <w:t xml:space="preserve">. Podkreślenia przy tym wymaga, że w projektowanym przepisie fundusze inwestycyjne zamknięte będą mogły nabywać wyłącznie </w:t>
      </w:r>
      <w:proofErr w:type="spellStart"/>
      <w:r w:rsidRPr="00C47068">
        <w:rPr>
          <w:rFonts w:ascii="Times New Roman" w:eastAsiaTheme="minorEastAsia" w:hAnsi="Times New Roman" w:cs="Times New Roman"/>
          <w:sz w:val="24"/>
          <w:szCs w:val="24"/>
        </w:rPr>
        <w:t>kryptoaktywa</w:t>
      </w:r>
      <w:proofErr w:type="spellEnd"/>
      <w:r w:rsidRPr="00C47068">
        <w:rPr>
          <w:rFonts w:ascii="Times New Roman" w:eastAsiaTheme="minorEastAsia" w:hAnsi="Times New Roman" w:cs="Times New Roman"/>
          <w:sz w:val="24"/>
          <w:szCs w:val="24"/>
        </w:rPr>
        <w:t xml:space="preserve"> oferowane publicznie lub dopuszczone do obrotu na zasadach określonych w rozporządzeniu 2023/1114.</w:t>
      </w:r>
      <w:r>
        <w:rPr>
          <w:rFonts w:ascii="Times New Roman" w:eastAsiaTheme="minorEastAsia" w:hAnsi="Times New Roman" w:cs="Times New Roman"/>
          <w:sz w:val="24"/>
          <w:szCs w:val="24"/>
        </w:rPr>
        <w:t xml:space="preserve"> W art. 145 dodaje się również ust. 10, który </w:t>
      </w:r>
      <w:r>
        <w:rPr>
          <w:rFonts w:ascii="Times New Roman" w:eastAsiaTheme="minorEastAsia" w:hAnsi="Times New Roman" w:cs="Times New Roman"/>
          <w:bCs/>
          <w:sz w:val="24"/>
          <w:szCs w:val="24"/>
        </w:rPr>
        <w:t xml:space="preserve">precyzuje sytuację, w której </w:t>
      </w:r>
      <w:r w:rsidRPr="008440B6">
        <w:rPr>
          <w:rFonts w:ascii="Times New Roman" w:eastAsiaTheme="minorEastAsia" w:hAnsi="Times New Roman" w:cs="Times New Roman"/>
          <w:bCs/>
          <w:sz w:val="24"/>
          <w:szCs w:val="24"/>
        </w:rPr>
        <w:t xml:space="preserve">fundusz inwestycyjny zamknięty zamierza dokonywać lokat, </w:t>
      </w:r>
      <w:r>
        <w:rPr>
          <w:rFonts w:ascii="Times New Roman" w:eastAsiaTheme="minorEastAsia" w:hAnsi="Times New Roman" w:cs="Times New Roman"/>
          <w:bCs/>
          <w:sz w:val="24"/>
          <w:szCs w:val="24"/>
        </w:rPr>
        <w:t xml:space="preserve">m.in. określając warunki jakie powinien spełniać jego </w:t>
      </w:r>
      <w:r w:rsidRPr="008440B6">
        <w:rPr>
          <w:rFonts w:ascii="Times New Roman" w:eastAsiaTheme="minorEastAsia" w:hAnsi="Times New Roman" w:cs="Times New Roman"/>
          <w:bCs/>
          <w:sz w:val="24"/>
          <w:szCs w:val="24"/>
        </w:rPr>
        <w:t>statut</w:t>
      </w:r>
      <w:r>
        <w:rPr>
          <w:rFonts w:ascii="Times New Roman" w:eastAsiaTheme="minorEastAsia" w:hAnsi="Times New Roman" w:cs="Times New Roman"/>
          <w:bCs/>
          <w:sz w:val="24"/>
          <w:szCs w:val="24"/>
        </w:rPr>
        <w:t>. Pkt 4 wprowadza zmiany w art. 154 ust. 1 ww. ustawy określając, że p</w:t>
      </w:r>
      <w:r w:rsidRPr="008440B6">
        <w:rPr>
          <w:rFonts w:ascii="Times New Roman" w:eastAsiaTheme="minorEastAsia" w:hAnsi="Times New Roman" w:cs="Times New Roman"/>
          <w:bCs/>
          <w:sz w:val="24"/>
          <w:szCs w:val="24"/>
        </w:rPr>
        <w:t>rzy stosowaniu limitów inwestycyjnych, o których mowa w art. 145 ust. 3, 3a, 4 lub 7</w:t>
      </w:r>
      <w:r>
        <w:rPr>
          <w:rFonts w:ascii="Times New Roman" w:eastAsiaTheme="minorEastAsia" w:hAnsi="Times New Roman" w:cs="Times New Roman"/>
          <w:bCs/>
          <w:sz w:val="24"/>
          <w:szCs w:val="24"/>
        </w:rPr>
        <w:t xml:space="preserve"> tej ustawy</w:t>
      </w:r>
      <w:r w:rsidRPr="008440B6">
        <w:rPr>
          <w:rFonts w:ascii="Times New Roman" w:eastAsiaTheme="minorEastAsia" w:hAnsi="Times New Roman" w:cs="Times New Roman"/>
          <w:bCs/>
          <w:sz w:val="24"/>
          <w:szCs w:val="24"/>
        </w:rPr>
        <w:t xml:space="preserve">, fundusz inwestycyjny zamknięty jest obowiązany uwzględniać wartość </w:t>
      </w:r>
      <w:r>
        <w:rPr>
          <w:rFonts w:ascii="Times New Roman" w:eastAsiaTheme="minorEastAsia" w:hAnsi="Times New Roman" w:cs="Times New Roman"/>
          <w:bCs/>
          <w:sz w:val="24"/>
          <w:szCs w:val="24"/>
        </w:rPr>
        <w:t xml:space="preserve">również </w:t>
      </w:r>
      <w:r w:rsidRPr="008440B6">
        <w:rPr>
          <w:rFonts w:ascii="Times New Roman" w:eastAsiaTheme="minorEastAsia" w:hAnsi="Times New Roman" w:cs="Times New Roman"/>
          <w:bCs/>
          <w:sz w:val="24"/>
          <w:szCs w:val="24"/>
        </w:rPr>
        <w:t xml:space="preserve">oferowanych publicznie lub dopuszczonych do obrotu </w:t>
      </w:r>
      <w:proofErr w:type="spellStart"/>
      <w:r w:rsidRPr="008440B6">
        <w:rPr>
          <w:rFonts w:ascii="Times New Roman" w:eastAsiaTheme="minorEastAsia" w:hAnsi="Times New Roman" w:cs="Times New Roman"/>
          <w:bCs/>
          <w:sz w:val="24"/>
          <w:szCs w:val="24"/>
        </w:rPr>
        <w:t>tokenów</w:t>
      </w:r>
      <w:proofErr w:type="spellEnd"/>
      <w:r w:rsidRPr="008440B6">
        <w:rPr>
          <w:rFonts w:ascii="Times New Roman" w:eastAsiaTheme="minorEastAsia" w:hAnsi="Times New Roman" w:cs="Times New Roman"/>
          <w:bCs/>
          <w:sz w:val="24"/>
          <w:szCs w:val="24"/>
        </w:rPr>
        <w:t xml:space="preserve"> powiązanych z aktywami lub </w:t>
      </w:r>
      <w:proofErr w:type="spellStart"/>
      <w:r w:rsidRPr="008440B6">
        <w:rPr>
          <w:rFonts w:ascii="Times New Roman" w:eastAsiaTheme="minorEastAsia" w:hAnsi="Times New Roman" w:cs="Times New Roman"/>
          <w:bCs/>
          <w:sz w:val="24"/>
          <w:szCs w:val="24"/>
        </w:rPr>
        <w:t>tokenów</w:t>
      </w:r>
      <w:proofErr w:type="spellEnd"/>
      <w:r w:rsidRPr="008440B6">
        <w:rPr>
          <w:rFonts w:ascii="Times New Roman" w:eastAsiaTheme="minorEastAsia" w:hAnsi="Times New Roman" w:cs="Times New Roman"/>
          <w:bCs/>
          <w:sz w:val="24"/>
          <w:szCs w:val="24"/>
        </w:rPr>
        <w:t xml:space="preserve"> będących e-pieniądzem.</w:t>
      </w:r>
    </w:p>
    <w:p w14:paraId="5FAB9620" w14:textId="514DCEFF" w:rsidR="00C21D4B" w:rsidRPr="00486C63" w:rsidRDefault="00C21D4B" w:rsidP="00781E1E">
      <w:pPr>
        <w:spacing w:line="360" w:lineRule="auto"/>
        <w:ind w:left="426"/>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4</w:t>
      </w:r>
      <w:r w:rsidR="00A3036A">
        <w:rPr>
          <w:rFonts w:ascii="Times New Roman" w:eastAsiaTheme="minorEastAsia" w:hAnsi="Times New Roman" w:cs="Times New Roman"/>
          <w:b/>
          <w:bCs/>
          <w:sz w:val="24"/>
          <w:szCs w:val="24"/>
        </w:rPr>
        <w:t>6</w:t>
      </w:r>
      <w:r w:rsidRPr="00486C63">
        <w:rPr>
          <w:rFonts w:ascii="Times New Roman" w:eastAsiaTheme="minorEastAsia" w:hAnsi="Times New Roman" w:cs="Times New Roman"/>
          <w:sz w:val="24"/>
          <w:szCs w:val="24"/>
        </w:rPr>
        <w:t xml:space="preserve"> wprowadza zmianę do art. 17 ustawy o nadzorze nad rynkiem kapitałowym. Zmiana ma na celu uregulowanie przeznaczenia i rozdysponowania wpływów z </w:t>
      </w:r>
      <w:r>
        <w:rPr>
          <w:rFonts w:ascii="Times New Roman" w:eastAsiaTheme="minorEastAsia" w:hAnsi="Times New Roman" w:cs="Times New Roman"/>
          <w:sz w:val="24"/>
          <w:szCs w:val="24"/>
        </w:rPr>
        <w:t>w</w:t>
      </w:r>
      <w:r w:rsidRPr="00486C63">
        <w:rPr>
          <w:rFonts w:ascii="Times New Roman" w:eastAsiaTheme="minorEastAsia" w:hAnsi="Times New Roman" w:cs="Times New Roman"/>
          <w:sz w:val="24"/>
          <w:szCs w:val="24"/>
        </w:rPr>
        <w:t>płat, o których mowa w art. </w:t>
      </w:r>
      <w:r w:rsidR="00A3036A">
        <w:rPr>
          <w:rFonts w:ascii="Times New Roman" w:eastAsiaTheme="minorEastAsia" w:hAnsi="Times New Roman" w:cs="Times New Roman"/>
          <w:sz w:val="24"/>
          <w:szCs w:val="24"/>
        </w:rPr>
        <w:t>78</w:t>
      </w:r>
      <w:r w:rsidRPr="00486C63">
        <w:rPr>
          <w:rFonts w:ascii="Times New Roman" w:eastAsiaTheme="minorEastAsia" w:hAnsi="Times New Roman" w:cs="Times New Roman"/>
          <w:sz w:val="24"/>
          <w:szCs w:val="24"/>
        </w:rPr>
        <w:t xml:space="preserve"> projektowanej ustawy. Wykonanie powyższego wymaga zmiany art. 17 ustawy o nadzorze nad rynkiem kapitałowym, który określa zasady pokrywania kosztów działalności</w:t>
      </w:r>
      <w:r>
        <w:rPr>
          <w:rFonts w:ascii="Times New Roman" w:eastAsiaTheme="minorEastAsia" w:hAnsi="Times New Roman" w:cs="Times New Roman"/>
          <w:sz w:val="24"/>
          <w:szCs w:val="24"/>
        </w:rPr>
        <w:t xml:space="preserve"> UKNF</w:t>
      </w:r>
      <w:r w:rsidRPr="00486C63">
        <w:rPr>
          <w:rFonts w:ascii="Times New Roman" w:eastAsiaTheme="minorEastAsia" w:hAnsi="Times New Roman" w:cs="Times New Roman"/>
          <w:sz w:val="24"/>
          <w:szCs w:val="24"/>
        </w:rPr>
        <w:t xml:space="preserve">. Dodany w tym przepisie ust. 8a określa, że w przypadku gdy dostawca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jest zobowiązany do wnoszenia opłat na pokrycie kosztów nadzoru, o których mowa w art.</w:t>
      </w:r>
      <w:r>
        <w:rPr>
          <w:rFonts w:ascii="Times New Roman" w:eastAsiaTheme="minorEastAsia" w:hAnsi="Times New Roman" w:cs="Times New Roman"/>
          <w:sz w:val="24"/>
          <w:szCs w:val="24"/>
        </w:rPr>
        <w:t> </w:t>
      </w:r>
      <w:r w:rsidRPr="00486C63">
        <w:rPr>
          <w:rFonts w:ascii="Times New Roman" w:eastAsiaTheme="minorEastAsia" w:hAnsi="Times New Roman" w:cs="Times New Roman"/>
          <w:sz w:val="24"/>
          <w:szCs w:val="24"/>
        </w:rPr>
        <w:t xml:space="preserve">17 ust. 1 ustawy o nadzorze nad rynkiem kapitałowym, ustalanych na podstawie średniej wartości przychodów, wartości tych przychodów nie wlicza się do przychodów stanowiących podstawę ustalenia wysokości rocznej </w:t>
      </w:r>
      <w:r>
        <w:rPr>
          <w:rFonts w:ascii="Times New Roman" w:eastAsiaTheme="minorEastAsia" w:hAnsi="Times New Roman" w:cs="Times New Roman"/>
          <w:sz w:val="24"/>
          <w:szCs w:val="24"/>
        </w:rPr>
        <w:t>w</w:t>
      </w:r>
      <w:r w:rsidRPr="00486C63">
        <w:rPr>
          <w:rFonts w:ascii="Times New Roman" w:eastAsiaTheme="minorEastAsia" w:hAnsi="Times New Roman" w:cs="Times New Roman"/>
          <w:sz w:val="24"/>
          <w:szCs w:val="24"/>
        </w:rPr>
        <w:t>płaty</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o której mowa w art. </w:t>
      </w:r>
      <w:r w:rsidR="00A3036A">
        <w:rPr>
          <w:rFonts w:ascii="Times New Roman" w:eastAsiaTheme="minorEastAsia" w:hAnsi="Times New Roman" w:cs="Times New Roman"/>
          <w:sz w:val="24"/>
          <w:szCs w:val="24"/>
        </w:rPr>
        <w:t>78</w:t>
      </w:r>
      <w:r>
        <w:rPr>
          <w:rFonts w:ascii="Times New Roman" w:eastAsiaTheme="minorEastAsia" w:hAnsi="Times New Roman" w:cs="Times New Roman"/>
          <w:sz w:val="24"/>
          <w:szCs w:val="24"/>
        </w:rPr>
        <w:t xml:space="preserve"> projektowanej</w:t>
      </w:r>
      <w:r w:rsidRPr="00486C63">
        <w:rPr>
          <w:rFonts w:ascii="Times New Roman" w:eastAsiaTheme="minorEastAsia" w:hAnsi="Times New Roman" w:cs="Times New Roman"/>
          <w:sz w:val="24"/>
          <w:szCs w:val="24"/>
        </w:rPr>
        <w:t xml:space="preserve"> ustawy.</w:t>
      </w:r>
    </w:p>
    <w:p w14:paraId="54AB3D50" w14:textId="310ADE89" w:rsidR="00C21D4B" w:rsidRPr="00FE65F1" w:rsidRDefault="00C21D4B" w:rsidP="00781E1E">
      <w:pPr>
        <w:spacing w:line="360" w:lineRule="auto"/>
        <w:ind w:left="708"/>
        <w:contextualSpacing/>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W a</w:t>
      </w:r>
      <w:r w:rsidRPr="00486C63">
        <w:rPr>
          <w:rFonts w:ascii="Times New Roman" w:eastAsiaTheme="minorEastAsia" w:hAnsi="Times New Roman" w:cs="Times New Roman"/>
          <w:b/>
          <w:bCs/>
          <w:sz w:val="24"/>
          <w:szCs w:val="24"/>
        </w:rPr>
        <w:t>rt. 1</w:t>
      </w:r>
      <w:r>
        <w:rPr>
          <w:rFonts w:ascii="Times New Roman" w:eastAsiaTheme="minorEastAsia" w:hAnsi="Times New Roman" w:cs="Times New Roman"/>
          <w:b/>
          <w:bCs/>
          <w:sz w:val="24"/>
          <w:szCs w:val="24"/>
        </w:rPr>
        <w:t>4</w:t>
      </w:r>
      <w:r w:rsidR="006F580E">
        <w:rPr>
          <w:rFonts w:ascii="Times New Roman" w:eastAsiaTheme="minorEastAsia" w:hAnsi="Times New Roman" w:cs="Times New Roman"/>
          <w:b/>
          <w:bCs/>
          <w:sz w:val="24"/>
          <w:szCs w:val="24"/>
        </w:rPr>
        <w:t>7</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proponuje się </w:t>
      </w:r>
      <w:r w:rsidRPr="00486C63">
        <w:rPr>
          <w:rFonts w:ascii="Times New Roman" w:eastAsiaTheme="minorEastAsia" w:hAnsi="Times New Roman" w:cs="Times New Roman"/>
          <w:sz w:val="24"/>
          <w:szCs w:val="24"/>
        </w:rPr>
        <w:t>dokon</w:t>
      </w:r>
      <w:r>
        <w:rPr>
          <w:rFonts w:ascii="Times New Roman" w:eastAsiaTheme="minorEastAsia" w:hAnsi="Times New Roman" w:cs="Times New Roman"/>
          <w:sz w:val="24"/>
          <w:szCs w:val="24"/>
        </w:rPr>
        <w:t>anie</w:t>
      </w:r>
      <w:r w:rsidRPr="00486C63">
        <w:rPr>
          <w:rFonts w:ascii="Times New Roman" w:eastAsiaTheme="minorEastAsia" w:hAnsi="Times New Roman" w:cs="Times New Roman"/>
          <w:sz w:val="24"/>
          <w:szCs w:val="24"/>
        </w:rPr>
        <w:t xml:space="preserve"> zmian w ustawie o obrocie instrumentami finansowymi</w:t>
      </w:r>
      <w:r>
        <w:rPr>
          <w:rFonts w:ascii="Times New Roman" w:eastAsiaTheme="minorEastAsia" w:hAnsi="Times New Roman" w:cs="Times New Roman"/>
          <w:sz w:val="24"/>
          <w:szCs w:val="24"/>
        </w:rPr>
        <w:t xml:space="preserve">. W </w:t>
      </w:r>
      <w:r w:rsidRPr="00486C63">
        <w:rPr>
          <w:rFonts w:ascii="Times New Roman" w:eastAsiaTheme="minorEastAsia" w:hAnsi="Times New Roman"/>
          <w:sz w:val="24"/>
        </w:rPr>
        <w:t>pkt 1</w:t>
      </w:r>
      <w:r w:rsidRPr="00486C63">
        <w:rPr>
          <w:rFonts w:ascii="Times New Roman" w:eastAsiaTheme="minorEastAsia" w:hAnsi="Times New Roman" w:cs="Times New Roman"/>
          <w:sz w:val="24"/>
          <w:szCs w:val="24"/>
        </w:rPr>
        <w:t xml:space="preserve"> projektu ustawy rozszerza </w:t>
      </w:r>
      <w:r>
        <w:rPr>
          <w:rFonts w:ascii="Times New Roman" w:eastAsiaTheme="minorEastAsia" w:hAnsi="Times New Roman" w:cs="Times New Roman"/>
          <w:sz w:val="24"/>
          <w:szCs w:val="24"/>
        </w:rPr>
        <w:t xml:space="preserve">się </w:t>
      </w:r>
      <w:r w:rsidRPr="00486C63">
        <w:rPr>
          <w:rFonts w:ascii="Times New Roman" w:eastAsiaTheme="minorEastAsia" w:hAnsi="Times New Roman" w:cs="Times New Roman"/>
          <w:sz w:val="24"/>
          <w:szCs w:val="24"/>
        </w:rPr>
        <w:t>słowniczek pojęć używanych w ustawie o obrocie instrumentami finansowymi poprzez dodanie w art. 3</w:t>
      </w:r>
      <w:r>
        <w:rPr>
          <w:rFonts w:ascii="Times New Roman" w:eastAsiaTheme="minorEastAsia" w:hAnsi="Times New Roman" w:cs="Times New Roman"/>
          <w:sz w:val="24"/>
          <w:szCs w:val="24"/>
        </w:rPr>
        <w:t xml:space="preserve"> tej</w:t>
      </w:r>
      <w:r w:rsidRPr="00486C63">
        <w:rPr>
          <w:rFonts w:ascii="Times New Roman" w:eastAsiaTheme="minorEastAsia" w:hAnsi="Times New Roman" w:cs="Times New Roman"/>
          <w:sz w:val="24"/>
          <w:szCs w:val="24"/>
        </w:rPr>
        <w:t xml:space="preserve"> ustawy pkt 4zg, który odnosi się do rozporządzenia 2023/1114. </w:t>
      </w:r>
      <w:r>
        <w:rPr>
          <w:rFonts w:ascii="Times New Roman" w:eastAsiaTheme="minorEastAsia" w:hAnsi="Times New Roman" w:cs="Times New Roman"/>
          <w:sz w:val="24"/>
          <w:szCs w:val="24"/>
        </w:rPr>
        <w:t xml:space="preserve">W </w:t>
      </w:r>
      <w:r w:rsidRPr="00486C63">
        <w:rPr>
          <w:rFonts w:ascii="Times New Roman" w:eastAsiaTheme="minorEastAsia" w:hAnsi="Times New Roman" w:cs="Times New Roman"/>
          <w:sz w:val="24"/>
          <w:szCs w:val="24"/>
        </w:rPr>
        <w:t>pkt 2 wprowadza zmianę w art. 21 ustawy o obrocie</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instrumentami finansowymi, która uprawnia spółkę prowadzącą rynek regulowany do świadczenia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o których mowa w art. 60 ust. 6 rozporządzenia 2023/1114, na zasadach określonych w tym rozporządzeniu. Analogiczna regulacja (</w:t>
      </w:r>
      <w:r w:rsidRPr="00486C63">
        <w:rPr>
          <w:rFonts w:ascii="Times New Roman" w:eastAsiaTheme="minorEastAsia" w:hAnsi="Times New Roman"/>
          <w:sz w:val="24"/>
        </w:rPr>
        <w:t>pkt 3)</w:t>
      </w:r>
      <w:r w:rsidRPr="00486C63">
        <w:rPr>
          <w:rFonts w:ascii="Times New Roman" w:eastAsiaTheme="minorEastAsia" w:hAnsi="Times New Roman" w:cs="Times New Roman"/>
          <w:sz w:val="24"/>
          <w:szCs w:val="24"/>
        </w:rPr>
        <w:t xml:space="preserve"> została przewidziana dla Krajowego Depozytu, który na podstawie dodawanego w art. 48 ust. 5aa ustawy o obrocie</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instrumentami finansowymi, będzie miał możliwość świadczenia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o których mowa w art. 60 ust. 2 rozporządzenia 2023/1114, na zasadach określonych w tym rozporządzeniu. </w:t>
      </w:r>
      <w:r>
        <w:rPr>
          <w:rFonts w:ascii="Times New Roman" w:eastAsiaTheme="minorEastAsia" w:hAnsi="Times New Roman" w:cs="Times New Roman"/>
          <w:sz w:val="24"/>
          <w:szCs w:val="24"/>
        </w:rPr>
        <w:t>W pkt 4 wprowadza się zmianę w art. 77 ust. 2 w</w:t>
      </w:r>
      <w:r w:rsidRPr="00D62B5E">
        <w:rPr>
          <w:rFonts w:ascii="Times New Roman" w:eastAsiaTheme="minorEastAsia" w:hAnsi="Times New Roman" w:cs="Times New Roman"/>
          <w:sz w:val="24"/>
          <w:szCs w:val="24"/>
        </w:rPr>
        <w:t xml:space="preserve"> celu </w:t>
      </w:r>
      <w:bookmarkStart w:id="34" w:name="_Hlk190347469"/>
      <w:r w:rsidRPr="00D62B5E">
        <w:rPr>
          <w:rFonts w:ascii="Times New Roman" w:eastAsiaTheme="minorEastAsia" w:hAnsi="Times New Roman" w:cs="Times New Roman"/>
          <w:sz w:val="24"/>
          <w:szCs w:val="24"/>
        </w:rPr>
        <w:t>uniknięcia wątpliwości, że świadczenie przez firmę inwestycyjną usługi wymiany walutowej nie stanowi działalności kantorowej w rozumieniu ustawy z dnia 27 lipca 2002 r. – Prawo dewizowe.</w:t>
      </w:r>
      <w:bookmarkEnd w:id="34"/>
      <w:r>
        <w:rPr>
          <w:rFonts w:ascii="Times New Roman" w:eastAsiaTheme="minorEastAsia" w:hAnsi="Times New Roman" w:cs="Times New Roman"/>
          <w:sz w:val="24"/>
          <w:szCs w:val="24"/>
        </w:rPr>
        <w:t xml:space="preserve"> </w:t>
      </w:r>
      <w:r w:rsidRPr="00D62B5E">
        <w:rPr>
          <w:rFonts w:ascii="Times New Roman" w:eastAsiaTheme="minorEastAsia" w:hAnsi="Times New Roman" w:cs="Times New Roman"/>
          <w:sz w:val="24"/>
          <w:szCs w:val="24"/>
        </w:rPr>
        <w:t>W aktualnym stanie prawnym, na podstawie art. 69 ust. 4 pkt 5 ustawy o obrocie instrumentami finansowymi, firma inwestycyjna może świadczyć usługi wymiany walutowej, ale tylko wówczas, gdy jest to związane z prowadzoną przez nią inną działalnością maklerską. W przypadku firmy inwestycyjnej usługa wymiany walutowej jest usługą o charakterze pomocniczym, świadczoną gdy jest to niezbędne dla wykonywania usług maklerskich podstawowych. Przyjęte w ustawie o obrocie instrumentami finansowymi rozwiązanie wynika z dyrektywy Parlamentu Europejskiego i Rady 2014/65/UE z dnia 15 maja 2014 r. w sprawie rynków instrumentów finansowych oraz zmieniająca dyrektywę 2002/92/WE i dyrektywę 2011/61/UE (załącznik I sekcja B pkt 4).</w:t>
      </w:r>
      <w:r>
        <w:rPr>
          <w:rFonts w:ascii="Times New Roman" w:eastAsiaTheme="minorEastAsia" w:hAnsi="Times New Roman" w:cs="Times New Roman"/>
          <w:sz w:val="24"/>
          <w:szCs w:val="24"/>
        </w:rPr>
        <w:t xml:space="preserve"> </w:t>
      </w:r>
      <w:r w:rsidRPr="00D62B5E">
        <w:rPr>
          <w:rFonts w:ascii="Times New Roman" w:eastAsiaTheme="minorEastAsia" w:hAnsi="Times New Roman" w:cs="Times New Roman"/>
          <w:sz w:val="24"/>
          <w:szCs w:val="24"/>
        </w:rPr>
        <w:t xml:space="preserve">W </w:t>
      </w:r>
      <w:r>
        <w:rPr>
          <w:rFonts w:ascii="Times New Roman" w:eastAsiaTheme="minorEastAsia" w:hAnsi="Times New Roman" w:cs="Times New Roman"/>
          <w:sz w:val="24"/>
          <w:szCs w:val="24"/>
        </w:rPr>
        <w:t xml:space="preserve">związku </w:t>
      </w:r>
      <w:r w:rsidRPr="00D62B5E">
        <w:rPr>
          <w:rFonts w:ascii="Times New Roman" w:eastAsiaTheme="minorEastAsia" w:hAnsi="Times New Roman" w:cs="Times New Roman"/>
          <w:sz w:val="24"/>
          <w:szCs w:val="24"/>
        </w:rPr>
        <w:t>przepis</w:t>
      </w:r>
      <w:r>
        <w:rPr>
          <w:rFonts w:ascii="Times New Roman" w:eastAsiaTheme="minorEastAsia" w:hAnsi="Times New Roman" w:cs="Times New Roman"/>
          <w:sz w:val="24"/>
          <w:szCs w:val="24"/>
        </w:rPr>
        <w:t>em</w:t>
      </w:r>
      <w:r w:rsidRPr="00D62B5E">
        <w:rPr>
          <w:rFonts w:ascii="Times New Roman" w:eastAsiaTheme="minorEastAsia" w:hAnsi="Times New Roman" w:cs="Times New Roman"/>
          <w:sz w:val="24"/>
          <w:szCs w:val="24"/>
        </w:rPr>
        <w:t xml:space="preserve"> wprost wyłączając</w:t>
      </w:r>
      <w:r>
        <w:rPr>
          <w:rFonts w:ascii="Times New Roman" w:eastAsiaTheme="minorEastAsia" w:hAnsi="Times New Roman" w:cs="Times New Roman"/>
          <w:sz w:val="24"/>
          <w:szCs w:val="24"/>
        </w:rPr>
        <w:t>ym</w:t>
      </w:r>
      <w:r w:rsidRPr="00D62B5E">
        <w:rPr>
          <w:rFonts w:ascii="Times New Roman" w:eastAsiaTheme="minorEastAsia" w:hAnsi="Times New Roman" w:cs="Times New Roman"/>
          <w:sz w:val="24"/>
          <w:szCs w:val="24"/>
        </w:rPr>
        <w:t xml:space="preserve"> usługi wymiany walutowej świadczone przez firmy inwestycyjne z przedmiotowego zakresu definicji działalności kantorowej, w celu uniknięcia wątpliwości, za zasadne </w:t>
      </w:r>
      <w:r>
        <w:rPr>
          <w:rFonts w:ascii="Times New Roman" w:eastAsiaTheme="minorEastAsia" w:hAnsi="Times New Roman" w:cs="Times New Roman"/>
          <w:sz w:val="24"/>
          <w:szCs w:val="24"/>
        </w:rPr>
        <w:t>należy uznać</w:t>
      </w:r>
      <w:r w:rsidRPr="00D62B5E">
        <w:rPr>
          <w:rFonts w:ascii="Times New Roman" w:eastAsiaTheme="minorEastAsia" w:hAnsi="Times New Roman" w:cs="Times New Roman"/>
          <w:sz w:val="24"/>
          <w:szCs w:val="24"/>
        </w:rPr>
        <w:t xml:space="preserve"> rozszerzenie tego wyłączenia o działalność gospodarczą w zakresie usług bezgotówkowej wymiany walut. Rozszerzenie takie jest uzasadnione tym bardziej, że w praktyce świadczenie przez firmy inwestycyjne usług w zakresie wymiany walutowej najczęściej przybiera formę wymiany walut w postaci bezgotówkowej.</w:t>
      </w:r>
      <w:r>
        <w:rPr>
          <w:rFonts w:ascii="Times New Roman" w:eastAsiaTheme="minorEastAsia" w:hAnsi="Times New Roman" w:cs="Times New Roman"/>
          <w:sz w:val="24"/>
          <w:szCs w:val="24"/>
        </w:rPr>
        <w:t xml:space="preserve"> W p</w:t>
      </w:r>
      <w:r w:rsidRPr="00FE65F1">
        <w:rPr>
          <w:rFonts w:ascii="Times New Roman" w:eastAsiaTheme="minorEastAsia" w:hAnsi="Times New Roman" w:cs="Times New Roman"/>
          <w:sz w:val="24"/>
          <w:szCs w:val="24"/>
        </w:rPr>
        <w:t>kt 5</w:t>
      </w:r>
      <w:r>
        <w:rPr>
          <w:rFonts w:ascii="Times New Roman" w:eastAsiaTheme="minorEastAsia" w:hAnsi="Times New Roman" w:cs="Times New Roman"/>
          <w:sz w:val="24"/>
          <w:szCs w:val="24"/>
        </w:rPr>
        <w:t>–</w:t>
      </w:r>
      <w:r w:rsidRPr="00FE65F1">
        <w:rPr>
          <w:rFonts w:ascii="Times New Roman" w:eastAsiaTheme="minorEastAsia" w:hAnsi="Times New Roman" w:cs="Times New Roman"/>
          <w:sz w:val="24"/>
          <w:szCs w:val="24"/>
        </w:rPr>
        <w:t xml:space="preserve">7 </w:t>
      </w:r>
      <w:r>
        <w:rPr>
          <w:rFonts w:ascii="Times New Roman" w:eastAsiaTheme="minorEastAsia" w:hAnsi="Times New Roman" w:cs="Times New Roman"/>
          <w:sz w:val="24"/>
          <w:szCs w:val="24"/>
        </w:rPr>
        <w:t xml:space="preserve">proponuje się </w:t>
      </w:r>
      <w:r w:rsidRPr="00FE65F1">
        <w:rPr>
          <w:rFonts w:ascii="Times New Roman" w:eastAsiaTheme="minorEastAsia" w:hAnsi="Times New Roman" w:cs="Times New Roman"/>
          <w:sz w:val="24"/>
          <w:szCs w:val="24"/>
        </w:rPr>
        <w:t>wprowadz</w:t>
      </w:r>
      <w:r>
        <w:rPr>
          <w:rFonts w:ascii="Times New Roman" w:eastAsiaTheme="minorEastAsia" w:hAnsi="Times New Roman" w:cs="Times New Roman"/>
          <w:sz w:val="24"/>
          <w:szCs w:val="24"/>
        </w:rPr>
        <w:t>enie</w:t>
      </w:r>
      <w:r w:rsidRPr="00FE65F1">
        <w:rPr>
          <w:rFonts w:ascii="Times New Roman" w:eastAsiaTheme="minorEastAsia" w:hAnsi="Times New Roman" w:cs="Times New Roman"/>
          <w:sz w:val="24"/>
          <w:szCs w:val="24"/>
        </w:rPr>
        <w:t xml:space="preserve"> zmian</w:t>
      </w:r>
      <w:r>
        <w:rPr>
          <w:rFonts w:ascii="Times New Roman" w:eastAsiaTheme="minorEastAsia" w:hAnsi="Times New Roman" w:cs="Times New Roman"/>
          <w:sz w:val="24"/>
          <w:szCs w:val="24"/>
        </w:rPr>
        <w:t>y</w:t>
      </w:r>
      <w:r w:rsidRPr="00FE65F1">
        <w:rPr>
          <w:rFonts w:ascii="Times New Roman" w:eastAsiaTheme="minorEastAsia" w:hAnsi="Times New Roman" w:cs="Times New Roman"/>
          <w:sz w:val="24"/>
          <w:szCs w:val="24"/>
        </w:rPr>
        <w:t xml:space="preserve">, która umożliwi świadczenie usług w zakresie </w:t>
      </w:r>
      <w:proofErr w:type="spellStart"/>
      <w:r w:rsidRPr="00FE65F1">
        <w:rPr>
          <w:rFonts w:ascii="Times New Roman" w:eastAsiaTheme="minorEastAsia" w:hAnsi="Times New Roman" w:cs="Times New Roman"/>
          <w:sz w:val="24"/>
          <w:szCs w:val="24"/>
        </w:rPr>
        <w:t>kryptoaktywów</w:t>
      </w:r>
      <w:proofErr w:type="spellEnd"/>
      <w:r w:rsidRPr="00FE65F1">
        <w:rPr>
          <w:rFonts w:ascii="Times New Roman" w:eastAsiaTheme="minorEastAsia" w:hAnsi="Times New Roman" w:cs="Times New Roman"/>
          <w:sz w:val="24"/>
          <w:szCs w:val="24"/>
        </w:rPr>
        <w:t xml:space="preserve"> przez </w:t>
      </w:r>
      <w:bookmarkStart w:id="35" w:name="_Hlk173918398"/>
      <w:r w:rsidRPr="00FE65F1">
        <w:rPr>
          <w:rFonts w:ascii="Times New Roman" w:eastAsiaTheme="minorEastAsia" w:hAnsi="Times New Roman" w:cs="Times New Roman"/>
          <w:sz w:val="24"/>
          <w:szCs w:val="24"/>
        </w:rPr>
        <w:t>bank również w ramach biura maklerskiego banku</w:t>
      </w:r>
      <w:bookmarkEnd w:id="35"/>
      <w:r w:rsidRPr="00FE65F1">
        <w:rPr>
          <w:rFonts w:ascii="Times New Roman" w:eastAsiaTheme="minorEastAsia" w:hAnsi="Times New Roman" w:cs="Times New Roman"/>
          <w:sz w:val="24"/>
          <w:szCs w:val="24"/>
        </w:rPr>
        <w:t xml:space="preserve">. W związku z dodaniem art. 112b w ustawie o obrocie instrumentami finansowymi, konieczna jest również zmiana </w:t>
      </w:r>
      <w:r>
        <w:rPr>
          <w:rFonts w:ascii="Times New Roman" w:eastAsiaTheme="minorEastAsia" w:hAnsi="Times New Roman" w:cs="Times New Roman"/>
          <w:sz w:val="24"/>
          <w:szCs w:val="24"/>
        </w:rPr>
        <w:t>w</w:t>
      </w:r>
      <w:r w:rsidRPr="00FE65F1">
        <w:rPr>
          <w:rFonts w:ascii="Times New Roman" w:eastAsiaTheme="minorEastAsia" w:hAnsi="Times New Roman" w:cs="Times New Roman"/>
          <w:sz w:val="24"/>
          <w:szCs w:val="24"/>
        </w:rPr>
        <w:t xml:space="preserve"> art. 111 ust. 5 oraz art. 111a ust. 4 ustawy o obrocie instrumentami finansowymi, tak aby bank również w ramach prowadzonej działalności maklerskiej banku mógł świadczyć usługi w zakresie </w:t>
      </w:r>
      <w:proofErr w:type="spellStart"/>
      <w:r w:rsidRPr="00FE65F1">
        <w:rPr>
          <w:rFonts w:ascii="Times New Roman" w:eastAsiaTheme="minorEastAsia" w:hAnsi="Times New Roman" w:cs="Times New Roman"/>
          <w:sz w:val="24"/>
          <w:szCs w:val="24"/>
        </w:rPr>
        <w:t>kryptoaktywów</w:t>
      </w:r>
      <w:proofErr w:type="spellEnd"/>
      <w:r w:rsidRPr="00FE65F1">
        <w:rPr>
          <w:rFonts w:ascii="Times New Roman" w:eastAsiaTheme="minorEastAsia" w:hAnsi="Times New Roman" w:cs="Times New Roman"/>
          <w:sz w:val="24"/>
          <w:szCs w:val="24"/>
        </w:rPr>
        <w:t>.</w:t>
      </w:r>
    </w:p>
    <w:p w14:paraId="485C1149" w14:textId="4FF119C9" w:rsidR="00C21D4B" w:rsidRPr="00486C63" w:rsidRDefault="00C21D4B" w:rsidP="00781E1E">
      <w:pPr>
        <w:spacing w:line="360" w:lineRule="auto"/>
        <w:ind w:left="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4</w:t>
      </w:r>
      <w:r w:rsidR="006F580E">
        <w:rPr>
          <w:rFonts w:ascii="Times New Roman" w:eastAsiaTheme="minorEastAsia" w:hAnsi="Times New Roman" w:cs="Times New Roman"/>
          <w:b/>
          <w:bCs/>
          <w:sz w:val="24"/>
          <w:szCs w:val="24"/>
        </w:rPr>
        <w:t>9</w:t>
      </w:r>
      <w:r w:rsidRPr="00486C63">
        <w:rPr>
          <w:rFonts w:ascii="Times New Roman" w:eastAsiaTheme="minorEastAsia" w:hAnsi="Times New Roman" w:cs="Times New Roman"/>
          <w:sz w:val="24"/>
          <w:szCs w:val="24"/>
        </w:rPr>
        <w:t xml:space="preserve"> wprowadza zmiany w ustawie o nadzorze nad rynkiem finansowym. W </w:t>
      </w:r>
      <w:r w:rsidRPr="00486C63">
        <w:rPr>
          <w:rFonts w:ascii="Times New Roman" w:eastAsiaTheme="minorEastAsia" w:hAnsi="Times New Roman"/>
          <w:bCs/>
          <w:sz w:val="24"/>
        </w:rPr>
        <w:t>pkt 1</w:t>
      </w:r>
      <w:r w:rsidRPr="00486C63">
        <w:rPr>
          <w:rFonts w:ascii="Times New Roman" w:eastAsiaTheme="minorEastAsia" w:hAnsi="Times New Roman" w:cs="Times New Roman"/>
          <w:sz w:val="24"/>
          <w:szCs w:val="24"/>
        </w:rPr>
        <w:t xml:space="preserve"> tego przepisu</w:t>
      </w:r>
      <w:r w:rsidRPr="00486C63">
        <w:rPr>
          <w:rFonts w:ascii="Times New Roman" w:eastAsiaTheme="minorEastAsia" w:hAnsi="Times New Roman"/>
          <w:b/>
          <w:sz w:val="24"/>
        </w:rPr>
        <w:t xml:space="preserve"> </w:t>
      </w:r>
      <w:r w:rsidRPr="00486C63">
        <w:rPr>
          <w:rFonts w:ascii="Times New Roman" w:eastAsiaTheme="minorEastAsia" w:hAnsi="Times New Roman" w:cs="Times New Roman"/>
          <w:sz w:val="24"/>
          <w:szCs w:val="24"/>
        </w:rPr>
        <w:t xml:space="preserve">rozszerza się zakres nadzoru nad rynkiem finansowym o nadzór w zakresie przewidzianym przepisami rozporządzenia 2023/1114 oraz przepisami projektowanej ustawy. Proponowany </w:t>
      </w:r>
      <w:r w:rsidRPr="00486C63">
        <w:rPr>
          <w:rFonts w:ascii="Times New Roman" w:eastAsiaTheme="minorEastAsia" w:hAnsi="Times New Roman"/>
          <w:bCs/>
          <w:sz w:val="24"/>
        </w:rPr>
        <w:t>pkt 2</w:t>
      </w:r>
      <w:r w:rsidRPr="00486C63">
        <w:rPr>
          <w:rFonts w:ascii="Times New Roman" w:eastAsiaTheme="minorEastAsia" w:hAnsi="Times New Roman" w:cs="Times New Roman"/>
          <w:sz w:val="24"/>
          <w:szCs w:val="24"/>
        </w:rPr>
        <w:t xml:space="preserve"> rozszerza katalog przestępstw, w przypadku których Przewodniczącemu Komisji przysługuje status pokrzywdzonego, przez dodanie w art. 6 w ust. 2 w pkt 1 ww. ustawy przestępstw określonych w przepisach projektowanej ustawy. W </w:t>
      </w:r>
      <w:r w:rsidRPr="00486C63">
        <w:rPr>
          <w:rFonts w:ascii="Times New Roman" w:eastAsiaTheme="minorEastAsia" w:hAnsi="Times New Roman"/>
          <w:bCs/>
          <w:sz w:val="24"/>
        </w:rPr>
        <w:t>pkt 3</w:t>
      </w:r>
      <w:r w:rsidRPr="00486C63">
        <w:rPr>
          <w:rFonts w:ascii="Times New Roman" w:eastAsiaTheme="minorEastAsia" w:hAnsi="Times New Roman" w:cs="Times New Roman"/>
          <w:sz w:val="24"/>
          <w:szCs w:val="24"/>
        </w:rPr>
        <w:t xml:space="preserve"> upoważnia się Komisję</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do podania do publicznej wiadomości</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 xml:space="preserve">informacji o złożeniu zawiadomienia o popełnieniu przestępstwa, o którym mowa w art. </w:t>
      </w:r>
      <w:r>
        <w:rPr>
          <w:rFonts w:ascii="Times New Roman" w:eastAsiaTheme="minorEastAsia" w:hAnsi="Times New Roman" w:cs="Times New Roman"/>
          <w:sz w:val="24"/>
          <w:szCs w:val="24"/>
        </w:rPr>
        <w:t>11</w:t>
      </w:r>
      <w:r w:rsidR="008F4EC3">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–12</w:t>
      </w:r>
      <w:r w:rsidR="008F4EC3">
        <w:rPr>
          <w:rFonts w:ascii="Times New Roman" w:eastAsiaTheme="minorEastAsia" w:hAnsi="Times New Roman" w:cs="Times New Roman"/>
          <w:sz w:val="24"/>
          <w:szCs w:val="24"/>
        </w:rPr>
        <w:t>7</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projektu </w:t>
      </w:r>
      <w:r w:rsidRPr="00486C63">
        <w:rPr>
          <w:rFonts w:ascii="Times New Roman" w:eastAsiaTheme="minorEastAsia" w:hAnsi="Times New Roman" w:cs="Times New Roman"/>
          <w:sz w:val="24"/>
          <w:szCs w:val="24"/>
        </w:rPr>
        <w:t>ustawy</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W </w:t>
      </w:r>
      <w:r w:rsidRPr="00486C63">
        <w:rPr>
          <w:rFonts w:ascii="Times New Roman" w:eastAsiaTheme="minorEastAsia" w:hAnsi="Times New Roman"/>
          <w:bCs/>
          <w:sz w:val="24"/>
        </w:rPr>
        <w:t>pkt 4</w:t>
      </w:r>
      <w:r w:rsidRPr="00486C63">
        <w:rPr>
          <w:rFonts w:ascii="Times New Roman" w:eastAsiaTheme="minorEastAsia" w:hAnsi="Times New Roman" w:cs="Times New Roman"/>
          <w:sz w:val="24"/>
          <w:szCs w:val="24"/>
        </w:rPr>
        <w:t xml:space="preserve"> wprowadza się kolejny wyjątek, wskazując, że upoważnienie przez Komisję jej Przewodniczącego, Zastępców Przewodniczącego oraz pracowników </w:t>
      </w:r>
      <w:r>
        <w:rPr>
          <w:rFonts w:ascii="Times New Roman" w:eastAsiaTheme="minorEastAsia" w:hAnsi="Times New Roman" w:cs="Times New Roman"/>
          <w:sz w:val="24"/>
          <w:szCs w:val="24"/>
        </w:rPr>
        <w:t>UKNF</w:t>
      </w:r>
      <w:r w:rsidRPr="00486C63">
        <w:rPr>
          <w:rFonts w:ascii="Times New Roman" w:eastAsiaTheme="minorEastAsia" w:hAnsi="Times New Roman" w:cs="Times New Roman"/>
          <w:sz w:val="24"/>
          <w:szCs w:val="24"/>
        </w:rPr>
        <w:t xml:space="preserve"> do podejmowania działań w zakresie właściwości Komisji nie może dotyczyć nadzoru nad rynkiem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w sprawach udzielania zezwoleń, o których mowa w art. 16 i 59 rozporządzenia 2023/1114, a także cofania tych zezwoleń na podstawie</w:t>
      </w:r>
      <w:r>
        <w:rPr>
          <w:rFonts w:ascii="Times New Roman" w:eastAsiaTheme="minorEastAsia" w:hAnsi="Times New Roman" w:cs="Times New Roman"/>
          <w:sz w:val="24"/>
          <w:szCs w:val="24"/>
        </w:rPr>
        <w:t xml:space="preserve"> odpowiednio</w:t>
      </w:r>
      <w:r w:rsidRPr="00486C63">
        <w:rPr>
          <w:rFonts w:ascii="Times New Roman" w:eastAsiaTheme="minorEastAsia" w:hAnsi="Times New Roman" w:cs="Times New Roman"/>
          <w:sz w:val="24"/>
          <w:szCs w:val="24"/>
        </w:rPr>
        <w:t xml:space="preserve"> art. 24 i 64 tego rozporządzenia</w:t>
      </w:r>
      <w:r>
        <w:rPr>
          <w:rFonts w:ascii="Times New Roman" w:eastAsiaTheme="minorEastAsia" w:hAnsi="Times New Roman" w:cs="Times New Roman"/>
          <w:sz w:val="24"/>
          <w:szCs w:val="24"/>
        </w:rPr>
        <w:t xml:space="preserve">, </w:t>
      </w:r>
      <w:r w:rsidRPr="00832521">
        <w:rPr>
          <w:rFonts w:ascii="Times New Roman" w:eastAsiaTheme="minorEastAsia" w:hAnsi="Times New Roman" w:cs="Times New Roman"/>
          <w:sz w:val="24"/>
          <w:szCs w:val="24"/>
        </w:rPr>
        <w:t>nakładania kar pieniężnych,</w:t>
      </w:r>
      <w:r w:rsidRPr="00832521">
        <w:rPr>
          <w:rFonts w:ascii="Times New Roman" w:eastAsiaTheme="minorEastAsia" w:hAnsi="Times New Roman" w:cs="Arial"/>
          <w:sz w:val="24"/>
          <w:szCs w:val="20"/>
          <w:lang w:eastAsia="pl-PL"/>
        </w:rPr>
        <w:t xml:space="preserve"> </w:t>
      </w:r>
      <w:r w:rsidRPr="00832521">
        <w:rPr>
          <w:rFonts w:ascii="Times New Roman" w:eastAsiaTheme="minorEastAsia" w:hAnsi="Times New Roman" w:cs="Times New Roman"/>
          <w:sz w:val="24"/>
          <w:szCs w:val="24"/>
        </w:rPr>
        <w:t>wpisu do Rejestru domen internetowych wykorzystywanych do prowadzenia działalności naruszającej przepisy rozporządzenia 2023/1114, o którym mowa w art. 6</w:t>
      </w:r>
      <w:r w:rsidR="008F4EC3">
        <w:rPr>
          <w:rFonts w:ascii="Times New Roman" w:eastAsiaTheme="minorEastAsia" w:hAnsi="Times New Roman" w:cs="Times New Roman"/>
          <w:sz w:val="24"/>
          <w:szCs w:val="24"/>
        </w:rPr>
        <w:t>7</w:t>
      </w:r>
      <w:r w:rsidRPr="0083252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projektu </w:t>
      </w:r>
      <w:r w:rsidRPr="00832521">
        <w:rPr>
          <w:rFonts w:ascii="Times New Roman" w:eastAsiaTheme="minorEastAsia" w:hAnsi="Times New Roman" w:cs="Times New Roman"/>
          <w:sz w:val="24"/>
          <w:szCs w:val="24"/>
        </w:rPr>
        <w:t>ustawy, i wykreślania z tego rejestru,</w:t>
      </w:r>
      <w:r>
        <w:rPr>
          <w:rFonts w:ascii="Times New Roman" w:eastAsiaTheme="minorEastAsia" w:hAnsi="Times New Roman" w:cs="Times New Roman"/>
          <w:sz w:val="24"/>
          <w:szCs w:val="24"/>
        </w:rPr>
        <w:t xml:space="preserve"> </w:t>
      </w:r>
      <w:r w:rsidRPr="00832521">
        <w:rPr>
          <w:rFonts w:ascii="Times New Roman" w:eastAsiaTheme="minorEastAsia" w:hAnsi="Times New Roman" w:cs="Times New Roman"/>
          <w:sz w:val="24"/>
          <w:szCs w:val="24"/>
        </w:rPr>
        <w:t xml:space="preserve">zakazu świadczenia usług w zakresie </w:t>
      </w:r>
      <w:proofErr w:type="spellStart"/>
      <w:r w:rsidRPr="00832521">
        <w:rPr>
          <w:rFonts w:ascii="Times New Roman" w:eastAsiaTheme="minorEastAsia" w:hAnsi="Times New Roman" w:cs="Times New Roman"/>
          <w:sz w:val="24"/>
          <w:szCs w:val="24"/>
        </w:rPr>
        <w:t>kryptoaktywów</w:t>
      </w:r>
      <w:proofErr w:type="spellEnd"/>
      <w:r w:rsidRPr="00832521">
        <w:rPr>
          <w:rFonts w:ascii="Times New Roman" w:eastAsiaTheme="minorEastAsia" w:hAnsi="Times New Roman" w:cs="Times New Roman"/>
          <w:sz w:val="24"/>
          <w:szCs w:val="24"/>
        </w:rPr>
        <w:t>, o którym mowa w art. 10</w:t>
      </w:r>
      <w:r>
        <w:rPr>
          <w:rFonts w:ascii="Times New Roman" w:eastAsiaTheme="minorEastAsia" w:hAnsi="Times New Roman" w:cs="Times New Roman"/>
          <w:sz w:val="24"/>
          <w:szCs w:val="24"/>
        </w:rPr>
        <w:t>5</w:t>
      </w:r>
      <w:r w:rsidRPr="00832521">
        <w:rPr>
          <w:rFonts w:ascii="Times New Roman" w:eastAsiaTheme="minorEastAsia" w:hAnsi="Times New Roman" w:cs="Times New Roman"/>
          <w:sz w:val="24"/>
          <w:szCs w:val="24"/>
        </w:rPr>
        <w:t> ust. 2 i art. 10</w:t>
      </w:r>
      <w:r w:rsidR="008F4EC3">
        <w:rPr>
          <w:rFonts w:ascii="Times New Roman" w:eastAsiaTheme="minorEastAsia" w:hAnsi="Times New Roman" w:cs="Times New Roman"/>
          <w:sz w:val="24"/>
          <w:szCs w:val="24"/>
        </w:rPr>
        <w:t>9</w:t>
      </w:r>
      <w:r w:rsidRPr="00832521">
        <w:rPr>
          <w:rFonts w:ascii="Times New Roman" w:eastAsiaTheme="minorEastAsia" w:hAnsi="Times New Roman" w:cs="Times New Roman"/>
          <w:sz w:val="24"/>
          <w:szCs w:val="24"/>
        </w:rPr>
        <w:t xml:space="preserve"> ust. 3 pkt 1 </w:t>
      </w:r>
      <w:r>
        <w:rPr>
          <w:rFonts w:ascii="Times New Roman" w:eastAsiaTheme="minorEastAsia" w:hAnsi="Times New Roman" w:cs="Times New Roman"/>
          <w:sz w:val="24"/>
          <w:szCs w:val="24"/>
        </w:rPr>
        <w:t xml:space="preserve">projektu </w:t>
      </w:r>
      <w:r w:rsidRPr="00832521">
        <w:rPr>
          <w:rFonts w:ascii="Times New Roman" w:eastAsiaTheme="minorEastAsia" w:hAnsi="Times New Roman" w:cs="Times New Roman"/>
          <w:sz w:val="24"/>
          <w:szCs w:val="24"/>
        </w:rPr>
        <w:t>ustawy– w przypadku podmiotów, o których mowa w art.</w:t>
      </w:r>
      <w:r>
        <w:rPr>
          <w:rFonts w:ascii="Times New Roman" w:eastAsiaTheme="minorEastAsia" w:hAnsi="Times New Roman" w:cs="Times New Roman"/>
          <w:sz w:val="24"/>
          <w:szCs w:val="24"/>
        </w:rPr>
        <w:t> </w:t>
      </w:r>
      <w:r w:rsidRPr="00832521">
        <w:rPr>
          <w:rFonts w:ascii="Times New Roman" w:eastAsiaTheme="minorEastAsia" w:hAnsi="Times New Roman" w:cs="Times New Roman"/>
          <w:sz w:val="24"/>
          <w:szCs w:val="24"/>
        </w:rPr>
        <w:t>59 ust. 1 lit. b rozporządzenia 2023/1114,</w:t>
      </w:r>
      <w:r>
        <w:rPr>
          <w:rFonts w:ascii="Times New Roman" w:eastAsiaTheme="minorEastAsia" w:hAnsi="Times New Roman" w:cs="Times New Roman"/>
          <w:sz w:val="24"/>
          <w:szCs w:val="24"/>
        </w:rPr>
        <w:t xml:space="preserve"> </w:t>
      </w:r>
      <w:r w:rsidRPr="00832521">
        <w:rPr>
          <w:rFonts w:ascii="Times New Roman" w:eastAsiaTheme="minorEastAsia" w:hAnsi="Times New Roman" w:cs="Times New Roman"/>
          <w:sz w:val="24"/>
          <w:szCs w:val="24"/>
        </w:rPr>
        <w:t>występowania z wnioskiem o odwołanie osoby wchodzącej w skład organu zarządzającego odpowiedzialnego za stwierdzone naruszenie,</w:t>
      </w:r>
      <w:r>
        <w:rPr>
          <w:rFonts w:ascii="Times New Roman" w:eastAsiaTheme="minorEastAsia" w:hAnsi="Times New Roman" w:cs="Times New Roman"/>
          <w:sz w:val="24"/>
          <w:szCs w:val="24"/>
        </w:rPr>
        <w:t xml:space="preserve"> </w:t>
      </w:r>
      <w:r w:rsidRPr="00832521">
        <w:rPr>
          <w:rFonts w:ascii="Times New Roman" w:eastAsiaTheme="minorEastAsia" w:hAnsi="Times New Roman" w:cs="Times New Roman"/>
          <w:sz w:val="24"/>
          <w:szCs w:val="24"/>
        </w:rPr>
        <w:t xml:space="preserve">nakazu, o którym mowa w art. </w:t>
      </w:r>
      <w:r w:rsidR="008F4EC3">
        <w:rPr>
          <w:rFonts w:ascii="Times New Roman" w:eastAsiaTheme="minorEastAsia" w:hAnsi="Times New Roman" w:cs="Times New Roman"/>
          <w:sz w:val="24"/>
          <w:szCs w:val="24"/>
        </w:rPr>
        <w:t>99</w:t>
      </w:r>
      <w:r>
        <w:rPr>
          <w:rFonts w:ascii="Times New Roman" w:eastAsiaTheme="minorEastAsia" w:hAnsi="Times New Roman" w:cs="Times New Roman"/>
          <w:sz w:val="24"/>
          <w:szCs w:val="24"/>
        </w:rPr>
        <w:t xml:space="preserve"> projektu</w:t>
      </w:r>
      <w:r w:rsidRPr="00832521">
        <w:rPr>
          <w:rFonts w:ascii="Times New Roman" w:eastAsiaTheme="minorEastAsia" w:hAnsi="Times New Roman" w:cs="Times New Roman"/>
          <w:sz w:val="24"/>
          <w:szCs w:val="24"/>
        </w:rPr>
        <w:t xml:space="preserve"> ustawy</w:t>
      </w:r>
      <w:r w:rsidRPr="00486C63">
        <w:rPr>
          <w:rFonts w:ascii="Times New Roman" w:eastAsiaTheme="minorEastAsia" w:hAnsi="Times New Roman" w:cs="Times New Roman"/>
          <w:sz w:val="24"/>
          <w:szCs w:val="24"/>
        </w:rPr>
        <w:t>.</w:t>
      </w:r>
    </w:p>
    <w:p w14:paraId="0F0FF497" w14:textId="6F7721A3" w:rsidR="00C21D4B" w:rsidRPr="00486C63" w:rsidRDefault="00C21D4B" w:rsidP="00781E1E">
      <w:pPr>
        <w:spacing w:line="360" w:lineRule="auto"/>
        <w:ind w:left="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sidR="008F4EC3">
        <w:rPr>
          <w:rFonts w:ascii="Times New Roman" w:eastAsiaTheme="minorEastAsia" w:hAnsi="Times New Roman" w:cs="Times New Roman"/>
          <w:b/>
          <w:bCs/>
          <w:sz w:val="24"/>
          <w:szCs w:val="24"/>
        </w:rPr>
        <w:t>50</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 xml:space="preserve">wprowadza zmiany w ustawie z dnia z dnia 5 listopada 2009 r. o spółdzielczych kasach oszczędnościowo-kredytowych. Zmiana ta polega na doprecyzowaniu oraz wyłączeniu emisji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xml:space="preserve"> będących e-pieniądzem z zakresu działalności dopuszczalnej dla spółdzielczych kas oszczędnościowo-kredytowych. Doprecyzowanie to wynika z braku podstaw rozszerzenia zakresu dozwolonej dla spółdzielczych kas oszczędnościowo-kredytowych działalności o emisję ww.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Rozporządzenie 2023/1114 dopuszcza świadczenie tej działalności jedynie przez instytucje kredytowe i instytucje pieniądza elektronicznego</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w:t>
      </w:r>
    </w:p>
    <w:p w14:paraId="7226FAE0" w14:textId="1B4B0DE5" w:rsidR="00C21D4B" w:rsidRPr="00486C63" w:rsidRDefault="00C21D4B" w:rsidP="00781E1E">
      <w:pPr>
        <w:spacing w:line="360" w:lineRule="auto"/>
        <w:ind w:left="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5</w:t>
      </w:r>
      <w:r w:rsidR="008F4EC3">
        <w:rPr>
          <w:rFonts w:ascii="Times New Roman" w:eastAsiaTheme="minorEastAsia" w:hAnsi="Times New Roman" w:cs="Times New Roman"/>
          <w:b/>
          <w:bCs/>
          <w:sz w:val="24"/>
          <w:szCs w:val="24"/>
        </w:rPr>
        <w:t>1</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 xml:space="preserve">wprowadza zmianę do ustawy z dnia 19 sierpnia 2011 r. o usługach płatniczych zezwalającą instytucjom pieniądza elektronicznego na emisję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xml:space="preserve"> będących e-pieniądzem w rozumieniu art. 3 ust. 1 pkt 7 rozporządzenia 2023/1114 (art. 132a ust. 1 zmienianej ustawy) oraz świadcz</w:t>
      </w:r>
      <w:r>
        <w:rPr>
          <w:rFonts w:ascii="Times New Roman" w:eastAsiaTheme="minorEastAsia" w:hAnsi="Times New Roman" w:cs="Times New Roman"/>
          <w:sz w:val="24"/>
          <w:szCs w:val="24"/>
        </w:rPr>
        <w:t>enie</w:t>
      </w:r>
      <w:r w:rsidRPr="00486C63">
        <w:rPr>
          <w:rFonts w:ascii="Times New Roman" w:eastAsiaTheme="minorEastAsia" w:hAnsi="Times New Roman" w:cs="Times New Roman"/>
          <w:sz w:val="24"/>
          <w:szCs w:val="24"/>
        </w:rPr>
        <w:t xml:space="preserve"> usług przechowywania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i administrowania nimi w imieniu klientów oraz usługi transferu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w imieniu klientów w odniesieniu do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xml:space="preserve"> będących e-pieniądzem, które emituje (art.</w:t>
      </w:r>
      <w:r>
        <w:rPr>
          <w:rFonts w:ascii="Times New Roman" w:eastAsiaTheme="minorEastAsia" w:hAnsi="Times New Roman" w:cs="Times New Roman"/>
          <w:sz w:val="24"/>
          <w:szCs w:val="24"/>
        </w:rPr>
        <w:t> </w:t>
      </w:r>
      <w:r w:rsidRPr="00486C63">
        <w:rPr>
          <w:rFonts w:ascii="Times New Roman" w:eastAsiaTheme="minorEastAsia" w:hAnsi="Times New Roman" w:cs="Times New Roman"/>
          <w:sz w:val="24"/>
          <w:szCs w:val="24"/>
        </w:rPr>
        <w:t>132j ust.</w:t>
      </w:r>
      <w:r>
        <w:rPr>
          <w:rFonts w:ascii="Times New Roman" w:eastAsiaTheme="minorEastAsia" w:hAnsi="Times New Roman" w:cs="Times New Roman"/>
          <w:sz w:val="24"/>
          <w:szCs w:val="24"/>
        </w:rPr>
        <w:t> </w:t>
      </w:r>
      <w:r w:rsidRPr="00486C63">
        <w:rPr>
          <w:rFonts w:ascii="Times New Roman" w:eastAsiaTheme="minorEastAsia" w:hAnsi="Times New Roman" w:cs="Times New Roman"/>
          <w:sz w:val="24"/>
          <w:szCs w:val="24"/>
        </w:rPr>
        <w:t>1 zmienianej ustawy), przy zastrzeżeniu, że instytucja ta przekaże Komisji odpowiednie informacje przed rozpoczęciem świadczenia tych usług.</w:t>
      </w:r>
      <w:r w:rsidRPr="006A5391">
        <w:rPr>
          <w:rFonts w:ascii="Times New Roman" w:eastAsiaTheme="minorEastAsia" w:hAnsi="Times New Roman" w:cs="Times New Roman"/>
          <w:sz w:val="24"/>
          <w:szCs w:val="24"/>
        </w:rPr>
        <w:t xml:space="preserve"> Pkt 3 związany jest ze zmianą</w:t>
      </w:r>
      <w:r>
        <w:rPr>
          <w:rFonts w:ascii="Times New Roman" w:eastAsiaTheme="minorEastAsia" w:hAnsi="Times New Roman" w:cs="Times New Roman"/>
          <w:sz w:val="24"/>
          <w:szCs w:val="24"/>
        </w:rPr>
        <w:t xml:space="preserve"> ustawy </w:t>
      </w:r>
      <w:bookmarkStart w:id="36" w:name="_Hlk181957984"/>
      <w:r w:rsidRPr="00DA0B7B">
        <w:rPr>
          <w:rFonts w:ascii="Times New Roman" w:eastAsiaTheme="minorEastAsia" w:hAnsi="Times New Roman" w:cs="Times New Roman"/>
          <w:sz w:val="24"/>
          <w:szCs w:val="24"/>
        </w:rPr>
        <w:t>z dnia 27 lipca 2002 r. – Prawo dewizowe</w:t>
      </w:r>
      <w:bookmarkEnd w:id="36"/>
      <w:r>
        <w:rPr>
          <w:rFonts w:ascii="Times New Roman" w:eastAsiaTheme="minorEastAsia" w:hAnsi="Times New Roman" w:cs="Times New Roman"/>
          <w:sz w:val="24"/>
          <w:szCs w:val="24"/>
        </w:rPr>
        <w:t xml:space="preserve"> (art. 14</w:t>
      </w:r>
      <w:r w:rsidR="008F4EC3">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 xml:space="preserve"> projektu ustawy)</w:t>
      </w:r>
      <w:r w:rsidRPr="006A5391">
        <w:rPr>
          <w:rFonts w:ascii="Times New Roman" w:eastAsiaTheme="minorEastAsia" w:hAnsi="Times New Roman" w:cs="Times New Roman"/>
          <w:sz w:val="24"/>
          <w:szCs w:val="24"/>
        </w:rPr>
        <w:t>, w związku z uregulowaniem sytuacji prawnej działalności tzw. internetowych kantorów walutowych, tj. podmiotów świadczących usługi bezgotówkowej wymiany walut. Przepis stanowi prawno-karne zabezpieczenie prowadzenia działalności w zakresie bezgotówkowej wymiany walut w zgodzie z obowiązującymi zasadami tj.</w:t>
      </w:r>
      <w:r>
        <w:rPr>
          <w:rFonts w:ascii="Times New Roman" w:eastAsiaTheme="minorEastAsia" w:hAnsi="Times New Roman" w:cs="Times New Roman"/>
          <w:sz w:val="24"/>
          <w:szCs w:val="24"/>
        </w:rPr>
        <w:t xml:space="preserve"> sankcjonuje </w:t>
      </w:r>
      <w:r w:rsidRPr="006A5391">
        <w:rPr>
          <w:rFonts w:ascii="Times New Roman" w:eastAsiaTheme="minorEastAsia" w:hAnsi="Times New Roman" w:cs="Times New Roman"/>
          <w:sz w:val="24"/>
          <w:szCs w:val="24"/>
        </w:rPr>
        <w:t>prowadzenie działalności w zakresie usług bezgotówkowej wymiany walut z naruszeniem warunków, które zostały określone w pro</w:t>
      </w:r>
      <w:r>
        <w:rPr>
          <w:rFonts w:ascii="Times New Roman" w:eastAsiaTheme="minorEastAsia" w:hAnsi="Times New Roman" w:cs="Times New Roman"/>
          <w:sz w:val="24"/>
          <w:szCs w:val="24"/>
        </w:rPr>
        <w:t xml:space="preserve">jektowanej </w:t>
      </w:r>
      <w:r w:rsidRPr="006A5391">
        <w:rPr>
          <w:rFonts w:ascii="Times New Roman" w:eastAsiaTheme="minorEastAsia" w:hAnsi="Times New Roman" w:cs="Times New Roman"/>
          <w:sz w:val="24"/>
          <w:szCs w:val="24"/>
        </w:rPr>
        <w:t>zmian</w:t>
      </w:r>
      <w:r>
        <w:rPr>
          <w:rFonts w:ascii="Times New Roman" w:eastAsiaTheme="minorEastAsia" w:hAnsi="Times New Roman" w:cs="Times New Roman"/>
          <w:sz w:val="24"/>
          <w:szCs w:val="24"/>
        </w:rPr>
        <w:t>ie</w:t>
      </w:r>
      <w:r w:rsidRPr="006A5391">
        <w:rPr>
          <w:rFonts w:ascii="Times New Roman" w:eastAsiaTheme="minorEastAsia" w:hAnsi="Times New Roman" w:cs="Times New Roman"/>
          <w:sz w:val="24"/>
          <w:szCs w:val="24"/>
        </w:rPr>
        <w:t xml:space="preserve"> ustaw</w:t>
      </w:r>
      <w:r>
        <w:rPr>
          <w:rFonts w:ascii="Times New Roman" w:eastAsiaTheme="minorEastAsia" w:hAnsi="Times New Roman" w:cs="Times New Roman"/>
          <w:sz w:val="24"/>
          <w:szCs w:val="24"/>
        </w:rPr>
        <w:t>y</w:t>
      </w:r>
      <w:r w:rsidRPr="006A5391">
        <w:rPr>
          <w:rFonts w:ascii="Times New Roman" w:eastAsiaTheme="minorEastAsia" w:hAnsi="Times New Roman" w:cs="Times New Roman"/>
          <w:sz w:val="24"/>
          <w:szCs w:val="24"/>
        </w:rPr>
        <w:t xml:space="preserve"> </w:t>
      </w:r>
      <w:r w:rsidRPr="00DA0B7B">
        <w:rPr>
          <w:rFonts w:ascii="Times New Roman" w:eastAsiaTheme="minorEastAsia" w:hAnsi="Times New Roman" w:cs="Times New Roman"/>
          <w:sz w:val="24"/>
          <w:szCs w:val="24"/>
        </w:rPr>
        <w:t>z dnia 27 lipca 2002 r. – Prawo dewizowe</w:t>
      </w:r>
      <w:r w:rsidRPr="006A5391">
        <w:rPr>
          <w:rFonts w:ascii="Times New Roman" w:eastAsiaTheme="minorEastAsia" w:hAnsi="Times New Roman" w:cs="Times New Roman"/>
          <w:sz w:val="24"/>
          <w:szCs w:val="24"/>
        </w:rPr>
        <w:t>.</w:t>
      </w:r>
    </w:p>
    <w:p w14:paraId="5C736227" w14:textId="2960D62C" w:rsidR="00C21D4B" w:rsidRPr="00486C63" w:rsidRDefault="00C21D4B" w:rsidP="00781E1E">
      <w:pPr>
        <w:spacing w:line="360" w:lineRule="auto"/>
        <w:ind w:left="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5</w:t>
      </w:r>
      <w:r w:rsidR="008F4EC3">
        <w:rPr>
          <w:rFonts w:ascii="Times New Roman" w:eastAsiaTheme="minorEastAsia" w:hAnsi="Times New Roman" w:cs="Times New Roman"/>
          <w:b/>
          <w:bCs/>
          <w:sz w:val="24"/>
          <w:szCs w:val="24"/>
        </w:rPr>
        <w:t>2</w:t>
      </w:r>
      <w:r w:rsidRPr="00486C63">
        <w:rPr>
          <w:rFonts w:ascii="Times New Roman" w:eastAsiaTheme="minorEastAsia" w:hAnsi="Times New Roman" w:cs="Times New Roman"/>
          <w:sz w:val="24"/>
          <w:szCs w:val="24"/>
        </w:rPr>
        <w:t xml:space="preserve"> wprowadza zmiany w ustawie z dnia 30 maja 2014 r. o prawach konsumenta. Zmiana art. 4 ust. 2 ww. ustawy na celu dodanie</w:t>
      </w:r>
      <w:r>
        <w:rPr>
          <w:rFonts w:ascii="Times New Roman" w:eastAsiaTheme="minorEastAsia" w:hAnsi="Times New Roman" w:cs="Times New Roman"/>
          <w:sz w:val="24"/>
          <w:szCs w:val="24"/>
        </w:rPr>
        <w:t xml:space="preserve"> do </w:t>
      </w:r>
      <w:r w:rsidRPr="00486C63">
        <w:rPr>
          <w:rFonts w:ascii="Times New Roman" w:eastAsiaTheme="minorEastAsia" w:hAnsi="Times New Roman" w:cs="Times New Roman"/>
          <w:sz w:val="24"/>
          <w:szCs w:val="24"/>
        </w:rPr>
        <w:t xml:space="preserve">wyłączenia </w:t>
      </w:r>
      <w:r>
        <w:rPr>
          <w:rFonts w:ascii="Times New Roman" w:eastAsiaTheme="minorEastAsia" w:hAnsi="Times New Roman" w:cs="Times New Roman"/>
          <w:sz w:val="24"/>
          <w:szCs w:val="24"/>
        </w:rPr>
        <w:t>z zakresu</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ww. </w:t>
      </w:r>
      <w:r w:rsidRPr="00486C63">
        <w:rPr>
          <w:rFonts w:ascii="Times New Roman" w:eastAsiaTheme="minorEastAsia" w:hAnsi="Times New Roman" w:cs="Times New Roman"/>
          <w:sz w:val="24"/>
          <w:szCs w:val="24"/>
        </w:rPr>
        <w:t>ustawy</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umów dotyczących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Dodatkowo zmieniony przepis wskazuje, że przepisów ustawy z dnia 30 maja 2014 r. o prawach konsumenta nie stosuje się do całości czynności z zakresu obrotu instrumentami finansowymi, a nie tylko do obrotu w zakresie jednostek uczestnictwa i certyfikatów inwestycyjnych, na co wskazywało dotychczasowe brzmienie przepisu. </w:t>
      </w:r>
      <w:r w:rsidRPr="00522969">
        <w:rPr>
          <w:rFonts w:ascii="Times New Roman" w:eastAsia="Times New Roman" w:hAnsi="Times New Roman" w:cs="Times New Roman"/>
          <w:sz w:val="24"/>
          <w:szCs w:val="24"/>
        </w:rPr>
        <w:t xml:space="preserve">Modyfikacja w tym drugim przypadku </w:t>
      </w:r>
      <w:r>
        <w:rPr>
          <w:rFonts w:ascii="Times New Roman" w:eastAsia="Times New Roman" w:hAnsi="Times New Roman" w:cs="Times New Roman"/>
          <w:sz w:val="24"/>
          <w:szCs w:val="24"/>
        </w:rPr>
        <w:t>ma na celu</w:t>
      </w:r>
      <w:r w:rsidRPr="00522969">
        <w:rPr>
          <w:rFonts w:ascii="Times New Roman" w:eastAsia="Times New Roman" w:hAnsi="Times New Roman" w:cs="Times New Roman"/>
          <w:sz w:val="24"/>
          <w:szCs w:val="24"/>
        </w:rPr>
        <w:t xml:space="preserve"> dostosowanie stanu prawnego do realiów rynkowych związanych z zakresem obrotu instrumentami finansowymi</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xml:space="preserve"> Brak </w:t>
      </w:r>
      <w:r>
        <w:rPr>
          <w:rFonts w:ascii="Times New Roman" w:eastAsia="Times New Roman" w:hAnsi="Times New Roman" w:cs="Times New Roman"/>
          <w:sz w:val="24"/>
          <w:szCs w:val="24"/>
        </w:rPr>
        <w:t xml:space="preserve">jest </w:t>
      </w:r>
      <w:r w:rsidRPr="00522969">
        <w:rPr>
          <w:rFonts w:ascii="Times New Roman" w:eastAsia="Times New Roman" w:hAnsi="Times New Roman" w:cs="Times New Roman"/>
          <w:sz w:val="24"/>
          <w:szCs w:val="24"/>
        </w:rPr>
        <w:t xml:space="preserve">bowiem jakiegokolwiek racjonalnego uzasadnienia w aktualnym stanie rozwoju rynku, aby wyłączenie z </w:t>
      </w:r>
      <w:r>
        <w:rPr>
          <w:rFonts w:ascii="Times New Roman" w:eastAsia="Times New Roman" w:hAnsi="Times New Roman" w:cs="Times New Roman"/>
          <w:sz w:val="24"/>
          <w:szCs w:val="24"/>
        </w:rPr>
        <w:t xml:space="preserve">zakresu </w:t>
      </w:r>
      <w:r w:rsidRPr="00522969">
        <w:rPr>
          <w:rFonts w:ascii="Times New Roman" w:eastAsia="Times New Roman" w:hAnsi="Times New Roman" w:cs="Times New Roman"/>
          <w:sz w:val="24"/>
          <w:szCs w:val="24"/>
        </w:rPr>
        <w:t xml:space="preserve">ustawy </w:t>
      </w:r>
      <w:r w:rsidRPr="00486C63">
        <w:rPr>
          <w:rFonts w:ascii="Times New Roman" w:eastAsiaTheme="minorEastAsia" w:hAnsi="Times New Roman" w:cs="Times New Roman"/>
          <w:sz w:val="24"/>
          <w:szCs w:val="24"/>
        </w:rPr>
        <w:t>z dnia 30 maja 2014 r.</w:t>
      </w:r>
      <w:r>
        <w:rPr>
          <w:rFonts w:ascii="Times New Roman" w:eastAsiaTheme="minorEastAsia" w:hAnsi="Times New Roman" w:cs="Times New Roman"/>
          <w:sz w:val="24"/>
          <w:szCs w:val="24"/>
        </w:rPr>
        <w:t xml:space="preserve"> </w:t>
      </w:r>
      <w:r w:rsidRPr="00522969">
        <w:rPr>
          <w:rFonts w:ascii="Times New Roman" w:eastAsia="Times New Roman" w:hAnsi="Times New Roman" w:cs="Times New Roman"/>
          <w:sz w:val="24"/>
          <w:szCs w:val="24"/>
        </w:rPr>
        <w:t>o prawach konsumenta</w:t>
      </w:r>
      <w:r>
        <w:rPr>
          <w:rFonts w:ascii="Times New Roman" w:eastAsia="Times New Roman" w:hAnsi="Times New Roman" w:cs="Times New Roman"/>
          <w:sz w:val="24"/>
          <w:szCs w:val="24"/>
        </w:rPr>
        <w:t xml:space="preserve"> określone</w:t>
      </w:r>
      <w:r w:rsidRPr="00522969">
        <w:rPr>
          <w:rFonts w:ascii="Times New Roman" w:eastAsia="Times New Roman" w:hAnsi="Times New Roman" w:cs="Times New Roman"/>
          <w:sz w:val="24"/>
          <w:szCs w:val="24"/>
        </w:rPr>
        <w:t xml:space="preserve"> w art. 4 ust. 2 tej ustawy odnosiło się tylko do części usług związanych wyłącznie z transakcjami na rynku funduszy inwestycyjnych, a więc do wycinka usług i transakcji mających miejsce na rynku kapitałowym. Pominięcie całego szerokiego spektrum pozostałych czynności, których przedmiotem są instrumenty finansowe, w tym „tradycyjne” papiery wartościowe, a więc czynności związanych z ich obrotem jest błędem ustawodawczym. Błąd ten powinien zostać naprawiony, ponieważ mając na względzie zakres transakcji na rynku kapitałowym nie ma ratio legis, aby wyłączenie </w:t>
      </w:r>
      <w:r>
        <w:rPr>
          <w:rFonts w:ascii="Times New Roman" w:eastAsia="Times New Roman" w:hAnsi="Times New Roman" w:cs="Times New Roman"/>
          <w:sz w:val="24"/>
          <w:szCs w:val="24"/>
        </w:rPr>
        <w:t>spod zakresu zmienianej ustawy obejmowało tylko</w:t>
      </w:r>
      <w:r w:rsidRPr="00522969">
        <w:rPr>
          <w:rFonts w:ascii="Times New Roman" w:eastAsia="Times New Roman" w:hAnsi="Times New Roman" w:cs="Times New Roman"/>
          <w:sz w:val="24"/>
          <w:szCs w:val="24"/>
        </w:rPr>
        <w:t xml:space="preserve"> inwestycj</w:t>
      </w:r>
      <w:r>
        <w:rPr>
          <w:rFonts w:ascii="Times New Roman" w:eastAsia="Times New Roman" w:hAnsi="Times New Roman" w:cs="Times New Roman"/>
          <w:sz w:val="24"/>
          <w:szCs w:val="24"/>
        </w:rPr>
        <w:t>e</w:t>
      </w:r>
      <w:r w:rsidRPr="00522969">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Fundusz Inwestycyjny Otwarty (</w:t>
      </w:r>
      <w:r w:rsidRPr="00522969">
        <w:rPr>
          <w:rFonts w:ascii="Times New Roman" w:eastAsia="Times New Roman" w:hAnsi="Times New Roman" w:cs="Times New Roman"/>
          <w:sz w:val="24"/>
          <w:szCs w:val="24"/>
        </w:rPr>
        <w:t>FIO</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Specjalistyczny Fundusz Inwestycyjny Otwarty (</w:t>
      </w:r>
      <w:r w:rsidRPr="00522969">
        <w:rPr>
          <w:rFonts w:ascii="Times New Roman" w:eastAsia="Times New Roman" w:hAnsi="Times New Roman" w:cs="Times New Roman"/>
          <w:sz w:val="24"/>
          <w:szCs w:val="24"/>
        </w:rPr>
        <w:t>SFIO</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Fundusz Inwestycyjny Zamknięty (</w:t>
      </w:r>
      <w:r w:rsidRPr="00522969">
        <w:rPr>
          <w:rFonts w:ascii="Times New Roman" w:eastAsia="Times New Roman" w:hAnsi="Times New Roman" w:cs="Times New Roman"/>
          <w:sz w:val="24"/>
          <w:szCs w:val="24"/>
        </w:rPr>
        <w:t>FIZ</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xml:space="preserve">. Intencje w ww. zakresie potwierdza cały wskazany w art. 4 ust. 2 ustawy </w:t>
      </w:r>
      <w:r w:rsidRPr="00486C63">
        <w:rPr>
          <w:rFonts w:ascii="Times New Roman" w:eastAsiaTheme="minorEastAsia" w:hAnsi="Times New Roman" w:cs="Times New Roman"/>
          <w:sz w:val="24"/>
          <w:szCs w:val="24"/>
        </w:rPr>
        <w:t xml:space="preserve">z dnia 30 maja 2014 r. </w:t>
      </w:r>
      <w:r w:rsidRPr="00522969">
        <w:rPr>
          <w:rFonts w:ascii="Times New Roman" w:eastAsia="Times New Roman" w:hAnsi="Times New Roman" w:cs="Times New Roman"/>
          <w:sz w:val="24"/>
          <w:szCs w:val="24"/>
        </w:rPr>
        <w:t xml:space="preserve">o prawach konsumenta zakres wyłączenia w odniesieniu do pozostałych sektorów rynku finansowego. Wyłączeniem zostały objęte w całości czynności bankowe, umowy kredytu konsumenckiego, czynności ubezpieczeniowe oraz usługi płatnicze. W odniesieniu do ww. sektorów rynku finansowego nie zawarto żadnych dodatkowych ograniczeń – nie wyłączono spod </w:t>
      </w:r>
      <w:r>
        <w:rPr>
          <w:rFonts w:ascii="Times New Roman" w:eastAsia="Times New Roman" w:hAnsi="Times New Roman" w:cs="Times New Roman"/>
          <w:sz w:val="24"/>
          <w:szCs w:val="24"/>
        </w:rPr>
        <w:t>zakresu</w:t>
      </w:r>
      <w:r w:rsidRPr="00522969">
        <w:rPr>
          <w:rFonts w:ascii="Times New Roman" w:eastAsia="Times New Roman" w:hAnsi="Times New Roman" w:cs="Times New Roman"/>
          <w:sz w:val="24"/>
          <w:szCs w:val="24"/>
        </w:rPr>
        <w:t xml:space="preserve"> art. 4 ust. 2 żadnych specyficznych czynności związanych z tymi usługami. Postąpiono więc odmiennie niż w odniesieniu do rynku kapitałowego i taka odmienność nie znajduje uzasadnienia. Rozszerzenie wyłączenia na całe spektrum czynności związanych usługami finansowymi związanymi z aktywnością inwestycyjną pozostaje w zgodzie z dyrektywą </w:t>
      </w:r>
      <w:r w:rsidRPr="00571992">
        <w:rPr>
          <w:rFonts w:ascii="Times New Roman" w:eastAsia="Times New Roman" w:hAnsi="Times New Roman" w:cs="Times New Roman"/>
          <w:sz w:val="24"/>
          <w:szCs w:val="24"/>
        </w:rPr>
        <w:t>Parlamentu Europejskiego i Rady 2014/65/UE z dnia 15 maja 2014 r. w sprawie rynków instrumentów finansowych oraz zmieniając</w:t>
      </w:r>
      <w:r>
        <w:rPr>
          <w:rFonts w:ascii="Times New Roman" w:eastAsia="Times New Roman" w:hAnsi="Times New Roman" w:cs="Times New Roman"/>
          <w:sz w:val="24"/>
          <w:szCs w:val="24"/>
        </w:rPr>
        <w:t>ą</w:t>
      </w:r>
      <w:r w:rsidRPr="00571992">
        <w:rPr>
          <w:rFonts w:ascii="Times New Roman" w:eastAsia="Times New Roman" w:hAnsi="Times New Roman" w:cs="Times New Roman"/>
          <w:sz w:val="24"/>
          <w:szCs w:val="24"/>
        </w:rPr>
        <w:t xml:space="preserve"> dyrektywę 2002/92/WE i dyrektywę 2011/61/UE</w:t>
      </w:r>
      <w:r w:rsidRPr="00571992">
        <w:rPr>
          <w:rFonts w:ascii="Roboto" w:hAnsi="Roboto"/>
          <w:i/>
          <w:iCs/>
          <w:color w:val="333333"/>
          <w:sz w:val="21"/>
          <w:szCs w:val="21"/>
          <w:shd w:val="clear" w:color="auto" w:fill="FFFFFF"/>
        </w:rPr>
        <w:t xml:space="preserve"> </w:t>
      </w:r>
      <w:r w:rsidRPr="00571992">
        <w:rPr>
          <w:rFonts w:ascii="Roboto" w:hAnsi="Roboto"/>
          <w:color w:val="333333"/>
          <w:sz w:val="21"/>
          <w:szCs w:val="21"/>
          <w:shd w:val="clear" w:color="auto" w:fill="FFFFFF"/>
        </w:rPr>
        <w:t>(</w:t>
      </w:r>
      <w:r w:rsidRPr="00571992">
        <w:rPr>
          <w:rFonts w:ascii="Times New Roman" w:eastAsia="Times New Roman" w:hAnsi="Times New Roman" w:cs="Times New Roman"/>
          <w:sz w:val="24"/>
          <w:szCs w:val="24"/>
        </w:rPr>
        <w:t>Dz.</w:t>
      </w:r>
      <w:r>
        <w:rPr>
          <w:rFonts w:ascii="Times New Roman" w:eastAsia="Times New Roman" w:hAnsi="Times New Roman" w:cs="Times New Roman"/>
          <w:sz w:val="24"/>
          <w:szCs w:val="24"/>
        </w:rPr>
        <w:t xml:space="preserve"> </w:t>
      </w:r>
      <w:r w:rsidRPr="00571992">
        <w:rPr>
          <w:rFonts w:ascii="Times New Roman" w:eastAsia="Times New Roman" w:hAnsi="Times New Roman" w:cs="Times New Roman"/>
          <w:sz w:val="24"/>
          <w:szCs w:val="24"/>
        </w:rPr>
        <w:t>U</w:t>
      </w:r>
      <w:r>
        <w:rPr>
          <w:rFonts w:ascii="Times New Roman" w:eastAsia="Times New Roman" w:hAnsi="Times New Roman" w:cs="Times New Roman"/>
          <w:sz w:val="24"/>
          <w:szCs w:val="24"/>
        </w:rPr>
        <w:t>rz</w:t>
      </w:r>
      <w:r w:rsidRPr="005719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UE</w:t>
      </w:r>
      <w:r w:rsidRPr="00571992">
        <w:rPr>
          <w:rFonts w:ascii="Times New Roman" w:eastAsia="Times New Roman" w:hAnsi="Times New Roman" w:cs="Times New Roman"/>
          <w:sz w:val="24"/>
          <w:szCs w:val="24"/>
        </w:rPr>
        <w:t xml:space="preserve"> L 173 z 12/06/2014, </w:t>
      </w:r>
      <w:r>
        <w:rPr>
          <w:rFonts w:ascii="Times New Roman" w:eastAsia="Times New Roman" w:hAnsi="Times New Roman" w:cs="Times New Roman"/>
          <w:sz w:val="24"/>
          <w:szCs w:val="24"/>
        </w:rPr>
        <w:t>str</w:t>
      </w:r>
      <w:r w:rsidRPr="00571992">
        <w:rPr>
          <w:rFonts w:ascii="Times New Roman" w:eastAsia="Times New Roman" w:hAnsi="Times New Roman" w:cs="Times New Roman"/>
          <w:sz w:val="24"/>
          <w:szCs w:val="24"/>
        </w:rPr>
        <w:t>. 349</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która to dyrektywa w załączniku I w sposób o wiele szerszy niż w zmienianym art. 4 ust. 2 ww. ustawy, wskazuj</w:t>
      </w:r>
      <w:r>
        <w:rPr>
          <w:rFonts w:ascii="Times New Roman" w:eastAsia="Times New Roman" w:hAnsi="Times New Roman" w:cs="Times New Roman"/>
          <w:sz w:val="24"/>
          <w:szCs w:val="24"/>
        </w:rPr>
        <w:t>e</w:t>
      </w:r>
      <w:r w:rsidRPr="00522969">
        <w:rPr>
          <w:rFonts w:ascii="Times New Roman" w:eastAsia="Times New Roman" w:hAnsi="Times New Roman" w:cs="Times New Roman"/>
          <w:sz w:val="24"/>
          <w:szCs w:val="24"/>
        </w:rPr>
        <w:t xml:space="preserve"> na usługi, działalność i instrumenty finansowe nią objęte. Art. 2 pkt 12 dyrektywy Parlamentu Europejskiego i Rady 2011/83/UE z dnia 25 października 2011</w:t>
      </w:r>
      <w:r>
        <w:rPr>
          <w:rFonts w:ascii="Times New Roman" w:eastAsia="Times New Roman" w:hAnsi="Times New Roman" w:cs="Times New Roman"/>
          <w:sz w:val="24"/>
          <w:szCs w:val="24"/>
        </w:rPr>
        <w:t> </w:t>
      </w:r>
      <w:r w:rsidRPr="00522969">
        <w:rPr>
          <w:rFonts w:ascii="Times New Roman" w:eastAsia="Times New Roman" w:hAnsi="Times New Roman" w:cs="Times New Roman"/>
          <w:sz w:val="24"/>
          <w:szCs w:val="24"/>
        </w:rPr>
        <w:t>r. w sprawie praw konsumentów, zmieniając</w:t>
      </w:r>
      <w:r>
        <w:rPr>
          <w:rFonts w:ascii="Times New Roman" w:eastAsia="Times New Roman" w:hAnsi="Times New Roman" w:cs="Times New Roman"/>
          <w:sz w:val="24"/>
          <w:szCs w:val="24"/>
        </w:rPr>
        <w:t>ej</w:t>
      </w:r>
      <w:r w:rsidRPr="00522969">
        <w:rPr>
          <w:rFonts w:ascii="Times New Roman" w:eastAsia="Times New Roman" w:hAnsi="Times New Roman" w:cs="Times New Roman"/>
          <w:sz w:val="24"/>
          <w:szCs w:val="24"/>
        </w:rPr>
        <w:t xml:space="preserve"> dyrektywę Rady 93/13/EWG i dyrektywę 1999/44/WE Parlamentu Europejskiego i Rady oraz uchylając</w:t>
      </w:r>
      <w:r>
        <w:rPr>
          <w:rFonts w:ascii="Times New Roman" w:eastAsia="Times New Roman" w:hAnsi="Times New Roman" w:cs="Times New Roman"/>
          <w:sz w:val="24"/>
          <w:szCs w:val="24"/>
        </w:rPr>
        <w:t>ej</w:t>
      </w:r>
      <w:r w:rsidRPr="00522969">
        <w:rPr>
          <w:rFonts w:ascii="Times New Roman" w:eastAsia="Times New Roman" w:hAnsi="Times New Roman" w:cs="Times New Roman"/>
          <w:sz w:val="24"/>
          <w:szCs w:val="24"/>
        </w:rPr>
        <w:t xml:space="preserve"> dyrektywę Rady 85/577/EWG i dyrektywę 97/7/WE Parlamentu Europejskiego i Rady </w:t>
      </w:r>
      <w:r>
        <w:rPr>
          <w:rFonts w:ascii="Times New Roman" w:eastAsia="Times New Roman" w:hAnsi="Times New Roman" w:cs="Times New Roman"/>
          <w:sz w:val="24"/>
          <w:szCs w:val="24"/>
        </w:rPr>
        <w:t xml:space="preserve">(Dz. Urz. UE L 340 z 22.11.2011, str. 64–68, z </w:t>
      </w:r>
      <w:proofErr w:type="spellStart"/>
      <w:r>
        <w:rPr>
          <w:rFonts w:ascii="Times New Roman" w:eastAsia="Times New Roman" w:hAnsi="Times New Roman" w:cs="Times New Roman"/>
          <w:sz w:val="24"/>
          <w:szCs w:val="24"/>
        </w:rPr>
        <w:t>późn</w:t>
      </w:r>
      <w:proofErr w:type="spellEnd"/>
      <w:r>
        <w:rPr>
          <w:rFonts w:ascii="Times New Roman" w:eastAsia="Times New Roman" w:hAnsi="Times New Roman" w:cs="Times New Roman"/>
          <w:sz w:val="24"/>
          <w:szCs w:val="24"/>
        </w:rPr>
        <w:t xml:space="preserve">. zm.) </w:t>
      </w:r>
      <w:r w:rsidRPr="00522969">
        <w:rPr>
          <w:rFonts w:ascii="Times New Roman" w:eastAsia="Times New Roman" w:hAnsi="Times New Roman" w:cs="Times New Roman"/>
          <w:sz w:val="24"/>
          <w:szCs w:val="24"/>
        </w:rPr>
        <w:t xml:space="preserve">definiuje z kolei pojęcie usługi finansowej jako każdą usługę o charakterze bankowym, kredytowym, ubezpieczeniowym, emerytalnym, inwestycyjnym lub płatniczym, co w przypadku usług o charakterze inwestycyjnym należy rozumieć szeroko, a więc przez pryzmat wspomnianego załącznika I do dyrektywy </w:t>
      </w:r>
      <w:r w:rsidRPr="00571992">
        <w:rPr>
          <w:rFonts w:ascii="Times New Roman" w:eastAsia="Times New Roman" w:hAnsi="Times New Roman" w:cs="Times New Roman"/>
          <w:sz w:val="24"/>
          <w:szCs w:val="24"/>
        </w:rPr>
        <w:t>Parlamentu Europejskiego i Rad</w:t>
      </w:r>
      <w:r w:rsidRPr="00522969">
        <w:rPr>
          <w:rFonts w:ascii="Times New Roman" w:eastAsia="Times New Roman" w:hAnsi="Times New Roman" w:cs="Times New Roman"/>
          <w:sz w:val="24"/>
          <w:szCs w:val="24"/>
        </w:rPr>
        <w:t>2004/39/WE z dnia 21 kwietnia 2004 r. w sprawie rynków instrumentów finansowych</w:t>
      </w:r>
      <w:r>
        <w:rPr>
          <w:rFonts w:ascii="Times New Roman" w:eastAsia="Times New Roman" w:hAnsi="Times New Roman" w:cs="Times New Roman"/>
          <w:sz w:val="24"/>
          <w:szCs w:val="24"/>
        </w:rPr>
        <w:t xml:space="preserve"> </w:t>
      </w:r>
      <w:r w:rsidRPr="00571992">
        <w:rPr>
          <w:rFonts w:ascii="Times New Roman" w:eastAsia="Times New Roman" w:hAnsi="Times New Roman" w:cs="Times New Roman"/>
          <w:sz w:val="24"/>
          <w:szCs w:val="24"/>
        </w:rPr>
        <w:t>oraz zmieniając</w:t>
      </w:r>
      <w:r>
        <w:rPr>
          <w:rFonts w:ascii="Times New Roman" w:eastAsia="Times New Roman" w:hAnsi="Times New Roman" w:cs="Times New Roman"/>
          <w:sz w:val="24"/>
          <w:szCs w:val="24"/>
        </w:rPr>
        <w:t>ej</w:t>
      </w:r>
      <w:r w:rsidRPr="00571992">
        <w:rPr>
          <w:rFonts w:ascii="Times New Roman" w:eastAsia="Times New Roman" w:hAnsi="Times New Roman" w:cs="Times New Roman"/>
          <w:sz w:val="24"/>
          <w:szCs w:val="24"/>
        </w:rPr>
        <w:t xml:space="preserve"> dyrektywę 2002/92/WE i dyrektywę 2011/61/UE</w:t>
      </w:r>
      <w:r w:rsidRPr="00522969">
        <w:rPr>
          <w:rFonts w:ascii="Times New Roman" w:eastAsia="Times New Roman" w:hAnsi="Times New Roman" w:cs="Times New Roman"/>
          <w:sz w:val="24"/>
          <w:szCs w:val="24"/>
        </w:rPr>
        <w:t xml:space="preserve">, który nie ogranicza się tylko do inwestycji w fundusze inwestycyjne otwarte i zamknięte. Dyrektywa Parlamentu Europejskiego i Rady 2011/83/UE z dnia 25 października 2011 r. w sprawie praw </w:t>
      </w:r>
      <w:r w:rsidRPr="00571992">
        <w:rPr>
          <w:rFonts w:ascii="Times New Roman" w:eastAsia="Times New Roman" w:hAnsi="Times New Roman" w:cs="Times New Roman"/>
          <w:sz w:val="24"/>
          <w:szCs w:val="24"/>
        </w:rPr>
        <w:t>konsumentów, zmieniająca dyrektywę Rady 93/13/EWG i dyrektywę 1999/44/WE Parlamentu Europejskiego i Rady oraz uchylająca dyrektywę Rady 85/577/EWG i dyrektywę 97/7/WE Parlamentu Europejskiego i Rady</w:t>
      </w:r>
      <w:r w:rsidRPr="00522969">
        <w:rPr>
          <w:rFonts w:ascii="Times New Roman" w:eastAsia="Times New Roman" w:hAnsi="Times New Roman" w:cs="Times New Roman"/>
          <w:sz w:val="24"/>
          <w:szCs w:val="24"/>
        </w:rPr>
        <w:t xml:space="preserve"> została w polskim porządku prawnym zaimplementowana poprzez zmienianą ustawę </w:t>
      </w:r>
      <w:r w:rsidRPr="00486C63">
        <w:rPr>
          <w:rFonts w:ascii="Times New Roman" w:eastAsiaTheme="minorEastAsia" w:hAnsi="Times New Roman" w:cs="Times New Roman"/>
          <w:sz w:val="24"/>
          <w:szCs w:val="24"/>
        </w:rPr>
        <w:t xml:space="preserve">z dnia 30 maja 2014 r. </w:t>
      </w:r>
      <w:r w:rsidRPr="00522969">
        <w:rPr>
          <w:rFonts w:ascii="Times New Roman" w:eastAsia="Times New Roman" w:hAnsi="Times New Roman" w:cs="Times New Roman"/>
          <w:sz w:val="24"/>
          <w:szCs w:val="24"/>
        </w:rPr>
        <w:t xml:space="preserve">o prawach konsumenta. </w:t>
      </w:r>
    </w:p>
    <w:p w14:paraId="518958E5" w14:textId="17EE3FA2" w:rsidR="00C21D4B" w:rsidRPr="006A5391" w:rsidRDefault="00C21D4B" w:rsidP="00642FA0">
      <w:pPr>
        <w:spacing w:line="360" w:lineRule="auto"/>
        <w:ind w:left="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5</w:t>
      </w:r>
      <w:r w:rsidR="008F4EC3">
        <w:rPr>
          <w:rFonts w:ascii="Times New Roman" w:eastAsiaTheme="minorEastAsia" w:hAnsi="Times New Roman" w:cs="Times New Roman"/>
          <w:b/>
          <w:bCs/>
          <w:sz w:val="24"/>
          <w:szCs w:val="24"/>
        </w:rPr>
        <w:t>3</w:t>
      </w:r>
      <w:r w:rsidRPr="00486C63">
        <w:rPr>
          <w:rFonts w:ascii="Times New Roman" w:eastAsiaTheme="minorEastAsia" w:hAnsi="Times New Roman" w:cs="Times New Roman"/>
          <w:sz w:val="24"/>
          <w:szCs w:val="24"/>
        </w:rPr>
        <w:t xml:space="preserve"> wprowadza zmianę </w:t>
      </w:r>
      <w:r>
        <w:rPr>
          <w:rFonts w:ascii="Times New Roman" w:eastAsiaTheme="minorEastAsia" w:hAnsi="Times New Roman" w:cs="Times New Roman"/>
          <w:sz w:val="24"/>
          <w:szCs w:val="24"/>
        </w:rPr>
        <w:t>w</w:t>
      </w:r>
      <w:r w:rsidRPr="00486C63">
        <w:rPr>
          <w:rFonts w:ascii="Times New Roman" w:eastAsiaTheme="minorEastAsia" w:hAnsi="Times New Roman" w:cs="Times New Roman"/>
          <w:sz w:val="24"/>
          <w:szCs w:val="24"/>
        </w:rPr>
        <w:t xml:space="preserve"> ustaw</w:t>
      </w:r>
      <w:r>
        <w:rPr>
          <w:rFonts w:ascii="Times New Roman" w:eastAsiaTheme="minorEastAsia" w:hAnsi="Times New Roman" w:cs="Times New Roman"/>
          <w:sz w:val="24"/>
          <w:szCs w:val="24"/>
        </w:rPr>
        <w:t>ie</w:t>
      </w:r>
      <w:r w:rsidRPr="00486C63">
        <w:rPr>
          <w:rFonts w:ascii="Times New Roman" w:eastAsiaTheme="minorEastAsia" w:hAnsi="Times New Roman" w:cs="Times New Roman"/>
          <w:sz w:val="24"/>
          <w:szCs w:val="24"/>
        </w:rPr>
        <w:t xml:space="preserve"> z dnia 15 maja 2015 r. − Prawo restrukturyzacyjne. Zmiana ta polega na rozszerzeniu</w:t>
      </w:r>
      <w:r>
        <w:rPr>
          <w:rFonts w:ascii="Times New Roman" w:eastAsiaTheme="minorEastAsia" w:hAnsi="Times New Roman" w:cs="Times New Roman"/>
          <w:sz w:val="24"/>
          <w:szCs w:val="24"/>
        </w:rPr>
        <w:t xml:space="preserve"> zawartego </w:t>
      </w:r>
      <w:r w:rsidRPr="00486C63">
        <w:rPr>
          <w:rFonts w:ascii="Times New Roman" w:eastAsiaTheme="minorEastAsia" w:hAnsi="Times New Roman" w:cs="Times New Roman"/>
          <w:sz w:val="24"/>
          <w:szCs w:val="24"/>
        </w:rPr>
        <w:t xml:space="preserve">w art. 4 ust. 2 ustawy zmienianej, katalogu podmiotów, do których nie stosuje się przepisów tej ustawy. Działalność dostawców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wiąże się z sytuacjami, kiedy zarówno środki pieniężne klientów</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jak i </w:t>
      </w:r>
      <w:proofErr w:type="spellStart"/>
      <w:r w:rsidRPr="00486C63">
        <w:rPr>
          <w:rFonts w:ascii="Times New Roman" w:eastAsiaTheme="minorEastAsia" w:hAnsi="Times New Roman" w:cs="Times New Roman"/>
          <w:sz w:val="24"/>
          <w:szCs w:val="24"/>
        </w:rPr>
        <w:t>kryptoaktywa</w:t>
      </w:r>
      <w:proofErr w:type="spellEnd"/>
      <w:r w:rsidRPr="00486C63">
        <w:rPr>
          <w:rFonts w:ascii="Times New Roman" w:eastAsiaTheme="minorEastAsia" w:hAnsi="Times New Roman" w:cs="Times New Roman"/>
          <w:sz w:val="24"/>
          <w:szCs w:val="24"/>
        </w:rPr>
        <w:t xml:space="preserve"> należące do klientów będą przechowywane na rachunku bankowym lub portfelu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których posiadaczem jest dostawca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Wówczas w przypadku objęcia dostawcy </w:t>
      </w:r>
      <w:r>
        <w:rPr>
          <w:rFonts w:ascii="Times New Roman" w:eastAsiaTheme="minorEastAsia" w:hAnsi="Times New Roman" w:cs="Times New Roman"/>
          <w:sz w:val="24"/>
          <w:szCs w:val="24"/>
        </w:rPr>
        <w:t xml:space="preserve">usług w zakresie </w:t>
      </w:r>
      <w:proofErr w:type="spellStart"/>
      <w:r>
        <w:rPr>
          <w:rFonts w:ascii="Times New Roman" w:eastAsiaTheme="minorEastAsia" w:hAnsi="Times New Roman" w:cs="Times New Roman"/>
          <w:sz w:val="24"/>
          <w:szCs w:val="24"/>
        </w:rPr>
        <w:t>kryptoaktywów</w:t>
      </w:r>
      <w:proofErr w:type="spellEnd"/>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postępowaniem restrukturyzacyjnym roszczenia klientów tego dostawcy będą podlegały zasadom tego postępowania, nie będą mogli oni zatem odzyskać swoich środków i aktywów, ich poziom może podlegać redukcjom, jak również kwestia ich odzyskania będzie się odwlekać w czasie. Należy także podkreślić, że w takiej sytuacji działania naprawcze wdrażane przez dostawcę </w:t>
      </w:r>
      <w:r>
        <w:rPr>
          <w:rFonts w:ascii="Times New Roman" w:eastAsiaTheme="minorEastAsia" w:hAnsi="Times New Roman" w:cs="Times New Roman"/>
          <w:sz w:val="24"/>
          <w:szCs w:val="24"/>
        </w:rPr>
        <w:t xml:space="preserve">usług w zakresie </w:t>
      </w:r>
      <w:proofErr w:type="spellStart"/>
      <w:r>
        <w:rPr>
          <w:rFonts w:ascii="Times New Roman" w:eastAsiaTheme="minorEastAsia" w:hAnsi="Times New Roman" w:cs="Times New Roman"/>
          <w:sz w:val="24"/>
          <w:szCs w:val="24"/>
        </w:rPr>
        <w:t>kryptoaktywów</w:t>
      </w:r>
      <w:proofErr w:type="spellEnd"/>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odbywałyby się z użyciem w ogromnym stopniu środków i aktywów należących do jego klientów. Jest to sytuacja, która pozostaje w sprzeczności z zasadami ochrony klientów wynikającymi z rozporządzenia </w:t>
      </w:r>
      <w:r w:rsidRPr="00695E69">
        <w:rPr>
          <w:rFonts w:ascii="Times New Roman" w:eastAsiaTheme="minorEastAsia" w:hAnsi="Times New Roman" w:cs="Times New Roman"/>
          <w:sz w:val="24"/>
          <w:szCs w:val="24"/>
        </w:rPr>
        <w:t>202</w:t>
      </w:r>
      <w:r w:rsidR="00C40C0B">
        <w:rPr>
          <w:rFonts w:ascii="Times New Roman" w:eastAsiaTheme="minorEastAsia" w:hAnsi="Times New Roman" w:cs="Times New Roman"/>
          <w:sz w:val="24"/>
          <w:szCs w:val="24"/>
        </w:rPr>
        <w:t>3</w:t>
      </w:r>
      <w:r w:rsidRPr="00695E69">
        <w:rPr>
          <w:rFonts w:ascii="Times New Roman" w:eastAsiaTheme="minorEastAsia" w:hAnsi="Times New Roman" w:cs="Times New Roman"/>
          <w:sz w:val="24"/>
          <w:szCs w:val="24"/>
        </w:rPr>
        <w:t>/1114</w:t>
      </w:r>
      <w:r w:rsidRPr="00486C63">
        <w:rPr>
          <w:rFonts w:ascii="Times New Roman" w:eastAsiaTheme="minorEastAsia" w:hAnsi="Times New Roman" w:cs="Times New Roman"/>
          <w:sz w:val="24"/>
          <w:szCs w:val="24"/>
        </w:rPr>
        <w:t xml:space="preserve">, których środki pieniężne i </w:t>
      </w:r>
      <w:proofErr w:type="spellStart"/>
      <w:r w:rsidRPr="00486C63">
        <w:rPr>
          <w:rFonts w:ascii="Times New Roman" w:eastAsiaTheme="minorEastAsia" w:hAnsi="Times New Roman" w:cs="Times New Roman"/>
          <w:sz w:val="24"/>
          <w:szCs w:val="24"/>
        </w:rPr>
        <w:t>kryptoaktywa</w:t>
      </w:r>
      <w:proofErr w:type="spellEnd"/>
      <w:r w:rsidRPr="00486C63">
        <w:rPr>
          <w:rFonts w:ascii="Times New Roman" w:eastAsiaTheme="minorEastAsia" w:hAnsi="Times New Roman" w:cs="Times New Roman"/>
          <w:sz w:val="24"/>
          <w:szCs w:val="24"/>
        </w:rPr>
        <w:t xml:space="preserve"> nie mogą ulegać przepadkowi z powodu trudnej sytuacji finansowej dostawcy</w:t>
      </w:r>
      <w:r>
        <w:rPr>
          <w:rFonts w:ascii="Times New Roman" w:eastAsiaTheme="minorEastAsia" w:hAnsi="Times New Roman" w:cs="Times New Roman"/>
          <w:sz w:val="24"/>
          <w:szCs w:val="24"/>
        </w:rPr>
        <w:t xml:space="preserve"> usług w zakresie </w:t>
      </w:r>
      <w:proofErr w:type="spellStart"/>
      <w:r>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Ponadto należy zwrócić uwagę, że dostawca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nie powinien podlegać przepisom ustawy z dnia 15 maja 2015 r. − Prawo restrukturyzacyjne także z powodu obowiązku spełniania wymogów kapitałowych określonych w rozporządzeniu </w:t>
      </w:r>
      <w:r w:rsidRPr="00695E69">
        <w:rPr>
          <w:rFonts w:ascii="Times New Roman" w:eastAsiaTheme="minorEastAsia" w:hAnsi="Times New Roman" w:cs="Times New Roman"/>
          <w:sz w:val="24"/>
          <w:szCs w:val="24"/>
        </w:rPr>
        <w:t>202</w:t>
      </w:r>
      <w:r w:rsidR="00C40C0B">
        <w:rPr>
          <w:rFonts w:ascii="Times New Roman" w:eastAsiaTheme="minorEastAsia" w:hAnsi="Times New Roman" w:cs="Times New Roman"/>
          <w:sz w:val="24"/>
          <w:szCs w:val="24"/>
        </w:rPr>
        <w:t>3</w:t>
      </w:r>
      <w:r w:rsidRPr="00695E69">
        <w:rPr>
          <w:rFonts w:ascii="Times New Roman" w:eastAsiaTheme="minorEastAsia" w:hAnsi="Times New Roman" w:cs="Times New Roman"/>
          <w:sz w:val="24"/>
          <w:szCs w:val="24"/>
        </w:rPr>
        <w:t>/1114</w:t>
      </w:r>
      <w:r w:rsidRPr="00486C63">
        <w:rPr>
          <w:rFonts w:ascii="Times New Roman" w:eastAsiaTheme="minorEastAsia" w:hAnsi="Times New Roman" w:cs="Times New Roman"/>
          <w:sz w:val="24"/>
          <w:szCs w:val="24"/>
        </w:rPr>
        <w:t xml:space="preserve"> – dostawca objęty postępowaniem restrukturyzacyjnym w sposób oczywisty przez dłuższy </w:t>
      </w:r>
      <w:r>
        <w:rPr>
          <w:rFonts w:ascii="Times New Roman" w:eastAsiaTheme="minorEastAsia" w:hAnsi="Times New Roman" w:cs="Times New Roman"/>
          <w:sz w:val="24"/>
          <w:szCs w:val="24"/>
        </w:rPr>
        <w:t>c</w:t>
      </w:r>
      <w:r w:rsidRPr="00486C63">
        <w:rPr>
          <w:rFonts w:ascii="Times New Roman" w:eastAsiaTheme="minorEastAsia" w:hAnsi="Times New Roman" w:cs="Times New Roman"/>
          <w:sz w:val="24"/>
          <w:szCs w:val="24"/>
        </w:rPr>
        <w:t xml:space="preserve">zas nie byłby w stanie wypełniać wymogów adekwatności kapitałowej. Objęcie tych podmiotów przepisami ustawy z dnia 15 maja 2015 r. − Prawo restrukturyzacyjne stałoby zatem w sprzeczności z </w:t>
      </w:r>
      <w:r w:rsidRPr="00642FA0">
        <w:rPr>
          <w:rFonts w:ascii="Times New Roman" w:eastAsiaTheme="minorEastAsia" w:hAnsi="Times New Roman" w:cs="Times New Roman"/>
          <w:sz w:val="24"/>
          <w:szCs w:val="24"/>
        </w:rPr>
        <w:t xml:space="preserve">zapewnieniem </w:t>
      </w:r>
      <w:r w:rsidRPr="00486C63">
        <w:rPr>
          <w:rFonts w:ascii="Times New Roman" w:eastAsiaTheme="minorEastAsia" w:hAnsi="Times New Roman" w:cs="Times New Roman"/>
          <w:sz w:val="24"/>
          <w:szCs w:val="24"/>
        </w:rPr>
        <w:t xml:space="preserve">bezpieczeństwa systemu finansowego oraz celami nadzoru wynikającymi z rozporządzenia </w:t>
      </w:r>
      <w:r w:rsidRPr="00695E69">
        <w:rPr>
          <w:rFonts w:ascii="Times New Roman" w:eastAsiaTheme="minorEastAsia" w:hAnsi="Times New Roman" w:cs="Times New Roman"/>
          <w:sz w:val="24"/>
          <w:szCs w:val="24"/>
        </w:rPr>
        <w:t>2024/1114</w:t>
      </w:r>
      <w:r w:rsidRPr="00486C6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Przepis </w:t>
      </w:r>
      <w:r w:rsidRPr="00F938C3">
        <w:rPr>
          <w:rFonts w:ascii="Times New Roman" w:eastAsiaTheme="minorEastAsia" w:hAnsi="Times New Roman" w:cs="Times New Roman"/>
          <w:bCs/>
          <w:sz w:val="24"/>
          <w:szCs w:val="24"/>
        </w:rPr>
        <w:t>wprowadza</w:t>
      </w:r>
      <w:r>
        <w:rPr>
          <w:rFonts w:ascii="Times New Roman" w:eastAsiaTheme="minorEastAsia" w:hAnsi="Times New Roman" w:cs="Times New Roman"/>
          <w:bCs/>
          <w:sz w:val="24"/>
          <w:szCs w:val="24"/>
        </w:rPr>
        <w:t xml:space="preserve"> wyłączenie z zakresu przedmiotowej ustawy </w:t>
      </w:r>
      <w:r w:rsidRPr="00164C63">
        <w:rPr>
          <w:rFonts w:ascii="Times New Roman" w:eastAsiaTheme="minorEastAsia" w:hAnsi="Times New Roman" w:cs="Times New Roman"/>
          <w:bCs/>
          <w:sz w:val="24"/>
          <w:szCs w:val="24"/>
        </w:rPr>
        <w:t xml:space="preserve">również emitentów </w:t>
      </w:r>
      <w:proofErr w:type="spellStart"/>
      <w:r w:rsidRPr="00164C63">
        <w:rPr>
          <w:rFonts w:ascii="Times New Roman" w:eastAsiaTheme="minorEastAsia" w:hAnsi="Times New Roman" w:cs="Times New Roman"/>
          <w:bCs/>
          <w:sz w:val="24"/>
          <w:szCs w:val="24"/>
        </w:rPr>
        <w:t>tokenów</w:t>
      </w:r>
      <w:proofErr w:type="spellEnd"/>
      <w:r w:rsidRPr="00164C63">
        <w:rPr>
          <w:rFonts w:ascii="Times New Roman" w:eastAsiaTheme="minorEastAsia" w:hAnsi="Times New Roman" w:cs="Times New Roman"/>
          <w:bCs/>
          <w:sz w:val="24"/>
          <w:szCs w:val="24"/>
        </w:rPr>
        <w:t xml:space="preserve"> powiązanych z aktywami</w:t>
      </w:r>
      <w:r>
        <w:rPr>
          <w:rFonts w:ascii="Times New Roman" w:eastAsiaTheme="minorEastAsia" w:hAnsi="Times New Roman" w:cs="Times New Roman"/>
          <w:bCs/>
          <w:sz w:val="24"/>
          <w:szCs w:val="24"/>
        </w:rPr>
        <w:t>.</w:t>
      </w:r>
      <w:r w:rsidRPr="00164C63">
        <w:rPr>
          <w:rFonts w:ascii="Times New Roman" w:eastAsiaTheme="minorEastAsia" w:hAnsi="Times New Roman" w:cs="Times New Roman"/>
          <w:bCs/>
          <w:sz w:val="24"/>
          <w:szCs w:val="24"/>
        </w:rPr>
        <w:t xml:space="preserve"> Emitenci </w:t>
      </w:r>
      <w:proofErr w:type="spellStart"/>
      <w:r w:rsidRPr="00164C63">
        <w:rPr>
          <w:rFonts w:ascii="Times New Roman" w:eastAsiaTheme="minorEastAsia" w:hAnsi="Times New Roman" w:cs="Times New Roman"/>
          <w:bCs/>
          <w:sz w:val="24"/>
          <w:szCs w:val="24"/>
        </w:rPr>
        <w:t>tokenów</w:t>
      </w:r>
      <w:proofErr w:type="spellEnd"/>
      <w:r w:rsidRPr="00164C63">
        <w:rPr>
          <w:rFonts w:ascii="Times New Roman" w:eastAsiaTheme="minorEastAsia" w:hAnsi="Times New Roman" w:cs="Times New Roman"/>
          <w:bCs/>
          <w:sz w:val="24"/>
          <w:szCs w:val="24"/>
        </w:rPr>
        <w:t xml:space="preserve"> powiązanych z aktywami mają obowiązek ustanowić i stale utrzymywać rezerwę aktywów uwzględniając określone ryzyko związane z tymi aktywami i ryzyko płynności związane z możliwością żądania przez posiadaczy wykupu </w:t>
      </w:r>
      <w:proofErr w:type="spellStart"/>
      <w:r w:rsidRPr="00164C63">
        <w:rPr>
          <w:rFonts w:ascii="Times New Roman" w:eastAsiaTheme="minorEastAsia" w:hAnsi="Times New Roman" w:cs="Times New Roman"/>
          <w:bCs/>
          <w:sz w:val="24"/>
          <w:szCs w:val="24"/>
        </w:rPr>
        <w:t>tokenów</w:t>
      </w:r>
      <w:proofErr w:type="spellEnd"/>
      <w:r w:rsidRPr="00164C63">
        <w:rPr>
          <w:rFonts w:ascii="Times New Roman" w:eastAsiaTheme="minorEastAsia" w:hAnsi="Times New Roman" w:cs="Times New Roman"/>
          <w:bCs/>
          <w:sz w:val="24"/>
          <w:szCs w:val="24"/>
        </w:rPr>
        <w:t xml:space="preserve">. Zgodnie z 36 ust. 2 rozporządzenia </w:t>
      </w:r>
      <w:r w:rsidRPr="00565AC7">
        <w:rPr>
          <w:rFonts w:ascii="Times New Roman" w:eastAsiaTheme="minorEastAsia" w:hAnsi="Times New Roman" w:cs="Times New Roman"/>
          <w:bCs/>
          <w:sz w:val="24"/>
          <w:szCs w:val="24"/>
        </w:rPr>
        <w:t>2023/1114</w:t>
      </w:r>
      <w:r>
        <w:rPr>
          <w:rFonts w:ascii="Times New Roman" w:eastAsiaTheme="minorEastAsia" w:hAnsi="Times New Roman" w:cs="Times New Roman"/>
          <w:bCs/>
          <w:sz w:val="24"/>
          <w:szCs w:val="24"/>
        </w:rPr>
        <w:t xml:space="preserve"> </w:t>
      </w:r>
      <w:r w:rsidRPr="00546E53">
        <w:rPr>
          <w:rFonts w:ascii="Times New Roman" w:eastAsiaTheme="minorEastAsia" w:hAnsi="Times New Roman" w:cs="Times New Roman"/>
          <w:bCs/>
          <w:sz w:val="24"/>
          <w:szCs w:val="24"/>
        </w:rPr>
        <w:t xml:space="preserve">rezerwa aktywów jest prawnie oddzielona od majątku emitenta, jak również od rezerwy aktywów ustanowionej dla innych </w:t>
      </w:r>
      <w:proofErr w:type="spellStart"/>
      <w:r w:rsidRPr="00546E53">
        <w:rPr>
          <w:rFonts w:ascii="Times New Roman" w:eastAsiaTheme="minorEastAsia" w:hAnsi="Times New Roman" w:cs="Times New Roman"/>
          <w:bCs/>
          <w:sz w:val="24"/>
          <w:szCs w:val="24"/>
        </w:rPr>
        <w:t>tokenów</w:t>
      </w:r>
      <w:proofErr w:type="spellEnd"/>
      <w:r w:rsidRPr="00546E53">
        <w:rPr>
          <w:rFonts w:ascii="Times New Roman" w:eastAsiaTheme="minorEastAsia" w:hAnsi="Times New Roman" w:cs="Times New Roman"/>
          <w:bCs/>
          <w:sz w:val="24"/>
          <w:szCs w:val="24"/>
        </w:rPr>
        <w:t xml:space="preserve"> powiązanych z aktywami, w interesie posiadaczy </w:t>
      </w:r>
      <w:proofErr w:type="spellStart"/>
      <w:r w:rsidRPr="00546E53">
        <w:rPr>
          <w:rFonts w:ascii="Times New Roman" w:eastAsiaTheme="minorEastAsia" w:hAnsi="Times New Roman" w:cs="Times New Roman"/>
          <w:bCs/>
          <w:sz w:val="24"/>
          <w:szCs w:val="24"/>
        </w:rPr>
        <w:t>tokenów</w:t>
      </w:r>
      <w:proofErr w:type="spellEnd"/>
      <w:r w:rsidRPr="00546E53">
        <w:rPr>
          <w:rFonts w:ascii="Times New Roman" w:eastAsiaTheme="minorEastAsia" w:hAnsi="Times New Roman" w:cs="Times New Roman"/>
          <w:bCs/>
          <w:sz w:val="24"/>
          <w:szCs w:val="24"/>
        </w:rPr>
        <w:t xml:space="preserve"> powiązanych z aktywami zgodnie z prawem właściwym, tak by wierzyciele emitentów nie mogli zaspokajać swoich roszczeń z rezerwy aktywów, w szczególności w przypadku niewypłacalności.</w:t>
      </w:r>
      <w:r w:rsidRPr="00164C63">
        <w:rPr>
          <w:rFonts w:ascii="Times New Roman" w:eastAsiaTheme="minorEastAsia" w:hAnsi="Times New Roman" w:cs="Times New Roman"/>
          <w:bCs/>
          <w:sz w:val="24"/>
          <w:szCs w:val="24"/>
        </w:rPr>
        <w:t xml:space="preserve"> Emitenci </w:t>
      </w:r>
      <w:proofErr w:type="spellStart"/>
      <w:r w:rsidRPr="00164C63">
        <w:rPr>
          <w:rFonts w:ascii="Times New Roman" w:eastAsiaTheme="minorEastAsia" w:hAnsi="Times New Roman" w:cs="Times New Roman"/>
          <w:bCs/>
          <w:sz w:val="24"/>
          <w:szCs w:val="24"/>
        </w:rPr>
        <w:t>tokenów</w:t>
      </w:r>
      <w:proofErr w:type="spellEnd"/>
      <w:r w:rsidRPr="00164C63">
        <w:rPr>
          <w:rFonts w:ascii="Times New Roman" w:eastAsiaTheme="minorEastAsia" w:hAnsi="Times New Roman" w:cs="Times New Roman"/>
          <w:bCs/>
          <w:sz w:val="24"/>
          <w:szCs w:val="24"/>
        </w:rPr>
        <w:t xml:space="preserve"> powiązanych z aktywami mają zapewnić także, aby rezerwa aktywów była operacyjnie oddzielona od ich majątku. </w:t>
      </w:r>
    </w:p>
    <w:p w14:paraId="1D242428" w14:textId="7456F961" w:rsidR="00C21D4B" w:rsidRPr="00486C63" w:rsidRDefault="00C21D4B" w:rsidP="00781E1E">
      <w:pPr>
        <w:spacing w:line="360" w:lineRule="auto"/>
        <w:ind w:left="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w:t>
      </w:r>
      <w:r w:rsidRPr="00486C63">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b/>
          <w:bCs/>
          <w:sz w:val="24"/>
          <w:szCs w:val="24"/>
        </w:rPr>
        <w:t>1</w:t>
      </w:r>
      <w:r>
        <w:rPr>
          <w:rFonts w:ascii="Times New Roman" w:eastAsiaTheme="minorEastAsia" w:hAnsi="Times New Roman" w:cs="Times New Roman"/>
          <w:b/>
          <w:bCs/>
          <w:sz w:val="24"/>
          <w:szCs w:val="24"/>
        </w:rPr>
        <w:t>5</w:t>
      </w:r>
      <w:r w:rsidR="008F4EC3">
        <w:rPr>
          <w:rFonts w:ascii="Times New Roman" w:eastAsiaTheme="minorEastAsia" w:hAnsi="Times New Roman" w:cs="Times New Roman"/>
          <w:b/>
          <w:bCs/>
          <w:sz w:val="24"/>
          <w:szCs w:val="24"/>
        </w:rPr>
        <w:t>4</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 xml:space="preserve">wprowadza zmiany art. 2 w ustawie z dnia 5 sierpnia 2015 r. o rozpatrywaniu reklamacji przez podmioty rynku finansowego, o Rzeczniku Finansowym i o Funduszu Edukacji Finansowej. Projektowane zmiany mają na celu rozszerzenie </w:t>
      </w:r>
      <w:r>
        <w:rPr>
          <w:rFonts w:ascii="Times New Roman" w:eastAsiaTheme="minorEastAsia" w:hAnsi="Times New Roman" w:cs="Times New Roman"/>
          <w:sz w:val="24"/>
          <w:szCs w:val="24"/>
        </w:rPr>
        <w:t>zakresu</w:t>
      </w:r>
      <w:r w:rsidRPr="00486C63">
        <w:rPr>
          <w:rFonts w:ascii="Times New Roman" w:eastAsiaTheme="minorEastAsia" w:hAnsi="Times New Roman" w:cs="Times New Roman"/>
          <w:sz w:val="24"/>
          <w:szCs w:val="24"/>
        </w:rPr>
        <w:t xml:space="preserve"> pojęcia klienta podmiotu rynku finansowego oraz podmiotu rynku finansowego o odpowiednio </w:t>
      </w:r>
      <w:r w:rsidRPr="00677618">
        <w:rPr>
          <w:rFonts w:ascii="Times New Roman" w:eastAsiaTheme="minorEastAsia" w:hAnsi="Times New Roman" w:cs="Times New Roman"/>
          <w:sz w:val="24"/>
          <w:szCs w:val="24"/>
        </w:rPr>
        <w:t xml:space="preserve">posiadacza </w:t>
      </w:r>
      <w:proofErr w:type="spellStart"/>
      <w:r w:rsidRPr="00677618">
        <w:rPr>
          <w:rFonts w:ascii="Times New Roman" w:eastAsiaTheme="minorEastAsia" w:hAnsi="Times New Roman" w:cs="Times New Roman"/>
          <w:sz w:val="24"/>
          <w:szCs w:val="24"/>
        </w:rPr>
        <w:t>tokenów</w:t>
      </w:r>
      <w:proofErr w:type="spellEnd"/>
      <w:r w:rsidRPr="00677618">
        <w:rPr>
          <w:rFonts w:ascii="Times New Roman" w:eastAsiaTheme="minorEastAsia" w:hAnsi="Times New Roman" w:cs="Times New Roman"/>
          <w:sz w:val="24"/>
          <w:szCs w:val="24"/>
        </w:rPr>
        <w:t xml:space="preserve"> powiązanych z aktywami nabytych od emitenta </w:t>
      </w:r>
      <w:proofErr w:type="spellStart"/>
      <w:r w:rsidRPr="00677618">
        <w:rPr>
          <w:rFonts w:ascii="Times New Roman" w:eastAsiaTheme="minorEastAsia" w:hAnsi="Times New Roman" w:cs="Times New Roman"/>
          <w:sz w:val="24"/>
          <w:szCs w:val="24"/>
        </w:rPr>
        <w:t>tokenów</w:t>
      </w:r>
      <w:proofErr w:type="spellEnd"/>
      <w:r w:rsidRPr="00677618">
        <w:rPr>
          <w:rFonts w:ascii="Times New Roman" w:eastAsiaTheme="minorEastAsia" w:hAnsi="Times New Roman" w:cs="Times New Roman"/>
          <w:sz w:val="24"/>
          <w:szCs w:val="24"/>
        </w:rPr>
        <w:t xml:space="preserve"> powiązanych z aktywami </w:t>
      </w:r>
      <w:r>
        <w:rPr>
          <w:rFonts w:ascii="Times New Roman" w:eastAsiaTheme="minorEastAsia" w:hAnsi="Times New Roman" w:cs="Times New Roman"/>
          <w:sz w:val="24"/>
          <w:szCs w:val="24"/>
        </w:rPr>
        <w:t xml:space="preserve">posiadającego zezwolenie na ofertę publiczną </w:t>
      </w:r>
      <w:proofErr w:type="spellStart"/>
      <w:r>
        <w:rPr>
          <w:rFonts w:ascii="Times New Roman" w:eastAsiaTheme="minorEastAsia" w:hAnsi="Times New Roman" w:cs="Times New Roman"/>
          <w:sz w:val="24"/>
          <w:szCs w:val="24"/>
        </w:rPr>
        <w:t>tokenów</w:t>
      </w:r>
      <w:proofErr w:type="spellEnd"/>
      <w:r>
        <w:rPr>
          <w:rFonts w:ascii="Times New Roman" w:eastAsiaTheme="minorEastAsia" w:hAnsi="Times New Roman" w:cs="Times New Roman"/>
          <w:sz w:val="24"/>
          <w:szCs w:val="24"/>
        </w:rPr>
        <w:t xml:space="preserve"> powiązanych z aktywami lub na ubieganie się o dopuszczenie takich </w:t>
      </w:r>
      <w:proofErr w:type="spellStart"/>
      <w:r>
        <w:rPr>
          <w:rFonts w:ascii="Times New Roman" w:eastAsiaTheme="minorEastAsia" w:hAnsi="Times New Roman" w:cs="Times New Roman"/>
          <w:sz w:val="24"/>
          <w:szCs w:val="24"/>
        </w:rPr>
        <w:t>tokenów</w:t>
      </w:r>
      <w:proofErr w:type="spellEnd"/>
      <w:r>
        <w:rPr>
          <w:rFonts w:ascii="Times New Roman" w:eastAsiaTheme="minorEastAsia" w:hAnsi="Times New Roman" w:cs="Times New Roman"/>
          <w:sz w:val="24"/>
          <w:szCs w:val="24"/>
        </w:rPr>
        <w:t xml:space="preserve"> do obrotu i </w:t>
      </w:r>
      <w:r w:rsidRPr="00486C63">
        <w:rPr>
          <w:rFonts w:ascii="Times New Roman" w:eastAsiaTheme="minorEastAsia" w:hAnsi="Times New Roman" w:cs="Times New Roman"/>
          <w:sz w:val="24"/>
          <w:szCs w:val="24"/>
        </w:rPr>
        <w:t>klient</w:t>
      </w:r>
      <w:r>
        <w:rPr>
          <w:rFonts w:ascii="Times New Roman" w:eastAsiaTheme="minorEastAsia" w:hAnsi="Times New Roman" w:cs="Times New Roman"/>
          <w:sz w:val="24"/>
          <w:szCs w:val="24"/>
        </w:rPr>
        <w:t>a</w:t>
      </w:r>
      <w:r w:rsidRPr="00486C63">
        <w:rPr>
          <w:rFonts w:ascii="Times New Roman" w:eastAsiaTheme="minorEastAsia" w:hAnsi="Times New Roman" w:cs="Times New Roman"/>
          <w:sz w:val="24"/>
          <w:szCs w:val="24"/>
        </w:rPr>
        <w:t xml:space="preserve"> w rozumieniu rozporządzenia 2023/1114 oraz dostawc</w:t>
      </w:r>
      <w:r>
        <w:rPr>
          <w:rFonts w:ascii="Times New Roman" w:eastAsiaTheme="minorEastAsia" w:hAnsi="Times New Roman" w:cs="Times New Roman"/>
          <w:sz w:val="24"/>
          <w:szCs w:val="24"/>
        </w:rPr>
        <w:t>ę</w:t>
      </w:r>
      <w:r w:rsidRPr="00486C63">
        <w:rPr>
          <w:rFonts w:ascii="Times New Roman" w:eastAsiaTheme="minorEastAsia" w:hAnsi="Times New Roman" w:cs="Times New Roman"/>
          <w:sz w:val="24"/>
          <w:szCs w:val="24"/>
        </w:rPr>
        <w:t xml:space="preserve"> usług w zakresie </w:t>
      </w:r>
      <w:proofErr w:type="spellStart"/>
      <w:r w:rsidRPr="00486C63">
        <w:rPr>
          <w:rFonts w:ascii="Times New Roman" w:eastAsiaTheme="minorEastAsia" w:hAnsi="Times New Roman" w:cs="Times New Roman"/>
          <w:sz w:val="24"/>
          <w:szCs w:val="24"/>
        </w:rPr>
        <w:t>kryptoaktywów</w:t>
      </w:r>
      <w:proofErr w:type="spellEnd"/>
      <w:r>
        <w:rPr>
          <w:rFonts w:ascii="Times New Roman" w:eastAsiaTheme="minorEastAsia" w:hAnsi="Times New Roman" w:cs="Times New Roman"/>
          <w:sz w:val="24"/>
          <w:szCs w:val="24"/>
        </w:rPr>
        <w:t xml:space="preserve"> i</w:t>
      </w:r>
      <w:r w:rsidRPr="00677618">
        <w:rPr>
          <w:rFonts w:ascii="Times New Roman" w:eastAsiaTheme="minorEastAsia" w:hAnsi="Times New Roman" w:cs="Arial"/>
          <w:sz w:val="24"/>
          <w:szCs w:val="20"/>
          <w:lang w:eastAsia="pl-PL"/>
        </w:rPr>
        <w:t xml:space="preserve"> </w:t>
      </w:r>
      <w:r w:rsidRPr="00677618">
        <w:rPr>
          <w:rFonts w:ascii="Times New Roman" w:eastAsiaTheme="minorEastAsia" w:hAnsi="Times New Roman" w:cs="Times New Roman"/>
          <w:sz w:val="24"/>
          <w:szCs w:val="24"/>
        </w:rPr>
        <w:t xml:space="preserve">emitenta </w:t>
      </w:r>
      <w:proofErr w:type="spellStart"/>
      <w:r w:rsidRPr="00677618">
        <w:rPr>
          <w:rFonts w:ascii="Times New Roman" w:eastAsiaTheme="minorEastAsia" w:hAnsi="Times New Roman" w:cs="Times New Roman"/>
          <w:sz w:val="24"/>
          <w:szCs w:val="24"/>
        </w:rPr>
        <w:t>tokenów</w:t>
      </w:r>
      <w:proofErr w:type="spellEnd"/>
      <w:r w:rsidRPr="00677618">
        <w:rPr>
          <w:rFonts w:ascii="Times New Roman" w:eastAsiaTheme="minorEastAsia" w:hAnsi="Times New Roman" w:cs="Times New Roman"/>
          <w:sz w:val="24"/>
          <w:szCs w:val="24"/>
        </w:rPr>
        <w:t xml:space="preserve"> powiązanych z aktywami</w:t>
      </w:r>
      <w:r>
        <w:rPr>
          <w:rFonts w:ascii="Times New Roman" w:eastAsiaTheme="minorEastAsia" w:hAnsi="Times New Roman" w:cs="Times New Roman"/>
          <w:sz w:val="24"/>
          <w:szCs w:val="24"/>
        </w:rPr>
        <w:t xml:space="preserve"> posiadającego zezwolenie na ofertę publiczną </w:t>
      </w:r>
      <w:proofErr w:type="spellStart"/>
      <w:r>
        <w:rPr>
          <w:rFonts w:ascii="Times New Roman" w:eastAsiaTheme="minorEastAsia" w:hAnsi="Times New Roman" w:cs="Times New Roman"/>
          <w:sz w:val="24"/>
          <w:szCs w:val="24"/>
        </w:rPr>
        <w:t>tokenów</w:t>
      </w:r>
      <w:proofErr w:type="spellEnd"/>
      <w:r>
        <w:rPr>
          <w:rFonts w:ascii="Times New Roman" w:eastAsiaTheme="minorEastAsia" w:hAnsi="Times New Roman" w:cs="Times New Roman"/>
          <w:sz w:val="24"/>
          <w:szCs w:val="24"/>
        </w:rPr>
        <w:t xml:space="preserve"> powiązanych z aktywami lub na ubieganie się o dopuszczenie takich </w:t>
      </w:r>
      <w:proofErr w:type="spellStart"/>
      <w:r>
        <w:rPr>
          <w:rFonts w:ascii="Times New Roman" w:eastAsiaTheme="minorEastAsia" w:hAnsi="Times New Roman" w:cs="Times New Roman"/>
          <w:sz w:val="24"/>
          <w:szCs w:val="24"/>
        </w:rPr>
        <w:t>tokenów</w:t>
      </w:r>
      <w:proofErr w:type="spellEnd"/>
      <w:r>
        <w:rPr>
          <w:rFonts w:ascii="Times New Roman" w:eastAsiaTheme="minorEastAsia" w:hAnsi="Times New Roman" w:cs="Times New Roman"/>
          <w:sz w:val="24"/>
          <w:szCs w:val="24"/>
        </w:rPr>
        <w:t xml:space="preserve"> do obrotu</w:t>
      </w:r>
      <w:r w:rsidRPr="00486C63">
        <w:rPr>
          <w:rFonts w:ascii="Times New Roman" w:eastAsiaTheme="minorEastAsia" w:hAnsi="Times New Roman" w:cs="Times New Roman"/>
          <w:sz w:val="24"/>
          <w:szCs w:val="24"/>
        </w:rPr>
        <w:t xml:space="preserve">. Zmiany obejmują również wprowadzenie </w:t>
      </w:r>
      <w:r>
        <w:rPr>
          <w:rFonts w:ascii="Times New Roman" w:eastAsiaTheme="minorEastAsia" w:hAnsi="Times New Roman" w:cs="Times New Roman"/>
          <w:sz w:val="24"/>
          <w:szCs w:val="24"/>
        </w:rPr>
        <w:t xml:space="preserve">skrótu dla </w:t>
      </w:r>
      <w:r w:rsidRPr="00486C63">
        <w:rPr>
          <w:rFonts w:ascii="Times New Roman" w:eastAsiaTheme="minorEastAsia" w:hAnsi="Times New Roman" w:cs="Times New Roman"/>
          <w:sz w:val="24"/>
          <w:szCs w:val="24"/>
        </w:rPr>
        <w:t>rozporządzenia 2023/1114. Obecnie co do zasady podmiotami rynku finansowego objętymi właściwością Rzecznika Finansowego są instytucje prowadzące działalność nadzorowaną przez KNF, w tym m.in. podmioty wskazane w art. 59 ust. 1 lit. b rozporządzenia 2023/1114, takie jak m.in. banki, firmy inwestycyjne, instytucje pieniądza elektronicznego</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a więc podmioty, które będą mogły świadczyć usługi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po przeprowadzeniu procedury notyfikacyjnej opisanej w art. 60 rozporządzenia 2023/1114. Objęcie wszystkich podmiotów świadczących usługi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(a więc również wskazanych w art. 59 ust. 1 lit. a rozporządzenia 2023/1114) przepisami ustawy z dnia 5 sierpnia 2015 r. o rozpatrywaniu reklamacji przez podmioty rynku finansowego, o Rzeczniku Finansowym i o Funduszu Edukacji Finansowej</w:t>
      </w:r>
      <w:r w:rsidRPr="00486C63" w:rsidDel="00221B0F">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jest uzasadnione z uwagi na konieczność zapewnienia jednolitego poziomu ochrony osób fizycznych korzystających z tego typu usług. Brak uwzględnienia </w:t>
      </w:r>
      <w:r>
        <w:rPr>
          <w:rFonts w:ascii="Times New Roman" w:eastAsiaTheme="minorEastAsia" w:hAnsi="Times New Roman" w:cs="Times New Roman"/>
          <w:sz w:val="24"/>
          <w:szCs w:val="24"/>
        </w:rPr>
        <w:t xml:space="preserve">takiej </w:t>
      </w:r>
      <w:r w:rsidRPr="00486C63">
        <w:rPr>
          <w:rFonts w:ascii="Times New Roman" w:eastAsiaTheme="minorEastAsia" w:hAnsi="Times New Roman" w:cs="Times New Roman"/>
          <w:sz w:val="24"/>
          <w:szCs w:val="24"/>
        </w:rPr>
        <w:t xml:space="preserve">zmiany spowodowałby utrudnienie klientom dochodzenia praw w obszarze ochrony konsumenckiej. Należy zauważyć, że KNF nie posiada tego rodzaju kompetencji w odniesieniu do podmiotów nadzorowanych, a tego typu kompetencje znajdują się we właściwości Rzecznika Finansowego. W związku z tym rozszerza się katalog klientów i podmiotów rynku finansowego zawarty w art. 2 </w:t>
      </w:r>
      <w:r>
        <w:rPr>
          <w:rFonts w:ascii="Times New Roman" w:eastAsiaTheme="minorEastAsia" w:hAnsi="Times New Roman" w:cs="Times New Roman"/>
          <w:sz w:val="24"/>
          <w:szCs w:val="24"/>
        </w:rPr>
        <w:t xml:space="preserve">ww. </w:t>
      </w:r>
      <w:r w:rsidRPr="00486C63">
        <w:rPr>
          <w:rFonts w:ascii="Times New Roman" w:eastAsiaTheme="minorEastAsia" w:hAnsi="Times New Roman" w:cs="Times New Roman"/>
          <w:sz w:val="24"/>
          <w:szCs w:val="24"/>
        </w:rPr>
        <w:t xml:space="preserve">ustawy. Dodatkowo – analogicznie jak w przypadku KNF – zapewnia się przepisy dotyczące finansowania zwiększonych wydatków Rzecznika Finansowego związanych z przyznaniem nowych kompetencji. Ponadto ze względu na odrębną systematykę </w:t>
      </w:r>
      <w:r>
        <w:rPr>
          <w:rFonts w:ascii="Times New Roman" w:eastAsiaTheme="minorEastAsia" w:hAnsi="Times New Roman" w:cs="Times New Roman"/>
          <w:sz w:val="24"/>
          <w:szCs w:val="24"/>
        </w:rPr>
        <w:t xml:space="preserve">ww. </w:t>
      </w:r>
      <w:r w:rsidRPr="00486C63">
        <w:rPr>
          <w:rFonts w:ascii="Times New Roman" w:eastAsiaTheme="minorEastAsia" w:hAnsi="Times New Roman" w:cs="Times New Roman"/>
          <w:sz w:val="24"/>
          <w:szCs w:val="24"/>
        </w:rPr>
        <w:t xml:space="preserve">ustawy, zasadne jest umieszczenie całości regulacji na poziomie ustawowym bez przenoszenia części zagadnień do uregulowania w akcie wykonawczym. </w:t>
      </w:r>
    </w:p>
    <w:p w14:paraId="0E8BD9A4" w14:textId="47A9FA3F" w:rsidR="00C21D4B" w:rsidRPr="00486C63" w:rsidRDefault="00C21D4B" w:rsidP="00781E1E">
      <w:pPr>
        <w:spacing w:line="360" w:lineRule="auto"/>
        <w:ind w:left="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5</w:t>
      </w:r>
      <w:r w:rsidR="008F4EC3">
        <w:rPr>
          <w:rFonts w:ascii="Times New Roman" w:eastAsiaTheme="minorEastAsia" w:hAnsi="Times New Roman" w:cs="Times New Roman"/>
          <w:b/>
          <w:bCs/>
          <w:sz w:val="24"/>
          <w:szCs w:val="24"/>
        </w:rPr>
        <w:t>6</w:t>
      </w:r>
      <w:r w:rsidRPr="00486C63">
        <w:rPr>
          <w:rFonts w:ascii="Times New Roman" w:eastAsiaTheme="minorEastAsia" w:hAnsi="Times New Roman" w:cs="Times New Roman"/>
          <w:sz w:val="24"/>
          <w:szCs w:val="24"/>
        </w:rPr>
        <w:t xml:space="preserve"> wprowadza zmiany do ustawy z dnia 11 maja 2017 r. o biegłych rewidentach, firmach audytorskich oraz nadzorze publicznym</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Skala działalności emitentów znaczących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xml:space="preserve"> powiązanych z aktywami uzasadnia uznanie ich za jednostki zainteresowania publicznego i stosowanie wobec nich przepisów dotyczących takich jednostek. </w:t>
      </w:r>
    </w:p>
    <w:p w14:paraId="26292A84" w14:textId="5EF224F7" w:rsidR="00C21D4B" w:rsidRPr="00486C63" w:rsidRDefault="00C21D4B" w:rsidP="00781E1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w:t>
      </w:r>
      <w:r w:rsidR="008F4EC3">
        <w:rPr>
          <w:rFonts w:ascii="Times New Roman" w:eastAsia="Times New Roman" w:hAnsi="Times New Roman" w:cs="Arial"/>
          <w:b/>
          <w:bCs/>
          <w:sz w:val="24"/>
          <w:szCs w:val="20"/>
          <w:lang w:eastAsia="pl-PL"/>
        </w:rPr>
        <w:t>7</w:t>
      </w:r>
      <w:r w:rsidRPr="00486C63">
        <w:rPr>
          <w:rFonts w:ascii="Times New Roman" w:eastAsia="Times New Roman" w:hAnsi="Times New Roman" w:cs="Arial"/>
          <w:b/>
          <w:bCs/>
          <w:sz w:val="24"/>
          <w:szCs w:val="20"/>
          <w:lang w:eastAsia="pl-PL"/>
        </w:rPr>
        <w:t xml:space="preserve"> </w:t>
      </w:r>
      <w:r w:rsidRPr="00486C63">
        <w:rPr>
          <w:rFonts w:ascii="Times New Roman" w:eastAsia="Times New Roman" w:hAnsi="Times New Roman" w:cs="Arial"/>
          <w:sz w:val="24"/>
          <w:szCs w:val="20"/>
          <w:lang w:eastAsia="pl-PL"/>
        </w:rPr>
        <w:t>wprowadza zmiany w ustawie o przeciwdziałaniu praniu pieniędzy oraz finasowaniu terroryzmu</w:t>
      </w:r>
      <w:r>
        <w:rPr>
          <w:rFonts w:ascii="Times New Roman" w:eastAsia="Times New Roman" w:hAnsi="Times New Roman" w:cs="Arial"/>
          <w:sz w:val="24"/>
          <w:szCs w:val="20"/>
          <w:lang w:eastAsia="pl-PL"/>
        </w:rPr>
        <w:t>, które</w:t>
      </w:r>
      <w:r w:rsidRPr="00486C63">
        <w:rPr>
          <w:rFonts w:ascii="Times New Roman" w:eastAsia="Times New Roman" w:hAnsi="Times New Roman" w:cs="Arial"/>
          <w:sz w:val="24"/>
          <w:szCs w:val="20"/>
          <w:lang w:eastAsia="pl-PL"/>
        </w:rPr>
        <w:t xml:space="preserve"> mają charakter dostosowujący i są związane przede wszystkim z wejściem w życie rozporządzenia 2023/1113.</w:t>
      </w:r>
    </w:p>
    <w:p w14:paraId="1450DDCD"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Rozporządzenie to przewiduje zmiany w dyrektywie Parlamentu Europejskiego i Rady (UE) 2015/849 z dnia 20 maja 2015 r. w sprawie zapobiegania wykorzystywaniu systemu finansowego do prania pieniędzy lub finansowania terroryzmu, zmieniając</w:t>
      </w:r>
      <w:r>
        <w:rPr>
          <w:rFonts w:ascii="Times New Roman" w:eastAsia="Times New Roman" w:hAnsi="Times New Roman" w:cs="Arial"/>
          <w:sz w:val="24"/>
          <w:szCs w:val="20"/>
          <w:lang w:eastAsia="pl-PL"/>
        </w:rPr>
        <w:t>ej</w:t>
      </w:r>
      <w:r w:rsidRPr="00486C63">
        <w:rPr>
          <w:rFonts w:ascii="Times New Roman" w:eastAsia="Times New Roman" w:hAnsi="Times New Roman" w:cs="Arial"/>
          <w:sz w:val="24"/>
          <w:szCs w:val="20"/>
          <w:lang w:eastAsia="pl-PL"/>
        </w:rPr>
        <w:t xml:space="preserve"> rozporządzenie Parlamentu Europejskiego i Rady (UE) nr 648/2012 i uchylając</w:t>
      </w:r>
      <w:r>
        <w:rPr>
          <w:rFonts w:ascii="Times New Roman" w:eastAsia="Times New Roman" w:hAnsi="Times New Roman" w:cs="Arial"/>
          <w:sz w:val="24"/>
          <w:szCs w:val="20"/>
          <w:lang w:eastAsia="pl-PL"/>
        </w:rPr>
        <w:t>ej</w:t>
      </w:r>
      <w:r w:rsidRPr="00486C63">
        <w:rPr>
          <w:rFonts w:ascii="Times New Roman" w:eastAsia="Times New Roman" w:hAnsi="Times New Roman" w:cs="Arial"/>
          <w:sz w:val="24"/>
          <w:szCs w:val="20"/>
          <w:lang w:eastAsia="pl-PL"/>
        </w:rPr>
        <w:t xml:space="preserve"> dyrektywę Parlamentu Europejskiego i Rady 2005/60/WE oraz dyrektywę Komisji 2006/70/WE (Dz. Urz. UE L 141 z 05.06.2015, str. 73., z </w:t>
      </w:r>
      <w:proofErr w:type="spellStart"/>
      <w:r w:rsidRPr="00486C63">
        <w:rPr>
          <w:rFonts w:ascii="Times New Roman" w:eastAsia="Times New Roman" w:hAnsi="Times New Roman" w:cs="Arial"/>
          <w:sz w:val="24"/>
          <w:szCs w:val="20"/>
          <w:lang w:eastAsia="pl-PL"/>
        </w:rPr>
        <w:t>późn</w:t>
      </w:r>
      <w:proofErr w:type="spellEnd"/>
      <w:r w:rsidRPr="00486C63">
        <w:rPr>
          <w:rFonts w:ascii="Times New Roman" w:eastAsia="Times New Roman" w:hAnsi="Times New Roman" w:cs="Arial"/>
          <w:sz w:val="24"/>
          <w:szCs w:val="20"/>
          <w:lang w:eastAsia="pl-PL"/>
        </w:rPr>
        <w:t>. zm.</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w:t>
      </w:r>
      <w:r>
        <w:rPr>
          <w:rFonts w:ascii="Times New Roman" w:eastAsia="Times New Roman" w:hAnsi="Times New Roman" w:cs="Arial"/>
          <w:sz w:val="24"/>
          <w:szCs w:val="20"/>
          <w:lang w:eastAsia="pl-PL"/>
        </w:rPr>
        <w:t xml:space="preserve"> zwanej</w:t>
      </w:r>
      <w:r w:rsidRPr="00486C63">
        <w:rPr>
          <w:rFonts w:ascii="Times New Roman" w:eastAsia="Times New Roman" w:hAnsi="Times New Roman" w:cs="Arial"/>
          <w:sz w:val="24"/>
          <w:szCs w:val="20"/>
          <w:lang w:eastAsia="pl-PL"/>
        </w:rPr>
        <w:t xml:space="preserve"> dalej „dyrektyw</w:t>
      </w:r>
      <w:r>
        <w:rPr>
          <w:rFonts w:ascii="Times New Roman" w:eastAsia="Times New Roman" w:hAnsi="Times New Roman" w:cs="Arial"/>
          <w:sz w:val="24"/>
          <w:szCs w:val="20"/>
          <w:lang w:eastAsia="pl-PL"/>
        </w:rPr>
        <w:t>ą</w:t>
      </w:r>
      <w:r w:rsidRPr="00486C63">
        <w:rPr>
          <w:rFonts w:ascii="Times New Roman" w:eastAsia="Times New Roman" w:hAnsi="Times New Roman" w:cs="Arial"/>
          <w:sz w:val="24"/>
          <w:szCs w:val="20"/>
          <w:lang w:eastAsia="pl-PL"/>
        </w:rPr>
        <w:t xml:space="preserve"> 2015/849”. Nie przewiduje się innych zmian umożliwiających stosowanie rozporządzenia 2023/1113.</w:t>
      </w:r>
    </w:p>
    <w:p w14:paraId="7D59BEC3"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 xml:space="preserve">Rozporządzenie 2023/1114 wprowadza nowy system prowadzenia i regulowania działalności w zakresie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Co powoduje m.in. to, że bezprzedmiotowe stają się regulacje objęte rozdziałem 11a u.o.p.p.p.f.t. w zakresie działalności dotyczącej walut wirtualnych, jako wprowadzające niepotrzebne</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równoległe ograniczenia dotyczące tej samej materii. Natomiast ścisłe konsekwencje powyższego nowego systemu dla problematyki AML przewiduje art. 38 rozporządzenia 2023/1113 – jest to wcześniej wspomniana nowelizacja dyrektywy 2015/849 – m.in. dodająca do zakresu pojęcia instytucji finansowych dostawców usług w zakresie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xml:space="preserve">, a poprzez to rozciągając pojęcie instytucji obowiązanych na ww. dostawców. Dodatkowo przewiduje się szczególne okoliczności stosowania wzmożonych środków bezpieczeństwa względem dostawców usług w zakresie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xml:space="preserve">. Z powyższego wynika, że nowy system prowadzenia działalności w zakresie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xml:space="preserve"> pośrednio dotyka zmian w zakresie instytucji obowiązanych i środków bezpieczeństwa finansowego. </w:t>
      </w:r>
    </w:p>
    <w:p w14:paraId="76F82F01"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Ponadto celem rozporządzenia 2023/1113 jest dostosowanie przepisów prawa UE do wymogów wynikających ze znowelizowanego standardu FATF (rekomendacja 16) poprzez objecie zasadą tzw. „</w:t>
      </w:r>
      <w:proofErr w:type="spellStart"/>
      <w:r w:rsidRPr="00486C63">
        <w:rPr>
          <w:rFonts w:ascii="Times New Roman" w:eastAsia="Times New Roman" w:hAnsi="Times New Roman" w:cs="Arial"/>
          <w:sz w:val="24"/>
          <w:szCs w:val="20"/>
          <w:lang w:eastAsia="pl-PL"/>
        </w:rPr>
        <w:t>travel</w:t>
      </w:r>
      <w:proofErr w:type="spellEnd"/>
      <w:r w:rsidRPr="00486C63">
        <w:rPr>
          <w:rFonts w:ascii="Times New Roman" w:eastAsia="Times New Roman" w:hAnsi="Times New Roman" w:cs="Arial"/>
          <w:sz w:val="24"/>
          <w:szCs w:val="20"/>
          <w:lang w:eastAsia="pl-PL"/>
        </w:rPr>
        <w:t xml:space="preserve"> </w:t>
      </w:r>
      <w:proofErr w:type="spellStart"/>
      <w:r w:rsidRPr="00486C63">
        <w:rPr>
          <w:rFonts w:ascii="Times New Roman" w:eastAsia="Times New Roman" w:hAnsi="Times New Roman" w:cs="Arial"/>
          <w:sz w:val="24"/>
          <w:szCs w:val="20"/>
          <w:lang w:eastAsia="pl-PL"/>
        </w:rPr>
        <w:t>rule</w:t>
      </w:r>
      <w:proofErr w:type="spellEnd"/>
      <w:r w:rsidRPr="00486C63">
        <w:rPr>
          <w:rFonts w:ascii="Times New Roman" w:eastAsia="Times New Roman" w:hAnsi="Times New Roman" w:cs="Arial"/>
          <w:sz w:val="24"/>
          <w:szCs w:val="20"/>
          <w:lang w:eastAsia="pl-PL"/>
        </w:rPr>
        <w:t xml:space="preserve">” oprócz transferów środków pieniężnych również transferów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xml:space="preserve">. Ze względu na wysokie ryzyko wykorzystania transferów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xml:space="preserve"> do prania pieniędzy, finansowania terroryzmu, ale również innej działalności o charakterze przestępczym oraz omijania przepisów ustanawiających środki ograniczające o charakterze finansowym, a także ze względu na łączność przedmiotową przepisów rozporządzenia 2023/1113 z materią regulowaną przepisami rozporządzenia 2023/1114 Rada UE oraz Parlament UE zadecydowały o wyłączaniu rozporządzenia 2023/1113 z procesu legislacyjnego pakietu AML/CFT i skorelowaniu jego wejścia w życie z wejściem w życie </w:t>
      </w:r>
      <w:r>
        <w:rPr>
          <w:rFonts w:ascii="Times New Roman" w:eastAsia="Times New Roman" w:hAnsi="Times New Roman" w:cs="Arial"/>
          <w:sz w:val="24"/>
          <w:szCs w:val="20"/>
          <w:lang w:eastAsia="pl-PL"/>
        </w:rPr>
        <w:t xml:space="preserve">rozporządzenia </w:t>
      </w:r>
      <w:proofErr w:type="spellStart"/>
      <w:r w:rsidRPr="00486C63">
        <w:rPr>
          <w:rFonts w:ascii="Times New Roman" w:eastAsia="Times New Roman" w:hAnsi="Times New Roman" w:cs="Arial"/>
          <w:sz w:val="24"/>
          <w:szCs w:val="20"/>
          <w:lang w:eastAsia="pl-PL"/>
        </w:rPr>
        <w:t>MiCA</w:t>
      </w:r>
      <w:proofErr w:type="spellEnd"/>
      <w:r w:rsidRPr="00486C63">
        <w:rPr>
          <w:rFonts w:ascii="Times New Roman" w:eastAsia="Times New Roman" w:hAnsi="Times New Roman" w:cs="Arial"/>
          <w:sz w:val="24"/>
          <w:szCs w:val="20"/>
          <w:lang w:eastAsia="pl-PL"/>
        </w:rPr>
        <w:t>.</w:t>
      </w:r>
    </w:p>
    <w:p w14:paraId="2A30366C"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 xml:space="preserve">W tym celu konieczne stało się przyjęcie wcześniej wspomnianych przepisów nowelizujących aktualnie obowiązującą dyrektywę 2015/849. W związku z powyższym, zasadniczym celem projektowanych zmian u.o.p.p.p.f.t. jest dostosowanie przepisów krajowych z zakresu przeciwdziałania praniu pieniędzy oraz finansowaniu terroryzmu do wymogów wynikających z przepisów </w:t>
      </w:r>
      <w:r>
        <w:rPr>
          <w:rFonts w:ascii="Times New Roman" w:eastAsia="Times New Roman" w:hAnsi="Times New Roman" w:cs="Arial"/>
          <w:sz w:val="24"/>
          <w:szCs w:val="20"/>
          <w:lang w:eastAsia="pl-PL"/>
        </w:rPr>
        <w:t xml:space="preserve">rozporządzenia </w:t>
      </w:r>
      <w:proofErr w:type="spellStart"/>
      <w:r w:rsidRPr="00486C63">
        <w:rPr>
          <w:rFonts w:ascii="Times New Roman" w:eastAsia="Times New Roman" w:hAnsi="Times New Roman" w:cs="Arial"/>
          <w:sz w:val="24"/>
          <w:szCs w:val="20"/>
          <w:lang w:eastAsia="pl-PL"/>
        </w:rPr>
        <w:t>MiCA</w:t>
      </w:r>
      <w:proofErr w:type="spellEnd"/>
      <w:r w:rsidRPr="00486C63">
        <w:rPr>
          <w:rFonts w:ascii="Times New Roman" w:eastAsia="Times New Roman" w:hAnsi="Times New Roman" w:cs="Arial"/>
          <w:sz w:val="24"/>
          <w:szCs w:val="20"/>
          <w:lang w:eastAsia="pl-PL"/>
        </w:rPr>
        <w:t xml:space="preserve">, których podstawowym celem jest horyzontalne uregulowanie unijnego rynku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w:t>
      </w:r>
    </w:p>
    <w:p w14:paraId="16A486DB" w14:textId="0A810F05" w:rsidR="00C21D4B" w:rsidRPr="00486C63" w:rsidRDefault="00C21D4B" w:rsidP="00695ECE">
      <w:pPr>
        <w:spacing w:line="360" w:lineRule="auto"/>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I. Art. 1</w:t>
      </w:r>
      <w:r>
        <w:rPr>
          <w:rFonts w:ascii="Times New Roman" w:eastAsia="Times New Roman" w:hAnsi="Times New Roman" w:cs="Arial"/>
          <w:b/>
          <w:bCs/>
          <w:sz w:val="24"/>
          <w:szCs w:val="20"/>
          <w:lang w:eastAsia="pl-PL"/>
        </w:rPr>
        <w:t>5</w:t>
      </w:r>
      <w:r w:rsidR="008F4EC3">
        <w:rPr>
          <w:rFonts w:ascii="Times New Roman" w:eastAsia="Times New Roman" w:hAnsi="Times New Roman" w:cs="Arial"/>
          <w:b/>
          <w:bCs/>
          <w:sz w:val="24"/>
          <w:szCs w:val="20"/>
          <w:lang w:eastAsia="pl-PL"/>
        </w:rPr>
        <w:t>7</w:t>
      </w:r>
      <w:r w:rsidRPr="00486C63">
        <w:rPr>
          <w:rFonts w:ascii="Times New Roman" w:eastAsia="Times New Roman" w:hAnsi="Times New Roman" w:cs="Arial"/>
          <w:b/>
          <w:bCs/>
          <w:sz w:val="24"/>
          <w:szCs w:val="20"/>
          <w:lang w:eastAsia="pl-PL"/>
        </w:rPr>
        <w:t xml:space="preserve"> pkt 1</w:t>
      </w:r>
      <w:r>
        <w:rPr>
          <w:rFonts w:ascii="Times New Roman" w:eastAsia="Times New Roman" w:hAnsi="Times New Roman" w:cs="Arial"/>
          <w:b/>
          <w:bCs/>
          <w:sz w:val="24"/>
          <w:szCs w:val="20"/>
          <w:lang w:eastAsia="pl-PL"/>
        </w:rPr>
        <w:t xml:space="preserve"> i </w:t>
      </w:r>
      <w:r w:rsidRPr="00486C63">
        <w:rPr>
          <w:rFonts w:ascii="Times New Roman" w:eastAsia="Times New Roman" w:hAnsi="Times New Roman" w:cs="Arial"/>
          <w:b/>
          <w:bCs/>
          <w:sz w:val="24"/>
          <w:szCs w:val="20"/>
          <w:lang w:eastAsia="pl-PL"/>
        </w:rPr>
        <w:t>2</w:t>
      </w:r>
    </w:p>
    <w:p w14:paraId="40D64D2F"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 xml:space="preserve">W tym zakresie przewidziano zmiany techniczne i legislacyjne. Znowelizowany zostanie odnośnik do ustawy, tak aby objął odesłanie do rozporządzenia 2023/1113 w miejsce odesłania do </w:t>
      </w:r>
      <w:r>
        <w:rPr>
          <w:rFonts w:ascii="Times New Roman" w:eastAsia="Times New Roman" w:hAnsi="Times New Roman" w:cs="Arial"/>
          <w:sz w:val="24"/>
          <w:szCs w:val="20"/>
          <w:lang w:eastAsia="pl-PL"/>
        </w:rPr>
        <w:t>r</w:t>
      </w:r>
      <w:r w:rsidRPr="00677618">
        <w:rPr>
          <w:rFonts w:ascii="Times New Roman" w:eastAsia="Times New Roman" w:hAnsi="Times New Roman" w:cs="Arial"/>
          <w:sz w:val="24"/>
          <w:szCs w:val="20"/>
          <w:lang w:eastAsia="pl-PL"/>
        </w:rPr>
        <w:t>ozporządzeni</w:t>
      </w:r>
      <w:r>
        <w:rPr>
          <w:rFonts w:ascii="Times New Roman" w:eastAsia="Times New Roman" w:hAnsi="Times New Roman" w:cs="Arial"/>
          <w:sz w:val="24"/>
          <w:szCs w:val="20"/>
          <w:lang w:eastAsia="pl-PL"/>
        </w:rPr>
        <w:t>a</w:t>
      </w:r>
      <w:r w:rsidRPr="00677618">
        <w:rPr>
          <w:rFonts w:ascii="Times New Roman" w:eastAsia="Times New Roman" w:hAnsi="Times New Roman" w:cs="Arial"/>
          <w:sz w:val="24"/>
          <w:szCs w:val="20"/>
          <w:lang w:eastAsia="pl-PL"/>
        </w:rPr>
        <w:t xml:space="preserve"> Parlamentu Europejskiego i Rady (UE) 2015/847 z dnia 20 maja 2015 r. w sprawie informacji towarzyszących transferom środków pieniężnych i uchylenia rozporządzenia (WE) nr 1781/2006</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Dz.</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U</w:t>
      </w:r>
      <w:r>
        <w:rPr>
          <w:rFonts w:ascii="Times New Roman" w:eastAsia="Times New Roman" w:hAnsi="Times New Roman" w:cs="Arial"/>
          <w:sz w:val="24"/>
          <w:szCs w:val="20"/>
          <w:lang w:eastAsia="pl-PL"/>
        </w:rPr>
        <w:t>rz</w:t>
      </w:r>
      <w:r w:rsidRPr="00677618">
        <w:rPr>
          <w:rFonts w:ascii="Times New Roman" w:eastAsia="Times New Roman" w:hAnsi="Times New Roman" w:cs="Arial"/>
          <w:sz w:val="24"/>
          <w:szCs w:val="20"/>
          <w:lang w:eastAsia="pl-PL"/>
        </w:rPr>
        <w:t xml:space="preserve">. </w:t>
      </w:r>
      <w:r>
        <w:rPr>
          <w:rFonts w:ascii="Times New Roman" w:eastAsia="Times New Roman" w:hAnsi="Times New Roman" w:cs="Arial"/>
          <w:sz w:val="24"/>
          <w:szCs w:val="20"/>
          <w:lang w:eastAsia="pl-PL"/>
        </w:rPr>
        <w:t xml:space="preserve">UE </w:t>
      </w:r>
      <w:r w:rsidRPr="00677618">
        <w:rPr>
          <w:rFonts w:ascii="Times New Roman" w:eastAsia="Times New Roman" w:hAnsi="Times New Roman" w:cs="Arial"/>
          <w:sz w:val="24"/>
          <w:szCs w:val="20"/>
          <w:lang w:eastAsia="pl-PL"/>
        </w:rPr>
        <w:t xml:space="preserve">L 141 z 5.6.2015, </w:t>
      </w:r>
      <w:r>
        <w:rPr>
          <w:rFonts w:ascii="Times New Roman" w:eastAsia="Times New Roman" w:hAnsi="Times New Roman" w:cs="Arial"/>
          <w:sz w:val="24"/>
          <w:szCs w:val="20"/>
          <w:lang w:eastAsia="pl-PL"/>
        </w:rPr>
        <w:t>str</w:t>
      </w:r>
      <w:r w:rsidRPr="00677618">
        <w:rPr>
          <w:rFonts w:ascii="Times New Roman" w:eastAsia="Times New Roman" w:hAnsi="Times New Roman" w:cs="Arial"/>
          <w:sz w:val="24"/>
          <w:szCs w:val="20"/>
          <w:lang w:eastAsia="pl-PL"/>
        </w:rPr>
        <w:t>. 1</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Nowelizuje się również art. 1 dotyczący zakresu przedmiotowego ustawy, w związku z projektowanym usunięciem przepisów dotyczących działalności w zakresie walut wirtualnych.</w:t>
      </w:r>
    </w:p>
    <w:p w14:paraId="785BE4CE" w14:textId="1429ECE4" w:rsidR="00C21D4B" w:rsidRPr="00486C63" w:rsidRDefault="00C21D4B" w:rsidP="00695ECE">
      <w:pPr>
        <w:spacing w:line="360" w:lineRule="auto"/>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II. Art. 1</w:t>
      </w:r>
      <w:r>
        <w:rPr>
          <w:rFonts w:ascii="Times New Roman" w:eastAsia="Times New Roman" w:hAnsi="Times New Roman" w:cs="Arial"/>
          <w:b/>
          <w:bCs/>
          <w:sz w:val="24"/>
          <w:szCs w:val="20"/>
          <w:lang w:eastAsia="pl-PL"/>
        </w:rPr>
        <w:t>5</w:t>
      </w:r>
      <w:r w:rsidR="008F4EC3">
        <w:rPr>
          <w:rFonts w:ascii="Times New Roman" w:eastAsia="Times New Roman" w:hAnsi="Times New Roman" w:cs="Arial"/>
          <w:b/>
          <w:bCs/>
          <w:sz w:val="24"/>
          <w:szCs w:val="20"/>
          <w:lang w:eastAsia="pl-PL"/>
        </w:rPr>
        <w:t>7</w:t>
      </w:r>
      <w:r w:rsidRPr="00486C63">
        <w:rPr>
          <w:rFonts w:ascii="Times New Roman" w:eastAsia="Times New Roman" w:hAnsi="Times New Roman" w:cs="Arial"/>
          <w:b/>
          <w:bCs/>
          <w:sz w:val="24"/>
          <w:szCs w:val="20"/>
          <w:lang w:eastAsia="pl-PL"/>
        </w:rPr>
        <w:t xml:space="preserve"> pkt 3 </w:t>
      </w:r>
    </w:p>
    <w:p w14:paraId="78659FC7"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Rozporządzenie 2023/1113 przede wszystkim formalnie uchyla z katalogu podmiotów zobowiązanych (do stosowania środków bezpieczeństwa finansowego) przedsiębiorców zajmujących się m.in. wymianą walut wirtualnych. Nie oznacza to jednak, że ci przedsiębiorcy zostaną wykluczeni ze stosowania obowiązków AML. Jednocześnie bowiem do katalogu instytucji obowiązanych, o których mowa w art. 2 ust. 1 u.o.p.p.p.f.t. wprowadzana jest właściwa kategoria podmiotów obejmująca tego rodzaju działalność</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tj. „dostawcy usług w zakresie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Obejmuje ona wszystkie rodzaje działalności</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o których mowa </w:t>
      </w:r>
      <w:r>
        <w:rPr>
          <w:rFonts w:ascii="Times New Roman" w:eastAsia="Times New Roman" w:hAnsi="Times New Roman" w:cs="Arial"/>
          <w:sz w:val="24"/>
          <w:szCs w:val="20"/>
          <w:lang w:eastAsia="pl-PL"/>
        </w:rPr>
        <w:t xml:space="preserve">w </w:t>
      </w:r>
      <w:r w:rsidRPr="00486C63">
        <w:rPr>
          <w:rFonts w:ascii="Times New Roman" w:eastAsia="Times New Roman" w:hAnsi="Times New Roman" w:cs="Arial"/>
          <w:sz w:val="24"/>
          <w:szCs w:val="20"/>
          <w:lang w:eastAsia="pl-PL"/>
        </w:rPr>
        <w:t xml:space="preserve">art. 3 </w:t>
      </w:r>
      <w:r>
        <w:rPr>
          <w:rFonts w:ascii="Times New Roman" w:eastAsia="Times New Roman" w:hAnsi="Times New Roman" w:cs="Arial"/>
          <w:sz w:val="24"/>
          <w:szCs w:val="20"/>
          <w:lang w:eastAsia="pl-PL"/>
        </w:rPr>
        <w:t xml:space="preserve">ust. 1 </w:t>
      </w:r>
      <w:r w:rsidRPr="00486C63">
        <w:rPr>
          <w:rFonts w:ascii="Times New Roman" w:eastAsia="Times New Roman" w:hAnsi="Times New Roman" w:cs="Arial"/>
          <w:sz w:val="24"/>
          <w:szCs w:val="20"/>
          <w:lang w:eastAsia="pl-PL"/>
        </w:rPr>
        <w:t>pkt 16 rozporządzenia 2023/1114</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z wyjątkiem doradztwa w zakresie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Taki katalog podmiotów został ściśle zdefiniowany przez prawo europejskie i nie może być zmieniany poprzez prawo krajowe, w szczególności nie jest dopuszczalne zawężenie tego katalogu. Rozporządzenie 2023/1113 przewiduje również zmiany w zakresie definicji relacji korespondenckich, jak również – co ma związek z ww. zmianą w katalogu instytucji obowiązanych – nową definicję pojęcia „</w:t>
      </w:r>
      <w:proofErr w:type="spellStart"/>
      <w:r w:rsidRPr="00486C63">
        <w:rPr>
          <w:rFonts w:ascii="Times New Roman" w:eastAsia="Times New Roman" w:hAnsi="Times New Roman" w:cs="Arial"/>
          <w:sz w:val="24"/>
          <w:szCs w:val="20"/>
          <w:lang w:eastAsia="pl-PL"/>
        </w:rPr>
        <w:t>kryptoaktyw</w:t>
      </w:r>
      <w:r>
        <w:rPr>
          <w:rFonts w:ascii="Times New Roman" w:eastAsia="Times New Roman" w:hAnsi="Times New Roman" w:cs="Arial"/>
          <w:sz w:val="24"/>
          <w:szCs w:val="20"/>
          <w:lang w:eastAsia="pl-PL"/>
        </w:rPr>
        <w:t>a</w:t>
      </w:r>
      <w:proofErr w:type="spellEnd"/>
      <w:r w:rsidRPr="00486C63">
        <w:rPr>
          <w:rFonts w:ascii="Times New Roman" w:eastAsia="Times New Roman" w:hAnsi="Times New Roman" w:cs="Arial"/>
          <w:sz w:val="24"/>
          <w:szCs w:val="20"/>
          <w:lang w:eastAsia="pl-PL"/>
        </w:rPr>
        <w:t xml:space="preserve">” oraz zdefiniowanie pojęcia „adresu niehostowanego”. Zostało to uwzględnione na gruncie nowelizowanej u.o.p.p.p.f.t. Zatem w nowelizowanej ustawie „dostawca usług w zakresie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oraz samo pojęcie „</w:t>
      </w:r>
      <w:proofErr w:type="spellStart"/>
      <w:r w:rsidRPr="00486C63">
        <w:rPr>
          <w:rFonts w:ascii="Times New Roman" w:eastAsia="Times New Roman" w:hAnsi="Times New Roman" w:cs="Arial"/>
          <w:sz w:val="24"/>
          <w:szCs w:val="20"/>
          <w:lang w:eastAsia="pl-PL"/>
        </w:rPr>
        <w:t>kryptoaktywa</w:t>
      </w:r>
      <w:proofErr w:type="spellEnd"/>
      <w:r w:rsidRPr="00486C63">
        <w:rPr>
          <w:rFonts w:ascii="Times New Roman" w:eastAsia="Times New Roman" w:hAnsi="Times New Roman" w:cs="Arial"/>
          <w:sz w:val="24"/>
          <w:szCs w:val="20"/>
          <w:lang w:eastAsia="pl-PL"/>
        </w:rPr>
        <w:t xml:space="preserve">” zastępują funkcjonujące do tej pory pojęcia „przedsiębiorcy zajmującego się </w:t>
      </w:r>
      <w:proofErr w:type="spellStart"/>
      <w:r w:rsidRPr="00486C63">
        <w:rPr>
          <w:rFonts w:ascii="Times New Roman" w:eastAsia="Times New Roman" w:hAnsi="Times New Roman" w:cs="Arial"/>
          <w:sz w:val="24"/>
          <w:szCs w:val="20"/>
          <w:lang w:eastAsia="pl-PL"/>
        </w:rPr>
        <w:t>kryptoaktywami</w:t>
      </w:r>
      <w:proofErr w:type="spellEnd"/>
      <w:r w:rsidRPr="00486C63">
        <w:rPr>
          <w:rFonts w:ascii="Times New Roman" w:eastAsia="Times New Roman" w:hAnsi="Times New Roman" w:cs="Arial"/>
          <w:sz w:val="24"/>
          <w:szCs w:val="20"/>
          <w:lang w:eastAsia="pl-PL"/>
        </w:rPr>
        <w:t>” (art. 2 ust.</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 xml:space="preserve">1 pkt 12) oraz pojęcie „waluty wirtualnej” (m.in. art. 2 ust. 2 pkt 26, ale również w innych przepisach szczegółowych: w zakresie definicji rachunku, wartości majątkowych oraz przypadków stosowania środków bezpieczeństwa finansowego). Dodano również definicje „adresu niehostowanego”. Jest to rozwiązanie techniczne stosowane w przypadku korzystania z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xml:space="preserve">. Adres niehostowany to adres rozproszonego rejestru niepowiązany ani z dostawcą usług w zakresie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ani z podmiotem niemającym siedziby na terytorium U</w:t>
      </w:r>
      <w:r>
        <w:rPr>
          <w:rFonts w:ascii="Times New Roman" w:eastAsia="Times New Roman" w:hAnsi="Times New Roman" w:cs="Arial"/>
          <w:sz w:val="24"/>
          <w:szCs w:val="20"/>
          <w:lang w:eastAsia="pl-PL"/>
        </w:rPr>
        <w:t xml:space="preserve">nii </w:t>
      </w:r>
      <w:r w:rsidRPr="00486C63">
        <w:rPr>
          <w:rFonts w:ascii="Times New Roman" w:eastAsia="Times New Roman" w:hAnsi="Times New Roman" w:cs="Arial"/>
          <w:sz w:val="24"/>
          <w:szCs w:val="20"/>
          <w:lang w:eastAsia="pl-PL"/>
        </w:rPr>
        <w:t>E</w:t>
      </w:r>
      <w:r>
        <w:rPr>
          <w:rFonts w:ascii="Times New Roman" w:eastAsia="Times New Roman" w:hAnsi="Times New Roman" w:cs="Arial"/>
          <w:sz w:val="24"/>
          <w:szCs w:val="20"/>
          <w:lang w:eastAsia="pl-PL"/>
        </w:rPr>
        <w:t>uropejskiej</w:t>
      </w:r>
      <w:r w:rsidRPr="00486C63">
        <w:rPr>
          <w:rFonts w:ascii="Times New Roman" w:eastAsia="Times New Roman" w:hAnsi="Times New Roman" w:cs="Arial"/>
          <w:sz w:val="24"/>
          <w:szCs w:val="20"/>
          <w:lang w:eastAsia="pl-PL"/>
        </w:rPr>
        <w:t xml:space="preserve"> i świadczącym usługi podobne do usług świadczonych przez dostawcę usług w zakresie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xml:space="preserve">. Zmiana definicji relacji korespondenckich ma na celu dostosowanie brzmienia u.o.p.p.p.f.t. do nowej definicji zawartej w dyrektywie, w zakresie w jakim dotychczasowa definicja nie obejmowała transakcji związanych z </w:t>
      </w:r>
      <w:proofErr w:type="spellStart"/>
      <w:r w:rsidRPr="00486C63">
        <w:rPr>
          <w:rFonts w:ascii="Times New Roman" w:eastAsia="Times New Roman" w:hAnsi="Times New Roman" w:cs="Arial"/>
          <w:sz w:val="24"/>
          <w:szCs w:val="20"/>
          <w:lang w:eastAsia="pl-PL"/>
        </w:rPr>
        <w:t>kryptoaktywami</w:t>
      </w:r>
      <w:proofErr w:type="spellEnd"/>
      <w:r w:rsidRPr="00486C63">
        <w:rPr>
          <w:rFonts w:ascii="Times New Roman" w:eastAsia="Times New Roman" w:hAnsi="Times New Roman" w:cs="Arial"/>
          <w:sz w:val="24"/>
          <w:szCs w:val="20"/>
          <w:lang w:eastAsia="pl-PL"/>
        </w:rPr>
        <w:t>.</w:t>
      </w:r>
    </w:p>
    <w:p w14:paraId="6DAF99B0" w14:textId="2771918A" w:rsidR="00C21D4B" w:rsidRPr="00486C63" w:rsidRDefault="00C21D4B" w:rsidP="00695ECE">
      <w:pPr>
        <w:spacing w:line="360" w:lineRule="auto"/>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III. Art. 1</w:t>
      </w:r>
      <w:r>
        <w:rPr>
          <w:rFonts w:ascii="Times New Roman" w:eastAsia="Times New Roman" w:hAnsi="Times New Roman" w:cs="Arial"/>
          <w:b/>
          <w:bCs/>
          <w:sz w:val="24"/>
          <w:szCs w:val="20"/>
          <w:lang w:eastAsia="pl-PL"/>
        </w:rPr>
        <w:t>5</w:t>
      </w:r>
      <w:r w:rsidR="008F4EC3">
        <w:rPr>
          <w:rFonts w:ascii="Times New Roman" w:eastAsia="Times New Roman" w:hAnsi="Times New Roman" w:cs="Arial"/>
          <w:b/>
          <w:bCs/>
          <w:sz w:val="24"/>
          <w:szCs w:val="20"/>
          <w:lang w:eastAsia="pl-PL"/>
        </w:rPr>
        <w:t>7</w:t>
      </w:r>
      <w:r w:rsidRPr="00486C63">
        <w:rPr>
          <w:rFonts w:ascii="Times New Roman" w:eastAsia="Times New Roman" w:hAnsi="Times New Roman" w:cs="Arial"/>
          <w:b/>
          <w:bCs/>
          <w:sz w:val="24"/>
          <w:szCs w:val="20"/>
          <w:lang w:eastAsia="pl-PL"/>
        </w:rPr>
        <w:t xml:space="preserve"> pkt 4</w:t>
      </w:r>
    </w:p>
    <w:p w14:paraId="04A7F3A5"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Zmiana ta ma charakter dostosowawczy i obejmuje nazwę aktu prawa europejskiego, który będzie obowiązywał w przedmiotowej materii (przewiduje się zamianę odesła</w:t>
      </w:r>
      <w:r>
        <w:rPr>
          <w:rFonts w:ascii="Times New Roman" w:eastAsia="Times New Roman" w:hAnsi="Times New Roman" w:cs="Arial"/>
          <w:sz w:val="24"/>
          <w:szCs w:val="20"/>
          <w:lang w:eastAsia="pl-PL"/>
        </w:rPr>
        <w:t>nia</w:t>
      </w:r>
      <w:r w:rsidRPr="00486C63">
        <w:rPr>
          <w:rFonts w:ascii="Times New Roman" w:eastAsia="Times New Roman" w:hAnsi="Times New Roman" w:cs="Arial"/>
          <w:sz w:val="24"/>
          <w:szCs w:val="20"/>
          <w:lang w:eastAsia="pl-PL"/>
        </w:rPr>
        <w:t xml:space="preserve"> do rozporządzenia 2015/847 przez wskazanie rozporządzenia 2023/1113).</w:t>
      </w:r>
    </w:p>
    <w:p w14:paraId="3A3ABA69" w14:textId="4AE92323" w:rsidR="00C21D4B"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IV. Art. 1</w:t>
      </w:r>
      <w:r>
        <w:rPr>
          <w:rFonts w:ascii="Times New Roman" w:eastAsia="Times New Roman" w:hAnsi="Times New Roman" w:cs="Arial"/>
          <w:b/>
          <w:bCs/>
          <w:sz w:val="24"/>
          <w:szCs w:val="20"/>
          <w:lang w:eastAsia="pl-PL"/>
        </w:rPr>
        <w:t>5</w:t>
      </w:r>
      <w:r w:rsidR="008F4EC3">
        <w:rPr>
          <w:rFonts w:ascii="Times New Roman" w:eastAsia="Times New Roman" w:hAnsi="Times New Roman" w:cs="Arial"/>
          <w:b/>
          <w:bCs/>
          <w:sz w:val="24"/>
          <w:szCs w:val="20"/>
          <w:lang w:eastAsia="pl-PL"/>
        </w:rPr>
        <w:t>7</w:t>
      </w:r>
      <w:r w:rsidRPr="00486C63">
        <w:rPr>
          <w:rFonts w:ascii="Times New Roman" w:eastAsia="Times New Roman" w:hAnsi="Times New Roman" w:cs="Arial"/>
          <w:b/>
          <w:bCs/>
          <w:sz w:val="24"/>
          <w:szCs w:val="20"/>
          <w:lang w:eastAsia="pl-PL"/>
        </w:rPr>
        <w:t xml:space="preserve"> pkt 5</w:t>
      </w:r>
    </w:p>
    <w:p w14:paraId="7A0E3432" w14:textId="77777777" w:rsidR="00C21D4B" w:rsidRDefault="00C21D4B" w:rsidP="00695ECE">
      <w:pPr>
        <w:spacing w:line="360" w:lineRule="auto"/>
        <w:ind w:left="709"/>
        <w:contextualSpacing/>
        <w:jc w:val="both"/>
        <w:rPr>
          <w:rFonts w:ascii="Times New Roman" w:eastAsia="Times New Roman" w:hAnsi="Times New Roman" w:cs="Arial"/>
          <w:sz w:val="24"/>
          <w:szCs w:val="20"/>
          <w:lang w:eastAsia="pl-PL"/>
        </w:rPr>
      </w:pPr>
      <w:r w:rsidRPr="00C128AE">
        <w:rPr>
          <w:rFonts w:ascii="Times New Roman" w:eastAsia="Times New Roman" w:hAnsi="Times New Roman" w:cs="Arial"/>
          <w:sz w:val="24"/>
          <w:szCs w:val="20"/>
          <w:lang w:eastAsia="pl-PL"/>
        </w:rPr>
        <w:t xml:space="preserve">Konsekwentnie znowelizowano art. 35 ust. 1 pkt 2 lit. c u.p.p.p.f.t., tak żeby każda instytucja obowiązana zobligowana była do stosowania środków bezpieczeństwa finansowego nie tylko w przypadku transakcji obejmującej walutę wirtualną, ale każde </w:t>
      </w:r>
      <w:proofErr w:type="spellStart"/>
      <w:r w:rsidRPr="00C128AE">
        <w:rPr>
          <w:rFonts w:ascii="Times New Roman" w:eastAsia="Times New Roman" w:hAnsi="Times New Roman" w:cs="Arial"/>
          <w:sz w:val="24"/>
          <w:szCs w:val="20"/>
          <w:lang w:eastAsia="pl-PL"/>
        </w:rPr>
        <w:t>kryptoaktywo</w:t>
      </w:r>
      <w:proofErr w:type="spellEnd"/>
      <w:r w:rsidRPr="00C128AE">
        <w:rPr>
          <w:rFonts w:ascii="Times New Roman" w:eastAsia="Times New Roman" w:hAnsi="Times New Roman" w:cs="Arial"/>
          <w:sz w:val="24"/>
          <w:szCs w:val="20"/>
          <w:lang w:eastAsia="pl-PL"/>
        </w:rPr>
        <w:t xml:space="preserve"> o wartości 1000 euro lub większej. Dodatkowo wprowadza się zmianę uzupełniającą ten przepis tak, żeby obejmował wiele powiązanych ze sobą transakcji. Brak takiego rozwiązania w przypadku </w:t>
      </w:r>
      <w:proofErr w:type="spellStart"/>
      <w:r w:rsidRPr="00C128AE">
        <w:rPr>
          <w:rFonts w:ascii="Times New Roman" w:eastAsia="Times New Roman" w:hAnsi="Times New Roman" w:cs="Arial"/>
          <w:sz w:val="24"/>
          <w:szCs w:val="20"/>
          <w:lang w:eastAsia="pl-PL"/>
        </w:rPr>
        <w:t>kryptoaktywów</w:t>
      </w:r>
      <w:proofErr w:type="spellEnd"/>
      <w:r w:rsidRPr="00C128AE">
        <w:rPr>
          <w:rFonts w:ascii="Times New Roman" w:eastAsia="Times New Roman" w:hAnsi="Times New Roman" w:cs="Arial"/>
          <w:sz w:val="24"/>
          <w:szCs w:val="20"/>
          <w:lang w:eastAsia="pl-PL"/>
        </w:rPr>
        <w:t xml:space="preserve"> byłby przeoczeniem, ponieważ obowiązuje już w przypadku transakcji innego rodzaju.</w:t>
      </w:r>
    </w:p>
    <w:p w14:paraId="0DF54B24" w14:textId="6CF5E4E8" w:rsidR="00C21D4B" w:rsidRDefault="00C21D4B" w:rsidP="00695ECE">
      <w:pPr>
        <w:spacing w:line="360" w:lineRule="auto"/>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V. Art. 1</w:t>
      </w:r>
      <w:r>
        <w:rPr>
          <w:rFonts w:ascii="Times New Roman" w:eastAsia="Times New Roman" w:hAnsi="Times New Roman" w:cs="Arial"/>
          <w:b/>
          <w:bCs/>
          <w:sz w:val="24"/>
          <w:szCs w:val="20"/>
          <w:lang w:eastAsia="pl-PL"/>
        </w:rPr>
        <w:t>5</w:t>
      </w:r>
      <w:r w:rsidR="008F4EC3">
        <w:rPr>
          <w:rFonts w:ascii="Times New Roman" w:eastAsia="Times New Roman" w:hAnsi="Times New Roman" w:cs="Arial"/>
          <w:b/>
          <w:bCs/>
          <w:sz w:val="24"/>
          <w:szCs w:val="20"/>
          <w:lang w:eastAsia="pl-PL"/>
        </w:rPr>
        <w:t>7</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6</w:t>
      </w:r>
      <w:r>
        <w:rPr>
          <w:rFonts w:ascii="Times New Roman" w:eastAsia="Times New Roman" w:hAnsi="Times New Roman" w:cs="Arial"/>
          <w:sz w:val="24"/>
          <w:szCs w:val="20"/>
          <w:lang w:eastAsia="pl-PL"/>
        </w:rPr>
        <w:t xml:space="preserve"> </w:t>
      </w:r>
    </w:p>
    <w:p w14:paraId="165069FD" w14:textId="77777777" w:rsidR="00C21D4B" w:rsidRPr="00AB5AC1" w:rsidRDefault="00C21D4B" w:rsidP="00695ECE">
      <w:pPr>
        <w:spacing w:line="360" w:lineRule="auto"/>
        <w:ind w:left="709"/>
        <w:contextualSpacing/>
        <w:jc w:val="both"/>
        <w:rPr>
          <w:rFonts w:ascii="Times New Roman" w:hAnsi="Times New Roman" w:cs="Times New Roman"/>
          <w:sz w:val="24"/>
          <w:szCs w:val="24"/>
        </w:rPr>
      </w:pPr>
      <w:r>
        <w:rPr>
          <w:rFonts w:ascii="Times New Roman" w:eastAsia="Times New Roman" w:hAnsi="Times New Roman" w:cs="Arial"/>
          <w:sz w:val="24"/>
          <w:szCs w:val="20"/>
          <w:lang w:eastAsia="pl-PL"/>
        </w:rPr>
        <w:t xml:space="preserve">Proponuje się zmianę art. 39 ust. 3 </w:t>
      </w:r>
      <w:r w:rsidRPr="00C128AE">
        <w:rPr>
          <w:rFonts w:ascii="Times New Roman" w:eastAsia="Times New Roman" w:hAnsi="Times New Roman" w:cs="Arial"/>
          <w:sz w:val="24"/>
          <w:szCs w:val="20"/>
          <w:lang w:eastAsia="pl-PL"/>
        </w:rPr>
        <w:t>u.p.p.p.f.t.</w:t>
      </w:r>
      <w:r>
        <w:rPr>
          <w:rFonts w:ascii="Times New Roman" w:eastAsia="Times New Roman" w:hAnsi="Times New Roman" w:cs="Arial"/>
          <w:sz w:val="24"/>
          <w:szCs w:val="20"/>
          <w:lang w:eastAsia="pl-PL"/>
        </w:rPr>
        <w:t xml:space="preserve"> </w:t>
      </w:r>
      <w:r w:rsidRPr="007C431A">
        <w:rPr>
          <w:rFonts w:ascii="Times New Roman" w:eastAsia="Times New Roman" w:hAnsi="Times New Roman" w:cs="Times New Roman"/>
          <w:sz w:val="24"/>
          <w:szCs w:val="24"/>
          <w:lang w:eastAsia="pl-PL"/>
        </w:rPr>
        <w:t xml:space="preserve">Przedmiotowa </w:t>
      </w:r>
      <w:r w:rsidRPr="00AB5AC1">
        <w:rPr>
          <w:rFonts w:ascii="Times New Roman" w:hAnsi="Times New Roman" w:cs="Times New Roman"/>
          <w:sz w:val="24"/>
          <w:szCs w:val="24"/>
        </w:rPr>
        <w:t xml:space="preserve">zmiana ma na celu uzupełnienie zakresu instytucji obowiązanych, do których następuje odesłanie w tym przepisie, o dostawców usług w zakresie </w:t>
      </w:r>
      <w:proofErr w:type="spellStart"/>
      <w:r w:rsidRPr="00AB5AC1">
        <w:rPr>
          <w:rFonts w:ascii="Times New Roman" w:hAnsi="Times New Roman" w:cs="Times New Roman"/>
          <w:sz w:val="24"/>
          <w:szCs w:val="24"/>
        </w:rPr>
        <w:t>kryptoaktywów</w:t>
      </w:r>
      <w:proofErr w:type="spellEnd"/>
      <w:r w:rsidRPr="00AB5AC1">
        <w:rPr>
          <w:rFonts w:ascii="Times New Roman" w:hAnsi="Times New Roman" w:cs="Times New Roman"/>
          <w:sz w:val="24"/>
          <w:szCs w:val="24"/>
        </w:rPr>
        <w:t xml:space="preserve"> (art. 2 ust. 1 pkt 12). Na skutek zmian wprowadzonych przez rozporządzenie 2023/1113 do dyrektywy 2015/849 dostawcy usług w zakresie </w:t>
      </w:r>
      <w:proofErr w:type="spellStart"/>
      <w:r w:rsidRPr="00AB5AC1">
        <w:rPr>
          <w:rFonts w:ascii="Times New Roman" w:hAnsi="Times New Roman" w:cs="Times New Roman"/>
          <w:sz w:val="24"/>
          <w:szCs w:val="24"/>
        </w:rPr>
        <w:t>kryptoaktywów</w:t>
      </w:r>
      <w:proofErr w:type="spellEnd"/>
      <w:r w:rsidRPr="00AB5AC1">
        <w:rPr>
          <w:rFonts w:ascii="Times New Roman" w:hAnsi="Times New Roman" w:cs="Times New Roman"/>
          <w:sz w:val="24"/>
          <w:szCs w:val="24"/>
        </w:rPr>
        <w:t xml:space="preserve"> zostali objęci analogicznymi regulacjami jak instytucje finansowe. </w:t>
      </w:r>
    </w:p>
    <w:p w14:paraId="25FED472" w14:textId="77777777" w:rsidR="00C21D4B" w:rsidRPr="00AB5AC1" w:rsidRDefault="00C21D4B" w:rsidP="00695ECE">
      <w:pPr>
        <w:spacing w:line="360" w:lineRule="auto"/>
        <w:ind w:left="709"/>
        <w:jc w:val="both"/>
        <w:rPr>
          <w:rFonts w:ascii="Times New Roman" w:hAnsi="Times New Roman" w:cs="Times New Roman"/>
          <w:sz w:val="24"/>
          <w:szCs w:val="24"/>
        </w:rPr>
      </w:pPr>
      <w:r w:rsidRPr="00AB5AC1">
        <w:rPr>
          <w:rFonts w:ascii="Times New Roman" w:hAnsi="Times New Roman" w:cs="Times New Roman"/>
          <w:sz w:val="24"/>
          <w:szCs w:val="24"/>
        </w:rPr>
        <w:t xml:space="preserve">Ponadto rozszerzony zostanie zakres rachunków, które mogą korzystać z udogodnień przewidzianych w </w:t>
      </w:r>
      <w:r>
        <w:rPr>
          <w:rFonts w:ascii="Times New Roman" w:hAnsi="Times New Roman" w:cs="Times New Roman"/>
          <w:sz w:val="24"/>
          <w:szCs w:val="24"/>
        </w:rPr>
        <w:t>tym przepisie</w:t>
      </w:r>
      <w:r w:rsidRPr="00907094">
        <w:rPr>
          <w:rFonts w:ascii="Times New Roman" w:hAnsi="Times New Roman" w:cs="Times New Roman"/>
          <w:sz w:val="24"/>
          <w:szCs w:val="24"/>
        </w:rPr>
        <w:t xml:space="preserve">. W obecnie obowiązującym brzmieniu tego przepisu zastosowano rozwiązanie polegające na wskazaniu jedynie trzech rodzajów rachunków, tj. rachunku bankowego, rachunku papierów wartościowych oraz rachunku zbiorczego. Jednocześnie stwierdzić należy, że możliwość skorzystania z rozwiązań objętych ust. 3 przewidziana jest przez dyrektywę 2015/849 dla wszystkich instytucji </w:t>
      </w:r>
      <w:r>
        <w:rPr>
          <w:rFonts w:ascii="Times New Roman" w:hAnsi="Times New Roman" w:cs="Times New Roman"/>
          <w:sz w:val="24"/>
          <w:szCs w:val="24"/>
        </w:rPr>
        <w:t>obowiązanych</w:t>
      </w:r>
      <w:r w:rsidRPr="00AB5AC1">
        <w:rPr>
          <w:rFonts w:ascii="Times New Roman" w:hAnsi="Times New Roman" w:cs="Times New Roman"/>
          <w:sz w:val="24"/>
          <w:szCs w:val="24"/>
        </w:rPr>
        <w:t>, bez rozróżnienia ze względu na rodzaj prowadzonego rachunku. Stanowi o tym art. 14 ust.</w:t>
      </w:r>
      <w:r>
        <w:rPr>
          <w:rFonts w:ascii="Times New Roman" w:hAnsi="Times New Roman" w:cs="Times New Roman"/>
          <w:sz w:val="24"/>
          <w:szCs w:val="24"/>
        </w:rPr>
        <w:t> </w:t>
      </w:r>
      <w:r w:rsidRPr="00907094">
        <w:rPr>
          <w:rFonts w:ascii="Times New Roman" w:hAnsi="Times New Roman" w:cs="Times New Roman"/>
          <w:sz w:val="24"/>
          <w:szCs w:val="24"/>
        </w:rPr>
        <w:t xml:space="preserve">1 i 3 dyrektywy 2015/849, zgodnie z którym </w:t>
      </w:r>
      <w:r w:rsidRPr="00AB5AC1">
        <w:rPr>
          <w:rFonts w:ascii="Times New Roman" w:hAnsi="Times New Roman" w:cs="Times New Roman"/>
          <w:sz w:val="24"/>
          <w:szCs w:val="24"/>
        </w:rPr>
        <w:t>państwa członkowskie wymagają m.in. aby weryfikacja tożsamości klienta i beneficjenta rzeczywistego odbywała się przed nawiązaniem stosunków gospodarczych lub przed przeprowadzeniem transakcji (...)</w:t>
      </w:r>
      <w:r w:rsidRPr="00AB5AC1">
        <w:rPr>
          <w:rFonts w:ascii="Times New Roman" w:hAnsi="Times New Roman" w:cs="Times New Roman"/>
          <w:i/>
          <w:iCs/>
          <w:sz w:val="24"/>
          <w:szCs w:val="24"/>
        </w:rPr>
        <w:t xml:space="preserve">. </w:t>
      </w:r>
      <w:r w:rsidRPr="00AB5AC1">
        <w:rPr>
          <w:rFonts w:ascii="Times New Roman" w:hAnsi="Times New Roman" w:cs="Times New Roman"/>
          <w:sz w:val="24"/>
          <w:szCs w:val="24"/>
        </w:rPr>
        <w:t>Natomiast art. 14 ust. 3 dyrektywy 2015/849 wprowadza regułę, zgodnie z którą w drodze odstępstwa od ust. 1 państwa członkowskie mogą zezwolić na otworzenie rachunku w instytucji kredytowej lub finansowej (…) pod warunkiem że istnieją odpowiednie zabezpieczenia zapewniające, by transakcje nie były przeprowadzane przez klienta lub w jego imieniu dopóki nie zostaną w pełni spełnione wymogi należytej staranności (…).</w:t>
      </w:r>
      <w:r w:rsidRPr="00907094">
        <w:rPr>
          <w:rFonts w:ascii="Times New Roman" w:hAnsi="Times New Roman" w:cs="Times New Roman"/>
          <w:sz w:val="24"/>
          <w:szCs w:val="24"/>
        </w:rPr>
        <w:t xml:space="preserve">Zatem w konsekwencji, zgodnie z dyrektywą 2015/849, należy odesłać w przepisie do ogólnego rozumienia pojęcia </w:t>
      </w:r>
      <w:r w:rsidRPr="00AB5AC1">
        <w:rPr>
          <w:rFonts w:ascii="Times New Roman" w:hAnsi="Times New Roman" w:cs="Times New Roman"/>
          <w:sz w:val="24"/>
          <w:szCs w:val="24"/>
        </w:rPr>
        <w:t xml:space="preserve">„rachunku” na gruncie u.o.p.p.p.f.t. </w:t>
      </w:r>
    </w:p>
    <w:p w14:paraId="3C28E278" w14:textId="77777777" w:rsidR="00C21D4B" w:rsidRPr="00AB5AC1" w:rsidRDefault="00C21D4B" w:rsidP="00695ECE">
      <w:pPr>
        <w:spacing w:line="360" w:lineRule="auto"/>
        <w:ind w:firstLine="708"/>
        <w:jc w:val="both"/>
        <w:rPr>
          <w:rFonts w:ascii="Times New Roman" w:hAnsi="Times New Roman" w:cs="Times New Roman"/>
          <w:sz w:val="24"/>
          <w:szCs w:val="24"/>
        </w:rPr>
      </w:pPr>
      <w:r w:rsidRPr="00AB5AC1">
        <w:rPr>
          <w:rFonts w:ascii="Times New Roman" w:hAnsi="Times New Roman" w:cs="Times New Roman"/>
          <w:sz w:val="24"/>
          <w:szCs w:val="24"/>
        </w:rPr>
        <w:t xml:space="preserve">Rachunkiem w rozumieniu u.o.p.p.p.f.t. jest: </w:t>
      </w:r>
    </w:p>
    <w:p w14:paraId="0784F342" w14:textId="77777777" w:rsidR="00C21D4B" w:rsidRPr="00AB5AC1" w:rsidRDefault="00C21D4B" w:rsidP="00695ECE">
      <w:pPr>
        <w:pStyle w:val="Akapitzlist"/>
        <w:numPr>
          <w:ilvl w:val="3"/>
          <w:numId w:val="8"/>
        </w:numPr>
        <w:spacing w:line="360" w:lineRule="auto"/>
        <w:ind w:left="1134" w:hanging="425"/>
        <w:jc w:val="both"/>
        <w:rPr>
          <w:rFonts w:ascii="Times New Roman" w:hAnsi="Times New Roman" w:cs="Times New Roman"/>
          <w:sz w:val="24"/>
          <w:szCs w:val="24"/>
        </w:rPr>
      </w:pPr>
      <w:r w:rsidRPr="00AB5AC1">
        <w:rPr>
          <w:rFonts w:ascii="Times New Roman" w:hAnsi="Times New Roman" w:cs="Times New Roman"/>
          <w:sz w:val="24"/>
          <w:szCs w:val="24"/>
        </w:rPr>
        <w:t>rachunek płatniczy w rozumieniu ustawy z dnia 19 sierpnia 2011 r. o usługach płatniczych,</w:t>
      </w:r>
    </w:p>
    <w:p w14:paraId="1274E067" w14:textId="77777777" w:rsidR="00C21D4B" w:rsidRPr="00AB5AC1" w:rsidRDefault="00C21D4B" w:rsidP="00695ECE">
      <w:pPr>
        <w:pStyle w:val="Akapitzlist"/>
        <w:numPr>
          <w:ilvl w:val="3"/>
          <w:numId w:val="8"/>
        </w:numPr>
        <w:spacing w:line="360" w:lineRule="auto"/>
        <w:ind w:left="1134" w:hanging="425"/>
        <w:jc w:val="both"/>
        <w:rPr>
          <w:rFonts w:ascii="Times New Roman" w:hAnsi="Times New Roman" w:cs="Times New Roman"/>
          <w:sz w:val="24"/>
          <w:szCs w:val="24"/>
        </w:rPr>
      </w:pPr>
      <w:r w:rsidRPr="00AB5AC1">
        <w:rPr>
          <w:rFonts w:ascii="Times New Roman" w:hAnsi="Times New Roman" w:cs="Times New Roman"/>
          <w:sz w:val="24"/>
          <w:szCs w:val="24"/>
        </w:rPr>
        <w:t>rachunek bankowy i rachunek w spółdzielczej kasie oszczędnościowo-kredytowej niebędące rachunkami płatniczymi,</w:t>
      </w:r>
    </w:p>
    <w:p w14:paraId="28D19674" w14:textId="77777777" w:rsidR="00C21D4B" w:rsidRPr="00AB5AC1" w:rsidRDefault="00C21D4B" w:rsidP="00695ECE">
      <w:pPr>
        <w:pStyle w:val="Akapitzlist"/>
        <w:numPr>
          <w:ilvl w:val="3"/>
          <w:numId w:val="8"/>
        </w:numPr>
        <w:spacing w:line="360" w:lineRule="auto"/>
        <w:ind w:left="1134" w:hanging="425"/>
        <w:jc w:val="both"/>
        <w:rPr>
          <w:rFonts w:ascii="Times New Roman" w:hAnsi="Times New Roman" w:cs="Times New Roman"/>
          <w:sz w:val="24"/>
          <w:szCs w:val="24"/>
        </w:rPr>
      </w:pPr>
      <w:r w:rsidRPr="00AB5AC1">
        <w:rPr>
          <w:rFonts w:ascii="Times New Roman" w:hAnsi="Times New Roman" w:cs="Times New Roman"/>
          <w:sz w:val="24"/>
          <w:szCs w:val="24"/>
        </w:rPr>
        <w:t>rachunek papierów wartościowych i rachunek zbiorczy oraz służący do ich obsługi rachunek pieniężny, w rozumieniu ustawy o obrocie instrumentami finansowymi,</w:t>
      </w:r>
    </w:p>
    <w:p w14:paraId="0B859B1D" w14:textId="77777777" w:rsidR="00C21D4B" w:rsidRPr="00AB5AC1" w:rsidRDefault="00C21D4B" w:rsidP="00695ECE">
      <w:pPr>
        <w:pStyle w:val="Akapitzlist"/>
        <w:numPr>
          <w:ilvl w:val="3"/>
          <w:numId w:val="8"/>
        </w:numPr>
        <w:spacing w:line="360" w:lineRule="auto"/>
        <w:ind w:left="1134" w:hanging="425"/>
        <w:jc w:val="both"/>
        <w:rPr>
          <w:rFonts w:ascii="Times New Roman" w:hAnsi="Times New Roman" w:cs="Times New Roman"/>
          <w:sz w:val="24"/>
          <w:szCs w:val="24"/>
        </w:rPr>
      </w:pPr>
      <w:r w:rsidRPr="00AB5AC1">
        <w:rPr>
          <w:rFonts w:ascii="Times New Roman" w:hAnsi="Times New Roman" w:cs="Times New Roman"/>
          <w:sz w:val="24"/>
          <w:szCs w:val="24"/>
        </w:rPr>
        <w:t>rejestr uczestników funduszu lub ewidencję uczestników funduszu inwestycyjnego zamkniętego,</w:t>
      </w:r>
    </w:p>
    <w:p w14:paraId="1F9C5924" w14:textId="77777777" w:rsidR="00C21D4B" w:rsidRPr="00AB5AC1" w:rsidRDefault="00C21D4B" w:rsidP="00695ECE">
      <w:pPr>
        <w:pStyle w:val="Akapitzlist"/>
        <w:numPr>
          <w:ilvl w:val="3"/>
          <w:numId w:val="8"/>
        </w:numPr>
        <w:spacing w:line="360" w:lineRule="auto"/>
        <w:ind w:left="1134" w:hanging="425"/>
        <w:jc w:val="both"/>
        <w:rPr>
          <w:rFonts w:ascii="Times New Roman" w:hAnsi="Times New Roman" w:cs="Times New Roman"/>
          <w:sz w:val="24"/>
          <w:szCs w:val="24"/>
        </w:rPr>
      </w:pPr>
      <w:r w:rsidRPr="00AB5AC1">
        <w:rPr>
          <w:rFonts w:ascii="Times New Roman" w:hAnsi="Times New Roman" w:cs="Times New Roman"/>
          <w:sz w:val="24"/>
          <w:szCs w:val="24"/>
        </w:rPr>
        <w:t>prowadzony w formie elektronicznej zbiór danych identyfikacyjnych zapewniających osobom uprawnionym możliwość korzystania z jednostek walut wirtualnych, w tym przeprowadzania transakcji ich wymiany,</w:t>
      </w:r>
    </w:p>
    <w:p w14:paraId="4C1476FF" w14:textId="77777777" w:rsidR="00C21D4B" w:rsidRPr="00AB5AC1" w:rsidRDefault="00C21D4B" w:rsidP="00695ECE">
      <w:pPr>
        <w:pStyle w:val="Akapitzlist"/>
        <w:spacing w:line="360" w:lineRule="auto"/>
        <w:ind w:left="1134"/>
        <w:jc w:val="both"/>
        <w:rPr>
          <w:rFonts w:ascii="Times New Roman" w:hAnsi="Times New Roman" w:cs="Times New Roman"/>
          <w:sz w:val="24"/>
          <w:szCs w:val="24"/>
        </w:rPr>
      </w:pPr>
      <w:r w:rsidRPr="00AB5AC1">
        <w:rPr>
          <w:rFonts w:ascii="Times New Roman" w:hAnsi="Times New Roman" w:cs="Times New Roman"/>
          <w:sz w:val="24"/>
          <w:szCs w:val="24"/>
        </w:rPr>
        <w:t>rachunek derywatów w rozumieniu ustawy o obrocie instrumentami finansowymi.</w:t>
      </w:r>
    </w:p>
    <w:p w14:paraId="4825E1F6" w14:textId="77777777" w:rsidR="00C21D4B" w:rsidRPr="00C01F9E" w:rsidRDefault="00C21D4B" w:rsidP="00695ECE">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Na</w:t>
      </w:r>
      <w:r w:rsidRPr="00C01F9E">
        <w:rPr>
          <w:rFonts w:ascii="Times New Roman" w:hAnsi="Times New Roman" w:cs="Times New Roman"/>
          <w:sz w:val="24"/>
          <w:szCs w:val="24"/>
        </w:rPr>
        <w:t xml:space="preserve"> skutek tego działania zakresem przepisu zostanie objęta każda instytucja finansowa, o ile prowadzi rachunek w rozumieniu u.o.p.p.p.f.t., co też zakłada ww. przepis dyrektywy 2015/849. Powyższe jest również uzasadnione tym, że </w:t>
      </w:r>
      <w:r>
        <w:rPr>
          <w:rFonts w:ascii="Times New Roman" w:hAnsi="Times New Roman" w:cs="Times New Roman"/>
          <w:sz w:val="24"/>
          <w:szCs w:val="24"/>
        </w:rPr>
        <w:t>obecnie obowiązujące</w:t>
      </w:r>
      <w:r w:rsidRPr="00C01F9E">
        <w:rPr>
          <w:rFonts w:ascii="Times New Roman" w:hAnsi="Times New Roman" w:cs="Times New Roman"/>
          <w:sz w:val="24"/>
          <w:szCs w:val="24"/>
        </w:rPr>
        <w:t xml:space="preserve"> odesłanie (katalog podmiotów) obejm</w:t>
      </w:r>
      <w:r>
        <w:rPr>
          <w:rFonts w:ascii="Times New Roman" w:hAnsi="Times New Roman" w:cs="Times New Roman"/>
          <w:sz w:val="24"/>
          <w:szCs w:val="24"/>
        </w:rPr>
        <w:t>uje</w:t>
      </w:r>
      <w:r w:rsidRPr="00C01F9E">
        <w:rPr>
          <w:rFonts w:ascii="Times New Roman" w:hAnsi="Times New Roman" w:cs="Times New Roman"/>
          <w:sz w:val="24"/>
          <w:szCs w:val="24"/>
        </w:rPr>
        <w:t xml:space="preserve"> każdą instytucję finansową w rozumieniu u.o.p.p.p.f.t. Nie jest zatem prawidłowe odsyłanie do wszystkich rodzajów instytucji finansowych przy jednoczesnym odesłaniu do jedynie trzech rodzajów rachunków. </w:t>
      </w:r>
    </w:p>
    <w:p w14:paraId="705A8596" w14:textId="305B8767" w:rsidR="00C21D4B"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V</w:t>
      </w:r>
      <w:r>
        <w:rPr>
          <w:rFonts w:ascii="Times New Roman" w:eastAsia="Times New Roman" w:hAnsi="Times New Roman" w:cs="Arial"/>
          <w:b/>
          <w:bCs/>
          <w:sz w:val="24"/>
          <w:szCs w:val="20"/>
          <w:lang w:eastAsia="pl-PL"/>
        </w:rPr>
        <w:t>I</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w:t>
      </w:r>
      <w:r w:rsidR="008F4EC3">
        <w:rPr>
          <w:rFonts w:ascii="Times New Roman" w:eastAsia="Times New Roman" w:hAnsi="Times New Roman" w:cs="Arial"/>
          <w:b/>
          <w:bCs/>
          <w:sz w:val="24"/>
          <w:szCs w:val="20"/>
          <w:lang w:eastAsia="pl-PL"/>
        </w:rPr>
        <w:t>7</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7 i 10</w:t>
      </w:r>
    </w:p>
    <w:p w14:paraId="5BC3C8EC" w14:textId="77777777" w:rsidR="00C21D4B" w:rsidRDefault="00C21D4B" w:rsidP="00695ECE">
      <w:pPr>
        <w:spacing w:line="360" w:lineRule="auto"/>
        <w:ind w:left="709"/>
        <w:contextualSpacing/>
        <w:jc w:val="both"/>
        <w:rPr>
          <w:rFonts w:ascii="Times New Roman" w:eastAsia="Times New Roman" w:hAnsi="Times New Roman" w:cs="Arial"/>
          <w:sz w:val="24"/>
          <w:szCs w:val="20"/>
          <w:lang w:eastAsia="pl-PL"/>
        </w:rPr>
      </w:pPr>
      <w:r w:rsidRPr="00677618">
        <w:rPr>
          <w:rFonts w:ascii="Times New Roman" w:eastAsia="Times New Roman" w:hAnsi="Times New Roman" w:cs="Arial"/>
          <w:sz w:val="24"/>
          <w:szCs w:val="20"/>
          <w:lang w:eastAsia="pl-PL"/>
        </w:rPr>
        <w:t xml:space="preserve">W konsekwencji zmian w dyrektywie 2015/849 dostawcy usług w zakresie </w:t>
      </w:r>
      <w:proofErr w:type="spellStart"/>
      <w:r w:rsidRPr="00677618">
        <w:rPr>
          <w:rFonts w:ascii="Times New Roman" w:eastAsia="Times New Roman" w:hAnsi="Times New Roman" w:cs="Arial"/>
          <w:sz w:val="24"/>
          <w:szCs w:val="20"/>
          <w:lang w:eastAsia="pl-PL"/>
        </w:rPr>
        <w:t>kryptoaktywów</w:t>
      </w:r>
      <w:proofErr w:type="spellEnd"/>
      <w:r w:rsidRPr="00677618">
        <w:rPr>
          <w:rFonts w:ascii="Times New Roman" w:eastAsia="Times New Roman" w:hAnsi="Times New Roman" w:cs="Arial"/>
          <w:sz w:val="24"/>
          <w:szCs w:val="20"/>
          <w:lang w:eastAsia="pl-PL"/>
        </w:rPr>
        <w:t xml:space="preserve"> traktowani są na jej gruncie </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 w wielu aspektach </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 tak jak instytucje finansowe. Dlatego uzasadniona jest zmiana części odesłań do art. 2 ust. 1 pkt 1</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5, 7</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11, 24 i 25 zawartych w ustawie o przeciwdziałaniu praniu pieniędzy i finasowaniu terroryzmu (w przypadkach gdy do tego odesłania </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 obrazującego listę instytucji finansowych </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 należy dodać dostawcę usług w zakresie </w:t>
      </w:r>
      <w:proofErr w:type="spellStart"/>
      <w:r w:rsidRPr="00677618">
        <w:rPr>
          <w:rFonts w:ascii="Times New Roman" w:eastAsia="Times New Roman" w:hAnsi="Times New Roman" w:cs="Arial"/>
          <w:sz w:val="24"/>
          <w:szCs w:val="20"/>
          <w:lang w:eastAsia="pl-PL"/>
        </w:rPr>
        <w:t>kryptoaktywów</w:t>
      </w:r>
      <w:proofErr w:type="spellEnd"/>
      <w:r w:rsidRPr="00677618">
        <w:rPr>
          <w:rFonts w:ascii="Times New Roman" w:eastAsia="Times New Roman" w:hAnsi="Times New Roman" w:cs="Arial"/>
          <w:sz w:val="24"/>
          <w:szCs w:val="20"/>
          <w:lang w:eastAsia="pl-PL"/>
        </w:rPr>
        <w:t xml:space="preserve">, bo przepis dotyczy funkcji, które ten dostawca realizuje) poprzez </w:t>
      </w:r>
      <w:r>
        <w:rPr>
          <w:rFonts w:ascii="Times New Roman" w:eastAsia="Times New Roman" w:hAnsi="Times New Roman" w:cs="Arial"/>
          <w:sz w:val="24"/>
          <w:szCs w:val="20"/>
          <w:lang w:eastAsia="pl-PL"/>
        </w:rPr>
        <w:t>roz</w:t>
      </w:r>
      <w:r w:rsidRPr="00677618">
        <w:rPr>
          <w:rFonts w:ascii="Times New Roman" w:eastAsia="Times New Roman" w:hAnsi="Times New Roman" w:cs="Arial"/>
          <w:sz w:val="24"/>
          <w:szCs w:val="20"/>
          <w:lang w:eastAsia="pl-PL"/>
        </w:rPr>
        <w:t>szerzenie o art. 2 ust. 1 pkt 12. Samo przedmiotowe odesłanie obejmuje przede wszystkim podmioty kwalifikujące się jako instytucje finansowe na gruncie dyrektywy. Zmiany w ustawie korespondują z odpowiednimi przepisa</w:t>
      </w:r>
      <w:r>
        <w:rPr>
          <w:rFonts w:ascii="Times New Roman" w:eastAsia="Times New Roman" w:hAnsi="Times New Roman" w:cs="Arial"/>
          <w:sz w:val="24"/>
          <w:szCs w:val="20"/>
          <w:lang w:eastAsia="pl-PL"/>
        </w:rPr>
        <w:t>mi</w:t>
      </w:r>
      <w:r w:rsidRPr="00677618">
        <w:rPr>
          <w:rFonts w:ascii="Times New Roman" w:eastAsia="Times New Roman" w:hAnsi="Times New Roman" w:cs="Arial"/>
          <w:sz w:val="24"/>
          <w:szCs w:val="20"/>
          <w:lang w:eastAsia="pl-PL"/>
        </w:rPr>
        <w:t xml:space="preserve"> tejże</w:t>
      </w:r>
      <w:r>
        <w:rPr>
          <w:rFonts w:ascii="Times New Roman" w:eastAsia="Times New Roman" w:hAnsi="Times New Roman" w:cs="Arial"/>
          <w:sz w:val="24"/>
          <w:szCs w:val="20"/>
          <w:lang w:eastAsia="pl-PL"/>
        </w:rPr>
        <w:t xml:space="preserve"> dyrektywy</w:t>
      </w:r>
      <w:r w:rsidRPr="00677618">
        <w:rPr>
          <w:rFonts w:ascii="Times New Roman" w:eastAsia="Times New Roman" w:hAnsi="Times New Roman" w:cs="Arial"/>
          <w:sz w:val="24"/>
          <w:szCs w:val="20"/>
          <w:lang w:eastAsia="pl-PL"/>
        </w:rPr>
        <w:t xml:space="preserve">, tam gdzie odnosi się ona do „instytucji finansowej”: art. 44c </w:t>
      </w:r>
      <w:r>
        <w:rPr>
          <w:rFonts w:ascii="Times New Roman" w:eastAsia="Times New Roman" w:hAnsi="Times New Roman" w:cs="Arial"/>
          <w:sz w:val="24"/>
          <w:szCs w:val="20"/>
          <w:lang w:eastAsia="pl-PL"/>
        </w:rPr>
        <w:t xml:space="preserve">ust. 1 i 2 </w:t>
      </w:r>
      <w:r w:rsidRPr="00C128AE">
        <w:rPr>
          <w:rFonts w:ascii="Times New Roman" w:eastAsia="Times New Roman" w:hAnsi="Times New Roman" w:cs="Arial"/>
          <w:sz w:val="24"/>
          <w:szCs w:val="20"/>
          <w:lang w:eastAsia="pl-PL"/>
        </w:rPr>
        <w:t>u.p.p.p.f.t.</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 art. 18a ust. 3 lit. e</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dyrektywy</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2015/849, art. 45 ust. 2</w:t>
      </w:r>
      <w:r>
        <w:rPr>
          <w:rFonts w:ascii="Times New Roman" w:eastAsia="Times New Roman" w:hAnsi="Times New Roman" w:cs="Arial"/>
          <w:sz w:val="24"/>
          <w:szCs w:val="20"/>
          <w:lang w:eastAsia="pl-PL"/>
        </w:rPr>
        <w:t xml:space="preserve"> </w:t>
      </w:r>
      <w:r w:rsidRPr="00C128AE">
        <w:rPr>
          <w:rFonts w:ascii="Times New Roman" w:eastAsia="Times New Roman" w:hAnsi="Times New Roman" w:cs="Arial"/>
          <w:sz w:val="24"/>
          <w:szCs w:val="20"/>
          <w:lang w:eastAsia="pl-PL"/>
        </w:rPr>
        <w:t>u.p.p.p.f.t.</w:t>
      </w:r>
      <w:r w:rsidRPr="00677618">
        <w:rPr>
          <w:rFonts w:ascii="Times New Roman" w:eastAsia="Times New Roman" w:hAnsi="Times New Roman" w:cs="Arial"/>
          <w:sz w:val="24"/>
          <w:szCs w:val="20"/>
          <w:lang w:eastAsia="pl-PL"/>
        </w:rPr>
        <w:t xml:space="preserve"> – art. 24</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dyrektywy</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2015/849, art. 150</w:t>
      </w:r>
      <w:r>
        <w:rPr>
          <w:rFonts w:ascii="Times New Roman" w:eastAsia="Times New Roman" w:hAnsi="Times New Roman" w:cs="Arial"/>
          <w:sz w:val="24"/>
          <w:szCs w:val="20"/>
          <w:lang w:eastAsia="pl-PL"/>
        </w:rPr>
        <w:t xml:space="preserve"> ust. 3 </w:t>
      </w:r>
      <w:r w:rsidRPr="00C128AE">
        <w:rPr>
          <w:rFonts w:ascii="Times New Roman" w:eastAsia="Times New Roman" w:hAnsi="Times New Roman" w:cs="Arial"/>
          <w:sz w:val="24"/>
          <w:szCs w:val="20"/>
          <w:lang w:eastAsia="pl-PL"/>
        </w:rPr>
        <w:t>u.p.p.p.f.t.</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 art. 59 ust. 3</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dyrektywy</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2015/849</w:t>
      </w:r>
      <w:r>
        <w:rPr>
          <w:rFonts w:ascii="Times New Roman" w:eastAsia="Times New Roman" w:hAnsi="Times New Roman" w:cs="Arial"/>
          <w:sz w:val="24"/>
          <w:szCs w:val="20"/>
          <w:lang w:eastAsia="pl-PL"/>
        </w:rPr>
        <w:t xml:space="preserve"> oraz</w:t>
      </w:r>
      <w:r w:rsidRPr="00677618">
        <w:rPr>
          <w:rFonts w:ascii="Times New Roman" w:eastAsia="Times New Roman" w:hAnsi="Times New Roman" w:cs="Arial"/>
          <w:sz w:val="24"/>
          <w:szCs w:val="20"/>
          <w:lang w:eastAsia="pl-PL"/>
        </w:rPr>
        <w:t xml:space="preserve"> art. 152 ust. 7 – art. 62 dyrektywy</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2015/849.</w:t>
      </w:r>
    </w:p>
    <w:p w14:paraId="00FFE246"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Pr>
          <w:rFonts w:ascii="Times New Roman" w:eastAsia="Times New Roman" w:hAnsi="Times New Roman" w:cs="Arial"/>
          <w:sz w:val="24"/>
          <w:szCs w:val="20"/>
          <w:lang w:eastAsia="pl-PL"/>
        </w:rPr>
        <w:t xml:space="preserve">Analogiczne rozszerzenie odesłania proponuje się w art. 54 ust. 2 pkt 4 </w:t>
      </w:r>
      <w:r w:rsidRPr="00C128AE">
        <w:rPr>
          <w:rFonts w:ascii="Times New Roman" w:eastAsia="Times New Roman" w:hAnsi="Times New Roman" w:cs="Arial"/>
          <w:sz w:val="24"/>
          <w:szCs w:val="20"/>
          <w:lang w:eastAsia="pl-PL"/>
        </w:rPr>
        <w:t>u.p.p.p.f.t.</w:t>
      </w:r>
    </w:p>
    <w:p w14:paraId="7398576A" w14:textId="42663C48" w:rsidR="00C21D4B" w:rsidRPr="00486C63" w:rsidRDefault="00C21D4B" w:rsidP="00695ECE">
      <w:pPr>
        <w:spacing w:line="360" w:lineRule="auto"/>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V</w:t>
      </w:r>
      <w:r>
        <w:rPr>
          <w:rFonts w:ascii="Times New Roman" w:eastAsia="Times New Roman" w:hAnsi="Times New Roman" w:cs="Arial"/>
          <w:b/>
          <w:bCs/>
          <w:sz w:val="24"/>
          <w:szCs w:val="20"/>
          <w:lang w:eastAsia="pl-PL"/>
        </w:rPr>
        <w:t>II</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w:t>
      </w:r>
      <w:r w:rsidR="008F4EC3">
        <w:rPr>
          <w:rFonts w:ascii="Times New Roman" w:eastAsia="Times New Roman" w:hAnsi="Times New Roman" w:cs="Arial"/>
          <w:b/>
          <w:bCs/>
          <w:sz w:val="24"/>
          <w:szCs w:val="20"/>
          <w:lang w:eastAsia="pl-PL"/>
        </w:rPr>
        <w:t>7</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8</w:t>
      </w:r>
    </w:p>
    <w:p w14:paraId="365E825C" w14:textId="77777777" w:rsidR="00C21D4B" w:rsidRPr="00546E5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677618">
        <w:rPr>
          <w:rFonts w:ascii="Times New Roman" w:eastAsia="Times New Roman" w:hAnsi="Times New Roman" w:cs="Arial"/>
          <w:sz w:val="24"/>
          <w:szCs w:val="20"/>
          <w:lang w:eastAsia="pl-PL"/>
        </w:rPr>
        <w:t xml:space="preserve">Art. 45 ust. 3 oraz 4 zostają wprowadzone ze względu na potrzebę dostosowania polskiego porządku prawnego do art. 19b dodanego do dyrektywy 2015/849 przez art. 38 rozporządzenia 2023/1113. Dwa wyżej wymienione ustępy dotyczą przede wszystkim obowiązku stosowania środków bezpieczeństwa finansowego przez instytucje obowiązane będące instytucją korespondentem w zakresie relacji z instytucją respondentem, co dotyczyć będzie sytuacji, kiedy przedmiotem transferu jest </w:t>
      </w:r>
      <w:proofErr w:type="spellStart"/>
      <w:r w:rsidRPr="00677618">
        <w:rPr>
          <w:rFonts w:ascii="Times New Roman" w:eastAsia="Times New Roman" w:hAnsi="Times New Roman" w:cs="Arial"/>
          <w:sz w:val="24"/>
          <w:szCs w:val="20"/>
          <w:lang w:eastAsia="pl-PL"/>
        </w:rPr>
        <w:t>kryptoaktywo</w:t>
      </w:r>
      <w:proofErr w:type="spellEnd"/>
      <w:r w:rsidRPr="00677618">
        <w:rPr>
          <w:rFonts w:ascii="Times New Roman" w:eastAsia="Times New Roman" w:hAnsi="Times New Roman" w:cs="Arial"/>
          <w:sz w:val="24"/>
          <w:szCs w:val="20"/>
          <w:lang w:eastAsia="pl-PL"/>
        </w:rPr>
        <w:t>. Natomiast sam ust. 4 dotyczy sposobu wykorzystania pozyskanych informacji do stosowania środków bezpieczeństwa finansowego oraz zapewnienia aktualności odpowiednich informacji, a także wyraźnie wprowadza stosowny obowiązek rejestracji, w pewnych sytuacjach, decyzji o zakończeniu relacji korespondenckich.</w:t>
      </w:r>
    </w:p>
    <w:p w14:paraId="62BBC462" w14:textId="67236308" w:rsidR="00C21D4B"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VI</w:t>
      </w:r>
      <w:r>
        <w:rPr>
          <w:rFonts w:ascii="Times New Roman" w:eastAsia="Times New Roman" w:hAnsi="Times New Roman" w:cs="Arial"/>
          <w:b/>
          <w:bCs/>
          <w:sz w:val="24"/>
          <w:szCs w:val="20"/>
          <w:lang w:eastAsia="pl-PL"/>
        </w:rPr>
        <w:t>II</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w:t>
      </w:r>
      <w:r w:rsidR="008F4EC3">
        <w:rPr>
          <w:rFonts w:ascii="Times New Roman" w:eastAsia="Times New Roman" w:hAnsi="Times New Roman" w:cs="Arial"/>
          <w:b/>
          <w:bCs/>
          <w:sz w:val="24"/>
          <w:szCs w:val="20"/>
          <w:lang w:eastAsia="pl-PL"/>
        </w:rPr>
        <w:t>7</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9</w:t>
      </w:r>
    </w:p>
    <w:p w14:paraId="5869CFF2" w14:textId="77777777" w:rsidR="00C21D4B" w:rsidRDefault="00C21D4B" w:rsidP="00695ECE">
      <w:pPr>
        <w:spacing w:line="360" w:lineRule="auto"/>
        <w:ind w:left="709"/>
        <w:contextualSpacing/>
        <w:jc w:val="both"/>
        <w:rPr>
          <w:rFonts w:ascii="Times New Roman" w:eastAsia="Times New Roman" w:hAnsi="Times New Roman" w:cs="Arial"/>
          <w:b/>
          <w:bCs/>
          <w:sz w:val="24"/>
          <w:szCs w:val="20"/>
          <w:lang w:eastAsia="pl-PL"/>
        </w:rPr>
      </w:pPr>
      <w:r w:rsidRPr="00C86224">
        <w:rPr>
          <w:rFonts w:ascii="Times New Roman" w:eastAsia="Times New Roman" w:hAnsi="Times New Roman" w:cs="Arial"/>
          <w:sz w:val="24"/>
          <w:szCs w:val="20"/>
          <w:lang w:eastAsia="pl-PL"/>
        </w:rPr>
        <w:t xml:space="preserve">Natomiast art. 19a, który również jest dodawany przez art. 38 rozporządzenia 2023/1113 do dyrektywy AML skutkuje potrzebą wprowadzenia odpowiednich zmian do prawa krajowego w związku z koniecznością regulowania kwestii transferu </w:t>
      </w:r>
      <w:proofErr w:type="spellStart"/>
      <w:r w:rsidRPr="00C86224">
        <w:rPr>
          <w:rFonts w:ascii="Times New Roman" w:eastAsia="Times New Roman" w:hAnsi="Times New Roman" w:cs="Arial"/>
          <w:sz w:val="24"/>
          <w:szCs w:val="20"/>
          <w:lang w:eastAsia="pl-PL"/>
        </w:rPr>
        <w:t>kryptoaktywów</w:t>
      </w:r>
      <w:proofErr w:type="spellEnd"/>
      <w:r w:rsidRPr="00C86224">
        <w:rPr>
          <w:rFonts w:ascii="Times New Roman" w:eastAsia="Times New Roman" w:hAnsi="Times New Roman" w:cs="Arial"/>
          <w:sz w:val="24"/>
          <w:szCs w:val="20"/>
          <w:lang w:eastAsia="pl-PL"/>
        </w:rPr>
        <w:t xml:space="preserve"> do adresów niehostowanych. W tym zakresie projektuje się dodanie nowej jednostki redakcyjnej do ustawy</w:t>
      </w:r>
      <w:r>
        <w:rPr>
          <w:rFonts w:ascii="Times New Roman" w:eastAsia="Times New Roman" w:hAnsi="Times New Roman" w:cs="Arial"/>
          <w:sz w:val="24"/>
          <w:szCs w:val="20"/>
          <w:lang w:eastAsia="pl-PL"/>
        </w:rPr>
        <w:t>,</w:t>
      </w:r>
      <w:r w:rsidRPr="00C86224">
        <w:rPr>
          <w:rFonts w:ascii="Times New Roman" w:eastAsia="Times New Roman" w:hAnsi="Times New Roman" w:cs="Arial"/>
          <w:sz w:val="24"/>
          <w:szCs w:val="20"/>
          <w:lang w:eastAsia="pl-PL"/>
        </w:rPr>
        <w:t xml:space="preserve"> tj. art. 45a. Przewidziane przez to unormowanie kwestie dotyczą w szczególności środków stosowanych dodatkowo obok środków bezpieczeństwa finansowego. </w:t>
      </w:r>
      <w:r w:rsidRPr="0060049C">
        <w:rPr>
          <w:rFonts w:ascii="Times New Roman" w:eastAsia="Times New Roman" w:hAnsi="Times New Roman" w:cs="Arial"/>
          <w:sz w:val="24"/>
          <w:szCs w:val="20"/>
          <w:lang w:eastAsia="pl-PL"/>
        </w:rPr>
        <w:t xml:space="preserve">Są to kwestie wymagające osobnego unormowania ze względu na to, że adres niehostowany to adres niepowiązany z dostawcą usług w zakresie </w:t>
      </w:r>
      <w:proofErr w:type="spellStart"/>
      <w:r w:rsidRPr="0060049C">
        <w:rPr>
          <w:rFonts w:ascii="Times New Roman" w:eastAsia="Times New Roman" w:hAnsi="Times New Roman" w:cs="Arial"/>
          <w:sz w:val="24"/>
          <w:szCs w:val="20"/>
          <w:lang w:eastAsia="pl-PL"/>
        </w:rPr>
        <w:t>kryptoaktywów</w:t>
      </w:r>
      <w:proofErr w:type="spellEnd"/>
      <w:r w:rsidRPr="0060049C">
        <w:rPr>
          <w:rFonts w:ascii="Times New Roman" w:eastAsia="Times New Roman" w:hAnsi="Times New Roman" w:cs="Arial"/>
          <w:sz w:val="24"/>
          <w:szCs w:val="20"/>
          <w:lang w:eastAsia="pl-PL"/>
        </w:rPr>
        <w:t>. Jako taki stanowi zatem szczególnie istotne zagadnienie do unormowania w kontekście efektywnego stosowania zasad związanych z przeciwdziałaniem praniu pieniędzy i finansowaniu terroryzmu. Dlatego też prawodawca europejski, a w ślad za nim prawodawca krajowy przewidują stosowne rozwiązania prawne, uwzględniające specyficzny charakter takiego rozwiązania technicznego.</w:t>
      </w:r>
    </w:p>
    <w:p w14:paraId="6E5B69C7" w14:textId="539B11AE" w:rsidR="00C21D4B" w:rsidRPr="00486C63" w:rsidRDefault="00C21D4B" w:rsidP="00695ECE">
      <w:pPr>
        <w:spacing w:line="360" w:lineRule="auto"/>
        <w:ind w:left="709"/>
        <w:contextualSpacing/>
        <w:jc w:val="both"/>
        <w:rPr>
          <w:rFonts w:ascii="Times New Roman" w:eastAsia="Times New Roman" w:hAnsi="Times New Roman" w:cs="Arial"/>
          <w:b/>
          <w:bCs/>
          <w:sz w:val="24"/>
          <w:szCs w:val="20"/>
          <w:lang w:eastAsia="pl-PL"/>
        </w:rPr>
      </w:pPr>
      <w:r>
        <w:rPr>
          <w:rFonts w:ascii="Times New Roman" w:eastAsia="Times New Roman" w:hAnsi="Times New Roman" w:cs="Arial"/>
          <w:b/>
          <w:bCs/>
          <w:sz w:val="24"/>
          <w:szCs w:val="20"/>
          <w:lang w:eastAsia="pl-PL"/>
        </w:rPr>
        <w:t xml:space="preserve">IX. </w:t>
      </w: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w:t>
      </w:r>
      <w:r w:rsidR="008F4EC3">
        <w:rPr>
          <w:rFonts w:ascii="Times New Roman" w:eastAsia="Times New Roman" w:hAnsi="Times New Roman" w:cs="Arial"/>
          <w:b/>
          <w:bCs/>
          <w:sz w:val="24"/>
          <w:szCs w:val="20"/>
          <w:lang w:eastAsia="pl-PL"/>
        </w:rPr>
        <w:t>7</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11</w:t>
      </w:r>
      <w:r w:rsidRPr="00486C63">
        <w:rPr>
          <w:rFonts w:ascii="Times New Roman" w:eastAsia="Times New Roman" w:hAnsi="Times New Roman" w:cs="Times New Roman"/>
          <w:b/>
          <w:bCs/>
          <w:sz w:val="24"/>
          <w:szCs w:val="20"/>
          <w:lang w:eastAsia="pl-PL"/>
        </w:rPr>
        <w:t>–</w:t>
      </w:r>
      <w:r w:rsidRPr="00486C63">
        <w:rPr>
          <w:rFonts w:ascii="Times New Roman" w:eastAsia="Times New Roman" w:hAnsi="Times New Roman" w:cs="Arial"/>
          <w:b/>
          <w:bCs/>
          <w:sz w:val="24"/>
          <w:szCs w:val="20"/>
          <w:lang w:eastAsia="pl-PL"/>
        </w:rPr>
        <w:t>1</w:t>
      </w:r>
      <w:r>
        <w:rPr>
          <w:rFonts w:ascii="Times New Roman" w:eastAsia="Times New Roman" w:hAnsi="Times New Roman" w:cs="Arial"/>
          <w:b/>
          <w:bCs/>
          <w:sz w:val="24"/>
          <w:szCs w:val="20"/>
          <w:lang w:eastAsia="pl-PL"/>
        </w:rPr>
        <w:t>6</w:t>
      </w:r>
    </w:p>
    <w:p w14:paraId="43F5E297"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W związku ze zmianami przepisów rozdziału 11a u.o.p.p.p.f.t. odnoszącymi się do uchylenia przepisów dotyczących rejestru działalności w zakresie walut wirtualnych, proponowana zmiana stanowi doprecyzowanie przepisów związanych z funkcjonowaniem rejestru działalności na rzecz spółek lub trustów m.in. w zakresie:</w:t>
      </w:r>
    </w:p>
    <w:p w14:paraId="4B0298E4"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ab/>
        <w:t>uszczegółowienia wniosku o wpis do rejestru o podanie adresu przedsiębiorcy zgodnego z adresem wskazanym w Centralnej Ewidencji i Informacji o Działalności Gospodarczej lub w Krajowym Rejestrze Sądowym;</w:t>
      </w:r>
    </w:p>
    <w:p w14:paraId="3DB03B18"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ab/>
        <w:t>rozszerzenia obowiązku informowania organu rejestrowego o istotnych zmianach dotyczących przedsiębiorcy wpisanego do rejestru działalności na rzecz spółek lub trustów, w tym informacji o aktualnej liście wspólników, zmianie adresu i siedziby spółki.</w:t>
      </w:r>
    </w:p>
    <w:p w14:paraId="2CD7E083" w14:textId="01702308"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Nadmienić należy, że zgodnie z § 1 pkt 6 rozporządzenia Ministra Finansów, Funduszy i Polityki Regionalnej z dnia 25 października 2021 r. w sprawie wyznaczenia organu Krajowej Administracji Skarbowej do wykonywania zadań organu właściwego do prowadzenia rejestru działaln</w:t>
      </w:r>
      <w:r w:rsidR="002E7275">
        <w:rPr>
          <w:rFonts w:ascii="Times New Roman" w:eastAsia="Times New Roman" w:hAnsi="Times New Roman" w:cs="Arial"/>
          <w:sz w:val="24"/>
          <w:szCs w:val="20"/>
          <w:lang w:eastAsia="pl-PL"/>
        </w:rPr>
        <w:t>ości na rzecz spółek lub trustów</w:t>
      </w:r>
      <w:r w:rsidRPr="00486C63">
        <w:rPr>
          <w:rFonts w:ascii="Times New Roman" w:eastAsia="Times New Roman" w:hAnsi="Times New Roman" w:cs="Arial"/>
          <w:sz w:val="24"/>
          <w:szCs w:val="20"/>
          <w:lang w:eastAsia="pl-PL"/>
        </w:rPr>
        <w:t xml:space="preserve"> do zadań Dyrektora Izby Administracji Skarbowej jako organu właściwego w sprawie rejestru należy prowadzenie akt rejestrowych przedsiębiorcy wpisanego do rejestru. Posiadanie przez organ prowadzący rejestr działalności na rzecz spółek lub trustów danych w zakresie m.in. aktualnej: listy wspólników, beneficjenta rzeczywistego, sposobu reprezentacji oraz osób uprawnionych do reprezentowania spółki jest niezwykle istotne z uwagi na warunki jakie musi spełniać przedsiębiorca wpisany do rejestru działalności regulowanej. </w:t>
      </w:r>
    </w:p>
    <w:p w14:paraId="70CCBE6E" w14:textId="6FA8DF23" w:rsidR="00C21D4B"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 xml:space="preserve">Zgodnie z ustawą o przeciwdziałaniu praniu pieniędzy oraz finansowania terroryzmu przedsiębiorcy, którzy świadczą usługi na rzecz spółek lub trustów oraz podmioty prowadzące działalność w obszarze walut wirtualnych są instytucjami obowiązanymi, a podjęcie przez nie działalności w wyżej wymienionym zakresie wymaga uzyskania wpisu do odpowiedniego rejestru działalności regulowanej prowadzonego przez ministra właściwego do spraw finansów publicznych. Tak, więc powyższa działalność jest działalnością regulowaną w rozumieniu przepisów ustawy z dnia 6 marca 2018 r. </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Prawo przedsiębiorców i może być wykonywana tylko po uzyskaniu wpisu do odpowiedniego rejestru działalności regulowanej. Na podstawie delegacji ustawowych, minister właściwy do spraw finansów publicznych upoważnił Dyrektora Izby Administracji Skarbowej w Katowicach do prowadzenia rejestru działalności na rzecz spółek lub trustów oraz rejestru działalności w zakresie walut wirtualnych. Wpis do rejestru działalności regulowanej jest jedną z form reglamentacji działalności gospodarczej, najmniej ingerującą w wolność podejmowania działalności gospodarczej w Polsce. Ta forma reglamentacji charakteryzuje się tym, że na etapie wpisu do rejestru działalności regulowanej organ prowadzący rejestr nie bada, czy przedsiębiorca rzeczywiście spełnia warunki materialne do podjęcia i wykonywania działalności gospodarczej objętej wpisem do rejestru. Przedsiębiorca uzyskuje wpis do rejestru działalności regulowanej na podstawie: wniosku o wpis, oświadczenia o spełnianiu określonych przepisami prawa warunków do wykonywania działalności gospodarczej oraz ewentualnie dostarczeniu innych oświadczeń wymaganych przepisami prawa. Wniosek wraz z oświadczeniami stanowi podstawę wpisu do rejestru działalności regulowanej, zaś sam wpis stanowi czynność materialno-techniczną. Przewidziany mechanizm postępowania przy wpisie do rejestru działalności regulowanej wiąże się z ryzykiem podania przez przedsiębiorcę nieprawdziwych danych, co do spełniania warunków wykonywania działalności gospodarczej objętej wpisem. Tak więc wpisu do tego rejestru nie należy mylić na przykład z „procesem licencyjnym”, którego efektem jest udzielenie</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 xml:space="preserve">licencji tradycyjnym instytucjom finansowym, po przeprowadzeniu odpowiedniego postępowania przez właściwy organ nadzoru jakim jest KNF. Oznacza to, że w obecnie obowiązującym stanie prawnym, brak jest rozwiązań prawnych regulujących szeroko rozumianą ochronę osób trzecich, w tym inwestorów. Co prawda, w art. 43 ust. 7 z dnia 6 marca 2018 r. </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Prawo przedsiębiorców, ustawodawca przewidział mechanizmy mające zapobiegać nadużyciom, do których należą: kontrola działalności regulowanej, nałożony na przedsiębiorcę obowiązek archiwizacji dokumentów niezbędnych do wykazania spełniania warunków wymaganych prawem do wykonywania działalności regulowanej oraz sankcję karną grożącą za złożenie przez przedsiębiorcę niezgodnego ze stanem faktycznym oświadczenia, że spełnia warunki wymagane do wykonywania danej działalności regulowanej. Jednakże w tym przypadku kontrola spełniania przez przedsiębiorców ustawowych warunków prowadzenia takiej działalności jest kontrolą następczą</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czyli mającą miejsce już w toku prowadzenia działalności gospodarczej, co w konsekwencji może narazić potencjalnych inwestorów na niepowetowane straty. Po niespełna 3 latach funkcjonowania rejestru działalności na rzecz spółek lub trustów oraz działalności w zakresie walut wirtualnych zdefiniowany został problem występowania w nim podmiotów gospodarczych, które nie wykonują swoich obowiązków wynikających z przepisów prawa handlowego, prawa przedsiębiorcy czy też ustawy o przeciwdziałaniu praniu pieniędzy oraz finansowaniu terroryzmu. Figurowanie w rejestrach działalności regulowanej prowadzonych przez Dyrektora Izby Administracji Skarbowej w Katowicach podmiotów</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które nie wykonują nałożonych na nich obowiązków wynikających z w</w:t>
      </w:r>
      <w:r>
        <w:rPr>
          <w:rFonts w:ascii="Times New Roman" w:eastAsia="Times New Roman" w:hAnsi="Times New Roman" w:cs="Arial"/>
          <w:sz w:val="24"/>
          <w:szCs w:val="20"/>
          <w:lang w:eastAsia="pl-PL"/>
        </w:rPr>
        <w:t>w</w:t>
      </w:r>
      <w:r w:rsidRPr="00486C63">
        <w:rPr>
          <w:rFonts w:ascii="Times New Roman" w:eastAsia="Times New Roman" w:hAnsi="Times New Roman" w:cs="Arial"/>
          <w:sz w:val="24"/>
          <w:szCs w:val="20"/>
          <w:lang w:eastAsia="pl-PL"/>
        </w:rPr>
        <w:t>. ustaw osłabia wiarygodność i rzetelność ujawnianych w rejestrze danych, który jako rejestr publiczny korzysta z szeregu domniemań mających na celu ochronę interesów zarówno wspólników, jak i osób trzecich. Wzmocnienie pewności obrotu gospodarczego i wiarygodności danych zawartych w rejestrze działalności regulowanej wymaga wprowadzenia do systemu przeciwdziałania praniu pieniędzy oraz finansowani</w:t>
      </w:r>
      <w:r>
        <w:rPr>
          <w:rFonts w:ascii="Times New Roman" w:eastAsia="Times New Roman" w:hAnsi="Times New Roman" w:cs="Arial"/>
          <w:sz w:val="24"/>
          <w:szCs w:val="20"/>
          <w:lang w:eastAsia="pl-PL"/>
        </w:rPr>
        <w:t>u</w:t>
      </w:r>
      <w:r w:rsidRPr="00486C63">
        <w:rPr>
          <w:rFonts w:ascii="Times New Roman" w:eastAsia="Times New Roman" w:hAnsi="Times New Roman" w:cs="Arial"/>
          <w:sz w:val="24"/>
          <w:szCs w:val="20"/>
          <w:lang w:eastAsia="pl-PL"/>
        </w:rPr>
        <w:t xml:space="preserve"> terroryzmu regulacji wzorowanej na przepisach </w:t>
      </w:r>
      <w:r>
        <w:rPr>
          <w:rFonts w:ascii="Times New Roman" w:eastAsia="Times New Roman" w:hAnsi="Times New Roman" w:cs="Arial"/>
          <w:sz w:val="24"/>
          <w:szCs w:val="20"/>
          <w:lang w:eastAsia="pl-PL"/>
        </w:rPr>
        <w:t xml:space="preserve">ustawy </w:t>
      </w:r>
      <w:r w:rsidRPr="008F1ACF">
        <w:rPr>
          <w:rFonts w:ascii="Times New Roman" w:eastAsiaTheme="minorEastAsia" w:hAnsi="Times New Roman" w:cs="Times New Roman"/>
          <w:sz w:val="24"/>
          <w:szCs w:val="24"/>
        </w:rPr>
        <w:t xml:space="preserve">z dnia 17 listopada 1964 r. </w:t>
      </w:r>
      <w:r>
        <w:rPr>
          <w:rFonts w:ascii="Times New Roman" w:eastAsiaTheme="minorEastAsia" w:hAnsi="Times New Roman" w:cs="Times New Roman"/>
          <w:sz w:val="24"/>
          <w:szCs w:val="24"/>
        </w:rPr>
        <w:t>–</w:t>
      </w:r>
      <w:r w:rsidRPr="008F1ACF">
        <w:rPr>
          <w:rFonts w:ascii="Times New Roman" w:eastAsiaTheme="minorEastAsia" w:hAnsi="Times New Roman" w:cs="Times New Roman"/>
          <w:sz w:val="24"/>
          <w:szCs w:val="24"/>
        </w:rPr>
        <w:t xml:space="preserve"> </w:t>
      </w:r>
      <w:r>
        <w:rPr>
          <w:rFonts w:ascii="Times New Roman" w:eastAsia="Times New Roman" w:hAnsi="Times New Roman" w:cs="Arial"/>
          <w:sz w:val="24"/>
          <w:szCs w:val="20"/>
          <w:lang w:eastAsia="pl-PL"/>
        </w:rPr>
        <w:t>K</w:t>
      </w:r>
      <w:r w:rsidRPr="00486C63">
        <w:rPr>
          <w:rFonts w:ascii="Times New Roman" w:eastAsia="Times New Roman" w:hAnsi="Times New Roman" w:cs="Arial"/>
          <w:sz w:val="24"/>
          <w:szCs w:val="20"/>
          <w:lang w:eastAsia="pl-PL"/>
        </w:rPr>
        <w:t>odeks postępowania cywilnego, które umożliwiają sądom rejestrowym wydanie orzeczenia o wykreśleniu podmiotu z KRS. Nie jest do zaakceptowania utrzymywanie stanu</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w którym w rejestrze działalności na rzecz spółek lub trustów oraz działalności w zakresie walut wirtualnych wpisane byłyby podmioty</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które jak wynika z danych zawartych w aktach rejestrowych KRS (lub uzyskanych w toku prowadzonego postępowania) nie posiadają: organu uprawnionego do reprezentacji, aktualnego adresu siedziby podmiotu, adresów zamieszkania członków zarządu. W takim przypadku istnieje wysokie prawdopodobieństwo wykorzystywania tego rodzaju spółek do prania pieniędzy czy też finansowania terroryzmu. Aby jednak właściwy do spraw rejestrów organ KAS mógł wykreślić taki podmiot z rejestru</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musi mieć możliwość działania z urzędu również w sytuacji, gdy podmiot nie ma właściwej reprezentacji. W przeciwnym wypadku, gdy poweźmie on wiadomość, że wpisany do rejestru adres lub skład zarządu jest nieaktualny nie będzie on mógł przeprowadzić skutecznego postępowania administracyjnego zmierzającego do wykreślenia takiego przedsiębiorcy z rejestru. W tym miejscu podkreślić należy, że postępowania zmierzające do wykreślenia </w:t>
      </w:r>
      <w:r>
        <w:rPr>
          <w:rFonts w:ascii="Times New Roman" w:eastAsia="Times New Roman" w:hAnsi="Times New Roman" w:cs="Arial"/>
          <w:sz w:val="24"/>
          <w:szCs w:val="20"/>
          <w:lang w:eastAsia="pl-PL"/>
        </w:rPr>
        <w:t>z</w:t>
      </w:r>
      <w:r w:rsidRPr="00486C63">
        <w:rPr>
          <w:rFonts w:ascii="Times New Roman" w:eastAsia="Times New Roman" w:hAnsi="Times New Roman" w:cs="Arial"/>
          <w:sz w:val="24"/>
          <w:szCs w:val="20"/>
          <w:lang w:eastAsia="pl-PL"/>
        </w:rPr>
        <w:t xml:space="preserve"> rejestr</w:t>
      </w:r>
      <w:r>
        <w:rPr>
          <w:rFonts w:ascii="Times New Roman" w:eastAsia="Times New Roman" w:hAnsi="Times New Roman" w:cs="Arial"/>
          <w:sz w:val="24"/>
          <w:szCs w:val="20"/>
          <w:lang w:eastAsia="pl-PL"/>
        </w:rPr>
        <w:t>u</w:t>
      </w:r>
      <w:r w:rsidRPr="00486C63">
        <w:rPr>
          <w:rFonts w:ascii="Times New Roman" w:eastAsia="Times New Roman" w:hAnsi="Times New Roman" w:cs="Arial"/>
          <w:sz w:val="24"/>
          <w:szCs w:val="20"/>
          <w:lang w:eastAsia="pl-PL"/>
        </w:rPr>
        <w:t xml:space="preserve"> działalności na rzecz spółek lub trustów oraz działalności w zakresie walut wirtualnych będzie dotyczyć właśnie takich podmiotów, które nie posiadają ani władz, ani organów, a często kierowana do nich korespondencja zwracana jest z adnotacją „podmiot wyprowadził się” lub „pod wskazanym adresem adresat nieznany</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Przyjęcie takiego rozwiązania znacznie usprawni proces wykreślania takich podmiotów, a jednocześnie zmniejszy koszty tych postępowań. Przyjęcie odmiennego rozwiązania powodowałoby konieczność wnioskowania do sąd</w:t>
      </w:r>
      <w:r>
        <w:rPr>
          <w:rFonts w:ascii="Times New Roman" w:eastAsia="Times New Roman" w:hAnsi="Times New Roman" w:cs="Arial"/>
          <w:sz w:val="24"/>
          <w:szCs w:val="20"/>
          <w:lang w:eastAsia="pl-PL"/>
        </w:rPr>
        <w:t>u</w:t>
      </w:r>
      <w:r w:rsidRPr="00486C63">
        <w:rPr>
          <w:rFonts w:ascii="Times New Roman" w:eastAsia="Times New Roman" w:hAnsi="Times New Roman" w:cs="Arial"/>
          <w:sz w:val="24"/>
          <w:szCs w:val="20"/>
          <w:lang w:eastAsia="pl-PL"/>
        </w:rPr>
        <w:t xml:space="preserve"> rejestrowego o ustanowienie kuratora</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mimo że wiadomo, że w większości przypadków sytuacja prawna podmiotów nie ulegnie zmianie. Dotychczasowa praktyka wskazuje, że brak jakichkolwiek sankcji administracyjnych nakładanych w związku z wykreślenia przedsiębiorcy z rejestru działalności regulowanej nie wpływa na prawidłowe wykonywanie przez nich ustawowych obowiązków wynikających z ustawy o przeciwdziałaniu praniu pieniędzy oraz finansowania terroryzmu. Należy mieć na uwadze, że przedsiębiorcy prowadzący działalność gospodarczą w zakresie prowadzenia usług na rzecz spółek lub trustów są jednocześnie instytucjami obowiązanymi w rozumieniu przepisów ustawy o przeciwdziałaniu praniu pieniędzy oraz finansowania terroryzmu.</w:t>
      </w:r>
    </w:p>
    <w:p w14:paraId="79B26EAE" w14:textId="7F023000" w:rsidR="00C21D4B" w:rsidRDefault="00C21D4B" w:rsidP="00695ECE">
      <w:pPr>
        <w:spacing w:after="0" w:line="360" w:lineRule="auto"/>
        <w:ind w:left="709"/>
        <w:jc w:val="both"/>
        <w:rPr>
          <w:rFonts w:ascii="Times New Roman" w:eastAsia="Times New Roman" w:hAnsi="Times New Roman" w:cs="Arial"/>
          <w:sz w:val="24"/>
          <w:szCs w:val="20"/>
          <w:lang w:eastAsia="pl-PL"/>
        </w:rPr>
      </w:pPr>
      <w:r>
        <w:rPr>
          <w:rFonts w:ascii="Times New Roman" w:eastAsia="Times New Roman" w:hAnsi="Times New Roman" w:cs="Arial"/>
          <w:b/>
          <w:bCs/>
          <w:sz w:val="24"/>
          <w:szCs w:val="20"/>
          <w:lang w:eastAsia="pl-PL"/>
        </w:rPr>
        <w:t xml:space="preserve">X. </w:t>
      </w:r>
      <w:r w:rsidRPr="00F8177F">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w:t>
      </w:r>
      <w:r w:rsidR="001878E4">
        <w:rPr>
          <w:rFonts w:ascii="Times New Roman" w:eastAsia="Times New Roman" w:hAnsi="Times New Roman" w:cs="Arial"/>
          <w:b/>
          <w:bCs/>
          <w:sz w:val="24"/>
          <w:szCs w:val="20"/>
          <w:lang w:eastAsia="pl-PL"/>
        </w:rPr>
        <w:t>7</w:t>
      </w:r>
      <w:r w:rsidRPr="00F8177F">
        <w:rPr>
          <w:rFonts w:ascii="Times New Roman" w:eastAsia="Times New Roman" w:hAnsi="Times New Roman" w:cs="Arial"/>
          <w:b/>
          <w:bCs/>
          <w:sz w:val="24"/>
          <w:szCs w:val="20"/>
          <w:lang w:eastAsia="pl-PL"/>
        </w:rPr>
        <w:t xml:space="preserve"> pkt 1</w:t>
      </w:r>
      <w:r>
        <w:rPr>
          <w:rFonts w:ascii="Times New Roman" w:eastAsia="Times New Roman" w:hAnsi="Times New Roman" w:cs="Arial"/>
          <w:b/>
          <w:bCs/>
          <w:sz w:val="24"/>
          <w:szCs w:val="20"/>
          <w:lang w:eastAsia="pl-PL"/>
        </w:rPr>
        <w:t>7</w:t>
      </w:r>
    </w:p>
    <w:p w14:paraId="4D4CF8A1" w14:textId="77777777" w:rsidR="00C21D4B" w:rsidRDefault="00C21D4B" w:rsidP="00695ECE">
      <w:pPr>
        <w:spacing w:after="0" w:line="360" w:lineRule="auto"/>
        <w:ind w:left="709"/>
        <w:jc w:val="both"/>
        <w:rPr>
          <w:rFonts w:ascii="Times New Roman" w:eastAsia="Times New Roman" w:hAnsi="Times New Roman" w:cs="Arial"/>
          <w:sz w:val="24"/>
          <w:szCs w:val="20"/>
          <w:lang w:eastAsia="pl-PL"/>
        </w:rPr>
      </w:pPr>
      <w:r w:rsidRPr="0060049C">
        <w:rPr>
          <w:rFonts w:ascii="Times New Roman" w:eastAsia="Times New Roman" w:hAnsi="Times New Roman" w:cs="Arial"/>
          <w:sz w:val="24"/>
          <w:szCs w:val="20"/>
          <w:lang w:eastAsia="pl-PL"/>
        </w:rPr>
        <w:t>W zakresie projektowanego art. 129k ust. 2.</w:t>
      </w:r>
      <w:r w:rsidRPr="00F8177F">
        <w:rPr>
          <w:rFonts w:ascii="Times New Roman" w:eastAsia="Times New Roman" w:hAnsi="Times New Roman" w:cs="Arial"/>
          <w:sz w:val="24"/>
          <w:szCs w:val="20"/>
          <w:lang w:eastAsia="pl-PL"/>
        </w:rPr>
        <w:t xml:space="preserve"> Kwestie doręczeń nie zostały uregulowane w ustawie AML. Dotychczasowe doświadczenia organów KAS prowadzących postępowania administracyjne w oparciu o przepisy ustawy AML, wskazują na wysoką nieskuteczność. W związku z tym uwzględnienie w ustawie AML odrębnych uregulowań dotyczących fikcji doręczeń spowoduje większą skuteczność organów administracji publicznej. Obecnie obowiązujące regulacje w zakresie doręczeń zamieszczone w </w:t>
      </w:r>
      <w:r>
        <w:rPr>
          <w:rFonts w:ascii="Times New Roman" w:eastAsia="Times New Roman" w:hAnsi="Times New Roman" w:cs="Arial"/>
          <w:sz w:val="24"/>
          <w:szCs w:val="20"/>
          <w:lang w:eastAsia="pl-PL"/>
        </w:rPr>
        <w:t>KPA</w:t>
      </w:r>
      <w:r w:rsidRPr="00F8177F">
        <w:rPr>
          <w:rFonts w:ascii="Times New Roman" w:eastAsia="Times New Roman" w:hAnsi="Times New Roman" w:cs="Arial"/>
          <w:sz w:val="24"/>
          <w:szCs w:val="20"/>
          <w:lang w:eastAsia="pl-PL"/>
        </w:rPr>
        <w:t xml:space="preserve"> nie regulują w pełni sytuacji, gdy siedziba osoby prawnej lub jednostki organizacyjnej nieposiadającej osobowości prawnej nie istnieje lub z innego powodu nie jest możliwa do ustalenia. Problem ten jest szczególnie widoczny w przypadku wszczynania i prowadzenia postępowań dotyczących wykonywania przez instytucje obowiązane obowiązków związanych z przeciwdziałaniem praniu pieniędzy oraz finansowania terroryzmu. Brak możliwości ustalenia adresu tych podmiotów może utrudniać, a niekiedy uniemożliwiać podejmowanie wobec nich skutecznych czynności na skutek utrzymywania w odpowiednich rejestrach, w tym w Krajowym Rejestrze Sądowym</w:t>
      </w:r>
      <w:r>
        <w:rPr>
          <w:rFonts w:ascii="Times New Roman" w:eastAsia="Times New Roman" w:hAnsi="Times New Roman" w:cs="Arial"/>
          <w:sz w:val="24"/>
          <w:szCs w:val="20"/>
          <w:lang w:eastAsia="pl-PL"/>
        </w:rPr>
        <w:t>,</w:t>
      </w:r>
      <w:r w:rsidRPr="00F8177F">
        <w:rPr>
          <w:rFonts w:ascii="Times New Roman" w:eastAsia="Times New Roman" w:hAnsi="Times New Roman" w:cs="Arial"/>
          <w:sz w:val="24"/>
          <w:szCs w:val="20"/>
          <w:lang w:eastAsia="pl-PL"/>
        </w:rPr>
        <w:t xml:space="preserve"> nieaktualnych danych dotyczących adresu siedziby. W celu </w:t>
      </w:r>
      <w:r>
        <w:rPr>
          <w:rFonts w:ascii="Times New Roman" w:eastAsia="Times New Roman" w:hAnsi="Times New Roman" w:cs="Arial"/>
          <w:sz w:val="24"/>
          <w:szCs w:val="20"/>
          <w:lang w:eastAsia="pl-PL"/>
        </w:rPr>
        <w:t>poprawy</w:t>
      </w:r>
      <w:r w:rsidRPr="00F8177F">
        <w:rPr>
          <w:rFonts w:ascii="Times New Roman" w:eastAsia="Times New Roman" w:hAnsi="Times New Roman" w:cs="Arial"/>
          <w:sz w:val="24"/>
          <w:szCs w:val="20"/>
          <w:lang w:eastAsia="pl-PL"/>
        </w:rPr>
        <w:t xml:space="preserve"> skuteczności działania organów </w:t>
      </w:r>
      <w:r>
        <w:rPr>
          <w:rFonts w:ascii="Times New Roman" w:eastAsia="Times New Roman" w:hAnsi="Times New Roman" w:cs="Arial"/>
          <w:sz w:val="24"/>
          <w:szCs w:val="20"/>
          <w:lang w:eastAsia="pl-PL"/>
        </w:rPr>
        <w:t>KAS</w:t>
      </w:r>
      <w:r w:rsidRPr="00F8177F">
        <w:rPr>
          <w:rFonts w:ascii="Times New Roman" w:eastAsia="Times New Roman" w:hAnsi="Times New Roman" w:cs="Arial"/>
          <w:sz w:val="24"/>
          <w:szCs w:val="20"/>
          <w:lang w:eastAsia="pl-PL"/>
        </w:rPr>
        <w:t xml:space="preserve"> wyznaczonych do wykonywania zadań ministra właściwego do spraw finansów publicznych określonych w ustawie AML, proponuje się wprowadzenie konstrukcji doręczenia pism osobom prawnym i jednostkom organizacyjnym nieposiadającym osobowości prawnej przez wykreowanie tzw. wtórnego adresata pisma oraz wykorzystanie fikcji prawnej doręczenia. Projektowane zasady będą miały zastosowanie jedynie w przypadkach, gdy adres ich siedziby nie istnieje, został wykreślony z rejestru lub jest niezgodny z odpowiednim rejestrem i nie można ustalić miejsca prowadzenia działalności. Co prawda obecnie obowiązujące przepisy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przewidują doręczenia zastępcze w rozdziale 8</w:t>
      </w:r>
      <w:r>
        <w:rPr>
          <w:rFonts w:ascii="Times New Roman" w:eastAsia="Times New Roman" w:hAnsi="Times New Roman" w:cs="Arial"/>
          <w:sz w:val="24"/>
          <w:szCs w:val="20"/>
          <w:lang w:eastAsia="pl-PL"/>
        </w:rPr>
        <w:t>, jednak</w:t>
      </w:r>
      <w:r w:rsidRPr="00F8177F">
        <w:rPr>
          <w:rFonts w:ascii="Times New Roman" w:eastAsia="Times New Roman" w:hAnsi="Times New Roman" w:cs="Arial"/>
          <w:sz w:val="24"/>
          <w:szCs w:val="20"/>
          <w:lang w:eastAsia="pl-PL"/>
        </w:rPr>
        <w:t xml:space="preserve"> obowiązuje zasada, że każde pismo kierowane do spółki (m.in. decyzja, postanowienie, pisma w toku postępowania) powinno zostać jej doręczone w lokalu siedziby do rąk osoby uprawnionej (art. 45 zdanie 1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Zgodnie z art. 45 zdanie drugie </w:t>
      </w:r>
      <w:r>
        <w:rPr>
          <w:rFonts w:ascii="Times New Roman" w:eastAsia="Times New Roman" w:hAnsi="Times New Roman" w:cs="Arial"/>
          <w:sz w:val="24"/>
          <w:szCs w:val="20"/>
          <w:lang w:eastAsia="pl-PL"/>
        </w:rPr>
        <w:t>KPA</w:t>
      </w:r>
      <w:r w:rsidRPr="00F8177F">
        <w:rPr>
          <w:rFonts w:ascii="Times New Roman" w:eastAsia="Times New Roman" w:hAnsi="Times New Roman" w:cs="Arial"/>
          <w:sz w:val="24"/>
          <w:szCs w:val="20"/>
          <w:lang w:eastAsia="pl-PL"/>
        </w:rPr>
        <w:t xml:space="preserve"> przepis art. 44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stosuje się odpowiednio. W związku z tym w razie niemożności doręczenia spółce pisma w sposób opisany powyżej, doręczyciel (z reguły jest nim operator pocztowy) obowiązany jest przechować pismo przez 14 dni w placówce pocztowej (art. 44 § 1 pkt 1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stosowany odpowiednio) oraz pozostawić adresatowi, czyli spółce</w:t>
      </w:r>
      <w:r>
        <w:rPr>
          <w:rFonts w:ascii="Times New Roman" w:eastAsia="Times New Roman" w:hAnsi="Times New Roman" w:cs="Arial"/>
          <w:sz w:val="24"/>
          <w:szCs w:val="20"/>
          <w:lang w:eastAsia="pl-PL"/>
        </w:rPr>
        <w:t>,</w:t>
      </w:r>
      <w:r w:rsidRPr="00F8177F">
        <w:rPr>
          <w:rFonts w:ascii="Times New Roman" w:eastAsia="Times New Roman" w:hAnsi="Times New Roman" w:cs="Arial"/>
          <w:sz w:val="24"/>
          <w:szCs w:val="20"/>
          <w:lang w:eastAsia="pl-PL"/>
        </w:rPr>
        <w:t xml:space="preserve"> zawiadomienie z informacją o możliwości jego odbioru w placówce pocztowej w terminie 7 dni, licząc od daty pozostawienia zawiadomienia. Samo zawiadomienie zaś doręczyciel powinien umieścić w skrzynce pocztowej spółki lub gdy nie jest to możliwe, na drzwiach lokalu siedziby spółki lub w widocznym miejscu przy wejściu na teren, do którego spółka ma wyłączny tytuł prawny (art. 44 § 2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stosowany odpowiednio). Jeśli zaś spółka nie podejmie przesyłki w terminie, doręczyciel zobowiązany jest pozostawić powtórne zawiadomienie o możliwości odbioru przesyłki, przy czym termin odbioru określa się wówczas jako nie dłuższy niż 14 dni od daty pierwszego zawiadomienia (art. 44 § 3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Gdy spółka nie podejmie pisma po drugim zawiadomieniu, doręczenie pisma będzie uznane za dokonane z upływem czternastego dnia od daty pozostawienia przez pocztę pierwszego zawiadomienia o przesyłce (art. 44 § 4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co innymi słowy oznaczać będzie przyjęcie w postępowaniu administracyjnym tzw. fikcji doręczenia. Należy podkreślić jednak, że ww. fikcja doręczenia odnosi się wyłącznie bezpośrednio do adresata pisma. W postanowieniu z dnia 8 stycznia 2015 r. sygn. akt II GSK 2769/14 NSA podkreślił przesłanki dopuszczalności fikcji doręczenia: „Zgodnie z art. 40 § 1 Kpa pisma doręcza się stronie. Zatem pismo skierowane do osoby prawnej zawierające decyzję dotyczącą spółki z o.o. powinno być skierowane do tej spółki, a nie do członka zarządu spółki. Zgodnie z art. 45 Kpa jednostkom organizacyjnym, a w tej grupie mieszczą się także osoby prawne, do których należą spółki z o.o., pisma doręcza się w lokalu ich siedziby do rąk osób uprawnionych do odbioru pism. Zatem pismo skierowane do spółki z o.o. powinno być doręczone na adres spółki.”</w:t>
      </w:r>
      <w:r>
        <w:rPr>
          <w:rFonts w:ascii="Times New Roman" w:eastAsia="Times New Roman" w:hAnsi="Times New Roman" w:cs="Arial"/>
          <w:sz w:val="24"/>
          <w:szCs w:val="20"/>
          <w:lang w:eastAsia="pl-PL"/>
        </w:rPr>
        <w:t>.</w:t>
      </w:r>
    </w:p>
    <w:p w14:paraId="1CEB163A" w14:textId="77777777" w:rsidR="00C21D4B" w:rsidRPr="007B3A96" w:rsidRDefault="00C21D4B" w:rsidP="00695ECE">
      <w:pPr>
        <w:spacing w:after="0" w:line="360" w:lineRule="auto"/>
        <w:ind w:left="709"/>
        <w:jc w:val="both"/>
        <w:rPr>
          <w:rFonts w:ascii="Times New Roman" w:eastAsia="Times New Roman" w:hAnsi="Times New Roman" w:cs="Arial"/>
          <w:sz w:val="24"/>
          <w:szCs w:val="20"/>
          <w:lang w:eastAsia="pl-PL"/>
        </w:rPr>
      </w:pPr>
      <w:r w:rsidRPr="007B3A96">
        <w:rPr>
          <w:rFonts w:ascii="Times New Roman" w:eastAsia="Times New Roman" w:hAnsi="Times New Roman" w:cs="Arial"/>
          <w:sz w:val="24"/>
          <w:szCs w:val="20"/>
          <w:lang w:eastAsia="pl-PL"/>
        </w:rPr>
        <w:t xml:space="preserve">W związku z tym, w celu podniesienia skuteczności działania organów administracji publicznej, dodatkowo, wprowadza się możliwość doręczenia pisma osobie fizycznej upoważnionej do reprezentowania adresata, będącego osobą prawną lub jednostką organizacyjną nieposiadającą osobowości prawnej, także wtedy, gdy reprezentacja ma charakter łączny z innymi osobami, gdy podany przez osobę prawną lub jednostkę organizacyjną niemającą osobowości prawnej adres jej siedziby nie istnieje, adres został wykreślony z rejestru lub jest niezgodny z odpowiednim rejestrem i nie można ustalić miejsca prowadzenia działalności. </w:t>
      </w:r>
    </w:p>
    <w:p w14:paraId="01C06B77" w14:textId="77777777" w:rsidR="00C21D4B" w:rsidRPr="007B3A96" w:rsidRDefault="00C21D4B" w:rsidP="00695ECE">
      <w:pPr>
        <w:spacing w:after="0" w:line="360" w:lineRule="auto"/>
        <w:ind w:left="709"/>
        <w:jc w:val="both"/>
        <w:rPr>
          <w:rFonts w:ascii="Times New Roman" w:eastAsia="Times New Roman" w:hAnsi="Times New Roman" w:cs="Times New Roman"/>
          <w:sz w:val="24"/>
          <w:szCs w:val="24"/>
          <w:lang w:eastAsia="pl-PL"/>
        </w:rPr>
      </w:pPr>
      <w:r w:rsidRPr="007B3A96">
        <w:rPr>
          <w:rFonts w:ascii="Times New Roman" w:eastAsia="Times New Roman" w:hAnsi="Times New Roman" w:cs="Times New Roman"/>
          <w:sz w:val="24"/>
          <w:szCs w:val="24"/>
          <w:lang w:eastAsia="pl-PL"/>
        </w:rPr>
        <w:t>Adresy osób fizycznych upoważnionych do reprezentowania ww</w:t>
      </w:r>
      <w:r>
        <w:rPr>
          <w:rFonts w:ascii="Times New Roman" w:eastAsia="Times New Roman" w:hAnsi="Times New Roman" w:cs="Times New Roman"/>
          <w:sz w:val="24"/>
          <w:szCs w:val="24"/>
          <w:lang w:eastAsia="pl-PL"/>
        </w:rPr>
        <w:t>.</w:t>
      </w:r>
      <w:r w:rsidRPr="007B3A96">
        <w:rPr>
          <w:rFonts w:ascii="Times New Roman" w:eastAsia="Times New Roman" w:hAnsi="Times New Roman" w:cs="Times New Roman"/>
          <w:sz w:val="24"/>
          <w:szCs w:val="24"/>
          <w:lang w:eastAsia="pl-PL"/>
        </w:rPr>
        <w:t xml:space="preserve"> podmiotów są dostępne w rejestrach, w tym w Krajowym Rejestrze Sądowym lub mogą być znane organowi administracji publicznej z urzędu. W przypadku gdy organ administracji publicznej nie będzie w stanie ustalić adresu osoby fizycznej upoważnionej do reprezentowania osoby prawnej czy też jednostki organizacyjnej nieposiadającej osobowości prawnej, tj. podjęte czynności w postaci sprawdzenia treści wpisów do odpowiednich rejestrów nie pozwoliły na ustalenie ww. danych, a inny aktualny adres tej osoby fizycznej nie jest znany organowi, to w takiej sytuacji pismo pozostawia się w aktach sprawy wraz z odpowiednią adnotacją pracownika organu o poczynionych ustaleniach, a datę sporządzenia tej adnotacji uznaje się za datę doręczenia pisma tej osobie fizycznej. Dodatkowo doprecyzowany zostanie sposób ustalania </w:t>
      </w:r>
      <w:r>
        <w:rPr>
          <w:rFonts w:ascii="Times New Roman" w:eastAsia="Times New Roman" w:hAnsi="Times New Roman" w:cs="Times New Roman"/>
          <w:sz w:val="24"/>
          <w:szCs w:val="24"/>
          <w:lang w:eastAsia="pl-PL"/>
        </w:rPr>
        <w:t>dnia</w:t>
      </w:r>
      <w:r w:rsidRPr="007B3A96">
        <w:rPr>
          <w:rFonts w:ascii="Times New Roman" w:eastAsia="Times New Roman" w:hAnsi="Times New Roman" w:cs="Times New Roman"/>
          <w:sz w:val="24"/>
          <w:szCs w:val="24"/>
          <w:lang w:eastAsia="pl-PL"/>
        </w:rPr>
        <w:t>, z któr</w:t>
      </w:r>
      <w:r>
        <w:rPr>
          <w:rFonts w:ascii="Times New Roman" w:eastAsia="Times New Roman" w:hAnsi="Times New Roman" w:cs="Times New Roman"/>
          <w:sz w:val="24"/>
          <w:szCs w:val="24"/>
          <w:lang w:eastAsia="pl-PL"/>
        </w:rPr>
        <w:t>ym</w:t>
      </w:r>
      <w:r w:rsidRPr="007B3A96">
        <w:rPr>
          <w:rFonts w:ascii="Times New Roman" w:eastAsia="Times New Roman" w:hAnsi="Times New Roman" w:cs="Times New Roman"/>
          <w:sz w:val="24"/>
          <w:szCs w:val="24"/>
          <w:lang w:eastAsia="pl-PL"/>
        </w:rPr>
        <w:t xml:space="preserve"> uznaje się skutek doręczenia, tj. z dniem sporządzenia przez organ administracji publicznej adnotacji o niemożności ustalenia adresu osoby fizycznej upoważnionej do reprezentowania adresata. Należy również wskazać, że do doręczeń pism osobie fizycznej upoważnionej do reprezentowania adresata zastosowanie będą miały ogólne przepisy K</w:t>
      </w:r>
      <w:r>
        <w:rPr>
          <w:rFonts w:ascii="Times New Roman" w:eastAsia="Times New Roman" w:hAnsi="Times New Roman" w:cs="Times New Roman"/>
          <w:sz w:val="24"/>
          <w:szCs w:val="24"/>
          <w:lang w:eastAsia="pl-PL"/>
        </w:rPr>
        <w:t>PA</w:t>
      </w:r>
      <w:r w:rsidRPr="007B3A96">
        <w:rPr>
          <w:rFonts w:ascii="Times New Roman" w:eastAsia="Times New Roman" w:hAnsi="Times New Roman" w:cs="Times New Roman"/>
          <w:sz w:val="24"/>
          <w:szCs w:val="24"/>
          <w:lang w:eastAsia="pl-PL"/>
        </w:rPr>
        <w:t xml:space="preserve"> dotyczące doręczeń, np. art. 42 K</w:t>
      </w:r>
      <w:r>
        <w:rPr>
          <w:rFonts w:ascii="Times New Roman" w:eastAsia="Times New Roman" w:hAnsi="Times New Roman" w:cs="Times New Roman"/>
          <w:sz w:val="24"/>
          <w:szCs w:val="24"/>
          <w:lang w:eastAsia="pl-PL"/>
        </w:rPr>
        <w:t>PA</w:t>
      </w:r>
      <w:r w:rsidRPr="007B3A96">
        <w:rPr>
          <w:rFonts w:ascii="Times New Roman" w:eastAsia="Times New Roman" w:hAnsi="Times New Roman" w:cs="Times New Roman"/>
          <w:sz w:val="24"/>
          <w:szCs w:val="24"/>
          <w:lang w:eastAsia="pl-PL"/>
        </w:rPr>
        <w:t xml:space="preserve">. Nadmienić należy, że tożsame rozwiązanie zostało uregulowane w art. 151a </w:t>
      </w:r>
      <w:r>
        <w:rPr>
          <w:rFonts w:ascii="Times New Roman" w:eastAsia="Times New Roman" w:hAnsi="Times New Roman" w:cs="Times New Roman"/>
          <w:sz w:val="24"/>
          <w:szCs w:val="24"/>
          <w:lang w:eastAsia="pl-PL"/>
        </w:rPr>
        <w:t xml:space="preserve">ustawy z dnia 29 sierpnia 1997 r. − </w:t>
      </w:r>
      <w:r w:rsidRPr="007B3A96">
        <w:rPr>
          <w:rFonts w:ascii="Times New Roman" w:eastAsia="Times New Roman" w:hAnsi="Times New Roman" w:cs="Times New Roman"/>
          <w:sz w:val="24"/>
          <w:szCs w:val="24"/>
          <w:lang w:eastAsia="pl-PL"/>
        </w:rPr>
        <w:t>Ordynacj</w:t>
      </w:r>
      <w:r>
        <w:rPr>
          <w:rFonts w:ascii="Times New Roman" w:eastAsia="Times New Roman" w:hAnsi="Times New Roman" w:cs="Times New Roman"/>
          <w:sz w:val="24"/>
          <w:szCs w:val="24"/>
          <w:lang w:eastAsia="pl-PL"/>
        </w:rPr>
        <w:t>a</w:t>
      </w:r>
      <w:r w:rsidRPr="007B3A96">
        <w:rPr>
          <w:rFonts w:ascii="Times New Roman" w:eastAsia="Times New Roman" w:hAnsi="Times New Roman" w:cs="Times New Roman"/>
          <w:sz w:val="24"/>
          <w:szCs w:val="24"/>
          <w:lang w:eastAsia="pl-PL"/>
        </w:rPr>
        <w:t xml:space="preserve"> podatkow</w:t>
      </w:r>
      <w:r>
        <w:rPr>
          <w:rFonts w:ascii="Times New Roman" w:eastAsia="Times New Roman" w:hAnsi="Times New Roman" w:cs="Times New Roman"/>
          <w:sz w:val="24"/>
          <w:szCs w:val="24"/>
          <w:lang w:eastAsia="pl-PL"/>
        </w:rPr>
        <w:t>a (Dz. U. z 2025 r. poz. 111)</w:t>
      </w:r>
      <w:r w:rsidRPr="007B3A96">
        <w:rPr>
          <w:rFonts w:ascii="Times New Roman" w:eastAsia="Times New Roman" w:hAnsi="Times New Roman" w:cs="Times New Roman"/>
          <w:sz w:val="24"/>
          <w:szCs w:val="24"/>
          <w:lang w:eastAsia="pl-PL"/>
        </w:rPr>
        <w:t xml:space="preserve"> i w obecnym brzmieniu obowiązuje od 2016 r.</w:t>
      </w:r>
    </w:p>
    <w:p w14:paraId="4DE77724" w14:textId="77777777" w:rsidR="00C21D4B" w:rsidRPr="00AB5AC1" w:rsidRDefault="00C21D4B" w:rsidP="00695ECE">
      <w:pPr>
        <w:spacing w:after="0" w:line="360" w:lineRule="auto"/>
        <w:ind w:left="709"/>
        <w:jc w:val="both"/>
        <w:rPr>
          <w:rFonts w:ascii="Times New Roman" w:eastAsia="Times New Roman" w:hAnsi="Times New Roman" w:cs="Times New Roman"/>
          <w:sz w:val="24"/>
          <w:szCs w:val="24"/>
          <w:lang w:eastAsia="pl-PL"/>
        </w:rPr>
      </w:pPr>
      <w:r w:rsidRPr="0060049C">
        <w:rPr>
          <w:rFonts w:ascii="Times New Roman" w:eastAsia="Times New Roman" w:hAnsi="Times New Roman" w:cs="Times New Roman"/>
          <w:sz w:val="24"/>
          <w:szCs w:val="24"/>
          <w:lang w:eastAsia="pl-PL"/>
        </w:rPr>
        <w:t>W zakresie projektowanego brzmienia art. 129k ust. 3</w:t>
      </w:r>
      <w:r w:rsidRPr="00812F26">
        <w:rPr>
          <w:rFonts w:ascii="Times New Roman" w:eastAsia="Times New Roman" w:hAnsi="Times New Roman" w:cs="Times New Roman"/>
          <w:sz w:val="24"/>
          <w:szCs w:val="24"/>
          <w:lang w:eastAsia="pl-PL"/>
        </w:rPr>
        <w:t>. Dotychczasowa praktyka</w:t>
      </w:r>
      <w:r w:rsidRPr="007B3A96">
        <w:rPr>
          <w:rFonts w:ascii="Times New Roman" w:eastAsia="Times New Roman" w:hAnsi="Times New Roman" w:cs="Times New Roman"/>
          <w:sz w:val="24"/>
          <w:szCs w:val="24"/>
          <w:lang w:eastAsia="pl-PL"/>
        </w:rPr>
        <w:t xml:space="preserve"> wskazuje, że brak jakichkolwiek sankcji administracyjnych nakładanych w związku z wykreślenia przedsiębiorcy z rejestru działalności regulowanej nie wpływa na prawidłowe wykonywanie przez ni</w:t>
      </w:r>
      <w:r>
        <w:rPr>
          <w:rFonts w:ascii="Times New Roman" w:eastAsia="Times New Roman" w:hAnsi="Times New Roman" w:cs="Times New Roman"/>
          <w:sz w:val="24"/>
          <w:szCs w:val="24"/>
          <w:lang w:eastAsia="pl-PL"/>
        </w:rPr>
        <w:t>ego</w:t>
      </w:r>
      <w:r w:rsidRPr="007B3A96">
        <w:rPr>
          <w:rFonts w:ascii="Times New Roman" w:eastAsia="Times New Roman" w:hAnsi="Times New Roman" w:cs="Times New Roman"/>
          <w:sz w:val="24"/>
          <w:szCs w:val="24"/>
          <w:lang w:eastAsia="pl-PL"/>
        </w:rPr>
        <w:t xml:space="preserve"> ustawowych obowiązków wynikających z ustawy o przeciwdziałaniu praniu pieniędzy oraz finansowania terroryzmu. Należy mieć na uwadze, że przedsiębiorcy prowadzący działalność gospodarczą w zakresie prowadzenia usług na rzecz spółek lub trustów są jednocześnie instytucjami obowiązanymi w rozumieniu przepisów ustawy</w:t>
      </w:r>
      <w:r>
        <w:rPr>
          <w:rFonts w:ascii="Times New Roman" w:eastAsia="Times New Roman" w:hAnsi="Times New Roman" w:cs="Times New Roman"/>
          <w:sz w:val="24"/>
          <w:szCs w:val="24"/>
          <w:lang w:eastAsia="pl-PL"/>
        </w:rPr>
        <w:t xml:space="preserve"> z dnia </w:t>
      </w:r>
      <w:r w:rsidRPr="007B3A96">
        <w:rPr>
          <w:rFonts w:ascii="Times New Roman" w:eastAsia="Times New Roman" w:hAnsi="Times New Roman" w:cs="Times New Roman"/>
          <w:sz w:val="24"/>
          <w:szCs w:val="24"/>
          <w:lang w:eastAsia="pl-PL"/>
        </w:rPr>
        <w:t xml:space="preserve">o przeciwdziałaniu praniu pieniędzy oraz finansowania terroryzmu. </w:t>
      </w:r>
      <w:r>
        <w:rPr>
          <w:rFonts w:ascii="Times New Roman" w:eastAsia="Times New Roman" w:hAnsi="Times New Roman" w:cs="Times New Roman"/>
          <w:sz w:val="24"/>
          <w:szCs w:val="24"/>
          <w:lang w:eastAsia="pl-PL"/>
        </w:rPr>
        <w:t xml:space="preserve">Taki podmiot, który zostanie wykreślony z rejestru działalności </w:t>
      </w:r>
      <w:r w:rsidRPr="007B3A96">
        <w:rPr>
          <w:rFonts w:ascii="Times New Roman" w:eastAsia="Times New Roman" w:hAnsi="Times New Roman" w:cs="Times New Roman"/>
          <w:sz w:val="24"/>
          <w:szCs w:val="24"/>
          <w:lang w:eastAsia="pl-PL"/>
        </w:rPr>
        <w:t>na rzecz spółek lub trustów</w:t>
      </w:r>
      <w:r>
        <w:rPr>
          <w:rFonts w:ascii="Times New Roman" w:eastAsia="Times New Roman" w:hAnsi="Times New Roman" w:cs="Times New Roman"/>
          <w:sz w:val="24"/>
          <w:szCs w:val="24"/>
          <w:lang w:eastAsia="pl-PL"/>
        </w:rPr>
        <w:t xml:space="preserve"> będzie mógł uzyskać ponowny wpis do tego rejestru nie wcześniej niż po upływie 3 lat od dnia, w którym decyzja o wykreśleniu stanie się ostateczna. O</w:t>
      </w:r>
      <w:r w:rsidRPr="00AB5AC1">
        <w:rPr>
          <w:rFonts w:ascii="Times New Roman" w:eastAsia="Times New Roman" w:hAnsi="Times New Roman" w:cs="Times New Roman"/>
          <w:sz w:val="24"/>
          <w:szCs w:val="24"/>
          <w:lang w:eastAsia="pl-PL"/>
        </w:rPr>
        <w:t xml:space="preserve">graniczenie prowadzenia działalności będące skutkiem </w:t>
      </w:r>
      <w:r>
        <w:rPr>
          <w:rFonts w:ascii="Times New Roman" w:eastAsia="Times New Roman" w:hAnsi="Times New Roman" w:cs="Times New Roman"/>
          <w:sz w:val="24"/>
          <w:szCs w:val="24"/>
          <w:lang w:eastAsia="pl-PL"/>
        </w:rPr>
        <w:t xml:space="preserve">tego wykreślenia </w:t>
      </w:r>
      <w:r w:rsidRPr="00AB5AC1">
        <w:rPr>
          <w:rFonts w:ascii="Times New Roman" w:eastAsia="Times New Roman" w:hAnsi="Times New Roman" w:cs="Times New Roman"/>
          <w:sz w:val="24"/>
          <w:szCs w:val="24"/>
          <w:lang w:eastAsia="pl-PL"/>
        </w:rPr>
        <w:t xml:space="preserve">(3 lata) jest proporcjonalne do </w:t>
      </w:r>
      <w:r>
        <w:rPr>
          <w:rFonts w:ascii="Times New Roman" w:eastAsia="Times New Roman" w:hAnsi="Times New Roman" w:cs="Times New Roman"/>
          <w:sz w:val="24"/>
          <w:szCs w:val="24"/>
          <w:lang w:eastAsia="pl-PL"/>
        </w:rPr>
        <w:t xml:space="preserve">stwierdzonego </w:t>
      </w:r>
      <w:r w:rsidRPr="00907094">
        <w:rPr>
          <w:rFonts w:ascii="Times New Roman" w:eastAsia="Times New Roman" w:hAnsi="Times New Roman" w:cs="Times New Roman"/>
          <w:sz w:val="24"/>
          <w:szCs w:val="24"/>
          <w:lang w:eastAsia="pl-PL"/>
        </w:rPr>
        <w:t>naruszenia</w:t>
      </w:r>
      <w:r>
        <w:rPr>
          <w:rFonts w:ascii="Times New Roman" w:eastAsia="Times New Roman" w:hAnsi="Times New Roman" w:cs="Times New Roman"/>
          <w:sz w:val="24"/>
          <w:szCs w:val="24"/>
          <w:lang w:eastAsia="pl-PL"/>
        </w:rPr>
        <w:t>,</w:t>
      </w:r>
      <w:r w:rsidRPr="00AB5AC1">
        <w:rPr>
          <w:rFonts w:ascii="Times New Roman" w:eastAsia="Times New Roman" w:hAnsi="Times New Roman" w:cs="Times New Roman"/>
          <w:sz w:val="24"/>
          <w:szCs w:val="24"/>
          <w:lang w:eastAsia="pl-PL"/>
        </w:rPr>
        <w:t xml:space="preserve"> np.</w:t>
      </w:r>
      <w:r>
        <w:rPr>
          <w:rFonts w:ascii="Times New Roman" w:eastAsia="Times New Roman" w:hAnsi="Times New Roman" w:cs="Times New Roman"/>
          <w:sz w:val="24"/>
          <w:szCs w:val="24"/>
          <w:lang w:eastAsia="pl-PL"/>
        </w:rPr>
        <w:t xml:space="preserve"> w przypadku nałożenia przez Generalnego Inspektora Informacji Finansowej</w:t>
      </w:r>
      <w:r w:rsidRPr="00AB5AC1">
        <w:rPr>
          <w:rFonts w:ascii="Times New Roman" w:eastAsia="Times New Roman" w:hAnsi="Times New Roman" w:cs="Times New Roman"/>
          <w:sz w:val="24"/>
          <w:szCs w:val="24"/>
          <w:lang w:eastAsia="pl-PL"/>
        </w:rPr>
        <w:t xml:space="preserve"> kary administracyjnej lub nagminnego braku współpracy z organem nadzoru. </w:t>
      </w:r>
      <w:r w:rsidRPr="00F468EE">
        <w:rPr>
          <w:rFonts w:ascii="Times New Roman" w:eastAsia="Times New Roman" w:hAnsi="Times New Roman" w:cs="Times New Roman"/>
          <w:sz w:val="24"/>
          <w:szCs w:val="24"/>
          <w:lang w:eastAsia="pl-PL"/>
        </w:rPr>
        <w:t xml:space="preserve">Nie jest sytuacją dopuszczalną kiedy podmiot, który został wykreślony z rejestru warunkującego prowadzenie działalności gospodarczej uzyska ponowny wpis w bardzo krótkim czasie np. w terminie kilku miesięcy od wykreślenia. </w:t>
      </w:r>
      <w:r>
        <w:rPr>
          <w:rFonts w:ascii="Times New Roman" w:eastAsia="Times New Roman" w:hAnsi="Times New Roman" w:cs="Times New Roman"/>
          <w:sz w:val="24"/>
          <w:szCs w:val="24"/>
          <w:lang w:eastAsia="pl-PL"/>
        </w:rPr>
        <w:t xml:space="preserve">W innych przypadkach przepisy </w:t>
      </w:r>
      <w:r w:rsidRPr="00907094">
        <w:rPr>
          <w:rFonts w:ascii="Times New Roman" w:eastAsia="Times New Roman" w:hAnsi="Times New Roman" w:cs="Times New Roman"/>
          <w:sz w:val="24"/>
          <w:szCs w:val="24"/>
          <w:lang w:eastAsia="pl-PL"/>
        </w:rPr>
        <w:t>prawn</w:t>
      </w:r>
      <w:r>
        <w:rPr>
          <w:rFonts w:ascii="Times New Roman" w:eastAsia="Times New Roman" w:hAnsi="Times New Roman" w:cs="Times New Roman"/>
          <w:sz w:val="24"/>
          <w:szCs w:val="24"/>
          <w:lang w:eastAsia="pl-PL"/>
        </w:rPr>
        <w:t>a</w:t>
      </w:r>
      <w:r w:rsidRPr="00907094">
        <w:rPr>
          <w:rFonts w:ascii="Times New Roman" w:eastAsia="Times New Roman" w:hAnsi="Times New Roman" w:cs="Times New Roman"/>
          <w:sz w:val="24"/>
          <w:szCs w:val="24"/>
          <w:lang w:eastAsia="pl-PL"/>
        </w:rPr>
        <w:t xml:space="preserve"> przewiduj</w:t>
      </w:r>
      <w:r>
        <w:rPr>
          <w:rFonts w:ascii="Times New Roman" w:eastAsia="Times New Roman" w:hAnsi="Times New Roman" w:cs="Times New Roman"/>
          <w:sz w:val="24"/>
          <w:szCs w:val="24"/>
          <w:lang w:eastAsia="pl-PL"/>
        </w:rPr>
        <w:t>ą</w:t>
      </w:r>
      <w:r w:rsidRPr="00907094">
        <w:rPr>
          <w:rFonts w:ascii="Times New Roman" w:eastAsia="Times New Roman" w:hAnsi="Times New Roman" w:cs="Times New Roman"/>
          <w:sz w:val="24"/>
          <w:szCs w:val="24"/>
          <w:lang w:eastAsia="pl-PL"/>
        </w:rPr>
        <w:t xml:space="preserve"> o wiele surowsze </w:t>
      </w:r>
      <w:r>
        <w:rPr>
          <w:rFonts w:ascii="Times New Roman" w:eastAsia="Times New Roman" w:hAnsi="Times New Roman" w:cs="Times New Roman"/>
          <w:sz w:val="24"/>
          <w:szCs w:val="24"/>
          <w:lang w:eastAsia="pl-PL"/>
        </w:rPr>
        <w:t xml:space="preserve">rozwiązania wprowadzające </w:t>
      </w:r>
      <w:r w:rsidRPr="00AB5AC1">
        <w:rPr>
          <w:rFonts w:ascii="Times New Roman" w:eastAsia="Times New Roman" w:hAnsi="Times New Roman" w:cs="Times New Roman"/>
          <w:sz w:val="24"/>
          <w:szCs w:val="24"/>
          <w:lang w:eastAsia="pl-PL"/>
        </w:rPr>
        <w:t>zakaz prowadzenia działalności gospodarczej.</w:t>
      </w:r>
    </w:p>
    <w:p w14:paraId="43D281C9" w14:textId="11F87081" w:rsidR="00C21D4B" w:rsidRPr="0060049C" w:rsidRDefault="00C21D4B" w:rsidP="00695ECE">
      <w:pPr>
        <w:spacing w:after="0" w:line="360" w:lineRule="auto"/>
        <w:ind w:left="709"/>
        <w:jc w:val="both"/>
        <w:rPr>
          <w:rFonts w:ascii="Times New Roman" w:eastAsia="Times New Roman" w:hAnsi="Times New Roman" w:cs="Times New Roman"/>
          <w:b/>
          <w:bCs/>
          <w:sz w:val="24"/>
          <w:szCs w:val="24"/>
          <w:lang w:eastAsia="pl-PL"/>
        </w:rPr>
      </w:pPr>
      <w:r w:rsidRPr="0060049C">
        <w:rPr>
          <w:rFonts w:ascii="Times New Roman" w:eastAsia="Times New Roman" w:hAnsi="Times New Roman" w:cs="Times New Roman"/>
          <w:b/>
          <w:bCs/>
          <w:sz w:val="24"/>
          <w:szCs w:val="24"/>
          <w:lang w:eastAsia="pl-PL"/>
        </w:rPr>
        <w:t>X</w:t>
      </w:r>
      <w:r>
        <w:rPr>
          <w:rFonts w:ascii="Times New Roman" w:eastAsia="Times New Roman" w:hAnsi="Times New Roman" w:cs="Times New Roman"/>
          <w:b/>
          <w:bCs/>
          <w:sz w:val="24"/>
          <w:szCs w:val="24"/>
          <w:lang w:eastAsia="pl-PL"/>
        </w:rPr>
        <w:t>I</w:t>
      </w:r>
      <w:r w:rsidRPr="0060049C">
        <w:rPr>
          <w:rFonts w:ascii="Times New Roman" w:eastAsia="Times New Roman" w:hAnsi="Times New Roman" w:cs="Times New Roman"/>
          <w:b/>
          <w:bCs/>
          <w:sz w:val="24"/>
          <w:szCs w:val="24"/>
          <w:lang w:eastAsia="pl-PL"/>
        </w:rPr>
        <w:t>. Art. 1</w:t>
      </w:r>
      <w:r>
        <w:rPr>
          <w:rFonts w:ascii="Times New Roman" w:eastAsia="Times New Roman" w:hAnsi="Times New Roman" w:cs="Times New Roman"/>
          <w:b/>
          <w:bCs/>
          <w:sz w:val="24"/>
          <w:szCs w:val="24"/>
          <w:lang w:eastAsia="pl-PL"/>
        </w:rPr>
        <w:t>5</w:t>
      </w:r>
      <w:r w:rsidR="001878E4">
        <w:rPr>
          <w:rFonts w:ascii="Times New Roman" w:eastAsia="Times New Roman" w:hAnsi="Times New Roman" w:cs="Times New Roman"/>
          <w:b/>
          <w:bCs/>
          <w:sz w:val="24"/>
          <w:szCs w:val="24"/>
          <w:lang w:eastAsia="pl-PL"/>
        </w:rPr>
        <w:t>7</w:t>
      </w:r>
      <w:r w:rsidRPr="0060049C">
        <w:rPr>
          <w:rFonts w:ascii="Times New Roman" w:eastAsia="Times New Roman" w:hAnsi="Times New Roman" w:cs="Times New Roman"/>
          <w:b/>
          <w:bCs/>
          <w:sz w:val="24"/>
          <w:szCs w:val="24"/>
          <w:lang w:eastAsia="pl-PL"/>
        </w:rPr>
        <w:t xml:space="preserve"> pkt 1</w:t>
      </w:r>
      <w:r>
        <w:rPr>
          <w:rFonts w:ascii="Times New Roman" w:eastAsia="Times New Roman" w:hAnsi="Times New Roman" w:cs="Times New Roman"/>
          <w:b/>
          <w:bCs/>
          <w:sz w:val="24"/>
          <w:szCs w:val="24"/>
          <w:lang w:eastAsia="pl-PL"/>
        </w:rPr>
        <w:t>8</w:t>
      </w:r>
      <w:r w:rsidRPr="0060049C">
        <w:rPr>
          <w:rFonts w:ascii="Times New Roman" w:eastAsia="Times New Roman" w:hAnsi="Times New Roman" w:cs="Times New Roman"/>
          <w:b/>
          <w:bCs/>
          <w:sz w:val="24"/>
          <w:szCs w:val="24"/>
          <w:lang w:eastAsia="pl-PL"/>
        </w:rPr>
        <w:t xml:space="preserve"> </w:t>
      </w:r>
    </w:p>
    <w:p w14:paraId="7DC9E777" w14:textId="77777777" w:rsidR="00C21D4B" w:rsidRDefault="00C21D4B" w:rsidP="00695ECE">
      <w:pPr>
        <w:spacing w:after="0" w:line="360" w:lineRule="auto"/>
        <w:ind w:left="709"/>
        <w:jc w:val="both"/>
        <w:rPr>
          <w:rFonts w:ascii="Times New Roman" w:eastAsia="Times New Roman" w:hAnsi="Times New Roman" w:cs="Times New Roman"/>
          <w:sz w:val="24"/>
          <w:szCs w:val="24"/>
          <w:lang w:eastAsia="pl-PL"/>
        </w:rPr>
      </w:pPr>
      <w:r w:rsidRPr="00812F26">
        <w:rPr>
          <w:rFonts w:ascii="Times New Roman" w:eastAsia="Times New Roman" w:hAnsi="Times New Roman" w:cs="Times New Roman"/>
          <w:sz w:val="24"/>
          <w:szCs w:val="24"/>
          <w:lang w:eastAsia="pl-PL"/>
        </w:rPr>
        <w:t>Uchyla się również część przepisów rozdziału 11a u.o.p.p.p.f.t. w zakresie, w jakim przewid</w:t>
      </w:r>
      <w:r>
        <w:rPr>
          <w:rFonts w:ascii="Times New Roman" w:eastAsia="Times New Roman" w:hAnsi="Times New Roman" w:cs="Times New Roman"/>
          <w:sz w:val="24"/>
          <w:szCs w:val="24"/>
          <w:lang w:eastAsia="pl-PL"/>
        </w:rPr>
        <w:t>ują</w:t>
      </w:r>
      <w:r w:rsidRPr="00812F26">
        <w:rPr>
          <w:rFonts w:ascii="Times New Roman" w:eastAsia="Times New Roman" w:hAnsi="Times New Roman" w:cs="Times New Roman"/>
          <w:sz w:val="24"/>
          <w:szCs w:val="24"/>
          <w:lang w:eastAsia="pl-PL"/>
        </w:rPr>
        <w:t xml:space="preserve"> one prowadzenie rejestru działalności regulowanej dotyczącego przedsiębiorców zajmujących się m.in. wymianą walut wirtualnych. W konsekwencji zmieni się przepis określający zakres ustawy (art.1) i wprowadz</w:t>
      </w:r>
      <w:r>
        <w:rPr>
          <w:rFonts w:ascii="Times New Roman" w:eastAsia="Times New Roman" w:hAnsi="Times New Roman" w:cs="Times New Roman"/>
          <w:sz w:val="24"/>
          <w:szCs w:val="24"/>
          <w:lang w:eastAsia="pl-PL"/>
        </w:rPr>
        <w:t>one zostaną</w:t>
      </w:r>
      <w:r w:rsidRPr="00812F26">
        <w:rPr>
          <w:rFonts w:ascii="Times New Roman" w:eastAsia="Times New Roman" w:hAnsi="Times New Roman" w:cs="Times New Roman"/>
          <w:sz w:val="24"/>
          <w:szCs w:val="24"/>
          <w:lang w:eastAsia="pl-PL"/>
        </w:rPr>
        <w:t xml:space="preserve"> dalsze konsekwentne zmiany legislacyjne, takie jak np. zmiana nazwy rozdziału 11a. Dotychczas przepisy te zapewniały implementację art. 47 ust. 1 dyrektywy 2015/849 do polskiego porządku prawnego</w:t>
      </w:r>
      <w:r>
        <w:rPr>
          <w:rFonts w:ascii="Times New Roman" w:eastAsia="Times New Roman" w:hAnsi="Times New Roman" w:cs="Times New Roman"/>
          <w:sz w:val="24"/>
          <w:szCs w:val="24"/>
          <w:lang w:eastAsia="pl-PL"/>
        </w:rPr>
        <w:t xml:space="preserve">, która </w:t>
      </w:r>
      <w:r w:rsidRPr="00812F26">
        <w:rPr>
          <w:rFonts w:ascii="Times New Roman" w:eastAsia="Times New Roman" w:hAnsi="Times New Roman" w:cs="Times New Roman"/>
          <w:sz w:val="24"/>
          <w:szCs w:val="24"/>
          <w:lang w:eastAsia="pl-PL"/>
        </w:rPr>
        <w:t>zawiera regulację zobowiązując</w:t>
      </w:r>
      <w:r>
        <w:rPr>
          <w:rFonts w:ascii="Times New Roman" w:eastAsia="Times New Roman" w:hAnsi="Times New Roman" w:cs="Times New Roman"/>
          <w:sz w:val="24"/>
          <w:szCs w:val="24"/>
          <w:lang w:eastAsia="pl-PL"/>
        </w:rPr>
        <w:t>ą</w:t>
      </w:r>
      <w:r w:rsidRPr="00812F26">
        <w:rPr>
          <w:rFonts w:ascii="Times New Roman" w:eastAsia="Times New Roman" w:hAnsi="Times New Roman" w:cs="Times New Roman"/>
          <w:sz w:val="24"/>
          <w:szCs w:val="24"/>
          <w:lang w:eastAsia="pl-PL"/>
        </w:rPr>
        <w:t xml:space="preserve"> państwo członkowskie do zobowiązania m.in. przedsiębiorców zajmujących się wymianą walut wirtualnych do rejestracji.</w:t>
      </w:r>
    </w:p>
    <w:p w14:paraId="45C1AC34" w14:textId="0300CC20" w:rsidR="00C21D4B" w:rsidRPr="000B5114" w:rsidRDefault="00C21D4B" w:rsidP="00695ECE">
      <w:pPr>
        <w:spacing w:after="0" w:line="360" w:lineRule="auto"/>
        <w:ind w:left="709"/>
        <w:jc w:val="both"/>
        <w:rPr>
          <w:rFonts w:ascii="Times New Roman" w:eastAsia="Times New Roman" w:hAnsi="Times New Roman" w:cs="Arial"/>
          <w:b/>
          <w:bCs/>
          <w:sz w:val="24"/>
          <w:szCs w:val="20"/>
          <w:lang w:eastAsia="pl-PL"/>
        </w:rPr>
      </w:pPr>
      <w:r>
        <w:rPr>
          <w:rFonts w:ascii="Times New Roman" w:eastAsia="Times New Roman" w:hAnsi="Times New Roman" w:cs="Arial"/>
          <w:b/>
          <w:bCs/>
          <w:sz w:val="24"/>
          <w:szCs w:val="20"/>
          <w:lang w:eastAsia="pl-PL"/>
        </w:rPr>
        <w:t>XII</w:t>
      </w:r>
      <w:r w:rsidRPr="0060049C">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w:t>
      </w:r>
      <w:r w:rsidR="001878E4">
        <w:rPr>
          <w:rFonts w:ascii="Times New Roman" w:eastAsia="Times New Roman" w:hAnsi="Times New Roman" w:cs="Arial"/>
          <w:b/>
          <w:bCs/>
          <w:sz w:val="24"/>
          <w:szCs w:val="20"/>
          <w:lang w:eastAsia="pl-PL"/>
        </w:rPr>
        <w:t>7</w:t>
      </w:r>
      <w:r w:rsidRPr="0060049C">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19</w:t>
      </w:r>
      <w:r w:rsidRPr="0060049C">
        <w:rPr>
          <w:rFonts w:ascii="Times New Roman" w:eastAsia="Times New Roman" w:hAnsi="Times New Roman" w:cs="Arial"/>
          <w:b/>
          <w:bCs/>
          <w:sz w:val="24"/>
          <w:szCs w:val="20"/>
          <w:lang w:eastAsia="pl-PL"/>
        </w:rPr>
        <w:t xml:space="preserve"> </w:t>
      </w:r>
    </w:p>
    <w:p w14:paraId="31F816FD" w14:textId="77777777" w:rsidR="00C21D4B" w:rsidRDefault="00C21D4B" w:rsidP="00695ECE">
      <w:pPr>
        <w:spacing w:after="0" w:line="360" w:lineRule="auto"/>
        <w:ind w:left="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Zmiana brzmienia art. 129y </w:t>
      </w:r>
      <w:r w:rsidRPr="00812F26">
        <w:rPr>
          <w:rFonts w:ascii="Times New Roman" w:eastAsia="Times New Roman" w:hAnsi="Times New Roman" w:cs="Times New Roman"/>
          <w:sz w:val="24"/>
          <w:szCs w:val="24"/>
          <w:lang w:eastAsia="pl-PL"/>
        </w:rPr>
        <w:t>u.o.p.p.p.f.t.</w:t>
      </w:r>
      <w:r>
        <w:rPr>
          <w:rFonts w:ascii="Times New Roman" w:eastAsia="Times New Roman" w:hAnsi="Times New Roman" w:cs="Times New Roman"/>
          <w:sz w:val="24"/>
          <w:szCs w:val="24"/>
          <w:lang w:eastAsia="pl-PL"/>
        </w:rPr>
        <w:t xml:space="preserve"> jest zmianą wynikową związaną z uchyleniem przepisów dotyczących </w:t>
      </w:r>
      <w:r w:rsidRPr="00466108">
        <w:rPr>
          <w:rFonts w:ascii="Times New Roman" w:eastAsia="Times New Roman" w:hAnsi="Times New Roman" w:cs="Times New Roman"/>
          <w:sz w:val="24"/>
          <w:szCs w:val="24"/>
          <w:lang w:eastAsia="pl-PL"/>
        </w:rPr>
        <w:t>rejestru działalności w zakresie walut wirtualnych</w:t>
      </w:r>
      <w:r>
        <w:rPr>
          <w:rFonts w:ascii="Times New Roman" w:eastAsia="Times New Roman" w:hAnsi="Times New Roman" w:cs="Times New Roman"/>
          <w:sz w:val="24"/>
          <w:szCs w:val="24"/>
          <w:lang w:eastAsia="pl-PL"/>
        </w:rPr>
        <w:t xml:space="preserve">. </w:t>
      </w:r>
    </w:p>
    <w:p w14:paraId="1596C86C" w14:textId="50A39122" w:rsidR="00C21D4B" w:rsidRPr="000B5114" w:rsidRDefault="00C21D4B" w:rsidP="00695ECE">
      <w:pPr>
        <w:spacing w:after="0" w:line="360" w:lineRule="auto"/>
        <w:ind w:left="709"/>
        <w:jc w:val="both"/>
        <w:rPr>
          <w:rFonts w:ascii="Times New Roman" w:eastAsia="Times New Roman" w:hAnsi="Times New Roman" w:cs="Arial"/>
          <w:b/>
          <w:bCs/>
          <w:sz w:val="24"/>
          <w:szCs w:val="20"/>
          <w:lang w:eastAsia="pl-PL"/>
        </w:rPr>
      </w:pPr>
      <w:r w:rsidRPr="0060049C">
        <w:rPr>
          <w:rFonts w:ascii="Times New Roman" w:eastAsia="Times New Roman" w:hAnsi="Times New Roman" w:cs="Arial"/>
          <w:b/>
          <w:bCs/>
          <w:sz w:val="24"/>
          <w:szCs w:val="20"/>
          <w:lang w:eastAsia="pl-PL"/>
        </w:rPr>
        <w:t>X</w:t>
      </w:r>
      <w:r>
        <w:rPr>
          <w:rFonts w:ascii="Times New Roman" w:eastAsia="Times New Roman" w:hAnsi="Times New Roman" w:cs="Arial"/>
          <w:b/>
          <w:bCs/>
          <w:sz w:val="24"/>
          <w:szCs w:val="20"/>
          <w:lang w:eastAsia="pl-PL"/>
        </w:rPr>
        <w:t>III</w:t>
      </w:r>
      <w:r w:rsidRPr="0060049C">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w:t>
      </w:r>
      <w:r w:rsidR="001878E4">
        <w:rPr>
          <w:rFonts w:ascii="Times New Roman" w:eastAsia="Times New Roman" w:hAnsi="Times New Roman" w:cs="Arial"/>
          <w:b/>
          <w:bCs/>
          <w:sz w:val="24"/>
          <w:szCs w:val="20"/>
          <w:lang w:eastAsia="pl-PL"/>
        </w:rPr>
        <w:t>7</w:t>
      </w:r>
      <w:r w:rsidRPr="0060049C">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20</w:t>
      </w:r>
      <w:r w:rsidRPr="0060049C">
        <w:rPr>
          <w:rFonts w:ascii="Times New Roman" w:eastAsia="Times New Roman" w:hAnsi="Times New Roman" w:cs="Arial"/>
          <w:b/>
          <w:bCs/>
          <w:sz w:val="24"/>
          <w:szCs w:val="20"/>
          <w:lang w:eastAsia="pl-PL"/>
        </w:rPr>
        <w:t xml:space="preserve"> </w:t>
      </w:r>
    </w:p>
    <w:p w14:paraId="549388E9" w14:textId="77777777" w:rsidR="00C21D4B" w:rsidRPr="0060049C" w:rsidRDefault="00C21D4B" w:rsidP="00695ECE">
      <w:pPr>
        <w:spacing w:after="0" w:line="360" w:lineRule="auto"/>
        <w:ind w:left="709"/>
        <w:jc w:val="both"/>
        <w:rPr>
          <w:rFonts w:ascii="Times New Roman" w:eastAsia="Times New Roman" w:hAnsi="Times New Roman" w:cs="Arial"/>
          <w:b/>
          <w:bCs/>
          <w:sz w:val="24"/>
          <w:szCs w:val="20"/>
          <w:lang w:eastAsia="pl-PL"/>
        </w:rPr>
      </w:pPr>
      <w:r w:rsidRPr="0060049C">
        <w:rPr>
          <w:rFonts w:ascii="Times New Roman" w:eastAsia="Times New Roman" w:hAnsi="Times New Roman" w:cs="Arial"/>
          <w:sz w:val="24"/>
          <w:szCs w:val="20"/>
          <w:lang w:eastAsia="pl-PL"/>
        </w:rPr>
        <w:t xml:space="preserve">Dostosowuje się katalog kar administracyjnych. </w:t>
      </w:r>
      <w:r>
        <w:rPr>
          <w:rFonts w:ascii="Times New Roman" w:eastAsia="Times New Roman" w:hAnsi="Times New Roman" w:cs="Arial"/>
          <w:sz w:val="24"/>
          <w:szCs w:val="20"/>
          <w:lang w:eastAsia="pl-PL"/>
        </w:rPr>
        <w:t>P</w:t>
      </w:r>
      <w:r w:rsidRPr="0060049C">
        <w:rPr>
          <w:rFonts w:ascii="Times New Roman" w:eastAsia="Times New Roman" w:hAnsi="Times New Roman" w:cs="Arial"/>
          <w:sz w:val="24"/>
          <w:szCs w:val="20"/>
          <w:lang w:eastAsia="pl-PL"/>
        </w:rPr>
        <w:t>ierwsze sześć punktów nowelizowanego przepisu art. 148 u.o.p.p.p.f.t. odpowiada dotychczasowemu brzmieniu tej regulacji (zmieniono odesłanie z art. 14 i art. 16 rozporządzenia 2015/847 na odesłania do art. 24 i art. 26 rozporządzenia 2023/113, tak aby odpowiadał przepisom rozporządzenia 2023/1113). Natomiast nowe sankcj</w:t>
      </w:r>
      <w:r>
        <w:rPr>
          <w:rFonts w:ascii="Times New Roman" w:eastAsia="Times New Roman" w:hAnsi="Times New Roman" w:cs="Arial"/>
          <w:sz w:val="24"/>
          <w:szCs w:val="20"/>
          <w:lang w:eastAsia="pl-PL"/>
        </w:rPr>
        <w:t>e</w:t>
      </w:r>
      <w:r w:rsidRPr="0060049C">
        <w:rPr>
          <w:rFonts w:ascii="Times New Roman" w:eastAsia="Times New Roman" w:hAnsi="Times New Roman" w:cs="Arial"/>
          <w:sz w:val="24"/>
          <w:szCs w:val="20"/>
          <w:lang w:eastAsia="pl-PL"/>
        </w:rPr>
        <w:t xml:space="preserve"> </w:t>
      </w:r>
      <w:r>
        <w:rPr>
          <w:rFonts w:ascii="Times New Roman" w:eastAsia="Times New Roman" w:hAnsi="Times New Roman" w:cs="Times New Roman"/>
          <w:sz w:val="24"/>
          <w:szCs w:val="20"/>
          <w:lang w:eastAsia="pl-PL"/>
        </w:rPr>
        <w:t>−</w:t>
      </w:r>
      <w:r>
        <w:rPr>
          <w:rFonts w:ascii="Times New Roman" w:eastAsia="Times New Roman" w:hAnsi="Times New Roman" w:cs="Arial"/>
          <w:sz w:val="24"/>
          <w:szCs w:val="20"/>
          <w:lang w:eastAsia="pl-PL"/>
        </w:rPr>
        <w:t xml:space="preserve"> </w:t>
      </w:r>
      <w:r w:rsidRPr="0060049C">
        <w:rPr>
          <w:rFonts w:ascii="Times New Roman" w:eastAsia="Times New Roman" w:hAnsi="Times New Roman" w:cs="Arial"/>
          <w:sz w:val="24"/>
          <w:szCs w:val="20"/>
          <w:lang w:eastAsia="pl-PL"/>
        </w:rPr>
        <w:t xml:space="preserve">przewidziane w dalszych punktach art. 148 u.p.p.p.f.t. </w:t>
      </w:r>
      <w:r>
        <w:rPr>
          <w:rFonts w:ascii="Times New Roman" w:eastAsia="Times New Roman" w:hAnsi="Times New Roman" w:cs="Times New Roman"/>
          <w:sz w:val="24"/>
          <w:szCs w:val="20"/>
          <w:lang w:eastAsia="pl-PL"/>
        </w:rPr>
        <w:t>−</w:t>
      </w:r>
      <w:r w:rsidRPr="0060049C">
        <w:rPr>
          <w:rFonts w:ascii="Times New Roman" w:eastAsia="Times New Roman" w:hAnsi="Times New Roman" w:cs="Arial"/>
          <w:sz w:val="24"/>
          <w:szCs w:val="20"/>
          <w:lang w:eastAsia="pl-PL"/>
        </w:rPr>
        <w:t xml:space="preserve"> odpowiadają nowym obowiązkom informacyjnym w zakresie </w:t>
      </w:r>
      <w:proofErr w:type="spellStart"/>
      <w:r w:rsidRPr="0060049C">
        <w:rPr>
          <w:rFonts w:ascii="Times New Roman" w:eastAsia="Times New Roman" w:hAnsi="Times New Roman" w:cs="Arial"/>
          <w:sz w:val="24"/>
          <w:szCs w:val="20"/>
          <w:lang w:eastAsia="pl-PL"/>
        </w:rPr>
        <w:t>kryptoaktywów</w:t>
      </w:r>
      <w:proofErr w:type="spellEnd"/>
      <w:r w:rsidRPr="0060049C">
        <w:rPr>
          <w:rFonts w:ascii="Times New Roman" w:eastAsia="Times New Roman" w:hAnsi="Times New Roman" w:cs="Arial"/>
          <w:sz w:val="24"/>
          <w:szCs w:val="20"/>
          <w:lang w:eastAsia="pl-PL"/>
        </w:rPr>
        <w:t>.</w:t>
      </w:r>
    </w:p>
    <w:p w14:paraId="3AF83CE5" w14:textId="2E03B752" w:rsidR="00C21D4B" w:rsidRPr="0060049C" w:rsidRDefault="00C21D4B" w:rsidP="00695ECE">
      <w:pPr>
        <w:spacing w:after="0" w:line="360" w:lineRule="auto"/>
        <w:ind w:left="709"/>
        <w:jc w:val="both"/>
        <w:rPr>
          <w:rFonts w:ascii="Times New Roman" w:eastAsia="Times New Roman" w:hAnsi="Times New Roman" w:cs="Arial"/>
          <w:b/>
          <w:bCs/>
          <w:sz w:val="24"/>
          <w:szCs w:val="20"/>
          <w:lang w:eastAsia="pl-PL"/>
        </w:rPr>
      </w:pPr>
      <w:r w:rsidRPr="0060049C">
        <w:rPr>
          <w:rFonts w:ascii="Times New Roman" w:eastAsia="Times New Roman" w:hAnsi="Times New Roman" w:cs="Arial"/>
          <w:b/>
          <w:bCs/>
          <w:sz w:val="24"/>
          <w:szCs w:val="20"/>
          <w:lang w:eastAsia="pl-PL"/>
        </w:rPr>
        <w:t>X</w:t>
      </w:r>
      <w:r>
        <w:rPr>
          <w:rFonts w:ascii="Times New Roman" w:eastAsia="Times New Roman" w:hAnsi="Times New Roman" w:cs="Arial"/>
          <w:b/>
          <w:bCs/>
          <w:sz w:val="24"/>
          <w:szCs w:val="20"/>
          <w:lang w:eastAsia="pl-PL"/>
        </w:rPr>
        <w:t>IV</w:t>
      </w:r>
      <w:r w:rsidRPr="0060049C">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w:t>
      </w:r>
      <w:r w:rsidR="001878E4">
        <w:rPr>
          <w:rFonts w:ascii="Times New Roman" w:eastAsia="Times New Roman" w:hAnsi="Times New Roman" w:cs="Arial"/>
          <w:b/>
          <w:bCs/>
          <w:sz w:val="24"/>
          <w:szCs w:val="20"/>
          <w:lang w:eastAsia="pl-PL"/>
        </w:rPr>
        <w:t>7</w:t>
      </w:r>
      <w:r w:rsidRPr="0060049C">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2</w:t>
      </w:r>
      <w:r w:rsidRPr="0060049C">
        <w:rPr>
          <w:rFonts w:ascii="Times New Roman" w:eastAsia="Times New Roman" w:hAnsi="Times New Roman" w:cs="Arial"/>
          <w:b/>
          <w:bCs/>
          <w:sz w:val="24"/>
          <w:szCs w:val="20"/>
          <w:lang w:eastAsia="pl-PL"/>
        </w:rPr>
        <w:t>1</w:t>
      </w:r>
    </w:p>
    <w:p w14:paraId="6044E665" w14:textId="77777777" w:rsidR="00C21D4B" w:rsidRPr="0060049C" w:rsidRDefault="00C21D4B" w:rsidP="00695ECE">
      <w:pPr>
        <w:spacing w:after="0" w:line="360" w:lineRule="auto"/>
        <w:ind w:left="709"/>
        <w:jc w:val="both"/>
        <w:rPr>
          <w:rFonts w:ascii="Times New Roman" w:eastAsia="Times New Roman" w:hAnsi="Times New Roman" w:cs="Arial"/>
          <w:sz w:val="24"/>
          <w:szCs w:val="20"/>
          <w:lang w:eastAsia="pl-PL"/>
        </w:rPr>
      </w:pPr>
      <w:r w:rsidRPr="0060049C">
        <w:rPr>
          <w:rFonts w:ascii="Times New Roman" w:eastAsia="Times New Roman" w:hAnsi="Times New Roman" w:cs="Arial"/>
          <w:sz w:val="24"/>
          <w:szCs w:val="20"/>
          <w:lang w:eastAsia="pl-PL"/>
        </w:rPr>
        <w:t>W związku z likwidacją rejestru uchyla się przepis przewidujący karalność prowadzenia działalności w zakresie walut wirtualnych bez wpisu do rejestru.</w:t>
      </w:r>
    </w:p>
    <w:p w14:paraId="4E479C4A" w14:textId="5F9C99D5" w:rsidR="00C21D4B" w:rsidRPr="004B3F55" w:rsidRDefault="00C21D4B" w:rsidP="00781E1E">
      <w:pPr>
        <w:spacing w:line="360" w:lineRule="auto"/>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w:t>
      </w:r>
      <w:r w:rsidR="001878E4">
        <w:rPr>
          <w:rFonts w:ascii="Times New Roman" w:eastAsia="Times New Roman" w:hAnsi="Times New Roman" w:cs="Arial"/>
          <w:b/>
          <w:bCs/>
          <w:sz w:val="24"/>
          <w:szCs w:val="20"/>
          <w:lang w:eastAsia="pl-PL"/>
        </w:rPr>
        <w:t>8</w:t>
      </w:r>
      <w:r w:rsidRPr="00486C63">
        <w:rPr>
          <w:rFonts w:ascii="Times New Roman" w:eastAsia="Times New Roman" w:hAnsi="Times New Roman" w:cs="Arial"/>
          <w:b/>
          <w:bCs/>
          <w:sz w:val="24"/>
          <w:szCs w:val="20"/>
          <w:lang w:eastAsia="pl-PL"/>
        </w:rPr>
        <w:t xml:space="preserve">. </w:t>
      </w:r>
      <w:r w:rsidRPr="00486C63">
        <w:rPr>
          <w:rFonts w:ascii="Times New Roman" w:eastAsia="Times New Roman" w:hAnsi="Times New Roman" w:cs="Arial"/>
          <w:sz w:val="24"/>
          <w:szCs w:val="20"/>
          <w:lang w:eastAsia="pl-PL"/>
        </w:rPr>
        <w:t xml:space="preserve">Banki zamierzające prowadzić lub kontynuować działalność w zakresie emisji </w:t>
      </w:r>
      <w:proofErr w:type="spellStart"/>
      <w:r>
        <w:rPr>
          <w:rFonts w:ascii="Times New Roman" w:eastAsia="Times New Roman" w:hAnsi="Times New Roman" w:cs="Arial"/>
          <w:sz w:val="24"/>
          <w:szCs w:val="20"/>
          <w:lang w:eastAsia="pl-PL"/>
        </w:rPr>
        <w:t>tokenów</w:t>
      </w:r>
      <w:proofErr w:type="spellEnd"/>
      <w:r>
        <w:rPr>
          <w:rFonts w:ascii="Times New Roman" w:eastAsia="Times New Roman" w:hAnsi="Times New Roman" w:cs="Arial"/>
          <w:sz w:val="24"/>
          <w:szCs w:val="20"/>
          <w:lang w:eastAsia="pl-PL"/>
        </w:rPr>
        <w:t xml:space="preserve"> będących e-pieniądzem</w:t>
      </w:r>
      <w:r w:rsidRPr="00486C63">
        <w:rPr>
          <w:rFonts w:ascii="Times New Roman" w:eastAsia="Times New Roman" w:hAnsi="Times New Roman" w:cs="Arial"/>
          <w:sz w:val="24"/>
          <w:szCs w:val="20"/>
          <w:lang w:eastAsia="pl-PL"/>
        </w:rPr>
        <w:t xml:space="preserve">, po </w:t>
      </w:r>
      <w:r>
        <w:rPr>
          <w:rFonts w:ascii="Times New Roman" w:eastAsia="Times New Roman" w:hAnsi="Times New Roman" w:cs="Arial"/>
          <w:sz w:val="24"/>
          <w:szCs w:val="20"/>
          <w:lang w:eastAsia="pl-PL"/>
        </w:rPr>
        <w:t xml:space="preserve">dniu wejścia w życie </w:t>
      </w:r>
      <w:r w:rsidRPr="00486C63">
        <w:rPr>
          <w:rFonts w:ascii="Times New Roman" w:eastAsia="Times New Roman" w:hAnsi="Times New Roman" w:cs="Arial"/>
          <w:sz w:val="24"/>
          <w:szCs w:val="20"/>
          <w:lang w:eastAsia="pl-PL"/>
        </w:rPr>
        <w:t xml:space="preserve">ustawy powinny zostać zobowiązane do dostosowania swoich statutów do przepisów ustawy– Prawo bankowe w brzmieniu nadanym </w:t>
      </w:r>
      <w:r>
        <w:rPr>
          <w:rFonts w:ascii="Times New Roman" w:eastAsia="Times New Roman" w:hAnsi="Times New Roman" w:cs="Arial"/>
          <w:sz w:val="24"/>
          <w:szCs w:val="20"/>
          <w:lang w:eastAsia="pl-PL"/>
        </w:rPr>
        <w:t>projektowaną</w:t>
      </w:r>
      <w:r w:rsidRPr="00486C63">
        <w:rPr>
          <w:rFonts w:ascii="Times New Roman" w:eastAsia="Times New Roman" w:hAnsi="Times New Roman" w:cs="Arial"/>
          <w:sz w:val="24"/>
          <w:szCs w:val="20"/>
          <w:lang w:eastAsia="pl-PL"/>
        </w:rPr>
        <w:t xml:space="preserve"> ustawą. W tym celu w przepisach przejściowych wyznacza się bankom termin na takie dostosowanie.</w:t>
      </w:r>
      <w:r w:rsidRPr="00486C63">
        <w:rPr>
          <w:rFonts w:eastAsiaTheme="minorEastAsia"/>
        </w:rPr>
        <w:t xml:space="preserve"> </w:t>
      </w:r>
      <w:r w:rsidRPr="00486C63">
        <w:rPr>
          <w:rFonts w:ascii="Times New Roman" w:eastAsia="Times New Roman" w:hAnsi="Times New Roman" w:cs="Arial"/>
          <w:sz w:val="24"/>
          <w:szCs w:val="20"/>
          <w:lang w:eastAsia="pl-PL"/>
        </w:rPr>
        <w:t>Zarówno z ustawy– Prawo bankowe</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jak i z </w:t>
      </w:r>
      <w:r>
        <w:rPr>
          <w:rFonts w:ascii="Times New Roman" w:eastAsia="Times New Roman" w:hAnsi="Times New Roman" w:cs="Arial"/>
          <w:sz w:val="24"/>
          <w:szCs w:val="20"/>
          <w:lang w:eastAsia="pl-PL"/>
        </w:rPr>
        <w:t>d</w:t>
      </w:r>
      <w:r w:rsidRPr="00486C63">
        <w:rPr>
          <w:rFonts w:ascii="Times New Roman" w:eastAsia="Times New Roman" w:hAnsi="Times New Roman" w:cs="Arial"/>
          <w:sz w:val="24"/>
          <w:szCs w:val="20"/>
          <w:lang w:eastAsia="pl-PL"/>
        </w:rPr>
        <w:t xml:space="preserve">yrektywy </w:t>
      </w:r>
      <w:r w:rsidRPr="00337A72">
        <w:rPr>
          <w:rFonts w:ascii="Times New Roman" w:hAnsi="Times New Roman" w:cs="Times New Roman"/>
          <w:color w:val="333333"/>
          <w:sz w:val="24"/>
          <w:szCs w:val="24"/>
          <w:shd w:val="clear" w:color="auto" w:fill="FFFFFF"/>
        </w:rPr>
        <w:t>Parlamentu Europejskiego i Rady 2013/36/UE z dnia 26 czerwca 2013 r. w sprawie warunków dopuszczenia instytucji kredytowych do działalności oraz nadzoru ostrożnościowego nad instytucjami kredytowymi i firmami inwestycyjnymi, zmieniając</w:t>
      </w:r>
      <w:r>
        <w:rPr>
          <w:rFonts w:ascii="Times New Roman" w:hAnsi="Times New Roman" w:cs="Times New Roman"/>
          <w:color w:val="333333"/>
          <w:sz w:val="24"/>
          <w:szCs w:val="24"/>
          <w:shd w:val="clear" w:color="auto" w:fill="FFFFFF"/>
        </w:rPr>
        <w:t>ej</w:t>
      </w:r>
      <w:r w:rsidRPr="00337A72">
        <w:rPr>
          <w:rFonts w:ascii="Times New Roman" w:hAnsi="Times New Roman" w:cs="Times New Roman"/>
          <w:color w:val="333333"/>
          <w:sz w:val="24"/>
          <w:szCs w:val="24"/>
          <w:shd w:val="clear" w:color="auto" w:fill="FFFFFF"/>
        </w:rPr>
        <w:t xml:space="preserve"> dyrektywę 2002/87/WE i uchylająca dyrektywy 2006/48/WE oraz 2006/49/WE</w:t>
      </w:r>
      <w:r>
        <w:rPr>
          <w:rFonts w:ascii="Times New Roman" w:hAnsi="Times New Roman" w:cs="Times New Roman"/>
          <w:color w:val="333333"/>
          <w:sz w:val="24"/>
          <w:szCs w:val="24"/>
          <w:shd w:val="clear" w:color="auto" w:fill="FFFFFF"/>
        </w:rPr>
        <w:t xml:space="preserve"> </w:t>
      </w:r>
      <w:r w:rsidRPr="00486C63">
        <w:rPr>
          <w:rFonts w:ascii="Times New Roman" w:eastAsia="Times New Roman" w:hAnsi="Times New Roman" w:cs="Arial"/>
          <w:sz w:val="24"/>
          <w:szCs w:val="20"/>
          <w:lang w:eastAsia="pl-PL"/>
        </w:rPr>
        <w:t>wynika, że banki</w:t>
      </w:r>
      <w:r>
        <w:rPr>
          <w:rFonts w:ascii="Times New Roman" w:eastAsia="Times New Roman" w:hAnsi="Times New Roman" w:cs="Arial"/>
          <w:sz w:val="24"/>
          <w:szCs w:val="20"/>
          <w:lang w:eastAsia="pl-PL"/>
        </w:rPr>
        <w:t xml:space="preserve"> czy </w:t>
      </w:r>
      <w:r w:rsidRPr="00486C63">
        <w:rPr>
          <w:rFonts w:ascii="Times New Roman" w:eastAsia="Times New Roman" w:hAnsi="Times New Roman" w:cs="Arial"/>
          <w:sz w:val="24"/>
          <w:szCs w:val="20"/>
          <w:lang w:eastAsia="pl-PL"/>
        </w:rPr>
        <w:t>instytucje kredytowe mogą prowadzić działalność w zakresie określonym w zezwoleniu właściwych władz nadzorczych wydawanym na podstawie przepisów dotyczących zapewnienia ostrożnego i stabilnego zarządzania bankiem. Wprowadzenie uregulowanej szczególnymi przepisami formy pieniądza elektronicznego wymaga traktowania jej jako nowego, dodatkowego rodzaju działalności, wymagającego uwzględnienia go w licencji bankowej, po ostrożnościowej ocenie i akceptacji organu nadzoru. W polskim prawie bankowym uwzględnienie takie i akceptacja odbywają się poprzez stosowną zmianę statutu banku poddaną procedurze zezwolenia KNF, o której mowa w art. 34 ust. 2 ustawy</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 xml:space="preserve">– Prawo bankowe. </w:t>
      </w:r>
    </w:p>
    <w:p w14:paraId="2C43966E" w14:textId="15C66071" w:rsidR="00C21D4B" w:rsidRPr="00486C63" w:rsidRDefault="00C21D4B" w:rsidP="00781E1E">
      <w:pPr>
        <w:spacing w:line="360" w:lineRule="auto"/>
        <w:ind w:left="709"/>
        <w:contextualSpacing/>
        <w:jc w:val="both"/>
        <w:rPr>
          <w:rFonts w:ascii="Times New Roman" w:eastAsia="Times New Roman" w:hAnsi="Times New Roman" w:cs="Arial"/>
          <w:b/>
          <w:bCs/>
          <w:sz w:val="24"/>
          <w:szCs w:val="20"/>
          <w:lang w:eastAsia="pl-PL"/>
        </w:rPr>
      </w:pPr>
      <w:r w:rsidRPr="00DC0CBA">
        <w:rPr>
          <w:rFonts w:ascii="Times New Roman" w:eastAsia="Times New Roman" w:hAnsi="Times New Roman" w:cs="Arial"/>
          <w:b/>
          <w:bCs/>
          <w:sz w:val="24"/>
          <w:szCs w:val="20"/>
          <w:lang w:eastAsia="pl-PL"/>
        </w:rPr>
        <w:t>Art. 15</w:t>
      </w:r>
      <w:r w:rsidR="001878E4">
        <w:rPr>
          <w:rFonts w:ascii="Times New Roman" w:eastAsia="Times New Roman" w:hAnsi="Times New Roman" w:cs="Arial"/>
          <w:b/>
          <w:bCs/>
          <w:sz w:val="24"/>
          <w:szCs w:val="20"/>
          <w:lang w:eastAsia="pl-PL"/>
        </w:rPr>
        <w:t>9</w:t>
      </w:r>
      <w:r w:rsidRPr="00DC0CBA">
        <w:rPr>
          <w:rFonts w:ascii="Times New Roman" w:eastAsia="Times New Roman" w:hAnsi="Times New Roman" w:cs="Arial"/>
          <w:b/>
          <w:bCs/>
          <w:sz w:val="24"/>
          <w:szCs w:val="20"/>
          <w:lang w:eastAsia="pl-PL"/>
        </w:rPr>
        <w:t xml:space="preserve"> </w:t>
      </w:r>
      <w:r>
        <w:rPr>
          <w:rFonts w:ascii="Times New Roman" w:hAnsi="Times New Roman" w:cs="Times New Roman"/>
          <w:sz w:val="24"/>
          <w:szCs w:val="24"/>
        </w:rPr>
        <w:t>zawiera</w:t>
      </w:r>
      <w:r w:rsidRPr="00DC0CBA">
        <w:rPr>
          <w:rFonts w:ascii="Times New Roman" w:eastAsia="Times New Roman" w:hAnsi="Times New Roman" w:cs="Arial"/>
          <w:b/>
          <w:bCs/>
          <w:sz w:val="24"/>
          <w:szCs w:val="20"/>
          <w:lang w:eastAsia="pl-PL"/>
        </w:rPr>
        <w:t xml:space="preserve"> </w:t>
      </w:r>
      <w:r w:rsidRPr="00DC0CBA">
        <w:rPr>
          <w:rFonts w:ascii="Times New Roman" w:eastAsia="Times New Roman" w:hAnsi="Times New Roman" w:cs="Arial"/>
          <w:sz w:val="24"/>
          <w:szCs w:val="20"/>
          <w:lang w:eastAsia="pl-PL"/>
        </w:rPr>
        <w:t xml:space="preserve">przepisy przejściowe dla przedsiębiorców chcących kontynuować działalność </w:t>
      </w:r>
      <w:r>
        <w:rPr>
          <w:rFonts w:ascii="Times New Roman" w:eastAsia="Times New Roman" w:hAnsi="Times New Roman" w:cs="Arial"/>
          <w:sz w:val="24"/>
          <w:szCs w:val="20"/>
          <w:lang w:eastAsia="pl-PL"/>
        </w:rPr>
        <w:t xml:space="preserve">w charakterze </w:t>
      </w:r>
      <w:r w:rsidRPr="00DC0CBA">
        <w:rPr>
          <w:rFonts w:ascii="Times New Roman" w:eastAsia="Times New Roman" w:hAnsi="Times New Roman" w:cs="Arial"/>
          <w:sz w:val="24"/>
          <w:szCs w:val="20"/>
          <w:lang w:eastAsia="pl-PL"/>
        </w:rPr>
        <w:t>kantoru internetowego na nowych</w:t>
      </w:r>
      <w:r>
        <w:rPr>
          <w:rFonts w:ascii="Times New Roman" w:eastAsia="Times New Roman" w:hAnsi="Times New Roman" w:cs="Arial"/>
          <w:sz w:val="24"/>
          <w:szCs w:val="20"/>
          <w:lang w:eastAsia="pl-PL"/>
        </w:rPr>
        <w:t xml:space="preserve"> </w:t>
      </w:r>
      <w:r w:rsidRPr="00DC0CBA">
        <w:rPr>
          <w:rFonts w:ascii="Times New Roman" w:eastAsia="Times New Roman" w:hAnsi="Times New Roman" w:cs="Arial"/>
          <w:sz w:val="24"/>
          <w:szCs w:val="20"/>
          <w:lang w:eastAsia="pl-PL"/>
        </w:rPr>
        <w:t>zasadach.</w:t>
      </w:r>
      <w:r>
        <w:rPr>
          <w:rFonts w:ascii="Times New Roman" w:eastAsia="Times New Roman" w:hAnsi="Times New Roman" w:cs="Arial"/>
          <w:sz w:val="24"/>
          <w:szCs w:val="20"/>
          <w:lang w:eastAsia="pl-PL"/>
        </w:rPr>
        <w:t xml:space="preserve"> Zgodnie z zaproponowaną redakcją ust. 1, podmiot niebędący dostawcą usług płatniczych w rozumieniu ustawy </w:t>
      </w:r>
      <w:r w:rsidRPr="00D62B5E">
        <w:rPr>
          <w:rFonts w:ascii="Times New Roman" w:eastAsia="Times New Roman" w:hAnsi="Times New Roman" w:cs="Arial"/>
          <w:sz w:val="24"/>
          <w:szCs w:val="20"/>
          <w:lang w:eastAsia="pl-PL"/>
        </w:rPr>
        <w:t>z dnia 19 sierpnia 2011 r.</w:t>
      </w:r>
      <w:r>
        <w:rPr>
          <w:rFonts w:ascii="Times New Roman" w:eastAsia="Times New Roman" w:hAnsi="Times New Roman" w:cs="Arial"/>
          <w:sz w:val="24"/>
          <w:szCs w:val="20"/>
          <w:lang w:eastAsia="pl-PL"/>
        </w:rPr>
        <w:t xml:space="preserve"> o usługach płatniczych, który w dniu wejścia w życie projektowanej ustawy prowadzi </w:t>
      </w:r>
      <w:r w:rsidRPr="00834369">
        <w:rPr>
          <w:rFonts w:ascii="Times New Roman" w:eastAsia="Times New Roman" w:hAnsi="Times New Roman" w:cs="Arial"/>
          <w:sz w:val="24"/>
          <w:szCs w:val="20"/>
          <w:lang w:eastAsia="pl-PL"/>
        </w:rPr>
        <w:t>działalność gospodarczą w zakresie usług bezgotówkowej</w:t>
      </w:r>
      <w:r>
        <w:rPr>
          <w:rFonts w:ascii="Times New Roman" w:eastAsia="Times New Roman" w:hAnsi="Times New Roman" w:cs="Arial"/>
          <w:sz w:val="24"/>
          <w:szCs w:val="20"/>
          <w:lang w:eastAsia="pl-PL"/>
        </w:rPr>
        <w:t xml:space="preserve"> </w:t>
      </w:r>
      <w:r w:rsidRPr="00834369">
        <w:rPr>
          <w:rFonts w:ascii="Times New Roman" w:eastAsia="Times New Roman" w:hAnsi="Times New Roman" w:cs="Arial"/>
          <w:sz w:val="24"/>
          <w:szCs w:val="20"/>
          <w:lang w:eastAsia="pl-PL"/>
        </w:rPr>
        <w:t>wymiany walut w rozumieniu</w:t>
      </w:r>
      <w:r>
        <w:rPr>
          <w:rFonts w:ascii="Times New Roman" w:eastAsia="Times New Roman" w:hAnsi="Times New Roman" w:cs="Arial"/>
          <w:sz w:val="24"/>
          <w:szCs w:val="20"/>
          <w:lang w:eastAsia="pl-PL"/>
        </w:rPr>
        <w:t xml:space="preserve"> ustawy </w:t>
      </w:r>
      <w:r w:rsidRPr="00DA0B7B">
        <w:rPr>
          <w:rFonts w:ascii="Times New Roman" w:eastAsiaTheme="minorEastAsia" w:hAnsi="Times New Roman" w:cs="Times New Roman"/>
          <w:sz w:val="24"/>
          <w:szCs w:val="24"/>
        </w:rPr>
        <w:t>z dnia 27 lipca 2002 r. – Prawo dewizowe</w:t>
      </w:r>
      <w:r>
        <w:rPr>
          <w:rFonts w:ascii="Times New Roman" w:eastAsia="Times New Roman" w:hAnsi="Times New Roman" w:cs="Arial"/>
          <w:sz w:val="24"/>
          <w:szCs w:val="20"/>
          <w:lang w:eastAsia="pl-PL"/>
        </w:rPr>
        <w:t xml:space="preserve"> będzie zobowiązany, w terminie 6 miesięcy od dnia wejścia w życie projektowanej ustawy, dostosować swoją działalność do wymogów określonych w ustawie </w:t>
      </w:r>
      <w:r w:rsidRPr="00DA0B7B">
        <w:rPr>
          <w:rFonts w:ascii="Times New Roman" w:eastAsiaTheme="minorEastAsia" w:hAnsi="Times New Roman" w:cs="Times New Roman"/>
          <w:sz w:val="24"/>
          <w:szCs w:val="24"/>
        </w:rPr>
        <w:t>z dnia 27 lipca 2002 r. – Prawo dewizowe</w:t>
      </w:r>
      <w:r>
        <w:rPr>
          <w:rFonts w:ascii="Times New Roman" w:eastAsia="Times New Roman" w:hAnsi="Times New Roman" w:cs="Arial"/>
          <w:sz w:val="24"/>
          <w:szCs w:val="20"/>
          <w:lang w:eastAsia="pl-PL"/>
        </w:rPr>
        <w:t xml:space="preserve"> albo zakończyć swoją działalność. Ust. 2 natomiast odnosi się do sytuacji, w której do dostosowania działalności zgodnie z ust. 1 tego przepisu niezbędne będzie uzyskanie przez przedsiębiorcę zezwolenia KNF lub wpisu do rejestru prowadzonego przez KNF. Do czasu wydania przez Komisję takiego zezwolenia albo dokonania takiego wpisu podmiot będzie mógł kontynuować działalność w zakresie usług bezgotówkowej wymiany walut na dotychczasowych zasadach, pod warunkiem, że złoży wniosek o wydanie zezwolenia albo dokonanie wpisu do rejestru w terminie, o którym mowa w ust. 1 tego przepisu.</w:t>
      </w:r>
      <w:r w:rsidRPr="00D62B5E">
        <w:rPr>
          <w:rFonts w:ascii="Times New Roman" w:eastAsiaTheme="minorEastAsia" w:hAnsi="Times New Roman" w:cs="Arial"/>
          <w:sz w:val="24"/>
          <w:szCs w:val="20"/>
          <w:lang w:eastAsia="pl-PL"/>
        </w:rPr>
        <w:t xml:space="preserve"> </w:t>
      </w:r>
      <w:r w:rsidRPr="00D62B5E">
        <w:rPr>
          <w:rFonts w:ascii="Times New Roman" w:eastAsia="Times New Roman" w:hAnsi="Times New Roman" w:cs="Arial"/>
          <w:sz w:val="24"/>
          <w:szCs w:val="20"/>
          <w:lang w:eastAsia="pl-PL"/>
        </w:rPr>
        <w:t>W rezultacie, co zostało potwierdzone w ust. 3</w:t>
      </w:r>
      <w:r>
        <w:rPr>
          <w:rFonts w:ascii="Times New Roman" w:eastAsia="Times New Roman" w:hAnsi="Times New Roman" w:cs="Arial"/>
          <w:sz w:val="24"/>
          <w:szCs w:val="20"/>
          <w:lang w:eastAsia="pl-PL"/>
        </w:rPr>
        <w:t>,</w:t>
      </w:r>
      <w:r w:rsidRPr="00D62B5E">
        <w:rPr>
          <w:rFonts w:ascii="Times New Roman" w:eastAsia="Times New Roman" w:hAnsi="Times New Roman" w:cs="Arial"/>
          <w:sz w:val="24"/>
          <w:szCs w:val="20"/>
          <w:lang w:eastAsia="pl-PL"/>
        </w:rPr>
        <w:t xml:space="preserve"> w okresie przejściowym do takiego podmiotu nie będą miały zastosowania sankcje.</w:t>
      </w:r>
    </w:p>
    <w:p w14:paraId="37EEC1BE" w14:textId="476EBF86" w:rsidR="00C21D4B" w:rsidRPr="008C4767" w:rsidRDefault="00C21D4B" w:rsidP="00781E1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sidR="001878E4">
        <w:rPr>
          <w:rFonts w:ascii="Times New Roman" w:eastAsia="Times New Roman" w:hAnsi="Times New Roman" w:cs="Arial"/>
          <w:b/>
          <w:bCs/>
          <w:sz w:val="24"/>
          <w:szCs w:val="20"/>
          <w:lang w:eastAsia="pl-PL"/>
        </w:rPr>
        <w:t>60</w:t>
      </w:r>
      <w:r>
        <w:rPr>
          <w:rFonts w:ascii="Times New Roman" w:eastAsia="Times New Roman" w:hAnsi="Times New Roman" w:cs="Times New Roman"/>
          <w:b/>
          <w:bCs/>
          <w:sz w:val="24"/>
          <w:szCs w:val="20"/>
          <w:lang w:eastAsia="pl-PL"/>
        </w:rPr>
        <w:t xml:space="preserve"> i art. </w:t>
      </w:r>
      <w:r w:rsidRPr="00486C63">
        <w:rPr>
          <w:rFonts w:ascii="Times New Roman" w:eastAsia="Times New Roman" w:hAnsi="Times New Roman" w:cs="Arial"/>
          <w:b/>
          <w:bCs/>
          <w:sz w:val="24"/>
          <w:szCs w:val="20"/>
          <w:lang w:eastAsia="pl-PL"/>
        </w:rPr>
        <w:t>1</w:t>
      </w:r>
      <w:r>
        <w:rPr>
          <w:rFonts w:ascii="Times New Roman" w:eastAsia="Times New Roman" w:hAnsi="Times New Roman" w:cs="Arial"/>
          <w:b/>
          <w:bCs/>
          <w:sz w:val="24"/>
          <w:szCs w:val="20"/>
          <w:lang w:eastAsia="pl-PL"/>
        </w:rPr>
        <w:t>6</w:t>
      </w:r>
      <w:r w:rsidR="001878E4">
        <w:rPr>
          <w:rFonts w:ascii="Times New Roman" w:eastAsia="Times New Roman" w:hAnsi="Times New Roman" w:cs="Arial"/>
          <w:b/>
          <w:bCs/>
          <w:sz w:val="24"/>
          <w:szCs w:val="20"/>
          <w:lang w:eastAsia="pl-PL"/>
        </w:rPr>
        <w:t>1</w:t>
      </w:r>
      <w:r>
        <w:rPr>
          <w:rFonts w:ascii="Times New Roman" w:eastAsia="Times New Roman" w:hAnsi="Times New Roman" w:cs="Arial"/>
          <w:sz w:val="24"/>
          <w:szCs w:val="20"/>
          <w:lang w:eastAsia="pl-PL"/>
        </w:rPr>
        <w:t xml:space="preserve"> – </w:t>
      </w:r>
      <w:r w:rsidRPr="008C4767">
        <w:rPr>
          <w:rFonts w:ascii="Times New Roman" w:eastAsia="Times New Roman" w:hAnsi="Times New Roman" w:cs="Arial"/>
          <w:sz w:val="24"/>
          <w:szCs w:val="20"/>
          <w:lang w:eastAsia="pl-PL"/>
        </w:rPr>
        <w:t>Zaproponowane przepisy mają charakter przejściowy i regulują sytuację podmiotów wpisanych do rejestru działalności na rzecz spółek lub trustów w kontekście zmienionych warunków wpisu do tego rejestru w ustawie o przeciwdziałaniu praniu pieniędzy oraz finansowaniu terroryzmu. Przepis art. 16</w:t>
      </w:r>
      <w:r w:rsidR="001878E4">
        <w:rPr>
          <w:rFonts w:ascii="Times New Roman" w:eastAsia="Times New Roman" w:hAnsi="Times New Roman" w:cs="Arial"/>
          <w:sz w:val="24"/>
          <w:szCs w:val="20"/>
          <w:lang w:eastAsia="pl-PL"/>
        </w:rPr>
        <w:t>1</w:t>
      </w:r>
      <w:r w:rsidRPr="008C4767">
        <w:rPr>
          <w:rFonts w:ascii="Times New Roman" w:eastAsia="Times New Roman" w:hAnsi="Times New Roman" w:cs="Arial"/>
          <w:sz w:val="24"/>
          <w:szCs w:val="20"/>
          <w:lang w:eastAsia="pl-PL"/>
        </w:rPr>
        <w:t xml:space="preserve"> dotyczy uzupełnienia braków w zakresie warunków prowadzenia działalności gospodarczej określonego rodzaju. Wynikają one z wprowadzenia przez projektowaną ustawę nowych wymagań dla przedsiębiorcy. Natomiast proponowany termin 30 dni na spełnienie określonych warunków wynika z analizy innych obowiązujących w tej materii regulacji. Przede wszystkim sąd rejestrowy dokonuje wpisu do KRS w terminie do 7 dni (art. 20a ustawy z dnia 20 sierpnia 1997 r. o Krajowym Rejestrze Sądowym (Dz. U. z 2024 r. poz. 979, z </w:t>
      </w:r>
      <w:proofErr w:type="spellStart"/>
      <w:r w:rsidRPr="008C4767">
        <w:rPr>
          <w:rFonts w:ascii="Times New Roman" w:eastAsia="Times New Roman" w:hAnsi="Times New Roman" w:cs="Arial"/>
          <w:sz w:val="24"/>
          <w:szCs w:val="20"/>
          <w:lang w:eastAsia="pl-PL"/>
        </w:rPr>
        <w:t>późn</w:t>
      </w:r>
      <w:proofErr w:type="spellEnd"/>
      <w:r w:rsidRPr="008C4767">
        <w:rPr>
          <w:rFonts w:ascii="Times New Roman" w:eastAsia="Times New Roman" w:hAnsi="Times New Roman" w:cs="Arial"/>
          <w:sz w:val="24"/>
          <w:szCs w:val="20"/>
          <w:lang w:eastAsia="pl-PL"/>
        </w:rPr>
        <w:t xml:space="preserve">. zm.), w przypadku wniosków dotyczących spółek których umowy zostały zawarte przy wykorzystaniu wzorca umowy udostępnionego w systemie teleinformatycznym jest to jeden dzień (art. 20a ust.2 ww. ustawy). W przypadku </w:t>
      </w:r>
      <w:proofErr w:type="spellStart"/>
      <w:r w:rsidRPr="008C4767">
        <w:rPr>
          <w:rFonts w:ascii="Times New Roman" w:eastAsia="Times New Roman" w:hAnsi="Times New Roman" w:cs="Arial"/>
          <w:sz w:val="24"/>
          <w:szCs w:val="20"/>
          <w:lang w:eastAsia="pl-PL"/>
        </w:rPr>
        <w:t>CEiDG</w:t>
      </w:r>
      <w:proofErr w:type="spellEnd"/>
      <w:r w:rsidRPr="008C4767">
        <w:rPr>
          <w:rFonts w:ascii="Times New Roman" w:eastAsia="Times New Roman" w:hAnsi="Times New Roman" w:cs="Arial"/>
          <w:sz w:val="24"/>
          <w:szCs w:val="20"/>
          <w:lang w:eastAsia="pl-PL"/>
        </w:rPr>
        <w:t xml:space="preserve"> wpis następuje jeszcze szybciej, bo już następnego dnia roboczego (art. 6 ust. 1 ustawy z dnia 6 marca 2018 r. o Centralnej Ewidencji i Informacji o Działalności Gospodarczej i Punkcie Informacji dla Przedsiębiorcy (Dz. U. z 2022 r. poz. 541, z </w:t>
      </w:r>
      <w:proofErr w:type="spellStart"/>
      <w:r w:rsidRPr="008C4767">
        <w:rPr>
          <w:rFonts w:ascii="Times New Roman" w:eastAsia="Times New Roman" w:hAnsi="Times New Roman" w:cs="Arial"/>
          <w:sz w:val="24"/>
          <w:szCs w:val="20"/>
          <w:lang w:eastAsia="pl-PL"/>
        </w:rPr>
        <w:t>późn</w:t>
      </w:r>
      <w:proofErr w:type="spellEnd"/>
      <w:r w:rsidRPr="008C4767">
        <w:rPr>
          <w:rFonts w:ascii="Times New Roman" w:eastAsia="Times New Roman" w:hAnsi="Times New Roman" w:cs="Arial"/>
          <w:sz w:val="24"/>
          <w:szCs w:val="20"/>
          <w:lang w:eastAsia="pl-PL"/>
        </w:rPr>
        <w:t xml:space="preserve">. zm.). W związku z powyższym termin 30 dni należy uznać za wystarczający dla uzupełnienia odpowiednich wpisów. </w:t>
      </w:r>
    </w:p>
    <w:p w14:paraId="5D8B7050" w14:textId="2F997C04" w:rsidR="00C21D4B" w:rsidRPr="008F1EAE" w:rsidRDefault="00C21D4B" w:rsidP="00781E1E">
      <w:pPr>
        <w:spacing w:line="360" w:lineRule="auto"/>
        <w:ind w:left="709"/>
        <w:contextualSpacing/>
        <w:jc w:val="both"/>
        <w:rPr>
          <w:rFonts w:ascii="Times New Roman" w:eastAsia="Times New Roman" w:hAnsi="Times New Roman" w:cs="Arial"/>
          <w:sz w:val="24"/>
          <w:szCs w:val="20"/>
          <w:lang w:eastAsia="pl-PL"/>
        </w:rPr>
      </w:pPr>
      <w:r w:rsidRPr="008F1EAE">
        <w:rPr>
          <w:rFonts w:ascii="Times New Roman" w:eastAsia="Times New Roman" w:hAnsi="Times New Roman" w:cs="Arial"/>
          <w:b/>
          <w:bCs/>
          <w:sz w:val="24"/>
          <w:szCs w:val="20"/>
          <w:lang w:eastAsia="pl-PL"/>
        </w:rPr>
        <w:t>Art. 16</w:t>
      </w:r>
      <w:r w:rsidR="001878E4">
        <w:rPr>
          <w:rFonts w:ascii="Times New Roman" w:eastAsia="Times New Roman" w:hAnsi="Times New Roman" w:cs="Arial"/>
          <w:b/>
          <w:bCs/>
          <w:sz w:val="24"/>
          <w:szCs w:val="20"/>
          <w:lang w:eastAsia="pl-PL"/>
        </w:rPr>
        <w:t>2</w:t>
      </w:r>
      <w:r w:rsidRPr="008F1EAE">
        <w:rPr>
          <w:rFonts w:ascii="Times New Roman" w:eastAsia="Times New Roman" w:hAnsi="Times New Roman" w:cs="Arial"/>
          <w:b/>
          <w:bCs/>
          <w:sz w:val="24"/>
          <w:szCs w:val="20"/>
          <w:lang w:eastAsia="pl-PL"/>
        </w:rPr>
        <w:t xml:space="preserve"> </w:t>
      </w:r>
      <w:r w:rsidRPr="008F1EAE">
        <w:rPr>
          <w:rFonts w:ascii="Times New Roman" w:eastAsia="Times New Roman" w:hAnsi="Times New Roman" w:cs="Arial"/>
          <w:sz w:val="24"/>
          <w:szCs w:val="20"/>
          <w:lang w:eastAsia="pl-PL"/>
        </w:rPr>
        <w:t xml:space="preserve">stanowi, że podmioty świadczące w dniu 29 grudnia 2024 r. usługi w zakresie </w:t>
      </w:r>
      <w:proofErr w:type="spellStart"/>
      <w:r w:rsidRPr="008F1EAE">
        <w:rPr>
          <w:rFonts w:ascii="Times New Roman" w:eastAsia="Times New Roman" w:hAnsi="Times New Roman" w:cs="Arial"/>
          <w:sz w:val="24"/>
          <w:szCs w:val="20"/>
          <w:lang w:eastAsia="pl-PL"/>
        </w:rPr>
        <w:t>kryptoaktywów</w:t>
      </w:r>
      <w:proofErr w:type="spellEnd"/>
      <w:r w:rsidRPr="008F1EAE">
        <w:rPr>
          <w:rFonts w:ascii="Times New Roman" w:eastAsia="Times New Roman" w:hAnsi="Times New Roman" w:cs="Arial"/>
          <w:sz w:val="24"/>
          <w:szCs w:val="20"/>
          <w:lang w:eastAsia="pl-PL"/>
        </w:rPr>
        <w:t xml:space="preserve"> w rozumieniu rozporządzenia 2023/1114,</w:t>
      </w:r>
      <w:r w:rsidRPr="008F1EAE">
        <w:rPr>
          <w:rFonts w:eastAsiaTheme="minorEastAsia"/>
        </w:rPr>
        <w:t xml:space="preserve"> </w:t>
      </w:r>
      <w:r w:rsidRPr="008F1EAE">
        <w:rPr>
          <w:rFonts w:ascii="Times New Roman" w:eastAsia="Times New Roman" w:hAnsi="Times New Roman" w:cs="Arial"/>
          <w:sz w:val="24"/>
          <w:szCs w:val="20"/>
          <w:lang w:eastAsia="pl-PL"/>
        </w:rPr>
        <w:t>niebędące działalnością w zakresie walut wirtualnych zgodnie z przepisami ustawy zmienianej w art. 15</w:t>
      </w:r>
      <w:r w:rsidR="001878E4">
        <w:rPr>
          <w:rFonts w:ascii="Times New Roman" w:eastAsia="Times New Roman" w:hAnsi="Times New Roman" w:cs="Arial"/>
          <w:sz w:val="24"/>
          <w:szCs w:val="20"/>
          <w:lang w:eastAsia="pl-PL"/>
        </w:rPr>
        <w:t>7</w:t>
      </w:r>
      <w:r>
        <w:rPr>
          <w:rFonts w:ascii="Times New Roman" w:eastAsia="Times New Roman" w:hAnsi="Times New Roman" w:cs="Arial"/>
          <w:sz w:val="24"/>
          <w:szCs w:val="20"/>
          <w:lang w:eastAsia="pl-PL"/>
        </w:rPr>
        <w:t xml:space="preserve"> projektu ustawy</w:t>
      </w:r>
      <w:r w:rsidRPr="008F1EAE">
        <w:rPr>
          <w:rFonts w:ascii="Times New Roman" w:eastAsia="Times New Roman" w:hAnsi="Times New Roman" w:cs="Arial"/>
          <w:sz w:val="24"/>
          <w:szCs w:val="20"/>
          <w:lang w:eastAsia="pl-PL"/>
        </w:rPr>
        <w:t xml:space="preserve">, będą </w:t>
      </w:r>
      <w:r w:rsidRPr="00C1789E">
        <w:rPr>
          <w:rFonts w:ascii="Times New Roman" w:eastAsia="Times New Roman" w:hAnsi="Times New Roman" w:cs="Arial"/>
          <w:sz w:val="24"/>
          <w:szCs w:val="20"/>
          <w:lang w:eastAsia="pl-PL"/>
        </w:rPr>
        <w:t>mogły świadczyć dalej te usługi na dotychczasowych zasadach do dnia uzyskania zezwolenia, o którym mowa w art. 59 ust. 1 lit. a tego rozporządzenia, albo odmowy udzielenia tego zezwolenia. Przepis wskazuje również maksymalny okres świadczenia tych usług na dotychczasowych warunkach, tj.</w:t>
      </w:r>
      <w:r w:rsidRPr="004B3F55">
        <w:rPr>
          <w:rFonts w:ascii="Times" w:eastAsiaTheme="minorEastAsia" w:hAnsi="Times" w:cs="Arial"/>
          <w:sz w:val="20"/>
          <w:szCs w:val="20"/>
          <w:lang w:eastAsia="pl-PL"/>
        </w:rPr>
        <w:t xml:space="preserve"> </w:t>
      </w:r>
      <w:r w:rsidRPr="004B3F55">
        <w:rPr>
          <w:rFonts w:ascii="Times New Roman" w:eastAsia="Times New Roman" w:hAnsi="Times New Roman" w:cs="Arial"/>
          <w:sz w:val="24"/>
          <w:szCs w:val="20"/>
          <w:lang w:eastAsia="pl-PL"/>
        </w:rPr>
        <w:t>nie dłużej niż do dnia 1 lipca 2026 r.</w:t>
      </w:r>
    </w:p>
    <w:p w14:paraId="4960822E" w14:textId="215D7A75" w:rsidR="00C21D4B" w:rsidRPr="004C2C9D" w:rsidRDefault="00C21D4B" w:rsidP="00781E1E">
      <w:pPr>
        <w:spacing w:line="360" w:lineRule="auto"/>
        <w:ind w:left="709"/>
        <w:contextualSpacing/>
        <w:jc w:val="both"/>
        <w:rPr>
          <w:rFonts w:ascii="Times New Roman" w:eastAsia="Times New Roman" w:hAnsi="Times New Roman" w:cs="Arial"/>
          <w:sz w:val="24"/>
          <w:szCs w:val="20"/>
          <w:lang w:eastAsia="pl-PL"/>
        </w:rPr>
      </w:pPr>
      <w:r w:rsidRPr="00D86159">
        <w:rPr>
          <w:rFonts w:ascii="Times New Roman" w:eastAsia="Times New Roman" w:hAnsi="Times New Roman" w:cs="Arial"/>
          <w:sz w:val="24"/>
          <w:szCs w:val="20"/>
          <w:lang w:eastAsia="pl-PL"/>
        </w:rPr>
        <w:t xml:space="preserve">W </w:t>
      </w:r>
      <w:r w:rsidRPr="00D86159">
        <w:rPr>
          <w:rFonts w:ascii="Times New Roman" w:eastAsia="Times New Roman" w:hAnsi="Times New Roman" w:cs="Arial"/>
          <w:b/>
          <w:bCs/>
          <w:sz w:val="24"/>
          <w:szCs w:val="20"/>
          <w:lang w:eastAsia="pl-PL"/>
        </w:rPr>
        <w:t>art. 16</w:t>
      </w:r>
      <w:r w:rsidR="001878E4">
        <w:rPr>
          <w:rFonts w:ascii="Times New Roman" w:eastAsia="Times New Roman" w:hAnsi="Times New Roman" w:cs="Arial"/>
          <w:b/>
          <w:bCs/>
          <w:sz w:val="24"/>
          <w:szCs w:val="20"/>
          <w:lang w:eastAsia="pl-PL"/>
        </w:rPr>
        <w:t>3</w:t>
      </w:r>
      <w:r w:rsidRPr="00D86159">
        <w:rPr>
          <w:rFonts w:ascii="Times New Roman" w:eastAsia="Times New Roman" w:hAnsi="Times New Roman" w:cs="Arial"/>
          <w:sz w:val="24"/>
          <w:szCs w:val="20"/>
          <w:lang w:eastAsia="pl-PL"/>
        </w:rPr>
        <w:t xml:space="preserve"> zaproponowano przepisy przejściowe dotyczące rejestru działalności w zakresie walut wirtualnych oraz podmiotów do niego wpisanych. Planowane jest rozszerzenie przesłanek wykreślenia z rejestru podmiotów do niego wpisanych. Projektowane przesłanki wykreślenia z rejestru dopełniają funkcjonowanie rejestru poprzez umożliwienie organowi prowadzącemu rejestr wykreślanie z rejestrów tych podmiotów, co do których nie ma możliwości sprawdzenia wypełniania warunków wpisu do rejestru czy zgodności ich działania z przepisami </w:t>
      </w:r>
      <w:bookmarkStart w:id="37" w:name="_Hlk197349273"/>
      <w:r w:rsidRPr="00D86159">
        <w:rPr>
          <w:rFonts w:ascii="Times New Roman" w:eastAsia="Times New Roman" w:hAnsi="Times New Roman" w:cs="Arial"/>
          <w:sz w:val="24"/>
          <w:szCs w:val="20"/>
          <w:lang w:eastAsia="pl-PL"/>
        </w:rPr>
        <w:t>u.o.p.p.p.f.t.</w:t>
      </w:r>
      <w:bookmarkEnd w:id="37"/>
      <w:r w:rsidRPr="00D86159">
        <w:rPr>
          <w:rFonts w:ascii="Times New Roman" w:eastAsia="Times New Roman" w:hAnsi="Times New Roman" w:cs="Arial"/>
          <w:sz w:val="24"/>
          <w:szCs w:val="20"/>
          <w:lang w:eastAsia="pl-PL"/>
        </w:rPr>
        <w:t xml:space="preserve"> W konsekwencji ograniczone zostanie ryzyko (istniejące na gruncie obecnie obowiązujących przepisów) dla uczestników rynku, związane z faktem, że uzyskanie wpisu do rejestru jest stosunkowo proste, a jednocześnie warunki wykreślenia podmiotu z rejestru są bardzo ograniczone. To powoduje, że podmioty wpisują się do rejestrów, natomiast organy administracji publicznej mają relatywnie mały wpływ na te podmioty. Instytucje obowiązane wpisane do rejestrów działają w obszarze wysokiego ryzyka prania pieniędzy (vide: Krajowa ocena ryzyka prania pieniędzy oraz finansowania terroryzmu z 2023 r.). Jednocześnie w celu przeciwdziałania praniu pieniędzy oraz minimalizowaniu tego ryzyka, Generalny Inspektor Informacji Finansowej podejmuje próby uzyskania informacji od podmiotów wpisanych do rejestrów. Brak udzielania odpowiedzi na żądania informacji zostaje wprowadzony jako warunek wykreślenia rejestru, co pozwoli częściowo ograniczyć ryzyko związane z funkcjonowaniem podmiotów wpisanych do rejestru. Podobnie brak współpracy podmiotu wpisanego do rejestru, w przypadku kontroli spełniania warunków wpisu, będzie warunkiem wykreślenia z rejestru, co doprowadzi do większej efektywności działań organu prowadzącego rejestr. W efekcie wprowadzonych zmian podmioty wpisane na dzień wejścia w życie projektowanej ustawy do rejestru działalności w zakresie walut wirtualnych będą uprawnione do prowadzenia działalności do czasu uzyskania zezwolenia, o którym mowa w art. 59 ust. 1 lit. a rozporządzenia 2023/1114, lecz nie dłużej niż</w:t>
      </w:r>
      <w:r>
        <w:rPr>
          <w:rFonts w:ascii="Times New Roman" w:eastAsia="Times New Roman" w:hAnsi="Times New Roman" w:cs="Arial"/>
          <w:sz w:val="24"/>
          <w:szCs w:val="20"/>
          <w:lang w:eastAsia="pl-PL"/>
        </w:rPr>
        <w:t xml:space="preserve"> </w:t>
      </w:r>
      <w:r w:rsidRPr="00EF19A5">
        <w:rPr>
          <w:rFonts w:ascii="Times New Roman" w:eastAsia="Times New Roman" w:hAnsi="Times New Roman" w:cs="Arial"/>
          <w:sz w:val="24"/>
          <w:szCs w:val="20"/>
          <w:lang w:eastAsia="pl-PL"/>
        </w:rPr>
        <w:t>do dnia 1 lipca 2026 r.</w:t>
      </w:r>
      <w:r w:rsidRPr="00D86159">
        <w:rPr>
          <w:rFonts w:ascii="Times New Roman" w:eastAsia="Times New Roman" w:hAnsi="Times New Roman" w:cs="Arial"/>
          <w:sz w:val="24"/>
          <w:szCs w:val="20"/>
          <w:lang w:eastAsia="pl-PL"/>
        </w:rPr>
        <w:t xml:space="preserve"> Jednak w przypadku wykreślenia podmiotu z listy podmiotów uprawnionych do czasowego prowadzenia działalności w zakresie walut wirtualnych podmiot ten utraci także to czasowe prawo do prowadzenia działalności w tym obszarze. Dotychczasowe zasady prowadzenia działalności to zasady określające ramy prowadzenie regulowanej działalności gospodarczej w przedmiotowym zakresie, dotyczące jej podejmowania oraz zakończenia. Prowadzenie działalności zgodnie z dotychczasowymi zasadami nie zwalnia przedsiębiorcy z innych obowiązków nałożonych z mocy prawa. Ust. 4</w:t>
      </w:r>
      <w:r>
        <w:rPr>
          <w:rFonts w:ascii="Times New Roman" w:eastAsia="Times New Roman" w:hAnsi="Times New Roman" w:cs="Arial"/>
          <w:sz w:val="24"/>
          <w:szCs w:val="20"/>
          <w:lang w:eastAsia="pl-PL"/>
        </w:rPr>
        <w:t xml:space="preserve"> p</w:t>
      </w:r>
      <w:r w:rsidRPr="00D86159">
        <w:rPr>
          <w:rFonts w:ascii="Times New Roman" w:eastAsia="Times New Roman" w:hAnsi="Times New Roman" w:cs="Arial"/>
          <w:sz w:val="24"/>
          <w:szCs w:val="20"/>
          <w:lang w:eastAsia="pl-PL"/>
        </w:rPr>
        <w:t>rzesądza, że działalność wskazana w tym przepisie jest nadal działalnością regulowaną w rozumieniu przepisów ustawy z dnia 6 marca 2018 r. – Prawo przedsiębiorców. Ust.</w:t>
      </w:r>
      <w:r>
        <w:rPr>
          <w:rFonts w:ascii="Times New Roman" w:eastAsia="Times New Roman" w:hAnsi="Times New Roman" w:cs="Arial"/>
          <w:sz w:val="24"/>
          <w:szCs w:val="20"/>
          <w:lang w:eastAsia="pl-PL"/>
        </w:rPr>
        <w:t> </w:t>
      </w:r>
      <w:r w:rsidRPr="00D86159">
        <w:rPr>
          <w:rFonts w:ascii="Times New Roman" w:eastAsia="Times New Roman" w:hAnsi="Times New Roman" w:cs="Arial"/>
          <w:sz w:val="24"/>
          <w:szCs w:val="20"/>
          <w:lang w:eastAsia="pl-PL"/>
        </w:rPr>
        <w:t xml:space="preserve">5 odnosi się do kontroli wykonywania przez podmioty, o których mowa w ust. 1, obowiązków w zakresie przeciwdziałania praniu pieniędzy oraz finansowaniu terroryzmu. Ust. 6 wskazuje, że do postępowań administracyjnych w zakresie wykreślenia podmiotu z rejestru działalności w zakresie walut wirtualnych stosuje się odpowiednio art. 129k ust. 2 </w:t>
      </w:r>
      <w:r w:rsidRPr="00CC725B">
        <w:rPr>
          <w:rFonts w:ascii="Times New Roman" w:eastAsia="Times New Roman" w:hAnsi="Times New Roman" w:cs="Arial"/>
          <w:sz w:val="24"/>
          <w:szCs w:val="20"/>
          <w:lang w:eastAsia="pl-PL"/>
        </w:rPr>
        <w:t>u.o.p.p.p.f.t.</w:t>
      </w:r>
      <w:r w:rsidRPr="00D86159">
        <w:rPr>
          <w:rFonts w:ascii="Times New Roman" w:eastAsia="Times New Roman" w:hAnsi="Times New Roman" w:cs="Arial"/>
          <w:sz w:val="24"/>
          <w:szCs w:val="20"/>
          <w:lang w:eastAsia="pl-PL"/>
        </w:rPr>
        <w:t xml:space="preserve">, w brzmieniu nadanym </w:t>
      </w:r>
      <w:r>
        <w:rPr>
          <w:rFonts w:ascii="Times New Roman" w:eastAsia="Times New Roman" w:hAnsi="Times New Roman" w:cs="Arial"/>
          <w:sz w:val="24"/>
          <w:szCs w:val="20"/>
          <w:lang w:eastAsia="pl-PL"/>
        </w:rPr>
        <w:t>projektowaną</w:t>
      </w:r>
      <w:r w:rsidRPr="00D86159">
        <w:rPr>
          <w:rFonts w:ascii="Times New Roman" w:eastAsia="Times New Roman" w:hAnsi="Times New Roman" w:cs="Arial"/>
          <w:sz w:val="24"/>
          <w:szCs w:val="20"/>
          <w:lang w:eastAsia="pl-PL"/>
        </w:rPr>
        <w:t xml:space="preserve"> ustawą.</w:t>
      </w:r>
      <w:r w:rsidRPr="00D86159" w:rsidDel="00467012">
        <w:rPr>
          <w:rFonts w:ascii="Times New Roman" w:eastAsia="Times New Roman" w:hAnsi="Times New Roman" w:cs="Arial"/>
          <w:sz w:val="24"/>
          <w:szCs w:val="20"/>
          <w:lang w:eastAsia="pl-PL"/>
        </w:rPr>
        <w:t xml:space="preserve"> </w:t>
      </w:r>
      <w:r w:rsidRPr="00D86159">
        <w:rPr>
          <w:rFonts w:ascii="Times New Roman" w:eastAsia="Times New Roman" w:hAnsi="Times New Roman" w:cs="Arial"/>
          <w:sz w:val="24"/>
          <w:szCs w:val="20"/>
          <w:lang w:eastAsia="pl-PL"/>
        </w:rPr>
        <w:t xml:space="preserve">Ust. 7 dotyczy przypadku, o którym mowa w ust. 1 i 2 tego przepisu, w którym to stosuje się przepisy </w:t>
      </w:r>
      <w:r w:rsidRPr="00CC725B">
        <w:rPr>
          <w:rFonts w:ascii="Times New Roman" w:eastAsia="Times New Roman" w:hAnsi="Times New Roman" w:cs="Arial"/>
          <w:sz w:val="24"/>
          <w:szCs w:val="20"/>
          <w:lang w:eastAsia="pl-PL"/>
        </w:rPr>
        <w:t>u.o.p.p.p.f.t.</w:t>
      </w:r>
      <w:r w:rsidRPr="00D86159">
        <w:rPr>
          <w:rFonts w:ascii="Times New Roman" w:eastAsia="Times New Roman" w:hAnsi="Times New Roman" w:cs="Arial"/>
          <w:sz w:val="24"/>
          <w:szCs w:val="20"/>
          <w:lang w:eastAsia="pl-PL"/>
        </w:rPr>
        <w:t>, w zakresie</w:t>
      </w:r>
      <w:r>
        <w:rPr>
          <w:rFonts w:ascii="Times New Roman" w:eastAsia="Times New Roman" w:hAnsi="Times New Roman" w:cs="Arial"/>
          <w:sz w:val="24"/>
          <w:szCs w:val="20"/>
          <w:lang w:eastAsia="pl-PL"/>
        </w:rPr>
        <w:t xml:space="preserve"> </w:t>
      </w:r>
      <w:r w:rsidRPr="00651D1E">
        <w:rPr>
          <w:rFonts w:ascii="Times New Roman" w:eastAsia="Times New Roman" w:hAnsi="Times New Roman" w:cs="Arial"/>
          <w:sz w:val="24"/>
          <w:szCs w:val="20"/>
          <w:lang w:eastAsia="pl-PL"/>
        </w:rPr>
        <w:t xml:space="preserve">organu właściwego w sprawach rejestru oraz organu wyznaczonego na podstawie art. 129x </w:t>
      </w:r>
      <w:r w:rsidRPr="00CC725B">
        <w:rPr>
          <w:rFonts w:ascii="Times New Roman" w:eastAsia="Times New Roman" w:hAnsi="Times New Roman" w:cs="Arial"/>
          <w:sz w:val="24"/>
          <w:szCs w:val="20"/>
          <w:lang w:eastAsia="pl-PL"/>
        </w:rPr>
        <w:t>u.o.p.p.p.f.t.</w:t>
      </w:r>
      <w:r w:rsidRPr="00D86159">
        <w:rPr>
          <w:rFonts w:ascii="Times New Roman" w:eastAsia="Times New Roman" w:hAnsi="Times New Roman" w:cs="Arial"/>
          <w:sz w:val="24"/>
          <w:szCs w:val="20"/>
          <w:lang w:eastAsia="pl-PL"/>
        </w:rPr>
        <w:t>. Natomiast ust</w:t>
      </w:r>
      <w:r>
        <w:rPr>
          <w:rFonts w:ascii="Times New Roman" w:eastAsia="Times New Roman" w:hAnsi="Times New Roman" w:cs="Arial"/>
          <w:sz w:val="24"/>
          <w:szCs w:val="20"/>
          <w:lang w:eastAsia="pl-PL"/>
        </w:rPr>
        <w:t>.</w:t>
      </w:r>
      <w:r w:rsidRPr="00D86159">
        <w:rPr>
          <w:rFonts w:ascii="Times New Roman" w:eastAsia="Times New Roman" w:hAnsi="Times New Roman" w:cs="Arial"/>
          <w:sz w:val="24"/>
          <w:szCs w:val="20"/>
          <w:lang w:eastAsia="pl-PL"/>
        </w:rPr>
        <w:t xml:space="preserve"> 8 zobowiązuje Generalnego Inspektora Informacji Finansowej do udostępnienia Komisji informacji dotyczących dwukrotnego niedopełnienia obowiązku, o którym mowa w art.</w:t>
      </w:r>
      <w:r>
        <w:rPr>
          <w:rFonts w:ascii="Times New Roman" w:eastAsia="Times New Roman" w:hAnsi="Times New Roman" w:cs="Arial"/>
          <w:sz w:val="24"/>
          <w:szCs w:val="20"/>
          <w:lang w:eastAsia="pl-PL"/>
        </w:rPr>
        <w:t> </w:t>
      </w:r>
      <w:r w:rsidRPr="00D86159">
        <w:rPr>
          <w:rFonts w:ascii="Times New Roman" w:eastAsia="Times New Roman" w:hAnsi="Times New Roman" w:cs="Arial"/>
          <w:sz w:val="24"/>
          <w:szCs w:val="20"/>
          <w:lang w:eastAsia="pl-PL"/>
        </w:rPr>
        <w:t xml:space="preserve">76 </w:t>
      </w:r>
      <w:r w:rsidRPr="00CC725B">
        <w:rPr>
          <w:rFonts w:ascii="Times New Roman" w:eastAsia="Times New Roman" w:hAnsi="Times New Roman" w:cs="Arial"/>
          <w:sz w:val="24"/>
          <w:szCs w:val="20"/>
          <w:lang w:eastAsia="pl-PL"/>
        </w:rPr>
        <w:t>u.o.p.p.p.f.t.</w:t>
      </w:r>
      <w:r w:rsidRPr="00D86159">
        <w:rPr>
          <w:rFonts w:ascii="Times New Roman" w:eastAsia="Times New Roman" w:hAnsi="Times New Roman" w:cs="Arial"/>
          <w:sz w:val="24"/>
          <w:szCs w:val="20"/>
          <w:lang w:eastAsia="pl-PL"/>
        </w:rPr>
        <w:t>, przez podmiot, o którym mowa w ust. 1</w:t>
      </w:r>
      <w:r>
        <w:rPr>
          <w:rFonts w:ascii="Times New Roman" w:eastAsia="Times New Roman" w:hAnsi="Times New Roman" w:cs="Arial"/>
          <w:sz w:val="24"/>
          <w:szCs w:val="20"/>
          <w:lang w:eastAsia="pl-PL"/>
        </w:rPr>
        <w:t>.</w:t>
      </w:r>
    </w:p>
    <w:p w14:paraId="166F05BD" w14:textId="682826D5" w:rsidR="00C21D4B" w:rsidRPr="00C1789E" w:rsidRDefault="00C21D4B" w:rsidP="00781E1E">
      <w:pPr>
        <w:spacing w:line="360" w:lineRule="auto"/>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6</w:t>
      </w:r>
      <w:r w:rsidR="001878E4">
        <w:rPr>
          <w:rFonts w:ascii="Times New Roman" w:eastAsia="Times New Roman" w:hAnsi="Times New Roman" w:cs="Arial"/>
          <w:b/>
          <w:bCs/>
          <w:sz w:val="24"/>
          <w:szCs w:val="20"/>
          <w:lang w:eastAsia="pl-PL"/>
        </w:rPr>
        <w:t>4</w:t>
      </w:r>
      <w:r w:rsidRPr="00486C63">
        <w:rPr>
          <w:rFonts w:ascii="Times New Roman" w:eastAsia="Times New Roman" w:hAnsi="Times New Roman" w:cs="Arial"/>
          <w:b/>
          <w:bCs/>
          <w:sz w:val="24"/>
          <w:szCs w:val="20"/>
          <w:lang w:eastAsia="pl-PL"/>
        </w:rPr>
        <w:t xml:space="preserve"> </w:t>
      </w:r>
      <w:r w:rsidRPr="00486C63">
        <w:rPr>
          <w:rFonts w:ascii="Times New Roman" w:eastAsia="Times New Roman" w:hAnsi="Times New Roman" w:cs="Arial"/>
          <w:sz w:val="24"/>
          <w:szCs w:val="20"/>
          <w:lang w:eastAsia="pl-PL"/>
        </w:rPr>
        <w:t>nakłada na Komisję obowiązek niezwłocznego informowania organu właściwego w sprawach rejestru</w:t>
      </w:r>
      <w:r w:rsidRPr="00486C63">
        <w:rPr>
          <w:rFonts w:eastAsiaTheme="minorEastAsia"/>
        </w:rPr>
        <w:t xml:space="preserve"> </w:t>
      </w:r>
      <w:r w:rsidRPr="00486C63">
        <w:rPr>
          <w:rFonts w:ascii="Times New Roman" w:eastAsia="Times New Roman" w:hAnsi="Times New Roman" w:cs="Arial"/>
          <w:sz w:val="24"/>
          <w:szCs w:val="20"/>
          <w:lang w:eastAsia="pl-PL"/>
        </w:rPr>
        <w:t xml:space="preserve">działalności w zakresie walut wirtualnych o udzieleniu zezwolenia, </w:t>
      </w:r>
      <w:r w:rsidRPr="00E066AE">
        <w:rPr>
          <w:rFonts w:ascii="Times New Roman" w:eastAsia="Times New Roman" w:hAnsi="Times New Roman" w:cs="Arial"/>
          <w:sz w:val="24"/>
          <w:szCs w:val="20"/>
          <w:lang w:eastAsia="pl-PL"/>
        </w:rPr>
        <w:t xml:space="preserve">o którym mowa w art. 59 ust. 1 lit. a rozporządzenia 2023/1114, </w:t>
      </w:r>
      <w:r w:rsidRPr="00486C63">
        <w:rPr>
          <w:rFonts w:ascii="Times New Roman" w:eastAsia="Times New Roman" w:hAnsi="Times New Roman" w:cs="Arial"/>
          <w:sz w:val="24"/>
          <w:szCs w:val="20"/>
          <w:lang w:eastAsia="pl-PL"/>
        </w:rPr>
        <w:t>albo o odmowie jego udzielenia podmiotowi wpisanemu do tego rejestru</w:t>
      </w:r>
      <w:r>
        <w:rPr>
          <w:rFonts w:ascii="Times New Roman" w:eastAsia="Times New Roman" w:hAnsi="Times New Roman" w:cs="Arial"/>
          <w:sz w:val="24"/>
          <w:szCs w:val="20"/>
          <w:lang w:eastAsia="pl-PL"/>
        </w:rPr>
        <w:t xml:space="preserve">, a także o </w:t>
      </w:r>
      <w:r w:rsidRPr="00C1789E">
        <w:rPr>
          <w:rFonts w:ascii="Times New Roman" w:eastAsia="Times New Roman" w:hAnsi="Times New Roman" w:cs="Arial"/>
          <w:sz w:val="24"/>
          <w:szCs w:val="20"/>
          <w:lang w:eastAsia="pl-PL"/>
        </w:rPr>
        <w:t xml:space="preserve">przekazaniu powiadomienia, o którym mowa w art. 63 ust. 4 rozporządzenia 2023/1114, w </w:t>
      </w:r>
      <w:r>
        <w:rPr>
          <w:rFonts w:ascii="Times New Roman" w:eastAsia="Times New Roman" w:hAnsi="Times New Roman" w:cs="Arial"/>
          <w:sz w:val="24"/>
          <w:szCs w:val="20"/>
          <w:lang w:eastAsia="pl-PL"/>
        </w:rPr>
        <w:t>przypadku</w:t>
      </w:r>
      <w:r w:rsidRPr="00C1789E">
        <w:rPr>
          <w:rFonts w:ascii="Times New Roman" w:eastAsia="Times New Roman" w:hAnsi="Times New Roman" w:cs="Arial"/>
          <w:sz w:val="24"/>
          <w:szCs w:val="20"/>
          <w:lang w:eastAsia="pl-PL"/>
        </w:rPr>
        <w:t>, o którym mowa w art. 16</w:t>
      </w:r>
      <w:r w:rsidR="001878E4">
        <w:rPr>
          <w:rFonts w:ascii="Times New Roman" w:eastAsia="Times New Roman" w:hAnsi="Times New Roman" w:cs="Arial"/>
          <w:sz w:val="24"/>
          <w:szCs w:val="20"/>
          <w:lang w:eastAsia="pl-PL"/>
        </w:rPr>
        <w:t>3</w:t>
      </w:r>
      <w:r w:rsidRPr="00C1789E">
        <w:rPr>
          <w:rFonts w:ascii="Times New Roman" w:eastAsia="Times New Roman" w:hAnsi="Times New Roman" w:cs="Arial"/>
          <w:sz w:val="24"/>
          <w:szCs w:val="20"/>
          <w:lang w:eastAsia="pl-PL"/>
        </w:rPr>
        <w:t xml:space="preserve"> ust. </w:t>
      </w:r>
      <w:r>
        <w:rPr>
          <w:rFonts w:ascii="Times New Roman" w:eastAsia="Times New Roman" w:hAnsi="Times New Roman" w:cs="Arial"/>
          <w:sz w:val="24"/>
          <w:szCs w:val="20"/>
          <w:lang w:eastAsia="pl-PL"/>
        </w:rPr>
        <w:t xml:space="preserve">1 projektu ustawy. </w:t>
      </w:r>
      <w:r w:rsidRPr="00486C63">
        <w:rPr>
          <w:rFonts w:ascii="Times New Roman" w:eastAsia="Times New Roman" w:hAnsi="Times New Roman" w:cs="Arial"/>
          <w:sz w:val="24"/>
          <w:szCs w:val="20"/>
          <w:lang w:eastAsia="pl-PL"/>
        </w:rPr>
        <w:t>W</w:t>
      </w:r>
      <w:r>
        <w:rPr>
          <w:rFonts w:ascii="Times New Roman" w:eastAsia="Times New Roman" w:hAnsi="Times New Roman" w:cs="Arial"/>
          <w:sz w:val="24"/>
          <w:szCs w:val="20"/>
          <w:lang w:eastAsia="pl-PL"/>
        </w:rPr>
        <w:t xml:space="preserve"> pierwszym wskazanym</w:t>
      </w:r>
      <w:r w:rsidRPr="00486C63">
        <w:rPr>
          <w:rFonts w:ascii="Times New Roman" w:eastAsia="Times New Roman" w:hAnsi="Times New Roman" w:cs="Arial"/>
          <w:sz w:val="24"/>
          <w:szCs w:val="20"/>
          <w:lang w:eastAsia="pl-PL"/>
        </w:rPr>
        <w:t xml:space="preserve"> przypadku, organ właściwy w sprawach rejestru zobowiązany jest do niezwłocznego wykreśleni</w:t>
      </w:r>
      <w:r>
        <w:rPr>
          <w:rFonts w:ascii="Times New Roman" w:eastAsia="Times New Roman" w:hAnsi="Times New Roman" w:cs="Arial"/>
          <w:sz w:val="24"/>
          <w:szCs w:val="20"/>
          <w:lang w:eastAsia="pl-PL"/>
        </w:rPr>
        <w:t>a</w:t>
      </w:r>
      <w:r w:rsidRPr="00486C63">
        <w:rPr>
          <w:rFonts w:ascii="Times New Roman" w:eastAsia="Times New Roman" w:hAnsi="Times New Roman" w:cs="Arial"/>
          <w:sz w:val="24"/>
          <w:szCs w:val="20"/>
          <w:lang w:eastAsia="pl-PL"/>
        </w:rPr>
        <w:t xml:space="preserve"> tego podmiotu z </w:t>
      </w:r>
      <w:r>
        <w:rPr>
          <w:rFonts w:ascii="Times New Roman" w:eastAsia="Times New Roman" w:hAnsi="Times New Roman" w:cs="Arial"/>
          <w:sz w:val="24"/>
          <w:szCs w:val="20"/>
          <w:lang w:eastAsia="pl-PL"/>
        </w:rPr>
        <w:t>ww.</w:t>
      </w:r>
      <w:r w:rsidRPr="00486C63">
        <w:rPr>
          <w:rFonts w:ascii="Times New Roman" w:eastAsia="Times New Roman" w:hAnsi="Times New Roman" w:cs="Arial"/>
          <w:sz w:val="24"/>
          <w:szCs w:val="20"/>
          <w:lang w:eastAsia="pl-PL"/>
        </w:rPr>
        <w:t xml:space="preserve"> rejestru</w:t>
      </w:r>
      <w:r>
        <w:rPr>
          <w:rFonts w:ascii="Times New Roman" w:eastAsia="Times New Roman" w:hAnsi="Times New Roman" w:cs="Arial"/>
          <w:sz w:val="24"/>
          <w:szCs w:val="20"/>
          <w:lang w:eastAsia="pl-PL"/>
        </w:rPr>
        <w:t xml:space="preserve">. Natomiast </w:t>
      </w:r>
      <w:r>
        <w:rPr>
          <w:rFonts w:ascii="Times New Roman" w:hAnsi="Times New Roman" w:cs="Times New Roman"/>
          <w:sz w:val="24"/>
          <w:szCs w:val="24"/>
        </w:rPr>
        <w:t xml:space="preserve">organ właściwy w sprawie rejestru </w:t>
      </w:r>
      <w:r w:rsidRPr="002E2E05">
        <w:rPr>
          <w:rFonts w:ascii="Times New Roman" w:hAnsi="Times New Roman" w:cs="Times New Roman"/>
          <w:sz w:val="24"/>
          <w:szCs w:val="24"/>
        </w:rPr>
        <w:t>niezwłocznie po upływie terminu, o którym mowa w art. 16</w:t>
      </w:r>
      <w:r w:rsidR="001878E4">
        <w:rPr>
          <w:rFonts w:ascii="Times New Roman" w:hAnsi="Times New Roman" w:cs="Times New Roman"/>
          <w:sz w:val="24"/>
          <w:szCs w:val="24"/>
        </w:rPr>
        <w:t>3</w:t>
      </w:r>
      <w:r w:rsidRPr="002E2E05">
        <w:rPr>
          <w:rFonts w:ascii="Times New Roman" w:hAnsi="Times New Roman" w:cs="Times New Roman"/>
          <w:sz w:val="24"/>
          <w:szCs w:val="24"/>
        </w:rPr>
        <w:t xml:space="preserve"> ust. 1, wykreśla z rejestru działalności w zakresie walut wirtualnych podmiot, o którym mowa w art. 16</w:t>
      </w:r>
      <w:r w:rsidR="001878E4">
        <w:rPr>
          <w:rFonts w:ascii="Times New Roman" w:hAnsi="Times New Roman" w:cs="Times New Roman"/>
          <w:sz w:val="24"/>
          <w:szCs w:val="24"/>
        </w:rPr>
        <w:t>3</w:t>
      </w:r>
      <w:r w:rsidRPr="002E2E05">
        <w:rPr>
          <w:rFonts w:ascii="Times New Roman" w:hAnsi="Times New Roman" w:cs="Times New Roman"/>
          <w:sz w:val="24"/>
          <w:szCs w:val="24"/>
        </w:rPr>
        <w:t xml:space="preserve"> ust. 1, prowadzący działalność gospodarczą, o której mowa w tym przepisie, na dotychczasowych zasadach, bez wydania decyzji i konieczności zawiadamiania tego podmiotu o wykreśleniu</w:t>
      </w:r>
      <w:r>
        <w:rPr>
          <w:rFonts w:ascii="Times New Roman" w:hAnsi="Times New Roman" w:cs="Times New Roman"/>
          <w:sz w:val="24"/>
          <w:szCs w:val="24"/>
        </w:rPr>
        <w:t>.</w:t>
      </w:r>
    </w:p>
    <w:p w14:paraId="3C3BF422" w14:textId="0116BACC" w:rsidR="00C21D4B" w:rsidRPr="00486C63" w:rsidRDefault="00C21D4B" w:rsidP="00781E1E">
      <w:pPr>
        <w:spacing w:line="360" w:lineRule="auto"/>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6</w:t>
      </w:r>
      <w:r w:rsidR="001878E4">
        <w:rPr>
          <w:rFonts w:ascii="Times New Roman" w:eastAsia="Times New Roman" w:hAnsi="Times New Roman" w:cs="Arial"/>
          <w:b/>
          <w:bCs/>
          <w:sz w:val="24"/>
          <w:szCs w:val="20"/>
          <w:lang w:eastAsia="pl-PL"/>
        </w:rPr>
        <w:t>5</w:t>
      </w:r>
      <w:r>
        <w:rPr>
          <w:rFonts w:ascii="Times New Roman" w:eastAsia="Times New Roman" w:hAnsi="Times New Roman" w:cs="Times New Roman"/>
          <w:b/>
          <w:bCs/>
          <w:sz w:val="24"/>
          <w:szCs w:val="20"/>
          <w:lang w:eastAsia="pl-PL"/>
        </w:rPr>
        <w:t xml:space="preserve"> i art.</w:t>
      </w:r>
      <w:r w:rsidR="007F6A96">
        <w:rPr>
          <w:rFonts w:ascii="Times New Roman" w:eastAsia="Times New Roman" w:hAnsi="Times New Roman" w:cs="Times New Roman"/>
          <w:b/>
          <w:bCs/>
          <w:sz w:val="24"/>
          <w:szCs w:val="20"/>
          <w:lang w:eastAsia="pl-PL"/>
        </w:rPr>
        <w:t xml:space="preserve"> </w:t>
      </w:r>
      <w:r w:rsidRPr="00486C63">
        <w:rPr>
          <w:rFonts w:ascii="Times New Roman" w:eastAsia="Times New Roman" w:hAnsi="Times New Roman" w:cs="Arial"/>
          <w:b/>
          <w:bCs/>
          <w:sz w:val="24"/>
          <w:szCs w:val="20"/>
          <w:lang w:eastAsia="pl-PL"/>
        </w:rPr>
        <w:t>1</w:t>
      </w:r>
      <w:r>
        <w:rPr>
          <w:rFonts w:ascii="Times New Roman" w:eastAsia="Times New Roman" w:hAnsi="Times New Roman" w:cs="Arial"/>
          <w:b/>
          <w:bCs/>
          <w:sz w:val="24"/>
          <w:szCs w:val="20"/>
          <w:lang w:eastAsia="pl-PL"/>
        </w:rPr>
        <w:t>6</w:t>
      </w:r>
      <w:r w:rsidR="001878E4">
        <w:rPr>
          <w:rFonts w:ascii="Times New Roman" w:eastAsia="Times New Roman" w:hAnsi="Times New Roman" w:cs="Arial"/>
          <w:b/>
          <w:bCs/>
          <w:sz w:val="24"/>
          <w:szCs w:val="20"/>
          <w:lang w:eastAsia="pl-PL"/>
        </w:rPr>
        <w:t>6</w:t>
      </w:r>
    </w:p>
    <w:p w14:paraId="63119956" w14:textId="77777777" w:rsidR="00C21D4B"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Powyższe przepisy odnoszą się do potrzeby zagwarantowania ciągłości prowadzonych kontroli oraz postępowań administracyjnych w sprawie nakładania kar administracyjnych, które nie zostały za</w:t>
      </w:r>
      <w:r>
        <w:rPr>
          <w:rFonts w:ascii="Times New Roman" w:eastAsia="Times New Roman" w:hAnsi="Times New Roman" w:cs="Arial"/>
          <w:sz w:val="24"/>
          <w:szCs w:val="20"/>
          <w:lang w:eastAsia="pl-PL"/>
        </w:rPr>
        <w:t xml:space="preserve">kończone </w:t>
      </w:r>
      <w:r w:rsidRPr="00486C63">
        <w:rPr>
          <w:rFonts w:ascii="Times New Roman" w:eastAsia="Times New Roman" w:hAnsi="Times New Roman" w:cs="Arial"/>
          <w:sz w:val="24"/>
          <w:szCs w:val="20"/>
          <w:lang w:eastAsia="pl-PL"/>
        </w:rPr>
        <w:t>przed zakończeniem okresu przejściowego.</w:t>
      </w:r>
      <w:r>
        <w:rPr>
          <w:rFonts w:ascii="Times New Roman" w:eastAsia="Times New Roman" w:hAnsi="Times New Roman" w:cs="Arial"/>
          <w:sz w:val="24"/>
          <w:szCs w:val="20"/>
          <w:lang w:eastAsia="pl-PL"/>
        </w:rPr>
        <w:t xml:space="preserve"> </w:t>
      </w:r>
    </w:p>
    <w:p w14:paraId="3534620B" w14:textId="5BACFF46" w:rsidR="00C21D4B" w:rsidRPr="00812F26" w:rsidRDefault="00C21D4B" w:rsidP="00695ECE">
      <w:pPr>
        <w:spacing w:after="0" w:line="360" w:lineRule="auto"/>
        <w:ind w:left="709"/>
        <w:jc w:val="both"/>
        <w:rPr>
          <w:rFonts w:ascii="Times New Roman" w:eastAsia="Times New Roman" w:hAnsi="Times New Roman" w:cs="Times New Roman"/>
          <w:sz w:val="24"/>
          <w:szCs w:val="24"/>
          <w:lang w:eastAsia="pl-PL"/>
        </w:rPr>
      </w:pPr>
      <w:r>
        <w:rPr>
          <w:rFonts w:ascii="Times New Roman" w:hAnsi="Times New Roman" w:cs="Times New Roman"/>
          <w:sz w:val="24"/>
          <w:szCs w:val="24"/>
        </w:rPr>
        <w:t>Istotne znaczenie ma przepis przewidziany w art. 16</w:t>
      </w:r>
      <w:r w:rsidR="001878E4">
        <w:rPr>
          <w:rFonts w:ascii="Times New Roman" w:hAnsi="Times New Roman" w:cs="Times New Roman"/>
          <w:sz w:val="24"/>
          <w:szCs w:val="24"/>
        </w:rPr>
        <w:t>5</w:t>
      </w:r>
      <w:r>
        <w:rPr>
          <w:rFonts w:ascii="Times New Roman" w:hAnsi="Times New Roman" w:cs="Times New Roman"/>
          <w:sz w:val="24"/>
          <w:szCs w:val="24"/>
        </w:rPr>
        <w:t xml:space="preserve"> projektowanej ustawy. Dotyczy on kontroli zarówno właściwego wykonywania obowiązków wynikających z przepisów u.o.p.p.p.f.t., o czym stanowi projektowany pkt 1, ale również kontroli prowadzonych na podstawie ustawy z dnia 6 marca 2018 r. – Prawo przedsiębiorców. Ma on znaczenie na dwóch płaszczyznach. Po pierwsze umożliwia prowadzenie działań kontrolnych (które częstokroć mają szeroki zakres i wymagają podjęcia działań przygotowawczych) także po upływie okresu przejściowego przewidzianego dla podmiotów wpisanych do rejestru walut wirtualnych, w przypadkach gdy potrzebne jest ich kontynuowanie. A także odnosi się zarówno do działań podejmowanych na podstawie u.o.p.p.p.f.t., jak również ustawy z dnia 6 marca 2018 r. – Prawo przedsiębiorców, które przewiduje kontrolowanie przesłanek działalności. W konsekwencji zapewniona jest szczelność systemu kontroli i karania zarówno w okresie przejściowym (na mocy tego przepisu), jak i po jego upływie na mocy innych przepisów projektowanej ustawy.</w:t>
      </w:r>
    </w:p>
    <w:p w14:paraId="35A205C1" w14:textId="16C9FCF8" w:rsidR="00C21D4B" w:rsidRPr="00D1185F" w:rsidRDefault="00C21D4B" w:rsidP="00781E1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6</w:t>
      </w:r>
      <w:r w:rsidR="001878E4">
        <w:rPr>
          <w:rFonts w:ascii="Times New Roman" w:eastAsia="Times New Roman" w:hAnsi="Times New Roman" w:cs="Arial"/>
          <w:b/>
          <w:bCs/>
          <w:sz w:val="24"/>
          <w:szCs w:val="20"/>
          <w:lang w:eastAsia="pl-PL"/>
        </w:rPr>
        <w:t>7</w:t>
      </w:r>
      <w:r>
        <w:rPr>
          <w:rFonts w:ascii="Times New Roman" w:eastAsia="Times New Roman" w:hAnsi="Times New Roman" w:cs="Arial"/>
          <w:b/>
          <w:bCs/>
          <w:sz w:val="24"/>
          <w:szCs w:val="20"/>
          <w:lang w:eastAsia="pl-PL"/>
        </w:rPr>
        <w:t xml:space="preserve"> </w:t>
      </w:r>
      <w:r w:rsidRPr="00D1185F">
        <w:rPr>
          <w:rFonts w:ascii="Times New Roman" w:eastAsia="Times New Roman" w:hAnsi="Times New Roman" w:cs="Arial"/>
          <w:sz w:val="24"/>
          <w:szCs w:val="20"/>
          <w:lang w:eastAsia="pl-PL"/>
        </w:rPr>
        <w:t>stanowi, że rejestr działalności w zakresie walut wirtualnych zostanie zlikwidowany z dniem</w:t>
      </w:r>
      <w:r>
        <w:rPr>
          <w:rFonts w:ascii="Times New Roman" w:eastAsia="Times New Roman" w:hAnsi="Times New Roman" w:cs="Arial"/>
          <w:sz w:val="24"/>
          <w:szCs w:val="20"/>
          <w:lang w:eastAsia="pl-PL"/>
        </w:rPr>
        <w:t xml:space="preserve"> 2 lipca 2026 r.</w:t>
      </w:r>
      <w:r w:rsidRPr="00D1185F">
        <w:rPr>
          <w:rFonts w:ascii="Times New Roman" w:eastAsia="Times New Roman" w:hAnsi="Times New Roman" w:cs="Arial"/>
          <w:sz w:val="24"/>
          <w:szCs w:val="20"/>
          <w:lang w:eastAsia="pl-PL"/>
        </w:rPr>
        <w:t xml:space="preserve">, co jest konsekwencją wprowadzenia nowego systemu prowadzenia i regulowania działalności w zakresie </w:t>
      </w:r>
      <w:proofErr w:type="spellStart"/>
      <w:r w:rsidRPr="00D1185F">
        <w:rPr>
          <w:rFonts w:ascii="Times New Roman" w:eastAsia="Times New Roman" w:hAnsi="Times New Roman" w:cs="Arial"/>
          <w:sz w:val="24"/>
          <w:szCs w:val="20"/>
          <w:lang w:eastAsia="pl-PL"/>
        </w:rPr>
        <w:t>kryptoaktywów</w:t>
      </w:r>
      <w:proofErr w:type="spellEnd"/>
      <w:r w:rsidRPr="00D1185F">
        <w:rPr>
          <w:rFonts w:ascii="Times New Roman" w:eastAsia="Times New Roman" w:hAnsi="Times New Roman" w:cs="Arial"/>
          <w:sz w:val="24"/>
          <w:szCs w:val="20"/>
          <w:lang w:eastAsia="pl-PL"/>
        </w:rPr>
        <w:t xml:space="preserve"> przez przepisy rozporządzenia 2023/1114, co w efekcie powoduje m.in. to, że istnienie rejestru działalności w zakresie walut wirtualnych staje się bezprzedmiotowe. Istnienie tego rejestru wprowadzałoby niepotrzebne równoległe ograniczenia dotyczące tej samej materii. Dodatkowo ust. 2 reguluje, że dane dotyczące podmiotu wykonującego działalność w zakresie walut wirtualnych, będące zawartością ww. rejestru przechowywane są przez organ przez okres 5 lat od dnia wykreślenia tego podmiotu z rejestru albo od dnia likwidacji tego rejestru.</w:t>
      </w:r>
    </w:p>
    <w:p w14:paraId="23C39B13" w14:textId="5DFA7615" w:rsidR="001878E4" w:rsidRDefault="00C21D4B" w:rsidP="00781E1E">
      <w:pPr>
        <w:spacing w:line="360" w:lineRule="auto"/>
        <w:ind w:left="709"/>
        <w:contextualSpacing/>
        <w:jc w:val="both"/>
        <w:rPr>
          <w:rFonts w:ascii="Times New Roman" w:eastAsia="Times New Roman" w:hAnsi="Times New Roman" w:cs="Arial"/>
          <w:sz w:val="24"/>
          <w:szCs w:val="20"/>
          <w:lang w:eastAsia="pl-PL"/>
        </w:rPr>
      </w:pPr>
      <w:r w:rsidRPr="00C529CB">
        <w:rPr>
          <w:rFonts w:ascii="Times New Roman" w:eastAsia="Times New Roman" w:hAnsi="Times New Roman" w:cs="Arial"/>
          <w:b/>
          <w:bCs/>
          <w:sz w:val="24"/>
          <w:szCs w:val="20"/>
          <w:lang w:eastAsia="pl-PL"/>
        </w:rPr>
        <w:t>Art. 16</w:t>
      </w:r>
      <w:r w:rsidR="001878E4">
        <w:rPr>
          <w:rFonts w:ascii="Times New Roman" w:eastAsia="Times New Roman" w:hAnsi="Times New Roman" w:cs="Arial"/>
          <w:b/>
          <w:bCs/>
          <w:sz w:val="24"/>
          <w:szCs w:val="20"/>
          <w:lang w:eastAsia="pl-PL"/>
        </w:rPr>
        <w:t>8</w:t>
      </w:r>
      <w:r>
        <w:rPr>
          <w:rFonts w:ascii="Times New Roman" w:eastAsia="Times New Roman" w:hAnsi="Times New Roman" w:cs="Arial"/>
          <w:sz w:val="24"/>
          <w:szCs w:val="20"/>
          <w:lang w:eastAsia="pl-PL"/>
        </w:rPr>
        <w:t xml:space="preserve"> przewiduje utrzymanie w mocy przepisów wykonawczych wydanych na podstawie art. 20 ust. 12 ustawy </w:t>
      </w:r>
      <w:r w:rsidRPr="00FA0875">
        <w:rPr>
          <w:rFonts w:ascii="Times New Roman" w:eastAsia="Times New Roman" w:hAnsi="Times New Roman" w:cs="Arial"/>
          <w:sz w:val="24"/>
          <w:szCs w:val="20"/>
          <w:lang w:eastAsia="pl-PL"/>
        </w:rPr>
        <w:t>z dnia 5 sierpnia 2015 r. o rozpatrywaniu reklamacji przez podmioty rynku finansowego, o Rzeczniku Finansowym i o Funduszu Edukacji Finansowej</w:t>
      </w:r>
      <w:r>
        <w:rPr>
          <w:rFonts w:ascii="Times New Roman" w:eastAsia="Times New Roman" w:hAnsi="Times New Roman" w:cs="Arial"/>
          <w:sz w:val="24"/>
          <w:szCs w:val="20"/>
          <w:lang w:eastAsia="pl-PL"/>
        </w:rPr>
        <w:t>, nie dłużej niż przez 12 miesięcy od dnia wejścia w życie niniejszej ustawy.</w:t>
      </w:r>
    </w:p>
    <w:p w14:paraId="2220F934" w14:textId="77777777" w:rsidR="001F0FC8" w:rsidRPr="00FA7379" w:rsidRDefault="001878E4" w:rsidP="00781E1E">
      <w:pPr>
        <w:spacing w:line="360" w:lineRule="auto"/>
        <w:ind w:left="709"/>
        <w:contextualSpacing/>
        <w:jc w:val="both"/>
        <w:rPr>
          <w:rFonts w:ascii="Times New Roman" w:eastAsia="Times New Roman" w:hAnsi="Times New Roman" w:cs="Arial"/>
          <w:bCs/>
          <w:sz w:val="24"/>
          <w:szCs w:val="20"/>
          <w:lang w:eastAsia="pl-PL"/>
        </w:rPr>
      </w:pPr>
      <w:r>
        <w:rPr>
          <w:rFonts w:ascii="Times New Roman" w:eastAsia="Times New Roman" w:hAnsi="Times New Roman" w:cs="Arial"/>
          <w:b/>
          <w:bCs/>
          <w:sz w:val="24"/>
          <w:szCs w:val="20"/>
          <w:lang w:eastAsia="pl-PL"/>
        </w:rPr>
        <w:t xml:space="preserve">Art. 169. </w:t>
      </w:r>
      <w:r w:rsidR="001F0FC8" w:rsidRPr="00FA7379">
        <w:rPr>
          <w:rFonts w:ascii="Times New Roman" w:eastAsia="Times New Roman" w:hAnsi="Times New Roman" w:cs="Arial"/>
          <w:bCs/>
          <w:sz w:val="24"/>
          <w:szCs w:val="20"/>
          <w:lang w:eastAsia="pl-PL"/>
        </w:rPr>
        <w:t xml:space="preserve">Przepis ten wprowadza obowiązek sporządzenia i publikowania raportu o rynku </w:t>
      </w:r>
      <w:proofErr w:type="spellStart"/>
      <w:r w:rsidR="001F0FC8" w:rsidRPr="00FA7379">
        <w:rPr>
          <w:rFonts w:ascii="Times New Roman" w:eastAsia="Times New Roman" w:hAnsi="Times New Roman" w:cs="Arial"/>
          <w:bCs/>
          <w:sz w:val="24"/>
          <w:szCs w:val="20"/>
          <w:lang w:eastAsia="pl-PL"/>
        </w:rPr>
        <w:t>kryptoaktywów</w:t>
      </w:r>
      <w:proofErr w:type="spellEnd"/>
      <w:r w:rsidR="001F0FC8" w:rsidRPr="00FA7379">
        <w:rPr>
          <w:rFonts w:ascii="Times New Roman" w:eastAsia="Times New Roman" w:hAnsi="Times New Roman" w:cs="Arial"/>
          <w:bCs/>
          <w:sz w:val="24"/>
          <w:szCs w:val="20"/>
          <w:lang w:eastAsia="pl-PL"/>
        </w:rPr>
        <w:t xml:space="preserve"> w Polsce. Rozwiązanie to odpowiada na potrzebę zwiększenia przejrzystości nowego i dynamicznie rozwijającego się segmentu rynku finansowego oraz zapewnienia rzetelnej informacji opinii publicznej, uczestnikom rynku oraz administracji publicznej. Publikacja raportu w Biuletynie Informacji Publicznej zapewni powszechny i równy dostęp do wiarygodnych, zagregowanych danych o rynku </w:t>
      </w:r>
      <w:proofErr w:type="spellStart"/>
      <w:r w:rsidR="001F0FC8" w:rsidRPr="00FA7379">
        <w:rPr>
          <w:rFonts w:ascii="Times New Roman" w:eastAsia="Times New Roman" w:hAnsi="Times New Roman" w:cs="Arial"/>
          <w:bCs/>
          <w:sz w:val="24"/>
          <w:szCs w:val="20"/>
          <w:lang w:eastAsia="pl-PL"/>
        </w:rPr>
        <w:t>kryptoaktywów</w:t>
      </w:r>
      <w:proofErr w:type="spellEnd"/>
      <w:r w:rsidR="001F0FC8" w:rsidRPr="00FA7379">
        <w:rPr>
          <w:rFonts w:ascii="Times New Roman" w:eastAsia="Times New Roman" w:hAnsi="Times New Roman" w:cs="Arial"/>
          <w:bCs/>
          <w:sz w:val="24"/>
          <w:szCs w:val="20"/>
          <w:lang w:eastAsia="pl-PL"/>
        </w:rPr>
        <w:t>. Dzięki temu obywatele uzyskają:</w:t>
      </w:r>
    </w:p>
    <w:p w14:paraId="6604F670" w14:textId="77777777" w:rsidR="001F0FC8" w:rsidRPr="00FA7379" w:rsidRDefault="001F0FC8" w:rsidP="00FA7379">
      <w:pPr>
        <w:spacing w:line="360" w:lineRule="auto"/>
        <w:ind w:left="709"/>
        <w:contextualSpacing/>
        <w:jc w:val="both"/>
        <w:rPr>
          <w:rFonts w:ascii="Times New Roman" w:eastAsia="Times New Roman" w:hAnsi="Times New Roman" w:cs="Arial"/>
          <w:bCs/>
          <w:sz w:val="24"/>
          <w:szCs w:val="20"/>
          <w:lang w:eastAsia="pl-PL"/>
        </w:rPr>
      </w:pPr>
      <w:r w:rsidRPr="00FA7379">
        <w:rPr>
          <w:rFonts w:ascii="Times New Roman" w:eastAsia="Times New Roman" w:hAnsi="Times New Roman" w:cs="Arial"/>
          <w:bCs/>
          <w:sz w:val="24"/>
          <w:szCs w:val="20"/>
          <w:lang w:eastAsia="pl-PL"/>
        </w:rPr>
        <w:t xml:space="preserve">a) obiektywną wiedzę o skali i strukturze rynku </w:t>
      </w:r>
      <w:proofErr w:type="spellStart"/>
      <w:r w:rsidRPr="00FA7379">
        <w:rPr>
          <w:rFonts w:ascii="Times New Roman" w:eastAsia="Times New Roman" w:hAnsi="Times New Roman" w:cs="Arial"/>
          <w:bCs/>
          <w:sz w:val="24"/>
          <w:szCs w:val="20"/>
          <w:lang w:eastAsia="pl-PL"/>
        </w:rPr>
        <w:t>kryptoaktywów</w:t>
      </w:r>
      <w:proofErr w:type="spellEnd"/>
      <w:r w:rsidRPr="00FA7379">
        <w:rPr>
          <w:rFonts w:ascii="Times New Roman" w:eastAsia="Times New Roman" w:hAnsi="Times New Roman" w:cs="Arial"/>
          <w:bCs/>
          <w:sz w:val="24"/>
          <w:szCs w:val="20"/>
          <w:lang w:eastAsia="pl-PL"/>
        </w:rPr>
        <w:t xml:space="preserve"> w Polsce,</w:t>
      </w:r>
    </w:p>
    <w:p w14:paraId="676F0984" w14:textId="77777777" w:rsidR="001F0FC8" w:rsidRPr="00FA7379" w:rsidRDefault="001F0FC8" w:rsidP="00FA7379">
      <w:pPr>
        <w:spacing w:line="360" w:lineRule="auto"/>
        <w:ind w:left="709"/>
        <w:contextualSpacing/>
        <w:jc w:val="both"/>
        <w:rPr>
          <w:rFonts w:ascii="Times New Roman" w:eastAsia="Times New Roman" w:hAnsi="Times New Roman" w:cs="Arial"/>
          <w:bCs/>
          <w:sz w:val="24"/>
          <w:szCs w:val="20"/>
          <w:lang w:eastAsia="pl-PL"/>
        </w:rPr>
      </w:pPr>
      <w:r w:rsidRPr="00FA7379">
        <w:rPr>
          <w:rFonts w:ascii="Times New Roman" w:eastAsia="Times New Roman" w:hAnsi="Times New Roman" w:cs="Arial"/>
          <w:bCs/>
          <w:sz w:val="24"/>
          <w:szCs w:val="20"/>
          <w:lang w:eastAsia="pl-PL"/>
        </w:rPr>
        <w:t>b) informacje o występujących nadużyciach i ryzykach oraz o skuteczności działań państwa w zakresie ochrony uczestników rynku,</w:t>
      </w:r>
    </w:p>
    <w:p w14:paraId="29CCFD33" w14:textId="77777777" w:rsidR="001F0FC8" w:rsidRPr="00FA7379" w:rsidRDefault="001F0FC8" w:rsidP="00FA7379">
      <w:pPr>
        <w:spacing w:line="360" w:lineRule="auto"/>
        <w:ind w:left="709"/>
        <w:contextualSpacing/>
        <w:jc w:val="both"/>
        <w:rPr>
          <w:rFonts w:ascii="Times New Roman" w:eastAsia="Times New Roman" w:hAnsi="Times New Roman" w:cs="Arial"/>
          <w:bCs/>
          <w:sz w:val="24"/>
          <w:szCs w:val="20"/>
          <w:lang w:eastAsia="pl-PL"/>
        </w:rPr>
      </w:pPr>
      <w:r w:rsidRPr="00FA7379">
        <w:rPr>
          <w:rFonts w:ascii="Times New Roman" w:eastAsia="Times New Roman" w:hAnsi="Times New Roman" w:cs="Arial"/>
          <w:bCs/>
          <w:sz w:val="24"/>
          <w:szCs w:val="20"/>
          <w:lang w:eastAsia="pl-PL"/>
        </w:rPr>
        <w:t xml:space="preserve">c) większe poczucie bezpieczeństwa i zaufania do ram regulacyjnych, w jakich funkcjonują </w:t>
      </w:r>
      <w:proofErr w:type="spellStart"/>
      <w:r w:rsidRPr="00FA7379">
        <w:rPr>
          <w:rFonts w:ascii="Times New Roman" w:eastAsia="Times New Roman" w:hAnsi="Times New Roman" w:cs="Arial"/>
          <w:bCs/>
          <w:sz w:val="24"/>
          <w:szCs w:val="20"/>
          <w:lang w:eastAsia="pl-PL"/>
        </w:rPr>
        <w:t>kryptoaktywa</w:t>
      </w:r>
      <w:proofErr w:type="spellEnd"/>
      <w:r w:rsidRPr="00FA7379">
        <w:rPr>
          <w:rFonts w:ascii="Times New Roman" w:eastAsia="Times New Roman" w:hAnsi="Times New Roman" w:cs="Arial"/>
          <w:bCs/>
          <w:sz w:val="24"/>
          <w:szCs w:val="20"/>
          <w:lang w:eastAsia="pl-PL"/>
        </w:rPr>
        <w:t>.</w:t>
      </w:r>
    </w:p>
    <w:p w14:paraId="381A44C0" w14:textId="77777777" w:rsidR="001F0FC8" w:rsidRPr="00FA7379" w:rsidRDefault="001F0FC8" w:rsidP="00FA7379">
      <w:pPr>
        <w:spacing w:line="360" w:lineRule="auto"/>
        <w:ind w:left="709"/>
        <w:contextualSpacing/>
        <w:jc w:val="both"/>
        <w:rPr>
          <w:rFonts w:ascii="Times New Roman" w:eastAsia="Times New Roman" w:hAnsi="Times New Roman" w:cs="Arial"/>
          <w:bCs/>
          <w:sz w:val="24"/>
          <w:szCs w:val="20"/>
          <w:lang w:eastAsia="pl-PL"/>
        </w:rPr>
      </w:pPr>
      <w:r w:rsidRPr="00FA7379">
        <w:rPr>
          <w:rFonts w:ascii="Times New Roman" w:eastAsia="Times New Roman" w:hAnsi="Times New Roman" w:cs="Arial"/>
          <w:bCs/>
          <w:sz w:val="24"/>
          <w:szCs w:val="20"/>
          <w:lang w:eastAsia="pl-PL"/>
        </w:rPr>
        <w:t>Transparentność w tym obszarze sprzyja budowaniu świadomych postaw inwestycyjnych oraz ogranicza dezinformację, która często towarzyszy nowym technologiom finansowym.</w:t>
      </w:r>
      <w:r w:rsidR="00696052" w:rsidRPr="00FA7379">
        <w:rPr>
          <w:rFonts w:ascii="Times New Roman" w:eastAsia="Times New Roman" w:hAnsi="Times New Roman" w:cs="Arial"/>
          <w:bCs/>
          <w:sz w:val="24"/>
          <w:szCs w:val="20"/>
          <w:lang w:eastAsia="pl-PL"/>
        </w:rPr>
        <w:t xml:space="preserve"> </w:t>
      </w:r>
      <w:r w:rsidRPr="00FA7379">
        <w:rPr>
          <w:rFonts w:ascii="Times New Roman" w:eastAsia="Times New Roman" w:hAnsi="Times New Roman" w:cs="Arial"/>
          <w:bCs/>
          <w:sz w:val="24"/>
          <w:szCs w:val="20"/>
          <w:lang w:eastAsia="pl-PL"/>
        </w:rPr>
        <w:t>Dla uczestników rynku – emitentów, dostawców usług oraz inwestorów – raport będzie istotnym źródłem informacji analityczny</w:t>
      </w:r>
      <w:r w:rsidR="00696052" w:rsidRPr="00FA7379">
        <w:rPr>
          <w:rFonts w:ascii="Times New Roman" w:eastAsia="Times New Roman" w:hAnsi="Times New Roman" w:cs="Arial"/>
          <w:bCs/>
          <w:sz w:val="24"/>
          <w:szCs w:val="20"/>
          <w:lang w:eastAsia="pl-PL"/>
        </w:rPr>
        <w:t xml:space="preserve">ch i porównawczych. Umożliwi on </w:t>
      </w:r>
      <w:r w:rsidRPr="00FA7379">
        <w:rPr>
          <w:rFonts w:ascii="Times New Roman" w:eastAsia="Times New Roman" w:hAnsi="Times New Roman" w:cs="Arial"/>
          <w:bCs/>
          <w:sz w:val="24"/>
          <w:szCs w:val="20"/>
          <w:lang w:eastAsia="pl-PL"/>
        </w:rPr>
        <w:t>ocenę kierunków rozwoju rynku oraz identyfikację trendów,</w:t>
      </w:r>
      <w:r w:rsidR="00696052" w:rsidRPr="00FA7379">
        <w:rPr>
          <w:rFonts w:ascii="Times New Roman" w:eastAsia="Times New Roman" w:hAnsi="Times New Roman" w:cs="Arial"/>
          <w:bCs/>
          <w:sz w:val="24"/>
          <w:szCs w:val="20"/>
          <w:lang w:eastAsia="pl-PL"/>
        </w:rPr>
        <w:t xml:space="preserve"> </w:t>
      </w:r>
      <w:r w:rsidRPr="00FA7379">
        <w:rPr>
          <w:rFonts w:ascii="Times New Roman" w:eastAsia="Times New Roman" w:hAnsi="Times New Roman" w:cs="Arial"/>
          <w:bCs/>
          <w:sz w:val="24"/>
          <w:szCs w:val="20"/>
          <w:lang w:eastAsia="pl-PL"/>
        </w:rPr>
        <w:t>lepsze zarządzanie ryzy</w:t>
      </w:r>
      <w:r w:rsidR="00696052" w:rsidRPr="00FA7379">
        <w:rPr>
          <w:rFonts w:ascii="Times New Roman" w:eastAsia="Times New Roman" w:hAnsi="Times New Roman" w:cs="Arial"/>
          <w:bCs/>
          <w:sz w:val="24"/>
          <w:szCs w:val="20"/>
          <w:lang w:eastAsia="pl-PL"/>
        </w:rPr>
        <w:t>kiem regulacyjnym i operacyjnym a także wzmocni zaufanie</w:t>
      </w:r>
      <w:r w:rsidRPr="00FA7379">
        <w:rPr>
          <w:rFonts w:ascii="Times New Roman" w:eastAsia="Times New Roman" w:hAnsi="Times New Roman" w:cs="Arial"/>
          <w:bCs/>
          <w:sz w:val="24"/>
          <w:szCs w:val="20"/>
          <w:lang w:eastAsia="pl-PL"/>
        </w:rPr>
        <w:t xml:space="preserve"> do rynku poprzez pokazanie, że nadzór jest prowadzony w sposób systematyczny, proporcjonalny i poddawany publicznej ocenie.</w:t>
      </w:r>
    </w:p>
    <w:p w14:paraId="62CC4E91" w14:textId="77777777" w:rsidR="001F0FC8" w:rsidRPr="00FA7379" w:rsidRDefault="001F0FC8" w:rsidP="00FA7379">
      <w:pPr>
        <w:spacing w:line="360" w:lineRule="auto"/>
        <w:ind w:left="709"/>
        <w:contextualSpacing/>
        <w:jc w:val="both"/>
        <w:rPr>
          <w:rFonts w:ascii="Times New Roman" w:eastAsia="Times New Roman" w:hAnsi="Times New Roman" w:cs="Arial"/>
          <w:bCs/>
          <w:sz w:val="24"/>
          <w:szCs w:val="20"/>
          <w:lang w:eastAsia="pl-PL"/>
        </w:rPr>
      </w:pPr>
      <w:r w:rsidRPr="00FA7379">
        <w:rPr>
          <w:rFonts w:ascii="Times New Roman" w:eastAsia="Times New Roman" w:hAnsi="Times New Roman" w:cs="Arial"/>
          <w:bCs/>
          <w:sz w:val="24"/>
          <w:szCs w:val="20"/>
          <w:lang w:eastAsia="pl-PL"/>
        </w:rPr>
        <w:t xml:space="preserve">Z punktu widzenia ustawodawcy, administracji rządowej oraz Komisji Nadzoru Finansowego raport stanowi narzędzie ewaluacyjne i planistyczne. Pozwoli </w:t>
      </w:r>
      <w:r w:rsidR="00696052" w:rsidRPr="00FA7379">
        <w:rPr>
          <w:rFonts w:ascii="Times New Roman" w:eastAsia="Times New Roman" w:hAnsi="Times New Roman" w:cs="Arial"/>
          <w:bCs/>
          <w:sz w:val="24"/>
          <w:szCs w:val="20"/>
          <w:lang w:eastAsia="pl-PL"/>
        </w:rPr>
        <w:t xml:space="preserve">on </w:t>
      </w:r>
      <w:r w:rsidRPr="00FA7379">
        <w:rPr>
          <w:rFonts w:ascii="Times New Roman" w:eastAsia="Times New Roman" w:hAnsi="Times New Roman" w:cs="Arial"/>
          <w:bCs/>
          <w:sz w:val="24"/>
          <w:szCs w:val="20"/>
          <w:lang w:eastAsia="pl-PL"/>
        </w:rPr>
        <w:t>ocenić skuteczność przyjętych rozwiązań legislacyjnych po okresie</w:t>
      </w:r>
      <w:r w:rsidR="00696052" w:rsidRPr="00FA7379">
        <w:rPr>
          <w:rFonts w:ascii="Times New Roman" w:eastAsia="Times New Roman" w:hAnsi="Times New Roman" w:cs="Arial"/>
          <w:bCs/>
          <w:sz w:val="24"/>
          <w:szCs w:val="20"/>
          <w:lang w:eastAsia="pl-PL"/>
        </w:rPr>
        <w:t xml:space="preserve"> ich faktycznego funkcjonowania, </w:t>
      </w:r>
      <w:r w:rsidRPr="00FA7379">
        <w:rPr>
          <w:rFonts w:ascii="Times New Roman" w:eastAsia="Times New Roman" w:hAnsi="Times New Roman" w:cs="Arial"/>
          <w:bCs/>
          <w:sz w:val="24"/>
          <w:szCs w:val="20"/>
          <w:lang w:eastAsia="pl-PL"/>
        </w:rPr>
        <w:t>zidentyfikować obszary wymagające doprecyzowania lub zmiany regulacyjnej,</w:t>
      </w:r>
      <w:r w:rsidR="00696052" w:rsidRPr="00FA7379">
        <w:rPr>
          <w:rFonts w:ascii="Times New Roman" w:eastAsia="Times New Roman" w:hAnsi="Times New Roman" w:cs="Arial"/>
          <w:bCs/>
          <w:sz w:val="24"/>
          <w:szCs w:val="20"/>
          <w:lang w:eastAsia="pl-PL"/>
        </w:rPr>
        <w:t xml:space="preserve"> </w:t>
      </w:r>
      <w:r w:rsidRPr="00FA7379">
        <w:rPr>
          <w:rFonts w:ascii="Times New Roman" w:eastAsia="Times New Roman" w:hAnsi="Times New Roman" w:cs="Arial"/>
          <w:bCs/>
          <w:sz w:val="24"/>
          <w:szCs w:val="20"/>
          <w:lang w:eastAsia="pl-PL"/>
        </w:rPr>
        <w:t xml:space="preserve">zapewnić racjonalne i przejrzyste gospodarowanie środkami publicznymi przeznaczonymi na nadzór nad rynkiem </w:t>
      </w:r>
      <w:proofErr w:type="spellStart"/>
      <w:r w:rsidRPr="00FA7379">
        <w:rPr>
          <w:rFonts w:ascii="Times New Roman" w:eastAsia="Times New Roman" w:hAnsi="Times New Roman" w:cs="Arial"/>
          <w:bCs/>
          <w:sz w:val="24"/>
          <w:szCs w:val="20"/>
          <w:lang w:eastAsia="pl-PL"/>
        </w:rPr>
        <w:t>kryptoaktywów</w:t>
      </w:r>
      <w:proofErr w:type="spellEnd"/>
      <w:r w:rsidRPr="00FA7379">
        <w:rPr>
          <w:rFonts w:ascii="Times New Roman" w:eastAsia="Times New Roman" w:hAnsi="Times New Roman" w:cs="Arial"/>
          <w:bCs/>
          <w:sz w:val="24"/>
          <w:szCs w:val="20"/>
          <w:lang w:eastAsia="pl-PL"/>
        </w:rPr>
        <w:t>, poprzez zestawienie kosztów nadzoru z pobranymi opłatami.</w:t>
      </w:r>
    </w:p>
    <w:p w14:paraId="52EF0231" w14:textId="77777777" w:rsidR="001F0FC8" w:rsidRPr="00FA7379" w:rsidRDefault="001F0FC8" w:rsidP="00FA7379">
      <w:pPr>
        <w:spacing w:line="360" w:lineRule="auto"/>
        <w:ind w:left="709"/>
        <w:contextualSpacing/>
        <w:jc w:val="both"/>
        <w:rPr>
          <w:rFonts w:ascii="Times New Roman" w:eastAsia="Times New Roman" w:hAnsi="Times New Roman" w:cs="Arial"/>
          <w:bCs/>
          <w:sz w:val="24"/>
          <w:szCs w:val="20"/>
          <w:lang w:eastAsia="pl-PL"/>
        </w:rPr>
      </w:pPr>
      <w:r w:rsidRPr="00FA7379">
        <w:rPr>
          <w:rFonts w:ascii="Times New Roman" w:eastAsia="Times New Roman" w:hAnsi="Times New Roman" w:cs="Arial"/>
          <w:bCs/>
          <w:sz w:val="24"/>
          <w:szCs w:val="20"/>
          <w:lang w:eastAsia="pl-PL"/>
        </w:rPr>
        <w:t>Wspólne przygotowanie raportu przez ministra właściwego do spraw finansów publicznych oraz Przewodniczącego KNF sprzyja spójności działań państwa i wymianie informacji pomiędzy kluczowymi instytucjami odpowiedzial</w:t>
      </w:r>
      <w:r w:rsidR="00696052" w:rsidRPr="00FA7379">
        <w:rPr>
          <w:rFonts w:ascii="Times New Roman" w:eastAsia="Times New Roman" w:hAnsi="Times New Roman" w:cs="Arial"/>
          <w:bCs/>
          <w:sz w:val="24"/>
          <w:szCs w:val="20"/>
          <w:lang w:eastAsia="pl-PL"/>
        </w:rPr>
        <w:t xml:space="preserve">nymi za </w:t>
      </w:r>
      <w:r w:rsidRPr="00FA7379">
        <w:rPr>
          <w:rFonts w:ascii="Times New Roman" w:eastAsia="Times New Roman" w:hAnsi="Times New Roman" w:cs="Arial"/>
          <w:bCs/>
          <w:sz w:val="24"/>
          <w:szCs w:val="20"/>
          <w:lang w:eastAsia="pl-PL"/>
        </w:rPr>
        <w:t>stabilność rynku finansowego.</w:t>
      </w:r>
      <w:r w:rsidR="00696052" w:rsidRPr="00FA7379">
        <w:rPr>
          <w:rFonts w:ascii="Times New Roman" w:eastAsia="Times New Roman" w:hAnsi="Times New Roman" w:cs="Arial"/>
          <w:bCs/>
          <w:sz w:val="24"/>
          <w:szCs w:val="20"/>
          <w:lang w:eastAsia="pl-PL"/>
        </w:rPr>
        <w:t xml:space="preserve"> Regulacja zawarta w art. 169</w:t>
      </w:r>
      <w:r w:rsidRPr="00FA7379">
        <w:rPr>
          <w:rFonts w:ascii="Times New Roman" w:eastAsia="Times New Roman" w:hAnsi="Times New Roman" w:cs="Arial"/>
          <w:bCs/>
          <w:sz w:val="24"/>
          <w:szCs w:val="20"/>
          <w:lang w:eastAsia="pl-PL"/>
        </w:rPr>
        <w:t xml:space="preserve"> tworzy mechanizm odpowiedzialnej oceny rynku </w:t>
      </w:r>
      <w:proofErr w:type="spellStart"/>
      <w:r w:rsidRPr="00FA7379">
        <w:rPr>
          <w:rFonts w:ascii="Times New Roman" w:eastAsia="Times New Roman" w:hAnsi="Times New Roman" w:cs="Arial"/>
          <w:bCs/>
          <w:sz w:val="24"/>
          <w:szCs w:val="20"/>
          <w:lang w:eastAsia="pl-PL"/>
        </w:rPr>
        <w:t>kryptoaktywów</w:t>
      </w:r>
      <w:proofErr w:type="spellEnd"/>
      <w:r w:rsidRPr="00FA7379">
        <w:rPr>
          <w:rFonts w:ascii="Times New Roman" w:eastAsia="Times New Roman" w:hAnsi="Times New Roman" w:cs="Arial"/>
          <w:bCs/>
          <w:sz w:val="24"/>
          <w:szCs w:val="20"/>
          <w:lang w:eastAsia="pl-PL"/>
        </w:rPr>
        <w:t xml:space="preserve"> i ich nadzoru po pierwszym dwuletnim okresie obowiązywania nowej regulacji. Rozwiązanie to służy jednocześnie interesowi obywateli, uczestników rynku oraz administracji publicznej, stanowiąc istotny element nowoczesnego i proporcjonalnego nadzoru nad rynkiem </w:t>
      </w:r>
      <w:proofErr w:type="spellStart"/>
      <w:r w:rsidRPr="00FA7379">
        <w:rPr>
          <w:rFonts w:ascii="Times New Roman" w:eastAsia="Times New Roman" w:hAnsi="Times New Roman" w:cs="Arial"/>
          <w:bCs/>
          <w:sz w:val="24"/>
          <w:szCs w:val="20"/>
          <w:lang w:eastAsia="pl-PL"/>
        </w:rPr>
        <w:t>kryptoaktywów</w:t>
      </w:r>
      <w:proofErr w:type="spellEnd"/>
      <w:r w:rsidRPr="00FA7379">
        <w:rPr>
          <w:rFonts w:ascii="Times New Roman" w:eastAsia="Times New Roman" w:hAnsi="Times New Roman" w:cs="Arial"/>
          <w:bCs/>
          <w:sz w:val="24"/>
          <w:szCs w:val="20"/>
          <w:lang w:eastAsia="pl-PL"/>
        </w:rPr>
        <w:t xml:space="preserve"> w Polsce.</w:t>
      </w:r>
    </w:p>
    <w:p w14:paraId="3633F2C2" w14:textId="6C90E21C" w:rsidR="00C21D4B" w:rsidRPr="00C529CB" w:rsidRDefault="00C21D4B" w:rsidP="00FA7379">
      <w:pPr>
        <w:spacing w:line="360" w:lineRule="auto"/>
        <w:contextualSpacing/>
        <w:jc w:val="both"/>
        <w:rPr>
          <w:rFonts w:ascii="Times New Roman" w:eastAsia="Times New Roman" w:hAnsi="Times New Roman" w:cs="Arial"/>
          <w:sz w:val="24"/>
          <w:szCs w:val="20"/>
          <w:lang w:eastAsia="pl-PL"/>
        </w:rPr>
      </w:pPr>
    </w:p>
    <w:p w14:paraId="01F4D7F8" w14:textId="51A88E8B" w:rsidR="00C21D4B" w:rsidRPr="00486C63" w:rsidRDefault="00C21D4B" w:rsidP="00781E1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 xml:space="preserve">Art. </w:t>
      </w:r>
      <w:r w:rsidR="001878E4">
        <w:rPr>
          <w:rFonts w:ascii="Times New Roman" w:eastAsia="Times New Roman" w:hAnsi="Times New Roman" w:cs="Arial"/>
          <w:b/>
          <w:bCs/>
          <w:sz w:val="24"/>
          <w:szCs w:val="20"/>
          <w:lang w:eastAsia="pl-PL"/>
        </w:rPr>
        <w:t>170</w:t>
      </w:r>
      <w:r w:rsidRPr="00486C63">
        <w:rPr>
          <w:rFonts w:ascii="Times New Roman" w:eastAsia="Times New Roman" w:hAnsi="Times New Roman" w:cs="Arial"/>
          <w:sz w:val="24"/>
          <w:szCs w:val="20"/>
          <w:lang w:eastAsia="pl-PL"/>
        </w:rPr>
        <w:t xml:space="preserve"> przewiduje, że </w:t>
      </w:r>
      <w:r>
        <w:rPr>
          <w:rFonts w:ascii="Times New Roman" w:eastAsia="Times New Roman" w:hAnsi="Times New Roman" w:cs="Arial"/>
          <w:sz w:val="24"/>
          <w:szCs w:val="20"/>
          <w:lang w:eastAsia="pl-PL"/>
        </w:rPr>
        <w:t xml:space="preserve">projektowana </w:t>
      </w:r>
      <w:r w:rsidRPr="00486C63">
        <w:rPr>
          <w:rFonts w:ascii="Times New Roman" w:eastAsia="Times New Roman" w:hAnsi="Times New Roman" w:cs="Arial"/>
          <w:sz w:val="24"/>
          <w:szCs w:val="20"/>
          <w:lang w:eastAsia="pl-PL"/>
        </w:rPr>
        <w:t xml:space="preserve">ustawa wejdzie w życie </w:t>
      </w:r>
      <w:r>
        <w:rPr>
          <w:rFonts w:ascii="Times New Roman" w:eastAsia="Times New Roman" w:hAnsi="Times New Roman" w:cs="Arial"/>
          <w:sz w:val="24"/>
          <w:szCs w:val="20"/>
          <w:lang w:eastAsia="pl-PL"/>
        </w:rPr>
        <w:t>po upływie 14 dni od dnia ogłoszenia</w:t>
      </w:r>
      <w:r w:rsidR="001878E4">
        <w:rPr>
          <w:rFonts w:ascii="Times New Roman" w:eastAsia="Times New Roman" w:hAnsi="Times New Roman" w:cs="Arial"/>
          <w:sz w:val="24"/>
          <w:szCs w:val="20"/>
          <w:lang w:eastAsia="pl-PL"/>
        </w:rPr>
        <w:t xml:space="preserve"> z wyjątkiem art. 71, który wejdzie w życie po upływie 4 miesięcy od dnia ogłoszenia. </w:t>
      </w:r>
    </w:p>
    <w:p w14:paraId="290DF041" w14:textId="77777777" w:rsidR="00C21D4B" w:rsidRDefault="00C21D4B" w:rsidP="00695ECE">
      <w:pPr>
        <w:spacing w:line="360" w:lineRule="auto"/>
        <w:jc w:val="both"/>
        <w:rPr>
          <w:rFonts w:ascii="Times New Roman" w:eastAsia="Times New Roman" w:hAnsi="Times New Roman" w:cs="Arial"/>
          <w:sz w:val="24"/>
          <w:szCs w:val="20"/>
          <w:lang w:eastAsia="pl-PL"/>
        </w:rPr>
      </w:pPr>
    </w:p>
    <w:p w14:paraId="16C6B912" w14:textId="77777777" w:rsidR="00C21D4B" w:rsidRPr="00486C63" w:rsidRDefault="00C21D4B" w:rsidP="00695ECE">
      <w:pPr>
        <w:spacing w:line="360" w:lineRule="auto"/>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Projekt ustawy nie wymaga przedstawienia właściwym organom i instytucjom Unii Europejskiej, w tym Europejskiemu Bankowi Centralnemu, w celu uzyskania opinii, dokonania powiadomienia, konsultacji albo uzgodnienia.</w:t>
      </w:r>
    </w:p>
    <w:p w14:paraId="60B6AEA5" w14:textId="48224BF2" w:rsidR="00C21D4B" w:rsidRDefault="00C21D4B" w:rsidP="00695ECE">
      <w:pPr>
        <w:spacing w:line="360" w:lineRule="auto"/>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Projekt ustawy pozytywnie wpłynie na działalność mikro-, małych i średnich przedsiębiorców.</w:t>
      </w:r>
    </w:p>
    <w:p w14:paraId="02044E2B" w14:textId="77777777" w:rsidR="00A472C3" w:rsidRPr="00A472C3" w:rsidRDefault="00A472C3" w:rsidP="00A472C3">
      <w:pPr>
        <w:spacing w:line="360" w:lineRule="auto"/>
        <w:jc w:val="both"/>
        <w:rPr>
          <w:rFonts w:ascii="Times New Roman" w:eastAsia="Times New Roman" w:hAnsi="Times New Roman" w:cs="Arial"/>
          <w:sz w:val="24"/>
          <w:szCs w:val="20"/>
          <w:lang w:eastAsia="pl-PL"/>
        </w:rPr>
      </w:pPr>
      <w:r w:rsidRPr="00A472C3">
        <w:rPr>
          <w:rFonts w:ascii="Times New Roman" w:eastAsia="Times New Roman" w:hAnsi="Times New Roman" w:cs="Arial"/>
          <w:sz w:val="24"/>
          <w:szCs w:val="20"/>
          <w:lang w:eastAsia="pl-PL"/>
        </w:rPr>
        <w:t xml:space="preserve">Regulacja przyczyni się do zwiększenia konkurencyjności, dzięki umożliwieniu nowym podmiotom wchodzącym na rynek budowy infrastruktury rynkowej opartej na DLT na potrzeby obrotu </w:t>
      </w:r>
      <w:proofErr w:type="spellStart"/>
      <w:r w:rsidRPr="00A472C3">
        <w:rPr>
          <w:rFonts w:ascii="Times New Roman" w:eastAsia="Times New Roman" w:hAnsi="Times New Roman" w:cs="Arial"/>
          <w:sz w:val="24"/>
          <w:szCs w:val="20"/>
          <w:lang w:eastAsia="pl-PL"/>
        </w:rPr>
        <w:t>tokenami</w:t>
      </w:r>
      <w:proofErr w:type="spellEnd"/>
      <w:r w:rsidRPr="00A472C3">
        <w:rPr>
          <w:rFonts w:ascii="Times New Roman" w:eastAsia="Times New Roman" w:hAnsi="Times New Roman" w:cs="Arial"/>
          <w:sz w:val="24"/>
          <w:szCs w:val="20"/>
          <w:lang w:eastAsia="pl-PL"/>
        </w:rPr>
        <w:t xml:space="preserve"> o cechach papierów wartościowych lub ich rozrachunku, która to infrastruktura w perspektywie średnio- i długoterminowej mogłaby stanowić konkurencję dla istniejącej infrastruktury.</w:t>
      </w:r>
    </w:p>
    <w:p w14:paraId="7A377E3E" w14:textId="77777777" w:rsidR="00A472C3" w:rsidRPr="00FA7379" w:rsidRDefault="00A472C3" w:rsidP="00A472C3">
      <w:pPr>
        <w:spacing w:line="360" w:lineRule="auto"/>
        <w:jc w:val="both"/>
        <w:rPr>
          <w:rFonts w:ascii="Times New Roman" w:eastAsia="Times New Roman" w:hAnsi="Times New Roman" w:cs="Arial"/>
          <w:b/>
          <w:sz w:val="24"/>
          <w:szCs w:val="20"/>
          <w:lang w:eastAsia="pl-PL"/>
        </w:rPr>
      </w:pPr>
      <w:r w:rsidRPr="00FA7379">
        <w:rPr>
          <w:rFonts w:ascii="Times New Roman" w:eastAsia="Times New Roman" w:hAnsi="Times New Roman" w:cs="Arial"/>
          <w:b/>
          <w:sz w:val="24"/>
          <w:szCs w:val="20"/>
          <w:lang w:eastAsia="pl-PL"/>
        </w:rPr>
        <w:t>Wpływ na budżet państwa i budżety jednostek samorządu terytorialnego</w:t>
      </w:r>
    </w:p>
    <w:p w14:paraId="3DF2FA53" w14:textId="77777777" w:rsidR="00A472C3" w:rsidRPr="00A472C3" w:rsidRDefault="00A472C3" w:rsidP="00A472C3">
      <w:pPr>
        <w:spacing w:line="360" w:lineRule="auto"/>
        <w:jc w:val="both"/>
        <w:rPr>
          <w:rFonts w:ascii="Times New Roman" w:eastAsia="Times New Roman" w:hAnsi="Times New Roman" w:cs="Arial"/>
          <w:sz w:val="24"/>
          <w:szCs w:val="20"/>
          <w:lang w:eastAsia="pl-PL"/>
        </w:rPr>
      </w:pPr>
      <w:r w:rsidRPr="00A472C3">
        <w:rPr>
          <w:rFonts w:ascii="Times New Roman" w:eastAsia="Times New Roman" w:hAnsi="Times New Roman" w:cs="Arial"/>
          <w:sz w:val="24"/>
          <w:szCs w:val="20"/>
          <w:lang w:eastAsia="pl-PL"/>
        </w:rPr>
        <w:t xml:space="preserve">Projektowana ustawa nie będzie miała bezpośredniego wpływu na sektor finansów publicznych, w tym na budżet państwa oraz budżety jednostek samorządu terytorialnego. </w:t>
      </w:r>
    </w:p>
    <w:p w14:paraId="2D7A1EFD" w14:textId="77A86773" w:rsidR="00A472C3" w:rsidRPr="00A472C3" w:rsidRDefault="00A472C3" w:rsidP="00A472C3">
      <w:pPr>
        <w:spacing w:line="360" w:lineRule="auto"/>
        <w:jc w:val="both"/>
        <w:rPr>
          <w:rFonts w:ascii="Times New Roman" w:eastAsia="Times New Roman" w:hAnsi="Times New Roman" w:cs="Arial"/>
          <w:sz w:val="24"/>
          <w:szCs w:val="20"/>
          <w:lang w:eastAsia="pl-PL"/>
        </w:rPr>
      </w:pPr>
      <w:r w:rsidRPr="00A472C3">
        <w:rPr>
          <w:rFonts w:ascii="Times New Roman" w:eastAsia="Times New Roman" w:hAnsi="Times New Roman" w:cs="Arial"/>
          <w:sz w:val="24"/>
          <w:szCs w:val="20"/>
          <w:lang w:eastAsia="pl-PL"/>
        </w:rPr>
        <w:t xml:space="preserve">Wpływ projektowanych zmian będzie się wiązał ze wzrostem kosztów działania UKNF związanych z zadaniami wykonywanymi w ramach nadzoru KNF nad rynkiem </w:t>
      </w:r>
      <w:proofErr w:type="spellStart"/>
      <w:r w:rsidRPr="00A472C3">
        <w:rPr>
          <w:rFonts w:ascii="Times New Roman" w:eastAsia="Times New Roman" w:hAnsi="Times New Roman" w:cs="Arial"/>
          <w:sz w:val="24"/>
          <w:szCs w:val="20"/>
          <w:lang w:eastAsia="pl-PL"/>
        </w:rPr>
        <w:t>kryptoaktywów</w:t>
      </w:r>
      <w:proofErr w:type="spellEnd"/>
      <w:r w:rsidRPr="00A472C3">
        <w:rPr>
          <w:rFonts w:ascii="Times New Roman" w:eastAsia="Times New Roman" w:hAnsi="Times New Roman" w:cs="Arial"/>
          <w:sz w:val="24"/>
          <w:szCs w:val="20"/>
          <w:lang w:eastAsia="pl-PL"/>
        </w:rPr>
        <w:t xml:space="preserve">. Wysokość tych kosztów na obecnym etapie jest niemożliwa do oszacowania z uwagi na brak szczegółowych danych o liczbie podmiotów i skali ich działalności po wejściu w życie ustawy. Brak możliwości oszacowania kosztów związany jest także z modelem działalności podmiotów z branży </w:t>
      </w:r>
      <w:proofErr w:type="spellStart"/>
      <w:r w:rsidRPr="00A472C3">
        <w:rPr>
          <w:rFonts w:ascii="Times New Roman" w:eastAsia="Times New Roman" w:hAnsi="Times New Roman" w:cs="Arial"/>
          <w:sz w:val="24"/>
          <w:szCs w:val="20"/>
          <w:lang w:eastAsia="pl-PL"/>
        </w:rPr>
        <w:t>kryptoaktywów</w:t>
      </w:r>
      <w:proofErr w:type="spellEnd"/>
      <w:r w:rsidRPr="00A472C3">
        <w:rPr>
          <w:rFonts w:ascii="Times New Roman" w:eastAsia="Times New Roman" w:hAnsi="Times New Roman" w:cs="Arial"/>
          <w:sz w:val="24"/>
          <w:szCs w:val="20"/>
          <w:lang w:eastAsia="pl-PL"/>
        </w:rPr>
        <w:t>, w szczególności transgranicznym charakterem ich usług. Obecny brak nadzoru powoduje</w:t>
      </w:r>
      <w:r w:rsidR="00DE0D55">
        <w:rPr>
          <w:rFonts w:ascii="Times New Roman" w:eastAsia="Times New Roman" w:hAnsi="Times New Roman" w:cs="Arial"/>
          <w:sz w:val="24"/>
          <w:szCs w:val="20"/>
          <w:lang w:eastAsia="pl-PL"/>
        </w:rPr>
        <w:t xml:space="preserve"> brak miarodajnych informacji</w:t>
      </w:r>
      <w:r w:rsidRPr="00A472C3">
        <w:rPr>
          <w:rFonts w:ascii="Times New Roman" w:eastAsia="Times New Roman" w:hAnsi="Times New Roman" w:cs="Arial"/>
          <w:sz w:val="24"/>
          <w:szCs w:val="20"/>
          <w:lang w:eastAsia="pl-PL"/>
        </w:rPr>
        <w:t xml:space="preserve"> o o</w:t>
      </w:r>
      <w:r w:rsidR="00DE0D55">
        <w:rPr>
          <w:rFonts w:ascii="Times New Roman" w:eastAsia="Times New Roman" w:hAnsi="Times New Roman" w:cs="Arial"/>
          <w:sz w:val="24"/>
          <w:szCs w:val="20"/>
          <w:lang w:eastAsia="pl-PL"/>
        </w:rPr>
        <w:t>becnym stanie tego rynku, jak również informacji</w:t>
      </w:r>
      <w:r w:rsidRPr="00A472C3">
        <w:rPr>
          <w:rFonts w:ascii="Times New Roman" w:eastAsia="Times New Roman" w:hAnsi="Times New Roman" w:cs="Arial"/>
          <w:sz w:val="24"/>
          <w:szCs w:val="20"/>
          <w:lang w:eastAsia="pl-PL"/>
        </w:rPr>
        <w:t xml:space="preserve"> co do zamierzonej skali prowadzenia działalności, zarówno przez podmioty prowadzące obecnie tę działalność, jak i podmioty zainteresowane podjęciem takiej działalności po wejściu projektowanej ustawy w życie. Ze względu na brak wiarygodnych źródeł danych nie jest zatem możliwe oszacowanie rzeczywistych kosztów nadzoru, które będą pokrywane przez podmioty objęte nadzorem. Do kosztów nadzoru, które będą na stale ponoszone i będą zwiększać ogólne koszty działania UKNF, należy zaliczyć koszty związane z zatrudnieniem personelu niezbędnego do realizacji nowo wprowadzanych zadań nadzorczych, a także stale ponoszone koszty utrzymania infrastruktury </w:t>
      </w:r>
      <w:proofErr w:type="spellStart"/>
      <w:r w:rsidRPr="00A472C3">
        <w:rPr>
          <w:rFonts w:ascii="Times New Roman" w:eastAsia="Times New Roman" w:hAnsi="Times New Roman" w:cs="Arial"/>
          <w:sz w:val="24"/>
          <w:szCs w:val="20"/>
          <w:lang w:eastAsia="pl-PL"/>
        </w:rPr>
        <w:t>informatyczno</w:t>
      </w:r>
      <w:proofErr w:type="spellEnd"/>
      <w:r w:rsidRPr="00A472C3">
        <w:rPr>
          <w:rFonts w:ascii="Times New Roman" w:eastAsia="Times New Roman" w:hAnsi="Times New Roman" w:cs="Arial"/>
          <w:sz w:val="24"/>
          <w:szCs w:val="20"/>
          <w:lang w:eastAsia="pl-PL"/>
        </w:rPr>
        <w:t xml:space="preserve">–technicznej pozwalającej na sprawowanie ciągłego i efektywnego nadzoru w obszarze rynku </w:t>
      </w:r>
      <w:proofErr w:type="spellStart"/>
      <w:r w:rsidRPr="00A472C3">
        <w:rPr>
          <w:rFonts w:ascii="Times New Roman" w:eastAsia="Times New Roman" w:hAnsi="Times New Roman" w:cs="Arial"/>
          <w:sz w:val="24"/>
          <w:szCs w:val="20"/>
          <w:lang w:eastAsia="pl-PL"/>
        </w:rPr>
        <w:t>kryptoaktywów</w:t>
      </w:r>
      <w:proofErr w:type="spellEnd"/>
      <w:r w:rsidRPr="00A472C3">
        <w:rPr>
          <w:rFonts w:ascii="Times New Roman" w:eastAsia="Times New Roman" w:hAnsi="Times New Roman" w:cs="Arial"/>
          <w:sz w:val="24"/>
          <w:szCs w:val="20"/>
          <w:lang w:eastAsia="pl-PL"/>
        </w:rPr>
        <w:t>.</w:t>
      </w:r>
    </w:p>
    <w:p w14:paraId="4103ABC6" w14:textId="63B109EF" w:rsidR="00A472C3" w:rsidRPr="00FA7379" w:rsidRDefault="00A472C3" w:rsidP="00A472C3">
      <w:pPr>
        <w:spacing w:line="360" w:lineRule="auto"/>
        <w:jc w:val="both"/>
        <w:rPr>
          <w:rFonts w:ascii="Times New Roman" w:eastAsia="Times New Roman" w:hAnsi="Times New Roman" w:cs="Arial"/>
          <w:b/>
          <w:sz w:val="24"/>
          <w:szCs w:val="20"/>
          <w:lang w:eastAsia="pl-PL"/>
        </w:rPr>
      </w:pPr>
      <w:r w:rsidRPr="00FA7379">
        <w:rPr>
          <w:rFonts w:ascii="Times New Roman" w:eastAsia="Times New Roman" w:hAnsi="Times New Roman" w:cs="Arial"/>
          <w:b/>
          <w:sz w:val="24"/>
          <w:szCs w:val="20"/>
          <w:lang w:eastAsia="pl-PL"/>
        </w:rPr>
        <w:t>Skutki społeczne i gospodarcze</w:t>
      </w:r>
    </w:p>
    <w:p w14:paraId="44E198EE" w14:textId="77777777" w:rsidR="00A472C3" w:rsidRPr="00A472C3" w:rsidRDefault="00A472C3" w:rsidP="00A472C3">
      <w:pPr>
        <w:spacing w:line="360" w:lineRule="auto"/>
        <w:jc w:val="both"/>
        <w:rPr>
          <w:rFonts w:ascii="Times New Roman" w:eastAsia="Times New Roman" w:hAnsi="Times New Roman" w:cs="Arial"/>
          <w:sz w:val="24"/>
          <w:szCs w:val="20"/>
          <w:lang w:eastAsia="pl-PL"/>
        </w:rPr>
      </w:pPr>
      <w:r w:rsidRPr="00A472C3">
        <w:rPr>
          <w:rFonts w:ascii="Times New Roman" w:eastAsia="Times New Roman" w:hAnsi="Times New Roman" w:cs="Arial"/>
          <w:sz w:val="24"/>
          <w:szCs w:val="20"/>
          <w:lang w:eastAsia="pl-PL"/>
        </w:rPr>
        <w:t xml:space="preserve">Wejście w życie projektowanej regulacji pośrednio przyczyni się do ograniczenia strat ponoszonych na skutek inwestycji na nieuregulowanym dotąd rynku </w:t>
      </w:r>
      <w:proofErr w:type="spellStart"/>
      <w:r w:rsidRPr="00A472C3">
        <w:rPr>
          <w:rFonts w:ascii="Times New Roman" w:eastAsia="Times New Roman" w:hAnsi="Times New Roman" w:cs="Arial"/>
          <w:sz w:val="24"/>
          <w:szCs w:val="20"/>
          <w:lang w:eastAsia="pl-PL"/>
        </w:rPr>
        <w:t>kryptoaktywów</w:t>
      </w:r>
      <w:proofErr w:type="spellEnd"/>
      <w:r w:rsidRPr="00A472C3">
        <w:rPr>
          <w:rFonts w:ascii="Times New Roman" w:eastAsia="Times New Roman" w:hAnsi="Times New Roman" w:cs="Arial"/>
          <w:sz w:val="24"/>
          <w:szCs w:val="20"/>
          <w:lang w:eastAsia="pl-PL"/>
        </w:rPr>
        <w:t xml:space="preserve">. Uregulowanie rynku bezgotówkowej wymiany walut przyczyni się natomiast do wzrostu bezpieczeństwa transakcji w tym zakresie oraz zapewni ochronę środków finansowych powierzanych podmiotom świadczącym usługę wymiany walut. </w:t>
      </w:r>
    </w:p>
    <w:p w14:paraId="1DB4BFAD" w14:textId="77777777" w:rsidR="00A472C3" w:rsidRPr="00A472C3" w:rsidRDefault="00A472C3" w:rsidP="00A472C3">
      <w:pPr>
        <w:spacing w:line="360" w:lineRule="auto"/>
        <w:jc w:val="both"/>
        <w:rPr>
          <w:rFonts w:ascii="Times New Roman" w:eastAsia="Times New Roman" w:hAnsi="Times New Roman" w:cs="Arial"/>
          <w:sz w:val="24"/>
          <w:szCs w:val="20"/>
          <w:lang w:eastAsia="pl-PL"/>
        </w:rPr>
      </w:pPr>
      <w:r w:rsidRPr="00A472C3">
        <w:rPr>
          <w:rFonts w:ascii="Times New Roman" w:eastAsia="Times New Roman" w:hAnsi="Times New Roman" w:cs="Arial"/>
          <w:sz w:val="24"/>
          <w:szCs w:val="20"/>
          <w:lang w:eastAsia="pl-PL"/>
        </w:rPr>
        <w:t xml:space="preserve">Wejście w życie projektowanej ustawy zwiększy bezpieczeństwo transakcji dokonywanych na rynku </w:t>
      </w:r>
      <w:proofErr w:type="spellStart"/>
      <w:r w:rsidRPr="00A472C3">
        <w:rPr>
          <w:rFonts w:ascii="Times New Roman" w:eastAsia="Times New Roman" w:hAnsi="Times New Roman" w:cs="Arial"/>
          <w:sz w:val="24"/>
          <w:szCs w:val="20"/>
          <w:lang w:eastAsia="pl-PL"/>
        </w:rPr>
        <w:t>kryptoaktywów</w:t>
      </w:r>
      <w:proofErr w:type="spellEnd"/>
      <w:r w:rsidRPr="00A472C3">
        <w:rPr>
          <w:rFonts w:ascii="Times New Roman" w:eastAsia="Times New Roman" w:hAnsi="Times New Roman" w:cs="Arial"/>
          <w:sz w:val="24"/>
          <w:szCs w:val="20"/>
          <w:lang w:eastAsia="pl-PL"/>
        </w:rPr>
        <w:t xml:space="preserve"> z udziałem inwestorów, w tym konsumentów. Rozporządzenie 2023/1114 wprowadza rozwiązania chroniące klientów dostawców usług w zakresie </w:t>
      </w:r>
      <w:proofErr w:type="spellStart"/>
      <w:r w:rsidRPr="00A472C3">
        <w:rPr>
          <w:rFonts w:ascii="Times New Roman" w:eastAsia="Times New Roman" w:hAnsi="Times New Roman" w:cs="Arial"/>
          <w:sz w:val="24"/>
          <w:szCs w:val="20"/>
          <w:lang w:eastAsia="pl-PL"/>
        </w:rPr>
        <w:t>kryptoaktywów</w:t>
      </w:r>
      <w:proofErr w:type="spellEnd"/>
      <w:r w:rsidRPr="00A472C3">
        <w:rPr>
          <w:rFonts w:ascii="Times New Roman" w:eastAsia="Times New Roman" w:hAnsi="Times New Roman" w:cs="Arial"/>
          <w:sz w:val="24"/>
          <w:szCs w:val="20"/>
          <w:lang w:eastAsia="pl-PL"/>
        </w:rPr>
        <w:t xml:space="preserve"> ustanawiając szereg wymogów, w szczególności w zakresie świadczenia doradztwa w zakresie </w:t>
      </w:r>
      <w:proofErr w:type="spellStart"/>
      <w:r w:rsidRPr="00A472C3">
        <w:rPr>
          <w:rFonts w:ascii="Times New Roman" w:eastAsia="Times New Roman" w:hAnsi="Times New Roman" w:cs="Arial"/>
          <w:sz w:val="24"/>
          <w:szCs w:val="20"/>
          <w:lang w:eastAsia="pl-PL"/>
        </w:rPr>
        <w:t>kryptoaktywów</w:t>
      </w:r>
      <w:proofErr w:type="spellEnd"/>
      <w:r w:rsidRPr="00A472C3">
        <w:rPr>
          <w:rFonts w:ascii="Times New Roman" w:eastAsia="Times New Roman" w:hAnsi="Times New Roman" w:cs="Arial"/>
          <w:sz w:val="24"/>
          <w:szCs w:val="20"/>
          <w:lang w:eastAsia="pl-PL"/>
        </w:rPr>
        <w:t xml:space="preserve"> poprzez konieczność przeprowadzania oceny wiedzy i kompetencji klienta, jak również obowiązek wykonywania zleceń zgodnie z najlepszym interesem klientów, a także wyodrębniania środków pieniężnych klientów przez dostawców usług w zakresie </w:t>
      </w:r>
      <w:proofErr w:type="spellStart"/>
      <w:r w:rsidRPr="00A472C3">
        <w:rPr>
          <w:rFonts w:ascii="Times New Roman" w:eastAsia="Times New Roman" w:hAnsi="Times New Roman" w:cs="Arial"/>
          <w:sz w:val="24"/>
          <w:szCs w:val="20"/>
          <w:lang w:eastAsia="pl-PL"/>
        </w:rPr>
        <w:t>kryptoaktywów</w:t>
      </w:r>
      <w:proofErr w:type="spellEnd"/>
      <w:r w:rsidRPr="00A472C3">
        <w:rPr>
          <w:rFonts w:ascii="Times New Roman" w:eastAsia="Times New Roman" w:hAnsi="Times New Roman" w:cs="Arial"/>
          <w:sz w:val="24"/>
          <w:szCs w:val="20"/>
          <w:lang w:eastAsia="pl-PL"/>
        </w:rPr>
        <w:t xml:space="preserve">. W związku z powyższym dostawcy usług w zakresie </w:t>
      </w:r>
      <w:proofErr w:type="spellStart"/>
      <w:r w:rsidRPr="00A472C3">
        <w:rPr>
          <w:rFonts w:ascii="Times New Roman" w:eastAsia="Times New Roman" w:hAnsi="Times New Roman" w:cs="Arial"/>
          <w:sz w:val="24"/>
          <w:szCs w:val="20"/>
          <w:lang w:eastAsia="pl-PL"/>
        </w:rPr>
        <w:t>kryptoaktywów</w:t>
      </w:r>
      <w:proofErr w:type="spellEnd"/>
      <w:r w:rsidRPr="00A472C3">
        <w:rPr>
          <w:rFonts w:ascii="Times New Roman" w:eastAsia="Times New Roman" w:hAnsi="Times New Roman" w:cs="Arial"/>
          <w:sz w:val="24"/>
          <w:szCs w:val="20"/>
          <w:lang w:eastAsia="pl-PL"/>
        </w:rPr>
        <w:t xml:space="preserve"> będą musieli wdrożyć w swojej działalności nowe rozwiązania służące przede wszystkim zwiększeniu ochrony klientów. Pozytywny wpływ na bezpieczeństwo inwestorów powinien przełożyć się na zwiększenie zainteresowania finansowaniem poza bankowym.</w:t>
      </w:r>
    </w:p>
    <w:p w14:paraId="3A2A01D3" w14:textId="77777777" w:rsidR="00A472C3" w:rsidRPr="00A472C3" w:rsidRDefault="00A472C3" w:rsidP="00A472C3">
      <w:pPr>
        <w:spacing w:line="360" w:lineRule="auto"/>
        <w:jc w:val="both"/>
        <w:rPr>
          <w:rFonts w:ascii="Times New Roman" w:eastAsia="Times New Roman" w:hAnsi="Times New Roman" w:cs="Arial"/>
          <w:sz w:val="24"/>
          <w:szCs w:val="20"/>
          <w:lang w:eastAsia="pl-PL"/>
        </w:rPr>
      </w:pPr>
      <w:r w:rsidRPr="00A472C3">
        <w:rPr>
          <w:rFonts w:ascii="Times New Roman" w:eastAsia="Times New Roman" w:hAnsi="Times New Roman" w:cs="Arial"/>
          <w:sz w:val="24"/>
          <w:szCs w:val="20"/>
          <w:lang w:eastAsia="pl-PL"/>
        </w:rPr>
        <w:t xml:space="preserve">Konsekwencją stosowania rozporządzenia 2023/1114 oraz wejścia w życie projektowanej ustawy będzie objęcie nadzorem działalności na rynku </w:t>
      </w:r>
      <w:proofErr w:type="spellStart"/>
      <w:r w:rsidRPr="00A472C3">
        <w:rPr>
          <w:rFonts w:ascii="Times New Roman" w:eastAsia="Times New Roman" w:hAnsi="Times New Roman" w:cs="Arial"/>
          <w:sz w:val="24"/>
          <w:szCs w:val="20"/>
          <w:lang w:eastAsia="pl-PL"/>
        </w:rPr>
        <w:t>kryptoaktywów</w:t>
      </w:r>
      <w:proofErr w:type="spellEnd"/>
      <w:r w:rsidRPr="00A472C3">
        <w:rPr>
          <w:rFonts w:ascii="Times New Roman" w:eastAsia="Times New Roman" w:hAnsi="Times New Roman" w:cs="Arial"/>
          <w:sz w:val="24"/>
          <w:szCs w:val="20"/>
          <w:lang w:eastAsia="pl-PL"/>
        </w:rPr>
        <w:t xml:space="preserve">. Działalność na tym rynku będzie reglamentowana i będzie się wiązała z należytym przygotowaniem organizacyjnym, technicznym i ostrożnościowym, a wszystkie podmioty chcące działać w tym sektorze rynku finansowego będą musiały posiadać odpowiednie zezwolenie, jak również spełniać określone wymogi, w tym ostrożnościowe. </w:t>
      </w:r>
    </w:p>
    <w:p w14:paraId="7894DB68" w14:textId="77777777" w:rsidR="00A472C3" w:rsidRPr="00A472C3" w:rsidRDefault="00A472C3" w:rsidP="00A472C3">
      <w:pPr>
        <w:spacing w:line="360" w:lineRule="auto"/>
        <w:jc w:val="both"/>
        <w:rPr>
          <w:rFonts w:ascii="Times New Roman" w:eastAsia="Times New Roman" w:hAnsi="Times New Roman" w:cs="Arial"/>
          <w:sz w:val="24"/>
          <w:szCs w:val="20"/>
          <w:lang w:eastAsia="pl-PL"/>
        </w:rPr>
      </w:pPr>
      <w:r w:rsidRPr="00A472C3">
        <w:rPr>
          <w:rFonts w:ascii="Times New Roman" w:eastAsia="Times New Roman" w:hAnsi="Times New Roman" w:cs="Arial"/>
          <w:sz w:val="24"/>
          <w:szCs w:val="20"/>
          <w:lang w:eastAsia="pl-PL"/>
        </w:rPr>
        <w:t xml:space="preserve">Jednocześnie uzyskanie zezwolenia w zakresie działalności na rynku </w:t>
      </w:r>
      <w:proofErr w:type="spellStart"/>
      <w:r w:rsidRPr="00A472C3">
        <w:rPr>
          <w:rFonts w:ascii="Times New Roman" w:eastAsia="Times New Roman" w:hAnsi="Times New Roman" w:cs="Arial"/>
          <w:sz w:val="24"/>
          <w:szCs w:val="20"/>
          <w:lang w:eastAsia="pl-PL"/>
        </w:rPr>
        <w:t>kryptoaktywów</w:t>
      </w:r>
      <w:proofErr w:type="spellEnd"/>
      <w:r w:rsidRPr="00A472C3">
        <w:rPr>
          <w:rFonts w:ascii="Times New Roman" w:eastAsia="Times New Roman" w:hAnsi="Times New Roman" w:cs="Arial"/>
          <w:sz w:val="24"/>
          <w:szCs w:val="20"/>
          <w:lang w:eastAsia="pl-PL"/>
        </w:rPr>
        <w:t xml:space="preserve"> pozwoli tym podmiotom na zwiększenie skali prowadzonej działalności poprzez możliwość transgranicznego świadczenia usług na terytorium wszystkich państw UE. Dostawcy usług w zakresie </w:t>
      </w:r>
      <w:proofErr w:type="spellStart"/>
      <w:r w:rsidRPr="00A472C3">
        <w:rPr>
          <w:rFonts w:ascii="Times New Roman" w:eastAsia="Times New Roman" w:hAnsi="Times New Roman" w:cs="Arial"/>
          <w:sz w:val="24"/>
          <w:szCs w:val="20"/>
          <w:lang w:eastAsia="pl-PL"/>
        </w:rPr>
        <w:t>kryptoaktywów</w:t>
      </w:r>
      <w:proofErr w:type="spellEnd"/>
      <w:r w:rsidRPr="00A472C3">
        <w:rPr>
          <w:rFonts w:ascii="Times New Roman" w:eastAsia="Times New Roman" w:hAnsi="Times New Roman" w:cs="Arial"/>
          <w:sz w:val="24"/>
          <w:szCs w:val="20"/>
          <w:lang w:eastAsia="pl-PL"/>
        </w:rPr>
        <w:t xml:space="preserve">, jak również emitenci </w:t>
      </w:r>
      <w:proofErr w:type="spellStart"/>
      <w:r w:rsidRPr="00A472C3">
        <w:rPr>
          <w:rFonts w:ascii="Times New Roman" w:eastAsia="Times New Roman" w:hAnsi="Times New Roman" w:cs="Arial"/>
          <w:sz w:val="24"/>
          <w:szCs w:val="20"/>
          <w:lang w:eastAsia="pl-PL"/>
        </w:rPr>
        <w:t>tokenów</w:t>
      </w:r>
      <w:proofErr w:type="spellEnd"/>
      <w:r w:rsidRPr="00A472C3">
        <w:rPr>
          <w:rFonts w:ascii="Times New Roman" w:eastAsia="Times New Roman" w:hAnsi="Times New Roman" w:cs="Arial"/>
          <w:sz w:val="24"/>
          <w:szCs w:val="20"/>
          <w:lang w:eastAsia="pl-PL"/>
        </w:rPr>
        <w:t xml:space="preserve"> powiązanych z aktywami i </w:t>
      </w:r>
      <w:proofErr w:type="spellStart"/>
      <w:r w:rsidRPr="00A472C3">
        <w:rPr>
          <w:rFonts w:ascii="Times New Roman" w:eastAsia="Times New Roman" w:hAnsi="Times New Roman" w:cs="Arial"/>
          <w:sz w:val="24"/>
          <w:szCs w:val="20"/>
          <w:lang w:eastAsia="pl-PL"/>
        </w:rPr>
        <w:t>tokenów</w:t>
      </w:r>
      <w:proofErr w:type="spellEnd"/>
      <w:r w:rsidRPr="00A472C3">
        <w:rPr>
          <w:rFonts w:ascii="Times New Roman" w:eastAsia="Times New Roman" w:hAnsi="Times New Roman" w:cs="Arial"/>
          <w:sz w:val="24"/>
          <w:szCs w:val="20"/>
          <w:lang w:eastAsia="pl-PL"/>
        </w:rPr>
        <w:t xml:space="preserve"> będących e-pieniądzem będą w konsekwencji zobowiązani do wdrożenia w swojej działalności szeregu wymogów, których koszty będą zależne od skali ich działalności, a także poziomu zainteresowania ich usługami oraz emitowanymi </w:t>
      </w:r>
      <w:proofErr w:type="spellStart"/>
      <w:r w:rsidRPr="00A472C3">
        <w:rPr>
          <w:rFonts w:ascii="Times New Roman" w:eastAsia="Times New Roman" w:hAnsi="Times New Roman" w:cs="Arial"/>
          <w:sz w:val="24"/>
          <w:szCs w:val="20"/>
          <w:lang w:eastAsia="pl-PL"/>
        </w:rPr>
        <w:t>kryptoaktywami</w:t>
      </w:r>
      <w:proofErr w:type="spellEnd"/>
      <w:r w:rsidRPr="00A472C3">
        <w:rPr>
          <w:rFonts w:ascii="Times New Roman" w:eastAsia="Times New Roman" w:hAnsi="Times New Roman" w:cs="Arial"/>
          <w:sz w:val="24"/>
          <w:szCs w:val="20"/>
          <w:lang w:eastAsia="pl-PL"/>
        </w:rPr>
        <w:t xml:space="preserve"> ze strony inwestorów. Skala działalności tych podmiotów (która obecnie nie jest znana) będzie determinowała przy tym skalę kosztów dostosowawczych obejmującą chociażby: stworzenie nowych komórek organizacyjnych, utworzenie stosownej infrastruktury informatycznej oraz wdrożenie rozwiązań pozwalających na wypełnienie wymogów ostrożnościowych. Podobne koszty adaptacyjne, niemożliwe na tym etapie do oszacowania z powodów wskazanych powyżej, będą musiały ponieść podmioty obecnie już nadzorowane, które zechcą podjąć nową aktywność na rynku </w:t>
      </w:r>
      <w:proofErr w:type="spellStart"/>
      <w:r w:rsidRPr="00A472C3">
        <w:rPr>
          <w:rFonts w:ascii="Times New Roman" w:eastAsia="Times New Roman" w:hAnsi="Times New Roman" w:cs="Arial"/>
          <w:sz w:val="24"/>
          <w:szCs w:val="20"/>
          <w:lang w:eastAsia="pl-PL"/>
        </w:rPr>
        <w:t>kryptoaktywów</w:t>
      </w:r>
      <w:proofErr w:type="spellEnd"/>
      <w:r w:rsidRPr="00A472C3">
        <w:rPr>
          <w:rFonts w:ascii="Times New Roman" w:eastAsia="Times New Roman" w:hAnsi="Times New Roman" w:cs="Arial"/>
          <w:sz w:val="24"/>
          <w:szCs w:val="20"/>
          <w:lang w:eastAsia="pl-PL"/>
        </w:rPr>
        <w:t xml:space="preserve">, czy to poprzez świadczenie usług w zakresie </w:t>
      </w:r>
      <w:proofErr w:type="spellStart"/>
      <w:r w:rsidRPr="00A472C3">
        <w:rPr>
          <w:rFonts w:ascii="Times New Roman" w:eastAsia="Times New Roman" w:hAnsi="Times New Roman" w:cs="Arial"/>
          <w:sz w:val="24"/>
          <w:szCs w:val="20"/>
          <w:lang w:eastAsia="pl-PL"/>
        </w:rPr>
        <w:t>kryptoaktywów</w:t>
      </w:r>
      <w:proofErr w:type="spellEnd"/>
      <w:r w:rsidRPr="00A472C3">
        <w:rPr>
          <w:rFonts w:ascii="Times New Roman" w:eastAsia="Times New Roman" w:hAnsi="Times New Roman" w:cs="Arial"/>
          <w:sz w:val="24"/>
          <w:szCs w:val="20"/>
          <w:lang w:eastAsia="pl-PL"/>
        </w:rPr>
        <w:t xml:space="preserve"> jako dostawca takich usług, czy też poprzez emisję w drodze oferty publicznej </w:t>
      </w:r>
      <w:proofErr w:type="spellStart"/>
      <w:r w:rsidRPr="00A472C3">
        <w:rPr>
          <w:rFonts w:ascii="Times New Roman" w:eastAsia="Times New Roman" w:hAnsi="Times New Roman" w:cs="Arial"/>
          <w:sz w:val="24"/>
          <w:szCs w:val="20"/>
          <w:lang w:eastAsia="pl-PL"/>
        </w:rPr>
        <w:t>tokenów</w:t>
      </w:r>
      <w:proofErr w:type="spellEnd"/>
      <w:r w:rsidRPr="00A472C3">
        <w:rPr>
          <w:rFonts w:ascii="Times New Roman" w:eastAsia="Times New Roman" w:hAnsi="Times New Roman" w:cs="Arial"/>
          <w:sz w:val="24"/>
          <w:szCs w:val="20"/>
          <w:lang w:eastAsia="pl-PL"/>
        </w:rPr>
        <w:t xml:space="preserve"> powiązanych z aktywami lub </w:t>
      </w:r>
      <w:proofErr w:type="spellStart"/>
      <w:r w:rsidRPr="00A472C3">
        <w:rPr>
          <w:rFonts w:ascii="Times New Roman" w:eastAsia="Times New Roman" w:hAnsi="Times New Roman" w:cs="Arial"/>
          <w:sz w:val="24"/>
          <w:szCs w:val="20"/>
          <w:lang w:eastAsia="pl-PL"/>
        </w:rPr>
        <w:t>tokenów</w:t>
      </w:r>
      <w:proofErr w:type="spellEnd"/>
      <w:r w:rsidRPr="00A472C3">
        <w:rPr>
          <w:rFonts w:ascii="Times New Roman" w:eastAsia="Times New Roman" w:hAnsi="Times New Roman" w:cs="Arial"/>
          <w:sz w:val="24"/>
          <w:szCs w:val="20"/>
          <w:lang w:eastAsia="pl-PL"/>
        </w:rPr>
        <w:t xml:space="preserve"> będących e-pieniądzem. W przypadku wszystkich wymienionych grup podmiotów nadzorowanych w związku z rozporządzeniem 2023/1114 oraz ustawą, działalność na rynku </w:t>
      </w:r>
      <w:proofErr w:type="spellStart"/>
      <w:r w:rsidRPr="00A472C3">
        <w:rPr>
          <w:rFonts w:ascii="Times New Roman" w:eastAsia="Times New Roman" w:hAnsi="Times New Roman" w:cs="Arial"/>
          <w:sz w:val="24"/>
          <w:szCs w:val="20"/>
          <w:lang w:eastAsia="pl-PL"/>
        </w:rPr>
        <w:t>kryptoaktywów</w:t>
      </w:r>
      <w:proofErr w:type="spellEnd"/>
      <w:r w:rsidRPr="00A472C3">
        <w:rPr>
          <w:rFonts w:ascii="Times New Roman" w:eastAsia="Times New Roman" w:hAnsi="Times New Roman" w:cs="Arial"/>
          <w:sz w:val="24"/>
          <w:szCs w:val="20"/>
          <w:lang w:eastAsia="pl-PL"/>
        </w:rPr>
        <w:t xml:space="preserve"> będzie wiązać się z obciążeniami z tytułu kosztów nadzoru. Wysokość tych obciążeń będzie natomiast zdeterminowana zakresem i skalą podjętej działalności.</w:t>
      </w:r>
    </w:p>
    <w:p w14:paraId="01B22A3C" w14:textId="44B8C017" w:rsidR="00A472C3" w:rsidRPr="00A472C3" w:rsidRDefault="00A472C3" w:rsidP="00A472C3">
      <w:pPr>
        <w:spacing w:line="360" w:lineRule="auto"/>
        <w:jc w:val="both"/>
        <w:rPr>
          <w:rFonts w:ascii="Times New Roman" w:eastAsia="Times New Roman" w:hAnsi="Times New Roman" w:cs="Arial"/>
          <w:sz w:val="24"/>
          <w:szCs w:val="20"/>
          <w:lang w:eastAsia="pl-PL"/>
        </w:rPr>
      </w:pPr>
      <w:r w:rsidRPr="00A472C3">
        <w:rPr>
          <w:rFonts w:ascii="Times New Roman" w:eastAsia="Times New Roman" w:hAnsi="Times New Roman" w:cs="Arial"/>
          <w:sz w:val="24"/>
          <w:szCs w:val="20"/>
          <w:lang w:eastAsia="pl-PL"/>
        </w:rPr>
        <w:t>Objęcie nadzorem KNF działalności podmiotów świadczących usługi bezgotówkowej wymiany walut. Działalność gospodarcza w zakresie usług takiej wymiany (tj. obecna działalność internetowych kantorów walutowych), będzie mogła być wykonywana wyłącznie przez dostawcę usług płatniczych, za pośredn</w:t>
      </w:r>
      <w:r w:rsidR="00DE0D55">
        <w:rPr>
          <w:rFonts w:ascii="Times New Roman" w:eastAsia="Times New Roman" w:hAnsi="Times New Roman" w:cs="Arial"/>
          <w:sz w:val="24"/>
          <w:szCs w:val="20"/>
          <w:lang w:eastAsia="pl-PL"/>
        </w:rPr>
        <w:t xml:space="preserve">ictwem rachunków płatniczych. </w:t>
      </w:r>
      <w:r w:rsidRPr="00A472C3">
        <w:rPr>
          <w:rFonts w:ascii="Times New Roman" w:eastAsia="Times New Roman" w:hAnsi="Times New Roman" w:cs="Arial"/>
          <w:sz w:val="24"/>
          <w:szCs w:val="20"/>
          <w:lang w:eastAsia="pl-PL"/>
        </w:rPr>
        <w:t>Zasadniczym celem proponowanych przepisów jest zagwarantowanie bezpieczeństwa środków finansowych powierzanych kantorom internetowym przez ich klientów. Przepisy te gwarantują tym samym swobodne dysponowanie tymi środkami przez klienta, niwelując również ryzyko przywłaszczenia lub wykorzystania ich środków przez podmiot, którego działalność do tej pory nie była nadzorowana.</w:t>
      </w:r>
    </w:p>
    <w:p w14:paraId="2B0AE03E" w14:textId="77777777" w:rsidR="00A472C3" w:rsidRPr="00A472C3" w:rsidRDefault="00A472C3" w:rsidP="00A472C3">
      <w:pPr>
        <w:spacing w:line="360" w:lineRule="auto"/>
        <w:jc w:val="both"/>
        <w:rPr>
          <w:rFonts w:ascii="Times New Roman" w:eastAsia="Times New Roman" w:hAnsi="Times New Roman" w:cs="Arial"/>
          <w:sz w:val="24"/>
          <w:szCs w:val="20"/>
          <w:lang w:eastAsia="pl-PL"/>
        </w:rPr>
      </w:pPr>
      <w:r w:rsidRPr="00A472C3">
        <w:rPr>
          <w:rFonts w:ascii="Times New Roman" w:eastAsia="Times New Roman" w:hAnsi="Times New Roman" w:cs="Arial"/>
          <w:sz w:val="24"/>
          <w:szCs w:val="20"/>
          <w:lang w:eastAsia="pl-PL"/>
        </w:rPr>
        <w:t>Projekt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5B4976F4" w14:textId="77777777" w:rsidR="00A472C3" w:rsidRPr="00A472C3" w:rsidRDefault="00A472C3" w:rsidP="00A472C3">
      <w:pPr>
        <w:spacing w:line="360" w:lineRule="auto"/>
        <w:jc w:val="both"/>
        <w:rPr>
          <w:rFonts w:ascii="Times New Roman" w:eastAsia="Times New Roman" w:hAnsi="Times New Roman" w:cs="Arial"/>
          <w:sz w:val="24"/>
          <w:szCs w:val="20"/>
          <w:lang w:eastAsia="pl-PL"/>
        </w:rPr>
      </w:pPr>
      <w:r w:rsidRPr="00A472C3">
        <w:rPr>
          <w:rFonts w:ascii="Times New Roman" w:eastAsia="Times New Roman" w:hAnsi="Times New Roman" w:cs="Arial"/>
          <w:sz w:val="24"/>
          <w:szCs w:val="20"/>
          <w:lang w:eastAsia="pl-PL"/>
        </w:rPr>
        <w:t>Nie ma możliwości podjęcia alternatywnych w stosunku do projektowanej ustawy środków umożliwiających osiągnięcie zamierzonego celu.</w:t>
      </w:r>
    </w:p>
    <w:p w14:paraId="2C65439C" w14:textId="77777777" w:rsidR="00A472C3" w:rsidRPr="00A472C3" w:rsidRDefault="00A472C3" w:rsidP="00A472C3">
      <w:pPr>
        <w:spacing w:line="360" w:lineRule="auto"/>
        <w:jc w:val="both"/>
        <w:rPr>
          <w:rFonts w:ascii="Times New Roman" w:eastAsia="Times New Roman" w:hAnsi="Times New Roman" w:cs="Arial"/>
          <w:sz w:val="24"/>
          <w:szCs w:val="20"/>
          <w:lang w:eastAsia="pl-PL"/>
        </w:rPr>
      </w:pPr>
      <w:r w:rsidRPr="00A472C3">
        <w:rPr>
          <w:rFonts w:ascii="Times New Roman" w:eastAsia="Times New Roman" w:hAnsi="Times New Roman" w:cs="Arial"/>
          <w:sz w:val="24"/>
          <w:szCs w:val="20"/>
          <w:lang w:eastAsia="pl-PL"/>
        </w:rPr>
        <w:t>Projektowane przepisy są zgodne z zasadami proporcjonalności, uzasadnionego i niedyskryminującego charakteru. Przepisy projektu ustawy są uzasadnione nadrzędnymi względami interesu ogólnego i tym samym nie wykraczają poza to, co niezbędne.</w:t>
      </w:r>
    </w:p>
    <w:p w14:paraId="43DF90C3" w14:textId="77777777" w:rsidR="00A472C3" w:rsidRPr="00A472C3" w:rsidRDefault="00A472C3" w:rsidP="00A472C3">
      <w:pPr>
        <w:spacing w:line="360" w:lineRule="auto"/>
        <w:jc w:val="both"/>
        <w:rPr>
          <w:rFonts w:ascii="Times New Roman" w:eastAsia="Times New Roman" w:hAnsi="Times New Roman" w:cs="Arial"/>
          <w:sz w:val="24"/>
          <w:szCs w:val="20"/>
          <w:lang w:eastAsia="pl-PL"/>
        </w:rPr>
      </w:pPr>
      <w:r w:rsidRPr="00A472C3">
        <w:rPr>
          <w:rFonts w:ascii="Times New Roman" w:eastAsia="Times New Roman" w:hAnsi="Times New Roman" w:cs="Arial"/>
          <w:sz w:val="24"/>
          <w:szCs w:val="20"/>
          <w:lang w:eastAsia="pl-PL"/>
        </w:rPr>
        <w:t xml:space="preserve">Projekt ustawy nie wywiera wpływu na obszar danych osobowych. W związku z tym nie przeprowadzono oceny skutków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A472C3">
        <w:rPr>
          <w:rFonts w:ascii="Times New Roman" w:eastAsia="Times New Roman" w:hAnsi="Times New Roman" w:cs="Arial"/>
          <w:sz w:val="24"/>
          <w:szCs w:val="20"/>
          <w:lang w:eastAsia="pl-PL"/>
        </w:rPr>
        <w:t>późn</w:t>
      </w:r>
      <w:proofErr w:type="spellEnd"/>
      <w:r w:rsidRPr="00A472C3">
        <w:rPr>
          <w:rFonts w:ascii="Times New Roman" w:eastAsia="Times New Roman" w:hAnsi="Times New Roman" w:cs="Arial"/>
          <w:sz w:val="24"/>
          <w:szCs w:val="20"/>
          <w:lang w:eastAsia="pl-PL"/>
        </w:rPr>
        <w:t>. zm.).</w:t>
      </w:r>
    </w:p>
    <w:p w14:paraId="72C1618D" w14:textId="77777777" w:rsidR="00A472C3" w:rsidRPr="00A472C3" w:rsidRDefault="00A472C3" w:rsidP="00A472C3">
      <w:pPr>
        <w:spacing w:line="360" w:lineRule="auto"/>
        <w:jc w:val="both"/>
        <w:rPr>
          <w:rFonts w:ascii="Times New Roman" w:eastAsia="Times New Roman" w:hAnsi="Times New Roman" w:cs="Arial"/>
          <w:sz w:val="24"/>
          <w:szCs w:val="20"/>
          <w:lang w:eastAsia="pl-PL"/>
        </w:rPr>
      </w:pPr>
      <w:r w:rsidRPr="00A472C3">
        <w:rPr>
          <w:rFonts w:ascii="Times New Roman" w:eastAsia="Times New Roman" w:hAnsi="Times New Roman" w:cs="Arial"/>
          <w:sz w:val="24"/>
          <w:szCs w:val="20"/>
          <w:lang w:eastAsia="pl-PL"/>
        </w:rPr>
        <w:t xml:space="preserve">Projekt ustawy nie podlega procedurze notyfikacji aktów prawnych, określonej w przepisach rozporządzenia Rady Ministrów z dnia 23 grudnia 2002 r. w sprawie sposobu funkcjonowania krajowego systemu notyfikacji norm i aktów prawnych (Dz. U. poz. 2039 oraz z 2004 r. poz. 597). </w:t>
      </w:r>
    </w:p>
    <w:p w14:paraId="7FC860D2" w14:textId="77777777" w:rsidR="00A472C3" w:rsidRPr="00A472C3" w:rsidRDefault="00A472C3" w:rsidP="00A472C3">
      <w:pPr>
        <w:spacing w:line="360" w:lineRule="auto"/>
        <w:jc w:val="both"/>
        <w:rPr>
          <w:rFonts w:ascii="Times New Roman" w:eastAsia="Times New Roman" w:hAnsi="Times New Roman" w:cs="Arial"/>
          <w:sz w:val="24"/>
          <w:szCs w:val="20"/>
          <w:lang w:eastAsia="pl-PL"/>
        </w:rPr>
      </w:pPr>
      <w:r w:rsidRPr="00A472C3">
        <w:rPr>
          <w:rFonts w:ascii="Times New Roman" w:eastAsia="Times New Roman" w:hAnsi="Times New Roman" w:cs="Arial"/>
          <w:sz w:val="24"/>
          <w:szCs w:val="20"/>
          <w:lang w:eastAsia="pl-PL"/>
        </w:rPr>
        <w:t xml:space="preserve">Projekt ustawy nie zawiera wymogów nakładanych na usługodawców podlegających notyfikacji, o której mowa w art. 15 ust. 7 lub art. 39 ust. 5 dyrektywy 2006/123/WE Parlamentu Europejskiego i Rady z dnia 12 grudnia 2006 r. dotyczącej usług na rynku wewnętrznych (Dz. Urz. UE L 376 z 27.12.2006, str. 36). </w:t>
      </w:r>
    </w:p>
    <w:p w14:paraId="66C86A50" w14:textId="14AAA309" w:rsidR="00A472C3" w:rsidRPr="00486C63" w:rsidRDefault="00A472C3" w:rsidP="00695ECE">
      <w:pPr>
        <w:spacing w:line="360" w:lineRule="auto"/>
        <w:jc w:val="both"/>
        <w:rPr>
          <w:rFonts w:ascii="Times New Roman" w:eastAsia="Times New Roman" w:hAnsi="Times New Roman" w:cs="Arial"/>
          <w:sz w:val="24"/>
          <w:szCs w:val="20"/>
          <w:lang w:eastAsia="pl-PL"/>
        </w:rPr>
      </w:pPr>
      <w:r w:rsidRPr="00A472C3">
        <w:rPr>
          <w:rFonts w:ascii="Times New Roman" w:eastAsia="Times New Roman" w:hAnsi="Times New Roman" w:cs="Arial"/>
          <w:sz w:val="24"/>
          <w:szCs w:val="20"/>
          <w:lang w:eastAsia="pl-PL"/>
        </w:rPr>
        <w:t>Projekt ustawy nie wymaga przedstawienia właściwym instytucjom i organom Unii Europejskiej, w tym Europejskiemu Bankowi Centralnemu, celem uzyskania opinii, dokonania powiadomienia, konsultacji albo uzgodnienia projektu.</w:t>
      </w:r>
    </w:p>
    <w:p w14:paraId="18E3E3A5" w14:textId="77777777" w:rsidR="00A85441" w:rsidRPr="00695ECE" w:rsidRDefault="00C21D4B" w:rsidP="00695ECE">
      <w:pPr>
        <w:spacing w:line="360" w:lineRule="auto"/>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Projekt ustawy jest zgodny z prawem Unii Europejskiej.</w:t>
      </w:r>
      <w:bookmarkEnd w:id="19"/>
    </w:p>
    <w:sectPr w:rsidR="00A85441" w:rsidRPr="00695ECE" w:rsidSect="00695ECE">
      <w:footerReference w:type="default" r:id="rId8"/>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96103C" w16cid:durableId="1E48B702"/>
  <w16cid:commentId w16cid:paraId="421909EA" w16cid:durableId="22AD7769"/>
  <w16cid:commentId w16cid:paraId="79EC7E1E" w16cid:durableId="6175224C"/>
  <w16cid:commentId w16cid:paraId="410E6FDF" w16cid:durableId="4AF45F0F"/>
  <w16cid:commentId w16cid:paraId="5D104E98" w16cid:durableId="236B6320"/>
  <w16cid:commentId w16cid:paraId="5C918FF5" w16cid:durableId="2F5946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52E2B" w14:textId="77777777" w:rsidR="005A470E" w:rsidRDefault="005A470E" w:rsidP="00AA5AA1">
      <w:pPr>
        <w:spacing w:after="0" w:line="240" w:lineRule="auto"/>
      </w:pPr>
      <w:r>
        <w:separator/>
      </w:r>
    </w:p>
  </w:endnote>
  <w:endnote w:type="continuationSeparator" w:id="0">
    <w:p w14:paraId="5857DB78" w14:textId="77777777" w:rsidR="005A470E" w:rsidRDefault="005A470E" w:rsidP="00AA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Lato">
    <w:altName w:val="Arial"/>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00027030"/>
      <w:docPartObj>
        <w:docPartGallery w:val="Page Numbers (Bottom of Page)"/>
        <w:docPartUnique/>
      </w:docPartObj>
    </w:sdtPr>
    <w:sdtEndPr/>
    <w:sdtContent>
      <w:p w14:paraId="27601877" w14:textId="7B0123CD" w:rsidR="00FA7379" w:rsidRPr="00695ECE" w:rsidRDefault="00FA7379" w:rsidP="00695ECE">
        <w:pPr>
          <w:pStyle w:val="Stopka"/>
          <w:jc w:val="center"/>
          <w:rPr>
            <w:rFonts w:ascii="Times New Roman" w:hAnsi="Times New Roman" w:cs="Times New Roman"/>
            <w:sz w:val="24"/>
            <w:szCs w:val="24"/>
          </w:rPr>
        </w:pPr>
        <w:r w:rsidRPr="00695ECE">
          <w:rPr>
            <w:rFonts w:ascii="Times New Roman" w:hAnsi="Times New Roman" w:cs="Times New Roman"/>
            <w:sz w:val="24"/>
            <w:szCs w:val="24"/>
          </w:rPr>
          <w:fldChar w:fldCharType="begin"/>
        </w:r>
        <w:r w:rsidRPr="00695ECE">
          <w:rPr>
            <w:rFonts w:ascii="Times New Roman" w:hAnsi="Times New Roman" w:cs="Times New Roman"/>
            <w:sz w:val="24"/>
            <w:szCs w:val="24"/>
          </w:rPr>
          <w:instrText>PAGE   \* MERGEFORMAT</w:instrText>
        </w:r>
        <w:r w:rsidRPr="00695ECE">
          <w:rPr>
            <w:rFonts w:ascii="Times New Roman" w:hAnsi="Times New Roman" w:cs="Times New Roman"/>
            <w:sz w:val="24"/>
            <w:szCs w:val="24"/>
          </w:rPr>
          <w:fldChar w:fldCharType="separate"/>
        </w:r>
        <w:r w:rsidR="00017442">
          <w:rPr>
            <w:rFonts w:ascii="Times New Roman" w:hAnsi="Times New Roman" w:cs="Times New Roman"/>
            <w:noProof/>
            <w:sz w:val="24"/>
            <w:szCs w:val="24"/>
          </w:rPr>
          <w:t>22</w:t>
        </w:r>
        <w:r w:rsidRPr="00695EC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D09AF" w14:textId="77777777" w:rsidR="005A470E" w:rsidRDefault="005A470E" w:rsidP="00AA5AA1">
      <w:pPr>
        <w:spacing w:after="0" w:line="240" w:lineRule="auto"/>
      </w:pPr>
      <w:r>
        <w:separator/>
      </w:r>
    </w:p>
  </w:footnote>
  <w:footnote w:type="continuationSeparator" w:id="0">
    <w:p w14:paraId="114750F8" w14:textId="77777777" w:rsidR="005A470E" w:rsidRDefault="005A470E" w:rsidP="00AA5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F2D"/>
    <w:multiLevelType w:val="hybridMultilevel"/>
    <w:tmpl w:val="5434B3B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99309F1"/>
    <w:multiLevelType w:val="hybridMultilevel"/>
    <w:tmpl w:val="4836AA8A"/>
    <w:lvl w:ilvl="0" w:tplc="22323EB2">
      <w:start w:val="1"/>
      <w:numFmt w:val="decimal"/>
      <w:lvlText w:val="%1)"/>
      <w:lvlJc w:val="left"/>
      <w:pPr>
        <w:ind w:left="720" w:hanging="360"/>
      </w:pPr>
      <w:rPr>
        <w:rFonts w:ascii="Times New Roman" w:hAnsi="Times New Roman" w:cs="Times New Roman" w:hint="default"/>
        <w:b w:val="0"/>
        <w:b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D07B1B"/>
    <w:multiLevelType w:val="hybridMultilevel"/>
    <w:tmpl w:val="0FF6D1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53AE0"/>
    <w:multiLevelType w:val="hybridMultilevel"/>
    <w:tmpl w:val="E362B8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206979"/>
    <w:multiLevelType w:val="hybridMultilevel"/>
    <w:tmpl w:val="6D1AF528"/>
    <w:lvl w:ilvl="0" w:tplc="7F0424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3D51AF"/>
    <w:multiLevelType w:val="hybridMultilevel"/>
    <w:tmpl w:val="DC46F1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26723A"/>
    <w:multiLevelType w:val="hybridMultilevel"/>
    <w:tmpl w:val="F0047CC2"/>
    <w:lvl w:ilvl="0" w:tplc="77F8C77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69A64CF"/>
    <w:multiLevelType w:val="hybridMultilevel"/>
    <w:tmpl w:val="3288108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7">
      <w:start w:val="1"/>
      <w:numFmt w:val="lowerLetter"/>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36FF1057"/>
    <w:multiLevelType w:val="hybridMultilevel"/>
    <w:tmpl w:val="FD1CB77E"/>
    <w:lvl w:ilvl="0" w:tplc="DB84E6BC">
      <w:start w:val="25"/>
      <w:numFmt w:val="decimal"/>
      <w:lvlText w:val="%1)"/>
      <w:lvlJc w:val="left"/>
      <w:pPr>
        <w:ind w:left="1068" w:hanging="360"/>
      </w:pPr>
      <w:rPr>
        <w:rFonts w:hint="default"/>
      </w:rPr>
    </w:lvl>
    <w:lvl w:ilvl="1" w:tplc="0415000F">
      <w:start w:val="1"/>
      <w:numFmt w:val="decimal"/>
      <w:lvlText w:val="%2."/>
      <w:lvlJc w:val="left"/>
      <w:pPr>
        <w:ind w:left="1788" w:hanging="360"/>
      </w:pPr>
    </w:lvl>
    <w:lvl w:ilvl="2" w:tplc="0415001B">
      <w:start w:val="1"/>
      <w:numFmt w:val="lowerRoman"/>
      <w:lvlText w:val="%3."/>
      <w:lvlJc w:val="right"/>
      <w:pPr>
        <w:ind w:left="2508" w:hanging="180"/>
      </w:pPr>
    </w:lvl>
    <w:lvl w:ilvl="3" w:tplc="0936CE6E">
      <w:start w:val="1"/>
      <w:numFmt w:val="lowerLetter"/>
      <w:lvlText w:val="%4)"/>
      <w:lvlJc w:val="left"/>
      <w:pPr>
        <w:ind w:left="3438" w:hanging="570"/>
      </w:pPr>
      <w:rPr>
        <w:rFonts w:hint="default"/>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50A50D11"/>
    <w:multiLevelType w:val="hybridMultilevel"/>
    <w:tmpl w:val="F1FA9ACC"/>
    <w:lvl w:ilvl="0" w:tplc="04150001">
      <w:start w:val="1"/>
      <w:numFmt w:val="bullet"/>
      <w:lvlText w:val=""/>
      <w:lvlJc w:val="left"/>
      <w:pPr>
        <w:ind w:left="720" w:hanging="360"/>
      </w:pPr>
      <w:rPr>
        <w:rFonts w:ascii="Symbol" w:hAnsi="Symbol"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CB2DDE"/>
    <w:multiLevelType w:val="hybridMultilevel"/>
    <w:tmpl w:val="0AAA6A0E"/>
    <w:lvl w:ilvl="0" w:tplc="D9FE89EE">
      <w:start w:val="132"/>
      <w:numFmt w:val="decimal"/>
      <w:lvlText w:val="%1)"/>
      <w:lvlJc w:val="left"/>
      <w:pPr>
        <w:ind w:left="502" w:hanging="360"/>
      </w:pPr>
      <w:rPr>
        <w:rFonts w:hint="default"/>
        <w:b w:val="0"/>
        <w:bCs w:val="0"/>
      </w:rPr>
    </w:lvl>
    <w:lvl w:ilvl="1" w:tplc="04150019" w:tentative="1">
      <w:start w:val="1"/>
      <w:numFmt w:val="lowerLetter"/>
      <w:lvlText w:val="%2."/>
      <w:lvlJc w:val="left"/>
      <w:pPr>
        <w:ind w:left="154" w:hanging="360"/>
      </w:pPr>
    </w:lvl>
    <w:lvl w:ilvl="2" w:tplc="0415001B" w:tentative="1">
      <w:start w:val="1"/>
      <w:numFmt w:val="lowerRoman"/>
      <w:lvlText w:val="%3."/>
      <w:lvlJc w:val="right"/>
      <w:pPr>
        <w:ind w:left="874" w:hanging="180"/>
      </w:pPr>
    </w:lvl>
    <w:lvl w:ilvl="3" w:tplc="0415000F" w:tentative="1">
      <w:start w:val="1"/>
      <w:numFmt w:val="decimal"/>
      <w:lvlText w:val="%4."/>
      <w:lvlJc w:val="left"/>
      <w:pPr>
        <w:ind w:left="1594" w:hanging="360"/>
      </w:pPr>
    </w:lvl>
    <w:lvl w:ilvl="4" w:tplc="04150019" w:tentative="1">
      <w:start w:val="1"/>
      <w:numFmt w:val="lowerLetter"/>
      <w:lvlText w:val="%5."/>
      <w:lvlJc w:val="left"/>
      <w:pPr>
        <w:ind w:left="2314" w:hanging="360"/>
      </w:pPr>
    </w:lvl>
    <w:lvl w:ilvl="5" w:tplc="0415001B" w:tentative="1">
      <w:start w:val="1"/>
      <w:numFmt w:val="lowerRoman"/>
      <w:lvlText w:val="%6."/>
      <w:lvlJc w:val="right"/>
      <w:pPr>
        <w:ind w:left="3034" w:hanging="180"/>
      </w:pPr>
    </w:lvl>
    <w:lvl w:ilvl="6" w:tplc="0415000F" w:tentative="1">
      <w:start w:val="1"/>
      <w:numFmt w:val="decimal"/>
      <w:lvlText w:val="%7."/>
      <w:lvlJc w:val="left"/>
      <w:pPr>
        <w:ind w:left="3754" w:hanging="360"/>
      </w:pPr>
    </w:lvl>
    <w:lvl w:ilvl="7" w:tplc="04150019" w:tentative="1">
      <w:start w:val="1"/>
      <w:numFmt w:val="lowerLetter"/>
      <w:lvlText w:val="%8."/>
      <w:lvlJc w:val="left"/>
      <w:pPr>
        <w:ind w:left="4474" w:hanging="360"/>
      </w:pPr>
    </w:lvl>
    <w:lvl w:ilvl="8" w:tplc="0415001B" w:tentative="1">
      <w:start w:val="1"/>
      <w:numFmt w:val="lowerRoman"/>
      <w:lvlText w:val="%9."/>
      <w:lvlJc w:val="right"/>
      <w:pPr>
        <w:ind w:left="5194" w:hanging="180"/>
      </w:pPr>
    </w:lvl>
  </w:abstractNum>
  <w:num w:numId="1">
    <w:abstractNumId w:val="4"/>
  </w:num>
  <w:num w:numId="2">
    <w:abstractNumId w:val="1"/>
  </w:num>
  <w:num w:numId="3">
    <w:abstractNumId w:val="9"/>
  </w:num>
  <w:num w:numId="4">
    <w:abstractNumId w:val="6"/>
  </w:num>
  <w:num w:numId="5">
    <w:abstractNumId w:val="8"/>
  </w:num>
  <w:num w:numId="6">
    <w:abstractNumId w:val="10"/>
  </w:num>
  <w:num w:numId="7">
    <w:abstractNumId w:val="0"/>
  </w:num>
  <w:num w:numId="8">
    <w:abstractNumId w:val="7"/>
  </w:num>
  <w:num w:numId="9">
    <w:abstractNumId w:val="3"/>
  </w:num>
  <w:num w:numId="10">
    <w:abstractNumId w:val="5"/>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2E4"/>
    <w:rsid w:val="0000163B"/>
    <w:rsid w:val="00001B79"/>
    <w:rsid w:val="00003864"/>
    <w:rsid w:val="000044DE"/>
    <w:rsid w:val="00005E40"/>
    <w:rsid w:val="00006B8C"/>
    <w:rsid w:val="00007DD3"/>
    <w:rsid w:val="0001045A"/>
    <w:rsid w:val="00010C48"/>
    <w:rsid w:val="00012FEC"/>
    <w:rsid w:val="0001303A"/>
    <w:rsid w:val="00013C46"/>
    <w:rsid w:val="00014A28"/>
    <w:rsid w:val="000150C7"/>
    <w:rsid w:val="000155D6"/>
    <w:rsid w:val="00015E66"/>
    <w:rsid w:val="00017442"/>
    <w:rsid w:val="00022161"/>
    <w:rsid w:val="000223BE"/>
    <w:rsid w:val="00024D84"/>
    <w:rsid w:val="00031EA6"/>
    <w:rsid w:val="000325F7"/>
    <w:rsid w:val="0003470F"/>
    <w:rsid w:val="00044E63"/>
    <w:rsid w:val="00045491"/>
    <w:rsid w:val="00045605"/>
    <w:rsid w:val="00045B91"/>
    <w:rsid w:val="00046E68"/>
    <w:rsid w:val="0004793F"/>
    <w:rsid w:val="0005158A"/>
    <w:rsid w:val="00051E8E"/>
    <w:rsid w:val="00052DF5"/>
    <w:rsid w:val="00053E48"/>
    <w:rsid w:val="00054C1A"/>
    <w:rsid w:val="00055D07"/>
    <w:rsid w:val="00055DE6"/>
    <w:rsid w:val="00057DC8"/>
    <w:rsid w:val="000627CF"/>
    <w:rsid w:val="00063800"/>
    <w:rsid w:val="00064D33"/>
    <w:rsid w:val="00065943"/>
    <w:rsid w:val="00067748"/>
    <w:rsid w:val="00071E9F"/>
    <w:rsid w:val="00072DA4"/>
    <w:rsid w:val="00073515"/>
    <w:rsid w:val="00074C31"/>
    <w:rsid w:val="00074CEB"/>
    <w:rsid w:val="00075B03"/>
    <w:rsid w:val="00075D68"/>
    <w:rsid w:val="00076A18"/>
    <w:rsid w:val="000779AE"/>
    <w:rsid w:val="00080217"/>
    <w:rsid w:val="000810FE"/>
    <w:rsid w:val="000820B7"/>
    <w:rsid w:val="0008334D"/>
    <w:rsid w:val="00083CF9"/>
    <w:rsid w:val="00084383"/>
    <w:rsid w:val="000907D2"/>
    <w:rsid w:val="0009208C"/>
    <w:rsid w:val="00094116"/>
    <w:rsid w:val="000941A5"/>
    <w:rsid w:val="000970BC"/>
    <w:rsid w:val="000974CC"/>
    <w:rsid w:val="000A026A"/>
    <w:rsid w:val="000A035A"/>
    <w:rsid w:val="000A10B4"/>
    <w:rsid w:val="000A2454"/>
    <w:rsid w:val="000A46F8"/>
    <w:rsid w:val="000A5AF0"/>
    <w:rsid w:val="000B090B"/>
    <w:rsid w:val="000B0FFE"/>
    <w:rsid w:val="000B1224"/>
    <w:rsid w:val="000B1981"/>
    <w:rsid w:val="000B45D6"/>
    <w:rsid w:val="000B5057"/>
    <w:rsid w:val="000B580A"/>
    <w:rsid w:val="000C012D"/>
    <w:rsid w:val="000C0388"/>
    <w:rsid w:val="000C2735"/>
    <w:rsid w:val="000C3698"/>
    <w:rsid w:val="000C38DE"/>
    <w:rsid w:val="000C52A9"/>
    <w:rsid w:val="000C5BCE"/>
    <w:rsid w:val="000D14DD"/>
    <w:rsid w:val="000D2A8D"/>
    <w:rsid w:val="000D36DF"/>
    <w:rsid w:val="000D3AE6"/>
    <w:rsid w:val="000D5B83"/>
    <w:rsid w:val="000D6174"/>
    <w:rsid w:val="000E2726"/>
    <w:rsid w:val="000F2080"/>
    <w:rsid w:val="000F2A5B"/>
    <w:rsid w:val="000F41A0"/>
    <w:rsid w:val="000F5ED7"/>
    <w:rsid w:val="000F73FF"/>
    <w:rsid w:val="000F74DB"/>
    <w:rsid w:val="000F78BA"/>
    <w:rsid w:val="000F793E"/>
    <w:rsid w:val="00100E31"/>
    <w:rsid w:val="00101D43"/>
    <w:rsid w:val="0010231D"/>
    <w:rsid w:val="001023F8"/>
    <w:rsid w:val="00102412"/>
    <w:rsid w:val="00102B16"/>
    <w:rsid w:val="00103524"/>
    <w:rsid w:val="00104428"/>
    <w:rsid w:val="001067BD"/>
    <w:rsid w:val="001076CB"/>
    <w:rsid w:val="001123DA"/>
    <w:rsid w:val="00112448"/>
    <w:rsid w:val="00115FE5"/>
    <w:rsid w:val="001222F4"/>
    <w:rsid w:val="00125939"/>
    <w:rsid w:val="00125C95"/>
    <w:rsid w:val="00126820"/>
    <w:rsid w:val="0013240A"/>
    <w:rsid w:val="001352A7"/>
    <w:rsid w:val="00135486"/>
    <w:rsid w:val="001355BC"/>
    <w:rsid w:val="00135A3B"/>
    <w:rsid w:val="001404AE"/>
    <w:rsid w:val="0014348F"/>
    <w:rsid w:val="00145096"/>
    <w:rsid w:val="001457BE"/>
    <w:rsid w:val="001461D2"/>
    <w:rsid w:val="001465DC"/>
    <w:rsid w:val="00146C39"/>
    <w:rsid w:val="00146E8D"/>
    <w:rsid w:val="001473F7"/>
    <w:rsid w:val="00147AC2"/>
    <w:rsid w:val="00151D93"/>
    <w:rsid w:val="00155F2B"/>
    <w:rsid w:val="00157DCF"/>
    <w:rsid w:val="001603EB"/>
    <w:rsid w:val="001704F8"/>
    <w:rsid w:val="001705E7"/>
    <w:rsid w:val="0017177F"/>
    <w:rsid w:val="00171F3D"/>
    <w:rsid w:val="001729EA"/>
    <w:rsid w:val="00172CFB"/>
    <w:rsid w:val="001747CE"/>
    <w:rsid w:val="0017501D"/>
    <w:rsid w:val="0017533F"/>
    <w:rsid w:val="00175E18"/>
    <w:rsid w:val="001764C2"/>
    <w:rsid w:val="001819B9"/>
    <w:rsid w:val="00183329"/>
    <w:rsid w:val="001845F9"/>
    <w:rsid w:val="0018669B"/>
    <w:rsid w:val="001878E4"/>
    <w:rsid w:val="00190FE7"/>
    <w:rsid w:val="00191C25"/>
    <w:rsid w:val="00192AF6"/>
    <w:rsid w:val="00197B51"/>
    <w:rsid w:val="001A28A5"/>
    <w:rsid w:val="001A411A"/>
    <w:rsid w:val="001A7513"/>
    <w:rsid w:val="001B1FF7"/>
    <w:rsid w:val="001B4095"/>
    <w:rsid w:val="001B5A66"/>
    <w:rsid w:val="001B6DE9"/>
    <w:rsid w:val="001C29FF"/>
    <w:rsid w:val="001C4209"/>
    <w:rsid w:val="001C4535"/>
    <w:rsid w:val="001C502F"/>
    <w:rsid w:val="001C5EC7"/>
    <w:rsid w:val="001C670B"/>
    <w:rsid w:val="001C672D"/>
    <w:rsid w:val="001C6A2F"/>
    <w:rsid w:val="001C6D8A"/>
    <w:rsid w:val="001C72AC"/>
    <w:rsid w:val="001D0A24"/>
    <w:rsid w:val="001D4413"/>
    <w:rsid w:val="001D4542"/>
    <w:rsid w:val="001D4561"/>
    <w:rsid w:val="001D4DBD"/>
    <w:rsid w:val="001D5AFA"/>
    <w:rsid w:val="001D7122"/>
    <w:rsid w:val="001E038B"/>
    <w:rsid w:val="001E086A"/>
    <w:rsid w:val="001E15E1"/>
    <w:rsid w:val="001E283A"/>
    <w:rsid w:val="001E456A"/>
    <w:rsid w:val="001E6540"/>
    <w:rsid w:val="001E74A1"/>
    <w:rsid w:val="001E75D6"/>
    <w:rsid w:val="001E78FF"/>
    <w:rsid w:val="001E7ED1"/>
    <w:rsid w:val="001F0432"/>
    <w:rsid w:val="001F0484"/>
    <w:rsid w:val="001F0718"/>
    <w:rsid w:val="001F0FC8"/>
    <w:rsid w:val="001F1296"/>
    <w:rsid w:val="001F22F7"/>
    <w:rsid w:val="001F3025"/>
    <w:rsid w:val="001F30D4"/>
    <w:rsid w:val="001F39F4"/>
    <w:rsid w:val="001F6182"/>
    <w:rsid w:val="001F6539"/>
    <w:rsid w:val="001F6D35"/>
    <w:rsid w:val="001F704A"/>
    <w:rsid w:val="00200A62"/>
    <w:rsid w:val="00203850"/>
    <w:rsid w:val="00212A48"/>
    <w:rsid w:val="00215ABC"/>
    <w:rsid w:val="00216FEE"/>
    <w:rsid w:val="00220170"/>
    <w:rsid w:val="002225F8"/>
    <w:rsid w:val="00223511"/>
    <w:rsid w:val="00231712"/>
    <w:rsid w:val="002346AA"/>
    <w:rsid w:val="00235686"/>
    <w:rsid w:val="00237001"/>
    <w:rsid w:val="0024001A"/>
    <w:rsid w:val="00251D97"/>
    <w:rsid w:val="00251FF6"/>
    <w:rsid w:val="002521FF"/>
    <w:rsid w:val="0025238E"/>
    <w:rsid w:val="00252610"/>
    <w:rsid w:val="0025263A"/>
    <w:rsid w:val="00252D1E"/>
    <w:rsid w:val="002556A3"/>
    <w:rsid w:val="00256A17"/>
    <w:rsid w:val="002572A7"/>
    <w:rsid w:val="00257373"/>
    <w:rsid w:val="00260B5E"/>
    <w:rsid w:val="00260F0A"/>
    <w:rsid w:val="0026124C"/>
    <w:rsid w:val="00263675"/>
    <w:rsid w:val="002646EB"/>
    <w:rsid w:val="002658FE"/>
    <w:rsid w:val="002672DF"/>
    <w:rsid w:val="00270212"/>
    <w:rsid w:val="0027053C"/>
    <w:rsid w:val="0027153C"/>
    <w:rsid w:val="002720AA"/>
    <w:rsid w:val="00272378"/>
    <w:rsid w:val="002749C3"/>
    <w:rsid w:val="0027788B"/>
    <w:rsid w:val="00280C8E"/>
    <w:rsid w:val="00282D7E"/>
    <w:rsid w:val="002830CE"/>
    <w:rsid w:val="002872B1"/>
    <w:rsid w:val="00293709"/>
    <w:rsid w:val="00294706"/>
    <w:rsid w:val="00296785"/>
    <w:rsid w:val="002970BE"/>
    <w:rsid w:val="00297A52"/>
    <w:rsid w:val="002A0A30"/>
    <w:rsid w:val="002A16A8"/>
    <w:rsid w:val="002A16C9"/>
    <w:rsid w:val="002A185D"/>
    <w:rsid w:val="002A2581"/>
    <w:rsid w:val="002A2EE7"/>
    <w:rsid w:val="002A6BFE"/>
    <w:rsid w:val="002B2E1A"/>
    <w:rsid w:val="002B33D1"/>
    <w:rsid w:val="002B4D71"/>
    <w:rsid w:val="002B7CD0"/>
    <w:rsid w:val="002C0621"/>
    <w:rsid w:val="002C0B81"/>
    <w:rsid w:val="002C4B13"/>
    <w:rsid w:val="002C4F0A"/>
    <w:rsid w:val="002C65CD"/>
    <w:rsid w:val="002C6B9A"/>
    <w:rsid w:val="002C6C7B"/>
    <w:rsid w:val="002C6D99"/>
    <w:rsid w:val="002C6E42"/>
    <w:rsid w:val="002D3171"/>
    <w:rsid w:val="002D3321"/>
    <w:rsid w:val="002D435C"/>
    <w:rsid w:val="002D5DA8"/>
    <w:rsid w:val="002D5FA1"/>
    <w:rsid w:val="002D6AC5"/>
    <w:rsid w:val="002E16E8"/>
    <w:rsid w:val="002E2141"/>
    <w:rsid w:val="002E409B"/>
    <w:rsid w:val="002E4AEA"/>
    <w:rsid w:val="002E50CD"/>
    <w:rsid w:val="002E5BE1"/>
    <w:rsid w:val="002E71F6"/>
    <w:rsid w:val="002E7275"/>
    <w:rsid w:val="002F23B1"/>
    <w:rsid w:val="002F76CB"/>
    <w:rsid w:val="0030004E"/>
    <w:rsid w:val="00300219"/>
    <w:rsid w:val="00300648"/>
    <w:rsid w:val="0030441A"/>
    <w:rsid w:val="00306D7F"/>
    <w:rsid w:val="00306EAB"/>
    <w:rsid w:val="0031059B"/>
    <w:rsid w:val="0031059E"/>
    <w:rsid w:val="003108D8"/>
    <w:rsid w:val="003109FC"/>
    <w:rsid w:val="00311DF0"/>
    <w:rsid w:val="0031394D"/>
    <w:rsid w:val="003141BB"/>
    <w:rsid w:val="003153B9"/>
    <w:rsid w:val="0031788B"/>
    <w:rsid w:val="003202F7"/>
    <w:rsid w:val="00321156"/>
    <w:rsid w:val="00323120"/>
    <w:rsid w:val="00336441"/>
    <w:rsid w:val="00343A45"/>
    <w:rsid w:val="00346B5C"/>
    <w:rsid w:val="003474A1"/>
    <w:rsid w:val="00350050"/>
    <w:rsid w:val="003525E1"/>
    <w:rsid w:val="0035526A"/>
    <w:rsid w:val="003559FD"/>
    <w:rsid w:val="003562B1"/>
    <w:rsid w:val="003576C6"/>
    <w:rsid w:val="00364163"/>
    <w:rsid w:val="00365F09"/>
    <w:rsid w:val="00366780"/>
    <w:rsid w:val="00366AC6"/>
    <w:rsid w:val="00370866"/>
    <w:rsid w:val="00370ECF"/>
    <w:rsid w:val="00375773"/>
    <w:rsid w:val="00380A30"/>
    <w:rsid w:val="003912D6"/>
    <w:rsid w:val="003932BF"/>
    <w:rsid w:val="0039368A"/>
    <w:rsid w:val="00395B46"/>
    <w:rsid w:val="00396C53"/>
    <w:rsid w:val="00397CCA"/>
    <w:rsid w:val="003A0421"/>
    <w:rsid w:val="003A1402"/>
    <w:rsid w:val="003A784A"/>
    <w:rsid w:val="003B0889"/>
    <w:rsid w:val="003B27EB"/>
    <w:rsid w:val="003B688C"/>
    <w:rsid w:val="003B6E91"/>
    <w:rsid w:val="003C1261"/>
    <w:rsid w:val="003C1A96"/>
    <w:rsid w:val="003C3201"/>
    <w:rsid w:val="003C32A2"/>
    <w:rsid w:val="003C46D2"/>
    <w:rsid w:val="003C5EF3"/>
    <w:rsid w:val="003C74EE"/>
    <w:rsid w:val="003D1128"/>
    <w:rsid w:val="003D2DE8"/>
    <w:rsid w:val="003D42C7"/>
    <w:rsid w:val="003D4CC6"/>
    <w:rsid w:val="003D6D45"/>
    <w:rsid w:val="003D7BE5"/>
    <w:rsid w:val="003E3C1E"/>
    <w:rsid w:val="003F018C"/>
    <w:rsid w:val="003F0B7C"/>
    <w:rsid w:val="003F1A86"/>
    <w:rsid w:val="003F3046"/>
    <w:rsid w:val="003F4E37"/>
    <w:rsid w:val="003F5205"/>
    <w:rsid w:val="003F66A9"/>
    <w:rsid w:val="003F6EDA"/>
    <w:rsid w:val="004021BF"/>
    <w:rsid w:val="004033C3"/>
    <w:rsid w:val="00405319"/>
    <w:rsid w:val="00405E16"/>
    <w:rsid w:val="00410496"/>
    <w:rsid w:val="00410C15"/>
    <w:rsid w:val="004133A8"/>
    <w:rsid w:val="004143D2"/>
    <w:rsid w:val="004175F4"/>
    <w:rsid w:val="00420E5D"/>
    <w:rsid w:val="004213B4"/>
    <w:rsid w:val="0042161B"/>
    <w:rsid w:val="004227A1"/>
    <w:rsid w:val="00423198"/>
    <w:rsid w:val="00423306"/>
    <w:rsid w:val="0042459C"/>
    <w:rsid w:val="00424A5E"/>
    <w:rsid w:val="004263E8"/>
    <w:rsid w:val="00426433"/>
    <w:rsid w:val="00430200"/>
    <w:rsid w:val="00434101"/>
    <w:rsid w:val="00435185"/>
    <w:rsid w:val="00436071"/>
    <w:rsid w:val="00436545"/>
    <w:rsid w:val="00441149"/>
    <w:rsid w:val="00442A03"/>
    <w:rsid w:val="004467B1"/>
    <w:rsid w:val="00446A0A"/>
    <w:rsid w:val="004508F3"/>
    <w:rsid w:val="00450DBF"/>
    <w:rsid w:val="00451E06"/>
    <w:rsid w:val="00451ED5"/>
    <w:rsid w:val="00452F7E"/>
    <w:rsid w:val="0045456B"/>
    <w:rsid w:val="00456C8B"/>
    <w:rsid w:val="00457413"/>
    <w:rsid w:val="00457612"/>
    <w:rsid w:val="0046003B"/>
    <w:rsid w:val="00464EA6"/>
    <w:rsid w:val="00466B59"/>
    <w:rsid w:val="00470D3C"/>
    <w:rsid w:val="00471077"/>
    <w:rsid w:val="0047184F"/>
    <w:rsid w:val="00471E6B"/>
    <w:rsid w:val="00473C74"/>
    <w:rsid w:val="00474080"/>
    <w:rsid w:val="0047459A"/>
    <w:rsid w:val="00475B34"/>
    <w:rsid w:val="0048027D"/>
    <w:rsid w:val="0048189E"/>
    <w:rsid w:val="00483CFC"/>
    <w:rsid w:val="00486B9C"/>
    <w:rsid w:val="004875B8"/>
    <w:rsid w:val="00490560"/>
    <w:rsid w:val="0049342A"/>
    <w:rsid w:val="004952D4"/>
    <w:rsid w:val="004978BF"/>
    <w:rsid w:val="0049792E"/>
    <w:rsid w:val="00497D0A"/>
    <w:rsid w:val="00497F5A"/>
    <w:rsid w:val="004A0808"/>
    <w:rsid w:val="004A1372"/>
    <w:rsid w:val="004A1C6A"/>
    <w:rsid w:val="004A2C53"/>
    <w:rsid w:val="004A44E9"/>
    <w:rsid w:val="004A57FF"/>
    <w:rsid w:val="004A5CF2"/>
    <w:rsid w:val="004A5DEB"/>
    <w:rsid w:val="004A7DA1"/>
    <w:rsid w:val="004B05B8"/>
    <w:rsid w:val="004B60C9"/>
    <w:rsid w:val="004B60D0"/>
    <w:rsid w:val="004B6BDF"/>
    <w:rsid w:val="004C21B1"/>
    <w:rsid w:val="004C2B27"/>
    <w:rsid w:val="004C34B1"/>
    <w:rsid w:val="004C7BA4"/>
    <w:rsid w:val="004D0415"/>
    <w:rsid w:val="004D0CD8"/>
    <w:rsid w:val="004D2410"/>
    <w:rsid w:val="004D2C5E"/>
    <w:rsid w:val="004D3CC3"/>
    <w:rsid w:val="004D3FB1"/>
    <w:rsid w:val="004D4416"/>
    <w:rsid w:val="004D5410"/>
    <w:rsid w:val="004D6A1B"/>
    <w:rsid w:val="004D7D77"/>
    <w:rsid w:val="004E0A5C"/>
    <w:rsid w:val="004E1446"/>
    <w:rsid w:val="004E191E"/>
    <w:rsid w:val="004E193F"/>
    <w:rsid w:val="004E1F14"/>
    <w:rsid w:val="004E3DFF"/>
    <w:rsid w:val="004E4B43"/>
    <w:rsid w:val="004E5579"/>
    <w:rsid w:val="004E5A35"/>
    <w:rsid w:val="004E60E7"/>
    <w:rsid w:val="004E6812"/>
    <w:rsid w:val="004E6FD4"/>
    <w:rsid w:val="004E7258"/>
    <w:rsid w:val="004E7E6A"/>
    <w:rsid w:val="004F0D82"/>
    <w:rsid w:val="004F27BF"/>
    <w:rsid w:val="004F4CC4"/>
    <w:rsid w:val="004F51D3"/>
    <w:rsid w:val="004F56E3"/>
    <w:rsid w:val="004F6C08"/>
    <w:rsid w:val="00500286"/>
    <w:rsid w:val="0050069E"/>
    <w:rsid w:val="00500DCD"/>
    <w:rsid w:val="0050175F"/>
    <w:rsid w:val="00502B73"/>
    <w:rsid w:val="005034F9"/>
    <w:rsid w:val="00503960"/>
    <w:rsid w:val="00503F1E"/>
    <w:rsid w:val="005079C2"/>
    <w:rsid w:val="005119BA"/>
    <w:rsid w:val="00511A0B"/>
    <w:rsid w:val="00514C81"/>
    <w:rsid w:val="00520EA8"/>
    <w:rsid w:val="00520FBB"/>
    <w:rsid w:val="00522F0D"/>
    <w:rsid w:val="00524A4C"/>
    <w:rsid w:val="00525CFE"/>
    <w:rsid w:val="00526703"/>
    <w:rsid w:val="0052743B"/>
    <w:rsid w:val="00532606"/>
    <w:rsid w:val="005330F5"/>
    <w:rsid w:val="00533FD7"/>
    <w:rsid w:val="005401B0"/>
    <w:rsid w:val="005419AE"/>
    <w:rsid w:val="00542DEB"/>
    <w:rsid w:val="005433A6"/>
    <w:rsid w:val="0054570C"/>
    <w:rsid w:val="00550B64"/>
    <w:rsid w:val="00550F34"/>
    <w:rsid w:val="00553A2D"/>
    <w:rsid w:val="00555C3F"/>
    <w:rsid w:val="00557B61"/>
    <w:rsid w:val="00560472"/>
    <w:rsid w:val="00560E67"/>
    <w:rsid w:val="005622E8"/>
    <w:rsid w:val="00562BFD"/>
    <w:rsid w:val="00562CB5"/>
    <w:rsid w:val="00563B70"/>
    <w:rsid w:val="00565976"/>
    <w:rsid w:val="00570A0A"/>
    <w:rsid w:val="0057122B"/>
    <w:rsid w:val="005716A5"/>
    <w:rsid w:val="005745A4"/>
    <w:rsid w:val="0057490C"/>
    <w:rsid w:val="00574FBB"/>
    <w:rsid w:val="005760B0"/>
    <w:rsid w:val="00577FB1"/>
    <w:rsid w:val="00582888"/>
    <w:rsid w:val="00590205"/>
    <w:rsid w:val="00591905"/>
    <w:rsid w:val="00591BA7"/>
    <w:rsid w:val="005932DC"/>
    <w:rsid w:val="00593A24"/>
    <w:rsid w:val="00597F30"/>
    <w:rsid w:val="005A07D5"/>
    <w:rsid w:val="005A089B"/>
    <w:rsid w:val="005A1220"/>
    <w:rsid w:val="005A1AEB"/>
    <w:rsid w:val="005A2C74"/>
    <w:rsid w:val="005A3B3B"/>
    <w:rsid w:val="005A451B"/>
    <w:rsid w:val="005A4684"/>
    <w:rsid w:val="005A470E"/>
    <w:rsid w:val="005A4FCD"/>
    <w:rsid w:val="005A6100"/>
    <w:rsid w:val="005A6CC3"/>
    <w:rsid w:val="005B2286"/>
    <w:rsid w:val="005B4F52"/>
    <w:rsid w:val="005B539F"/>
    <w:rsid w:val="005B5470"/>
    <w:rsid w:val="005B7005"/>
    <w:rsid w:val="005B732D"/>
    <w:rsid w:val="005B7381"/>
    <w:rsid w:val="005B7822"/>
    <w:rsid w:val="005B7872"/>
    <w:rsid w:val="005C26D9"/>
    <w:rsid w:val="005C5248"/>
    <w:rsid w:val="005C5B8F"/>
    <w:rsid w:val="005C6F41"/>
    <w:rsid w:val="005C738A"/>
    <w:rsid w:val="005D1F61"/>
    <w:rsid w:val="005D2474"/>
    <w:rsid w:val="005D574E"/>
    <w:rsid w:val="005D720B"/>
    <w:rsid w:val="005D7F91"/>
    <w:rsid w:val="005D7FF6"/>
    <w:rsid w:val="005E137F"/>
    <w:rsid w:val="005E3516"/>
    <w:rsid w:val="005E35D6"/>
    <w:rsid w:val="005E49EC"/>
    <w:rsid w:val="005E4B78"/>
    <w:rsid w:val="005F0F9B"/>
    <w:rsid w:val="005F4E6E"/>
    <w:rsid w:val="005F502A"/>
    <w:rsid w:val="005F54DE"/>
    <w:rsid w:val="005F5A65"/>
    <w:rsid w:val="00601BF2"/>
    <w:rsid w:val="00603B36"/>
    <w:rsid w:val="006056D3"/>
    <w:rsid w:val="0060672C"/>
    <w:rsid w:val="006069F7"/>
    <w:rsid w:val="00611E95"/>
    <w:rsid w:val="00611F79"/>
    <w:rsid w:val="00612ADD"/>
    <w:rsid w:val="00614B4B"/>
    <w:rsid w:val="00617455"/>
    <w:rsid w:val="00617C2F"/>
    <w:rsid w:val="006206E6"/>
    <w:rsid w:val="0062300B"/>
    <w:rsid w:val="006238EA"/>
    <w:rsid w:val="006242E5"/>
    <w:rsid w:val="0062495A"/>
    <w:rsid w:val="00625085"/>
    <w:rsid w:val="00625D6D"/>
    <w:rsid w:val="00627C83"/>
    <w:rsid w:val="00631494"/>
    <w:rsid w:val="0063230E"/>
    <w:rsid w:val="00634130"/>
    <w:rsid w:val="00634293"/>
    <w:rsid w:val="006363B9"/>
    <w:rsid w:val="00637606"/>
    <w:rsid w:val="00637A7E"/>
    <w:rsid w:val="0064090B"/>
    <w:rsid w:val="00641BAC"/>
    <w:rsid w:val="00641F58"/>
    <w:rsid w:val="00642856"/>
    <w:rsid w:val="00642C7B"/>
    <w:rsid w:val="00642FA0"/>
    <w:rsid w:val="00644F31"/>
    <w:rsid w:val="00645D30"/>
    <w:rsid w:val="00645F95"/>
    <w:rsid w:val="00646239"/>
    <w:rsid w:val="00647463"/>
    <w:rsid w:val="006500E7"/>
    <w:rsid w:val="0065218B"/>
    <w:rsid w:val="0065660D"/>
    <w:rsid w:val="00656C04"/>
    <w:rsid w:val="0066013E"/>
    <w:rsid w:val="00660398"/>
    <w:rsid w:val="00664E10"/>
    <w:rsid w:val="00665A8A"/>
    <w:rsid w:val="006661F9"/>
    <w:rsid w:val="00667AF0"/>
    <w:rsid w:val="00667D10"/>
    <w:rsid w:val="0067232E"/>
    <w:rsid w:val="0067378B"/>
    <w:rsid w:val="006766A7"/>
    <w:rsid w:val="0067743A"/>
    <w:rsid w:val="006801A4"/>
    <w:rsid w:val="00680FC9"/>
    <w:rsid w:val="00684623"/>
    <w:rsid w:val="0068667D"/>
    <w:rsid w:val="006904AE"/>
    <w:rsid w:val="00691005"/>
    <w:rsid w:val="00691351"/>
    <w:rsid w:val="00693025"/>
    <w:rsid w:val="00694295"/>
    <w:rsid w:val="00694587"/>
    <w:rsid w:val="006956B7"/>
    <w:rsid w:val="00695ECE"/>
    <w:rsid w:val="00696052"/>
    <w:rsid w:val="006A0A8E"/>
    <w:rsid w:val="006A0FAE"/>
    <w:rsid w:val="006A12B7"/>
    <w:rsid w:val="006A1762"/>
    <w:rsid w:val="006A1C6C"/>
    <w:rsid w:val="006A699B"/>
    <w:rsid w:val="006A6BD4"/>
    <w:rsid w:val="006A7C4C"/>
    <w:rsid w:val="006B49CE"/>
    <w:rsid w:val="006B667D"/>
    <w:rsid w:val="006C170B"/>
    <w:rsid w:val="006C2FF9"/>
    <w:rsid w:val="006C3573"/>
    <w:rsid w:val="006D13D8"/>
    <w:rsid w:val="006D2598"/>
    <w:rsid w:val="006D2B32"/>
    <w:rsid w:val="006D2B34"/>
    <w:rsid w:val="006D33B6"/>
    <w:rsid w:val="006D5C3A"/>
    <w:rsid w:val="006D5C84"/>
    <w:rsid w:val="006D73A0"/>
    <w:rsid w:val="006D73BF"/>
    <w:rsid w:val="006D75AE"/>
    <w:rsid w:val="006D7EF9"/>
    <w:rsid w:val="006E0C15"/>
    <w:rsid w:val="006E1C7D"/>
    <w:rsid w:val="006E3B30"/>
    <w:rsid w:val="006E4D1D"/>
    <w:rsid w:val="006E5944"/>
    <w:rsid w:val="006E6436"/>
    <w:rsid w:val="006E6E04"/>
    <w:rsid w:val="006E6F21"/>
    <w:rsid w:val="006E7F31"/>
    <w:rsid w:val="006F010B"/>
    <w:rsid w:val="006F1A33"/>
    <w:rsid w:val="006F24DB"/>
    <w:rsid w:val="006F4CB7"/>
    <w:rsid w:val="006F580E"/>
    <w:rsid w:val="006F6FC0"/>
    <w:rsid w:val="006F7B0B"/>
    <w:rsid w:val="0070467A"/>
    <w:rsid w:val="00704E14"/>
    <w:rsid w:val="007115C6"/>
    <w:rsid w:val="00714F22"/>
    <w:rsid w:val="00716E91"/>
    <w:rsid w:val="007203BC"/>
    <w:rsid w:val="00720DBE"/>
    <w:rsid w:val="0072632E"/>
    <w:rsid w:val="00727740"/>
    <w:rsid w:val="0073099D"/>
    <w:rsid w:val="00732A43"/>
    <w:rsid w:val="007332FB"/>
    <w:rsid w:val="00733519"/>
    <w:rsid w:val="00733A4D"/>
    <w:rsid w:val="00733C64"/>
    <w:rsid w:val="00735854"/>
    <w:rsid w:val="00741190"/>
    <w:rsid w:val="00741FA4"/>
    <w:rsid w:val="00744444"/>
    <w:rsid w:val="007445B8"/>
    <w:rsid w:val="007471D3"/>
    <w:rsid w:val="00747667"/>
    <w:rsid w:val="00747D80"/>
    <w:rsid w:val="00750588"/>
    <w:rsid w:val="00750742"/>
    <w:rsid w:val="0075113B"/>
    <w:rsid w:val="007517DB"/>
    <w:rsid w:val="00751D70"/>
    <w:rsid w:val="00755A82"/>
    <w:rsid w:val="007562E8"/>
    <w:rsid w:val="007604E6"/>
    <w:rsid w:val="0076468B"/>
    <w:rsid w:val="00765238"/>
    <w:rsid w:val="00765845"/>
    <w:rsid w:val="00765D63"/>
    <w:rsid w:val="00766600"/>
    <w:rsid w:val="00766DD2"/>
    <w:rsid w:val="00772A23"/>
    <w:rsid w:val="00777A02"/>
    <w:rsid w:val="00780766"/>
    <w:rsid w:val="00781E1E"/>
    <w:rsid w:val="00782A7C"/>
    <w:rsid w:val="007830FC"/>
    <w:rsid w:val="00786415"/>
    <w:rsid w:val="00791CE8"/>
    <w:rsid w:val="00793C62"/>
    <w:rsid w:val="00796309"/>
    <w:rsid w:val="0079659D"/>
    <w:rsid w:val="007A11CC"/>
    <w:rsid w:val="007A360F"/>
    <w:rsid w:val="007A36EF"/>
    <w:rsid w:val="007A64F7"/>
    <w:rsid w:val="007A65DB"/>
    <w:rsid w:val="007B11EF"/>
    <w:rsid w:val="007B1969"/>
    <w:rsid w:val="007B39D0"/>
    <w:rsid w:val="007B512D"/>
    <w:rsid w:val="007B61A4"/>
    <w:rsid w:val="007B67AD"/>
    <w:rsid w:val="007B72E8"/>
    <w:rsid w:val="007C2A48"/>
    <w:rsid w:val="007C45BF"/>
    <w:rsid w:val="007C76D0"/>
    <w:rsid w:val="007D2C36"/>
    <w:rsid w:val="007D4D6A"/>
    <w:rsid w:val="007D756C"/>
    <w:rsid w:val="007D77DF"/>
    <w:rsid w:val="007E02AE"/>
    <w:rsid w:val="007E0CA4"/>
    <w:rsid w:val="007E39D9"/>
    <w:rsid w:val="007E5B57"/>
    <w:rsid w:val="007E71B0"/>
    <w:rsid w:val="007F090D"/>
    <w:rsid w:val="007F29B2"/>
    <w:rsid w:val="007F36B4"/>
    <w:rsid w:val="007F62B0"/>
    <w:rsid w:val="007F6821"/>
    <w:rsid w:val="007F6A96"/>
    <w:rsid w:val="00800A61"/>
    <w:rsid w:val="008024C5"/>
    <w:rsid w:val="00802951"/>
    <w:rsid w:val="00803EB4"/>
    <w:rsid w:val="00805865"/>
    <w:rsid w:val="008066D9"/>
    <w:rsid w:val="00807585"/>
    <w:rsid w:val="00810089"/>
    <w:rsid w:val="00811198"/>
    <w:rsid w:val="00812E37"/>
    <w:rsid w:val="008148C1"/>
    <w:rsid w:val="00816964"/>
    <w:rsid w:val="00817BEE"/>
    <w:rsid w:val="00817CC7"/>
    <w:rsid w:val="0082143C"/>
    <w:rsid w:val="0082573E"/>
    <w:rsid w:val="00825BAA"/>
    <w:rsid w:val="008338F0"/>
    <w:rsid w:val="0083431D"/>
    <w:rsid w:val="008352F9"/>
    <w:rsid w:val="00835A94"/>
    <w:rsid w:val="00836A65"/>
    <w:rsid w:val="00836C27"/>
    <w:rsid w:val="0084371D"/>
    <w:rsid w:val="00843BF3"/>
    <w:rsid w:val="00843EB1"/>
    <w:rsid w:val="008454F9"/>
    <w:rsid w:val="00846587"/>
    <w:rsid w:val="00847607"/>
    <w:rsid w:val="00855621"/>
    <w:rsid w:val="00857950"/>
    <w:rsid w:val="00860955"/>
    <w:rsid w:val="008621CE"/>
    <w:rsid w:val="00864369"/>
    <w:rsid w:val="0086436B"/>
    <w:rsid w:val="00866D8C"/>
    <w:rsid w:val="00870127"/>
    <w:rsid w:val="00870295"/>
    <w:rsid w:val="00870F7D"/>
    <w:rsid w:val="00871CEA"/>
    <w:rsid w:val="0087222F"/>
    <w:rsid w:val="0087232F"/>
    <w:rsid w:val="00873461"/>
    <w:rsid w:val="00876FED"/>
    <w:rsid w:val="008818B5"/>
    <w:rsid w:val="008822F3"/>
    <w:rsid w:val="00882FDA"/>
    <w:rsid w:val="0088444D"/>
    <w:rsid w:val="008871CE"/>
    <w:rsid w:val="008902A7"/>
    <w:rsid w:val="00891115"/>
    <w:rsid w:val="008942A7"/>
    <w:rsid w:val="0089447C"/>
    <w:rsid w:val="0089523A"/>
    <w:rsid w:val="00896173"/>
    <w:rsid w:val="00897232"/>
    <w:rsid w:val="008A1420"/>
    <w:rsid w:val="008A1DE3"/>
    <w:rsid w:val="008A580A"/>
    <w:rsid w:val="008A5B59"/>
    <w:rsid w:val="008A62F6"/>
    <w:rsid w:val="008A7BE9"/>
    <w:rsid w:val="008B3ED0"/>
    <w:rsid w:val="008B50E6"/>
    <w:rsid w:val="008B55D4"/>
    <w:rsid w:val="008B6DF8"/>
    <w:rsid w:val="008C0832"/>
    <w:rsid w:val="008C1B2D"/>
    <w:rsid w:val="008C1B84"/>
    <w:rsid w:val="008C31F6"/>
    <w:rsid w:val="008C3657"/>
    <w:rsid w:val="008C51CE"/>
    <w:rsid w:val="008C6ABC"/>
    <w:rsid w:val="008C754D"/>
    <w:rsid w:val="008C7847"/>
    <w:rsid w:val="008C7D0E"/>
    <w:rsid w:val="008D405A"/>
    <w:rsid w:val="008D4BB1"/>
    <w:rsid w:val="008D4F19"/>
    <w:rsid w:val="008D5B74"/>
    <w:rsid w:val="008D65CA"/>
    <w:rsid w:val="008E04CC"/>
    <w:rsid w:val="008E1AB6"/>
    <w:rsid w:val="008E2CDD"/>
    <w:rsid w:val="008E4FBF"/>
    <w:rsid w:val="008F2B03"/>
    <w:rsid w:val="008F2EB0"/>
    <w:rsid w:val="008F37FB"/>
    <w:rsid w:val="008F4EC3"/>
    <w:rsid w:val="008F5ACC"/>
    <w:rsid w:val="008F5CF6"/>
    <w:rsid w:val="008F67F2"/>
    <w:rsid w:val="008F72FD"/>
    <w:rsid w:val="00901640"/>
    <w:rsid w:val="00901DD8"/>
    <w:rsid w:val="009026A7"/>
    <w:rsid w:val="00902FF6"/>
    <w:rsid w:val="00903925"/>
    <w:rsid w:val="0090451C"/>
    <w:rsid w:val="0090484E"/>
    <w:rsid w:val="00904A2B"/>
    <w:rsid w:val="00904B1A"/>
    <w:rsid w:val="0090782B"/>
    <w:rsid w:val="00907F33"/>
    <w:rsid w:val="009101E2"/>
    <w:rsid w:val="00910290"/>
    <w:rsid w:val="009104C7"/>
    <w:rsid w:val="00912026"/>
    <w:rsid w:val="00912190"/>
    <w:rsid w:val="00912F6D"/>
    <w:rsid w:val="00913C16"/>
    <w:rsid w:val="00913E17"/>
    <w:rsid w:val="00914A43"/>
    <w:rsid w:val="00915A9D"/>
    <w:rsid w:val="00921145"/>
    <w:rsid w:val="00923AAE"/>
    <w:rsid w:val="009242A1"/>
    <w:rsid w:val="009256EF"/>
    <w:rsid w:val="0092593C"/>
    <w:rsid w:val="00925FB5"/>
    <w:rsid w:val="0092600A"/>
    <w:rsid w:val="00926AF6"/>
    <w:rsid w:val="00927351"/>
    <w:rsid w:val="0093015F"/>
    <w:rsid w:val="009318AB"/>
    <w:rsid w:val="0093287D"/>
    <w:rsid w:val="0093305D"/>
    <w:rsid w:val="009331DB"/>
    <w:rsid w:val="00934FEC"/>
    <w:rsid w:val="009356E4"/>
    <w:rsid w:val="00935C7A"/>
    <w:rsid w:val="00935CEB"/>
    <w:rsid w:val="00940B30"/>
    <w:rsid w:val="009420EE"/>
    <w:rsid w:val="00942FF1"/>
    <w:rsid w:val="009453D1"/>
    <w:rsid w:val="00946CDD"/>
    <w:rsid w:val="009546EB"/>
    <w:rsid w:val="009560DB"/>
    <w:rsid w:val="00960916"/>
    <w:rsid w:val="00963E7E"/>
    <w:rsid w:val="0096478C"/>
    <w:rsid w:val="00967C7E"/>
    <w:rsid w:val="00971153"/>
    <w:rsid w:val="009744D2"/>
    <w:rsid w:val="00974DA5"/>
    <w:rsid w:val="00975508"/>
    <w:rsid w:val="00977261"/>
    <w:rsid w:val="00980B91"/>
    <w:rsid w:val="00987F13"/>
    <w:rsid w:val="00992980"/>
    <w:rsid w:val="00994058"/>
    <w:rsid w:val="0099426D"/>
    <w:rsid w:val="009945E6"/>
    <w:rsid w:val="00994CF1"/>
    <w:rsid w:val="00994F85"/>
    <w:rsid w:val="009974D1"/>
    <w:rsid w:val="009A1539"/>
    <w:rsid w:val="009A1F5C"/>
    <w:rsid w:val="009A202D"/>
    <w:rsid w:val="009A2A81"/>
    <w:rsid w:val="009A4572"/>
    <w:rsid w:val="009A49B5"/>
    <w:rsid w:val="009A50FE"/>
    <w:rsid w:val="009A51C3"/>
    <w:rsid w:val="009A52B7"/>
    <w:rsid w:val="009A52D8"/>
    <w:rsid w:val="009A5655"/>
    <w:rsid w:val="009A5951"/>
    <w:rsid w:val="009A679B"/>
    <w:rsid w:val="009B47D1"/>
    <w:rsid w:val="009B653C"/>
    <w:rsid w:val="009B6FC0"/>
    <w:rsid w:val="009C11A3"/>
    <w:rsid w:val="009C13A3"/>
    <w:rsid w:val="009C2C96"/>
    <w:rsid w:val="009C599C"/>
    <w:rsid w:val="009C5F48"/>
    <w:rsid w:val="009C6415"/>
    <w:rsid w:val="009D09ED"/>
    <w:rsid w:val="009D11A4"/>
    <w:rsid w:val="009D3A25"/>
    <w:rsid w:val="009D5B2A"/>
    <w:rsid w:val="009D640D"/>
    <w:rsid w:val="009D71AA"/>
    <w:rsid w:val="009E0946"/>
    <w:rsid w:val="009E223B"/>
    <w:rsid w:val="009E2652"/>
    <w:rsid w:val="009E4614"/>
    <w:rsid w:val="009E5F34"/>
    <w:rsid w:val="009E6106"/>
    <w:rsid w:val="009F4466"/>
    <w:rsid w:val="009F5340"/>
    <w:rsid w:val="009F5BD8"/>
    <w:rsid w:val="009F6F2D"/>
    <w:rsid w:val="00A0057E"/>
    <w:rsid w:val="00A00FBD"/>
    <w:rsid w:val="00A02810"/>
    <w:rsid w:val="00A040A5"/>
    <w:rsid w:val="00A042A6"/>
    <w:rsid w:val="00A043DA"/>
    <w:rsid w:val="00A0484F"/>
    <w:rsid w:val="00A04EB3"/>
    <w:rsid w:val="00A064F0"/>
    <w:rsid w:val="00A06681"/>
    <w:rsid w:val="00A06CAA"/>
    <w:rsid w:val="00A077EB"/>
    <w:rsid w:val="00A07A36"/>
    <w:rsid w:val="00A07DC3"/>
    <w:rsid w:val="00A11534"/>
    <w:rsid w:val="00A11D47"/>
    <w:rsid w:val="00A12718"/>
    <w:rsid w:val="00A12917"/>
    <w:rsid w:val="00A13ED8"/>
    <w:rsid w:val="00A20132"/>
    <w:rsid w:val="00A20F96"/>
    <w:rsid w:val="00A21F0D"/>
    <w:rsid w:val="00A23DC1"/>
    <w:rsid w:val="00A3036A"/>
    <w:rsid w:val="00A30F85"/>
    <w:rsid w:val="00A311B5"/>
    <w:rsid w:val="00A321F0"/>
    <w:rsid w:val="00A32532"/>
    <w:rsid w:val="00A32B84"/>
    <w:rsid w:val="00A33950"/>
    <w:rsid w:val="00A34BA4"/>
    <w:rsid w:val="00A35B0D"/>
    <w:rsid w:val="00A36546"/>
    <w:rsid w:val="00A36596"/>
    <w:rsid w:val="00A4565D"/>
    <w:rsid w:val="00A45F9E"/>
    <w:rsid w:val="00A472C3"/>
    <w:rsid w:val="00A479E6"/>
    <w:rsid w:val="00A47FA9"/>
    <w:rsid w:val="00A5329D"/>
    <w:rsid w:val="00A55A7A"/>
    <w:rsid w:val="00A6013E"/>
    <w:rsid w:val="00A60385"/>
    <w:rsid w:val="00A60B0C"/>
    <w:rsid w:val="00A60F0F"/>
    <w:rsid w:val="00A60F1F"/>
    <w:rsid w:val="00A61C0E"/>
    <w:rsid w:val="00A65364"/>
    <w:rsid w:val="00A6782B"/>
    <w:rsid w:val="00A70852"/>
    <w:rsid w:val="00A70E2A"/>
    <w:rsid w:val="00A71134"/>
    <w:rsid w:val="00A742B9"/>
    <w:rsid w:val="00A74CEA"/>
    <w:rsid w:val="00A75BAB"/>
    <w:rsid w:val="00A7694D"/>
    <w:rsid w:val="00A76A5C"/>
    <w:rsid w:val="00A840BE"/>
    <w:rsid w:val="00A84873"/>
    <w:rsid w:val="00A85441"/>
    <w:rsid w:val="00A875D9"/>
    <w:rsid w:val="00A9410B"/>
    <w:rsid w:val="00A97E5D"/>
    <w:rsid w:val="00AA0960"/>
    <w:rsid w:val="00AA11A4"/>
    <w:rsid w:val="00AA1702"/>
    <w:rsid w:val="00AA2077"/>
    <w:rsid w:val="00AA4CE9"/>
    <w:rsid w:val="00AA4D54"/>
    <w:rsid w:val="00AA5AA1"/>
    <w:rsid w:val="00AB136D"/>
    <w:rsid w:val="00AB2E80"/>
    <w:rsid w:val="00AB3A2A"/>
    <w:rsid w:val="00AB5A05"/>
    <w:rsid w:val="00AB7E2C"/>
    <w:rsid w:val="00AC1955"/>
    <w:rsid w:val="00AC326C"/>
    <w:rsid w:val="00AC3477"/>
    <w:rsid w:val="00AC6C7E"/>
    <w:rsid w:val="00AC790E"/>
    <w:rsid w:val="00AD0B0E"/>
    <w:rsid w:val="00AD185D"/>
    <w:rsid w:val="00AD45EE"/>
    <w:rsid w:val="00AD46EC"/>
    <w:rsid w:val="00AD4C0A"/>
    <w:rsid w:val="00AD5A0B"/>
    <w:rsid w:val="00AD6768"/>
    <w:rsid w:val="00AD7910"/>
    <w:rsid w:val="00AE037C"/>
    <w:rsid w:val="00AE111D"/>
    <w:rsid w:val="00AE2350"/>
    <w:rsid w:val="00AE2F9B"/>
    <w:rsid w:val="00AE310C"/>
    <w:rsid w:val="00AE32F9"/>
    <w:rsid w:val="00AE4D7A"/>
    <w:rsid w:val="00AE54D3"/>
    <w:rsid w:val="00AE5DA4"/>
    <w:rsid w:val="00AE6EE1"/>
    <w:rsid w:val="00AF08C1"/>
    <w:rsid w:val="00AF1A3E"/>
    <w:rsid w:val="00AF24AE"/>
    <w:rsid w:val="00AF5744"/>
    <w:rsid w:val="00AF6065"/>
    <w:rsid w:val="00AF6447"/>
    <w:rsid w:val="00AF75E4"/>
    <w:rsid w:val="00B01097"/>
    <w:rsid w:val="00B0171E"/>
    <w:rsid w:val="00B02154"/>
    <w:rsid w:val="00B02454"/>
    <w:rsid w:val="00B038FD"/>
    <w:rsid w:val="00B05612"/>
    <w:rsid w:val="00B060F4"/>
    <w:rsid w:val="00B079BF"/>
    <w:rsid w:val="00B10C78"/>
    <w:rsid w:val="00B115CE"/>
    <w:rsid w:val="00B13FE2"/>
    <w:rsid w:val="00B14FBD"/>
    <w:rsid w:val="00B216AD"/>
    <w:rsid w:val="00B21750"/>
    <w:rsid w:val="00B219C8"/>
    <w:rsid w:val="00B22401"/>
    <w:rsid w:val="00B22553"/>
    <w:rsid w:val="00B22B11"/>
    <w:rsid w:val="00B24784"/>
    <w:rsid w:val="00B261F2"/>
    <w:rsid w:val="00B31A59"/>
    <w:rsid w:val="00B330A8"/>
    <w:rsid w:val="00B36858"/>
    <w:rsid w:val="00B37D2D"/>
    <w:rsid w:val="00B404CB"/>
    <w:rsid w:val="00B44DC1"/>
    <w:rsid w:val="00B4525C"/>
    <w:rsid w:val="00B45810"/>
    <w:rsid w:val="00B46067"/>
    <w:rsid w:val="00B46660"/>
    <w:rsid w:val="00B46BE8"/>
    <w:rsid w:val="00B52B61"/>
    <w:rsid w:val="00B52E65"/>
    <w:rsid w:val="00B54B94"/>
    <w:rsid w:val="00B55EE1"/>
    <w:rsid w:val="00B56F1A"/>
    <w:rsid w:val="00B57B7A"/>
    <w:rsid w:val="00B610D1"/>
    <w:rsid w:val="00B64BD4"/>
    <w:rsid w:val="00B657A7"/>
    <w:rsid w:val="00B66508"/>
    <w:rsid w:val="00B677CC"/>
    <w:rsid w:val="00B70D36"/>
    <w:rsid w:val="00B73DC8"/>
    <w:rsid w:val="00B77218"/>
    <w:rsid w:val="00B81028"/>
    <w:rsid w:val="00B81AEB"/>
    <w:rsid w:val="00B820AE"/>
    <w:rsid w:val="00B8338E"/>
    <w:rsid w:val="00B8497F"/>
    <w:rsid w:val="00B85100"/>
    <w:rsid w:val="00B85F20"/>
    <w:rsid w:val="00B87550"/>
    <w:rsid w:val="00B87F5C"/>
    <w:rsid w:val="00B90E22"/>
    <w:rsid w:val="00B923EE"/>
    <w:rsid w:val="00B95349"/>
    <w:rsid w:val="00BA0F56"/>
    <w:rsid w:val="00BA1515"/>
    <w:rsid w:val="00BA384C"/>
    <w:rsid w:val="00BA3B8E"/>
    <w:rsid w:val="00BA3BC1"/>
    <w:rsid w:val="00BA67E2"/>
    <w:rsid w:val="00BB29FB"/>
    <w:rsid w:val="00BB2D40"/>
    <w:rsid w:val="00BB3471"/>
    <w:rsid w:val="00BB44CA"/>
    <w:rsid w:val="00BB49D3"/>
    <w:rsid w:val="00BB4A5A"/>
    <w:rsid w:val="00BB563C"/>
    <w:rsid w:val="00BB5EFE"/>
    <w:rsid w:val="00BC1162"/>
    <w:rsid w:val="00BC17AE"/>
    <w:rsid w:val="00BC3598"/>
    <w:rsid w:val="00BC4017"/>
    <w:rsid w:val="00BC4039"/>
    <w:rsid w:val="00BC4FD0"/>
    <w:rsid w:val="00BC57EA"/>
    <w:rsid w:val="00BC5E9C"/>
    <w:rsid w:val="00BC686C"/>
    <w:rsid w:val="00BC6C15"/>
    <w:rsid w:val="00BD003E"/>
    <w:rsid w:val="00BD1363"/>
    <w:rsid w:val="00BD2FBB"/>
    <w:rsid w:val="00BD697C"/>
    <w:rsid w:val="00BE08AC"/>
    <w:rsid w:val="00BE17E7"/>
    <w:rsid w:val="00BE2365"/>
    <w:rsid w:val="00BE3382"/>
    <w:rsid w:val="00BE3DEF"/>
    <w:rsid w:val="00BE4476"/>
    <w:rsid w:val="00BE48E2"/>
    <w:rsid w:val="00BE4AA2"/>
    <w:rsid w:val="00BE4CDB"/>
    <w:rsid w:val="00BE55A1"/>
    <w:rsid w:val="00BE57C7"/>
    <w:rsid w:val="00BF04B6"/>
    <w:rsid w:val="00BF7671"/>
    <w:rsid w:val="00C023DF"/>
    <w:rsid w:val="00C06DEC"/>
    <w:rsid w:val="00C06E3D"/>
    <w:rsid w:val="00C07961"/>
    <w:rsid w:val="00C07E98"/>
    <w:rsid w:val="00C10080"/>
    <w:rsid w:val="00C10302"/>
    <w:rsid w:val="00C10498"/>
    <w:rsid w:val="00C12B7D"/>
    <w:rsid w:val="00C14354"/>
    <w:rsid w:val="00C14406"/>
    <w:rsid w:val="00C1457A"/>
    <w:rsid w:val="00C14907"/>
    <w:rsid w:val="00C15470"/>
    <w:rsid w:val="00C16BD9"/>
    <w:rsid w:val="00C20661"/>
    <w:rsid w:val="00C21D4B"/>
    <w:rsid w:val="00C21D5E"/>
    <w:rsid w:val="00C24330"/>
    <w:rsid w:val="00C27332"/>
    <w:rsid w:val="00C279B4"/>
    <w:rsid w:val="00C27B48"/>
    <w:rsid w:val="00C32C71"/>
    <w:rsid w:val="00C33CD5"/>
    <w:rsid w:val="00C34C7C"/>
    <w:rsid w:val="00C36665"/>
    <w:rsid w:val="00C36F00"/>
    <w:rsid w:val="00C40C0B"/>
    <w:rsid w:val="00C42A2A"/>
    <w:rsid w:val="00C4311E"/>
    <w:rsid w:val="00C44B55"/>
    <w:rsid w:val="00C45EA2"/>
    <w:rsid w:val="00C47C53"/>
    <w:rsid w:val="00C501F6"/>
    <w:rsid w:val="00C52431"/>
    <w:rsid w:val="00C525F6"/>
    <w:rsid w:val="00C52775"/>
    <w:rsid w:val="00C549D1"/>
    <w:rsid w:val="00C575CC"/>
    <w:rsid w:val="00C57B65"/>
    <w:rsid w:val="00C60C3F"/>
    <w:rsid w:val="00C60EB1"/>
    <w:rsid w:val="00C62AE2"/>
    <w:rsid w:val="00C62BE7"/>
    <w:rsid w:val="00C639A5"/>
    <w:rsid w:val="00C66303"/>
    <w:rsid w:val="00C66677"/>
    <w:rsid w:val="00C7014A"/>
    <w:rsid w:val="00C7057F"/>
    <w:rsid w:val="00C727FB"/>
    <w:rsid w:val="00C73463"/>
    <w:rsid w:val="00C73BDA"/>
    <w:rsid w:val="00C7424D"/>
    <w:rsid w:val="00C75F9A"/>
    <w:rsid w:val="00C76513"/>
    <w:rsid w:val="00C76566"/>
    <w:rsid w:val="00C77272"/>
    <w:rsid w:val="00C8748D"/>
    <w:rsid w:val="00C87E72"/>
    <w:rsid w:val="00C9133A"/>
    <w:rsid w:val="00C91669"/>
    <w:rsid w:val="00C91A53"/>
    <w:rsid w:val="00C92096"/>
    <w:rsid w:val="00C93100"/>
    <w:rsid w:val="00C93AAC"/>
    <w:rsid w:val="00C94255"/>
    <w:rsid w:val="00C94CA9"/>
    <w:rsid w:val="00CA0DBA"/>
    <w:rsid w:val="00CA2B81"/>
    <w:rsid w:val="00CA3FE4"/>
    <w:rsid w:val="00CA4D2E"/>
    <w:rsid w:val="00CA5138"/>
    <w:rsid w:val="00CA6AA1"/>
    <w:rsid w:val="00CA6DE3"/>
    <w:rsid w:val="00CB5318"/>
    <w:rsid w:val="00CB5878"/>
    <w:rsid w:val="00CB62BF"/>
    <w:rsid w:val="00CB7B4E"/>
    <w:rsid w:val="00CB7C4F"/>
    <w:rsid w:val="00CC3B3F"/>
    <w:rsid w:val="00CC4626"/>
    <w:rsid w:val="00CC56D4"/>
    <w:rsid w:val="00CC5737"/>
    <w:rsid w:val="00CC5E25"/>
    <w:rsid w:val="00CC6463"/>
    <w:rsid w:val="00CC695F"/>
    <w:rsid w:val="00CC7324"/>
    <w:rsid w:val="00CC7B76"/>
    <w:rsid w:val="00CD0721"/>
    <w:rsid w:val="00CD1357"/>
    <w:rsid w:val="00CD2AA8"/>
    <w:rsid w:val="00CD35B1"/>
    <w:rsid w:val="00CD57EF"/>
    <w:rsid w:val="00CD696C"/>
    <w:rsid w:val="00CD69CC"/>
    <w:rsid w:val="00CD756E"/>
    <w:rsid w:val="00CE1B9F"/>
    <w:rsid w:val="00CE34FE"/>
    <w:rsid w:val="00CE386D"/>
    <w:rsid w:val="00CE4896"/>
    <w:rsid w:val="00CE591C"/>
    <w:rsid w:val="00CE67D1"/>
    <w:rsid w:val="00CE75E2"/>
    <w:rsid w:val="00CF0328"/>
    <w:rsid w:val="00CF0CD7"/>
    <w:rsid w:val="00CF2EF6"/>
    <w:rsid w:val="00CF4DE5"/>
    <w:rsid w:val="00CF5CA5"/>
    <w:rsid w:val="00CF6BF9"/>
    <w:rsid w:val="00CF7DF7"/>
    <w:rsid w:val="00D0002A"/>
    <w:rsid w:val="00D0045D"/>
    <w:rsid w:val="00D0113A"/>
    <w:rsid w:val="00D034A4"/>
    <w:rsid w:val="00D0774A"/>
    <w:rsid w:val="00D07AA0"/>
    <w:rsid w:val="00D108A4"/>
    <w:rsid w:val="00D12327"/>
    <w:rsid w:val="00D14373"/>
    <w:rsid w:val="00D14844"/>
    <w:rsid w:val="00D15394"/>
    <w:rsid w:val="00D156C6"/>
    <w:rsid w:val="00D21698"/>
    <w:rsid w:val="00D21EEE"/>
    <w:rsid w:val="00D250FC"/>
    <w:rsid w:val="00D25798"/>
    <w:rsid w:val="00D260F5"/>
    <w:rsid w:val="00D26BCC"/>
    <w:rsid w:val="00D27DB5"/>
    <w:rsid w:val="00D3120A"/>
    <w:rsid w:val="00D3312A"/>
    <w:rsid w:val="00D336E3"/>
    <w:rsid w:val="00D33BCC"/>
    <w:rsid w:val="00D34B43"/>
    <w:rsid w:val="00D3571A"/>
    <w:rsid w:val="00D35731"/>
    <w:rsid w:val="00D36113"/>
    <w:rsid w:val="00D40BD6"/>
    <w:rsid w:val="00D43F5C"/>
    <w:rsid w:val="00D44C60"/>
    <w:rsid w:val="00D46025"/>
    <w:rsid w:val="00D460D3"/>
    <w:rsid w:val="00D52149"/>
    <w:rsid w:val="00D53455"/>
    <w:rsid w:val="00D5561F"/>
    <w:rsid w:val="00D60A36"/>
    <w:rsid w:val="00D61C67"/>
    <w:rsid w:val="00D61D68"/>
    <w:rsid w:val="00D62756"/>
    <w:rsid w:val="00D628C5"/>
    <w:rsid w:val="00D63159"/>
    <w:rsid w:val="00D6371C"/>
    <w:rsid w:val="00D64099"/>
    <w:rsid w:val="00D646F9"/>
    <w:rsid w:val="00D7018E"/>
    <w:rsid w:val="00D715B2"/>
    <w:rsid w:val="00D72335"/>
    <w:rsid w:val="00D72510"/>
    <w:rsid w:val="00D73118"/>
    <w:rsid w:val="00D73C79"/>
    <w:rsid w:val="00D73F0B"/>
    <w:rsid w:val="00D73FB5"/>
    <w:rsid w:val="00D7511C"/>
    <w:rsid w:val="00D7533F"/>
    <w:rsid w:val="00D7535D"/>
    <w:rsid w:val="00D809FF"/>
    <w:rsid w:val="00D80C3B"/>
    <w:rsid w:val="00D80F06"/>
    <w:rsid w:val="00D906AE"/>
    <w:rsid w:val="00D92F69"/>
    <w:rsid w:val="00D936F3"/>
    <w:rsid w:val="00D96AB3"/>
    <w:rsid w:val="00D970DC"/>
    <w:rsid w:val="00D9746D"/>
    <w:rsid w:val="00DA036D"/>
    <w:rsid w:val="00DA0BF7"/>
    <w:rsid w:val="00DA0F36"/>
    <w:rsid w:val="00DA1F94"/>
    <w:rsid w:val="00DA2DFC"/>
    <w:rsid w:val="00DA55FC"/>
    <w:rsid w:val="00DA5E16"/>
    <w:rsid w:val="00DB447E"/>
    <w:rsid w:val="00DB5F8C"/>
    <w:rsid w:val="00DB7EA6"/>
    <w:rsid w:val="00DC16E2"/>
    <w:rsid w:val="00DC40D1"/>
    <w:rsid w:val="00DC44F8"/>
    <w:rsid w:val="00DC50A8"/>
    <w:rsid w:val="00DC5814"/>
    <w:rsid w:val="00DC6EE1"/>
    <w:rsid w:val="00DD1F06"/>
    <w:rsid w:val="00DD3C51"/>
    <w:rsid w:val="00DD45AE"/>
    <w:rsid w:val="00DD5139"/>
    <w:rsid w:val="00DD5FF0"/>
    <w:rsid w:val="00DD72A2"/>
    <w:rsid w:val="00DE0D55"/>
    <w:rsid w:val="00DE1699"/>
    <w:rsid w:val="00DE4DCA"/>
    <w:rsid w:val="00DE5735"/>
    <w:rsid w:val="00DE71A2"/>
    <w:rsid w:val="00DF05F4"/>
    <w:rsid w:val="00DF2D60"/>
    <w:rsid w:val="00DF3939"/>
    <w:rsid w:val="00E00455"/>
    <w:rsid w:val="00E01ACE"/>
    <w:rsid w:val="00E0508A"/>
    <w:rsid w:val="00E06058"/>
    <w:rsid w:val="00E0664E"/>
    <w:rsid w:val="00E06D43"/>
    <w:rsid w:val="00E07AF2"/>
    <w:rsid w:val="00E07D09"/>
    <w:rsid w:val="00E12A4E"/>
    <w:rsid w:val="00E1495A"/>
    <w:rsid w:val="00E14963"/>
    <w:rsid w:val="00E14F17"/>
    <w:rsid w:val="00E2021C"/>
    <w:rsid w:val="00E20DF3"/>
    <w:rsid w:val="00E21E31"/>
    <w:rsid w:val="00E22574"/>
    <w:rsid w:val="00E22948"/>
    <w:rsid w:val="00E24426"/>
    <w:rsid w:val="00E24CF4"/>
    <w:rsid w:val="00E260AD"/>
    <w:rsid w:val="00E2649B"/>
    <w:rsid w:val="00E26932"/>
    <w:rsid w:val="00E30855"/>
    <w:rsid w:val="00E32511"/>
    <w:rsid w:val="00E34D5D"/>
    <w:rsid w:val="00E350E1"/>
    <w:rsid w:val="00E353F3"/>
    <w:rsid w:val="00E35458"/>
    <w:rsid w:val="00E35BF5"/>
    <w:rsid w:val="00E3664E"/>
    <w:rsid w:val="00E414B3"/>
    <w:rsid w:val="00E43C16"/>
    <w:rsid w:val="00E47D5A"/>
    <w:rsid w:val="00E50BDE"/>
    <w:rsid w:val="00E50E7C"/>
    <w:rsid w:val="00E5192B"/>
    <w:rsid w:val="00E5202E"/>
    <w:rsid w:val="00E52420"/>
    <w:rsid w:val="00E5262A"/>
    <w:rsid w:val="00E53143"/>
    <w:rsid w:val="00E5419F"/>
    <w:rsid w:val="00E56E88"/>
    <w:rsid w:val="00E5780F"/>
    <w:rsid w:val="00E602C8"/>
    <w:rsid w:val="00E60859"/>
    <w:rsid w:val="00E62913"/>
    <w:rsid w:val="00E6454C"/>
    <w:rsid w:val="00E6510B"/>
    <w:rsid w:val="00E66226"/>
    <w:rsid w:val="00E67F5D"/>
    <w:rsid w:val="00E70A15"/>
    <w:rsid w:val="00E87F76"/>
    <w:rsid w:val="00E90B4C"/>
    <w:rsid w:val="00E92134"/>
    <w:rsid w:val="00E928F2"/>
    <w:rsid w:val="00E951AB"/>
    <w:rsid w:val="00E97AFC"/>
    <w:rsid w:val="00EA02D4"/>
    <w:rsid w:val="00EA1D25"/>
    <w:rsid w:val="00EA6650"/>
    <w:rsid w:val="00EA679F"/>
    <w:rsid w:val="00EA6FA2"/>
    <w:rsid w:val="00EA76DF"/>
    <w:rsid w:val="00EB04D1"/>
    <w:rsid w:val="00EB16F3"/>
    <w:rsid w:val="00EB17A4"/>
    <w:rsid w:val="00EB36D2"/>
    <w:rsid w:val="00EC229E"/>
    <w:rsid w:val="00EC2868"/>
    <w:rsid w:val="00EC62CE"/>
    <w:rsid w:val="00EC7211"/>
    <w:rsid w:val="00EC786E"/>
    <w:rsid w:val="00ED123B"/>
    <w:rsid w:val="00ED3B05"/>
    <w:rsid w:val="00ED4C79"/>
    <w:rsid w:val="00ED6195"/>
    <w:rsid w:val="00ED7022"/>
    <w:rsid w:val="00ED782B"/>
    <w:rsid w:val="00ED7CC3"/>
    <w:rsid w:val="00EE0B53"/>
    <w:rsid w:val="00EE1942"/>
    <w:rsid w:val="00EE2AD4"/>
    <w:rsid w:val="00EE4D77"/>
    <w:rsid w:val="00EE4E44"/>
    <w:rsid w:val="00EE55A8"/>
    <w:rsid w:val="00EE5DD0"/>
    <w:rsid w:val="00EE62DB"/>
    <w:rsid w:val="00EE6FFC"/>
    <w:rsid w:val="00EE751C"/>
    <w:rsid w:val="00EF188F"/>
    <w:rsid w:val="00EF3B5E"/>
    <w:rsid w:val="00EF5C8B"/>
    <w:rsid w:val="00EF7F56"/>
    <w:rsid w:val="00F01555"/>
    <w:rsid w:val="00F021E3"/>
    <w:rsid w:val="00F03553"/>
    <w:rsid w:val="00F0455D"/>
    <w:rsid w:val="00F05B56"/>
    <w:rsid w:val="00F06E80"/>
    <w:rsid w:val="00F0709F"/>
    <w:rsid w:val="00F07BAA"/>
    <w:rsid w:val="00F12026"/>
    <w:rsid w:val="00F15B12"/>
    <w:rsid w:val="00F21454"/>
    <w:rsid w:val="00F21A94"/>
    <w:rsid w:val="00F21D19"/>
    <w:rsid w:val="00F21F16"/>
    <w:rsid w:val="00F274E5"/>
    <w:rsid w:val="00F30FDF"/>
    <w:rsid w:val="00F32FD0"/>
    <w:rsid w:val="00F3335A"/>
    <w:rsid w:val="00F3418A"/>
    <w:rsid w:val="00F3656D"/>
    <w:rsid w:val="00F402E4"/>
    <w:rsid w:val="00F406DC"/>
    <w:rsid w:val="00F415AF"/>
    <w:rsid w:val="00F430B2"/>
    <w:rsid w:val="00F43E0D"/>
    <w:rsid w:val="00F45122"/>
    <w:rsid w:val="00F46224"/>
    <w:rsid w:val="00F47CCF"/>
    <w:rsid w:val="00F47DBA"/>
    <w:rsid w:val="00F506B2"/>
    <w:rsid w:val="00F51AEF"/>
    <w:rsid w:val="00F52CF0"/>
    <w:rsid w:val="00F54574"/>
    <w:rsid w:val="00F54732"/>
    <w:rsid w:val="00F5479B"/>
    <w:rsid w:val="00F54A74"/>
    <w:rsid w:val="00F55472"/>
    <w:rsid w:val="00F66A4D"/>
    <w:rsid w:val="00F67F42"/>
    <w:rsid w:val="00F726F0"/>
    <w:rsid w:val="00F7407B"/>
    <w:rsid w:val="00F745DE"/>
    <w:rsid w:val="00F74CD4"/>
    <w:rsid w:val="00F75E1A"/>
    <w:rsid w:val="00F76FBE"/>
    <w:rsid w:val="00F771D4"/>
    <w:rsid w:val="00F824F3"/>
    <w:rsid w:val="00F82849"/>
    <w:rsid w:val="00F82C5C"/>
    <w:rsid w:val="00F833C3"/>
    <w:rsid w:val="00F915A9"/>
    <w:rsid w:val="00F92721"/>
    <w:rsid w:val="00FA0509"/>
    <w:rsid w:val="00FA4702"/>
    <w:rsid w:val="00FA7335"/>
    <w:rsid w:val="00FA7379"/>
    <w:rsid w:val="00FA7ADF"/>
    <w:rsid w:val="00FB1A1C"/>
    <w:rsid w:val="00FB3273"/>
    <w:rsid w:val="00FB6600"/>
    <w:rsid w:val="00FB7ABA"/>
    <w:rsid w:val="00FC06E5"/>
    <w:rsid w:val="00FC0AC2"/>
    <w:rsid w:val="00FC14FB"/>
    <w:rsid w:val="00FC2054"/>
    <w:rsid w:val="00FC37D3"/>
    <w:rsid w:val="00FC45FF"/>
    <w:rsid w:val="00FC5F96"/>
    <w:rsid w:val="00FC76F7"/>
    <w:rsid w:val="00FD220E"/>
    <w:rsid w:val="00FD2925"/>
    <w:rsid w:val="00FD30E8"/>
    <w:rsid w:val="00FD4814"/>
    <w:rsid w:val="00FD5320"/>
    <w:rsid w:val="00FE1651"/>
    <w:rsid w:val="00FE2219"/>
    <w:rsid w:val="00FE3C10"/>
    <w:rsid w:val="00FE45D0"/>
    <w:rsid w:val="00FE4F95"/>
    <w:rsid w:val="00FE5E93"/>
    <w:rsid w:val="00FE71A9"/>
    <w:rsid w:val="00FE73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7F3F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3B36"/>
    <w:pPr>
      <w:spacing w:line="256" w:lineRule="auto"/>
    </w:pPr>
    <w:rPr>
      <w:kern w:val="2"/>
      <w14:ligatures w14:val="standardContextual"/>
    </w:rPr>
  </w:style>
  <w:style w:type="paragraph" w:styleId="Nagwek1">
    <w:name w:val="heading 1"/>
    <w:basedOn w:val="Normalny"/>
    <w:link w:val="Nagwek1Znak"/>
    <w:uiPriority w:val="9"/>
    <w:qFormat/>
    <w:rsid w:val="00C21D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ZDZODDZOZNoznaczenierozdziauluboddziau">
    <w:name w:val="ROZDZ(ODDZ)_OZN – oznaczenie rozdziału lub oddziału"/>
    <w:next w:val="Normalny"/>
    <w:uiPriority w:val="10"/>
    <w:qFormat/>
    <w:rsid w:val="00F402E4"/>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ZDANIENASTNOWYWIERSZnpzddrugienowywierszwust">
    <w:name w:val="ZDANIE_NAST_NOWY_WIERSZ – np. zd. drugie (nowy wiersz) w ust."/>
    <w:basedOn w:val="Normalny"/>
    <w:next w:val="Normalny"/>
    <w:uiPriority w:val="17"/>
    <w:qFormat/>
    <w:rsid w:val="00F402E4"/>
    <w:pPr>
      <w:spacing w:after="0" w:line="360" w:lineRule="auto"/>
      <w:jc w:val="both"/>
    </w:pPr>
    <w:rPr>
      <w:rFonts w:ascii="Times" w:eastAsia="Times New Roman" w:hAnsi="Times" w:cs="Arial"/>
      <w:bCs/>
      <w:kern w:val="0"/>
      <w:sz w:val="24"/>
      <w:szCs w:val="20"/>
      <w:lang w:eastAsia="pl-PL"/>
      <w14:ligatures w14:val="none"/>
    </w:rPr>
  </w:style>
  <w:style w:type="character" w:customStyle="1" w:styleId="Ppogrubienie">
    <w:name w:val="_P_ – pogrubienie"/>
    <w:basedOn w:val="Domylnaczcionkaakapitu"/>
    <w:uiPriority w:val="1"/>
    <w:qFormat/>
    <w:rsid w:val="00F402E4"/>
    <w:rPr>
      <w:b/>
      <w:bCs w:val="0"/>
    </w:rPr>
  </w:style>
  <w:style w:type="character" w:styleId="Odwoaniedokomentarza">
    <w:name w:val="annotation reference"/>
    <w:basedOn w:val="Domylnaczcionkaakapitu"/>
    <w:uiPriority w:val="99"/>
    <w:semiHidden/>
    <w:unhideWhenUsed/>
    <w:rsid w:val="00EA76DF"/>
    <w:rPr>
      <w:sz w:val="16"/>
      <w:szCs w:val="16"/>
    </w:rPr>
  </w:style>
  <w:style w:type="paragraph" w:styleId="Tekstkomentarza">
    <w:name w:val="annotation text"/>
    <w:basedOn w:val="Normalny"/>
    <w:link w:val="TekstkomentarzaZnak"/>
    <w:uiPriority w:val="99"/>
    <w:unhideWhenUsed/>
    <w:rsid w:val="00EA76DF"/>
    <w:pPr>
      <w:spacing w:line="240" w:lineRule="auto"/>
    </w:pPr>
    <w:rPr>
      <w:sz w:val="20"/>
      <w:szCs w:val="20"/>
    </w:rPr>
  </w:style>
  <w:style w:type="character" w:customStyle="1" w:styleId="TekstkomentarzaZnak">
    <w:name w:val="Tekst komentarza Znak"/>
    <w:basedOn w:val="Domylnaczcionkaakapitu"/>
    <w:link w:val="Tekstkomentarza"/>
    <w:uiPriority w:val="99"/>
    <w:rsid w:val="00EA76DF"/>
    <w:rPr>
      <w:kern w:val="2"/>
      <w:sz w:val="20"/>
      <w:szCs w:val="20"/>
      <w14:ligatures w14:val="standardContextual"/>
    </w:rPr>
  </w:style>
  <w:style w:type="paragraph" w:styleId="Tematkomentarza">
    <w:name w:val="annotation subject"/>
    <w:basedOn w:val="Tekstkomentarza"/>
    <w:next w:val="Tekstkomentarza"/>
    <w:link w:val="TematkomentarzaZnak"/>
    <w:uiPriority w:val="99"/>
    <w:semiHidden/>
    <w:unhideWhenUsed/>
    <w:rsid w:val="00EA76DF"/>
    <w:rPr>
      <w:b/>
      <w:bCs/>
    </w:rPr>
  </w:style>
  <w:style w:type="character" w:customStyle="1" w:styleId="TematkomentarzaZnak">
    <w:name w:val="Temat komentarza Znak"/>
    <w:basedOn w:val="TekstkomentarzaZnak"/>
    <w:link w:val="Tematkomentarza"/>
    <w:uiPriority w:val="99"/>
    <w:semiHidden/>
    <w:rsid w:val="00EA76DF"/>
    <w:rPr>
      <w:b/>
      <w:bCs/>
      <w:kern w:val="2"/>
      <w:sz w:val="20"/>
      <w:szCs w:val="20"/>
      <w14:ligatures w14:val="standardContextual"/>
    </w:rPr>
  </w:style>
  <w:style w:type="paragraph" w:styleId="Tekstprzypisukocowego">
    <w:name w:val="endnote text"/>
    <w:basedOn w:val="Normalny"/>
    <w:link w:val="TekstprzypisukocowegoZnak"/>
    <w:uiPriority w:val="99"/>
    <w:semiHidden/>
    <w:unhideWhenUsed/>
    <w:rsid w:val="00B0561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5612"/>
    <w:rPr>
      <w:kern w:val="2"/>
      <w:sz w:val="20"/>
      <w:szCs w:val="20"/>
      <w14:ligatures w14:val="standardContextual"/>
    </w:rPr>
  </w:style>
  <w:style w:type="character" w:styleId="Odwoanieprzypisukocowego">
    <w:name w:val="endnote reference"/>
    <w:basedOn w:val="Domylnaczcionkaakapitu"/>
    <w:uiPriority w:val="99"/>
    <w:semiHidden/>
    <w:unhideWhenUsed/>
    <w:rsid w:val="00B05612"/>
    <w:rPr>
      <w:vertAlign w:val="superscript"/>
    </w:rPr>
  </w:style>
  <w:style w:type="paragraph" w:styleId="Nagwek">
    <w:name w:val="header"/>
    <w:basedOn w:val="Normalny"/>
    <w:link w:val="NagwekZnak"/>
    <w:uiPriority w:val="99"/>
    <w:unhideWhenUsed/>
    <w:rsid w:val="009A2A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2A81"/>
    <w:rPr>
      <w:kern w:val="2"/>
      <w14:ligatures w14:val="standardContextual"/>
    </w:rPr>
  </w:style>
  <w:style w:type="paragraph" w:styleId="Stopka">
    <w:name w:val="footer"/>
    <w:basedOn w:val="Normalny"/>
    <w:link w:val="StopkaZnak"/>
    <w:uiPriority w:val="99"/>
    <w:unhideWhenUsed/>
    <w:rsid w:val="009A2A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2A81"/>
    <w:rPr>
      <w:kern w:val="2"/>
      <w14:ligatures w14:val="standardContextual"/>
    </w:rPr>
  </w:style>
  <w:style w:type="paragraph" w:customStyle="1" w:styleId="Default">
    <w:name w:val="Default"/>
    <w:rsid w:val="00F32FD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C60C3F"/>
    <w:pPr>
      <w:spacing w:line="259" w:lineRule="auto"/>
      <w:ind w:left="720"/>
      <w:contextualSpacing/>
    </w:pPr>
    <w:rPr>
      <w:rFonts w:eastAsiaTheme="minorEastAsia"/>
      <w:kern w:val="0"/>
      <w14:ligatures w14:val="none"/>
    </w:rPr>
  </w:style>
  <w:style w:type="paragraph" w:styleId="Tekstpodstawowy">
    <w:name w:val="Body Text"/>
    <w:basedOn w:val="Normalny"/>
    <w:link w:val="TekstpodstawowyZnak"/>
    <w:rsid w:val="00471E6B"/>
    <w:pPr>
      <w:spacing w:after="0" w:line="240" w:lineRule="auto"/>
      <w:jc w:val="both"/>
    </w:pPr>
    <w:rPr>
      <w:rFonts w:ascii="Times New Roman" w:eastAsia="Times New Roman" w:hAnsi="Times New Roman" w:cs="Times New Roman"/>
      <w:kern w:val="0"/>
      <w:sz w:val="26"/>
      <w:szCs w:val="20"/>
      <w:lang w:eastAsia="pl-PL"/>
      <w14:ligatures w14:val="none"/>
    </w:rPr>
  </w:style>
  <w:style w:type="character" w:customStyle="1" w:styleId="TekstpodstawowyZnak">
    <w:name w:val="Tekst podstawowy Znak"/>
    <w:basedOn w:val="Domylnaczcionkaakapitu"/>
    <w:link w:val="Tekstpodstawowy"/>
    <w:rsid w:val="00471E6B"/>
    <w:rPr>
      <w:rFonts w:ascii="Times New Roman" w:eastAsia="Times New Roman" w:hAnsi="Times New Roman" w:cs="Times New Roman"/>
      <w:sz w:val="26"/>
      <w:szCs w:val="20"/>
      <w:lang w:eastAsia="pl-PL"/>
    </w:rPr>
  </w:style>
  <w:style w:type="character" w:styleId="Uwydatnienie">
    <w:name w:val="Emphasis"/>
    <w:basedOn w:val="Domylnaczcionkaakapitu"/>
    <w:uiPriority w:val="20"/>
    <w:qFormat/>
    <w:rsid w:val="00A00FBD"/>
    <w:rPr>
      <w:i/>
      <w:iCs/>
    </w:rPr>
  </w:style>
  <w:style w:type="paragraph" w:styleId="Tekstprzypisudolnego">
    <w:name w:val="footnote text"/>
    <w:basedOn w:val="Normalny"/>
    <w:link w:val="TekstprzypisudolnegoZnak"/>
    <w:uiPriority w:val="99"/>
    <w:semiHidden/>
    <w:unhideWhenUsed/>
    <w:rsid w:val="00BC116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162"/>
    <w:rPr>
      <w:kern w:val="2"/>
      <w:sz w:val="20"/>
      <w:szCs w:val="20"/>
      <w14:ligatures w14:val="standardContextual"/>
    </w:rPr>
  </w:style>
  <w:style w:type="character" w:styleId="Odwoanieprzypisudolnego">
    <w:name w:val="footnote reference"/>
    <w:basedOn w:val="Domylnaczcionkaakapitu"/>
    <w:uiPriority w:val="99"/>
    <w:semiHidden/>
    <w:unhideWhenUsed/>
    <w:rsid w:val="00BC1162"/>
    <w:rPr>
      <w:vertAlign w:val="superscript"/>
    </w:rPr>
  </w:style>
  <w:style w:type="character" w:styleId="Hipercze">
    <w:name w:val="Hyperlink"/>
    <w:basedOn w:val="Domylnaczcionkaakapitu"/>
    <w:uiPriority w:val="99"/>
    <w:unhideWhenUsed/>
    <w:rsid w:val="00BC1162"/>
    <w:rPr>
      <w:color w:val="0563C1" w:themeColor="hyperlink"/>
      <w:u w:val="single"/>
    </w:rPr>
  </w:style>
  <w:style w:type="character" w:customStyle="1" w:styleId="Nierozpoznanawzmianka1">
    <w:name w:val="Nierozpoznana wzmianka1"/>
    <w:basedOn w:val="Domylnaczcionkaakapitu"/>
    <w:uiPriority w:val="99"/>
    <w:semiHidden/>
    <w:unhideWhenUsed/>
    <w:rsid w:val="00BC1162"/>
    <w:rPr>
      <w:color w:val="605E5C"/>
      <w:shd w:val="clear" w:color="auto" w:fill="E1DFDD"/>
    </w:rPr>
  </w:style>
  <w:style w:type="paragraph" w:customStyle="1" w:styleId="PKTpunkt">
    <w:name w:val="PKT – punkt"/>
    <w:uiPriority w:val="13"/>
    <w:qFormat/>
    <w:rsid w:val="00A36596"/>
    <w:pPr>
      <w:spacing w:after="0" w:line="360" w:lineRule="auto"/>
      <w:ind w:left="510" w:hanging="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Normalny"/>
    <w:uiPriority w:val="30"/>
    <w:qFormat/>
    <w:rsid w:val="00A36596"/>
    <w:pPr>
      <w:suppressAutoHyphens/>
      <w:autoSpaceDE w:val="0"/>
      <w:autoSpaceDN w:val="0"/>
      <w:adjustRightInd w:val="0"/>
      <w:spacing w:after="0" w:line="360" w:lineRule="auto"/>
      <w:ind w:left="510" w:firstLine="510"/>
      <w:jc w:val="both"/>
    </w:pPr>
    <w:rPr>
      <w:rFonts w:ascii="Times" w:eastAsiaTheme="minorEastAsia" w:hAnsi="Times" w:cs="Arial"/>
      <w:kern w:val="0"/>
      <w:sz w:val="24"/>
      <w:szCs w:val="20"/>
      <w:lang w:eastAsia="pl-PL"/>
      <w14:ligatures w14:val="none"/>
    </w:rPr>
  </w:style>
  <w:style w:type="paragraph" w:customStyle="1" w:styleId="ZLITPKTzmpktliter">
    <w:name w:val="Z_LIT/PKT – zm. pkt literą"/>
    <w:basedOn w:val="PKTpunkt"/>
    <w:uiPriority w:val="47"/>
    <w:qFormat/>
    <w:rsid w:val="0048027D"/>
    <w:pPr>
      <w:ind w:left="1497"/>
    </w:pPr>
  </w:style>
  <w:style w:type="paragraph" w:styleId="Poprawka">
    <w:name w:val="Revision"/>
    <w:hidden/>
    <w:uiPriority w:val="99"/>
    <w:semiHidden/>
    <w:rsid w:val="00977261"/>
    <w:pPr>
      <w:spacing w:after="0" w:line="240" w:lineRule="auto"/>
    </w:pPr>
    <w:rPr>
      <w:kern w:val="2"/>
      <w14:ligatures w14:val="standardContextual"/>
    </w:rPr>
  </w:style>
  <w:style w:type="character" w:customStyle="1" w:styleId="Nagwek1Znak">
    <w:name w:val="Nagłówek 1 Znak"/>
    <w:basedOn w:val="Domylnaczcionkaakapitu"/>
    <w:link w:val="Nagwek1"/>
    <w:uiPriority w:val="9"/>
    <w:rsid w:val="00C21D4B"/>
    <w:rPr>
      <w:rFonts w:ascii="Times New Roman" w:eastAsia="Times New Roman" w:hAnsi="Times New Roman" w:cs="Times New Roman"/>
      <w:b/>
      <w:bCs/>
      <w:kern w:val="36"/>
      <w:sz w:val="48"/>
      <w:szCs w:val="48"/>
      <w:lang w:eastAsia="pl-PL"/>
    </w:rPr>
  </w:style>
  <w:style w:type="paragraph" w:customStyle="1" w:styleId="USTustnpkodeksu">
    <w:name w:val="UST(§) – ust. (§ np. kodeksu)"/>
    <w:basedOn w:val="Normalny"/>
    <w:uiPriority w:val="12"/>
    <w:qFormat/>
    <w:rsid w:val="00C21D4B"/>
    <w:pPr>
      <w:suppressAutoHyphens/>
      <w:autoSpaceDE w:val="0"/>
      <w:autoSpaceDN w:val="0"/>
      <w:adjustRightInd w:val="0"/>
      <w:spacing w:after="0" w:line="360" w:lineRule="auto"/>
      <w:ind w:firstLine="510"/>
      <w:jc w:val="both"/>
    </w:pPr>
    <w:rPr>
      <w:rFonts w:ascii="Times" w:eastAsia="Times New Roman" w:hAnsi="Times" w:cs="Arial"/>
      <w:bCs/>
      <w:kern w:val="0"/>
      <w:sz w:val="24"/>
      <w:szCs w:val="20"/>
      <w:lang w:eastAsia="pl-PL"/>
      <w14:ligatures w14:val="none"/>
    </w:rPr>
  </w:style>
  <w:style w:type="paragraph" w:customStyle="1" w:styleId="CM1">
    <w:name w:val="CM1"/>
    <w:basedOn w:val="Normalny"/>
    <w:next w:val="Normalny"/>
    <w:uiPriority w:val="99"/>
    <w:rsid w:val="00C21D4B"/>
    <w:pPr>
      <w:autoSpaceDE w:val="0"/>
      <w:autoSpaceDN w:val="0"/>
      <w:adjustRightInd w:val="0"/>
      <w:spacing w:after="0" w:line="240" w:lineRule="auto"/>
    </w:pPr>
    <w:rPr>
      <w:rFonts w:ascii="EU Albertina" w:hAnsi="EU Albertina"/>
      <w:kern w:val="0"/>
      <w:sz w:val="24"/>
      <w:szCs w:val="24"/>
      <w14:ligatures w14:val="none"/>
    </w:rPr>
  </w:style>
  <w:style w:type="paragraph" w:customStyle="1" w:styleId="CM3">
    <w:name w:val="CM3"/>
    <w:basedOn w:val="Normalny"/>
    <w:next w:val="Normalny"/>
    <w:uiPriority w:val="99"/>
    <w:rsid w:val="00C21D4B"/>
    <w:pPr>
      <w:autoSpaceDE w:val="0"/>
      <w:autoSpaceDN w:val="0"/>
      <w:adjustRightInd w:val="0"/>
      <w:spacing w:after="0" w:line="240" w:lineRule="auto"/>
    </w:pPr>
    <w:rPr>
      <w:rFonts w:ascii="EU Albertina" w:hAnsi="EU Albertina"/>
      <w:kern w:val="0"/>
      <w:sz w:val="24"/>
      <w:szCs w:val="24"/>
      <w14:ligatures w14:val="none"/>
    </w:rPr>
  </w:style>
  <w:style w:type="paragraph" w:customStyle="1" w:styleId="CM4">
    <w:name w:val="CM4"/>
    <w:basedOn w:val="Normalny"/>
    <w:next w:val="Normalny"/>
    <w:uiPriority w:val="99"/>
    <w:rsid w:val="00C21D4B"/>
    <w:pPr>
      <w:autoSpaceDE w:val="0"/>
      <w:autoSpaceDN w:val="0"/>
      <w:adjustRightInd w:val="0"/>
      <w:spacing w:after="0" w:line="240" w:lineRule="auto"/>
    </w:pPr>
    <w:rPr>
      <w:rFonts w:ascii="EU Albertina" w:hAnsi="EU Albertina"/>
      <w:kern w:val="0"/>
      <w:sz w:val="24"/>
      <w:szCs w:val="24"/>
      <w14:ligatures w14:val="none"/>
    </w:rPr>
  </w:style>
  <w:style w:type="numbering" w:customStyle="1" w:styleId="Bezlisty1">
    <w:name w:val="Bez listy1"/>
    <w:next w:val="Bezlisty"/>
    <w:uiPriority w:val="99"/>
    <w:semiHidden/>
    <w:unhideWhenUsed/>
    <w:rsid w:val="00C21D4B"/>
  </w:style>
  <w:style w:type="paragraph" w:styleId="NormalnyWeb">
    <w:name w:val="Normal (Web)"/>
    <w:basedOn w:val="Normalny"/>
    <w:uiPriority w:val="99"/>
    <w:unhideWhenUsed/>
    <w:rsid w:val="00C21D4B"/>
    <w:pPr>
      <w:spacing w:line="259" w:lineRule="auto"/>
    </w:pPr>
    <w:rPr>
      <w:rFonts w:ascii="Times New Roman" w:hAnsi="Times New Roman" w:cs="Times New Roman"/>
      <w:kern w:val="0"/>
      <w:sz w:val="24"/>
      <w:szCs w:val="24"/>
      <w14:ligatures w14:val="none"/>
    </w:rPr>
  </w:style>
  <w:style w:type="paragraph" w:customStyle="1" w:styleId="SrodtytulpismaMF">
    <w:name w:val="Srodtytul pisma MF"/>
    <w:basedOn w:val="Normalny"/>
    <w:link w:val="SrodtytulpismaMFZnak"/>
    <w:qFormat/>
    <w:rsid w:val="00C21D4B"/>
    <w:pPr>
      <w:keepNext/>
      <w:spacing w:before="240" w:after="0" w:line="300" w:lineRule="exact"/>
      <w:contextualSpacing/>
      <w:jc w:val="both"/>
    </w:pPr>
    <w:rPr>
      <w:rFonts w:ascii="Lato" w:hAnsi="Lato"/>
      <w:b/>
      <w:kern w:val="0"/>
      <w:sz w:val="26"/>
      <w14:ligatures w14:val="none"/>
    </w:rPr>
  </w:style>
  <w:style w:type="character" w:customStyle="1" w:styleId="SrodtytulpismaMFZnak">
    <w:name w:val="Srodtytul pisma MF Znak"/>
    <w:link w:val="SrodtytulpismaMF"/>
    <w:rsid w:val="00C21D4B"/>
    <w:rPr>
      <w:rFonts w:ascii="Lato" w:hAnsi="Lato"/>
      <w:b/>
      <w:sz w:val="26"/>
    </w:rPr>
  </w:style>
  <w:style w:type="paragraph" w:customStyle="1" w:styleId="ARTartustawynprozporzdzenia">
    <w:name w:val="ART(§) – art. ustawy (§ np. rozporządzenia)"/>
    <w:uiPriority w:val="11"/>
    <w:qFormat/>
    <w:rsid w:val="00C21D4B"/>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IGindeksgrny">
    <w:name w:val="_IG_ – indeks górny"/>
    <w:basedOn w:val="Domylnaczcionkaakapitu"/>
    <w:uiPriority w:val="2"/>
    <w:qFormat/>
    <w:rsid w:val="00C21D4B"/>
    <w:rPr>
      <w:b w:val="0"/>
      <w:i w:val="0"/>
      <w:vanish w:val="0"/>
      <w:spacing w:val="0"/>
      <w:vertAlign w:val="superscript"/>
    </w:rPr>
  </w:style>
  <w:style w:type="paragraph" w:customStyle="1" w:styleId="LITlitera">
    <w:name w:val="LIT – litera"/>
    <w:basedOn w:val="Normalny"/>
    <w:uiPriority w:val="14"/>
    <w:qFormat/>
    <w:rsid w:val="00C21D4B"/>
    <w:pPr>
      <w:spacing w:after="0" w:line="360" w:lineRule="auto"/>
      <w:ind w:left="986" w:hanging="476"/>
      <w:jc w:val="both"/>
    </w:pPr>
    <w:rPr>
      <w:rFonts w:ascii="Times" w:eastAsiaTheme="minorEastAsia" w:hAnsi="Times" w:cs="Arial"/>
      <w:bCs/>
      <w:kern w:val="0"/>
      <w:sz w:val="24"/>
      <w:szCs w:val="20"/>
      <w:lang w:eastAsia="pl-PL"/>
      <w14:ligatures w14:val="none"/>
    </w:rPr>
  </w:style>
  <w:style w:type="paragraph" w:styleId="Tekstdymka">
    <w:name w:val="Balloon Text"/>
    <w:basedOn w:val="Normalny"/>
    <w:link w:val="TekstdymkaZnak"/>
    <w:uiPriority w:val="99"/>
    <w:semiHidden/>
    <w:unhideWhenUsed/>
    <w:rsid w:val="009A679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679B"/>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98779">
      <w:bodyDiv w:val="1"/>
      <w:marLeft w:val="0"/>
      <w:marRight w:val="0"/>
      <w:marTop w:val="0"/>
      <w:marBottom w:val="0"/>
      <w:divBdr>
        <w:top w:val="none" w:sz="0" w:space="0" w:color="auto"/>
        <w:left w:val="none" w:sz="0" w:space="0" w:color="auto"/>
        <w:bottom w:val="none" w:sz="0" w:space="0" w:color="auto"/>
        <w:right w:val="none" w:sz="0" w:space="0" w:color="auto"/>
      </w:divBdr>
    </w:div>
    <w:div w:id="157891003">
      <w:bodyDiv w:val="1"/>
      <w:marLeft w:val="0"/>
      <w:marRight w:val="0"/>
      <w:marTop w:val="0"/>
      <w:marBottom w:val="0"/>
      <w:divBdr>
        <w:top w:val="none" w:sz="0" w:space="0" w:color="auto"/>
        <w:left w:val="none" w:sz="0" w:space="0" w:color="auto"/>
        <w:bottom w:val="none" w:sz="0" w:space="0" w:color="auto"/>
        <w:right w:val="none" w:sz="0" w:space="0" w:color="auto"/>
      </w:divBdr>
    </w:div>
    <w:div w:id="223417567">
      <w:bodyDiv w:val="1"/>
      <w:marLeft w:val="0"/>
      <w:marRight w:val="0"/>
      <w:marTop w:val="0"/>
      <w:marBottom w:val="0"/>
      <w:divBdr>
        <w:top w:val="none" w:sz="0" w:space="0" w:color="auto"/>
        <w:left w:val="none" w:sz="0" w:space="0" w:color="auto"/>
        <w:bottom w:val="none" w:sz="0" w:space="0" w:color="auto"/>
        <w:right w:val="none" w:sz="0" w:space="0" w:color="auto"/>
      </w:divBdr>
    </w:div>
    <w:div w:id="304051588">
      <w:bodyDiv w:val="1"/>
      <w:marLeft w:val="0"/>
      <w:marRight w:val="0"/>
      <w:marTop w:val="0"/>
      <w:marBottom w:val="0"/>
      <w:divBdr>
        <w:top w:val="none" w:sz="0" w:space="0" w:color="auto"/>
        <w:left w:val="none" w:sz="0" w:space="0" w:color="auto"/>
        <w:bottom w:val="none" w:sz="0" w:space="0" w:color="auto"/>
        <w:right w:val="none" w:sz="0" w:space="0" w:color="auto"/>
      </w:divBdr>
    </w:div>
    <w:div w:id="376782902">
      <w:bodyDiv w:val="1"/>
      <w:marLeft w:val="0"/>
      <w:marRight w:val="0"/>
      <w:marTop w:val="0"/>
      <w:marBottom w:val="0"/>
      <w:divBdr>
        <w:top w:val="none" w:sz="0" w:space="0" w:color="auto"/>
        <w:left w:val="none" w:sz="0" w:space="0" w:color="auto"/>
        <w:bottom w:val="none" w:sz="0" w:space="0" w:color="auto"/>
        <w:right w:val="none" w:sz="0" w:space="0" w:color="auto"/>
      </w:divBdr>
    </w:div>
    <w:div w:id="414254659">
      <w:bodyDiv w:val="1"/>
      <w:marLeft w:val="0"/>
      <w:marRight w:val="0"/>
      <w:marTop w:val="0"/>
      <w:marBottom w:val="0"/>
      <w:divBdr>
        <w:top w:val="none" w:sz="0" w:space="0" w:color="auto"/>
        <w:left w:val="none" w:sz="0" w:space="0" w:color="auto"/>
        <w:bottom w:val="none" w:sz="0" w:space="0" w:color="auto"/>
        <w:right w:val="none" w:sz="0" w:space="0" w:color="auto"/>
      </w:divBdr>
    </w:div>
    <w:div w:id="573710324">
      <w:bodyDiv w:val="1"/>
      <w:marLeft w:val="0"/>
      <w:marRight w:val="0"/>
      <w:marTop w:val="0"/>
      <w:marBottom w:val="0"/>
      <w:divBdr>
        <w:top w:val="none" w:sz="0" w:space="0" w:color="auto"/>
        <w:left w:val="none" w:sz="0" w:space="0" w:color="auto"/>
        <w:bottom w:val="none" w:sz="0" w:space="0" w:color="auto"/>
        <w:right w:val="none" w:sz="0" w:space="0" w:color="auto"/>
      </w:divBdr>
    </w:div>
    <w:div w:id="723529812">
      <w:bodyDiv w:val="1"/>
      <w:marLeft w:val="0"/>
      <w:marRight w:val="0"/>
      <w:marTop w:val="0"/>
      <w:marBottom w:val="0"/>
      <w:divBdr>
        <w:top w:val="none" w:sz="0" w:space="0" w:color="auto"/>
        <w:left w:val="none" w:sz="0" w:space="0" w:color="auto"/>
        <w:bottom w:val="none" w:sz="0" w:space="0" w:color="auto"/>
        <w:right w:val="none" w:sz="0" w:space="0" w:color="auto"/>
      </w:divBdr>
    </w:div>
    <w:div w:id="783229521">
      <w:bodyDiv w:val="1"/>
      <w:marLeft w:val="0"/>
      <w:marRight w:val="0"/>
      <w:marTop w:val="0"/>
      <w:marBottom w:val="0"/>
      <w:divBdr>
        <w:top w:val="none" w:sz="0" w:space="0" w:color="auto"/>
        <w:left w:val="none" w:sz="0" w:space="0" w:color="auto"/>
        <w:bottom w:val="none" w:sz="0" w:space="0" w:color="auto"/>
        <w:right w:val="none" w:sz="0" w:space="0" w:color="auto"/>
      </w:divBdr>
    </w:div>
    <w:div w:id="840782060">
      <w:bodyDiv w:val="1"/>
      <w:marLeft w:val="0"/>
      <w:marRight w:val="0"/>
      <w:marTop w:val="0"/>
      <w:marBottom w:val="0"/>
      <w:divBdr>
        <w:top w:val="none" w:sz="0" w:space="0" w:color="auto"/>
        <w:left w:val="none" w:sz="0" w:space="0" w:color="auto"/>
        <w:bottom w:val="none" w:sz="0" w:space="0" w:color="auto"/>
        <w:right w:val="none" w:sz="0" w:space="0" w:color="auto"/>
      </w:divBdr>
    </w:div>
    <w:div w:id="1116024586">
      <w:bodyDiv w:val="1"/>
      <w:marLeft w:val="0"/>
      <w:marRight w:val="0"/>
      <w:marTop w:val="0"/>
      <w:marBottom w:val="0"/>
      <w:divBdr>
        <w:top w:val="none" w:sz="0" w:space="0" w:color="auto"/>
        <w:left w:val="none" w:sz="0" w:space="0" w:color="auto"/>
        <w:bottom w:val="none" w:sz="0" w:space="0" w:color="auto"/>
        <w:right w:val="none" w:sz="0" w:space="0" w:color="auto"/>
      </w:divBdr>
    </w:div>
    <w:div w:id="1123958710">
      <w:bodyDiv w:val="1"/>
      <w:marLeft w:val="0"/>
      <w:marRight w:val="0"/>
      <w:marTop w:val="0"/>
      <w:marBottom w:val="0"/>
      <w:divBdr>
        <w:top w:val="none" w:sz="0" w:space="0" w:color="auto"/>
        <w:left w:val="none" w:sz="0" w:space="0" w:color="auto"/>
        <w:bottom w:val="none" w:sz="0" w:space="0" w:color="auto"/>
        <w:right w:val="none" w:sz="0" w:space="0" w:color="auto"/>
      </w:divBdr>
    </w:div>
    <w:div w:id="1208447361">
      <w:bodyDiv w:val="1"/>
      <w:marLeft w:val="0"/>
      <w:marRight w:val="0"/>
      <w:marTop w:val="0"/>
      <w:marBottom w:val="0"/>
      <w:divBdr>
        <w:top w:val="none" w:sz="0" w:space="0" w:color="auto"/>
        <w:left w:val="none" w:sz="0" w:space="0" w:color="auto"/>
        <w:bottom w:val="none" w:sz="0" w:space="0" w:color="auto"/>
        <w:right w:val="none" w:sz="0" w:space="0" w:color="auto"/>
      </w:divBdr>
    </w:div>
    <w:div w:id="1277565837">
      <w:bodyDiv w:val="1"/>
      <w:marLeft w:val="0"/>
      <w:marRight w:val="0"/>
      <w:marTop w:val="0"/>
      <w:marBottom w:val="0"/>
      <w:divBdr>
        <w:top w:val="none" w:sz="0" w:space="0" w:color="auto"/>
        <w:left w:val="none" w:sz="0" w:space="0" w:color="auto"/>
        <w:bottom w:val="none" w:sz="0" w:space="0" w:color="auto"/>
        <w:right w:val="none" w:sz="0" w:space="0" w:color="auto"/>
      </w:divBdr>
    </w:div>
    <w:div w:id="1337225009">
      <w:bodyDiv w:val="1"/>
      <w:marLeft w:val="0"/>
      <w:marRight w:val="0"/>
      <w:marTop w:val="0"/>
      <w:marBottom w:val="0"/>
      <w:divBdr>
        <w:top w:val="none" w:sz="0" w:space="0" w:color="auto"/>
        <w:left w:val="none" w:sz="0" w:space="0" w:color="auto"/>
        <w:bottom w:val="none" w:sz="0" w:space="0" w:color="auto"/>
        <w:right w:val="none" w:sz="0" w:space="0" w:color="auto"/>
      </w:divBdr>
    </w:div>
    <w:div w:id="1476995011">
      <w:bodyDiv w:val="1"/>
      <w:marLeft w:val="0"/>
      <w:marRight w:val="0"/>
      <w:marTop w:val="0"/>
      <w:marBottom w:val="0"/>
      <w:divBdr>
        <w:top w:val="none" w:sz="0" w:space="0" w:color="auto"/>
        <w:left w:val="none" w:sz="0" w:space="0" w:color="auto"/>
        <w:bottom w:val="none" w:sz="0" w:space="0" w:color="auto"/>
        <w:right w:val="none" w:sz="0" w:space="0" w:color="auto"/>
      </w:divBdr>
    </w:div>
    <w:div w:id="1489438960">
      <w:bodyDiv w:val="1"/>
      <w:marLeft w:val="0"/>
      <w:marRight w:val="0"/>
      <w:marTop w:val="0"/>
      <w:marBottom w:val="0"/>
      <w:divBdr>
        <w:top w:val="none" w:sz="0" w:space="0" w:color="auto"/>
        <w:left w:val="none" w:sz="0" w:space="0" w:color="auto"/>
        <w:bottom w:val="none" w:sz="0" w:space="0" w:color="auto"/>
        <w:right w:val="none" w:sz="0" w:space="0" w:color="auto"/>
      </w:divBdr>
    </w:div>
    <w:div w:id="1496874954">
      <w:bodyDiv w:val="1"/>
      <w:marLeft w:val="0"/>
      <w:marRight w:val="0"/>
      <w:marTop w:val="0"/>
      <w:marBottom w:val="0"/>
      <w:divBdr>
        <w:top w:val="none" w:sz="0" w:space="0" w:color="auto"/>
        <w:left w:val="none" w:sz="0" w:space="0" w:color="auto"/>
        <w:bottom w:val="none" w:sz="0" w:space="0" w:color="auto"/>
        <w:right w:val="none" w:sz="0" w:space="0" w:color="auto"/>
      </w:divBdr>
    </w:div>
    <w:div w:id="1550338566">
      <w:bodyDiv w:val="1"/>
      <w:marLeft w:val="0"/>
      <w:marRight w:val="0"/>
      <w:marTop w:val="0"/>
      <w:marBottom w:val="0"/>
      <w:divBdr>
        <w:top w:val="none" w:sz="0" w:space="0" w:color="auto"/>
        <w:left w:val="none" w:sz="0" w:space="0" w:color="auto"/>
        <w:bottom w:val="none" w:sz="0" w:space="0" w:color="auto"/>
        <w:right w:val="none" w:sz="0" w:space="0" w:color="auto"/>
      </w:divBdr>
    </w:div>
    <w:div w:id="1567107655">
      <w:bodyDiv w:val="1"/>
      <w:marLeft w:val="0"/>
      <w:marRight w:val="0"/>
      <w:marTop w:val="0"/>
      <w:marBottom w:val="0"/>
      <w:divBdr>
        <w:top w:val="none" w:sz="0" w:space="0" w:color="auto"/>
        <w:left w:val="none" w:sz="0" w:space="0" w:color="auto"/>
        <w:bottom w:val="none" w:sz="0" w:space="0" w:color="auto"/>
        <w:right w:val="none" w:sz="0" w:space="0" w:color="auto"/>
      </w:divBdr>
    </w:div>
    <w:div w:id="1716807663">
      <w:bodyDiv w:val="1"/>
      <w:marLeft w:val="0"/>
      <w:marRight w:val="0"/>
      <w:marTop w:val="0"/>
      <w:marBottom w:val="0"/>
      <w:divBdr>
        <w:top w:val="none" w:sz="0" w:space="0" w:color="auto"/>
        <w:left w:val="none" w:sz="0" w:space="0" w:color="auto"/>
        <w:bottom w:val="none" w:sz="0" w:space="0" w:color="auto"/>
        <w:right w:val="none" w:sz="0" w:space="0" w:color="auto"/>
      </w:divBdr>
    </w:div>
    <w:div w:id="1783962028">
      <w:bodyDiv w:val="1"/>
      <w:marLeft w:val="0"/>
      <w:marRight w:val="0"/>
      <w:marTop w:val="0"/>
      <w:marBottom w:val="0"/>
      <w:divBdr>
        <w:top w:val="none" w:sz="0" w:space="0" w:color="auto"/>
        <w:left w:val="none" w:sz="0" w:space="0" w:color="auto"/>
        <w:bottom w:val="none" w:sz="0" w:space="0" w:color="auto"/>
        <w:right w:val="none" w:sz="0" w:space="0" w:color="auto"/>
      </w:divBdr>
    </w:div>
    <w:div w:id="1931111337">
      <w:bodyDiv w:val="1"/>
      <w:marLeft w:val="0"/>
      <w:marRight w:val="0"/>
      <w:marTop w:val="0"/>
      <w:marBottom w:val="0"/>
      <w:divBdr>
        <w:top w:val="none" w:sz="0" w:space="0" w:color="auto"/>
        <w:left w:val="none" w:sz="0" w:space="0" w:color="auto"/>
        <w:bottom w:val="none" w:sz="0" w:space="0" w:color="auto"/>
        <w:right w:val="none" w:sz="0" w:space="0" w:color="auto"/>
      </w:divBdr>
    </w:div>
    <w:div w:id="1949895889">
      <w:bodyDiv w:val="1"/>
      <w:marLeft w:val="0"/>
      <w:marRight w:val="0"/>
      <w:marTop w:val="0"/>
      <w:marBottom w:val="0"/>
      <w:divBdr>
        <w:top w:val="none" w:sz="0" w:space="0" w:color="auto"/>
        <w:left w:val="none" w:sz="0" w:space="0" w:color="auto"/>
        <w:bottom w:val="none" w:sz="0" w:space="0" w:color="auto"/>
        <w:right w:val="none" w:sz="0" w:space="0" w:color="auto"/>
      </w:divBdr>
    </w:div>
    <w:div w:id="1986156287">
      <w:bodyDiv w:val="1"/>
      <w:marLeft w:val="0"/>
      <w:marRight w:val="0"/>
      <w:marTop w:val="0"/>
      <w:marBottom w:val="0"/>
      <w:divBdr>
        <w:top w:val="none" w:sz="0" w:space="0" w:color="auto"/>
        <w:left w:val="none" w:sz="0" w:space="0" w:color="auto"/>
        <w:bottom w:val="none" w:sz="0" w:space="0" w:color="auto"/>
        <w:right w:val="none" w:sz="0" w:space="0" w:color="auto"/>
      </w:divBdr>
    </w:div>
    <w:div w:id="2050228680">
      <w:bodyDiv w:val="1"/>
      <w:marLeft w:val="0"/>
      <w:marRight w:val="0"/>
      <w:marTop w:val="0"/>
      <w:marBottom w:val="0"/>
      <w:divBdr>
        <w:top w:val="none" w:sz="0" w:space="0" w:color="auto"/>
        <w:left w:val="none" w:sz="0" w:space="0" w:color="auto"/>
        <w:bottom w:val="none" w:sz="0" w:space="0" w:color="auto"/>
        <w:right w:val="none" w:sz="0" w:space="0" w:color="auto"/>
      </w:divBdr>
    </w:div>
    <w:div w:id="20963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24704-4B23-4143-B747-C3608AD1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43955</Words>
  <Characters>263731</Characters>
  <Application>Microsoft Office Word</Application>
  <DocSecurity>0</DocSecurity>
  <Lines>2197</Lines>
  <Paragraphs>614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2026-05-05T14:55:00Z</dcterms:created>
  <dcterms:modified xsi:type="dcterms:W3CDTF">2026-05-06T09:46:00Z</dcterms:modified>
</cp:coreProperties>
</file>