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8B16" w14:textId="2A6AB8E7" w:rsidR="00BE4335" w:rsidRPr="0061583D" w:rsidRDefault="00BE4335" w:rsidP="009C520B">
      <w:pPr>
        <w:pStyle w:val="OZNPROJEKTUwskazaniedatylubwersjiprojektu"/>
        <w:keepNext/>
      </w:pPr>
      <w:r w:rsidRPr="0061583D">
        <w:t>Projekt</w:t>
      </w:r>
    </w:p>
    <w:p w14:paraId="7C2E583C" w14:textId="2B3BC8F1" w:rsidR="0044751C" w:rsidRPr="0061583D" w:rsidRDefault="0044751C" w:rsidP="00BE4335">
      <w:pPr>
        <w:pStyle w:val="OZNRODZAKTUtznustawalubrozporzdzenieiorganwydajcy"/>
      </w:pPr>
      <w:r w:rsidRPr="0061583D">
        <w:t>USTAWA</w:t>
      </w:r>
    </w:p>
    <w:p w14:paraId="18FBE345" w14:textId="70509B66" w:rsidR="0044751C" w:rsidRPr="0061583D" w:rsidRDefault="0044751C" w:rsidP="00BE4335">
      <w:pPr>
        <w:pStyle w:val="DATAAKTUdatauchwalenialubwydaniaaktu"/>
      </w:pPr>
      <w:r w:rsidRPr="0061583D">
        <w:t>z dnia … 2026 r.</w:t>
      </w:r>
    </w:p>
    <w:p w14:paraId="124A9015" w14:textId="3E0A537F" w:rsidR="0044751C" w:rsidRPr="0061583D" w:rsidRDefault="0044751C" w:rsidP="0061583D">
      <w:pPr>
        <w:pStyle w:val="TYTUAKTUprzedmiotregulacjiustawylubrozporzdzenia"/>
      </w:pPr>
      <w:r w:rsidRPr="0061583D">
        <w:t xml:space="preserve">o </w:t>
      </w:r>
      <w:r w:rsidR="00BE4335" w:rsidRPr="0061583D">
        <w:t>kryptoaktywach</w:t>
      </w:r>
      <w:r w:rsidR="00BE4335" w:rsidRPr="0061583D">
        <w:rPr>
          <w:rStyle w:val="IGindeksgrny"/>
        </w:rPr>
        <w:footnoteReference w:id="1"/>
      </w:r>
      <w:r w:rsidR="00BE4335" w:rsidRPr="0061583D">
        <w:rPr>
          <w:rStyle w:val="IGindeksgrny"/>
        </w:rPr>
        <w:t>)</w:t>
      </w:r>
      <w:r w:rsidR="009C520B" w:rsidRPr="0061583D">
        <w:rPr>
          <w:rStyle w:val="IGindeksgrny"/>
        </w:rPr>
        <w:t xml:space="preserve">, </w:t>
      </w:r>
      <w:r w:rsidR="00BE4335" w:rsidRPr="0061583D">
        <w:rPr>
          <w:rStyle w:val="IGindeksgrny"/>
        </w:rPr>
        <w:footnoteReference w:id="2"/>
      </w:r>
      <w:r w:rsidR="00BE4335" w:rsidRPr="0061583D">
        <w:rPr>
          <w:rStyle w:val="IGindeksgrny"/>
        </w:rPr>
        <w:t>)</w:t>
      </w:r>
    </w:p>
    <w:p w14:paraId="312EDFA1" w14:textId="77777777" w:rsidR="00BC00EF" w:rsidRPr="0061583D" w:rsidRDefault="0044751C" w:rsidP="0061583D">
      <w:pPr>
        <w:pStyle w:val="ROZDZODDZOZNoznaczenierozdziauluboddziau"/>
      </w:pPr>
      <w:r w:rsidRPr="0061583D">
        <w:t>Rozdział 1</w:t>
      </w:r>
    </w:p>
    <w:p w14:paraId="230920CD" w14:textId="7A97EB68" w:rsidR="0044751C" w:rsidRPr="0061583D" w:rsidRDefault="0044751C" w:rsidP="0061583D">
      <w:pPr>
        <w:pStyle w:val="ROZDZODDZPRZEDMprzedmiotregulacjirozdziauluboddziau"/>
      </w:pPr>
      <w:r w:rsidRPr="0061583D">
        <w:t>Przepisy ogólne</w:t>
      </w:r>
    </w:p>
    <w:p w14:paraId="3870AA8A" w14:textId="7E4A892F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1.</w:t>
      </w:r>
      <w:r w:rsidR="0061583D" w:rsidRPr="0061583D">
        <w:t> </w:t>
      </w:r>
      <w:r w:rsidRPr="0061583D">
        <w:t xml:space="preserve">Ustawa określa </w:t>
      </w:r>
      <w:r w:rsidR="004949FF" w:rsidRPr="0061583D">
        <w:t xml:space="preserve">właściwy organ w rozumieniu art. 93 ust. 1 MiCA </w:t>
      </w:r>
      <w:r w:rsidRPr="0061583D">
        <w:t>oraz niezbędne przepisy proceduralne służące</w:t>
      </w:r>
      <w:r w:rsidR="004949FF" w:rsidRPr="0061583D">
        <w:t xml:space="preserve"> stosowaniu MiCA</w:t>
      </w:r>
      <w:r w:rsidRPr="0061583D">
        <w:t xml:space="preserve"> na terytorium Rzeczypospolitej Polskiej.</w:t>
      </w:r>
    </w:p>
    <w:p w14:paraId="4267BDE4" w14:textId="1A0AE3A9" w:rsidR="0044751C" w:rsidRPr="0061583D" w:rsidRDefault="0044751C" w:rsidP="0061583D">
      <w:pPr>
        <w:pStyle w:val="ARTartustawynprozporzdzenia"/>
        <w:keepNext/>
      </w:pPr>
      <w:r w:rsidRPr="00C526B2">
        <w:rPr>
          <w:rStyle w:val="Ppogrubienie"/>
        </w:rPr>
        <w:t>Art.</w:t>
      </w:r>
      <w:r w:rsidR="0061583D" w:rsidRPr="00C526B2">
        <w:rPr>
          <w:rStyle w:val="Ppogrubienie"/>
        </w:rPr>
        <w:t> </w:t>
      </w:r>
      <w:r w:rsidRPr="00C526B2">
        <w:rPr>
          <w:rStyle w:val="Ppogrubienie"/>
        </w:rPr>
        <w:t>2.</w:t>
      </w:r>
      <w:r w:rsidR="0061583D" w:rsidRPr="0061583D">
        <w:t> </w:t>
      </w:r>
      <w:r w:rsidR="002D46B6" w:rsidRPr="0061583D">
        <w:t>1.</w:t>
      </w:r>
      <w:r w:rsidR="00C526B2">
        <w:t xml:space="preserve"> </w:t>
      </w:r>
      <w:r w:rsidRPr="0061583D">
        <w:t>Ilekroć w ustawie jest mowa o:</w:t>
      </w:r>
    </w:p>
    <w:p w14:paraId="20ECA9A0" w14:textId="26B0D4B6" w:rsidR="0044751C" w:rsidRPr="0061583D" w:rsidRDefault="009C520B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 xml:space="preserve">MiCA – </w:t>
      </w:r>
      <w:r w:rsidR="00C86217" w:rsidRPr="0061583D">
        <w:t>rozumie się przez to rozporządzenie Parlamentu Europejskiego i Rady (UE) 2023/1114 z dnia 31 maja 2023 r. w sprawie rynków kryptoaktywów oraz zmiany rozporządzeń (UE) nr 1093/2010 i (UE) nr 1095/2010 oraz dyrektyw 2013/36/UE i (UE) 2019/1937 (Dz. Urz. UE L 150 z 09.06.2023, str. 40, z późn. zm.</w:t>
      </w:r>
      <w:r w:rsidR="00C86217" w:rsidRPr="0061583D">
        <w:rPr>
          <w:rStyle w:val="Odwoanieprzypisudolnego"/>
        </w:rPr>
        <w:footnoteReference w:id="3"/>
      </w:r>
      <w:r w:rsidR="00C86217" w:rsidRPr="0061583D">
        <w:rPr>
          <w:rStyle w:val="IGindeksgrny"/>
        </w:rPr>
        <w:t>)</w:t>
      </w:r>
      <w:r w:rsidR="0044751C" w:rsidRPr="0061583D">
        <w:t>;</w:t>
      </w:r>
    </w:p>
    <w:p w14:paraId="323411C7" w14:textId="05CAAA6A" w:rsidR="0044751C" w:rsidRPr="0061583D" w:rsidRDefault="00C86217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KNF – rozumie się przez to Komisję Nadzoru Finansowego;</w:t>
      </w:r>
    </w:p>
    <w:p w14:paraId="129AD10B" w14:textId="33C7568F" w:rsidR="0044751C" w:rsidRPr="0061583D" w:rsidRDefault="00C86217" w:rsidP="0061583D">
      <w:pPr>
        <w:pStyle w:val="PKTpunkt"/>
      </w:pPr>
      <w:r w:rsidRPr="0061583D">
        <w:t>3)</w:t>
      </w:r>
      <w:r w:rsidR="0061583D" w:rsidRPr="0061583D">
        <w:tab/>
      </w:r>
      <w:r w:rsidR="0044751C" w:rsidRPr="0061583D">
        <w:t>EBA – rozumie się przez to Europejski Urząd Nadzoru Bankowego;</w:t>
      </w:r>
    </w:p>
    <w:p w14:paraId="58524CFD" w14:textId="04DC7997" w:rsidR="0044751C" w:rsidRPr="0061583D" w:rsidRDefault="00C86217" w:rsidP="0061583D">
      <w:pPr>
        <w:pStyle w:val="PKTpunkt"/>
      </w:pPr>
      <w:r w:rsidRPr="0061583D">
        <w:t>4)</w:t>
      </w:r>
      <w:r w:rsidR="0061583D" w:rsidRPr="0061583D">
        <w:tab/>
      </w:r>
      <w:r w:rsidR="0044751C" w:rsidRPr="0061583D">
        <w:t>ESMA – rozumie się przez to Europejski Urząd Nadzoru Giełd i Papierów Wartościowych</w:t>
      </w:r>
      <w:r w:rsidRPr="0061583D">
        <w:t>.</w:t>
      </w:r>
    </w:p>
    <w:p w14:paraId="4DE783FF" w14:textId="1397B663" w:rsidR="002D46B6" w:rsidRPr="0061583D" w:rsidRDefault="002D46B6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Pojęcia użyte w ustawie rozumie się zgodnie ze znaczeniem nadanym im przez MiCA, chyba że ustawa stanowi inaczej.</w:t>
      </w:r>
    </w:p>
    <w:p w14:paraId="67C86EAA" w14:textId="77777777" w:rsidR="00BC00EF" w:rsidRPr="0061583D" w:rsidRDefault="0044751C" w:rsidP="0061583D">
      <w:pPr>
        <w:pStyle w:val="ROZDZODDZOZNoznaczenierozdziauluboddziau"/>
      </w:pPr>
      <w:r w:rsidRPr="0061583D">
        <w:lastRenderedPageBreak/>
        <w:t>Rozdział 2</w:t>
      </w:r>
    </w:p>
    <w:p w14:paraId="3781659B" w14:textId="5404D0ED" w:rsidR="0044751C" w:rsidRPr="0061583D" w:rsidRDefault="0044751C" w:rsidP="0061583D">
      <w:pPr>
        <w:pStyle w:val="ROZDZODDZPRZEDMprzedmiotregulacjirozdziauluboddziau"/>
      </w:pPr>
      <w:r w:rsidRPr="0061583D">
        <w:t>Organ właściwy i współpraca</w:t>
      </w:r>
      <w:r w:rsidR="0053142A" w:rsidRPr="0061583D">
        <w:t xml:space="preserve"> pomiędzy organami</w:t>
      </w:r>
    </w:p>
    <w:p w14:paraId="02088794" w14:textId="729D5A16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3.</w:t>
      </w:r>
      <w:r w:rsidR="0061583D" w:rsidRPr="0061583D">
        <w:t> </w:t>
      </w:r>
      <w:r w:rsidR="0050747F" w:rsidRPr="0061583D">
        <w:t xml:space="preserve">KNF jest właściwym organem </w:t>
      </w:r>
      <w:r w:rsidRPr="0061583D">
        <w:t>w rozumieniu art. 93 ust. 1 MiCA.</w:t>
      </w:r>
    </w:p>
    <w:p w14:paraId="4228B0D4" w14:textId="7852308E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4.</w:t>
      </w:r>
      <w:r w:rsidR="0061583D" w:rsidRPr="0061583D">
        <w:t> </w:t>
      </w:r>
      <w:r w:rsidRPr="0061583D">
        <w:t>1.</w:t>
      </w:r>
      <w:r w:rsidR="005837AA">
        <w:t xml:space="preserve"> </w:t>
      </w:r>
      <w:r w:rsidRPr="0061583D">
        <w:t>KNF wykonuje zadania właściwego organu w rozumieniu</w:t>
      </w:r>
      <w:r w:rsidR="0058158B" w:rsidRPr="0061583D">
        <w:t xml:space="preserve"> przepisów</w:t>
      </w:r>
      <w:r w:rsidRPr="0061583D">
        <w:t xml:space="preserve"> MiCA oraz współpracuje z EBA, ESMA i właściwymi organami innych państw członkowskich zgodnie z </w:t>
      </w:r>
      <w:r w:rsidR="0058158B" w:rsidRPr="0061583D">
        <w:t xml:space="preserve">przepisami </w:t>
      </w:r>
      <w:r w:rsidRPr="0061583D">
        <w:t>MiCA.</w:t>
      </w:r>
    </w:p>
    <w:p w14:paraId="2E147A53" w14:textId="3C68A4A8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 xml:space="preserve">Decyzje EBA nakładające kary pieniężne lub okresowe kary pieniężne na podstawie </w:t>
      </w:r>
      <w:r w:rsidR="0058158B" w:rsidRPr="0061583D">
        <w:t xml:space="preserve">przepisów </w:t>
      </w:r>
      <w:r w:rsidRPr="0061583D">
        <w:t xml:space="preserve">MiCA podlegają wykonaniu na terytorium Rzeczypospolitej Polskiej </w:t>
      </w:r>
      <w:r w:rsidR="0050747F" w:rsidRPr="0061583D">
        <w:t>w trybie przepisów</w:t>
      </w:r>
      <w:r w:rsidRPr="0061583D">
        <w:t xml:space="preserve"> ustawy z dnia 17 listopada 1964 r. – Kodeks postępowania cywilnego</w:t>
      </w:r>
      <w:r w:rsidR="0050747F" w:rsidRPr="0061583D">
        <w:t xml:space="preserve"> (Dz.</w:t>
      </w:r>
      <w:r w:rsidR="004949FF" w:rsidRPr="0061583D">
        <w:t xml:space="preserve"> U. z 2024 r. poz. 1568, 1841, z 2025 r. poz. 620, 1172, 1302, 1518, 1661, z 2026 r. poz. 26)</w:t>
      </w:r>
      <w:r w:rsidRPr="0061583D">
        <w:t>, w zakresie egzekucji świadczeń pieniężnych, na podstawie decyzji EBA wraz z nakazem wykonania, o którym mowa w art. 134 ust. 6 MiCA.</w:t>
      </w:r>
    </w:p>
    <w:p w14:paraId="62A59CAA" w14:textId="67850A8F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Klauzulę wykonalności decyzjom, o których mowa w ust. 2, nadaje Sąd Okręgowy w Warszawie. Sąd bada przesłanki formalne nadania klauzuli wykonalności.</w:t>
      </w:r>
    </w:p>
    <w:p w14:paraId="47024652" w14:textId="0A4D79E3" w:rsidR="0044751C" w:rsidRPr="0061583D" w:rsidRDefault="0044751C" w:rsidP="0061583D">
      <w:pPr>
        <w:pStyle w:val="USTustnpkodeksu"/>
      </w:pPr>
      <w:r w:rsidRPr="0061583D">
        <w:t>4.</w:t>
      </w:r>
      <w:r w:rsidR="0061583D" w:rsidRPr="0061583D">
        <w:t> </w:t>
      </w:r>
      <w:r w:rsidRPr="0061583D">
        <w:t xml:space="preserve">Organem właściwym </w:t>
      </w:r>
      <w:r w:rsidR="004949FF" w:rsidRPr="0061583D">
        <w:t>w sprawach</w:t>
      </w:r>
      <w:r w:rsidRPr="0061583D">
        <w:t xml:space="preserve"> weryfikacji autentyczności decyzji EBA, o których mowa w ust. 2, jest KNF.</w:t>
      </w:r>
    </w:p>
    <w:p w14:paraId="236E6571" w14:textId="1B833F13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5.</w:t>
      </w:r>
      <w:r w:rsidR="0061583D" w:rsidRPr="0061583D">
        <w:t> </w:t>
      </w:r>
      <w:r w:rsidRPr="0061583D">
        <w:t>Do dostawców usług w zakresie kryptoaktywów oraz osób działających w ich imieniu</w:t>
      </w:r>
      <w:r w:rsidR="004949FF" w:rsidRPr="0061583D">
        <w:t xml:space="preserve"> </w:t>
      </w:r>
      <w:r w:rsidRPr="0061583D">
        <w:t xml:space="preserve">stosuje się odpowiednio </w:t>
      </w:r>
      <w:r w:rsidR="00323828" w:rsidRPr="0061583D">
        <w:t xml:space="preserve">przepisy </w:t>
      </w:r>
      <w:r w:rsidRPr="0061583D">
        <w:t>art. 104 i art. 105 ustawy z dnia 29 sierpnia 1997 r. – Prawo</w:t>
      </w:r>
      <w:r w:rsidR="004949FF" w:rsidRPr="0061583D">
        <w:t xml:space="preserve"> </w:t>
      </w:r>
      <w:r w:rsidRPr="0061583D">
        <w:t>bankowe</w:t>
      </w:r>
      <w:r w:rsidR="004949FF" w:rsidRPr="0061583D">
        <w:t xml:space="preserve"> (Dz. U. z 2026 r. poz. 38)</w:t>
      </w:r>
      <w:r w:rsidRPr="0061583D">
        <w:t>.</w:t>
      </w:r>
    </w:p>
    <w:p w14:paraId="6EBDD63D" w14:textId="77777777" w:rsidR="00BC00EF" w:rsidRPr="0061583D" w:rsidRDefault="0044751C" w:rsidP="0061583D">
      <w:pPr>
        <w:pStyle w:val="ROZDZODDZOZNoznaczenierozdziauluboddziau"/>
      </w:pPr>
      <w:r w:rsidRPr="0061583D">
        <w:t>Rozdział 3</w:t>
      </w:r>
    </w:p>
    <w:p w14:paraId="5D366F8C" w14:textId="08AC5450" w:rsidR="0044751C" w:rsidRPr="0061583D" w:rsidRDefault="0044751C" w:rsidP="0061583D">
      <w:pPr>
        <w:pStyle w:val="ROZDZODDZPRZEDMprzedmiotregulacjirozdziauluboddziau"/>
      </w:pPr>
      <w:r w:rsidRPr="0061583D">
        <w:t xml:space="preserve">Postępowanie </w:t>
      </w:r>
      <w:r w:rsidR="0053142A" w:rsidRPr="0061583D">
        <w:t>w sprawach z zakresu MiCA</w:t>
      </w:r>
    </w:p>
    <w:p w14:paraId="17408113" w14:textId="0E3649B2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6.</w:t>
      </w:r>
      <w:r w:rsidR="0061583D" w:rsidRPr="0061583D">
        <w:t> </w:t>
      </w:r>
      <w:r w:rsidRPr="0061583D">
        <w:t>Do postępowań prowadzonych przez KNF w sprawach z zakresu</w:t>
      </w:r>
      <w:r w:rsidR="0058158B" w:rsidRPr="0061583D">
        <w:t xml:space="preserve"> przepisów</w:t>
      </w:r>
      <w:r w:rsidRPr="0061583D">
        <w:t xml:space="preserve"> MiCA</w:t>
      </w:r>
      <w:r w:rsidR="0058158B" w:rsidRPr="0061583D">
        <w:t xml:space="preserve"> </w:t>
      </w:r>
      <w:r w:rsidRPr="0061583D">
        <w:t>stosuje się</w:t>
      </w:r>
      <w:r w:rsidR="00BC00EF" w:rsidRPr="0061583D">
        <w:t xml:space="preserve"> </w:t>
      </w:r>
      <w:r w:rsidRPr="0061583D">
        <w:t>przepisy ustawy z dnia 14 czerwca 1960 r. – Kodeks postępowania</w:t>
      </w:r>
      <w:r w:rsidR="0058158B" w:rsidRPr="0061583D">
        <w:t xml:space="preserve"> </w:t>
      </w:r>
      <w:r w:rsidRPr="0061583D">
        <w:t>administracyjnego</w:t>
      </w:r>
      <w:r w:rsidR="00BC00EF" w:rsidRPr="0061583D">
        <w:t xml:space="preserve"> (Dz. U. z 2025 r. poz. 1691)</w:t>
      </w:r>
      <w:r w:rsidRPr="0061583D">
        <w:t>, a kontrola działalności KNF w tych sprawach odbywa się na</w:t>
      </w:r>
      <w:r w:rsidR="00BC00EF" w:rsidRPr="0061583D">
        <w:t xml:space="preserve"> </w:t>
      </w:r>
      <w:r w:rsidRPr="0061583D">
        <w:t>podstawie przepisów ustawy z dnia 30 sierpnia 2002 r. – Prawo o postępowaniu przed sądami</w:t>
      </w:r>
      <w:r w:rsidR="00BC00EF" w:rsidRPr="0061583D">
        <w:t xml:space="preserve"> </w:t>
      </w:r>
      <w:r w:rsidRPr="0061583D">
        <w:t>administracyjnymi</w:t>
      </w:r>
      <w:r w:rsidR="00BC00EF" w:rsidRPr="0061583D">
        <w:t xml:space="preserve"> (Dz. U. z 2026 r. poz. 143)</w:t>
      </w:r>
      <w:r w:rsidRPr="0061583D">
        <w:t xml:space="preserve">, o ile </w:t>
      </w:r>
      <w:r w:rsidR="0058158B" w:rsidRPr="0061583D">
        <w:t xml:space="preserve">przepisy </w:t>
      </w:r>
      <w:r w:rsidRPr="0061583D">
        <w:t>MiCA nie</w:t>
      </w:r>
      <w:r w:rsidR="0058158B" w:rsidRPr="0061583D">
        <w:t xml:space="preserve"> </w:t>
      </w:r>
      <w:r w:rsidRPr="0061583D">
        <w:t>stanowi</w:t>
      </w:r>
      <w:r w:rsidR="0058158B" w:rsidRPr="0061583D">
        <w:t>ą</w:t>
      </w:r>
      <w:r w:rsidRPr="0061583D">
        <w:t xml:space="preserve"> inaczej.</w:t>
      </w:r>
    </w:p>
    <w:p w14:paraId="33729A32" w14:textId="62D6189A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7.</w:t>
      </w:r>
      <w:r w:rsidR="0061583D" w:rsidRPr="0061583D">
        <w:t> </w:t>
      </w:r>
      <w:r w:rsidRPr="0061583D">
        <w:t xml:space="preserve">W sprawach z zakresu </w:t>
      </w:r>
      <w:r w:rsidR="0058158B" w:rsidRPr="0061583D">
        <w:t xml:space="preserve">przepisów </w:t>
      </w:r>
      <w:r w:rsidRPr="0061583D">
        <w:t>MiCA pisma i dokumenty wnosi się oraz doręcza w postaci</w:t>
      </w:r>
      <w:r w:rsidR="00BC00EF" w:rsidRPr="0061583D">
        <w:t xml:space="preserve"> </w:t>
      </w:r>
      <w:r w:rsidRPr="0061583D">
        <w:t>elektronicznej, chyba że doręczenie albo wniesienie w tej postaci jest niemożliwe z przyczyn</w:t>
      </w:r>
      <w:r w:rsidR="00BC00EF" w:rsidRPr="0061583D">
        <w:t xml:space="preserve"> </w:t>
      </w:r>
      <w:r w:rsidRPr="0061583D">
        <w:t>technicznych.</w:t>
      </w:r>
    </w:p>
    <w:p w14:paraId="5E55ECB7" w14:textId="615C4B1B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lastRenderedPageBreak/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8.</w:t>
      </w:r>
      <w:r w:rsidR="0061583D" w:rsidRPr="0061583D">
        <w:t> </w:t>
      </w:r>
      <w:r w:rsidRPr="0061583D">
        <w:t>1.</w:t>
      </w:r>
      <w:r w:rsidR="00BC00EF" w:rsidRPr="0061583D">
        <w:t xml:space="preserve"> </w:t>
      </w:r>
      <w:r w:rsidRPr="0061583D">
        <w:t xml:space="preserve">Strona może składać pisma i dokumenty w języku polskim albo </w:t>
      </w:r>
      <w:r w:rsidR="0058158B" w:rsidRPr="0061583D">
        <w:t xml:space="preserve">w języku </w:t>
      </w:r>
      <w:r w:rsidRPr="0061583D">
        <w:t>angielskim.</w:t>
      </w:r>
    </w:p>
    <w:p w14:paraId="2166FF66" w14:textId="7E2DAE2D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Pisma i dokumenty złożone w języku angielskim nie wymagają tłumaczenia</w:t>
      </w:r>
      <w:r w:rsidR="0058158B" w:rsidRPr="0061583D">
        <w:t xml:space="preserve"> </w:t>
      </w:r>
      <w:r w:rsidRPr="0061583D">
        <w:t>poświadczonego. KNF może wezwać do przedłożenia tłumaczenia na język polski, jeżeli jest</w:t>
      </w:r>
      <w:r w:rsidR="0058158B" w:rsidRPr="0061583D">
        <w:t xml:space="preserve"> </w:t>
      </w:r>
      <w:r w:rsidRPr="0061583D">
        <w:t>to niezbędne do rozstrzygnięcia sprawy.</w:t>
      </w:r>
    </w:p>
    <w:p w14:paraId="24DFC786" w14:textId="7E1D4839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Rozstrzygnięcia KNF sporządza się w języku polskim</w:t>
      </w:r>
      <w:r w:rsidR="00BC00EF" w:rsidRPr="0061583D">
        <w:t>.</w:t>
      </w:r>
      <w:r w:rsidRPr="0061583D">
        <w:t xml:space="preserve"> </w:t>
      </w:r>
      <w:r w:rsidR="00BC00EF" w:rsidRPr="0061583D">
        <w:t>N</w:t>
      </w:r>
      <w:r w:rsidRPr="0061583D">
        <w:t>a wniosek strony</w:t>
      </w:r>
      <w:r w:rsidR="00BC00EF" w:rsidRPr="0061583D">
        <w:t xml:space="preserve"> </w:t>
      </w:r>
      <w:r w:rsidRPr="0061583D">
        <w:t xml:space="preserve">KNF udostępnia wersję </w:t>
      </w:r>
      <w:r w:rsidR="0058158B" w:rsidRPr="0061583D">
        <w:t xml:space="preserve">w języku </w:t>
      </w:r>
      <w:r w:rsidRPr="0061583D">
        <w:t>angielsk</w:t>
      </w:r>
      <w:r w:rsidR="0058158B" w:rsidRPr="0061583D">
        <w:t>im</w:t>
      </w:r>
      <w:r w:rsidRPr="0061583D">
        <w:t xml:space="preserve"> o charakterze informacyjnym.</w:t>
      </w:r>
    </w:p>
    <w:p w14:paraId="054220FE" w14:textId="77777777" w:rsidR="002B52F1" w:rsidRPr="0061583D" w:rsidRDefault="0044751C" w:rsidP="0061583D">
      <w:pPr>
        <w:pStyle w:val="ROZDZODDZOZNoznaczenierozdziauluboddziau"/>
      </w:pPr>
      <w:r w:rsidRPr="0061583D">
        <w:t>Rozdział 4</w:t>
      </w:r>
    </w:p>
    <w:p w14:paraId="37F61F4B" w14:textId="4DB71F8C" w:rsidR="0044751C" w:rsidRPr="0061583D" w:rsidRDefault="0044751C" w:rsidP="0061583D">
      <w:pPr>
        <w:pStyle w:val="ROZDZODDZPRZEDMprzedmiotregulacjirozdziauluboddziau"/>
      </w:pPr>
      <w:r w:rsidRPr="0061583D">
        <w:t>Środki dotyczące interfejsów internetowych</w:t>
      </w:r>
    </w:p>
    <w:p w14:paraId="476B064C" w14:textId="59698A64" w:rsidR="00BC00EF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9.</w:t>
      </w:r>
      <w:r w:rsidR="0061583D" w:rsidRPr="0061583D">
        <w:t> </w:t>
      </w:r>
      <w:r w:rsidRPr="0061583D">
        <w:t>1.</w:t>
      </w:r>
      <w:r w:rsidR="00BC00EF" w:rsidRPr="0061583D">
        <w:t xml:space="preserve"> </w:t>
      </w:r>
      <w:r w:rsidRPr="0061583D">
        <w:t>W celu wykonania decyzji KNF nakładającej środki nadzorcze, o których mowa w art. 94 ust. 1 MiCA, KNF może wystąpić do sądu okręgowego z wnioskiem o wydanie nakazu, jeżeli jest to niezbędne do skutecznego wykonania tej decyzji.</w:t>
      </w:r>
    </w:p>
    <w:p w14:paraId="0A8D5D29" w14:textId="2E035525" w:rsidR="0097064C" w:rsidRPr="0061583D" w:rsidRDefault="0044751C" w:rsidP="0061583D">
      <w:pPr>
        <w:pStyle w:val="USTustnpkodeksu"/>
        <w:keepNext/>
      </w:pPr>
      <w:r w:rsidRPr="0061583D">
        <w:t>2.</w:t>
      </w:r>
      <w:r w:rsidR="0061583D" w:rsidRPr="0061583D">
        <w:t> </w:t>
      </w:r>
      <w:r w:rsidRPr="0061583D">
        <w:t>Sąd, po rozważeniu niezbędności i proporcjonalności środka, może nakazać, w zakresie koniecznym do osiągnięcia celu, podmiotowi prowadzącemu interfejs internetowy albo innemu podmiotowi, którego działania są niezbędne do wykonania nakazu:</w:t>
      </w:r>
    </w:p>
    <w:p w14:paraId="5245AF5B" w14:textId="291B1842" w:rsidR="0097064C" w:rsidRPr="0061583D" w:rsidRDefault="0097064C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>zamieszczenie ostrzeżenia lub komunikatu dla użytkowników interfejsu;</w:t>
      </w:r>
    </w:p>
    <w:p w14:paraId="7B9B4CCE" w14:textId="7EE86236" w:rsidR="0097064C" w:rsidRPr="0061583D" w:rsidRDefault="0097064C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usunięcie lub wyłączenie interfejsu;</w:t>
      </w:r>
    </w:p>
    <w:p w14:paraId="26A58309" w14:textId="63B0123F" w:rsidR="0097064C" w:rsidRPr="0061583D" w:rsidRDefault="0097064C" w:rsidP="0061583D">
      <w:pPr>
        <w:pStyle w:val="PKTpunkt"/>
      </w:pPr>
      <w:r w:rsidRPr="0061583D">
        <w:t>3)</w:t>
      </w:r>
      <w:r w:rsidR="0061583D" w:rsidRPr="0061583D">
        <w:tab/>
      </w:r>
      <w:r w:rsidR="0044751C" w:rsidRPr="0061583D">
        <w:t>ograniczenie dostępu do interfejsu;</w:t>
      </w:r>
    </w:p>
    <w:p w14:paraId="40223061" w14:textId="7588A9EA" w:rsidR="0044751C" w:rsidRPr="0061583D" w:rsidRDefault="0097064C" w:rsidP="0061583D">
      <w:pPr>
        <w:pStyle w:val="PKTpunkt"/>
      </w:pPr>
      <w:r w:rsidRPr="0061583D">
        <w:t>4)</w:t>
      </w:r>
      <w:r w:rsidR="0061583D" w:rsidRPr="0061583D">
        <w:tab/>
      </w:r>
      <w:r w:rsidR="0044751C" w:rsidRPr="0061583D">
        <w:t>usunięcie wskazanych treści.</w:t>
      </w:r>
    </w:p>
    <w:p w14:paraId="6ECB431D" w14:textId="6228871B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Środki, o których mowa w ust. 2, stosuje się jako środki o charakterze wyjątkowym, jeżeli inne środki okazały się nieskuteczne lub istnieje ryzyko poważnej szkody dla interesów użytkowników lub stabilności rynku kryptoaktywów.</w:t>
      </w:r>
    </w:p>
    <w:p w14:paraId="0CD44B96" w14:textId="26496A2E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10.</w:t>
      </w:r>
      <w:r w:rsidR="0061583D" w:rsidRPr="0061583D">
        <w:t> </w:t>
      </w:r>
      <w:r w:rsidRPr="0061583D">
        <w:t>1.</w:t>
      </w:r>
      <w:r w:rsidR="0097064C" w:rsidRPr="0061583D">
        <w:t xml:space="preserve"> </w:t>
      </w:r>
      <w:r w:rsidRPr="0061583D">
        <w:t>W wypadkach niecierpiących zwłoki, jeżeli jest to niezbędne do zapobieżenia</w:t>
      </w:r>
      <w:r w:rsidR="0097064C" w:rsidRPr="0061583D">
        <w:t xml:space="preserve"> </w:t>
      </w:r>
      <w:r w:rsidRPr="0061583D">
        <w:t>poważnej szkodzie dla interesów użytkowników, inwestorów lub stabilności rynku</w:t>
      </w:r>
      <w:r w:rsidR="0097064C" w:rsidRPr="0061583D">
        <w:t xml:space="preserve"> </w:t>
      </w:r>
      <w:r w:rsidRPr="0061583D">
        <w:t>kryptoaktywów, KNF może wydać postanowienie tymczasowe nakładające obowiązek</w:t>
      </w:r>
      <w:r w:rsidR="0097064C" w:rsidRPr="0061583D">
        <w:t xml:space="preserve"> </w:t>
      </w:r>
      <w:r w:rsidRPr="0061583D">
        <w:t>czasowego wstrzymania określonych działań faktycznych, w zakresie koniecznym do</w:t>
      </w:r>
      <w:r w:rsidR="0097064C" w:rsidRPr="0061583D">
        <w:t xml:space="preserve"> </w:t>
      </w:r>
      <w:r w:rsidRPr="0061583D">
        <w:t>osiągnięcia celu.</w:t>
      </w:r>
    </w:p>
    <w:p w14:paraId="47646A32" w14:textId="36EFA3D6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Postanowienie tymczasowe, o którym mowa w ust. 1, nie może nakładać obowiązków odpowiadających środkom, o których mowa w art. 9 ust. 2.</w:t>
      </w:r>
    </w:p>
    <w:p w14:paraId="724ADC8C" w14:textId="502D9BCA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KNF występuje do sądu okręgowego z wnioskiem o zastosowanie środka, o którym mowa w art. 9</w:t>
      </w:r>
      <w:r w:rsidR="0097064C" w:rsidRPr="0061583D">
        <w:t xml:space="preserve"> w terminie 48 godzin od wydania postanowienia tymczasowego.</w:t>
      </w:r>
    </w:p>
    <w:p w14:paraId="3CFBE5A3" w14:textId="286006CC" w:rsidR="0044751C" w:rsidRPr="0061583D" w:rsidRDefault="0044751C" w:rsidP="0061583D">
      <w:pPr>
        <w:pStyle w:val="USTustnpkodeksu"/>
      </w:pPr>
      <w:r w:rsidRPr="0061583D">
        <w:lastRenderedPageBreak/>
        <w:t>4.</w:t>
      </w:r>
      <w:r w:rsidR="0061583D" w:rsidRPr="0061583D">
        <w:t> </w:t>
      </w:r>
      <w:r w:rsidRPr="0061583D">
        <w:t xml:space="preserve">Postanowienie tymczasowe obowiązuje do czasu rozstrzygnięcia przez sąd, nie dłużej jednak niż </w:t>
      </w:r>
      <w:r w:rsidR="0097064C" w:rsidRPr="0061583D">
        <w:t xml:space="preserve">przez </w:t>
      </w:r>
      <w:r w:rsidRPr="0061583D">
        <w:t xml:space="preserve">7 dni od dnia jego wydania. </w:t>
      </w:r>
      <w:r w:rsidR="006D50F9" w:rsidRPr="0061583D">
        <w:t>Postanowienie to wygasa w</w:t>
      </w:r>
      <w:r w:rsidRPr="0061583D">
        <w:t xml:space="preserve"> razie niezłożenia wniosku w terminie, o</w:t>
      </w:r>
      <w:r w:rsidR="0097064C" w:rsidRPr="0061583D">
        <w:t xml:space="preserve"> </w:t>
      </w:r>
      <w:r w:rsidRPr="0061583D">
        <w:t>którym mowa w ust. 3.</w:t>
      </w:r>
    </w:p>
    <w:p w14:paraId="26A584F2" w14:textId="7C728A8B" w:rsidR="0044751C" w:rsidRPr="0061583D" w:rsidRDefault="0044751C" w:rsidP="0061583D">
      <w:pPr>
        <w:pStyle w:val="USTustnpkodeksu"/>
      </w:pPr>
      <w:r w:rsidRPr="0061583D">
        <w:t>5.</w:t>
      </w:r>
      <w:r w:rsidR="0061583D" w:rsidRPr="0061583D">
        <w:t> </w:t>
      </w:r>
      <w:r w:rsidRPr="0061583D">
        <w:t>Postanowienie tymczasowe doręcza się niezwłocznie podmiotowi, którego dotyczy, wraz z uzasadnieniem oraz pouczeniem o przysługujących mu środkach zaskarżenia.</w:t>
      </w:r>
    </w:p>
    <w:p w14:paraId="36E9EC84" w14:textId="382E6D80" w:rsidR="0044751C" w:rsidRPr="0061583D" w:rsidRDefault="0044751C" w:rsidP="0061583D">
      <w:pPr>
        <w:pStyle w:val="USTustnpkodeksu"/>
      </w:pPr>
      <w:r w:rsidRPr="0061583D">
        <w:t>6.</w:t>
      </w:r>
      <w:r w:rsidR="0061583D" w:rsidRPr="0061583D">
        <w:t> </w:t>
      </w:r>
      <w:r w:rsidRPr="0061583D">
        <w:t xml:space="preserve">Na postanowienie </w:t>
      </w:r>
      <w:r w:rsidR="006D50F9" w:rsidRPr="0061583D">
        <w:t xml:space="preserve">tymczasowe </w:t>
      </w:r>
      <w:r w:rsidRPr="0061583D">
        <w:t>przysługuje zażalenie do sądu okręgowego właściwego do rozpoznania wniosku, o którym mowa w ust. 3, w terminie 7 dni od dnia doręczenia.</w:t>
      </w:r>
    </w:p>
    <w:p w14:paraId="74EF55DF" w14:textId="6B49CA40" w:rsidR="0044751C" w:rsidRPr="0061583D" w:rsidRDefault="0044751C" w:rsidP="0061583D">
      <w:pPr>
        <w:pStyle w:val="USTustnpkodeksu"/>
      </w:pPr>
      <w:r w:rsidRPr="0061583D">
        <w:t>7.</w:t>
      </w:r>
      <w:r w:rsidR="0061583D" w:rsidRPr="0061583D">
        <w:t> </w:t>
      </w:r>
      <w:r w:rsidRPr="0061583D">
        <w:t>Na postanowienie sądu w przedmiocie zastosowania środka, o którym mowa w art. 9, przysługuje zażalenie do sądu drugiej instancji.</w:t>
      </w:r>
      <w:r w:rsidR="006D50F9" w:rsidRPr="0061583D">
        <w:t xml:space="preserve"> </w:t>
      </w:r>
      <w:r w:rsidRPr="0061583D">
        <w:t>Wniesienie zażalenia nie wstrzymuje</w:t>
      </w:r>
      <w:r w:rsidR="006D50F9" w:rsidRPr="0061583D">
        <w:t xml:space="preserve"> </w:t>
      </w:r>
      <w:r w:rsidRPr="0061583D">
        <w:t xml:space="preserve">wykonania </w:t>
      </w:r>
      <w:r w:rsidR="006D50F9" w:rsidRPr="0061583D">
        <w:t xml:space="preserve">tego </w:t>
      </w:r>
      <w:r w:rsidRPr="0061583D">
        <w:t>postanowienia, chyba że sąd postanowi inaczej.</w:t>
      </w:r>
    </w:p>
    <w:p w14:paraId="1E9AE4B7" w14:textId="77777777" w:rsidR="002B52F1" w:rsidRPr="0061583D" w:rsidRDefault="0044751C" w:rsidP="0061583D">
      <w:pPr>
        <w:pStyle w:val="ROZDZODDZOZNoznaczenierozdziauluboddziau"/>
      </w:pPr>
      <w:r w:rsidRPr="0061583D">
        <w:t>Rozdział 5</w:t>
      </w:r>
    </w:p>
    <w:p w14:paraId="1CBE3C2F" w14:textId="483B1B80" w:rsidR="0044751C" w:rsidRPr="0061583D" w:rsidRDefault="0044751C" w:rsidP="0061583D">
      <w:pPr>
        <w:pStyle w:val="ROZDZODDZPRZEDMprzedmiotregulacjirozdziauluboddziau"/>
      </w:pPr>
      <w:r w:rsidRPr="0061583D">
        <w:t>Koszty nadzoru</w:t>
      </w:r>
    </w:p>
    <w:p w14:paraId="26B25A54" w14:textId="6A8B0A32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11.</w:t>
      </w:r>
      <w:r w:rsidR="0061583D" w:rsidRPr="0061583D">
        <w:t> </w:t>
      </w:r>
      <w:r w:rsidRPr="0061583D">
        <w:t>1.</w:t>
      </w:r>
      <w:r w:rsidRPr="0061583D">
        <w:tab/>
      </w:r>
      <w:r w:rsidR="007D0A7C">
        <w:t xml:space="preserve"> </w:t>
      </w:r>
      <w:r w:rsidRPr="0061583D">
        <w:t>Złożenie wniosku o udzielenie zezwolenia na prowadzenie działalności jako dostawca usług w zakresie kryptoaktywów, o którym mowa w art. 62 MiCA, podlega opłacie w wysokości nie wyższej niż równowartość w złotych kwoty 4500 euro.</w:t>
      </w:r>
    </w:p>
    <w:p w14:paraId="23400F2D" w14:textId="428D0CF8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Złożenie wniosku o udzielenie zezwolenia emitentowi tokena powiązanego z aktywami, o którym mowa w art. 21 MiCA, podlega opłacie w wysokości nie wyższej niż równowartość w złotych kwoty 4500 euro.</w:t>
      </w:r>
    </w:p>
    <w:p w14:paraId="7F07D14F" w14:textId="5D383812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Minister właściwy do spraw instytucji finansowych określi, w drodze rozporządzenia, wysokość opłat, o których mowa w ust. 1 i 2, różnicując je w zależności od nakładu pracy KNF</w:t>
      </w:r>
      <w:r w:rsidR="005837AA">
        <w:t>, charakteru</w:t>
      </w:r>
      <w:r w:rsidRPr="0061583D">
        <w:t xml:space="preserve"> oraz skali działalności wnioskodawcy.</w:t>
      </w:r>
    </w:p>
    <w:p w14:paraId="158E797A" w14:textId="32AA5289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12.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>Dostawca usług w zakresie kryptoaktywów, posiadający zezwolenie udzielone przez KNF, wnosi na rzecz KNF roczną opłatę na pokrycie kosztów nadzoru.</w:t>
      </w:r>
    </w:p>
    <w:p w14:paraId="15D6F8F7" w14:textId="6BF3F3C8" w:rsidR="0044751C" w:rsidRPr="0061583D" w:rsidRDefault="0044751C" w:rsidP="0061583D">
      <w:pPr>
        <w:pStyle w:val="USTustnpkodeksu"/>
        <w:keepNext/>
      </w:pPr>
      <w:r w:rsidRPr="0061583D">
        <w:t>2.</w:t>
      </w:r>
      <w:r w:rsidR="0061583D" w:rsidRPr="0061583D">
        <w:t> </w:t>
      </w:r>
      <w:r w:rsidRPr="0061583D">
        <w:t>Podstawę obliczenia opłaty, o której mowa w ust. 1, stanowią wartości wykazane w zatwierdzonym sprawozdaniu finansowym za rok poprzedzający, sporządzonym zgodnie z przepisami o rachunkowości, rozumiane jako:</w:t>
      </w:r>
    </w:p>
    <w:p w14:paraId="7319E5AF" w14:textId="7FDC02AB" w:rsidR="0044751C" w:rsidRPr="0061583D" w:rsidRDefault="006D50F9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>w przypadku świadczenia usług wymiany kryptoaktywów na środki pieniężne lub inne kryptoaktywa – wynik na operacjach wymiany, stanowiący dodatnią różnicę między</w:t>
      </w:r>
      <w:r w:rsidR="005F3CD0" w:rsidRPr="0061583D">
        <w:t xml:space="preserve"> </w:t>
      </w:r>
      <w:r w:rsidR="0044751C" w:rsidRPr="0061583D">
        <w:t>przychodami ze sprzedaży kryptoaktywów a wartością sprzedanych kryptoaktywów według cen ich nabycia;</w:t>
      </w:r>
    </w:p>
    <w:p w14:paraId="438D4F21" w14:textId="03F08A47" w:rsidR="0044751C" w:rsidRPr="0061583D" w:rsidRDefault="006D50F9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w przypadku świadczenia pozostałych usług – przychody z tytułu opłat i prowizji</w:t>
      </w:r>
      <w:r w:rsidR="005F3CD0" w:rsidRPr="0061583D">
        <w:t xml:space="preserve"> </w:t>
      </w:r>
      <w:r w:rsidR="0044751C" w:rsidRPr="0061583D">
        <w:t>związanych ze świadczeniem usług w zakresie kryptoaktywów.</w:t>
      </w:r>
    </w:p>
    <w:p w14:paraId="1F2175D7" w14:textId="0EEC2A37" w:rsidR="0044751C" w:rsidRPr="0061583D" w:rsidRDefault="0044751C" w:rsidP="0061583D">
      <w:pPr>
        <w:pStyle w:val="USTustnpkodeksu"/>
      </w:pPr>
      <w:r w:rsidRPr="0061583D">
        <w:lastRenderedPageBreak/>
        <w:t>3.</w:t>
      </w:r>
      <w:r w:rsidR="0061583D" w:rsidRPr="0061583D">
        <w:t> </w:t>
      </w:r>
      <w:r w:rsidRPr="0061583D">
        <w:t>Wysokość opłaty stanowi iloczyn podstawy, o której mowa w ust. 2, oraz stawki nieprzekraczającej 0,1%.</w:t>
      </w:r>
    </w:p>
    <w:p w14:paraId="61B26C34" w14:textId="7498D090" w:rsidR="0044751C" w:rsidRPr="0061583D" w:rsidRDefault="0044751C" w:rsidP="0061583D">
      <w:pPr>
        <w:pStyle w:val="USTustnpkodeksu"/>
      </w:pPr>
      <w:r w:rsidRPr="0061583D">
        <w:t>4.</w:t>
      </w:r>
      <w:r w:rsidR="0061583D" w:rsidRPr="0061583D">
        <w:t> </w:t>
      </w:r>
      <w:r w:rsidRPr="0061583D">
        <w:t>Roczna opłata nie może być wyższa niż równowartość w złotych kwoty 15 000 euro.</w:t>
      </w:r>
    </w:p>
    <w:p w14:paraId="09E0BD6A" w14:textId="24E35CE8" w:rsidR="0044751C" w:rsidRPr="0061583D" w:rsidRDefault="0044751C" w:rsidP="0061583D">
      <w:pPr>
        <w:pStyle w:val="USTustnpkodeksu"/>
      </w:pPr>
      <w:r w:rsidRPr="0061583D">
        <w:t>5.</w:t>
      </w:r>
      <w:r w:rsidR="0061583D" w:rsidRPr="0061583D">
        <w:t> </w:t>
      </w:r>
      <w:r w:rsidRPr="0061583D">
        <w:t xml:space="preserve">Podmioty rozpoczynające działalność w danym roku kalendarzowym oraz podmioty, których podstawa obliczenia opłaty nie przekracza równowartości </w:t>
      </w:r>
      <w:r w:rsidR="005F3CD0" w:rsidRPr="0061583D">
        <w:t xml:space="preserve">w złotych kwoty </w:t>
      </w:r>
      <w:r w:rsidRPr="0061583D">
        <w:t>100 000 euro, wnoszą opłatę zryczałtowaną w wysokości równowartości</w:t>
      </w:r>
      <w:r w:rsidR="005F3CD0" w:rsidRPr="0061583D">
        <w:t xml:space="preserve"> w złotych</w:t>
      </w:r>
      <w:r w:rsidRPr="0061583D">
        <w:t xml:space="preserve"> </w:t>
      </w:r>
      <w:r w:rsidR="005F3CD0" w:rsidRPr="0061583D">
        <w:t xml:space="preserve">kwoty </w:t>
      </w:r>
      <w:r w:rsidRPr="0061583D">
        <w:t>250 euro.</w:t>
      </w:r>
    </w:p>
    <w:p w14:paraId="60AAB27F" w14:textId="1B2BDCAC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13.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>Emitent tokenów powiązanych z aktywami lub tokenów będących pieniądzem elektronicznym wnosi roczną opłatę na rzecz KNF na pokrycie kosztów nadzoru.</w:t>
      </w:r>
    </w:p>
    <w:p w14:paraId="0F8E986B" w14:textId="64A7D8D6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Wysokość opłaty stanowi iloczyn średniej miesięcznej wartości zobowiązań finansowych z tytułu wyemitowanych tokenów w roku kalendarzowym poprzedzającym rok wniesienia opłaty oraz stawki nieprzekraczającej 0,05%.</w:t>
      </w:r>
    </w:p>
    <w:p w14:paraId="1D46B004" w14:textId="40C20F5A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Łączna wysokość opłaty, o której mowa w ust. 1, nie może być wyższa niż równowartość w złotych kwoty 25 000 euro.</w:t>
      </w:r>
    </w:p>
    <w:p w14:paraId="6694B2EC" w14:textId="246D36A4" w:rsidR="0044751C" w:rsidRPr="0061583D" w:rsidRDefault="0044751C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14.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>Minister właściwy do spraw instytucji finansowych określi, w drodze rozporządzenia:</w:t>
      </w:r>
    </w:p>
    <w:p w14:paraId="71A0EFCF" w14:textId="1AFF93A2" w:rsidR="0044751C" w:rsidRPr="0061583D" w:rsidRDefault="0044751C" w:rsidP="0061583D">
      <w:pPr>
        <w:pStyle w:val="PKTpunkt"/>
      </w:pPr>
      <w:r w:rsidRPr="0061583D">
        <w:t>1)</w:t>
      </w:r>
      <w:r w:rsidR="0061583D" w:rsidRPr="0061583D">
        <w:tab/>
      </w:r>
      <w:r w:rsidRPr="0061583D">
        <w:t>szczegółowe terminy i sposób uiszczania opłat, o których mowa w art. 12 i art. 13;</w:t>
      </w:r>
    </w:p>
    <w:p w14:paraId="461CBD81" w14:textId="073F8961" w:rsidR="0044751C" w:rsidRPr="0061583D" w:rsidRDefault="0044751C" w:rsidP="0061583D">
      <w:pPr>
        <w:pStyle w:val="PKTpunkt"/>
      </w:pPr>
      <w:r w:rsidRPr="0061583D">
        <w:t>2)</w:t>
      </w:r>
      <w:r w:rsidR="0061583D" w:rsidRPr="0061583D">
        <w:tab/>
      </w:r>
      <w:r w:rsidRPr="0061583D">
        <w:t>wysokość stawek procentowych, o których mowa w art. 12 ust. 3 oraz art. 13 ust. 2, w granicach określonych w ustawie.</w:t>
      </w:r>
    </w:p>
    <w:p w14:paraId="579EC784" w14:textId="4D560E2A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Wydając rozporządzenie, o którym mowa w ust. 1, minister uwzględni konieczność zapewnienia, aby wysokość opłat była proporcjonalna do rzeczywistych kosztów sprawowania nadzoru i nie stanowiła nadmiernego obciążenia dla działalności podmiotów nadzorowanych.</w:t>
      </w:r>
    </w:p>
    <w:p w14:paraId="4EAE74D1" w14:textId="7A252E5D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Równowartość w złotych kwot wyrażonych w euro, o których mowa w niniejszym rozdziale, oblicza się według średniego kursu euro ogłoszonego przez Narodowy Bank Polski w ostatnim dniu roboczym roku poprzedzającego rok, za który opłata jest należna, a w przypadku opłat, o których mowa w art. 11 – rok, w którym powstał obowiązek ich uiszczenia.</w:t>
      </w:r>
    </w:p>
    <w:p w14:paraId="1B80750A" w14:textId="77777777" w:rsidR="002B52F1" w:rsidRPr="0061583D" w:rsidRDefault="0044751C" w:rsidP="0061583D">
      <w:pPr>
        <w:pStyle w:val="ROZDZODDZOZNoznaczenierozdziauluboddziau"/>
      </w:pPr>
      <w:r w:rsidRPr="0061583D">
        <w:t>Rozdział 6</w:t>
      </w:r>
    </w:p>
    <w:p w14:paraId="15C46653" w14:textId="05655527" w:rsidR="0044751C" w:rsidRPr="0061583D" w:rsidRDefault="0044751C" w:rsidP="0061583D">
      <w:pPr>
        <w:pStyle w:val="ROZDZODDZPRZEDMprzedmiotregulacjirozdziauluboddziau"/>
      </w:pPr>
      <w:r w:rsidRPr="0061583D">
        <w:t xml:space="preserve">Odpowiedzialność </w:t>
      </w:r>
      <w:r w:rsidR="002B52F1" w:rsidRPr="0061583D">
        <w:t>cywilna i administracyjna</w:t>
      </w:r>
    </w:p>
    <w:p w14:paraId="5D992F11" w14:textId="488B18AF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15.</w:t>
      </w:r>
      <w:r w:rsidR="0061583D" w:rsidRPr="0061583D">
        <w:t> </w:t>
      </w:r>
      <w:r w:rsidRPr="0061583D">
        <w:t>1.</w:t>
      </w:r>
      <w:r w:rsidR="00175897" w:rsidRPr="0061583D">
        <w:t xml:space="preserve"> </w:t>
      </w:r>
      <w:r w:rsidRPr="0061583D">
        <w:t xml:space="preserve">Emitent kryptoaktywów ponosi odpowiedzialność odszkodowawczą wobec nabywcy kryptoaktywów za szkodę wyrządzoną przez niekompletne lub wprowadzające w błąd informacje zawarte w dokumencie informacyjnym sporządzonym na podstawie </w:t>
      </w:r>
      <w:r w:rsidR="005F3CD0" w:rsidRPr="0061583D">
        <w:t xml:space="preserve">przepisów </w:t>
      </w:r>
      <w:r w:rsidRPr="0061583D">
        <w:t>MiCA, jeżeli informacje te miały istotne znaczenie dla podjęcia decyzji</w:t>
      </w:r>
      <w:r w:rsidR="005F3CD0" w:rsidRPr="0061583D">
        <w:t xml:space="preserve"> </w:t>
      </w:r>
      <w:r w:rsidRPr="0061583D">
        <w:t>inwestycyjnej.</w:t>
      </w:r>
    </w:p>
    <w:p w14:paraId="5FEA72CE" w14:textId="55CBD3A0" w:rsidR="0044751C" w:rsidRPr="0061583D" w:rsidRDefault="0044751C" w:rsidP="0061583D">
      <w:pPr>
        <w:pStyle w:val="USTustnpkodeksu"/>
      </w:pPr>
      <w:r w:rsidRPr="0061583D">
        <w:lastRenderedPageBreak/>
        <w:t>2.</w:t>
      </w:r>
      <w:r w:rsidR="0061583D" w:rsidRPr="0061583D">
        <w:t> </w:t>
      </w:r>
      <w:r w:rsidRPr="0061583D">
        <w:t>Odpowiedzialność, o której mowa w ust. 1, obejmuje również osoby, które sporządziły dokument informacyjny lub zatwierdziły jego treść w imieniu emitenta.</w:t>
      </w:r>
    </w:p>
    <w:p w14:paraId="4E7D5DF8" w14:textId="6163E34F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16.</w:t>
      </w:r>
      <w:r w:rsidR="0061583D" w:rsidRPr="0061583D">
        <w:t> </w:t>
      </w:r>
      <w:r w:rsidRPr="0061583D">
        <w:t>Kto wykonuje działalność w zakresie kryptoaktywów z naruszeniem warunków</w:t>
      </w:r>
      <w:r w:rsidR="0053142A" w:rsidRPr="0061583D">
        <w:t xml:space="preserve"> </w:t>
      </w:r>
      <w:r w:rsidRPr="0061583D">
        <w:t>zezwolenia, podlega środkom nadzorczym oraz sankcjom administracyjnym przewidzianym</w:t>
      </w:r>
      <w:r w:rsidR="0053142A" w:rsidRPr="0061583D">
        <w:t xml:space="preserve"> </w:t>
      </w:r>
      <w:r w:rsidRPr="0061583D">
        <w:t xml:space="preserve">w </w:t>
      </w:r>
      <w:r w:rsidR="0053142A" w:rsidRPr="0061583D">
        <w:t>przepisach MiCA</w:t>
      </w:r>
      <w:r w:rsidRPr="0061583D">
        <w:t>.</w:t>
      </w:r>
    </w:p>
    <w:p w14:paraId="0A587E26" w14:textId="24FFBB67" w:rsidR="002B52F1" w:rsidRPr="0061583D" w:rsidRDefault="002B52F1" w:rsidP="0061583D">
      <w:pPr>
        <w:pStyle w:val="ROZDZODDZOZNoznaczenierozdziauluboddziau"/>
      </w:pPr>
      <w:r w:rsidRPr="0061583D">
        <w:t>Rozdział 7</w:t>
      </w:r>
    </w:p>
    <w:p w14:paraId="76199056" w14:textId="5C74DD3E" w:rsidR="002B52F1" w:rsidRPr="0061583D" w:rsidRDefault="002B52F1" w:rsidP="0061583D">
      <w:pPr>
        <w:pStyle w:val="ROZDZODDZPRZEDMprzedmiotregulacjirozdziauluboddziau"/>
      </w:pPr>
      <w:r w:rsidRPr="0061583D">
        <w:t>Skargi i alternatywne rozwiązywanie sporów</w:t>
      </w:r>
    </w:p>
    <w:p w14:paraId="54519178" w14:textId="591B7B6F" w:rsidR="002B52F1" w:rsidRPr="0061583D" w:rsidRDefault="002B52F1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17.</w:t>
      </w:r>
      <w:r w:rsidR="0061583D" w:rsidRPr="0061583D">
        <w:t> </w:t>
      </w:r>
      <w:r w:rsidRPr="0061583D">
        <w:t>Konsument będący klientem dostawcy usług w zakresie kryptoaktywów może zwrócić się do Rzecznika Finansowego o podjęcie działań przewidzianych w ustawie z dnia 5 sierpnia 2015 r. o rozpatrywaniu reklamacji przez podmioty rynku finansowego, o Rzeczniku Finansowym i o Funduszu Edukacji Finansowej</w:t>
      </w:r>
      <w:r w:rsidR="005F3CD0" w:rsidRPr="0061583D">
        <w:t xml:space="preserve"> (Dz. U. z 2024 r. poz. 1109, z 2025 r. poz. 146, 1069, 1545)</w:t>
      </w:r>
      <w:r w:rsidRPr="0061583D">
        <w:t>, w tym w sprawach transgranicznych, zgodnie z prawem Unii Europejskiej.</w:t>
      </w:r>
    </w:p>
    <w:p w14:paraId="7BAF7054" w14:textId="2BDAC7E2" w:rsidR="002B52F1" w:rsidRPr="0061583D" w:rsidRDefault="002B52F1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18.</w:t>
      </w:r>
      <w:r w:rsidR="0061583D" w:rsidRPr="0061583D">
        <w:t> </w:t>
      </w:r>
      <w:r w:rsidRPr="0061583D">
        <w:t>KNF udziela Rzecznikowi Finansowemu informacji niezbędnych do wykonania zadań Rzecznika w sprawach dotyczących rynku kryptoaktywów, w zakresie niezbędnym do rozpatrzenia indywidualnej sprawy, z poszanowaniem tajemnic prawnie chronionych, na zasadach wynikających z przepisów odrębnych.</w:t>
      </w:r>
    </w:p>
    <w:p w14:paraId="449E6494" w14:textId="3AE11084" w:rsidR="002B52F1" w:rsidRPr="0061583D" w:rsidRDefault="002B52F1" w:rsidP="0061583D">
      <w:pPr>
        <w:pStyle w:val="ROZDZODDZOZNoznaczenierozdziauluboddziau"/>
      </w:pPr>
      <w:r w:rsidRPr="0061583D">
        <w:t>Rozdział 8</w:t>
      </w:r>
    </w:p>
    <w:p w14:paraId="0B856D24" w14:textId="77777777" w:rsidR="002B52F1" w:rsidRPr="0061583D" w:rsidRDefault="002B52F1" w:rsidP="0061583D">
      <w:pPr>
        <w:pStyle w:val="ROZDZODDZPRZEDMprzedmiotregulacjirozdziauluboddziau"/>
      </w:pPr>
      <w:r w:rsidRPr="0061583D">
        <w:t>Dostęp do infrastruktury finansowej</w:t>
      </w:r>
    </w:p>
    <w:p w14:paraId="022CB2FE" w14:textId="08E2EC2B" w:rsidR="002B52F1" w:rsidRPr="0061583D" w:rsidRDefault="002B52F1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19.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 xml:space="preserve">Odmowa zawarcia umowy rachunku bankowego albo jej wypowiedzenie wobec podmiotu posiadającego zezwolenie, o którym mowa w </w:t>
      </w:r>
      <w:r w:rsidR="007C07C1" w:rsidRPr="0061583D">
        <w:t xml:space="preserve">przepisach </w:t>
      </w:r>
      <w:r w:rsidRPr="0061583D">
        <w:t>MiCA, wymaga</w:t>
      </w:r>
      <w:r w:rsidR="007C07C1" w:rsidRPr="0061583D">
        <w:t xml:space="preserve"> </w:t>
      </w:r>
      <w:r w:rsidRPr="0061583D">
        <w:t>sporządzenia pisemnego uzasadnienia.</w:t>
      </w:r>
    </w:p>
    <w:p w14:paraId="07DB6D14" w14:textId="39E5E714" w:rsidR="002B52F1" w:rsidRPr="0061583D" w:rsidRDefault="002B52F1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Uzasadnienie wskazuje okoliczności związane z oceną ryzyka dotyczącą danego podmiotu.</w:t>
      </w:r>
    </w:p>
    <w:p w14:paraId="07F45198" w14:textId="514A51AF" w:rsidR="002B52F1" w:rsidRPr="0061583D" w:rsidRDefault="002B52F1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 xml:space="preserve">Prowadzenie działalności regulowanej na podstawie </w:t>
      </w:r>
      <w:r w:rsidR="007C07C1" w:rsidRPr="0061583D">
        <w:t xml:space="preserve">przepisów </w:t>
      </w:r>
      <w:r w:rsidRPr="0061583D">
        <w:t>MiCA nie może stanowić przesłanki uznania podmiotu za podwyższone ryzyko ani za podstawę odmowy zawarcia umowy rachunku bankowego albo jej wypowiedzenia.</w:t>
      </w:r>
    </w:p>
    <w:p w14:paraId="42EAD69A" w14:textId="63C325A3" w:rsidR="002B52F1" w:rsidRPr="0061583D" w:rsidRDefault="002B52F1" w:rsidP="0061583D">
      <w:pPr>
        <w:pStyle w:val="USTustnpkodeksu"/>
      </w:pPr>
      <w:r w:rsidRPr="0061583D">
        <w:t>4.</w:t>
      </w:r>
      <w:r w:rsidR="0061583D" w:rsidRPr="0061583D">
        <w:t> </w:t>
      </w:r>
      <w:r w:rsidRPr="0061583D">
        <w:t>Podmiot, o którym mowa w ust. 1, może dochodzić swoich praw przed sądem właściwym na zasadach ogólnych.</w:t>
      </w:r>
    </w:p>
    <w:p w14:paraId="60A1C555" w14:textId="048AF2A2" w:rsidR="002B52F1" w:rsidRPr="0061583D" w:rsidRDefault="002B52F1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20.</w:t>
      </w:r>
      <w:r w:rsidR="0061583D" w:rsidRPr="0061583D">
        <w:t> </w:t>
      </w:r>
      <w:r w:rsidRPr="0061583D">
        <w:t>1.</w:t>
      </w:r>
      <w:r w:rsidRPr="0061583D">
        <w:tab/>
      </w:r>
      <w:r w:rsidR="00C526B2">
        <w:t xml:space="preserve"> </w:t>
      </w:r>
      <w:r w:rsidRPr="0061583D">
        <w:t xml:space="preserve">W zakresie, w jakim </w:t>
      </w:r>
      <w:r w:rsidR="007C07C1" w:rsidRPr="0061583D">
        <w:t xml:space="preserve">przepisy </w:t>
      </w:r>
      <w:r w:rsidRPr="0061583D">
        <w:t>MiCA nakłada</w:t>
      </w:r>
      <w:r w:rsidR="007C07C1" w:rsidRPr="0061583D">
        <w:t>ją</w:t>
      </w:r>
      <w:r w:rsidRPr="0061583D">
        <w:t xml:space="preserve"> na dostawcę usług w zakresie kryptoaktywów obowiązek segregacji środków klientów, bank zapewnia możliwość </w:t>
      </w:r>
      <w:r w:rsidRPr="0061583D">
        <w:lastRenderedPageBreak/>
        <w:t>prowadzenia rachunków lub stosowania rozwiązań organizacyjnych i technicznych umożliwiających wykonanie tego obowiązku.</w:t>
      </w:r>
    </w:p>
    <w:p w14:paraId="391C35CE" w14:textId="39F61B5B" w:rsidR="002B52F1" w:rsidRPr="0061583D" w:rsidRDefault="002B52F1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Rozwiązania, o których mowa w ust. 1, mogą obejmować w szczególności prowadzenie rachunków technicznych, subrachunków lub rachunków wirtualnych.</w:t>
      </w:r>
    </w:p>
    <w:p w14:paraId="415DC013" w14:textId="37897475" w:rsidR="002B52F1" w:rsidRPr="0061583D" w:rsidRDefault="002B52F1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Odmowa zapewnienia możliwości, o której mowa w ust. 1, wymaga pisemnego uzasadnienia.</w:t>
      </w:r>
    </w:p>
    <w:p w14:paraId="63000983" w14:textId="543B0A36" w:rsidR="002B52F1" w:rsidRPr="0061583D" w:rsidRDefault="002B52F1" w:rsidP="0061583D">
      <w:pPr>
        <w:pStyle w:val="ROZDZODDZOZNoznaczenierozdziauluboddziau"/>
      </w:pPr>
      <w:r w:rsidRPr="0061583D">
        <w:t xml:space="preserve">Rozdział </w:t>
      </w:r>
      <w:r w:rsidR="002D59AB" w:rsidRPr="0061583D">
        <w:t>9</w:t>
      </w:r>
    </w:p>
    <w:p w14:paraId="3DDAAE8E" w14:textId="37518B8B" w:rsidR="002D59AB" w:rsidRPr="0061583D" w:rsidRDefault="002D59AB" w:rsidP="0061583D">
      <w:pPr>
        <w:pStyle w:val="ROZDZODDZPRZEDMprzedmiotregulacjirozdziauluboddziau"/>
      </w:pPr>
      <w:r w:rsidRPr="0061583D">
        <w:t>Przepis karn</w:t>
      </w:r>
      <w:r w:rsidR="00D62A70" w:rsidRPr="0061583D">
        <w:t>y</w:t>
      </w:r>
    </w:p>
    <w:p w14:paraId="7DD16732" w14:textId="2049BEEF" w:rsidR="002B52F1" w:rsidRPr="0061583D" w:rsidRDefault="0044751C" w:rsidP="0061583D">
      <w:pPr>
        <w:pStyle w:val="ARTartustawynprozporzdzenia"/>
      </w:pPr>
      <w:r w:rsidRPr="005837AA">
        <w:rPr>
          <w:rStyle w:val="Ppogrubienie"/>
        </w:rPr>
        <w:t>Art.</w:t>
      </w:r>
      <w:r w:rsidR="0061583D" w:rsidRPr="005837AA">
        <w:rPr>
          <w:rStyle w:val="Ppogrubienie"/>
        </w:rPr>
        <w:t> </w:t>
      </w:r>
      <w:r w:rsidR="002D59AB" w:rsidRPr="005837AA">
        <w:rPr>
          <w:rStyle w:val="Ppogrubienie"/>
        </w:rPr>
        <w:t>21</w:t>
      </w:r>
      <w:r w:rsidRPr="005837AA">
        <w:rPr>
          <w:rStyle w:val="Ppogrubienie"/>
        </w:rPr>
        <w:t>.</w:t>
      </w:r>
      <w:r w:rsidR="0061583D" w:rsidRPr="0061583D">
        <w:t> </w:t>
      </w:r>
      <w:r w:rsidRPr="0061583D">
        <w:t>Kto umyślnie i w celu osiągnięcia korzyści majątkowej, bez wymaganego zezwolenia wykonuje działalność w zakresie kryptoaktywów,</w:t>
      </w:r>
    </w:p>
    <w:p w14:paraId="1FFBE9D1" w14:textId="56A11C8E" w:rsidR="0044751C" w:rsidRPr="0061583D" w:rsidRDefault="0044751C" w:rsidP="005837AA">
      <w:pPr>
        <w:pStyle w:val="SKARNsankcjakarnawszczeglnociwKodeksiekarnym"/>
      </w:pPr>
      <w:r w:rsidRPr="0061583D">
        <w:t>podlega karze grzywny, ograniczenia wolności albo pozbawienia wolności do lat 2.</w:t>
      </w:r>
    </w:p>
    <w:p w14:paraId="54DF444D" w14:textId="77777777" w:rsidR="002D59AB" w:rsidRPr="0061583D" w:rsidRDefault="0044751C" w:rsidP="0061583D">
      <w:pPr>
        <w:pStyle w:val="ROZDZODDZOZNoznaczenierozdziauluboddziau"/>
      </w:pPr>
      <w:r w:rsidRPr="0061583D">
        <w:t xml:space="preserve">Rozdział </w:t>
      </w:r>
      <w:r w:rsidR="002D59AB" w:rsidRPr="0061583D">
        <w:t>10</w:t>
      </w:r>
    </w:p>
    <w:p w14:paraId="1E45B532" w14:textId="08A2380C" w:rsidR="0044751C" w:rsidRPr="0061583D" w:rsidRDefault="0044751C" w:rsidP="0061583D">
      <w:pPr>
        <w:pStyle w:val="ROZDZODDZPRZEDMprzedmiotregulacjirozdziauluboddziau"/>
      </w:pPr>
      <w:r w:rsidRPr="0061583D">
        <w:t>Zmiany w przepisach</w:t>
      </w:r>
    </w:p>
    <w:p w14:paraId="36C9F300" w14:textId="6686C963" w:rsidR="0044751C" w:rsidRPr="0061583D" w:rsidRDefault="0044751C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="002D59AB" w:rsidRPr="0061583D">
        <w:rPr>
          <w:rStyle w:val="Ppogrubienie"/>
        </w:rPr>
        <w:t>22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W ustawie z dnia 26 lipca 1991 r. o podatku dochodowym od osób fizycznych (</w:t>
      </w:r>
      <w:r w:rsidR="009846EF" w:rsidRPr="0061583D">
        <w:t>Dz. U. z 2025 r. poz. 163, 340, 368, 620, 680, 1022, 1180, 1301, 1302, 1366</w:t>
      </w:r>
      <w:r w:rsidRPr="0061583D">
        <w:t>) wprowadza się</w:t>
      </w:r>
      <w:r w:rsidR="009846EF" w:rsidRPr="0061583D">
        <w:t xml:space="preserve"> </w:t>
      </w:r>
      <w:r w:rsidRPr="0061583D">
        <w:t>następujące zmiany:</w:t>
      </w:r>
    </w:p>
    <w:p w14:paraId="7C7C24E2" w14:textId="0E695B17" w:rsidR="0044751C" w:rsidRPr="0061583D" w:rsidRDefault="0044751C" w:rsidP="0061583D">
      <w:pPr>
        <w:pStyle w:val="PKTpunkt"/>
        <w:keepNext/>
      </w:pPr>
      <w:r w:rsidRPr="0061583D">
        <w:t>1</w:t>
      </w:r>
      <w:r w:rsidR="00FB3DEE" w:rsidRPr="0061583D">
        <w:t>)</w:t>
      </w:r>
      <w:r w:rsidR="0061583D" w:rsidRPr="0061583D">
        <w:tab/>
      </w:r>
      <w:r w:rsidRPr="0061583D">
        <w:t xml:space="preserve">w art. 5a po pkt </w:t>
      </w:r>
      <w:r w:rsidR="009846EF" w:rsidRPr="0061583D">
        <w:t>52</w:t>
      </w:r>
      <w:r w:rsidRPr="0061583D">
        <w:t xml:space="preserve"> dodaje się pkt </w:t>
      </w:r>
      <w:r w:rsidR="009846EF" w:rsidRPr="0061583D">
        <w:t>53</w:t>
      </w:r>
      <w:r w:rsidRPr="0061583D">
        <w:t xml:space="preserve"> i </w:t>
      </w:r>
      <w:r w:rsidR="009846EF" w:rsidRPr="0061583D">
        <w:t>54</w:t>
      </w:r>
      <w:r w:rsidRPr="0061583D">
        <w:t xml:space="preserve"> w brzmieniu:</w:t>
      </w:r>
    </w:p>
    <w:p w14:paraId="419FE2CB" w14:textId="776C7CC9" w:rsidR="0044751C" w:rsidRPr="0061583D" w:rsidRDefault="00C526B2" w:rsidP="0061583D">
      <w:pPr>
        <w:pStyle w:val="ZPKTzmpktartykuempunktem"/>
      </w:pPr>
      <w:r>
        <w:t>„</w:t>
      </w:r>
      <w:r w:rsidR="009846EF" w:rsidRPr="0061583D">
        <w:t>53</w:t>
      </w:r>
      <w:r w:rsidR="0044751C" w:rsidRPr="0061583D">
        <w:t>)</w:t>
      </w:r>
      <w:r w:rsidR="0061583D" w:rsidRPr="0061583D">
        <w:tab/>
      </w:r>
      <w:r w:rsidR="0044751C" w:rsidRPr="0061583D">
        <w:t>transfer własny – przeniesienie waluty wirtualnej pomiędzy adresami lub rachunkami należącymi do tego samego podatnika;</w:t>
      </w:r>
    </w:p>
    <w:p w14:paraId="2DCC66C8" w14:textId="40E4D1F0" w:rsidR="0044751C" w:rsidRPr="0061583D" w:rsidRDefault="009846EF" w:rsidP="0061583D">
      <w:pPr>
        <w:pStyle w:val="ZPKTzmpktartykuempunktem"/>
      </w:pPr>
      <w:r w:rsidRPr="0061583D">
        <w:t>54</w:t>
      </w:r>
      <w:r w:rsidR="0044751C" w:rsidRPr="0061583D">
        <w:t>)</w:t>
      </w:r>
      <w:r w:rsidR="0061583D" w:rsidRPr="0061583D">
        <w:tab/>
      </w:r>
      <w:r w:rsidR="0044751C" w:rsidRPr="0061583D">
        <w:t>staking – udział bezpośredni lub pośredni w mechanizmie konsensusu typu proof-of-stake, w tym w drodze delegacji, skutkujący uzyskaniem waluty wirtualnej jako nagrody.</w:t>
      </w:r>
      <w:r w:rsidR="00C526B2">
        <w:t>”</w:t>
      </w:r>
      <w:r w:rsidR="0044751C" w:rsidRPr="0061583D">
        <w:t>;</w:t>
      </w:r>
    </w:p>
    <w:p w14:paraId="158FC2C0" w14:textId="48027E29" w:rsidR="0044751C" w:rsidRPr="0061583D" w:rsidRDefault="0044751C" w:rsidP="0061583D">
      <w:pPr>
        <w:pStyle w:val="PKTpunkt"/>
        <w:keepNext/>
      </w:pPr>
      <w:r w:rsidRPr="0061583D">
        <w:t>2</w:t>
      </w:r>
      <w:r w:rsidR="00FB3DEE" w:rsidRPr="0061583D">
        <w:t>)</w:t>
      </w:r>
      <w:r w:rsidR="0061583D" w:rsidRPr="0061583D">
        <w:tab/>
      </w:r>
      <w:r w:rsidRPr="0061583D">
        <w:t>w art. 17 po ust. 1i dodaje się ust. 1j-1l w brzmieniu:</w:t>
      </w:r>
    </w:p>
    <w:p w14:paraId="472F0D27" w14:textId="0C9C7A85" w:rsidR="0044751C" w:rsidRPr="0061583D" w:rsidRDefault="00C526B2" w:rsidP="0061583D">
      <w:pPr>
        <w:pStyle w:val="ZUSTzmustartykuempunktem"/>
      </w:pPr>
      <w:r>
        <w:t>„</w:t>
      </w:r>
      <w:r w:rsidR="0044751C" w:rsidRPr="0061583D">
        <w:t>1j.</w:t>
      </w:r>
      <w:r w:rsidR="0061583D" w:rsidRPr="0061583D">
        <w:t> </w:t>
      </w:r>
      <w:r w:rsidR="0044751C" w:rsidRPr="0061583D">
        <w:t>Transfer własny nie stanowi odpłatnego zbycia waluty wirtualnej i nie powoduje powstania przychodu.</w:t>
      </w:r>
    </w:p>
    <w:p w14:paraId="73185CFE" w14:textId="5DBF67FD" w:rsidR="0044751C" w:rsidRPr="0061583D" w:rsidRDefault="0044751C" w:rsidP="0061583D">
      <w:pPr>
        <w:pStyle w:val="ZUSTzmustartykuempunktem"/>
      </w:pPr>
      <w:r w:rsidRPr="0061583D">
        <w:t>1k.</w:t>
      </w:r>
      <w:r w:rsidR="0061583D" w:rsidRPr="0061583D">
        <w:t> </w:t>
      </w:r>
      <w:r w:rsidRPr="0061583D">
        <w:t>Otrzymanie waluty wirtualnej w wyniku stakingu nie stanowi przychodu</w:t>
      </w:r>
      <w:r w:rsidR="003353B7" w:rsidRPr="0061583D">
        <w:t>. P</w:t>
      </w:r>
      <w:r w:rsidRPr="0061583D">
        <w:t>rzychód powstaje z tytułu odpłatnego zbycia tej waluty wirtualnej.</w:t>
      </w:r>
    </w:p>
    <w:p w14:paraId="0E0FB1F8" w14:textId="4074E8F2" w:rsidR="0044751C" w:rsidRPr="0061583D" w:rsidRDefault="0044751C" w:rsidP="0061583D">
      <w:pPr>
        <w:pStyle w:val="ZUSTzmustartykuempunktem"/>
      </w:pPr>
      <w:r w:rsidRPr="0061583D">
        <w:t>1l.</w:t>
      </w:r>
      <w:r w:rsidR="0061583D" w:rsidRPr="0061583D">
        <w:t> </w:t>
      </w:r>
      <w:r w:rsidRPr="0061583D">
        <w:t xml:space="preserve">Wymiana waluty wirtualnej na inne kryptoaktywo, w tym na token będący pieniądzem elektronicznym albo token powiązany z aktywami w rozumieniu </w:t>
      </w:r>
      <w:r w:rsidR="003353B7" w:rsidRPr="0061583D">
        <w:t xml:space="preserve">przepisów </w:t>
      </w:r>
      <w:r w:rsidR="00A1254C" w:rsidRPr="0061583D">
        <w:t xml:space="preserve">rozporządzenia Parlamentu Europejskiego i Rady (UE) 2023/1114 z dnia 31 maja 2023 r. w sprawie rynków kryptoaktywów oraz zmiany rozporządzeń (UE) nr 1093/2010 i (UE) </w:t>
      </w:r>
      <w:r w:rsidR="00A1254C" w:rsidRPr="0061583D">
        <w:lastRenderedPageBreak/>
        <w:t>nr 1095/2010 oraz dyrektyw 2013/36/UE i (UE) 2019/1937 (Dz. Urz. UE L 150 z 09.06.2023, str. 40, z późn. zm.</w:t>
      </w:r>
      <w:r w:rsidR="00A1254C" w:rsidRPr="0061583D">
        <w:rPr>
          <w:rStyle w:val="Odwoanieprzypisudolnego"/>
        </w:rPr>
        <w:t xml:space="preserve"> </w:t>
      </w:r>
      <w:r w:rsidR="00A1254C" w:rsidRPr="0061583D">
        <w:rPr>
          <w:rStyle w:val="Odwoanieprzypisudolnego"/>
        </w:rPr>
        <w:footnoteReference w:id="4"/>
      </w:r>
      <w:r w:rsidR="00A1254C" w:rsidRPr="0061583D">
        <w:rPr>
          <w:rStyle w:val="IGindeksgrny"/>
        </w:rPr>
        <w:t>)</w:t>
      </w:r>
      <w:r w:rsidR="00A1254C" w:rsidRPr="0061583D">
        <w:t>)</w:t>
      </w:r>
      <w:r w:rsidRPr="0061583D">
        <w:t>, nie stanowi odpłatnego zbycia waluty wirtualnej i nie powoduje powstania przychodu, jeżeli w jej wyniku podatnik nie otrzymuje prawnego środka płatniczego, towaru ani usługi.</w:t>
      </w:r>
      <w:r w:rsidR="00C526B2">
        <w:t>”</w:t>
      </w:r>
      <w:r w:rsidRPr="0061583D">
        <w:t>.</w:t>
      </w:r>
    </w:p>
    <w:p w14:paraId="125A9139" w14:textId="2A93B015" w:rsidR="0044751C" w:rsidRPr="0061583D" w:rsidRDefault="0044751C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="002D59AB" w:rsidRPr="0061583D">
        <w:rPr>
          <w:rStyle w:val="Ppogrubienie"/>
        </w:rPr>
        <w:t>23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W ustawie z dnia 15 lutego 1992 r. o podatku dochodowym od osób prawnych (</w:t>
      </w:r>
      <w:r w:rsidR="00A1254C" w:rsidRPr="0061583D">
        <w:t>Dz. U. z 2025 r. poz. 278, 340, 620, 680, 1022, 1074, 1218, 1301, 1426, 1657, 1658, 1804, 1817, 1846</w:t>
      </w:r>
      <w:r w:rsidRPr="0061583D">
        <w:t>) w art. 12 w ust. 4 po pkt 30 dodaje się pkt 31 i 32 w brzmieniu:</w:t>
      </w:r>
    </w:p>
    <w:p w14:paraId="3781EE8E" w14:textId="2A3F2DC0" w:rsidR="0044751C" w:rsidRPr="0061583D" w:rsidRDefault="00C526B2" w:rsidP="0061583D">
      <w:pPr>
        <w:pStyle w:val="ZPKTzmpktartykuempunktem"/>
      </w:pPr>
      <w:r>
        <w:t>„</w:t>
      </w:r>
      <w:r w:rsidR="0044751C" w:rsidRPr="0061583D">
        <w:t>31)</w:t>
      </w:r>
      <w:r w:rsidR="0061583D" w:rsidRPr="0061583D">
        <w:tab/>
      </w:r>
      <w:r w:rsidR="0044751C" w:rsidRPr="0061583D">
        <w:t>wartości majątkowych otrzymanych przez emitenta z tytułu emisji tokenów będących</w:t>
      </w:r>
      <w:r w:rsidR="00A1254C" w:rsidRPr="0061583D">
        <w:t xml:space="preserve"> </w:t>
      </w:r>
      <w:r w:rsidR="0044751C" w:rsidRPr="0061583D">
        <w:t xml:space="preserve">pieniądzem elektronicznym (EMT) w rozumieniu </w:t>
      </w:r>
      <w:r w:rsidR="00A1254C" w:rsidRPr="0061583D">
        <w:t>przepisów rozporządzenia Parlamentu Europejskiego i Rady (UE) 2023/1114 z dnia 31 maja 2023 r. w sprawie rynków kryptoaktywów oraz zmiany rozporządzeń (UE) nr 1093/2010 i (UE) nr 1095/2010 oraz dyrektyw 2013/36/UE i (UE) 2019/1937 (Dz. Urz. UE L 150 z 09.06.2023, str. 40, z późn. zm.</w:t>
      </w:r>
      <w:r w:rsidR="00A1254C" w:rsidRPr="0061583D">
        <w:rPr>
          <w:rStyle w:val="Odwoanieprzypisudolnego"/>
        </w:rPr>
        <w:footnoteReference w:id="5"/>
      </w:r>
      <w:r w:rsidR="00A1254C" w:rsidRPr="0061583D">
        <w:rPr>
          <w:rStyle w:val="IGindeksgrny"/>
        </w:rPr>
        <w:t>)</w:t>
      </w:r>
      <w:r w:rsidR="00A1254C" w:rsidRPr="0061583D">
        <w:t>)</w:t>
      </w:r>
      <w:r w:rsidR="00D93166" w:rsidRPr="0061583D">
        <w:t xml:space="preserve">, zwanego dalej: </w:t>
      </w:r>
      <w:r>
        <w:t>„</w:t>
      </w:r>
      <w:r w:rsidR="00D93166" w:rsidRPr="0061583D">
        <w:t>rozporządzeniem nr 2023/1114</w:t>
      </w:r>
      <w:r>
        <w:t>”</w:t>
      </w:r>
      <w:r w:rsidR="00D93166" w:rsidRPr="0061583D">
        <w:t xml:space="preserve"> </w:t>
      </w:r>
      <w:r w:rsidR="0044751C" w:rsidRPr="0061583D">
        <w:t>– do momentu ich odkupu lub</w:t>
      </w:r>
      <w:r w:rsidR="00D93166" w:rsidRPr="0061583D">
        <w:t xml:space="preserve"> </w:t>
      </w:r>
      <w:r w:rsidR="0044751C" w:rsidRPr="0061583D">
        <w:t>umorzenia;</w:t>
      </w:r>
    </w:p>
    <w:p w14:paraId="0EA995EE" w14:textId="0905F229" w:rsidR="0044751C" w:rsidRPr="0061583D" w:rsidRDefault="0044751C" w:rsidP="0061583D">
      <w:pPr>
        <w:pStyle w:val="ZPKTzmpktartykuempunktem"/>
      </w:pPr>
      <w:r w:rsidRPr="0061583D">
        <w:t>32)</w:t>
      </w:r>
      <w:r w:rsidR="0061583D" w:rsidRPr="0061583D">
        <w:tab/>
      </w:r>
      <w:r w:rsidRPr="0061583D">
        <w:t xml:space="preserve">wartości majątkowych otrzymanych przez emitenta z tytułu emisji tokenów powiązanych z aktywami (ART) w rozumieniu </w:t>
      </w:r>
      <w:r w:rsidR="00A1254C" w:rsidRPr="0061583D">
        <w:t xml:space="preserve">przepisów </w:t>
      </w:r>
      <w:r w:rsidRPr="0061583D">
        <w:t>rozporządzenia</w:t>
      </w:r>
      <w:r w:rsidR="00D93166" w:rsidRPr="0061583D">
        <w:t xml:space="preserve"> </w:t>
      </w:r>
      <w:r w:rsidRPr="0061583D">
        <w:t>2023/1114 – do momentu ich odkupu, umorzenia albo wygaśnięcia zobowiązań wobec posiadaczy tokenów.</w:t>
      </w:r>
      <w:r w:rsidR="00C526B2">
        <w:t>”</w:t>
      </w:r>
      <w:r w:rsidR="00D93166" w:rsidRPr="0061583D">
        <w:t>.</w:t>
      </w:r>
    </w:p>
    <w:p w14:paraId="46AB14AC" w14:textId="164822DC" w:rsidR="0044751C" w:rsidRPr="0061583D" w:rsidRDefault="0044751C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</w:t>
      </w:r>
      <w:r w:rsidR="002D59AB" w:rsidRPr="0061583D">
        <w:rPr>
          <w:rStyle w:val="Ppogrubienie"/>
        </w:rPr>
        <w:t>4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W ustawie z dnia 29 sierpnia 1997 r. – Ordynacja podatkowa (</w:t>
      </w:r>
      <w:r w:rsidR="00D93166" w:rsidRPr="0061583D">
        <w:t>Dz. U. z 2025 r. poz. 111, 497, 621, 622, 769, 820, 1203, 1235, 1414, 1417, 1669, 1804, 1863</w:t>
      </w:r>
      <w:r w:rsidRPr="0061583D">
        <w:t>) po art. 180 dodaje się art. 180a w brzmieniu:</w:t>
      </w:r>
    </w:p>
    <w:p w14:paraId="6CA9F6C9" w14:textId="46389296" w:rsidR="0044751C" w:rsidRPr="0061583D" w:rsidRDefault="00C526B2" w:rsidP="0061583D">
      <w:pPr>
        <w:pStyle w:val="ZARTzmartartykuempunktem"/>
      </w:pPr>
      <w:r>
        <w:t>„</w:t>
      </w:r>
      <w:r w:rsidR="0044751C" w:rsidRPr="0061583D">
        <w:t>Art.</w:t>
      </w:r>
      <w:r w:rsidR="0061583D" w:rsidRPr="0061583D">
        <w:t> </w:t>
      </w:r>
      <w:r w:rsidR="0044751C" w:rsidRPr="0061583D">
        <w:t>180a.</w:t>
      </w:r>
      <w:r w:rsidR="0061583D" w:rsidRPr="0061583D">
        <w:t> </w:t>
      </w:r>
      <w:r w:rsidR="0044751C" w:rsidRPr="0061583D">
        <w:t>§ 1. Dowodem w postępowaniu podatkowym może być dokument elektroniczny lub wydruk odzwierciedlający dane utrwalone w rozproszonym rejestrze transakcji (DLT), wraz ze wskazaniem publicznie dostępnego źródła weryfikacji tych danych, umożliwiającego ich weryfikację na potrzeby postępowania.</w:t>
      </w:r>
    </w:p>
    <w:p w14:paraId="31DAB9F6" w14:textId="09E39152" w:rsidR="0044751C" w:rsidRPr="0061583D" w:rsidRDefault="0044751C" w:rsidP="0061583D">
      <w:pPr>
        <w:pStyle w:val="ZUSTzmustartykuempunktem"/>
      </w:pPr>
      <w:r w:rsidRPr="0061583D">
        <w:t>§</w:t>
      </w:r>
      <w:r w:rsidR="0061583D" w:rsidRPr="0061583D">
        <w:t> </w:t>
      </w:r>
      <w:r w:rsidRPr="0061583D">
        <w:t>2.</w:t>
      </w:r>
      <w:r w:rsidR="0061583D" w:rsidRPr="0061583D">
        <w:t> </w:t>
      </w:r>
      <w:r w:rsidRPr="0061583D">
        <w:t xml:space="preserve">Dane zarejestrowane w kwalifikowanym rejestrze elektronicznym w rozumieniu </w:t>
      </w:r>
      <w:r w:rsidR="002A1BE7" w:rsidRPr="0061583D">
        <w:t xml:space="preserve">przepisów </w:t>
      </w:r>
      <w:r w:rsidRPr="0061583D">
        <w:t>rozporządzenia Parlamentu Europejskiego i Rady (UE) nr 910/2014 z dnia 23 lipca 2014 r. w sprawie identyfikacji elektronicznej i usług zaufania</w:t>
      </w:r>
      <w:r w:rsidR="002A1BE7" w:rsidRPr="0061583D">
        <w:t xml:space="preserve"> </w:t>
      </w:r>
      <w:r w:rsidR="002A1BE7" w:rsidRPr="0061583D">
        <w:lastRenderedPageBreak/>
        <w:t>w odniesieniu do transakcji elektronicznych na rynku wewnętrznym oraz uchylające dyrektywę 1999/93/WE (Dz. Urz. UE L 257 z 28.08.2014, str. 73</w:t>
      </w:r>
      <w:r w:rsidR="00B93C81" w:rsidRPr="0061583D">
        <w:t>)</w:t>
      </w:r>
      <w:r w:rsidRPr="0061583D">
        <w:t xml:space="preserve"> korzystają ze skutków prawnych i domniemań</w:t>
      </w:r>
      <w:r w:rsidR="00B93C81" w:rsidRPr="0061583D">
        <w:t xml:space="preserve"> </w:t>
      </w:r>
      <w:r w:rsidRPr="0061583D">
        <w:t>przewidzianych w prawie Unii Europejskiej dla tego rejestru.</w:t>
      </w:r>
      <w:r w:rsidR="00C526B2">
        <w:t>”</w:t>
      </w:r>
      <w:r w:rsidR="002D59AB" w:rsidRPr="0061583D">
        <w:t>.</w:t>
      </w:r>
    </w:p>
    <w:p w14:paraId="2D1BB609" w14:textId="001B1143" w:rsidR="00B93C81" w:rsidRPr="0061583D" w:rsidRDefault="002D59AB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25.</w:t>
      </w:r>
      <w:r w:rsidR="0061583D" w:rsidRPr="0061583D">
        <w:t> </w:t>
      </w:r>
      <w:r w:rsidRPr="0061583D">
        <w:t>W ustawie z dnia 21 lipca 2006 r. o nadzorze nad rynkiem finansowym</w:t>
      </w:r>
      <w:r w:rsidR="00B93C81" w:rsidRPr="0061583D">
        <w:t xml:space="preserve"> (Dz. U. z 2025 r. poz. 640, 1069)</w:t>
      </w:r>
      <w:r w:rsidRPr="0061583D">
        <w:t>:</w:t>
      </w:r>
    </w:p>
    <w:p w14:paraId="7B173A8C" w14:textId="2D7F16F9" w:rsidR="00B93C81" w:rsidRPr="0061583D" w:rsidRDefault="002D59AB" w:rsidP="0061583D">
      <w:pPr>
        <w:pStyle w:val="PKTpunkt"/>
      </w:pPr>
      <w:r w:rsidRPr="0061583D">
        <w:t>1)</w:t>
      </w:r>
      <w:r w:rsidR="0061583D" w:rsidRPr="0061583D">
        <w:tab/>
      </w:r>
      <w:r w:rsidRPr="0061583D">
        <w:t xml:space="preserve">w art. 5 ust. 1 wyraz </w:t>
      </w:r>
      <w:r w:rsidR="00C526B2">
        <w:t>„</w:t>
      </w:r>
      <w:r w:rsidRPr="0061583D">
        <w:t>trzech</w:t>
      </w:r>
      <w:r w:rsidR="00C526B2">
        <w:t>”</w:t>
      </w:r>
      <w:r w:rsidRPr="0061583D">
        <w:t xml:space="preserve"> zastępuje się wyrazem </w:t>
      </w:r>
      <w:r w:rsidR="00C526B2">
        <w:t>„</w:t>
      </w:r>
      <w:r w:rsidRPr="0061583D">
        <w:t>czterech</w:t>
      </w:r>
      <w:r w:rsidR="00C526B2">
        <w:t>”</w:t>
      </w:r>
      <w:r w:rsidRPr="0061583D">
        <w:t>;</w:t>
      </w:r>
    </w:p>
    <w:p w14:paraId="76338048" w14:textId="72949FAB" w:rsidR="002D59AB" w:rsidRPr="0061583D" w:rsidRDefault="002D59AB" w:rsidP="0061583D">
      <w:pPr>
        <w:pStyle w:val="PKTpunkt"/>
        <w:keepNext/>
      </w:pPr>
      <w:r w:rsidRPr="0061583D">
        <w:t>2)</w:t>
      </w:r>
      <w:r w:rsidR="0061583D" w:rsidRPr="0061583D">
        <w:tab/>
      </w:r>
      <w:r w:rsidRPr="0061583D">
        <w:t>po art. 9 dodaje się art. 9a w brzmieniu:</w:t>
      </w:r>
    </w:p>
    <w:p w14:paraId="4BDEBD72" w14:textId="62BC527D" w:rsidR="002D59AB" w:rsidRPr="0061583D" w:rsidRDefault="00C526B2" w:rsidP="0061583D">
      <w:pPr>
        <w:pStyle w:val="ZARTzmartartykuempunktem"/>
      </w:pPr>
      <w:r>
        <w:t>„</w:t>
      </w:r>
      <w:r w:rsidR="002D59AB" w:rsidRPr="0061583D">
        <w:t>Art.</w:t>
      </w:r>
      <w:r w:rsidR="0061583D" w:rsidRPr="0061583D">
        <w:t> </w:t>
      </w:r>
      <w:r w:rsidR="002D59AB" w:rsidRPr="0061583D">
        <w:t>9a.</w:t>
      </w:r>
      <w:r w:rsidR="0061583D" w:rsidRPr="0061583D">
        <w:t> </w:t>
      </w:r>
      <w:r w:rsidR="002D59AB" w:rsidRPr="0061583D">
        <w:t xml:space="preserve">1. Jeden z Zastępców Przewodniczącego Komisji jest właściwy do spraw nadzoru nad rynkiem kryptoaktywów, w szczególności w zakresie wykonywania </w:t>
      </w:r>
      <w:r w:rsidR="00B93C81" w:rsidRPr="0061583D">
        <w:t>przepisów rozporządzenia Parlamentu Europejskiego i Rady (UE) 2023/1114 z dnia 31 maja 2023 r. w sprawie rynków kryptoaktywów oraz zmiany rozporządzeń (UE) nr 1093/2010 i (UE) nr</w:t>
      </w:r>
      <w:r w:rsidR="00B773CA" w:rsidRPr="0061583D">
        <w:t xml:space="preserve"> </w:t>
      </w:r>
      <w:r w:rsidR="00B93C81" w:rsidRPr="0061583D">
        <w:t>1095/2010 oraz dyrektyw 2013/36/UE i (UE) 2019/1937 (Dz. Urz. UE L 150 z 09.06.2023,</w:t>
      </w:r>
      <w:r w:rsidR="00B773CA" w:rsidRPr="0061583D">
        <w:t xml:space="preserve"> </w:t>
      </w:r>
      <w:r w:rsidR="00B93C81" w:rsidRPr="0061583D">
        <w:t>str. 40, z późn. zm.</w:t>
      </w:r>
      <w:r w:rsidR="00B93C81" w:rsidRPr="0061583D">
        <w:rPr>
          <w:rStyle w:val="Odwoanieprzypisudolnego"/>
        </w:rPr>
        <w:footnoteReference w:id="6"/>
      </w:r>
      <w:r w:rsidR="00B93C81" w:rsidRPr="0061583D">
        <w:rPr>
          <w:rStyle w:val="IGindeksgrny"/>
        </w:rPr>
        <w:t>)</w:t>
      </w:r>
      <w:r w:rsidR="00B93C81" w:rsidRPr="0061583D">
        <w:t>)</w:t>
      </w:r>
      <w:r w:rsidR="002D59AB" w:rsidRPr="0061583D">
        <w:t>.</w:t>
      </w:r>
    </w:p>
    <w:p w14:paraId="5657F736" w14:textId="67C90597" w:rsidR="002D59AB" w:rsidRPr="0061583D" w:rsidRDefault="002D59AB" w:rsidP="0061583D">
      <w:pPr>
        <w:pStyle w:val="ZUSTzmustartykuempunktem"/>
      </w:pPr>
      <w:r w:rsidRPr="0061583D">
        <w:t>2.</w:t>
      </w:r>
      <w:r w:rsidR="0061583D" w:rsidRPr="0061583D">
        <w:t> </w:t>
      </w:r>
      <w:r w:rsidRPr="0061583D">
        <w:t>Osoba, o której mowa w ust. 1, powinna posiadać udokumentowaną wiedzę</w:t>
      </w:r>
      <w:r w:rsidR="00B773CA" w:rsidRPr="0061583D">
        <w:t xml:space="preserve"> </w:t>
      </w:r>
      <w:r w:rsidRPr="0061583D">
        <w:t>oraz praktykę</w:t>
      </w:r>
      <w:r w:rsidR="00B773CA" w:rsidRPr="0061583D">
        <w:t xml:space="preserve"> </w:t>
      </w:r>
      <w:r w:rsidRPr="0061583D">
        <w:t>w zakresie rynku kryptoaktywów i technologii blockchain,</w:t>
      </w:r>
      <w:r w:rsidR="00FB3DEE" w:rsidRPr="0061583D">
        <w:t xml:space="preserve"> </w:t>
      </w:r>
      <w:r w:rsidRPr="0061583D">
        <w:t>w szczególności praktykę</w:t>
      </w:r>
      <w:r w:rsidR="007C07C1" w:rsidRPr="0061583D">
        <w:t xml:space="preserve"> </w:t>
      </w:r>
      <w:r w:rsidRPr="0061583D">
        <w:t>zawodową, naukową lub regulacyjną związaną</w:t>
      </w:r>
      <w:r w:rsidR="00FB3DEE" w:rsidRPr="0061583D">
        <w:t xml:space="preserve"> </w:t>
      </w:r>
      <w:r w:rsidRPr="0061583D">
        <w:t>z funkcjonowaniem rynku kryptoaktywów.</w:t>
      </w:r>
    </w:p>
    <w:p w14:paraId="07B3AA96" w14:textId="6594C392" w:rsidR="002D59AB" w:rsidRPr="0061583D" w:rsidRDefault="002D59AB" w:rsidP="0061583D">
      <w:pPr>
        <w:pStyle w:val="ZUSTzmustartykuempunktem"/>
      </w:pPr>
      <w:r w:rsidRPr="0061583D">
        <w:t>3.</w:t>
      </w:r>
      <w:r w:rsidR="0061583D" w:rsidRPr="0061583D">
        <w:t> </w:t>
      </w:r>
      <w:r w:rsidRPr="0061583D">
        <w:t>Zastępcę</w:t>
      </w:r>
      <w:r w:rsidR="00B773CA" w:rsidRPr="0061583D">
        <w:t xml:space="preserve"> Przewodniczącego Komisji</w:t>
      </w:r>
      <w:r w:rsidRPr="0061583D">
        <w:t>, o którym mowa w ust. 1, powołuje i odwołuje Prezes Rady Ministrów.</w:t>
      </w:r>
      <w:r w:rsidR="00C526B2">
        <w:t>”</w:t>
      </w:r>
      <w:r w:rsidRPr="0061583D">
        <w:t>.</w:t>
      </w:r>
    </w:p>
    <w:p w14:paraId="3EA49695" w14:textId="794E6562" w:rsidR="002D59AB" w:rsidRPr="0061583D" w:rsidRDefault="002D59AB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26.</w:t>
      </w:r>
      <w:r w:rsidR="0061583D" w:rsidRPr="0061583D">
        <w:t> </w:t>
      </w:r>
      <w:r w:rsidRPr="0061583D">
        <w:t>W ustawie z dnia 5 sierpnia 2015 r. o rozpatrywaniu reklamacji przez podmioty</w:t>
      </w:r>
      <w:r w:rsidR="00B773CA" w:rsidRPr="0061583D">
        <w:t xml:space="preserve"> </w:t>
      </w:r>
      <w:r w:rsidRPr="0061583D">
        <w:t>rynku finansowego, o Rzeczniku Finansowym i o Funduszu Edukacji Finansowej</w:t>
      </w:r>
      <w:r w:rsidR="007C07C1" w:rsidRPr="0061583D">
        <w:t xml:space="preserve"> </w:t>
      </w:r>
      <w:r w:rsidRPr="0061583D">
        <w:t>wprowadza się następujące zmiany:</w:t>
      </w:r>
    </w:p>
    <w:p w14:paraId="4B31B329" w14:textId="09B197D4" w:rsidR="002D59AB" w:rsidRPr="0061583D" w:rsidRDefault="002D59AB" w:rsidP="0061583D">
      <w:pPr>
        <w:pStyle w:val="PKTpunkt"/>
        <w:keepNext/>
      </w:pPr>
      <w:r w:rsidRPr="0061583D">
        <w:t>1)</w:t>
      </w:r>
      <w:r w:rsidR="0061583D" w:rsidRPr="0061583D">
        <w:tab/>
      </w:r>
      <w:r w:rsidRPr="0061583D">
        <w:t>w art. 2:</w:t>
      </w:r>
    </w:p>
    <w:p w14:paraId="4CB30E5A" w14:textId="7712EE28" w:rsidR="002D59AB" w:rsidRPr="0061583D" w:rsidRDefault="002D59AB" w:rsidP="0061583D">
      <w:pPr>
        <w:pStyle w:val="LITlitera"/>
        <w:keepNext/>
      </w:pPr>
      <w:r w:rsidRPr="0061583D">
        <w:t>a)</w:t>
      </w:r>
      <w:r w:rsidR="0061583D" w:rsidRPr="0061583D">
        <w:tab/>
      </w:r>
      <w:r w:rsidRPr="0061583D">
        <w:t>w pkt 1 po lit. k dodaje się lit. l w brzmieniu:</w:t>
      </w:r>
    </w:p>
    <w:p w14:paraId="0C3A601A" w14:textId="01FC651B" w:rsidR="002D59AB" w:rsidRPr="0061583D" w:rsidRDefault="00C526B2" w:rsidP="0061583D">
      <w:pPr>
        <w:pStyle w:val="ZLITLITzmlitliter"/>
      </w:pPr>
      <w:r>
        <w:t>„</w:t>
      </w:r>
      <w:r w:rsidR="002D59AB" w:rsidRPr="0061583D">
        <w:t>l)</w:t>
      </w:r>
      <w:r w:rsidR="0061583D" w:rsidRPr="0061583D">
        <w:tab/>
      </w:r>
      <w:r w:rsidR="002D59AB" w:rsidRPr="0061583D">
        <w:t xml:space="preserve">będącego osobą fizyczną klienta dostawcy usług w zakresie kryptoaktywów w rozumieniu </w:t>
      </w:r>
      <w:r w:rsidR="00453A94" w:rsidRPr="0061583D">
        <w:t xml:space="preserve">przepisów rozporządzenia Parlamentu Europejskiego i Rady (UE) 2023/1114 z dnia 31 maja 2023 r. w sprawie rynków kryptoaktywów oraz zmiany rozporządzeń (UE) nr 1093/2010 i (UE) nr 1095/2010 oraz dyrektyw </w:t>
      </w:r>
      <w:r w:rsidR="00453A94" w:rsidRPr="0061583D">
        <w:lastRenderedPageBreak/>
        <w:t>2013/36/UE i (UE) 2019/1937 (Dz. Urz. UE L 150 z 09.06.2023, str. 40, z późn. zm.</w:t>
      </w:r>
      <w:r w:rsidR="00453A94" w:rsidRPr="0061583D">
        <w:rPr>
          <w:rStyle w:val="Odwoanieprzypisudolnego"/>
        </w:rPr>
        <w:footnoteReference w:id="7"/>
      </w:r>
      <w:r w:rsidR="00453A94" w:rsidRPr="0061583D">
        <w:rPr>
          <w:rStyle w:val="IGindeksgrny"/>
        </w:rPr>
        <w:t>)</w:t>
      </w:r>
      <w:r w:rsidR="00453A94" w:rsidRPr="0061583D">
        <w:t xml:space="preserve">), zwanego dalej: </w:t>
      </w:r>
      <w:r>
        <w:t>„</w:t>
      </w:r>
      <w:r w:rsidR="00453A94" w:rsidRPr="0061583D">
        <w:t>rozporządzeniem nr 2023/1114</w:t>
      </w:r>
      <w:r>
        <w:t>”</w:t>
      </w:r>
      <w:r w:rsidR="002D59AB" w:rsidRPr="0061583D">
        <w:t>;</w:t>
      </w:r>
      <w:r>
        <w:t>”</w:t>
      </w:r>
      <w:r w:rsidR="002D59AB" w:rsidRPr="0061583D">
        <w:t>;</w:t>
      </w:r>
    </w:p>
    <w:p w14:paraId="36856AE9" w14:textId="113556DD" w:rsidR="002D59AB" w:rsidRPr="0061583D" w:rsidRDefault="002D59AB" w:rsidP="0061583D">
      <w:pPr>
        <w:pStyle w:val="LITlitera"/>
        <w:keepNext/>
      </w:pPr>
      <w:r w:rsidRPr="0061583D">
        <w:t>b)</w:t>
      </w:r>
      <w:r w:rsidR="0061583D" w:rsidRPr="0061583D">
        <w:tab/>
      </w:r>
      <w:r w:rsidRPr="0061583D">
        <w:t>w pkt 3 po lit. r dodaje się lit. s w brzmieniu:</w:t>
      </w:r>
    </w:p>
    <w:p w14:paraId="37633F97" w14:textId="50D38594" w:rsidR="002D59AB" w:rsidRPr="0061583D" w:rsidRDefault="00C526B2" w:rsidP="0061583D">
      <w:pPr>
        <w:pStyle w:val="ZLITLITzmlitliter"/>
      </w:pPr>
      <w:r>
        <w:t>„</w:t>
      </w:r>
      <w:r w:rsidR="002D59AB" w:rsidRPr="0061583D">
        <w:t>s)</w:t>
      </w:r>
      <w:r w:rsidR="0061583D" w:rsidRPr="0061583D">
        <w:tab/>
      </w:r>
      <w:r w:rsidR="002D59AB" w:rsidRPr="0061583D">
        <w:t>dostawcę usług w zakresie kryptoaktywów w rozumieniu art. 3 ust. 1 pkt 15</w:t>
      </w:r>
      <w:r w:rsidR="00453A94" w:rsidRPr="0061583D">
        <w:t xml:space="preserve"> </w:t>
      </w:r>
      <w:r w:rsidR="002D59AB" w:rsidRPr="0061583D">
        <w:t xml:space="preserve">rozporządzenia </w:t>
      </w:r>
      <w:r w:rsidR="00453A94" w:rsidRPr="0061583D">
        <w:t xml:space="preserve">nr </w:t>
      </w:r>
      <w:r w:rsidR="002D59AB" w:rsidRPr="0061583D">
        <w:t>2023/1114, świadczącego zgodnie z nim usługi na terytorium</w:t>
      </w:r>
      <w:r w:rsidR="00453A94" w:rsidRPr="0061583D">
        <w:t xml:space="preserve"> </w:t>
      </w:r>
      <w:r w:rsidR="002D59AB" w:rsidRPr="0061583D">
        <w:t>Rzeczypospolitej Polskiej;</w:t>
      </w:r>
      <w:r>
        <w:t>”</w:t>
      </w:r>
      <w:r w:rsidR="002D59AB" w:rsidRPr="0061583D">
        <w:t>;</w:t>
      </w:r>
    </w:p>
    <w:p w14:paraId="758B609D" w14:textId="3D2B3771" w:rsidR="002D59AB" w:rsidRPr="0061583D" w:rsidRDefault="002D59AB" w:rsidP="0061583D">
      <w:pPr>
        <w:pStyle w:val="PKTpunkt"/>
        <w:keepNext/>
      </w:pPr>
      <w:r w:rsidRPr="0061583D">
        <w:t>2)</w:t>
      </w:r>
      <w:r w:rsidR="0061583D" w:rsidRPr="0061583D">
        <w:tab/>
      </w:r>
      <w:r w:rsidRPr="0061583D">
        <w:t>w art. 35 dotychczasową treść oznacza się jako ust. 1 i dodaje się ust. 2 w brzmieniu:</w:t>
      </w:r>
    </w:p>
    <w:p w14:paraId="7F06624A" w14:textId="3F6CC1BE" w:rsidR="002D59AB" w:rsidRPr="0061583D" w:rsidRDefault="00C526B2" w:rsidP="0061583D">
      <w:pPr>
        <w:pStyle w:val="ZUSTzmustartykuempunktem"/>
      </w:pPr>
      <w:r>
        <w:t>„</w:t>
      </w:r>
      <w:r w:rsidR="00453A94" w:rsidRPr="0061583D">
        <w:t>2.</w:t>
      </w:r>
      <w:r w:rsidR="0061583D" w:rsidRPr="0061583D">
        <w:t> </w:t>
      </w:r>
      <w:r w:rsidR="002D59AB" w:rsidRPr="0061583D">
        <w:t>Postępowanie, o którym mowa w ust. 1, może obejmować spory wynikające ze</w:t>
      </w:r>
      <w:r w:rsidR="00453A94" w:rsidRPr="0061583D">
        <w:t xml:space="preserve"> </w:t>
      </w:r>
      <w:r w:rsidR="002D59AB" w:rsidRPr="0061583D">
        <w:t>świadczenia usług w zakresie kryptoaktywów w rozumieniu</w:t>
      </w:r>
      <w:r w:rsidR="00453A94" w:rsidRPr="0061583D">
        <w:t xml:space="preserve"> przepisów</w:t>
      </w:r>
      <w:r w:rsidR="002D59AB" w:rsidRPr="0061583D">
        <w:t xml:space="preserve"> rozporządzenia</w:t>
      </w:r>
      <w:r w:rsidR="00453A94" w:rsidRPr="0061583D">
        <w:t xml:space="preserve"> nr 2023/1114</w:t>
      </w:r>
      <w:r w:rsidR="002D59AB" w:rsidRPr="0061583D">
        <w:t>.</w:t>
      </w:r>
      <w:r>
        <w:t>”</w:t>
      </w:r>
      <w:r w:rsidR="002D59AB" w:rsidRPr="0061583D">
        <w:t>.</w:t>
      </w:r>
    </w:p>
    <w:p w14:paraId="060A3E9D" w14:textId="06FB93AA" w:rsidR="0018465C" w:rsidRPr="0061583D" w:rsidRDefault="0018465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27.</w:t>
      </w:r>
      <w:r w:rsidR="0061583D" w:rsidRPr="0061583D">
        <w:t> </w:t>
      </w:r>
      <w:r w:rsidRPr="0061583D">
        <w:t>W ustawie z dnia 1 marca 2018 r. o przeciwdziałaniu praniu pieniędzy oraz finansowaniu terroryzmu (Dz. U. z 2023 r. poz. 1124, 1285, 1723, 1843, z 2024 r. poz. 850, 1222, z 2025 r. poz. 146, 172) uchyla się art. 129m.</w:t>
      </w:r>
    </w:p>
    <w:p w14:paraId="02357E37" w14:textId="77777777" w:rsidR="00D62A70" w:rsidRPr="0061583D" w:rsidRDefault="0044751C" w:rsidP="0061583D">
      <w:pPr>
        <w:pStyle w:val="ROZDZODDZOZNoznaczenierozdziauluboddziau"/>
      </w:pPr>
      <w:r w:rsidRPr="0061583D">
        <w:t>Rozdział 11</w:t>
      </w:r>
    </w:p>
    <w:p w14:paraId="4EF1D554" w14:textId="77777777" w:rsidR="00D62A70" w:rsidRPr="0061583D" w:rsidRDefault="00D62A70" w:rsidP="0061583D">
      <w:pPr>
        <w:pStyle w:val="ROZDZODDZPRZEDMprzedmiotregulacjirozdziauluboddziau"/>
      </w:pPr>
      <w:r w:rsidRPr="0061583D">
        <w:t>Przepisy przejściowe, dostosowujące i przepis końcowy</w:t>
      </w:r>
    </w:p>
    <w:p w14:paraId="10EBD321" w14:textId="1722885F" w:rsidR="00D62A70" w:rsidRPr="0061583D" w:rsidRDefault="00D62A70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</w:t>
      </w:r>
      <w:r w:rsidR="0018465C" w:rsidRPr="0061583D">
        <w:rPr>
          <w:rStyle w:val="Ppogrubienie"/>
        </w:rPr>
        <w:t>8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Przepisy</w:t>
      </w:r>
      <w:r w:rsidR="00955D7A" w:rsidRPr="0061583D">
        <w:t xml:space="preserve"> art.</w:t>
      </w:r>
      <w:r w:rsidR="0086488A" w:rsidRPr="0061583D">
        <w:t xml:space="preserve"> 5a pkt 53 i 54 oraz art. 17 ust. 1j-1l ustawy zmienianej w art. 22 </w:t>
      </w:r>
      <w:r w:rsidRPr="0061583D">
        <w:t>stosuje</w:t>
      </w:r>
      <w:r w:rsidR="0086488A" w:rsidRPr="0061583D">
        <w:t xml:space="preserve"> </w:t>
      </w:r>
      <w:r w:rsidRPr="0061583D">
        <w:t>się do dochodów (przychodów) uzyskanych</w:t>
      </w:r>
      <w:r w:rsidR="00955D7A" w:rsidRPr="0061583D">
        <w:t xml:space="preserve"> począwszy</w:t>
      </w:r>
      <w:r w:rsidRPr="0061583D">
        <w:t xml:space="preserve"> od dnia 1 stycznia 2027 r.</w:t>
      </w:r>
    </w:p>
    <w:p w14:paraId="50FF7B5B" w14:textId="766FC5A4" w:rsidR="0086488A" w:rsidRPr="0061583D" w:rsidRDefault="0086488A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2</w:t>
      </w:r>
      <w:r w:rsidR="0018465C" w:rsidRPr="0061583D">
        <w:rPr>
          <w:rStyle w:val="Ppogrubienie"/>
        </w:rPr>
        <w:t>9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Przepisy art. 12 ust. 4 pkt 31 i 32 ustawy zmienianej w art. 23 stosuje się do dochodów (przychodów) uzyskanych począwszy od dnia 1 stycznia 2027 r.</w:t>
      </w:r>
    </w:p>
    <w:p w14:paraId="420F60B2" w14:textId="56A5595D" w:rsidR="00D62A70" w:rsidRPr="0061583D" w:rsidRDefault="0086488A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="0018465C" w:rsidRPr="0061583D">
        <w:rPr>
          <w:rStyle w:val="Ppogrubienie"/>
        </w:rPr>
        <w:t>30</w:t>
      </w:r>
      <w:r w:rsidRPr="0061583D">
        <w:rPr>
          <w:rStyle w:val="Ppogrubienie"/>
        </w:rPr>
        <w:t>.</w:t>
      </w:r>
      <w:r w:rsidR="0061583D" w:rsidRPr="0061583D">
        <w:t> </w:t>
      </w:r>
      <w:r w:rsidR="00D62A70" w:rsidRPr="0061583D">
        <w:t>Przepisy</w:t>
      </w:r>
      <w:r w:rsidRPr="0061583D">
        <w:t xml:space="preserve"> art. 180a</w:t>
      </w:r>
      <w:r w:rsidR="00D62A70" w:rsidRPr="0061583D">
        <w:t xml:space="preserve"> </w:t>
      </w:r>
      <w:r w:rsidRPr="0061583D">
        <w:t xml:space="preserve">ustawy zmienianej w </w:t>
      </w:r>
      <w:r w:rsidR="00D62A70" w:rsidRPr="0061583D">
        <w:t>art. 24 stosuje się do postępowań</w:t>
      </w:r>
      <w:r w:rsidRPr="0061583D">
        <w:t xml:space="preserve"> </w:t>
      </w:r>
      <w:r w:rsidR="00D62A70" w:rsidRPr="0061583D">
        <w:t>podatkowych wszczętych po dniu 31 grudnia 2026 r., a także do postępowań niezakończonych przed tym dniem.</w:t>
      </w:r>
    </w:p>
    <w:p w14:paraId="62FD5FFC" w14:textId="2A1288EB" w:rsidR="00D62A70" w:rsidRPr="0061583D" w:rsidRDefault="00D62A70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="0086488A" w:rsidRPr="0061583D">
        <w:rPr>
          <w:rStyle w:val="Ppogrubienie"/>
        </w:rPr>
        <w:t>3</w:t>
      </w:r>
      <w:r w:rsidR="00463D00" w:rsidRPr="0061583D">
        <w:rPr>
          <w:rStyle w:val="Ppogrubienie"/>
        </w:rPr>
        <w:t>1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 xml:space="preserve">Do dnia 1 lipca 2026 r. przepisy ustawy </w:t>
      </w:r>
      <w:r w:rsidR="00463D00" w:rsidRPr="0061583D">
        <w:t>zmienianej w art. 27</w:t>
      </w:r>
      <w:r w:rsidR="0086488A" w:rsidRPr="0061583D">
        <w:t xml:space="preserve"> </w:t>
      </w:r>
      <w:r w:rsidRPr="0061583D">
        <w:t>dotyczące walut wirtualnych oraz</w:t>
      </w:r>
      <w:r w:rsidR="0018465C" w:rsidRPr="0061583D">
        <w:t xml:space="preserve"> </w:t>
      </w:r>
      <w:r w:rsidRPr="0061583D">
        <w:t xml:space="preserve">działalności w zakresie walut wirtualnych stosuje się odpowiednio do kryptoaktywów oraz działalności w zakresie kryptoaktywów w rozumieniu </w:t>
      </w:r>
      <w:r w:rsidR="0086488A" w:rsidRPr="0061583D">
        <w:t>MiCA</w:t>
      </w:r>
      <w:r w:rsidRPr="0061583D">
        <w:t>.</w:t>
      </w:r>
    </w:p>
    <w:p w14:paraId="2D581FCA" w14:textId="5609CECC" w:rsidR="00D62A70" w:rsidRPr="0061583D" w:rsidRDefault="00D62A70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 xml:space="preserve">W okresie, o którym mowa w ust. 1, za instytucję obowiązaną w rozumieniu przepisów, o których mowa w ust. 1, uznaje się również podmiot wpisany do rejestru działalności w </w:t>
      </w:r>
      <w:r w:rsidRPr="0061583D">
        <w:lastRenderedPageBreak/>
        <w:t xml:space="preserve">zakresie walut wirtualnych, który złożył wniosek o udzielenie zezwolenia, o którym mowa w art. 62 </w:t>
      </w:r>
      <w:r w:rsidR="0018465C" w:rsidRPr="0061583D">
        <w:t>MiCA</w:t>
      </w:r>
      <w:r w:rsidRPr="0061583D">
        <w:t>.</w:t>
      </w:r>
    </w:p>
    <w:p w14:paraId="031151DA" w14:textId="3E9F6B77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3</w:t>
      </w:r>
      <w:r w:rsidR="00463D00" w:rsidRPr="0061583D">
        <w:rPr>
          <w:rStyle w:val="Ppogrubienie"/>
        </w:rPr>
        <w:t>2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1</w:t>
      </w:r>
      <w:r w:rsidR="00C526B2">
        <w:t>.</w:t>
      </w:r>
      <w:r w:rsidRPr="0061583D">
        <w:tab/>
      </w:r>
      <w:r w:rsidR="00C526B2">
        <w:t xml:space="preserve"> </w:t>
      </w:r>
      <w:r w:rsidRPr="0061583D">
        <w:t>KNF dokonuje weryfikacji kompletności wniosku o udzielenie zezwolenia, o</w:t>
      </w:r>
      <w:r w:rsidR="00463D00" w:rsidRPr="0061583D">
        <w:t xml:space="preserve"> </w:t>
      </w:r>
      <w:r w:rsidRPr="0061583D">
        <w:t>którym mowa w art. 63 MiCA, w terminie 25 dni roboczych od dnia jego złożenia.</w:t>
      </w:r>
    </w:p>
    <w:p w14:paraId="4A7DB737" w14:textId="7652D2B6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KNF może dokonać jednego wezwania do uzupełnienia wniosku w zakresie braków</w:t>
      </w:r>
      <w:r w:rsidR="00463D00" w:rsidRPr="0061583D">
        <w:t xml:space="preserve"> </w:t>
      </w:r>
      <w:r w:rsidRPr="0061583D">
        <w:t>wynikających z treści złożonego wniosku.</w:t>
      </w:r>
    </w:p>
    <w:p w14:paraId="53EAA5F6" w14:textId="293E78DB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Jeżeli w terminie, o którym mowa w ust. 1, KNF nie wezwie wnioskodawcy do</w:t>
      </w:r>
      <w:r w:rsidR="00463D00" w:rsidRPr="0061583D">
        <w:t xml:space="preserve"> </w:t>
      </w:r>
      <w:r w:rsidRPr="0061583D">
        <w:t>uzupełnienia braków wniosku, wniosek uznaje się za kompletny.</w:t>
      </w:r>
    </w:p>
    <w:p w14:paraId="6BEDABF3" w14:textId="48F62608" w:rsidR="0044751C" w:rsidRPr="0061583D" w:rsidRDefault="0044751C" w:rsidP="0061583D">
      <w:pPr>
        <w:pStyle w:val="USTustnpkodeksu"/>
      </w:pPr>
      <w:r w:rsidRPr="0061583D">
        <w:t>4.</w:t>
      </w:r>
      <w:r w:rsidR="0061583D" w:rsidRPr="0061583D">
        <w:t> </w:t>
      </w:r>
      <w:r w:rsidRPr="0061583D">
        <w:t>Po uznaniu wniosku za kompletny KNF wydaje decyzję w sprawie udzielenia zezwolenia</w:t>
      </w:r>
      <w:r w:rsidR="009E5ECF" w:rsidRPr="0061583D">
        <w:t xml:space="preserve"> </w:t>
      </w:r>
      <w:r w:rsidRPr="0061583D">
        <w:t>w terminie 45 dni roboczych od dnia uznania wniosku za kompletny, zgodnie z art. 63 MiCA.</w:t>
      </w:r>
    </w:p>
    <w:p w14:paraId="17EA8476" w14:textId="61860CC2" w:rsidR="0044751C" w:rsidRPr="0061583D" w:rsidRDefault="0044751C" w:rsidP="0061583D">
      <w:pPr>
        <w:pStyle w:val="USTustnpkodeksu"/>
      </w:pPr>
      <w:r w:rsidRPr="0061583D">
        <w:t>5.</w:t>
      </w:r>
      <w:r w:rsidR="0061583D" w:rsidRPr="0061583D">
        <w:t> </w:t>
      </w:r>
      <w:r w:rsidRPr="0061583D">
        <w:t>Wniosek uznany za kompletny pozostaje kompletny w zakresie informacji i dokumentów, o których mowa w art. 62 ust. 2 MiCA.</w:t>
      </w:r>
    </w:p>
    <w:p w14:paraId="4092056B" w14:textId="2FB93A20" w:rsidR="0044751C" w:rsidRPr="0061583D" w:rsidRDefault="000B6998" w:rsidP="0061583D">
      <w:pPr>
        <w:pStyle w:val="USTustnpkodeksu"/>
      </w:pPr>
      <w:r w:rsidRPr="0061583D">
        <w:t>6</w:t>
      </w:r>
      <w:r w:rsidR="0044751C" w:rsidRPr="0061583D">
        <w:t>.</w:t>
      </w:r>
      <w:r w:rsidR="0061583D" w:rsidRPr="0061583D">
        <w:t> </w:t>
      </w:r>
      <w:r w:rsidR="0044751C" w:rsidRPr="0061583D">
        <w:t xml:space="preserve">Przekroczenie terminów, o których mowa w ust. 1 lub ust. 4, stanowi bezczynność organu w rozumieniu </w:t>
      </w:r>
      <w:r w:rsidR="007C07C1" w:rsidRPr="0061583D">
        <w:t xml:space="preserve">przepisów </w:t>
      </w:r>
      <w:r w:rsidR="0044751C" w:rsidRPr="0061583D">
        <w:t>ustawy z dnia 30 sierpnia 2002 r. – Prawo o postępowaniu przed sądami administracyjnymi</w:t>
      </w:r>
      <w:r w:rsidR="009E5ECF" w:rsidRPr="0061583D">
        <w:t>.</w:t>
      </w:r>
    </w:p>
    <w:p w14:paraId="784A0D24" w14:textId="2D18B70C" w:rsidR="0044751C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3</w:t>
      </w:r>
      <w:r w:rsidR="000B6998" w:rsidRPr="0061583D">
        <w:rPr>
          <w:rStyle w:val="Ppogrubienie"/>
        </w:rPr>
        <w:t>3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1.</w:t>
      </w:r>
      <w:r w:rsidRPr="0061583D">
        <w:tab/>
        <w:t xml:space="preserve">Dostawca usług w zakresie kryptoaktywów, który zgodnie z </w:t>
      </w:r>
      <w:r w:rsidR="000B6998" w:rsidRPr="0061583D">
        <w:t xml:space="preserve">obowiązującymi przepisami </w:t>
      </w:r>
      <w:r w:rsidRPr="0061583D">
        <w:t xml:space="preserve">prowadził </w:t>
      </w:r>
      <w:r w:rsidR="000B6998" w:rsidRPr="0061583D">
        <w:t xml:space="preserve">przed dniem 30 grudnia 2024 r. </w:t>
      </w:r>
      <w:r w:rsidRPr="0061583D">
        <w:t>na terytorium Rzeczypospolitej Polskiej działalność w zakresie usług</w:t>
      </w:r>
      <w:r w:rsidR="000B6998" w:rsidRPr="0061583D">
        <w:t xml:space="preserve">, o których mowa </w:t>
      </w:r>
      <w:r w:rsidRPr="0061583D">
        <w:t>w tytule V MiCA, może kontynuować</w:t>
      </w:r>
      <w:r w:rsidR="000B6998" w:rsidRPr="0061583D">
        <w:t xml:space="preserve"> </w:t>
      </w:r>
      <w:r w:rsidRPr="0061583D">
        <w:t xml:space="preserve">tę działalność bez zezwolenia do </w:t>
      </w:r>
      <w:r w:rsidR="000B6998" w:rsidRPr="0061583D">
        <w:t xml:space="preserve">dnia </w:t>
      </w:r>
      <w:r w:rsidRPr="0061583D">
        <w:t>1 lipca 2026 r.</w:t>
      </w:r>
    </w:p>
    <w:p w14:paraId="4BE71AE9" w14:textId="1CFAE070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>Jeżeli dostawca, o którym mowa w ust. 1, złoży kompletny wniosek o udzielenie</w:t>
      </w:r>
      <w:r w:rsidR="000B6998" w:rsidRPr="0061583D">
        <w:t xml:space="preserve"> </w:t>
      </w:r>
      <w:r w:rsidRPr="0061583D">
        <w:t xml:space="preserve">zezwolenia, o którym mowa w art. 62 MiCA, nie później niż do </w:t>
      </w:r>
      <w:r w:rsidR="000B6998" w:rsidRPr="0061583D">
        <w:t xml:space="preserve">dnia </w:t>
      </w:r>
      <w:r w:rsidR="005837AA">
        <w:t>30</w:t>
      </w:r>
      <w:r w:rsidRPr="0061583D">
        <w:t xml:space="preserve"> czerwca 2026 r., może</w:t>
      </w:r>
      <w:r w:rsidR="000B6998" w:rsidRPr="0061583D">
        <w:t xml:space="preserve"> </w:t>
      </w:r>
      <w:r w:rsidRPr="0061583D">
        <w:t>on kontynuować działalność do dnia doręczenia ostatecznej decyzji wydanej w sprawie tego wniosku.</w:t>
      </w:r>
    </w:p>
    <w:p w14:paraId="7C0027CB" w14:textId="244FC816" w:rsidR="0044751C" w:rsidRPr="0061583D" w:rsidRDefault="0044751C" w:rsidP="0061583D">
      <w:pPr>
        <w:pStyle w:val="USTustnpkodeksu"/>
      </w:pPr>
      <w:r w:rsidRPr="0061583D">
        <w:t>3.</w:t>
      </w:r>
      <w:r w:rsidR="0061583D" w:rsidRPr="0061583D">
        <w:t> </w:t>
      </w:r>
      <w:r w:rsidRPr="0061583D">
        <w:t>Przez kompletny wniosek, o którym mowa w ust. 2, rozumie się wniosek zawierający</w:t>
      </w:r>
      <w:r w:rsidR="00513946" w:rsidRPr="0061583D">
        <w:t xml:space="preserve"> </w:t>
      </w:r>
      <w:r w:rsidRPr="0061583D">
        <w:t>informacje wymienione w art. 62 ust. 2 MiCA.</w:t>
      </w:r>
    </w:p>
    <w:p w14:paraId="2D039E11" w14:textId="742814D4" w:rsidR="0044751C" w:rsidRPr="0061583D" w:rsidRDefault="0044751C" w:rsidP="0061583D">
      <w:pPr>
        <w:pStyle w:val="USTustnpkodeksu"/>
      </w:pPr>
      <w:r w:rsidRPr="0061583D">
        <w:t>4.</w:t>
      </w:r>
      <w:r w:rsidR="0061583D" w:rsidRPr="0061583D">
        <w:t> </w:t>
      </w:r>
      <w:r w:rsidRPr="0061583D">
        <w:t>W odniesieniu do dostawców, o których mowa w ust. 1, KNF stosuje procedurę uproszczoną, o której mowa w art. 143 ust. 6 MiCA, obejmującą wyłącznie elementy wniosku, które były objęte krajowymi wymogami regulacyjnymi przed dniem 30 grudnia 2024 r. i pozostają zgodne z tytułem V MiCA.</w:t>
      </w:r>
    </w:p>
    <w:p w14:paraId="7ED3CDCF" w14:textId="53431893" w:rsidR="0044751C" w:rsidRPr="0061583D" w:rsidRDefault="0044751C" w:rsidP="0061583D">
      <w:pPr>
        <w:pStyle w:val="USTustnpkodeksu"/>
      </w:pPr>
      <w:r w:rsidRPr="0061583D">
        <w:t>5.</w:t>
      </w:r>
      <w:r w:rsidR="0061583D" w:rsidRPr="0061583D">
        <w:t> </w:t>
      </w:r>
      <w:r w:rsidRPr="0061583D">
        <w:t>Wyłącznie na potrzeby stosowania art. 143 ust. 6 MiCA, za podmiot posiadający</w:t>
      </w:r>
      <w:r w:rsidR="00513946" w:rsidRPr="0061583D">
        <w:t xml:space="preserve"> </w:t>
      </w:r>
      <w:r w:rsidRPr="0061583D">
        <w:t>zezwolenie na podstawie prawa krajowego uznaje się również podmiot, o którym mowa w</w:t>
      </w:r>
      <w:r w:rsidR="00513946" w:rsidRPr="0061583D">
        <w:t xml:space="preserve"> </w:t>
      </w:r>
      <w:r w:rsidRPr="0061583D">
        <w:t xml:space="preserve">ust. </w:t>
      </w:r>
      <w:r w:rsidRPr="0061583D">
        <w:lastRenderedPageBreak/>
        <w:t>1, wpisany do rejestru działalności w zakresie walut wirtualnych, o ile wpis ten</w:t>
      </w:r>
      <w:r w:rsidR="00513946" w:rsidRPr="0061583D">
        <w:t xml:space="preserve"> </w:t>
      </w:r>
      <w:r w:rsidRPr="0061583D">
        <w:t>obejmował działalność odpowiadającą usługom objętym tytułem V MiCA.</w:t>
      </w:r>
    </w:p>
    <w:p w14:paraId="698FC6F3" w14:textId="188A10CA" w:rsidR="0044751C" w:rsidRPr="0061583D" w:rsidRDefault="0044751C" w:rsidP="0061583D">
      <w:pPr>
        <w:pStyle w:val="ARTartustawynprozporzdzenia"/>
        <w:keepNext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3</w:t>
      </w:r>
      <w:r w:rsidR="00513946" w:rsidRPr="0061583D">
        <w:rPr>
          <w:rStyle w:val="Ppogrubienie"/>
        </w:rPr>
        <w:t>4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>1.</w:t>
      </w:r>
      <w:r w:rsidR="00D62A70" w:rsidRPr="0061583D">
        <w:t xml:space="preserve"> </w:t>
      </w:r>
      <w:r w:rsidRPr="0061583D">
        <w:t xml:space="preserve">W okresie, o którym mowa w art. </w:t>
      </w:r>
      <w:r w:rsidR="00513946" w:rsidRPr="0061583D">
        <w:t>31 ust. 1</w:t>
      </w:r>
      <w:r w:rsidRPr="0061583D">
        <w:t>, dostawca usług w zakresie</w:t>
      </w:r>
      <w:r w:rsidR="00513946" w:rsidRPr="0061583D">
        <w:t xml:space="preserve"> </w:t>
      </w:r>
      <w:r w:rsidRPr="0061583D">
        <w:t>kryptoaktywów jest obowiązany:</w:t>
      </w:r>
    </w:p>
    <w:p w14:paraId="4BD04B97" w14:textId="7FBBCFF7" w:rsidR="0044751C" w:rsidRPr="0061583D" w:rsidRDefault="00FB3DEE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>wykonywać obowiązki wynikające z przepisów o przeciwdziałaniu praniu pieniędzy oraz finansowaniu terroryzmu;</w:t>
      </w:r>
    </w:p>
    <w:p w14:paraId="10F0CE9A" w14:textId="4C6C7CB1" w:rsidR="0044751C" w:rsidRPr="0061583D" w:rsidRDefault="00FB3DEE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działać w sposób rzetelny, uczciwy i profesjonalny, z uwzględnieniem najlepiej pojętego interesu klientów;</w:t>
      </w:r>
    </w:p>
    <w:p w14:paraId="0132AF42" w14:textId="6D0BD63D" w:rsidR="0044751C" w:rsidRPr="0061583D" w:rsidRDefault="00FB3DEE" w:rsidP="0061583D">
      <w:pPr>
        <w:pStyle w:val="PKTpunkt"/>
      </w:pPr>
      <w:r w:rsidRPr="0061583D">
        <w:t>3)</w:t>
      </w:r>
      <w:r w:rsidR="0061583D" w:rsidRPr="0061583D">
        <w:tab/>
      </w:r>
      <w:r w:rsidR="0044751C" w:rsidRPr="0061583D">
        <w:t>zamieszczać na swojej stronie internetowej, w widocznym miejscu, informację o</w:t>
      </w:r>
      <w:r w:rsidR="00513946" w:rsidRPr="0061583D">
        <w:t xml:space="preserve"> </w:t>
      </w:r>
      <w:r w:rsidR="0044751C" w:rsidRPr="0061583D">
        <w:t>prowadzeniu działalności w okresie przejściowym oraz</w:t>
      </w:r>
      <w:r w:rsidR="00513946" w:rsidRPr="0061583D">
        <w:t xml:space="preserve"> informację o złożeniu wniosku, o którym mowa w art. 33 ust. 2</w:t>
      </w:r>
      <w:r w:rsidR="0044751C" w:rsidRPr="0061583D">
        <w:t xml:space="preserve"> – w przypadku złożenia </w:t>
      </w:r>
      <w:r w:rsidR="00513946" w:rsidRPr="0061583D">
        <w:t xml:space="preserve">takiego </w:t>
      </w:r>
      <w:r w:rsidR="0044751C" w:rsidRPr="0061583D">
        <w:t>wniosku.</w:t>
      </w:r>
    </w:p>
    <w:p w14:paraId="17D8BEAA" w14:textId="4025E2C6" w:rsidR="00513946" w:rsidRPr="0061583D" w:rsidRDefault="0044751C" w:rsidP="0061583D">
      <w:pPr>
        <w:pStyle w:val="USTustnpkodeksu"/>
        <w:keepNext/>
      </w:pPr>
      <w:r w:rsidRPr="0061583D">
        <w:t>2.</w:t>
      </w:r>
      <w:r w:rsidR="0061583D" w:rsidRPr="0061583D">
        <w:t> </w:t>
      </w:r>
      <w:r w:rsidRPr="0061583D">
        <w:t xml:space="preserve">Niespełnienie obowiązków, o których mowa w ust. 1, stwierdzone przez KNF w drodze decyzji ostatecznej, wyłącza możliwość korzystania z uprawnienia, o którym mowa w art. </w:t>
      </w:r>
      <w:r w:rsidR="00513946" w:rsidRPr="0061583D">
        <w:t>3</w:t>
      </w:r>
      <w:r w:rsidR="007C07C1" w:rsidRPr="0061583D">
        <w:t>3</w:t>
      </w:r>
      <w:r w:rsidRPr="0061583D">
        <w:t xml:space="preserve"> ust. 2, wyłącznie w przypadku istotnych naruszeń, które:</w:t>
      </w:r>
    </w:p>
    <w:p w14:paraId="6EBD90E8" w14:textId="3E070DD3" w:rsidR="00513946" w:rsidRPr="0061583D" w:rsidRDefault="00FB3DEE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>miały lub mogły mieć istotny negatywny wpływ na interesy klientów, albo</w:t>
      </w:r>
    </w:p>
    <w:p w14:paraId="26BEBDCE" w14:textId="2D5C55EA" w:rsidR="0044751C" w:rsidRPr="0061583D" w:rsidRDefault="00FB3DEE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polegały na rażącym naruszeniu obowiązków informacyjnych wobec klientów.</w:t>
      </w:r>
    </w:p>
    <w:p w14:paraId="3331AEBC" w14:textId="0C382037" w:rsidR="0044751C" w:rsidRPr="007D0A7C" w:rsidRDefault="0044751C" w:rsidP="007D0A7C">
      <w:pPr>
        <w:pStyle w:val="ARTartustawynprozporzdzenia"/>
      </w:pPr>
      <w:r w:rsidRPr="007D0A7C">
        <w:rPr>
          <w:rStyle w:val="Ppogrubienie"/>
        </w:rPr>
        <w:t>Art.</w:t>
      </w:r>
      <w:r w:rsidR="0061583D" w:rsidRPr="007D0A7C">
        <w:rPr>
          <w:rStyle w:val="Ppogrubienie"/>
        </w:rPr>
        <w:t> </w:t>
      </w:r>
      <w:r w:rsidRPr="007D0A7C">
        <w:rPr>
          <w:rStyle w:val="Ppogrubienie"/>
        </w:rPr>
        <w:t>3</w:t>
      </w:r>
      <w:r w:rsidR="00513946" w:rsidRPr="007D0A7C">
        <w:rPr>
          <w:rStyle w:val="Ppogrubienie"/>
        </w:rPr>
        <w:t>5</w:t>
      </w:r>
      <w:r w:rsidRPr="007D0A7C">
        <w:rPr>
          <w:rStyle w:val="Ppogrubienie"/>
        </w:rPr>
        <w:t>.</w:t>
      </w:r>
      <w:r w:rsidR="0061583D" w:rsidRPr="007D0A7C">
        <w:t> </w:t>
      </w:r>
      <w:r w:rsidRPr="007D0A7C">
        <w:t>1.</w:t>
      </w:r>
      <w:r w:rsidR="00C526B2">
        <w:t xml:space="preserve"> </w:t>
      </w:r>
      <w:r w:rsidRPr="007D0A7C">
        <w:t>KNF może w pierwszej kolejności rozpatrywać wnioski podmiotów, których działalność:</w:t>
      </w:r>
    </w:p>
    <w:p w14:paraId="14092A28" w14:textId="0901FD83" w:rsidR="0044751C" w:rsidRPr="0061583D" w:rsidRDefault="00FB3DEE" w:rsidP="0061583D">
      <w:pPr>
        <w:pStyle w:val="PKTpunkt"/>
      </w:pPr>
      <w:r w:rsidRPr="0061583D">
        <w:t>1)</w:t>
      </w:r>
      <w:r w:rsidR="0061583D" w:rsidRPr="0061583D">
        <w:tab/>
      </w:r>
      <w:r w:rsidR="0044751C" w:rsidRPr="0061583D">
        <w:t>obejmuje znaczną liczbę klientów lub użytkowników</w:t>
      </w:r>
      <w:r w:rsidRPr="0061583D">
        <w:t>;</w:t>
      </w:r>
    </w:p>
    <w:p w14:paraId="3EA2FB6D" w14:textId="0DFEB849" w:rsidR="0044751C" w:rsidRPr="0061583D" w:rsidRDefault="00FB3DEE" w:rsidP="0061583D">
      <w:pPr>
        <w:pStyle w:val="PKTpunkt"/>
      </w:pPr>
      <w:r w:rsidRPr="0061583D">
        <w:t>2)</w:t>
      </w:r>
      <w:r w:rsidR="0061583D" w:rsidRPr="0061583D">
        <w:tab/>
      </w:r>
      <w:r w:rsidR="0044751C" w:rsidRPr="0061583D">
        <w:t>wiąże się z przechowywaniem środków klientów</w:t>
      </w:r>
      <w:r w:rsidRPr="0061583D">
        <w:t>;</w:t>
      </w:r>
    </w:p>
    <w:p w14:paraId="0D945599" w14:textId="479839E5" w:rsidR="0044751C" w:rsidRPr="0061583D" w:rsidRDefault="00FB3DEE" w:rsidP="0061583D">
      <w:pPr>
        <w:pStyle w:val="PKTpunkt"/>
      </w:pPr>
      <w:r w:rsidRPr="0061583D">
        <w:t>3)</w:t>
      </w:r>
      <w:r w:rsidR="0061583D" w:rsidRPr="0061583D">
        <w:tab/>
      </w:r>
      <w:r w:rsidR="0044751C" w:rsidRPr="0061583D">
        <w:t xml:space="preserve">ma istotne znaczenie dla ciągłości funkcjonowania rynku kryptoaktywów </w:t>
      </w:r>
      <w:r w:rsidR="0053142A" w:rsidRPr="0061583D">
        <w:t xml:space="preserve">na terytorium </w:t>
      </w:r>
      <w:r w:rsidR="0044751C" w:rsidRPr="0061583D">
        <w:t>Rzeczypospolitej Polskiej.</w:t>
      </w:r>
    </w:p>
    <w:p w14:paraId="5A2693B6" w14:textId="1BFB5B45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="0053142A" w:rsidRPr="0061583D">
        <w:t>Uprawnienie</w:t>
      </w:r>
      <w:r w:rsidRPr="0061583D">
        <w:t>, o któr</w:t>
      </w:r>
      <w:r w:rsidR="0053142A" w:rsidRPr="0061583D">
        <w:t>ym</w:t>
      </w:r>
      <w:r w:rsidRPr="0061583D">
        <w:t xml:space="preserve"> mowa w ust. 1, nie może prowadzić do nierozpatrzenia pozostałych wniosków w termin</w:t>
      </w:r>
      <w:r w:rsidR="0061583D" w:rsidRPr="0061583D">
        <w:t xml:space="preserve">ach określonych w </w:t>
      </w:r>
      <w:r w:rsidR="007C07C1" w:rsidRPr="0061583D">
        <w:t xml:space="preserve">obowiązujących </w:t>
      </w:r>
      <w:r w:rsidRPr="0061583D">
        <w:t>przepis</w:t>
      </w:r>
      <w:r w:rsidR="0061583D" w:rsidRPr="0061583D">
        <w:t>ach</w:t>
      </w:r>
      <w:r w:rsidRPr="0061583D">
        <w:t>.</w:t>
      </w:r>
    </w:p>
    <w:p w14:paraId="7FB57800" w14:textId="7895201E" w:rsidR="00D62A70" w:rsidRPr="0061583D" w:rsidRDefault="0044751C" w:rsidP="0061583D">
      <w:pPr>
        <w:pStyle w:val="ARTartustawynprozporzdzenia"/>
      </w:pPr>
      <w:r w:rsidRPr="005743D2">
        <w:rPr>
          <w:rStyle w:val="Ppogrubienie"/>
        </w:rPr>
        <w:t>Art.</w:t>
      </w:r>
      <w:r w:rsidR="0061583D" w:rsidRPr="005743D2">
        <w:rPr>
          <w:rStyle w:val="Ppogrubienie"/>
        </w:rPr>
        <w:t> </w:t>
      </w:r>
      <w:r w:rsidRPr="005743D2">
        <w:rPr>
          <w:rStyle w:val="Ppogrubienie"/>
        </w:rPr>
        <w:t>3</w:t>
      </w:r>
      <w:r w:rsidR="00513946" w:rsidRPr="005743D2">
        <w:rPr>
          <w:rStyle w:val="Ppogrubienie"/>
        </w:rPr>
        <w:t>6</w:t>
      </w:r>
      <w:r w:rsidRPr="005743D2">
        <w:rPr>
          <w:rStyle w:val="Ppogrubienie"/>
        </w:rPr>
        <w:t>.</w:t>
      </w:r>
      <w:r w:rsidR="0061583D" w:rsidRPr="0061583D">
        <w:t> </w:t>
      </w:r>
      <w:r w:rsidRPr="0061583D">
        <w:t>1.</w:t>
      </w:r>
      <w:r w:rsidR="00C526B2">
        <w:t xml:space="preserve"> </w:t>
      </w:r>
      <w:r w:rsidRPr="0061583D">
        <w:t xml:space="preserve">Z dniem 1 lipca 2026 r. wygasa uprawnienie do kontynuowania działalności, o którym mowa w art. </w:t>
      </w:r>
      <w:r w:rsidR="00513946" w:rsidRPr="0061583D">
        <w:t>33</w:t>
      </w:r>
      <w:r w:rsidRPr="0061583D">
        <w:t xml:space="preserve"> ust. 1.</w:t>
      </w:r>
    </w:p>
    <w:p w14:paraId="260ECBBC" w14:textId="5352A886" w:rsidR="0044751C" w:rsidRPr="0061583D" w:rsidRDefault="0044751C" w:rsidP="0061583D">
      <w:pPr>
        <w:pStyle w:val="USTustnpkodeksu"/>
      </w:pPr>
      <w:r w:rsidRPr="0061583D">
        <w:t>2.</w:t>
      </w:r>
      <w:r w:rsidR="0061583D" w:rsidRPr="0061583D">
        <w:t> </w:t>
      </w:r>
      <w:r w:rsidRPr="0061583D">
        <w:t xml:space="preserve">Uprawnienie, o którym mowa w art. </w:t>
      </w:r>
      <w:r w:rsidR="00513946" w:rsidRPr="0061583D">
        <w:t>33</w:t>
      </w:r>
      <w:r w:rsidRPr="0061583D">
        <w:t xml:space="preserve"> ust. 2, wygasa z dniem doręczenia ostatecznej</w:t>
      </w:r>
      <w:r w:rsidR="0061583D" w:rsidRPr="0061583D">
        <w:t xml:space="preserve"> </w:t>
      </w:r>
      <w:r w:rsidRPr="0061583D">
        <w:t>decyzji wydanej w sprawie wniosku, o którym mowa w tym przepisie, albo z dniem cofnięcia wniosku.</w:t>
      </w:r>
    </w:p>
    <w:p w14:paraId="32056E09" w14:textId="2A855CE9" w:rsidR="00FC3B55" w:rsidRPr="0061583D" w:rsidRDefault="0044751C" w:rsidP="0061583D">
      <w:pPr>
        <w:pStyle w:val="ARTartustawynprozporzdzenia"/>
      </w:pPr>
      <w:r w:rsidRPr="0061583D">
        <w:rPr>
          <w:rStyle w:val="Ppogrubienie"/>
        </w:rPr>
        <w:t>Art.</w:t>
      </w:r>
      <w:r w:rsidR="0061583D" w:rsidRPr="0061583D">
        <w:rPr>
          <w:rStyle w:val="Ppogrubienie"/>
        </w:rPr>
        <w:t> </w:t>
      </w:r>
      <w:r w:rsidRPr="0061583D">
        <w:rPr>
          <w:rStyle w:val="Ppogrubienie"/>
        </w:rPr>
        <w:t>3</w:t>
      </w:r>
      <w:r w:rsidR="00513946" w:rsidRPr="0061583D">
        <w:rPr>
          <w:rStyle w:val="Ppogrubienie"/>
        </w:rPr>
        <w:t>7</w:t>
      </w:r>
      <w:r w:rsidRPr="0061583D">
        <w:rPr>
          <w:rStyle w:val="Ppogrubienie"/>
        </w:rPr>
        <w:t>.</w:t>
      </w:r>
      <w:r w:rsidR="0061583D" w:rsidRPr="0061583D">
        <w:t> </w:t>
      </w:r>
      <w:r w:rsidRPr="0061583D">
        <w:t xml:space="preserve">Ustawa wchodzi w życie po upływie </w:t>
      </w:r>
      <w:r w:rsidR="00FE3FEF">
        <w:t>z dniem</w:t>
      </w:r>
      <w:r w:rsidRPr="0061583D">
        <w:t xml:space="preserve"> ogłosz</w:t>
      </w:r>
      <w:r w:rsidR="00D62A70" w:rsidRPr="0061583D">
        <w:t>enia</w:t>
      </w:r>
      <w:r w:rsidR="0018465C" w:rsidRPr="0061583D">
        <w:t xml:space="preserve">, z wyjątkiem art. 27, który wchodzi w życie z dniem </w:t>
      </w:r>
      <w:r w:rsidR="007D0A7C">
        <w:t xml:space="preserve">31 grudnia </w:t>
      </w:r>
      <w:r w:rsidR="0018465C" w:rsidRPr="0061583D">
        <w:t>2026 r.</w:t>
      </w:r>
    </w:p>
    <w:sectPr w:rsidR="00FC3B55" w:rsidRPr="0061583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867D" w14:textId="77777777" w:rsidR="00005D6E" w:rsidRDefault="00005D6E">
      <w:r>
        <w:separator/>
      </w:r>
    </w:p>
  </w:endnote>
  <w:endnote w:type="continuationSeparator" w:id="0">
    <w:p w14:paraId="13B218F5" w14:textId="77777777" w:rsidR="00005D6E" w:rsidRDefault="0000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4A48" w14:textId="77777777" w:rsidR="00005D6E" w:rsidRDefault="00005D6E">
      <w:r>
        <w:separator/>
      </w:r>
    </w:p>
  </w:footnote>
  <w:footnote w:type="continuationSeparator" w:id="0">
    <w:p w14:paraId="3370AD1D" w14:textId="77777777" w:rsidR="00005D6E" w:rsidRDefault="00005D6E">
      <w:r>
        <w:continuationSeparator/>
      </w:r>
    </w:p>
  </w:footnote>
  <w:footnote w:id="1">
    <w:p w14:paraId="6ECA5363" w14:textId="1145E33E" w:rsidR="00BE4335" w:rsidRPr="00BE4335" w:rsidRDefault="00BE4335" w:rsidP="00BE4335">
      <w:pPr>
        <w:pStyle w:val="ODNONIKtreodnonika"/>
        <w:rPr>
          <w:vertAlign w:val="superscript"/>
        </w:rPr>
      </w:pPr>
      <w:r w:rsidRPr="009C520B">
        <w:rPr>
          <w:rStyle w:val="IGindeksgrny"/>
        </w:rPr>
        <w:footnoteRef/>
      </w:r>
      <w:r w:rsidRPr="009C520B">
        <w:rPr>
          <w:rStyle w:val="IGindeksgrny"/>
        </w:rPr>
        <w:t>)</w:t>
      </w:r>
      <w:r>
        <w:tab/>
      </w:r>
      <w:r w:rsidRPr="00BE4335">
        <w:t>Niniejsza ustawa służy stosowaniu rozporządzenia Parlamentu Europejskiego i Rady (UE) 2023/1114 z dnia 31 maja 2023 r. w sprawie rynków kryptoaktywów oraz zmiany rozporządzeń (UE) nr 1093/2010 i (UE) nr 1095/2010 oraz dyrektyw 2013/36/UE i (UE) 2019/1937 (Dz. Urz. UE L 150 z 09.06.2023, str. 40, Dz. Urz. UE L 2023/2869 z 20.12.2023, Dz. Urz. UE L 2024/90275 z 02.05.2024 oraz Dz. Urz. UE L 2024/90658 z 30.10.2024).</w:t>
      </w:r>
    </w:p>
  </w:footnote>
  <w:footnote w:id="2">
    <w:p w14:paraId="72AD6ADE" w14:textId="0BF214E7" w:rsidR="00BE4335" w:rsidRPr="00BE4335" w:rsidRDefault="00BE4335" w:rsidP="00BE4335">
      <w:pPr>
        <w:pStyle w:val="ODNONIKtreodnonika"/>
      </w:pPr>
      <w:r w:rsidRPr="009C520B">
        <w:rPr>
          <w:rStyle w:val="IGindeksgrny"/>
        </w:rPr>
        <w:footnoteRef/>
      </w:r>
      <w:r w:rsidRPr="009C520B">
        <w:rPr>
          <w:rStyle w:val="IGindeksgrny"/>
        </w:rPr>
        <w:t>)</w:t>
      </w:r>
      <w:r>
        <w:tab/>
      </w:r>
      <w:r w:rsidRPr="00BE4335">
        <w:t>Niniejszą ustawą zmienia się ustawy:</w:t>
      </w:r>
      <w:r>
        <w:t xml:space="preserve"> </w:t>
      </w:r>
      <w:r w:rsidR="009C520B" w:rsidRPr="009C520B">
        <w:t>ustaw</w:t>
      </w:r>
      <w:r w:rsidR="009C520B">
        <w:t>ę</w:t>
      </w:r>
      <w:r w:rsidR="009C520B" w:rsidRPr="009C520B">
        <w:t xml:space="preserve"> z dnia 26 lipca 1991 r. o podatku dochodowym od osób fizycznych</w:t>
      </w:r>
      <w:r w:rsidR="009C520B">
        <w:t xml:space="preserve">, </w:t>
      </w:r>
      <w:r w:rsidR="009C520B" w:rsidRPr="009C520B">
        <w:t>ustaw</w:t>
      </w:r>
      <w:r w:rsidR="009C520B">
        <w:t>ę</w:t>
      </w:r>
      <w:r w:rsidR="009C520B" w:rsidRPr="009C520B">
        <w:t xml:space="preserve"> z dnia 15 lutego 1992 r. o podatku dochodowym od osób prawnych</w:t>
      </w:r>
      <w:r w:rsidR="009C520B">
        <w:t xml:space="preserve">, </w:t>
      </w:r>
      <w:r w:rsidR="009C520B" w:rsidRPr="009C520B">
        <w:t>ustaw</w:t>
      </w:r>
      <w:r w:rsidR="009C520B">
        <w:t>ę</w:t>
      </w:r>
      <w:r w:rsidR="009C520B" w:rsidRPr="009C520B">
        <w:t xml:space="preserve"> z dnia 29 sierpnia 1997 r. – Ordynacja podatkowa</w:t>
      </w:r>
      <w:r w:rsidR="009C520B">
        <w:t xml:space="preserve">, </w:t>
      </w:r>
      <w:r w:rsidR="009C520B" w:rsidRPr="009C520B">
        <w:t>ustaw</w:t>
      </w:r>
      <w:r w:rsidR="009C520B">
        <w:t>ę</w:t>
      </w:r>
      <w:r w:rsidR="009C520B" w:rsidRPr="009C520B">
        <w:t xml:space="preserve"> z dnia 21 lipca 2006 r. o nadzorze nad rynkiem finansowym</w:t>
      </w:r>
      <w:r w:rsidR="009C520B">
        <w:t xml:space="preserve">, </w:t>
      </w:r>
      <w:r w:rsidRPr="00BE4335">
        <w:t>ustaw</w:t>
      </w:r>
      <w:r>
        <w:t>ę</w:t>
      </w:r>
      <w:r w:rsidRPr="00BE4335">
        <w:t xml:space="preserve"> z dnia 5 sierpnia 2015 r. o rozpatrywaniu reklamacji przez podmioty rynku finansowego, o Rzeczniku Finansowym i o Funduszu Edukacji Finansowej</w:t>
      </w:r>
      <w:r w:rsidR="0058158B">
        <w:t xml:space="preserve"> oraz </w:t>
      </w:r>
      <w:r w:rsidR="0058158B" w:rsidRPr="0058158B">
        <w:t>ustaw</w:t>
      </w:r>
      <w:r w:rsidR="0058158B">
        <w:t>ę</w:t>
      </w:r>
      <w:r w:rsidR="0058158B" w:rsidRPr="0058158B">
        <w:t xml:space="preserve"> z dnia 1 marca 2018 r. o przeciwdziałaniu praniu pieniędzy oraz finansowaniu terroryzmu</w:t>
      </w:r>
      <w:r w:rsidR="0058158B">
        <w:t>.</w:t>
      </w:r>
    </w:p>
  </w:footnote>
  <w:footnote w:id="3">
    <w:p w14:paraId="62B646FC" w14:textId="52A17897" w:rsidR="00C86217" w:rsidRPr="00C86217" w:rsidRDefault="00C86217" w:rsidP="00C8621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6217">
        <w:t>Zmiany wymienionego rozporządzenia zostały ogłoszone w Dz. Urz. UE L 2023/2869 z 20.12.2023, Dz. Urz. UE L 2024/90275 z 02.05.2024 oraz Dz. Urz. UE L 2024/90658 z 30.10.2024.</w:t>
      </w:r>
    </w:p>
  </w:footnote>
  <w:footnote w:id="4">
    <w:p w14:paraId="3F324A81" w14:textId="77777777" w:rsidR="00A1254C" w:rsidRPr="00A1254C" w:rsidRDefault="00A1254C" w:rsidP="00A1254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1254C">
        <w:t>Zmiany wymienionego rozporządzenia zostały ogłoszone w Dz. Urz. UE L 2023/2869 z 20.12.2023, Dz. Urz. UE L 2024/90275 z 02.05.2024 oraz Dz. Urz. UE L 2024/90658 z 30.10.2024.</w:t>
      </w:r>
    </w:p>
  </w:footnote>
  <w:footnote w:id="5">
    <w:p w14:paraId="3114BFCC" w14:textId="77777777" w:rsidR="00A1254C" w:rsidRPr="00A1254C" w:rsidRDefault="00A1254C" w:rsidP="00A1254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1254C">
        <w:t>Zmiany wymienionego rozporządzenia zostały ogłoszone w Dz. Urz. UE L 2023/2869 z 20.12.2023, Dz. Urz. UE L 2024/90275 z 02.05.2024 oraz Dz. Urz. UE L 2024/90658 z 30.10.2024.</w:t>
      </w:r>
    </w:p>
    <w:p w14:paraId="777852B5" w14:textId="040ED206" w:rsidR="00A1254C" w:rsidRPr="00A1254C" w:rsidRDefault="00A1254C" w:rsidP="00A1254C">
      <w:pPr>
        <w:pStyle w:val="ODNONIKtreodnonika"/>
      </w:pPr>
    </w:p>
  </w:footnote>
  <w:footnote w:id="6">
    <w:p w14:paraId="6766165E" w14:textId="74D9CE12" w:rsidR="00B93C81" w:rsidRPr="00B93C81" w:rsidRDefault="00B93C81" w:rsidP="00B93C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93C81">
        <w:t>Zmiany wymienionego rozporządzenia zostały ogłoszone w Dz. Urz. UE L 2023/2869 z 20.12.2023, Dz. Urz. UE L 2024/90275 z 02.05.2024 oraz Dz. Urz. UE L 2024/90658 z 30.10.2024.</w:t>
      </w:r>
    </w:p>
  </w:footnote>
  <w:footnote w:id="7">
    <w:p w14:paraId="45D2315A" w14:textId="0EBE1EDB" w:rsidR="00453A94" w:rsidRPr="00453A94" w:rsidRDefault="00453A94" w:rsidP="00453A9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B93C81" w:rsidRPr="00B93C81">
        <w:t>Zmiany wymienionego rozporządzenia zostały ogłoszone w Dz. Urz. UE L 2023/2869 z 20.12.2023, Dz. Urz. UE L 2024/90275 z 02.05.2024 oraz Dz. Urz. UE L 2024/90658 z 30.10.2024.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E20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4574427">
    <w:abstractNumId w:val="23"/>
  </w:num>
  <w:num w:numId="2" w16cid:durableId="1288927749">
    <w:abstractNumId w:val="23"/>
  </w:num>
  <w:num w:numId="3" w16cid:durableId="484470298">
    <w:abstractNumId w:val="18"/>
  </w:num>
  <w:num w:numId="4" w16cid:durableId="2013676672">
    <w:abstractNumId w:val="18"/>
  </w:num>
  <w:num w:numId="5" w16cid:durableId="2084643951">
    <w:abstractNumId w:val="35"/>
  </w:num>
  <w:num w:numId="6" w16cid:durableId="1064450872">
    <w:abstractNumId w:val="31"/>
  </w:num>
  <w:num w:numId="7" w16cid:durableId="1945528823">
    <w:abstractNumId w:val="35"/>
  </w:num>
  <w:num w:numId="8" w16cid:durableId="1110469374">
    <w:abstractNumId w:val="31"/>
  </w:num>
  <w:num w:numId="9" w16cid:durableId="1404528553">
    <w:abstractNumId w:val="35"/>
  </w:num>
  <w:num w:numId="10" w16cid:durableId="1781028446">
    <w:abstractNumId w:val="31"/>
  </w:num>
  <w:num w:numId="11" w16cid:durableId="1702515069">
    <w:abstractNumId w:val="14"/>
  </w:num>
  <w:num w:numId="12" w16cid:durableId="720984352">
    <w:abstractNumId w:val="10"/>
  </w:num>
  <w:num w:numId="13" w16cid:durableId="1644383553">
    <w:abstractNumId w:val="15"/>
  </w:num>
  <w:num w:numId="14" w16cid:durableId="228855211">
    <w:abstractNumId w:val="26"/>
  </w:num>
  <w:num w:numId="15" w16cid:durableId="1419473813">
    <w:abstractNumId w:val="14"/>
  </w:num>
  <w:num w:numId="16" w16cid:durableId="1300569303">
    <w:abstractNumId w:val="16"/>
  </w:num>
  <w:num w:numId="17" w16cid:durableId="1735812659">
    <w:abstractNumId w:val="8"/>
  </w:num>
  <w:num w:numId="18" w16cid:durableId="580413557">
    <w:abstractNumId w:val="3"/>
  </w:num>
  <w:num w:numId="19" w16cid:durableId="1514032473">
    <w:abstractNumId w:val="2"/>
  </w:num>
  <w:num w:numId="20" w16cid:durableId="1457290792">
    <w:abstractNumId w:val="1"/>
  </w:num>
  <w:num w:numId="21" w16cid:durableId="725449314">
    <w:abstractNumId w:val="0"/>
  </w:num>
  <w:num w:numId="22" w16cid:durableId="1051921983">
    <w:abstractNumId w:val="9"/>
  </w:num>
  <w:num w:numId="23" w16cid:durableId="742794973">
    <w:abstractNumId w:val="7"/>
  </w:num>
  <w:num w:numId="24" w16cid:durableId="721753507">
    <w:abstractNumId w:val="6"/>
  </w:num>
  <w:num w:numId="25" w16cid:durableId="122895371">
    <w:abstractNumId w:val="5"/>
  </w:num>
  <w:num w:numId="26" w16cid:durableId="327171886">
    <w:abstractNumId w:val="4"/>
  </w:num>
  <w:num w:numId="27" w16cid:durableId="1512909712">
    <w:abstractNumId w:val="33"/>
  </w:num>
  <w:num w:numId="28" w16cid:durableId="100496805">
    <w:abstractNumId w:val="25"/>
  </w:num>
  <w:num w:numId="29" w16cid:durableId="1493984989">
    <w:abstractNumId w:val="36"/>
  </w:num>
  <w:num w:numId="30" w16cid:durableId="816803513">
    <w:abstractNumId w:val="32"/>
  </w:num>
  <w:num w:numId="31" w16cid:durableId="1812166264">
    <w:abstractNumId w:val="19"/>
  </w:num>
  <w:num w:numId="32" w16cid:durableId="228543713">
    <w:abstractNumId w:val="11"/>
  </w:num>
  <w:num w:numId="33" w16cid:durableId="1970090030">
    <w:abstractNumId w:val="30"/>
  </w:num>
  <w:num w:numId="34" w16cid:durableId="1811434345">
    <w:abstractNumId w:val="20"/>
  </w:num>
  <w:num w:numId="35" w16cid:durableId="1511336966">
    <w:abstractNumId w:val="17"/>
  </w:num>
  <w:num w:numId="36" w16cid:durableId="1305038375">
    <w:abstractNumId w:val="22"/>
  </w:num>
  <w:num w:numId="37" w16cid:durableId="1847789006">
    <w:abstractNumId w:val="27"/>
  </w:num>
  <w:num w:numId="38" w16cid:durableId="1823302794">
    <w:abstractNumId w:val="24"/>
  </w:num>
  <w:num w:numId="39" w16cid:durableId="1898665519">
    <w:abstractNumId w:val="13"/>
  </w:num>
  <w:num w:numId="40" w16cid:durableId="1935630454">
    <w:abstractNumId w:val="29"/>
  </w:num>
  <w:num w:numId="41" w16cid:durableId="1650863183">
    <w:abstractNumId w:val="28"/>
  </w:num>
  <w:num w:numId="42" w16cid:durableId="575895625">
    <w:abstractNumId w:val="21"/>
  </w:num>
  <w:num w:numId="43" w16cid:durableId="943616110">
    <w:abstractNumId w:val="34"/>
  </w:num>
  <w:num w:numId="44" w16cid:durableId="189014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1C"/>
    <w:rsid w:val="000012DA"/>
    <w:rsid w:val="0000246E"/>
    <w:rsid w:val="00003862"/>
    <w:rsid w:val="00005D6E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998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897"/>
    <w:rsid w:val="00180F2A"/>
    <w:rsid w:val="0018465C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1BE7"/>
    <w:rsid w:val="002A20C4"/>
    <w:rsid w:val="002A570F"/>
    <w:rsid w:val="002A7292"/>
    <w:rsid w:val="002A7358"/>
    <w:rsid w:val="002A7902"/>
    <w:rsid w:val="002B0F6B"/>
    <w:rsid w:val="002B23B8"/>
    <w:rsid w:val="002B4429"/>
    <w:rsid w:val="002B52F1"/>
    <w:rsid w:val="002B68A6"/>
    <w:rsid w:val="002B7FAF"/>
    <w:rsid w:val="002D0C4F"/>
    <w:rsid w:val="002D1364"/>
    <w:rsid w:val="002D46B6"/>
    <w:rsid w:val="002D4D30"/>
    <w:rsid w:val="002D5000"/>
    <w:rsid w:val="002D598D"/>
    <w:rsid w:val="002D59AB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828"/>
    <w:rsid w:val="0032569A"/>
    <w:rsid w:val="00325A1F"/>
    <w:rsid w:val="003268F9"/>
    <w:rsid w:val="00330BAF"/>
    <w:rsid w:val="00334E3A"/>
    <w:rsid w:val="003353B7"/>
    <w:rsid w:val="003361DD"/>
    <w:rsid w:val="00341A6A"/>
    <w:rsid w:val="00345B9C"/>
    <w:rsid w:val="00350CB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38E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5CAC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4751C"/>
    <w:rsid w:val="004504C0"/>
    <w:rsid w:val="00453A94"/>
    <w:rsid w:val="004550FB"/>
    <w:rsid w:val="0046111A"/>
    <w:rsid w:val="00462946"/>
    <w:rsid w:val="00463D00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9F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47F"/>
    <w:rsid w:val="0051094B"/>
    <w:rsid w:val="005110D7"/>
    <w:rsid w:val="00511D99"/>
    <w:rsid w:val="005128D3"/>
    <w:rsid w:val="00513946"/>
    <w:rsid w:val="005147E8"/>
    <w:rsid w:val="005158F2"/>
    <w:rsid w:val="00526DFC"/>
    <w:rsid w:val="00526F43"/>
    <w:rsid w:val="00527651"/>
    <w:rsid w:val="0053142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3D2"/>
    <w:rsid w:val="0057547F"/>
    <w:rsid w:val="005754EE"/>
    <w:rsid w:val="0057617E"/>
    <w:rsid w:val="00576497"/>
    <w:rsid w:val="0058158B"/>
    <w:rsid w:val="005835E7"/>
    <w:rsid w:val="005837AA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CD0"/>
    <w:rsid w:val="005F7812"/>
    <w:rsid w:val="005F7A88"/>
    <w:rsid w:val="00603A1A"/>
    <w:rsid w:val="006046D5"/>
    <w:rsid w:val="00607A93"/>
    <w:rsid w:val="00610C08"/>
    <w:rsid w:val="00611F74"/>
    <w:rsid w:val="00615772"/>
    <w:rsid w:val="0061583D"/>
    <w:rsid w:val="00621256"/>
    <w:rsid w:val="00621FCC"/>
    <w:rsid w:val="00622E4B"/>
    <w:rsid w:val="006333DA"/>
    <w:rsid w:val="00635134"/>
    <w:rsid w:val="006356E2"/>
    <w:rsid w:val="00637658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3BB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D66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50F9"/>
    <w:rsid w:val="006E0FCC"/>
    <w:rsid w:val="006E1E96"/>
    <w:rsid w:val="006E5E21"/>
    <w:rsid w:val="006F2648"/>
    <w:rsid w:val="006F2F10"/>
    <w:rsid w:val="006F482B"/>
    <w:rsid w:val="006F6311"/>
    <w:rsid w:val="00700BE4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7C1"/>
    <w:rsid w:val="007C0BD6"/>
    <w:rsid w:val="007C3806"/>
    <w:rsid w:val="007C5BB7"/>
    <w:rsid w:val="007D07D5"/>
    <w:rsid w:val="007D0A7C"/>
    <w:rsid w:val="007D1C64"/>
    <w:rsid w:val="007D32DD"/>
    <w:rsid w:val="007D6DCE"/>
    <w:rsid w:val="007D72C4"/>
    <w:rsid w:val="007E0612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88A"/>
    <w:rsid w:val="00866867"/>
    <w:rsid w:val="00872257"/>
    <w:rsid w:val="008753E6"/>
    <w:rsid w:val="0087738C"/>
    <w:rsid w:val="008802AF"/>
    <w:rsid w:val="00881926"/>
    <w:rsid w:val="0088318F"/>
    <w:rsid w:val="0088331D"/>
    <w:rsid w:val="00884159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D7A"/>
    <w:rsid w:val="00956812"/>
    <w:rsid w:val="0095719A"/>
    <w:rsid w:val="009623E9"/>
    <w:rsid w:val="00963EEB"/>
    <w:rsid w:val="009648BC"/>
    <w:rsid w:val="00964C2F"/>
    <w:rsid w:val="00965F88"/>
    <w:rsid w:val="00967C17"/>
    <w:rsid w:val="0097064C"/>
    <w:rsid w:val="009846EF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20B"/>
    <w:rsid w:val="009C79AD"/>
    <w:rsid w:val="009C7CA6"/>
    <w:rsid w:val="009D3316"/>
    <w:rsid w:val="009D55AA"/>
    <w:rsid w:val="009E3E77"/>
    <w:rsid w:val="009E3FAB"/>
    <w:rsid w:val="009E5B3F"/>
    <w:rsid w:val="009E5ECF"/>
    <w:rsid w:val="009E7D90"/>
    <w:rsid w:val="009F1AB0"/>
    <w:rsid w:val="009F501D"/>
    <w:rsid w:val="00A039D5"/>
    <w:rsid w:val="00A046AD"/>
    <w:rsid w:val="00A079C1"/>
    <w:rsid w:val="00A12520"/>
    <w:rsid w:val="00A1254C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A5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2DD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3CA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C8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0EF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335"/>
    <w:rsid w:val="00BE56FB"/>
    <w:rsid w:val="00BF2616"/>
    <w:rsid w:val="00BF3DDE"/>
    <w:rsid w:val="00BF6589"/>
    <w:rsid w:val="00BF6F7F"/>
    <w:rsid w:val="00C00647"/>
    <w:rsid w:val="00C02764"/>
    <w:rsid w:val="00C04CEF"/>
    <w:rsid w:val="00C0662F"/>
    <w:rsid w:val="00C11943"/>
    <w:rsid w:val="00C11AC8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6B2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217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447"/>
    <w:rsid w:val="00CF09AA"/>
    <w:rsid w:val="00CF3754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A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16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087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350"/>
    <w:rsid w:val="00F3785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004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3DEE"/>
    <w:rsid w:val="00FC2E3D"/>
    <w:rsid w:val="00FC3B55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FEF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0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3472</Words>
  <Characters>19626</Characters>
  <Application>Microsoft Office Word</Application>
  <DocSecurity>0</DocSecurity>
  <Lines>163</Lines>
  <Paragraphs>46</Paragraphs>
  <ScaleCrop>false</ScaleCrop>
  <Manager/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2026-03-03T11:00:00Z</dcterms:created>
  <dcterms:modified xsi:type="dcterms:W3CDTF">2026-03-03T11:00:00Z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