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BDB9" w14:textId="0E61CFED" w:rsidR="00D94B6F" w:rsidRPr="003D1D04" w:rsidRDefault="00436A0D" w:rsidP="00436A0D">
      <w:pPr>
        <w:jc w:val="center"/>
        <w:rPr>
          <w:rFonts w:ascii="Times New Roman" w:hAnsi="Times New Roman" w:cs="Times New Roman"/>
          <w:b/>
          <w:bCs/>
        </w:rPr>
      </w:pPr>
      <w:r w:rsidRPr="003D1D04">
        <w:rPr>
          <w:rFonts w:ascii="Times New Roman" w:hAnsi="Times New Roman" w:cs="Times New Roman"/>
          <w:b/>
          <w:bCs/>
        </w:rPr>
        <w:t>UZASADNIENIE</w:t>
      </w:r>
    </w:p>
    <w:p w14:paraId="31882DF6" w14:textId="77777777" w:rsidR="00436A0D" w:rsidRDefault="00436A0D" w:rsidP="00436A0D">
      <w:pPr>
        <w:spacing w:before="240" w:line="240" w:lineRule="auto"/>
        <w:jc w:val="both"/>
        <w:rPr>
          <w:rFonts w:ascii="Times New Roman" w:eastAsia="Times New Roman" w:hAnsi="Times New Roman" w:cs="Times New Roman"/>
          <w:b/>
          <w:lang w:eastAsia="pl-PL"/>
        </w:rPr>
      </w:pPr>
      <w:r w:rsidRPr="003D1D04">
        <w:rPr>
          <w:rFonts w:ascii="Times New Roman" w:eastAsia="Times New Roman" w:hAnsi="Times New Roman" w:cs="Times New Roman"/>
          <w:b/>
          <w:lang w:eastAsia="pl-PL"/>
        </w:rPr>
        <w:t>1. Potrzeba i cel wydania ustawy oraz rzeczywisty stan w dziedzinie, która ma być unormowana</w:t>
      </w:r>
    </w:p>
    <w:p w14:paraId="1561D368" w14:textId="5B5A0A13" w:rsidR="00211906" w:rsidRPr="00211906" w:rsidRDefault="00211906" w:rsidP="006731E8">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 xml:space="preserve">Projektowana ustawa ma na celu zapewnienie </w:t>
      </w:r>
      <w:r w:rsidR="00636859">
        <w:rPr>
          <w:rFonts w:ascii="Times New Roman" w:eastAsia="Times New Roman" w:hAnsi="Times New Roman" w:cs="Times New Roman"/>
          <w:bCs/>
          <w:lang w:val="pl" w:eastAsia="pl-PL"/>
        </w:rPr>
        <w:t>stosowania</w:t>
      </w:r>
      <w:r w:rsidRPr="00211906">
        <w:rPr>
          <w:rFonts w:ascii="Times New Roman" w:eastAsia="Times New Roman" w:hAnsi="Times New Roman" w:cs="Times New Roman"/>
          <w:bCs/>
          <w:lang w:val="pl" w:eastAsia="pl-PL"/>
        </w:rPr>
        <w:t xml:space="preserve"> na terytorium Rzeczypospolitej Polskiej rozporządzenia </w:t>
      </w:r>
      <w:r w:rsidR="00636859" w:rsidRPr="00636859">
        <w:rPr>
          <w:rFonts w:ascii="Times New Roman" w:eastAsia="Times New Roman" w:hAnsi="Times New Roman" w:cs="Times New Roman"/>
          <w:bCs/>
          <w:lang w:val="pl" w:eastAsia="pl-PL"/>
        </w:rPr>
        <w:t>Parlamentu Europejskiego i Rady (UE) 2023/1114</w:t>
      </w:r>
      <w:r w:rsidR="006731E8">
        <w:rPr>
          <w:rFonts w:ascii="Times New Roman" w:eastAsia="Times New Roman" w:hAnsi="Times New Roman" w:cs="Times New Roman"/>
          <w:bCs/>
          <w:lang w:val="pl" w:eastAsia="pl-PL"/>
        </w:rPr>
        <w:t xml:space="preserve"> z </w:t>
      </w:r>
      <w:r w:rsidR="00636859" w:rsidRPr="00636859">
        <w:rPr>
          <w:rFonts w:ascii="Times New Roman" w:eastAsia="Times New Roman" w:hAnsi="Times New Roman" w:cs="Times New Roman"/>
          <w:bCs/>
          <w:lang w:val="pl" w:eastAsia="pl-PL"/>
        </w:rPr>
        <w:t>dnia 31 maja 2023 r. w sprawie rynków kryptoaktywów oraz zmiany rozporządzeń (UE) nr 1093/2010 i (UE) nr 1095/2010 oraz dyrektyw 2013/36/UE i (UE) 2019/1937 (Dz. Urz. UE L 150 z 09.06.2023, str. 40, z późn. zm.</w:t>
      </w:r>
      <w:r w:rsidR="00636859">
        <w:rPr>
          <w:rStyle w:val="Odwoanieprzypisudolnego"/>
          <w:rFonts w:ascii="Times New Roman" w:eastAsia="Times New Roman" w:hAnsi="Times New Roman" w:cs="Times New Roman"/>
          <w:bCs/>
          <w:lang w:val="pl" w:eastAsia="pl-PL"/>
        </w:rPr>
        <w:footnoteReference w:id="1"/>
      </w:r>
      <w:r w:rsidR="00636859" w:rsidRPr="00636859">
        <w:rPr>
          <w:rFonts w:ascii="Times New Roman" w:eastAsia="Times New Roman" w:hAnsi="Times New Roman" w:cs="Times New Roman"/>
          <w:bCs/>
          <w:lang w:val="pl" w:eastAsia="pl-PL"/>
        </w:rPr>
        <w:t>)</w:t>
      </w:r>
      <w:r w:rsidR="00636859">
        <w:rPr>
          <w:rFonts w:ascii="Times New Roman" w:eastAsia="Times New Roman" w:hAnsi="Times New Roman" w:cs="Times New Roman"/>
          <w:bCs/>
          <w:lang w:val="pl" w:eastAsia="pl-PL"/>
        </w:rPr>
        <w:t>, zwanego dalej jako: „</w:t>
      </w:r>
      <w:r w:rsidRPr="00211906">
        <w:rPr>
          <w:rFonts w:ascii="Times New Roman" w:eastAsia="Times New Roman" w:hAnsi="Times New Roman" w:cs="Times New Roman"/>
          <w:bCs/>
          <w:lang w:val="pl" w:eastAsia="pl-PL"/>
        </w:rPr>
        <w:t>MiCA</w:t>
      </w:r>
      <w:r w:rsidR="00636859">
        <w:rPr>
          <w:rFonts w:ascii="Times New Roman" w:eastAsia="Times New Roman" w:hAnsi="Times New Roman" w:cs="Times New Roman"/>
          <w:bCs/>
          <w:lang w:val="pl" w:eastAsia="pl-PL"/>
        </w:rPr>
        <w:t>”</w:t>
      </w:r>
      <w:r w:rsidRPr="00211906">
        <w:rPr>
          <w:rFonts w:ascii="Times New Roman" w:eastAsia="Times New Roman" w:hAnsi="Times New Roman" w:cs="Times New Roman"/>
          <w:bCs/>
          <w:lang w:val="pl" w:eastAsia="pl-PL"/>
        </w:rPr>
        <w:t>. Rozporządzenie to jest stosowane bezpośrednio, jednak jego skuteczne stosowanie wymaga ustanowienia krajowych rozwiązań organizacyjnych i proceduralnych, w szczególności w zakresie wskazania właściwego organu, trybów prowadzenia postępowań oraz zasad finansowania kosztów nadzoru w granicach dopuszczonych prawem.</w:t>
      </w:r>
    </w:p>
    <w:p w14:paraId="6BFB6B76" w14:textId="08F9512D" w:rsidR="00211906" w:rsidRDefault="00211906" w:rsidP="00211906">
      <w:pPr>
        <w:spacing w:before="240" w:line="240" w:lineRule="auto"/>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ab/>
        <w:t xml:space="preserve">Projekt uwzględnia uwagi zgłaszane w toku dotychczasowych prac legislacyjnych nad wdrożeniem </w:t>
      </w:r>
      <w:r w:rsidR="00636859">
        <w:rPr>
          <w:rFonts w:ascii="Times New Roman" w:eastAsia="Times New Roman" w:hAnsi="Times New Roman" w:cs="Times New Roman"/>
          <w:bCs/>
          <w:lang w:val="pl" w:eastAsia="pl-PL"/>
        </w:rPr>
        <w:t>MiCA</w:t>
      </w:r>
      <w:r w:rsidRPr="00211906">
        <w:rPr>
          <w:rFonts w:ascii="Times New Roman" w:eastAsia="Times New Roman" w:hAnsi="Times New Roman" w:cs="Times New Roman"/>
          <w:bCs/>
          <w:lang w:val="pl" w:eastAsia="pl-PL"/>
        </w:rPr>
        <w:t>,</w:t>
      </w:r>
      <w:r w:rsidR="00636859">
        <w:rPr>
          <w:rFonts w:ascii="Times New Roman" w:eastAsia="Times New Roman" w:hAnsi="Times New Roman" w:cs="Times New Roman"/>
          <w:bCs/>
          <w:lang w:val="pl" w:eastAsia="pl-PL"/>
        </w:rPr>
        <w:t xml:space="preserve"> </w:t>
      </w:r>
      <w:r w:rsidRPr="00211906">
        <w:rPr>
          <w:rFonts w:ascii="Times New Roman" w:eastAsia="Times New Roman" w:hAnsi="Times New Roman" w:cs="Times New Roman"/>
          <w:bCs/>
          <w:lang w:val="pl" w:eastAsia="pl-PL"/>
        </w:rPr>
        <w:t>w szczególności dotyczące zasad ustalania opłat oraz gwarancji procesowych przy stosowaniu środków ingerencyjnych</w:t>
      </w:r>
      <w:r w:rsidR="00636859">
        <w:rPr>
          <w:rFonts w:ascii="Times New Roman" w:eastAsia="Times New Roman" w:hAnsi="Times New Roman" w:cs="Times New Roman"/>
          <w:bCs/>
          <w:lang w:val="pl" w:eastAsia="pl-PL"/>
        </w:rPr>
        <w:t>.</w:t>
      </w:r>
    </w:p>
    <w:p w14:paraId="2EF018FD" w14:textId="1F8DD27E" w:rsid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 xml:space="preserve">Ze względu na pomocniczy i wykonawczy charakter ustawy wobec bezpośrednio stosowanego </w:t>
      </w:r>
      <w:r w:rsidR="00636859">
        <w:rPr>
          <w:rFonts w:ascii="Times New Roman" w:eastAsia="Times New Roman" w:hAnsi="Times New Roman" w:cs="Times New Roman"/>
          <w:bCs/>
          <w:lang w:val="pl" w:eastAsia="pl-PL"/>
        </w:rPr>
        <w:t>MiCA</w:t>
      </w:r>
      <w:r w:rsidRPr="00211906">
        <w:rPr>
          <w:rFonts w:ascii="Times New Roman" w:eastAsia="Times New Roman" w:hAnsi="Times New Roman" w:cs="Times New Roman"/>
          <w:bCs/>
          <w:lang w:val="pl" w:eastAsia="pl-PL"/>
        </w:rPr>
        <w:t>, uzasadnienie koncentruje się na wskazaniu ratio legis kluczowych rozwiązań krajowych (organ właściwy, procedury, środki ingerencyjne, opłaty, przepisy przejściowe oraz zmiany dostosowujące), bez powielania treści rozporządzenia unijnego ani szczegółowego opisu rozwiązań technicznych.</w:t>
      </w:r>
    </w:p>
    <w:p w14:paraId="3FB4E0BE" w14:textId="50EE7672" w:rsidR="00211906" w:rsidRP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Projektowana ustawa ma charakter wykonawczy wobec bezpośrednio stosowanego MiCA. Interwencja ustawowa została ograniczona do obszarów, w których prawo Unii Europejskiej wymaga lub dopuszcza uregulowanie na poziomie krajowym, w szczególności: wskazania organu właściwego, określenia trybów postępowań, zasad finansowania nadzoru, środków ingerencyjnych oraz przepisów przejściowych.</w:t>
      </w:r>
    </w:p>
    <w:p w14:paraId="46F1FA4A" w14:textId="491BF8B2" w:rsidR="00211906" w:rsidRP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Projekt nie powiela ani nie modyfikuje obowiązków materialnych wynikających z</w:t>
      </w:r>
      <w:r w:rsidR="006731E8">
        <w:rPr>
          <w:rFonts w:ascii="Times New Roman" w:eastAsia="Times New Roman" w:hAnsi="Times New Roman" w:cs="Times New Roman"/>
          <w:bCs/>
          <w:lang w:val="pl" w:eastAsia="pl-PL"/>
        </w:rPr>
        <w:t> </w:t>
      </w:r>
      <w:r w:rsidRPr="00211906">
        <w:rPr>
          <w:rFonts w:ascii="Times New Roman" w:eastAsia="Times New Roman" w:hAnsi="Times New Roman" w:cs="Times New Roman"/>
          <w:bCs/>
          <w:lang w:val="pl" w:eastAsia="pl-PL"/>
        </w:rPr>
        <w:t xml:space="preserve">MiCA. Rozwiązania krajowe mają charakter organizacyjny i proceduralny oraz służą zapewnieniu spójnego i proporcjonalnego stosowania rozporządzenia w polskim porządku prawnym. Przyjęto podejście „UE+0”, polegające na unikaniu nadregulacji oraz tworzenia krajowego reżimu równoległego wobec prawa </w:t>
      </w:r>
      <w:r w:rsidR="00636859">
        <w:rPr>
          <w:rFonts w:ascii="Times New Roman" w:eastAsia="Times New Roman" w:hAnsi="Times New Roman" w:cs="Times New Roman"/>
          <w:bCs/>
          <w:lang w:val="pl" w:eastAsia="pl-PL"/>
        </w:rPr>
        <w:t>unijnego</w:t>
      </w:r>
      <w:r w:rsidRPr="00211906">
        <w:rPr>
          <w:rFonts w:ascii="Times New Roman" w:eastAsia="Times New Roman" w:hAnsi="Times New Roman" w:cs="Times New Roman"/>
          <w:bCs/>
          <w:lang w:val="pl" w:eastAsia="pl-PL"/>
        </w:rPr>
        <w:t>.</w:t>
      </w:r>
    </w:p>
    <w:p w14:paraId="0568EDE1" w14:textId="7862A1FB" w:rsidR="00211906" w:rsidRP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Rozdział 1 określa przedmiot ustawy oraz podstawowe odesłania do MiCA. Celem tych przepisów jest jednoznaczne wskazanie, że ustawa ma charakter wykonawczy wobec bezpośrednio stosowanego rozporządzenia unijnego i nie tworzy równoległego reżimu materialnoprawnego. W konsekwencji, w zakresie definicji i obowiązków uczestników rynku projekt odsyła do regulacji MiCA, ograniczając interwencję krajową do kwestii organizacyjnych i proceduralnych (podejście „UE+0”).</w:t>
      </w:r>
    </w:p>
    <w:p w14:paraId="68D82DC2" w14:textId="6AFD7194" w:rsidR="00211906" w:rsidRP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lastRenderedPageBreak/>
        <w:t>Rozdział 2 wyznacza Komisję Nadzoru Finansowego</w:t>
      </w:r>
      <w:r w:rsidR="001E36A8">
        <w:rPr>
          <w:rFonts w:ascii="Times New Roman" w:eastAsia="Times New Roman" w:hAnsi="Times New Roman" w:cs="Times New Roman"/>
          <w:bCs/>
          <w:lang w:val="pl" w:eastAsia="pl-PL"/>
        </w:rPr>
        <w:t xml:space="preserve"> (KNF),</w:t>
      </w:r>
      <w:r w:rsidRPr="00211906">
        <w:rPr>
          <w:rFonts w:ascii="Times New Roman" w:eastAsia="Times New Roman" w:hAnsi="Times New Roman" w:cs="Times New Roman"/>
          <w:bCs/>
          <w:lang w:val="pl" w:eastAsia="pl-PL"/>
        </w:rPr>
        <w:t xml:space="preserve"> jako organ właściwy w</w:t>
      </w:r>
      <w:r w:rsidR="006731E8">
        <w:rPr>
          <w:rFonts w:ascii="Times New Roman" w:eastAsia="Times New Roman" w:hAnsi="Times New Roman" w:cs="Times New Roman"/>
          <w:bCs/>
          <w:lang w:val="pl" w:eastAsia="pl-PL"/>
        </w:rPr>
        <w:t> </w:t>
      </w:r>
      <w:r w:rsidRPr="00211906">
        <w:rPr>
          <w:rFonts w:ascii="Times New Roman" w:eastAsia="Times New Roman" w:hAnsi="Times New Roman" w:cs="Times New Roman"/>
          <w:bCs/>
          <w:lang w:val="pl" w:eastAsia="pl-PL"/>
        </w:rPr>
        <w:t xml:space="preserve">sprawach objętych MiCA oraz określa ramy współpracy z </w:t>
      </w:r>
      <w:r w:rsidR="001E36A8">
        <w:rPr>
          <w:rFonts w:ascii="Times New Roman" w:eastAsia="Times New Roman" w:hAnsi="Times New Roman" w:cs="Times New Roman"/>
          <w:bCs/>
          <w:lang w:val="pl" w:eastAsia="pl-PL"/>
        </w:rPr>
        <w:t xml:space="preserve">Europejskim Urzędem Nadzoru Bankowego (EBA) i </w:t>
      </w:r>
      <w:r w:rsidR="001E36A8" w:rsidRPr="001E36A8">
        <w:rPr>
          <w:rFonts w:ascii="Times New Roman" w:eastAsia="Times New Roman" w:hAnsi="Times New Roman" w:cs="Times New Roman"/>
          <w:bCs/>
          <w:lang w:eastAsia="pl-PL"/>
        </w:rPr>
        <w:t>Europejski</w:t>
      </w:r>
      <w:r w:rsidR="001E36A8">
        <w:rPr>
          <w:rFonts w:ascii="Times New Roman" w:eastAsia="Times New Roman" w:hAnsi="Times New Roman" w:cs="Times New Roman"/>
          <w:bCs/>
          <w:lang w:eastAsia="pl-PL"/>
        </w:rPr>
        <w:t>m</w:t>
      </w:r>
      <w:r w:rsidR="001E36A8" w:rsidRPr="001E36A8">
        <w:rPr>
          <w:rFonts w:ascii="Times New Roman" w:eastAsia="Times New Roman" w:hAnsi="Times New Roman" w:cs="Times New Roman"/>
          <w:bCs/>
          <w:lang w:eastAsia="pl-PL"/>
        </w:rPr>
        <w:t xml:space="preserve"> Urz</w:t>
      </w:r>
      <w:r w:rsidR="001E36A8">
        <w:rPr>
          <w:rFonts w:ascii="Times New Roman" w:eastAsia="Times New Roman" w:hAnsi="Times New Roman" w:cs="Times New Roman"/>
          <w:bCs/>
          <w:lang w:eastAsia="pl-PL"/>
        </w:rPr>
        <w:t>ędem</w:t>
      </w:r>
      <w:r w:rsidR="001E36A8" w:rsidRPr="001E36A8">
        <w:rPr>
          <w:rFonts w:ascii="Times New Roman" w:eastAsia="Times New Roman" w:hAnsi="Times New Roman" w:cs="Times New Roman"/>
          <w:bCs/>
          <w:lang w:eastAsia="pl-PL"/>
        </w:rPr>
        <w:t xml:space="preserve"> Nadzoru Giełd i Papierów Wartościowych</w:t>
      </w:r>
      <w:r w:rsidR="001E36A8">
        <w:rPr>
          <w:rFonts w:ascii="Times New Roman" w:eastAsia="Times New Roman" w:hAnsi="Times New Roman" w:cs="Times New Roman"/>
          <w:bCs/>
          <w:lang w:val="pl" w:eastAsia="pl-PL"/>
        </w:rPr>
        <w:t xml:space="preserve"> (</w:t>
      </w:r>
      <w:r w:rsidRPr="00211906">
        <w:rPr>
          <w:rFonts w:ascii="Times New Roman" w:eastAsia="Times New Roman" w:hAnsi="Times New Roman" w:cs="Times New Roman"/>
          <w:bCs/>
          <w:lang w:val="pl" w:eastAsia="pl-PL"/>
        </w:rPr>
        <w:t>ESMA</w:t>
      </w:r>
      <w:r w:rsidR="001E36A8">
        <w:rPr>
          <w:rFonts w:ascii="Times New Roman" w:eastAsia="Times New Roman" w:hAnsi="Times New Roman" w:cs="Times New Roman"/>
          <w:bCs/>
          <w:lang w:val="pl" w:eastAsia="pl-PL"/>
        </w:rPr>
        <w:t>)</w:t>
      </w:r>
      <w:r w:rsidRPr="00211906">
        <w:rPr>
          <w:rFonts w:ascii="Times New Roman" w:eastAsia="Times New Roman" w:hAnsi="Times New Roman" w:cs="Times New Roman"/>
          <w:bCs/>
          <w:lang w:val="pl" w:eastAsia="pl-PL"/>
        </w:rPr>
        <w:t>. Szczególne znaczenie ma uregulowanie krajowego trybu wykonywania na terytorium Rzeczypospolitej Polskiej kar pieniężnych i okresowych kar pieniężnych nakładanych przez EBA, co zapewnia skuteczność decyzji organu U</w:t>
      </w:r>
      <w:r w:rsidR="001E36A8">
        <w:rPr>
          <w:rFonts w:ascii="Times New Roman" w:eastAsia="Times New Roman" w:hAnsi="Times New Roman" w:cs="Times New Roman"/>
          <w:bCs/>
          <w:lang w:val="pl" w:eastAsia="pl-PL"/>
        </w:rPr>
        <w:t>E</w:t>
      </w:r>
      <w:r w:rsidRPr="00211906">
        <w:rPr>
          <w:rFonts w:ascii="Times New Roman" w:eastAsia="Times New Roman" w:hAnsi="Times New Roman" w:cs="Times New Roman"/>
          <w:bCs/>
          <w:lang w:val="pl" w:eastAsia="pl-PL"/>
        </w:rPr>
        <w:t xml:space="preserve"> w polskim porządku prawnym. Regulacja ma charakter wyłącznie proceduralny i nie ustanawia nowych sankcji materialnych, lecz umożliwia ich wykonanie z wykorzystaniem krajowych instrumentów egzekucyjnych.</w:t>
      </w:r>
      <w:r w:rsidR="001E36A8">
        <w:rPr>
          <w:rFonts w:ascii="Times New Roman" w:eastAsia="Times New Roman" w:hAnsi="Times New Roman" w:cs="Times New Roman"/>
          <w:bCs/>
          <w:lang w:val="pl" w:eastAsia="pl-PL"/>
        </w:rPr>
        <w:t xml:space="preserve"> A</w:t>
      </w:r>
      <w:r w:rsidR="001E36A8" w:rsidRPr="00211906">
        <w:rPr>
          <w:rFonts w:ascii="Times New Roman" w:eastAsia="Times New Roman" w:hAnsi="Times New Roman" w:cs="Times New Roman"/>
          <w:bCs/>
          <w:lang w:val="pl" w:eastAsia="pl-PL"/>
        </w:rPr>
        <w:t>rt. 4 ust. 2 nie dotyczy postępowania administracyjnego przed KNF, lecz wykonania na terytorium RP decyzji o charakterze pieniężnym wydawanych przez organ U</w:t>
      </w:r>
      <w:r w:rsidR="001E36A8">
        <w:rPr>
          <w:rFonts w:ascii="Times New Roman" w:eastAsia="Times New Roman" w:hAnsi="Times New Roman" w:cs="Times New Roman"/>
          <w:bCs/>
          <w:lang w:val="pl" w:eastAsia="pl-PL"/>
        </w:rPr>
        <w:t>E</w:t>
      </w:r>
      <w:r w:rsidR="001E36A8" w:rsidRPr="00211906">
        <w:rPr>
          <w:rFonts w:ascii="Times New Roman" w:eastAsia="Times New Roman" w:hAnsi="Times New Roman" w:cs="Times New Roman"/>
          <w:bCs/>
          <w:lang w:val="pl" w:eastAsia="pl-PL"/>
        </w:rPr>
        <w:t xml:space="preserve"> (EBA). Z tego względu mechanizm wykonania odsyła do trybu sądowego właściwego dla nadania klauzuli wykonalności i egzekucji świadczeń pieniężnych.</w:t>
      </w:r>
    </w:p>
    <w:p w14:paraId="251F1EFB" w14:textId="1757E45D" w:rsidR="00211906" w:rsidRDefault="00211906" w:rsidP="001E36A8">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 xml:space="preserve">Rozdział 3 porządkuje podstawowe reguły prowadzenia postępowań w sprawach MiCA poprzez odesłanie do </w:t>
      </w:r>
      <w:r w:rsidR="001E36A8" w:rsidRPr="001E36A8">
        <w:rPr>
          <w:rFonts w:ascii="Times New Roman" w:eastAsia="Times New Roman" w:hAnsi="Times New Roman" w:cs="Times New Roman"/>
          <w:bCs/>
          <w:lang w:val="pl" w:eastAsia="pl-PL"/>
        </w:rPr>
        <w:t xml:space="preserve">ustawy z dnia 14 czerwca 1960 r. – Kodeks postępowania administracyjnego (Dz. U. z 2025 r. poz. 1691), </w:t>
      </w:r>
      <w:r w:rsidR="001E36A8">
        <w:rPr>
          <w:rFonts w:ascii="Times New Roman" w:eastAsia="Times New Roman" w:hAnsi="Times New Roman" w:cs="Times New Roman"/>
          <w:bCs/>
          <w:lang w:val="pl" w:eastAsia="pl-PL"/>
        </w:rPr>
        <w:t>zwanego dalej jako „Kpa”</w:t>
      </w:r>
      <w:r w:rsidRPr="00211906">
        <w:rPr>
          <w:rFonts w:ascii="Times New Roman" w:eastAsia="Times New Roman" w:hAnsi="Times New Roman" w:cs="Times New Roman"/>
          <w:bCs/>
          <w:lang w:val="pl" w:eastAsia="pl-PL"/>
        </w:rPr>
        <w:t>.</w:t>
      </w:r>
      <w:r w:rsidR="001E36A8">
        <w:rPr>
          <w:rFonts w:ascii="Times New Roman" w:eastAsia="Times New Roman" w:hAnsi="Times New Roman" w:cs="Times New Roman"/>
          <w:bCs/>
          <w:lang w:val="pl" w:eastAsia="pl-PL"/>
        </w:rPr>
        <w:t xml:space="preserve"> </w:t>
      </w:r>
      <w:r w:rsidRPr="00211906">
        <w:rPr>
          <w:rFonts w:ascii="Times New Roman" w:eastAsia="Times New Roman" w:hAnsi="Times New Roman" w:cs="Times New Roman"/>
          <w:bCs/>
          <w:lang w:val="pl" w:eastAsia="pl-PL"/>
        </w:rPr>
        <w:t>Dopuszczenie składania dokumentów w języku angielskim ma na celu ograniczenie barier formalnych w</w:t>
      </w:r>
      <w:r w:rsidR="006731E8">
        <w:rPr>
          <w:rFonts w:ascii="Times New Roman" w:eastAsia="Times New Roman" w:hAnsi="Times New Roman" w:cs="Times New Roman"/>
          <w:bCs/>
          <w:lang w:val="pl" w:eastAsia="pl-PL"/>
        </w:rPr>
        <w:t> </w:t>
      </w:r>
      <w:r w:rsidRPr="00211906">
        <w:rPr>
          <w:rFonts w:ascii="Times New Roman" w:eastAsia="Times New Roman" w:hAnsi="Times New Roman" w:cs="Times New Roman"/>
          <w:bCs/>
          <w:lang w:val="pl" w:eastAsia="pl-PL"/>
        </w:rPr>
        <w:t>postępowaniu licencyjnym i zwiększenie dostępności rynku dla podmiotów transgranicznych, przy zachowaniu gwarancji procesowych i możliwości żądania tłumaczenia, gdy jest to niezbędne do rozstrzygnięcia. Rozwiązanie dotyczy wyłącznie postępowań krajowych przed KNF</w:t>
      </w:r>
      <w:r w:rsidR="001E36A8">
        <w:rPr>
          <w:rFonts w:ascii="Times New Roman" w:eastAsia="Times New Roman" w:hAnsi="Times New Roman" w:cs="Times New Roman"/>
          <w:bCs/>
          <w:lang w:val="pl" w:eastAsia="pl-PL"/>
        </w:rPr>
        <w:t xml:space="preserve">. W </w:t>
      </w:r>
      <w:r w:rsidRPr="00211906">
        <w:rPr>
          <w:rFonts w:ascii="Times New Roman" w:eastAsia="Times New Roman" w:hAnsi="Times New Roman" w:cs="Times New Roman"/>
          <w:bCs/>
          <w:lang w:val="pl" w:eastAsia="pl-PL"/>
        </w:rPr>
        <w:t>zakresie, w jakim MiCA lub standardy techniczne organów UE określają wymogi co do formatu</w:t>
      </w:r>
      <w:r w:rsidR="001E36A8">
        <w:rPr>
          <w:rFonts w:ascii="Times New Roman" w:eastAsia="Times New Roman" w:hAnsi="Times New Roman" w:cs="Times New Roman"/>
          <w:bCs/>
          <w:lang w:val="pl" w:eastAsia="pl-PL"/>
        </w:rPr>
        <w:t xml:space="preserve"> lub </w:t>
      </w:r>
      <w:r w:rsidRPr="00211906">
        <w:rPr>
          <w:rFonts w:ascii="Times New Roman" w:eastAsia="Times New Roman" w:hAnsi="Times New Roman" w:cs="Times New Roman"/>
          <w:bCs/>
          <w:lang w:val="pl" w:eastAsia="pl-PL"/>
        </w:rPr>
        <w:t>języka dokumentów w obrocie transgranicznym - pierwszeństwo mają przepisy prawa UE.</w:t>
      </w:r>
    </w:p>
    <w:p w14:paraId="0764C11E" w14:textId="20D2F2E3" w:rsid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 xml:space="preserve">Rozdział 4 określa tryb stosowania środków ingerencyjnych dotyczących interfejsów internetowych, przewidzianych w MiCA, zapewniając jednocześnie kontrolę sądową </w:t>
      </w:r>
      <w:r w:rsidR="001E36A8">
        <w:rPr>
          <w:rFonts w:ascii="Times New Roman" w:eastAsia="Times New Roman" w:hAnsi="Times New Roman" w:cs="Times New Roman"/>
          <w:bCs/>
          <w:lang w:val="pl" w:eastAsia="pl-PL"/>
        </w:rPr>
        <w:t>oraz</w:t>
      </w:r>
      <w:r w:rsidRPr="00211906">
        <w:rPr>
          <w:rFonts w:ascii="Times New Roman" w:eastAsia="Times New Roman" w:hAnsi="Times New Roman" w:cs="Times New Roman"/>
          <w:bCs/>
          <w:lang w:val="pl" w:eastAsia="pl-PL"/>
        </w:rPr>
        <w:t xml:space="preserve"> proporcjonalność ingerencji. Projekt przyjmuje model sądowy jako zasadę, ograniczając rolę organu do inicjowania postępowania oraz — w przypadkach nagłych — do czasowego środka tymczasowego, podlegającego niezwłocznej weryfikacji sądu. Rozwiązanie to minimalizuje ryzyka konstytucyjne oraz wzmacnia zgodność z prawem do sądu i skutecznego środka prawnego.</w:t>
      </w:r>
    </w:p>
    <w:p w14:paraId="641882BF" w14:textId="3E9C10DC" w:rsid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Rozdział 5 wprowadza ramy opłat służących pokryciu kosztów nadzoru nad CASP oraz emitentami ART/EMT, w granicach dopuszczonych prawem. Opłaty jednorazowe powiązano z</w:t>
      </w:r>
      <w:r w:rsidR="006731E8">
        <w:rPr>
          <w:rFonts w:ascii="Times New Roman" w:eastAsia="Times New Roman" w:hAnsi="Times New Roman" w:cs="Times New Roman"/>
          <w:bCs/>
          <w:lang w:val="pl" w:eastAsia="pl-PL"/>
        </w:rPr>
        <w:t> </w:t>
      </w:r>
      <w:r w:rsidRPr="00211906">
        <w:rPr>
          <w:rFonts w:ascii="Times New Roman" w:eastAsia="Times New Roman" w:hAnsi="Times New Roman" w:cs="Times New Roman"/>
          <w:bCs/>
          <w:lang w:val="pl" w:eastAsia="pl-PL"/>
        </w:rPr>
        <w:t>postępowaniami licencyjnymi, natomiast opłaty roczne skonstruowano w sposób odzwierciedlający skalę i model działalności (w tym rozróżnienie między działalnością wymiany o niskiej marży a modelami prowizyjnymi), przy jednoczesnym zastosowaniu limitów maksymalnych oraz ryczałtu dla małych i nowych podmiotów. Celem jest utrzymanie niefiskalnego, kosztowego charakteru opłat oraz uniknięcie nadmiernych barier dla rozwoju rynku.</w:t>
      </w:r>
    </w:p>
    <w:p w14:paraId="786493DF" w14:textId="19E553BA" w:rsid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Rozdział 6 reguluje kwestie odpowiedzialności w zakresie dopuszczonym przez MiCA, w tym odpowiedzialność cywilną za dokumenty informacyjne oraz reżim sankcji administracyjnych i karnych związanych z naruszeniami obowiązków wynikających z</w:t>
      </w:r>
      <w:r w:rsidR="006731E8">
        <w:rPr>
          <w:rFonts w:ascii="Times New Roman" w:eastAsia="Times New Roman" w:hAnsi="Times New Roman" w:cs="Times New Roman"/>
          <w:bCs/>
          <w:lang w:val="pl" w:eastAsia="pl-PL"/>
        </w:rPr>
        <w:t> </w:t>
      </w:r>
      <w:r w:rsidRPr="00211906">
        <w:rPr>
          <w:rFonts w:ascii="Times New Roman" w:eastAsia="Times New Roman" w:hAnsi="Times New Roman" w:cs="Times New Roman"/>
          <w:bCs/>
          <w:lang w:val="pl" w:eastAsia="pl-PL"/>
        </w:rPr>
        <w:t xml:space="preserve">rozporządzenia. Celem tych rozwiązań jest zapewnienie skuteczności i odstraszającego charakteru egzekwowania przepisów, przy zachowaniu proporcjonalności oraz rozdzielenia </w:t>
      </w:r>
      <w:r w:rsidRPr="00211906">
        <w:rPr>
          <w:rFonts w:ascii="Times New Roman" w:eastAsia="Times New Roman" w:hAnsi="Times New Roman" w:cs="Times New Roman"/>
          <w:bCs/>
          <w:lang w:val="pl" w:eastAsia="pl-PL"/>
        </w:rPr>
        <w:lastRenderedPageBreak/>
        <w:t xml:space="preserve">reżimów odpowiedzialności, tak aby ograniczyć ryzyko kumulacji represji i naruszenia zasady </w:t>
      </w:r>
      <w:r w:rsidRPr="00211906">
        <w:rPr>
          <w:rFonts w:ascii="Times New Roman" w:eastAsia="Times New Roman" w:hAnsi="Times New Roman" w:cs="Times New Roman"/>
          <w:bCs/>
          <w:i/>
          <w:iCs/>
          <w:lang w:val="pl" w:eastAsia="pl-PL"/>
        </w:rPr>
        <w:t>ne bis in idem</w:t>
      </w:r>
      <w:r w:rsidRPr="00211906">
        <w:rPr>
          <w:rFonts w:ascii="Times New Roman" w:eastAsia="Times New Roman" w:hAnsi="Times New Roman" w:cs="Times New Roman"/>
          <w:bCs/>
          <w:lang w:val="pl" w:eastAsia="pl-PL"/>
        </w:rPr>
        <w:t>.</w:t>
      </w:r>
    </w:p>
    <w:p w14:paraId="31B595B7" w14:textId="28187FE0" w:rsidR="00A76C29" w:rsidRPr="00A76C29" w:rsidRDefault="00A76C29" w:rsidP="00A76C29">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val="pl" w:eastAsia="pl-PL"/>
        </w:rPr>
        <w:t xml:space="preserve">Rozdział 7 dotyczy skarg i alternatywnych sposobów rozwiązywania sporów. </w:t>
      </w:r>
      <w:r w:rsidRPr="00A76C29">
        <w:rPr>
          <w:rFonts w:ascii="Times New Roman" w:eastAsia="Times New Roman" w:hAnsi="Times New Roman" w:cs="Times New Roman"/>
          <w:bCs/>
          <w:lang w:eastAsia="pl-PL"/>
        </w:rPr>
        <w:t xml:space="preserve">Konsument będący klientem dostawcy usług w zakresie kryptoaktywów </w:t>
      </w:r>
      <w:r>
        <w:rPr>
          <w:rFonts w:ascii="Times New Roman" w:eastAsia="Times New Roman" w:hAnsi="Times New Roman" w:cs="Times New Roman"/>
          <w:bCs/>
          <w:lang w:eastAsia="pl-PL"/>
        </w:rPr>
        <w:t>będzie mógł</w:t>
      </w:r>
      <w:r w:rsidRPr="00A76C29">
        <w:rPr>
          <w:rFonts w:ascii="Times New Roman" w:eastAsia="Times New Roman" w:hAnsi="Times New Roman" w:cs="Times New Roman"/>
          <w:bCs/>
          <w:lang w:eastAsia="pl-PL"/>
        </w:rPr>
        <w:t xml:space="preserve"> zwrócić się do Rzecznika Finansowego o podjęcie działań przewidzianych w ustawie z dnia 5 sierpnia 2015 r. o rozpatrywaniu reklamacji przez podmioty rynku finansowego, o Rzeczniku Finansowym i o Funduszu Edukacji Finansowej (Dz. U. z 2024 r. poz. 1109, z 2025 r. poz. 146, 1069, 1545), w tym w sprawach transgranicznych, zgodnie z prawem Unii Europejskiej</w:t>
      </w:r>
      <w:r>
        <w:rPr>
          <w:rFonts w:ascii="Times New Roman" w:eastAsia="Times New Roman" w:hAnsi="Times New Roman" w:cs="Times New Roman"/>
          <w:bCs/>
          <w:lang w:eastAsia="pl-PL"/>
        </w:rPr>
        <w:t xml:space="preserve">, a </w:t>
      </w:r>
      <w:r w:rsidRPr="00A76C29">
        <w:rPr>
          <w:rFonts w:ascii="Times New Roman" w:eastAsia="Times New Roman" w:hAnsi="Times New Roman" w:cs="Times New Roman"/>
          <w:bCs/>
          <w:lang w:eastAsia="pl-PL"/>
        </w:rPr>
        <w:t>KNF udziel</w:t>
      </w:r>
      <w:r>
        <w:rPr>
          <w:rFonts w:ascii="Times New Roman" w:eastAsia="Times New Roman" w:hAnsi="Times New Roman" w:cs="Times New Roman"/>
          <w:bCs/>
          <w:lang w:eastAsia="pl-PL"/>
        </w:rPr>
        <w:t>i</w:t>
      </w:r>
      <w:r w:rsidRPr="00A76C29">
        <w:rPr>
          <w:rFonts w:ascii="Times New Roman" w:eastAsia="Times New Roman" w:hAnsi="Times New Roman" w:cs="Times New Roman"/>
          <w:bCs/>
          <w:lang w:eastAsia="pl-PL"/>
        </w:rPr>
        <w:t xml:space="preserve"> Rzecznikowi Finansowemu informacji niezbędnych do wykonania </w:t>
      </w:r>
      <w:r>
        <w:rPr>
          <w:rFonts w:ascii="Times New Roman" w:eastAsia="Times New Roman" w:hAnsi="Times New Roman" w:cs="Times New Roman"/>
          <w:bCs/>
          <w:lang w:eastAsia="pl-PL"/>
        </w:rPr>
        <w:t xml:space="preserve">jego </w:t>
      </w:r>
      <w:r w:rsidRPr="00A76C29">
        <w:rPr>
          <w:rFonts w:ascii="Times New Roman" w:eastAsia="Times New Roman" w:hAnsi="Times New Roman" w:cs="Times New Roman"/>
          <w:bCs/>
          <w:lang w:eastAsia="pl-PL"/>
        </w:rPr>
        <w:t>zadań w</w:t>
      </w:r>
      <w:r w:rsidR="006731E8">
        <w:rPr>
          <w:rFonts w:ascii="Times New Roman" w:eastAsia="Times New Roman" w:hAnsi="Times New Roman" w:cs="Times New Roman"/>
          <w:bCs/>
          <w:lang w:eastAsia="pl-PL"/>
        </w:rPr>
        <w:t> </w:t>
      </w:r>
      <w:r w:rsidRPr="00A76C29">
        <w:rPr>
          <w:rFonts w:ascii="Times New Roman" w:eastAsia="Times New Roman" w:hAnsi="Times New Roman" w:cs="Times New Roman"/>
          <w:bCs/>
          <w:lang w:eastAsia="pl-PL"/>
        </w:rPr>
        <w:t>sprawach dotyczących rynku kryptoaktywów, w zakresie niezbędnym do rozpatrzenia indywidualnej sprawy, z poszanowaniem tajemnic prawnie chronionych</w:t>
      </w:r>
      <w:r>
        <w:rPr>
          <w:rFonts w:ascii="Times New Roman" w:eastAsia="Times New Roman" w:hAnsi="Times New Roman" w:cs="Times New Roman"/>
          <w:bCs/>
          <w:lang w:eastAsia="pl-PL"/>
        </w:rPr>
        <w:t>.</w:t>
      </w:r>
    </w:p>
    <w:p w14:paraId="414408CA" w14:textId="300499B7" w:rsidR="00211906" w:rsidRDefault="00211906" w:rsidP="00211906">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 xml:space="preserve">Rozdział </w:t>
      </w:r>
      <w:r w:rsidR="00A76C29">
        <w:rPr>
          <w:rFonts w:ascii="Times New Roman" w:eastAsia="Times New Roman" w:hAnsi="Times New Roman" w:cs="Times New Roman"/>
          <w:bCs/>
          <w:lang w:val="pl" w:eastAsia="pl-PL"/>
        </w:rPr>
        <w:t>8</w:t>
      </w:r>
      <w:r w:rsidRPr="00211906">
        <w:rPr>
          <w:rFonts w:ascii="Times New Roman" w:eastAsia="Times New Roman" w:hAnsi="Times New Roman" w:cs="Times New Roman"/>
          <w:bCs/>
          <w:lang w:val="pl" w:eastAsia="pl-PL"/>
        </w:rPr>
        <w:t xml:space="preserve"> wprowadza przepisy gwarancyjne zapewniające praktyczną wykonalność reżimu MiCA w zakresie działalności licencjonowanych dostawców usług w zakresie kryptoaktywów (CASP). Rozwiązania te mają charakter techniczny: służą ograniczeniu arbitralnych odmów dostępu do rachunków bankowych oraz umożliwieniu realizacji obowiązków wynikających z MiCA, w szczególności w zakresie segregacji środków klientów, bez ingerowania w obowiązki instytucji kredytowych wynikające z przepisów AML.</w:t>
      </w:r>
    </w:p>
    <w:p w14:paraId="3023D7D4" w14:textId="6A1BB9C7" w:rsidR="00FD6EC7" w:rsidRPr="00211906" w:rsidRDefault="00A76C29" w:rsidP="00FD6EC7">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val="pl" w:eastAsia="pl-PL"/>
        </w:rPr>
        <w:t>Rozdział 9 to przepis karny określony w art. 21 projekt ustawy. Zgodnie z nim: „</w:t>
      </w:r>
      <w:r w:rsidRPr="00A76C29">
        <w:rPr>
          <w:rFonts w:ascii="Times New Roman" w:eastAsia="Times New Roman" w:hAnsi="Times New Roman" w:cs="Times New Roman"/>
          <w:bCs/>
          <w:lang w:eastAsia="pl-PL"/>
        </w:rPr>
        <w:t>Kto umyślnie i w celu osiągnięcia korzyści majątkowej, bez wymaganego zezwolenia wykonuje działalność w zakresie kryptoaktywów</w:t>
      </w:r>
      <w:r>
        <w:rPr>
          <w:rFonts w:ascii="Times New Roman" w:eastAsia="Times New Roman" w:hAnsi="Times New Roman" w:cs="Times New Roman"/>
          <w:bCs/>
          <w:lang w:eastAsia="pl-PL"/>
        </w:rPr>
        <w:t xml:space="preserve"> </w:t>
      </w:r>
      <w:r w:rsidRPr="00A76C29">
        <w:rPr>
          <w:rFonts w:ascii="Times New Roman" w:eastAsia="Times New Roman" w:hAnsi="Times New Roman" w:cs="Times New Roman"/>
          <w:bCs/>
          <w:lang w:eastAsia="pl-PL"/>
        </w:rPr>
        <w:t>podlega karze grzywny, ograniczenia wolności albo pozbawienia wolności do lat 2</w:t>
      </w:r>
      <w:r>
        <w:rPr>
          <w:rFonts w:ascii="Times New Roman" w:eastAsia="Times New Roman" w:hAnsi="Times New Roman" w:cs="Times New Roman"/>
          <w:bCs/>
          <w:lang w:eastAsia="pl-PL"/>
        </w:rPr>
        <w:t>”.</w:t>
      </w:r>
    </w:p>
    <w:p w14:paraId="48883B47" w14:textId="77777777" w:rsidR="00FD6EC7" w:rsidRDefault="00211906" w:rsidP="00FD6EC7">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 xml:space="preserve">Rozdział </w:t>
      </w:r>
      <w:r>
        <w:rPr>
          <w:rFonts w:ascii="Times New Roman" w:eastAsia="Times New Roman" w:hAnsi="Times New Roman" w:cs="Times New Roman"/>
          <w:bCs/>
          <w:lang w:val="pl" w:eastAsia="pl-PL"/>
        </w:rPr>
        <w:t>10</w:t>
      </w:r>
      <w:r w:rsidRPr="00211906">
        <w:rPr>
          <w:rFonts w:ascii="Times New Roman" w:eastAsia="Times New Roman" w:hAnsi="Times New Roman" w:cs="Times New Roman"/>
          <w:bCs/>
          <w:lang w:val="pl" w:eastAsia="pl-PL"/>
        </w:rPr>
        <w:t xml:space="preserve"> </w:t>
      </w:r>
      <w:r w:rsidR="00FD6EC7">
        <w:rPr>
          <w:rFonts w:ascii="Times New Roman" w:eastAsia="Times New Roman" w:hAnsi="Times New Roman" w:cs="Times New Roman"/>
          <w:bCs/>
          <w:lang w:val="pl" w:eastAsia="pl-PL"/>
        </w:rPr>
        <w:t>to zmiany w obowiązujących przepisach. Projekt ustawy nowelizuje:</w:t>
      </w:r>
    </w:p>
    <w:p w14:paraId="3A584E3F" w14:textId="2C68F87B" w:rsidR="00FD6EC7" w:rsidRPr="000763F0" w:rsidRDefault="00FD6EC7" w:rsidP="000763F0">
      <w:pPr>
        <w:pStyle w:val="Akapitzlist"/>
        <w:numPr>
          <w:ilvl w:val="0"/>
          <w:numId w:val="23"/>
        </w:numPr>
        <w:spacing w:before="240" w:line="240" w:lineRule="auto"/>
        <w:jc w:val="both"/>
        <w:rPr>
          <w:rFonts w:ascii="Times New Roman" w:eastAsia="Times New Roman" w:hAnsi="Times New Roman" w:cs="Times New Roman"/>
          <w:bCs/>
          <w:lang w:eastAsia="pl-PL"/>
        </w:rPr>
      </w:pPr>
      <w:r w:rsidRPr="000763F0">
        <w:rPr>
          <w:rFonts w:ascii="Times New Roman" w:eastAsia="Times New Roman" w:hAnsi="Times New Roman" w:cs="Times New Roman"/>
          <w:bCs/>
          <w:lang w:val="pl" w:eastAsia="pl-PL"/>
        </w:rPr>
        <w:t xml:space="preserve">ustawę z dnia 26 lipca 1991 r. o podatku dochodowym od osób fizycznych </w:t>
      </w:r>
      <w:r w:rsidRPr="000763F0">
        <w:rPr>
          <w:rFonts w:ascii="Times New Roman" w:eastAsia="Times New Roman" w:hAnsi="Times New Roman" w:cs="Times New Roman"/>
          <w:bCs/>
          <w:lang w:eastAsia="pl-PL"/>
        </w:rPr>
        <w:t>(Dz. U. z</w:t>
      </w:r>
      <w:r w:rsidR="006731E8">
        <w:rPr>
          <w:rFonts w:ascii="Times New Roman" w:eastAsia="Times New Roman" w:hAnsi="Times New Roman" w:cs="Times New Roman"/>
          <w:bCs/>
          <w:lang w:eastAsia="pl-PL"/>
        </w:rPr>
        <w:t> </w:t>
      </w:r>
      <w:r w:rsidRPr="000763F0">
        <w:rPr>
          <w:rFonts w:ascii="Times New Roman" w:eastAsia="Times New Roman" w:hAnsi="Times New Roman" w:cs="Times New Roman"/>
          <w:bCs/>
          <w:lang w:eastAsia="pl-PL"/>
        </w:rPr>
        <w:t>2025 r. poz. 163, 340, 368, 620, 680, 1022, 1180, 1301, 1302, 1366);</w:t>
      </w:r>
    </w:p>
    <w:p w14:paraId="44FA1A67" w14:textId="173B12A3" w:rsidR="00FD6EC7" w:rsidRPr="000763F0" w:rsidRDefault="00FD6EC7" w:rsidP="000763F0">
      <w:pPr>
        <w:pStyle w:val="Akapitzlist"/>
        <w:numPr>
          <w:ilvl w:val="0"/>
          <w:numId w:val="23"/>
        </w:numPr>
        <w:spacing w:before="240" w:line="240" w:lineRule="auto"/>
        <w:jc w:val="both"/>
        <w:rPr>
          <w:rFonts w:ascii="Times New Roman" w:eastAsia="Times New Roman" w:hAnsi="Times New Roman" w:cs="Times New Roman"/>
          <w:bCs/>
          <w:lang w:val="pl" w:eastAsia="pl-PL"/>
        </w:rPr>
      </w:pPr>
      <w:r w:rsidRPr="000763F0">
        <w:rPr>
          <w:rFonts w:ascii="Times New Roman" w:eastAsia="Times New Roman" w:hAnsi="Times New Roman" w:cs="Times New Roman"/>
          <w:bCs/>
          <w:lang w:val="pl" w:eastAsia="pl-PL"/>
        </w:rPr>
        <w:t>ustawę z dnia 15 lutego 1992 r. o podatku dochodowym od osób prawnych (Dz. U. z</w:t>
      </w:r>
      <w:r w:rsidR="006731E8">
        <w:rPr>
          <w:rFonts w:ascii="Times New Roman" w:eastAsia="Times New Roman" w:hAnsi="Times New Roman" w:cs="Times New Roman"/>
          <w:bCs/>
          <w:lang w:val="pl" w:eastAsia="pl-PL"/>
        </w:rPr>
        <w:t> </w:t>
      </w:r>
      <w:r w:rsidRPr="000763F0">
        <w:rPr>
          <w:rFonts w:ascii="Times New Roman" w:eastAsia="Times New Roman" w:hAnsi="Times New Roman" w:cs="Times New Roman"/>
          <w:bCs/>
          <w:lang w:val="pl" w:eastAsia="pl-PL"/>
        </w:rPr>
        <w:t>2025 r. poz. 278, 340, 620, 680, 1022, 1074, 1218, 1301, 1426, 1657, 1658, 1804, 1817, 1846);</w:t>
      </w:r>
    </w:p>
    <w:p w14:paraId="40800F76" w14:textId="05CA7588" w:rsidR="00FD6EC7" w:rsidRPr="000763F0" w:rsidRDefault="00FD6EC7" w:rsidP="000763F0">
      <w:pPr>
        <w:pStyle w:val="Akapitzlist"/>
        <w:numPr>
          <w:ilvl w:val="0"/>
          <w:numId w:val="23"/>
        </w:numPr>
        <w:spacing w:before="240" w:line="240" w:lineRule="auto"/>
        <w:jc w:val="both"/>
        <w:rPr>
          <w:rFonts w:ascii="Times New Roman" w:eastAsia="Times New Roman" w:hAnsi="Times New Roman" w:cs="Times New Roman"/>
          <w:bCs/>
          <w:lang w:val="pl" w:eastAsia="pl-PL"/>
        </w:rPr>
      </w:pPr>
      <w:r w:rsidRPr="000763F0">
        <w:rPr>
          <w:rFonts w:ascii="Times New Roman" w:eastAsia="Times New Roman" w:hAnsi="Times New Roman" w:cs="Times New Roman"/>
          <w:bCs/>
          <w:lang w:val="pl" w:eastAsia="pl-PL"/>
        </w:rPr>
        <w:t>ustawę z dnia 29 sierpnia 1997 r. – Ordynacja podatkowa (Dz. U. z 2025 r. poz. 111, 497, 621, 622, 769, 820, 1203, 1235, 1414, 1417, 1669, 1804, 1863);</w:t>
      </w:r>
    </w:p>
    <w:p w14:paraId="63FCDC2D" w14:textId="0E83536F" w:rsidR="00FD6EC7" w:rsidRPr="000763F0" w:rsidRDefault="00FD6EC7" w:rsidP="000763F0">
      <w:pPr>
        <w:pStyle w:val="Akapitzlist"/>
        <w:numPr>
          <w:ilvl w:val="0"/>
          <w:numId w:val="23"/>
        </w:numPr>
        <w:spacing w:before="240" w:line="240" w:lineRule="auto"/>
        <w:jc w:val="both"/>
        <w:rPr>
          <w:rFonts w:ascii="Times New Roman" w:eastAsia="Times New Roman" w:hAnsi="Times New Roman" w:cs="Times New Roman"/>
          <w:bCs/>
          <w:lang w:val="pl" w:eastAsia="pl-PL"/>
        </w:rPr>
      </w:pPr>
      <w:r w:rsidRPr="000763F0">
        <w:rPr>
          <w:rFonts w:ascii="Times New Roman" w:eastAsia="Times New Roman" w:hAnsi="Times New Roman" w:cs="Times New Roman"/>
          <w:bCs/>
          <w:lang w:val="pl" w:eastAsia="pl-PL"/>
        </w:rPr>
        <w:t>ustawę z dnia 21 lipca 2006 r. o nadzorze nad rynkiem finansowym (Dz. U. z 2025 r. poz. 640, 1069);</w:t>
      </w:r>
    </w:p>
    <w:p w14:paraId="12BD1A53" w14:textId="429633E5" w:rsidR="00FD6EC7" w:rsidRPr="000763F0" w:rsidRDefault="00FD6EC7" w:rsidP="000763F0">
      <w:pPr>
        <w:pStyle w:val="Akapitzlist"/>
        <w:numPr>
          <w:ilvl w:val="0"/>
          <w:numId w:val="23"/>
        </w:numPr>
        <w:spacing w:before="240" w:line="240" w:lineRule="auto"/>
        <w:jc w:val="both"/>
        <w:rPr>
          <w:rFonts w:ascii="Times New Roman" w:eastAsia="Times New Roman" w:hAnsi="Times New Roman" w:cs="Times New Roman"/>
          <w:bCs/>
          <w:lang w:val="pl" w:eastAsia="pl-PL"/>
        </w:rPr>
      </w:pPr>
      <w:r w:rsidRPr="000763F0">
        <w:rPr>
          <w:rFonts w:ascii="Times New Roman" w:eastAsia="Times New Roman" w:hAnsi="Times New Roman" w:cs="Times New Roman"/>
          <w:bCs/>
          <w:lang w:val="pl" w:eastAsia="pl-PL"/>
        </w:rPr>
        <w:t xml:space="preserve">ustawę z dnia 5 sierpnia 2015 r. o rozpatrywaniu reklamacji przez podmioty rynku finansowego, o Rzeczniku Finansowym i o Funduszu Edukacji Finansowej </w:t>
      </w:r>
      <w:r w:rsidRPr="000763F0">
        <w:rPr>
          <w:rFonts w:ascii="Times New Roman" w:eastAsia="Times New Roman" w:hAnsi="Times New Roman" w:cs="Times New Roman"/>
          <w:bCs/>
          <w:lang w:eastAsia="pl-PL"/>
        </w:rPr>
        <w:t>(Dz. U. z</w:t>
      </w:r>
      <w:r w:rsidR="006731E8">
        <w:rPr>
          <w:rFonts w:ascii="Times New Roman" w:eastAsia="Times New Roman" w:hAnsi="Times New Roman" w:cs="Times New Roman"/>
          <w:bCs/>
          <w:lang w:eastAsia="pl-PL"/>
        </w:rPr>
        <w:t> </w:t>
      </w:r>
      <w:r w:rsidRPr="000763F0">
        <w:rPr>
          <w:rFonts w:ascii="Times New Roman" w:eastAsia="Times New Roman" w:hAnsi="Times New Roman" w:cs="Times New Roman"/>
          <w:bCs/>
          <w:lang w:eastAsia="pl-PL"/>
        </w:rPr>
        <w:t>2024 r. poz. 1109, z 2025 r. poz. 146, 1069, 1545);</w:t>
      </w:r>
    </w:p>
    <w:p w14:paraId="73E2B6EC" w14:textId="33CE9297" w:rsidR="000763F0" w:rsidRPr="000763F0" w:rsidRDefault="00FD6EC7" w:rsidP="000763F0">
      <w:pPr>
        <w:pStyle w:val="Akapitzlist"/>
        <w:numPr>
          <w:ilvl w:val="0"/>
          <w:numId w:val="23"/>
        </w:numPr>
        <w:spacing w:before="240" w:line="240" w:lineRule="auto"/>
        <w:jc w:val="both"/>
        <w:rPr>
          <w:rFonts w:ascii="Times New Roman" w:eastAsia="Times New Roman" w:hAnsi="Times New Roman" w:cs="Times New Roman"/>
          <w:bCs/>
          <w:lang w:val="pl" w:eastAsia="pl-PL"/>
        </w:rPr>
      </w:pPr>
      <w:r w:rsidRPr="000763F0">
        <w:rPr>
          <w:rFonts w:ascii="Times New Roman" w:eastAsia="Times New Roman" w:hAnsi="Times New Roman" w:cs="Times New Roman"/>
          <w:bCs/>
          <w:lang w:val="pl" w:eastAsia="pl-PL"/>
        </w:rPr>
        <w:t xml:space="preserve">ustawę z dnia 1 marca 2018 r. o przeciwdziałaniu praniu pieniędzy oraz finansowaniu terroryzmu </w:t>
      </w:r>
      <w:r w:rsidRPr="000763F0">
        <w:rPr>
          <w:rFonts w:ascii="Times New Roman" w:eastAsia="Times New Roman" w:hAnsi="Times New Roman" w:cs="Times New Roman"/>
          <w:bCs/>
          <w:lang w:eastAsia="pl-PL"/>
        </w:rPr>
        <w:t>(Dz. U. z 2023 r. poz. 1124, 1285, 1723, 1843, z 2024 r. poz. 850, 1222, z</w:t>
      </w:r>
      <w:r w:rsidR="006731E8">
        <w:rPr>
          <w:rFonts w:ascii="Times New Roman" w:eastAsia="Times New Roman" w:hAnsi="Times New Roman" w:cs="Times New Roman"/>
          <w:bCs/>
          <w:lang w:eastAsia="pl-PL"/>
        </w:rPr>
        <w:t> </w:t>
      </w:r>
      <w:r w:rsidRPr="000763F0">
        <w:rPr>
          <w:rFonts w:ascii="Times New Roman" w:eastAsia="Times New Roman" w:hAnsi="Times New Roman" w:cs="Times New Roman"/>
          <w:bCs/>
          <w:lang w:eastAsia="pl-PL"/>
        </w:rPr>
        <w:t>2025 r. poz. 146, 172).</w:t>
      </w:r>
    </w:p>
    <w:p w14:paraId="2B2D0E11" w14:textId="70A1843D" w:rsidR="00A76C29" w:rsidRDefault="000763F0" w:rsidP="000763F0">
      <w:pPr>
        <w:spacing w:before="240" w:line="240" w:lineRule="auto"/>
        <w:ind w:firstLine="708"/>
        <w:jc w:val="both"/>
        <w:rPr>
          <w:rFonts w:ascii="Times New Roman" w:eastAsia="Times New Roman" w:hAnsi="Times New Roman" w:cs="Times New Roman"/>
          <w:bCs/>
          <w:lang w:val="pl" w:eastAsia="pl-PL"/>
        </w:rPr>
      </w:pPr>
      <w:r>
        <w:rPr>
          <w:rFonts w:ascii="Times New Roman" w:eastAsia="Times New Roman" w:hAnsi="Times New Roman" w:cs="Times New Roman"/>
          <w:bCs/>
          <w:lang w:val="pl" w:eastAsia="pl-PL"/>
        </w:rPr>
        <w:t>Z</w:t>
      </w:r>
      <w:r w:rsidR="00A76C29" w:rsidRPr="00211906">
        <w:rPr>
          <w:rFonts w:ascii="Times New Roman" w:eastAsia="Times New Roman" w:hAnsi="Times New Roman" w:cs="Times New Roman"/>
          <w:bCs/>
          <w:lang w:val="pl" w:eastAsia="pl-PL"/>
        </w:rPr>
        <w:t>miany podatkowe</w:t>
      </w:r>
      <w:r>
        <w:rPr>
          <w:rFonts w:ascii="Times New Roman" w:eastAsia="Times New Roman" w:hAnsi="Times New Roman" w:cs="Times New Roman"/>
          <w:bCs/>
          <w:lang w:val="pl" w:eastAsia="pl-PL"/>
        </w:rPr>
        <w:t xml:space="preserve"> </w:t>
      </w:r>
      <w:r w:rsidR="00A76C29" w:rsidRPr="00211906">
        <w:rPr>
          <w:rFonts w:ascii="Times New Roman" w:eastAsia="Times New Roman" w:hAnsi="Times New Roman" w:cs="Times New Roman"/>
          <w:bCs/>
          <w:lang w:val="pl" w:eastAsia="pl-PL"/>
        </w:rPr>
        <w:t xml:space="preserve">nie stanowią wdrożenia MiCA sensu stricto, lecz służą usunięciu barier krajowych utrudniających praktyczne stosowanie rozwiązań dopuszczonych przez rozporządzenie. W szczególności przepisy te zapewniają neutralność podatkową określonych czynności związanych z emisją i wykupem tokenów (w tym EMT/ART) oraz porządkują </w:t>
      </w:r>
      <w:r w:rsidR="00A76C29" w:rsidRPr="00211906">
        <w:rPr>
          <w:rFonts w:ascii="Times New Roman" w:eastAsia="Times New Roman" w:hAnsi="Times New Roman" w:cs="Times New Roman"/>
          <w:bCs/>
          <w:lang w:val="pl" w:eastAsia="pl-PL"/>
        </w:rPr>
        <w:lastRenderedPageBreak/>
        <w:t>kwestie dowodowe poprzez umożliwienie posługiwania się zapisami z rozproszonego rejestru jako środkiem dowodowym w sprawach podatkowych. Rozwiązania te mają zwiększyć pewność rozliczeń i ograniczyć rozbieżności interpretacyjne.</w:t>
      </w:r>
    </w:p>
    <w:p w14:paraId="792348E6" w14:textId="2EAE4F72" w:rsidR="00211906" w:rsidRDefault="00A76C29" w:rsidP="000763F0">
      <w:pPr>
        <w:spacing w:before="240" w:line="240" w:lineRule="auto"/>
        <w:ind w:firstLine="708"/>
        <w:jc w:val="both"/>
        <w:rPr>
          <w:rFonts w:ascii="Times New Roman" w:eastAsia="Times New Roman" w:hAnsi="Times New Roman" w:cs="Times New Roman"/>
          <w:bCs/>
          <w:lang w:val="pl" w:eastAsia="pl-PL"/>
        </w:rPr>
      </w:pPr>
      <w:r w:rsidRPr="00211906">
        <w:rPr>
          <w:rFonts w:ascii="Times New Roman" w:eastAsia="Times New Roman" w:hAnsi="Times New Roman" w:cs="Times New Roman"/>
          <w:bCs/>
          <w:lang w:val="pl" w:eastAsia="pl-PL"/>
        </w:rPr>
        <w:t xml:space="preserve">Rozdział </w:t>
      </w:r>
      <w:r w:rsidR="000763F0">
        <w:rPr>
          <w:rFonts w:ascii="Times New Roman" w:eastAsia="Times New Roman" w:hAnsi="Times New Roman" w:cs="Times New Roman"/>
          <w:bCs/>
          <w:lang w:val="pl" w:eastAsia="pl-PL"/>
        </w:rPr>
        <w:t>11</w:t>
      </w:r>
      <w:r w:rsidRPr="00211906">
        <w:rPr>
          <w:rFonts w:ascii="Times New Roman" w:eastAsia="Times New Roman" w:hAnsi="Times New Roman" w:cs="Times New Roman"/>
          <w:bCs/>
          <w:lang w:val="pl" w:eastAsia="pl-PL"/>
        </w:rPr>
        <w:t xml:space="preserve"> obejmuje zmiany dostosowujące w przepisach odrębnych, konieczne dla spójnego funkcjonowania reżimu MiCA w polskim porządku prawnym. Zmiany te mają charakter techniczny i polegają na dostosowaniu przepisów sektorowych do nowej kategorii podmiotów (CASP) oraz do mechanizmów ochrony użytkowników rynku. Celem jest zapewnienie spójności systemowej i uniknięcie luk kompetencyjnych lub proceduralnych w</w:t>
      </w:r>
      <w:r w:rsidR="006731E8">
        <w:rPr>
          <w:rFonts w:ascii="Times New Roman" w:eastAsia="Times New Roman" w:hAnsi="Times New Roman" w:cs="Times New Roman"/>
          <w:bCs/>
          <w:lang w:val="pl" w:eastAsia="pl-PL"/>
        </w:rPr>
        <w:t> </w:t>
      </w:r>
      <w:r w:rsidRPr="00211906">
        <w:rPr>
          <w:rFonts w:ascii="Times New Roman" w:eastAsia="Times New Roman" w:hAnsi="Times New Roman" w:cs="Times New Roman"/>
          <w:bCs/>
          <w:lang w:val="pl" w:eastAsia="pl-PL"/>
        </w:rPr>
        <w:t>obszarach powiązanych z rynkiem kryptoaktywów.</w:t>
      </w:r>
      <w:r w:rsidR="000763F0">
        <w:rPr>
          <w:rFonts w:ascii="Times New Roman" w:eastAsia="Times New Roman" w:hAnsi="Times New Roman" w:cs="Times New Roman"/>
          <w:bCs/>
          <w:lang w:val="pl" w:eastAsia="pl-PL"/>
        </w:rPr>
        <w:t xml:space="preserve"> D</w:t>
      </w:r>
      <w:r w:rsidR="000763F0" w:rsidRPr="00211906">
        <w:rPr>
          <w:rFonts w:ascii="Times New Roman" w:eastAsia="Times New Roman" w:hAnsi="Times New Roman" w:cs="Times New Roman"/>
          <w:bCs/>
          <w:lang w:val="pl" w:eastAsia="pl-PL"/>
        </w:rPr>
        <w:t>ostosowuje terminologię i odesłania w</w:t>
      </w:r>
      <w:r w:rsidR="006731E8">
        <w:rPr>
          <w:rFonts w:ascii="Times New Roman" w:eastAsia="Times New Roman" w:hAnsi="Times New Roman" w:cs="Times New Roman"/>
          <w:bCs/>
          <w:lang w:val="pl" w:eastAsia="pl-PL"/>
        </w:rPr>
        <w:t> </w:t>
      </w:r>
      <w:r w:rsidR="000763F0" w:rsidRPr="00211906">
        <w:rPr>
          <w:rFonts w:ascii="Times New Roman" w:eastAsia="Times New Roman" w:hAnsi="Times New Roman" w:cs="Times New Roman"/>
          <w:bCs/>
          <w:lang w:val="pl" w:eastAsia="pl-PL"/>
        </w:rPr>
        <w:t>reżimie AML do rozwiązań wynikających z MiCA oraz zapewnia ciągłość stosowania obowiązków AML w okresie przejściowym. Wprowadzone rozwiązania mają charakter porządkujący i służą uniknięciu kolizji definicyjnych, a także zapewnieniu, że obowiązki AML pozostają skuteczne wobec podmiotów przechodzących z dotychczasowych krajowych mechanizmów na reżim licencyjny MiCA. Jednocześnie przepisy wskazują moment utraty mocy regulacji krajowych, które w nowym stanie prawnym stają się zbędne lub niespójne.</w:t>
      </w:r>
      <w:r w:rsidR="000763F0">
        <w:rPr>
          <w:rFonts w:ascii="Times New Roman" w:eastAsia="Times New Roman" w:hAnsi="Times New Roman" w:cs="Times New Roman"/>
          <w:bCs/>
          <w:lang w:val="pl" w:eastAsia="pl-PL"/>
        </w:rPr>
        <w:t xml:space="preserve"> Przepisy w nim zawarte </w:t>
      </w:r>
      <w:r w:rsidR="000763F0" w:rsidRPr="00211906">
        <w:rPr>
          <w:rFonts w:ascii="Times New Roman" w:eastAsia="Times New Roman" w:hAnsi="Times New Roman" w:cs="Times New Roman"/>
          <w:bCs/>
          <w:lang w:val="pl" w:eastAsia="pl-PL"/>
        </w:rPr>
        <w:t>zoperacjonalizu</w:t>
      </w:r>
      <w:r w:rsidR="000763F0">
        <w:rPr>
          <w:rFonts w:ascii="Times New Roman" w:eastAsia="Times New Roman" w:hAnsi="Times New Roman" w:cs="Times New Roman"/>
          <w:bCs/>
          <w:lang w:val="pl" w:eastAsia="pl-PL"/>
        </w:rPr>
        <w:t>ją także</w:t>
      </w:r>
      <w:r w:rsidR="00211906" w:rsidRPr="00211906">
        <w:rPr>
          <w:rFonts w:ascii="Times New Roman" w:eastAsia="Times New Roman" w:hAnsi="Times New Roman" w:cs="Times New Roman"/>
          <w:bCs/>
          <w:lang w:val="pl" w:eastAsia="pl-PL"/>
        </w:rPr>
        <w:t xml:space="preserve"> mechanizm przejściowy przewidziany w</w:t>
      </w:r>
      <w:r w:rsidR="006731E8">
        <w:rPr>
          <w:rFonts w:ascii="Times New Roman" w:eastAsia="Times New Roman" w:hAnsi="Times New Roman" w:cs="Times New Roman"/>
          <w:bCs/>
          <w:lang w:val="pl" w:eastAsia="pl-PL"/>
        </w:rPr>
        <w:t> </w:t>
      </w:r>
      <w:r w:rsidR="00211906" w:rsidRPr="00211906">
        <w:rPr>
          <w:rFonts w:ascii="Times New Roman" w:eastAsia="Times New Roman" w:hAnsi="Times New Roman" w:cs="Times New Roman"/>
          <w:bCs/>
          <w:lang w:val="pl" w:eastAsia="pl-PL"/>
        </w:rPr>
        <w:t>MiCA, zapewniając ciągłość świadczenia usług przez podmioty działające na rynku przed rozpoczęciem stosowania rozporządzenia, przy jednoczesnym określeniu minimalnych standardów ochrony użytkowników. Istotnym elementem jest doprecyzowanie proceduralne trybu rozpatrywania wniosków o zezwolenie, w tym weryfikacji kompletności wniosku i formy żądań uzupełnienia, co ma zwiększyć przewidywalność postępowania i ograniczyć uznaniowość. Rozwiązania te nie tworzą krajowych „quasi-zezwoleń”, lecz zapewniają spójne stosowanie terminów i warunków wynikających z MiCA.</w:t>
      </w:r>
      <w:r w:rsidR="000763F0">
        <w:rPr>
          <w:rFonts w:ascii="Times New Roman" w:eastAsia="Times New Roman" w:hAnsi="Times New Roman" w:cs="Times New Roman"/>
          <w:bCs/>
          <w:lang w:val="pl" w:eastAsia="pl-PL"/>
        </w:rPr>
        <w:t xml:space="preserve"> </w:t>
      </w:r>
      <w:r w:rsidR="00211906" w:rsidRPr="00211906">
        <w:rPr>
          <w:rFonts w:ascii="Times New Roman" w:eastAsia="Times New Roman" w:hAnsi="Times New Roman" w:cs="Times New Roman"/>
          <w:bCs/>
          <w:lang w:val="pl" w:eastAsia="pl-PL"/>
        </w:rPr>
        <w:t>Przepisy końcow</w:t>
      </w:r>
      <w:r w:rsidR="000763F0">
        <w:rPr>
          <w:rFonts w:ascii="Times New Roman" w:eastAsia="Times New Roman" w:hAnsi="Times New Roman" w:cs="Times New Roman"/>
          <w:bCs/>
          <w:lang w:val="pl" w:eastAsia="pl-PL"/>
        </w:rPr>
        <w:t>y</w:t>
      </w:r>
      <w:r w:rsidR="00211906" w:rsidRPr="00211906">
        <w:rPr>
          <w:rFonts w:ascii="Times New Roman" w:eastAsia="Times New Roman" w:hAnsi="Times New Roman" w:cs="Times New Roman"/>
          <w:bCs/>
          <w:lang w:val="pl" w:eastAsia="pl-PL"/>
        </w:rPr>
        <w:t xml:space="preserve"> określa termin wejścia w życie ustawy</w:t>
      </w:r>
      <w:r w:rsidR="000763F0">
        <w:rPr>
          <w:rFonts w:ascii="Times New Roman" w:eastAsia="Times New Roman" w:hAnsi="Times New Roman" w:cs="Times New Roman"/>
          <w:bCs/>
          <w:lang w:val="pl" w:eastAsia="pl-PL"/>
        </w:rPr>
        <w:t>, który z uwagi na niepewność na rynku, wynikającą z braku obowiązujących przepisów, mających na celu stosowanie MiCA musi być maksymalnie skrócony.</w:t>
      </w:r>
    </w:p>
    <w:p w14:paraId="0078A0BA" w14:textId="6EE8EEEF" w:rsidR="00436A0D" w:rsidRPr="003D1D04" w:rsidRDefault="00436A0D" w:rsidP="00211906">
      <w:pPr>
        <w:spacing w:before="240" w:line="240" w:lineRule="auto"/>
        <w:ind w:firstLine="708"/>
        <w:jc w:val="both"/>
        <w:rPr>
          <w:rFonts w:ascii="Times New Roman" w:eastAsia="Times New Roman" w:hAnsi="Times New Roman" w:cs="Times New Roman"/>
          <w:lang w:eastAsia="pl-PL"/>
        </w:rPr>
      </w:pPr>
      <w:r w:rsidRPr="003D1D04">
        <w:rPr>
          <w:rFonts w:ascii="Times New Roman" w:hAnsi="Times New Roman" w:cs="Times New Roman"/>
          <w:b/>
          <w:bCs/>
        </w:rPr>
        <w:t xml:space="preserve">2. Przewidywane skutki prawne w tym różnica pomiędzy dotychczasowym </w:t>
      </w:r>
      <w:r w:rsidRPr="003D1D04">
        <w:rPr>
          <w:rFonts w:ascii="Times New Roman" w:hAnsi="Times New Roman" w:cs="Times New Roman"/>
          <w:b/>
          <w:bCs/>
        </w:rPr>
        <w:br/>
        <w:t>a projektowanym stanem prawnym</w:t>
      </w:r>
    </w:p>
    <w:p w14:paraId="5A39AACF" w14:textId="77777777" w:rsidR="00211906" w:rsidRPr="00211906" w:rsidRDefault="00211906" w:rsidP="00211906">
      <w:pPr>
        <w:spacing w:line="240" w:lineRule="auto"/>
        <w:ind w:firstLine="708"/>
        <w:jc w:val="both"/>
        <w:rPr>
          <w:rFonts w:ascii="Times New Roman" w:hAnsi="Times New Roman" w:cs="Times New Roman"/>
          <w:lang w:val="pl"/>
        </w:rPr>
      </w:pPr>
      <w:r w:rsidRPr="00211906">
        <w:rPr>
          <w:rFonts w:ascii="Times New Roman" w:hAnsi="Times New Roman" w:cs="Times New Roman"/>
          <w:lang w:val="pl"/>
        </w:rPr>
        <w:t>Projekt przyjmuje podejście „UE+0”, tj. ogranicza regulację krajową do rozwiązań niezbędnych do stosowania MiCA, bez wprowadzania dodatkowych obowiązków materialnych po stronie uczestników rynku, wykraczających poza prawo Unii Europejskiej. W szczególności projekt nie powiela przepisów MiCA, a w zakresie definicji i wymogów merytorycznych odsyła do terminologii i reżimów wynikających z rozporządzenia unijnego.</w:t>
      </w:r>
    </w:p>
    <w:p w14:paraId="715AB08C" w14:textId="77777777" w:rsidR="00211906" w:rsidRPr="00211906" w:rsidRDefault="00211906" w:rsidP="00211906">
      <w:pPr>
        <w:spacing w:line="240" w:lineRule="auto"/>
        <w:ind w:firstLine="708"/>
        <w:jc w:val="both"/>
        <w:rPr>
          <w:rFonts w:ascii="Times New Roman" w:hAnsi="Times New Roman" w:cs="Times New Roman"/>
          <w:lang w:val="pl"/>
        </w:rPr>
      </w:pPr>
      <w:r w:rsidRPr="00211906">
        <w:rPr>
          <w:rFonts w:ascii="Times New Roman" w:hAnsi="Times New Roman" w:cs="Times New Roman"/>
          <w:lang w:val="pl"/>
        </w:rPr>
        <w:t>Rozwiązania przyjęte w projekcie koncentrują się na:</w:t>
      </w:r>
    </w:p>
    <w:p w14:paraId="3F33D389" w14:textId="665B80F9"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 xml:space="preserve">wskazaniu organu właściwego w sprawach objętych MiCA oraz podstawowych zasadach prowadzenia postępowań (art. 3 oraz </w:t>
      </w:r>
      <w:r w:rsidR="00115ABA">
        <w:rPr>
          <w:rFonts w:ascii="Times New Roman" w:hAnsi="Times New Roman" w:cs="Times New Roman"/>
          <w:lang w:val="pl"/>
        </w:rPr>
        <w:t xml:space="preserve">art. </w:t>
      </w:r>
      <w:r w:rsidRPr="00B9612A">
        <w:rPr>
          <w:rFonts w:ascii="Times New Roman" w:hAnsi="Times New Roman" w:cs="Times New Roman"/>
          <w:lang w:val="pl"/>
        </w:rPr>
        <w:t xml:space="preserve">6–8); </w:t>
      </w:r>
    </w:p>
    <w:p w14:paraId="4246FF2B" w14:textId="77777777"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uregulowaniu współpracy KNF z ESMA i EBA, w tym mechanizmu wykonywania na terytorium Rzeczypospolitej Polskiej kar pieniężnych i okresowych kar pieniężnych nakładanych przez EBA (art. 4);</w:t>
      </w:r>
    </w:p>
    <w:p w14:paraId="38B7EAA4" w14:textId="77777777"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ustanowieniu reżimu tajemnicy zawodowej oraz zasad udostępniania informacji uprawnionym organom, w sposób spójny ze standardami rynku finansowego (art. 5);</w:t>
      </w:r>
    </w:p>
    <w:p w14:paraId="02B15D24" w14:textId="67D9441D"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lastRenderedPageBreak/>
        <w:t>uregulowaniu środków dotyczących interfejsów internetowych w sposób zapewniający kontrolę sądową oraz proporcjonalność ingerencji (art. 9</w:t>
      </w:r>
      <w:r w:rsidR="00B9612A">
        <w:rPr>
          <w:rFonts w:ascii="Times New Roman" w:hAnsi="Times New Roman" w:cs="Times New Roman"/>
          <w:lang w:val="pl"/>
        </w:rPr>
        <w:t xml:space="preserve"> i </w:t>
      </w:r>
      <w:r w:rsidRPr="00B9612A">
        <w:rPr>
          <w:rFonts w:ascii="Times New Roman" w:hAnsi="Times New Roman" w:cs="Times New Roman"/>
          <w:lang w:val="pl"/>
        </w:rPr>
        <w:t>10);</w:t>
      </w:r>
    </w:p>
    <w:p w14:paraId="694ECD19" w14:textId="77777777"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ustanowieniu ram opłat na pokrycie kosztów nadzoru, w tym limitów oraz delegacji do uregulowania elementów technicznych w akcie wykonawczym (art. 11–14);</w:t>
      </w:r>
    </w:p>
    <w:p w14:paraId="0F1F1992" w14:textId="5F003CBF"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wprowadzeniu przepisów o charakterze sankcyjnym i odpowiedzialnościowym w</w:t>
      </w:r>
      <w:r w:rsidR="00B9612A">
        <w:rPr>
          <w:rFonts w:ascii="Times New Roman" w:hAnsi="Times New Roman" w:cs="Times New Roman"/>
          <w:lang w:val="pl"/>
        </w:rPr>
        <w:t> </w:t>
      </w:r>
      <w:r w:rsidRPr="00B9612A">
        <w:rPr>
          <w:rFonts w:ascii="Times New Roman" w:hAnsi="Times New Roman" w:cs="Times New Roman"/>
          <w:lang w:val="pl"/>
        </w:rPr>
        <w:t>zakresie dopuszczonym przez MiCA (art. 15</w:t>
      </w:r>
      <w:r w:rsidR="00B9612A">
        <w:rPr>
          <w:rFonts w:ascii="Times New Roman" w:hAnsi="Times New Roman" w:cs="Times New Roman"/>
          <w:lang w:val="pl"/>
        </w:rPr>
        <w:t xml:space="preserve"> i </w:t>
      </w:r>
      <w:r w:rsidRPr="00B9612A">
        <w:rPr>
          <w:rFonts w:ascii="Times New Roman" w:hAnsi="Times New Roman" w:cs="Times New Roman"/>
          <w:lang w:val="pl"/>
        </w:rPr>
        <w:t>1</w:t>
      </w:r>
      <w:r w:rsidR="00B9612A">
        <w:rPr>
          <w:rFonts w:ascii="Times New Roman" w:hAnsi="Times New Roman" w:cs="Times New Roman"/>
          <w:lang w:val="pl"/>
        </w:rPr>
        <w:t xml:space="preserve">6 oraz </w:t>
      </w:r>
      <w:r w:rsidR="00115ABA">
        <w:rPr>
          <w:rFonts w:ascii="Times New Roman" w:hAnsi="Times New Roman" w:cs="Times New Roman"/>
          <w:lang w:val="pl"/>
        </w:rPr>
        <w:t xml:space="preserve">art. </w:t>
      </w:r>
      <w:r w:rsidR="00B9612A">
        <w:rPr>
          <w:rFonts w:ascii="Times New Roman" w:hAnsi="Times New Roman" w:cs="Times New Roman"/>
          <w:lang w:val="pl"/>
        </w:rPr>
        <w:t>21</w:t>
      </w:r>
      <w:r w:rsidRPr="00B9612A">
        <w:rPr>
          <w:rFonts w:ascii="Times New Roman" w:hAnsi="Times New Roman" w:cs="Times New Roman"/>
          <w:lang w:val="pl"/>
        </w:rPr>
        <w:t>);</w:t>
      </w:r>
    </w:p>
    <w:p w14:paraId="3724A638" w14:textId="5B3907C1"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 xml:space="preserve">wprowadzeniu rozwiązań zapewniających pewność rozliczeń podatkowych w zakresie wskazanym w projekcie (art. </w:t>
      </w:r>
      <w:r w:rsidR="00B9612A">
        <w:rPr>
          <w:rFonts w:ascii="Times New Roman" w:hAnsi="Times New Roman" w:cs="Times New Roman"/>
          <w:lang w:val="pl"/>
        </w:rPr>
        <w:t>22-24 oraz art. 28-30</w:t>
      </w:r>
      <w:r w:rsidRPr="00B9612A">
        <w:rPr>
          <w:rFonts w:ascii="Times New Roman" w:hAnsi="Times New Roman" w:cs="Times New Roman"/>
          <w:lang w:val="pl"/>
        </w:rPr>
        <w:t>);</w:t>
      </w:r>
    </w:p>
    <w:p w14:paraId="14098451" w14:textId="5C6A142A"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wprowadzeniu rozwiązań dotyczących pozasądowego rozwiązywania sporów z</w:t>
      </w:r>
      <w:r w:rsidR="00115ABA">
        <w:rPr>
          <w:rFonts w:ascii="Times New Roman" w:hAnsi="Times New Roman" w:cs="Times New Roman"/>
          <w:lang w:val="pl"/>
        </w:rPr>
        <w:t> </w:t>
      </w:r>
      <w:r w:rsidRPr="00B9612A">
        <w:rPr>
          <w:rFonts w:ascii="Times New Roman" w:hAnsi="Times New Roman" w:cs="Times New Roman"/>
          <w:lang w:val="pl"/>
        </w:rPr>
        <w:t xml:space="preserve">udziałem Rzecznika Finansowego (art. </w:t>
      </w:r>
      <w:r w:rsidR="00B9612A">
        <w:rPr>
          <w:rFonts w:ascii="Times New Roman" w:hAnsi="Times New Roman" w:cs="Times New Roman"/>
          <w:lang w:val="pl"/>
        </w:rPr>
        <w:t>17 i 18</w:t>
      </w:r>
      <w:r w:rsidRPr="00B9612A">
        <w:rPr>
          <w:rFonts w:ascii="Times New Roman" w:hAnsi="Times New Roman" w:cs="Times New Roman"/>
          <w:lang w:val="pl"/>
        </w:rPr>
        <w:t>);</w:t>
      </w:r>
    </w:p>
    <w:p w14:paraId="4C25E653" w14:textId="1FEA3D8E"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 xml:space="preserve">zakazie dyskryminacji podmiotów sektora </w:t>
      </w:r>
      <w:r w:rsidR="00950C17" w:rsidRPr="00B9612A">
        <w:rPr>
          <w:rFonts w:ascii="Times New Roman" w:hAnsi="Times New Roman" w:cs="Times New Roman"/>
          <w:lang w:val="pl"/>
        </w:rPr>
        <w:t>kryptoaktywów</w:t>
      </w:r>
      <w:r w:rsidRPr="00B9612A">
        <w:rPr>
          <w:rFonts w:ascii="Times New Roman" w:hAnsi="Times New Roman" w:cs="Times New Roman"/>
          <w:lang w:val="pl"/>
        </w:rPr>
        <w:t xml:space="preserve"> ze względu na charakter działalności, gdy uzyskały zgodę CASP (art. </w:t>
      </w:r>
      <w:r w:rsidR="00B9612A">
        <w:rPr>
          <w:rFonts w:ascii="Times New Roman" w:hAnsi="Times New Roman" w:cs="Times New Roman"/>
          <w:lang w:val="pl"/>
        </w:rPr>
        <w:t xml:space="preserve">19 i </w:t>
      </w:r>
      <w:r w:rsidRPr="00B9612A">
        <w:rPr>
          <w:rFonts w:ascii="Times New Roman" w:hAnsi="Times New Roman" w:cs="Times New Roman"/>
          <w:lang w:val="pl"/>
        </w:rPr>
        <w:t>2</w:t>
      </w:r>
      <w:r w:rsidR="00B9612A">
        <w:rPr>
          <w:rFonts w:ascii="Times New Roman" w:hAnsi="Times New Roman" w:cs="Times New Roman"/>
          <w:lang w:val="pl"/>
        </w:rPr>
        <w:t>0</w:t>
      </w:r>
      <w:r w:rsidRPr="00B9612A">
        <w:rPr>
          <w:rFonts w:ascii="Times New Roman" w:hAnsi="Times New Roman" w:cs="Times New Roman"/>
          <w:lang w:val="pl"/>
        </w:rPr>
        <w:t>).</w:t>
      </w:r>
    </w:p>
    <w:p w14:paraId="6501E241" w14:textId="5AED51A0"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dostosowaniu przepisów o przeciwdziałaniu praniu pieniędzy oraz finansowaniu terroryzmu do reżimu MiCA oraz wskazaniu momentu utraty mocy przepisów krajowych kolidujących z nowym reżimem (art. 27</w:t>
      </w:r>
      <w:r w:rsidR="00115ABA">
        <w:rPr>
          <w:rFonts w:ascii="Times New Roman" w:hAnsi="Times New Roman" w:cs="Times New Roman"/>
          <w:lang w:val="pl"/>
        </w:rPr>
        <w:t>, 31 i 37</w:t>
      </w:r>
      <w:r w:rsidRPr="00B9612A">
        <w:rPr>
          <w:rFonts w:ascii="Times New Roman" w:hAnsi="Times New Roman" w:cs="Times New Roman"/>
          <w:lang w:val="pl"/>
        </w:rPr>
        <w:t>);</w:t>
      </w:r>
    </w:p>
    <w:p w14:paraId="1451CB3B" w14:textId="6B9ECDFC"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zmianach dostosowujących w przepisach odrębnych (art. 2</w:t>
      </w:r>
      <w:r w:rsidR="00115ABA">
        <w:rPr>
          <w:rFonts w:ascii="Times New Roman" w:hAnsi="Times New Roman" w:cs="Times New Roman"/>
          <w:lang w:val="pl"/>
        </w:rPr>
        <w:t>8</w:t>
      </w:r>
      <w:r w:rsidRPr="00B9612A">
        <w:rPr>
          <w:rFonts w:ascii="Times New Roman" w:hAnsi="Times New Roman" w:cs="Times New Roman"/>
          <w:lang w:val="pl"/>
        </w:rPr>
        <w:t>–</w:t>
      </w:r>
      <w:r w:rsidR="00115ABA">
        <w:rPr>
          <w:rFonts w:ascii="Times New Roman" w:hAnsi="Times New Roman" w:cs="Times New Roman"/>
          <w:lang w:val="pl"/>
        </w:rPr>
        <w:t>36</w:t>
      </w:r>
      <w:r w:rsidRPr="00B9612A">
        <w:rPr>
          <w:rFonts w:ascii="Times New Roman" w:hAnsi="Times New Roman" w:cs="Times New Roman"/>
          <w:lang w:val="pl"/>
        </w:rPr>
        <w:t>);</w:t>
      </w:r>
    </w:p>
    <w:p w14:paraId="20EE5454" w14:textId="33E816D8" w:rsidR="00211906"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doprecyzowaniu trybu rozpatrywania wniosku o udzielenie zezwolenia (art. 3</w:t>
      </w:r>
      <w:r w:rsidR="00115ABA">
        <w:rPr>
          <w:rFonts w:ascii="Times New Roman" w:hAnsi="Times New Roman" w:cs="Times New Roman"/>
          <w:lang w:val="pl"/>
        </w:rPr>
        <w:t>2</w:t>
      </w:r>
      <w:r w:rsidRPr="00B9612A">
        <w:rPr>
          <w:rFonts w:ascii="Times New Roman" w:hAnsi="Times New Roman" w:cs="Times New Roman"/>
          <w:lang w:val="pl"/>
        </w:rPr>
        <w:t>);</w:t>
      </w:r>
    </w:p>
    <w:p w14:paraId="7F5223FD" w14:textId="136AF070" w:rsidR="00B5751A" w:rsidRPr="00B9612A" w:rsidRDefault="00211906" w:rsidP="00B9612A">
      <w:pPr>
        <w:pStyle w:val="Akapitzlist"/>
        <w:numPr>
          <w:ilvl w:val="0"/>
          <w:numId w:val="25"/>
        </w:numPr>
        <w:spacing w:line="240" w:lineRule="auto"/>
        <w:jc w:val="both"/>
        <w:rPr>
          <w:rFonts w:ascii="Times New Roman" w:hAnsi="Times New Roman" w:cs="Times New Roman"/>
          <w:lang w:val="pl"/>
        </w:rPr>
      </w:pPr>
      <w:r w:rsidRPr="00B9612A">
        <w:rPr>
          <w:rFonts w:ascii="Times New Roman" w:hAnsi="Times New Roman" w:cs="Times New Roman"/>
          <w:lang w:val="pl"/>
        </w:rPr>
        <w:t>przepisach przejściowych zapewniających ciągłość świadczenia usług w okresie przejściowym (art. 3</w:t>
      </w:r>
      <w:r w:rsidR="00115ABA">
        <w:rPr>
          <w:rFonts w:ascii="Times New Roman" w:hAnsi="Times New Roman" w:cs="Times New Roman"/>
          <w:lang w:val="pl"/>
        </w:rPr>
        <w:t>3</w:t>
      </w:r>
      <w:r w:rsidRPr="00B9612A">
        <w:rPr>
          <w:rFonts w:ascii="Times New Roman" w:hAnsi="Times New Roman" w:cs="Times New Roman"/>
          <w:lang w:val="pl"/>
        </w:rPr>
        <w:t>–3</w:t>
      </w:r>
      <w:r w:rsidR="00115ABA">
        <w:rPr>
          <w:rFonts w:ascii="Times New Roman" w:hAnsi="Times New Roman" w:cs="Times New Roman"/>
          <w:lang w:val="pl"/>
        </w:rPr>
        <w:t>6</w:t>
      </w:r>
      <w:r w:rsidRPr="00B9612A">
        <w:rPr>
          <w:rFonts w:ascii="Times New Roman" w:hAnsi="Times New Roman" w:cs="Times New Roman"/>
          <w:lang w:val="pl"/>
        </w:rPr>
        <w:t>).</w:t>
      </w:r>
      <w:bookmarkStart w:id="0" w:name="_n78ueu5q8e87" w:colFirst="0" w:colLast="0"/>
      <w:bookmarkEnd w:id="0"/>
    </w:p>
    <w:p w14:paraId="360FBCAF" w14:textId="1834B3EB" w:rsidR="00942D20" w:rsidRDefault="00942D20" w:rsidP="00942D20">
      <w:pPr>
        <w:spacing w:line="240" w:lineRule="auto"/>
        <w:ind w:firstLine="708"/>
        <w:jc w:val="both"/>
        <w:rPr>
          <w:rFonts w:ascii="Times New Roman" w:hAnsi="Times New Roman" w:cs="Times New Roman"/>
        </w:rPr>
      </w:pPr>
      <w:r w:rsidRPr="00942D20">
        <w:rPr>
          <w:rFonts w:ascii="Times New Roman" w:hAnsi="Times New Roman" w:cs="Times New Roman"/>
          <w:bCs/>
        </w:rPr>
        <w:t xml:space="preserve">Projekt </w:t>
      </w:r>
      <w:r>
        <w:rPr>
          <w:rFonts w:ascii="Times New Roman" w:hAnsi="Times New Roman" w:cs="Times New Roman"/>
          <w:bCs/>
        </w:rPr>
        <w:t>ustawy</w:t>
      </w:r>
      <w:r w:rsidRPr="00942D20">
        <w:rPr>
          <w:rFonts w:ascii="Times New Roman" w:hAnsi="Times New Roman" w:cs="Times New Roman"/>
          <w:bCs/>
        </w:rPr>
        <w:t xml:space="preserve"> w art. 3</w:t>
      </w:r>
      <w:r w:rsidR="00D522CD">
        <w:rPr>
          <w:rFonts w:ascii="Times New Roman" w:hAnsi="Times New Roman" w:cs="Times New Roman"/>
          <w:bCs/>
        </w:rPr>
        <w:t>7</w:t>
      </w:r>
      <w:r>
        <w:rPr>
          <w:rFonts w:ascii="Times New Roman" w:hAnsi="Times New Roman" w:cs="Times New Roman"/>
          <w:bCs/>
        </w:rPr>
        <w:t xml:space="preserve"> wskazuje, </w:t>
      </w:r>
      <w:r w:rsidRPr="00942D20">
        <w:rPr>
          <w:rFonts w:ascii="Times New Roman" w:hAnsi="Times New Roman" w:cs="Times New Roman"/>
          <w:bCs/>
        </w:rPr>
        <w:t xml:space="preserve">że ustawa wejdzie w życie </w:t>
      </w:r>
      <w:r w:rsidR="00211906">
        <w:rPr>
          <w:rFonts w:ascii="Times New Roman" w:hAnsi="Times New Roman" w:cs="Times New Roman"/>
          <w:bCs/>
        </w:rPr>
        <w:t>w dniu</w:t>
      </w:r>
      <w:r w:rsidRPr="00942D20">
        <w:rPr>
          <w:rFonts w:ascii="Times New Roman" w:hAnsi="Times New Roman" w:cs="Times New Roman"/>
          <w:bCs/>
        </w:rPr>
        <w:t xml:space="preserve"> ogłoszenia</w:t>
      </w:r>
      <w:r w:rsidR="00115ABA">
        <w:rPr>
          <w:rFonts w:ascii="Times New Roman" w:hAnsi="Times New Roman" w:cs="Times New Roman"/>
          <w:bCs/>
        </w:rPr>
        <w:t xml:space="preserve">, gdyż </w:t>
      </w:r>
      <w:r w:rsidR="00115ABA" w:rsidRPr="00115ABA">
        <w:rPr>
          <w:rFonts w:ascii="Times New Roman" w:hAnsi="Times New Roman" w:cs="Times New Roman"/>
          <w:bCs/>
        </w:rPr>
        <w:t>z uwagi na niepewność na rynku, wynikającą z braku obowiązujących przepisów, mających na celu stosowanie MiCA musi być maksymalnie skrócony.</w:t>
      </w:r>
      <w:r w:rsidR="001A4F7C">
        <w:rPr>
          <w:rFonts w:ascii="Times New Roman" w:hAnsi="Times New Roman" w:cs="Times New Roman"/>
          <w:bCs/>
        </w:rPr>
        <w:t xml:space="preserve"> Wyżej wymieniona sytuacja musi zostać uznana za </w:t>
      </w:r>
      <w:r w:rsidR="001A4F7C" w:rsidRPr="001A4F7C">
        <w:rPr>
          <w:rFonts w:ascii="Times New Roman" w:hAnsi="Times New Roman" w:cs="Times New Roman"/>
          <w:bCs/>
        </w:rPr>
        <w:t>ważny interes państwa</w:t>
      </w:r>
      <w:r w:rsidR="001A4F7C">
        <w:rPr>
          <w:rFonts w:ascii="Times New Roman" w:hAnsi="Times New Roman" w:cs="Times New Roman"/>
          <w:bCs/>
        </w:rPr>
        <w:t xml:space="preserve">, który </w:t>
      </w:r>
      <w:r w:rsidR="001A4F7C" w:rsidRPr="001A4F7C">
        <w:rPr>
          <w:rFonts w:ascii="Times New Roman" w:hAnsi="Times New Roman" w:cs="Times New Roman"/>
          <w:bCs/>
        </w:rPr>
        <w:t>wymaga natychmiastowego wejścia w życie aktu normatywnego</w:t>
      </w:r>
      <w:r w:rsidR="001A4F7C">
        <w:rPr>
          <w:rFonts w:ascii="Times New Roman" w:hAnsi="Times New Roman" w:cs="Times New Roman"/>
          <w:bCs/>
        </w:rPr>
        <w:t xml:space="preserve">. Należy także podkreślić, że </w:t>
      </w:r>
      <w:r w:rsidR="001A4F7C" w:rsidRPr="001A4F7C">
        <w:rPr>
          <w:rFonts w:ascii="Times New Roman" w:hAnsi="Times New Roman" w:cs="Times New Roman"/>
          <w:bCs/>
        </w:rPr>
        <w:t>zasady demokratycznego państwa prawnego nie stoją temu na przeszkodzie</w:t>
      </w:r>
      <w:r w:rsidR="001A4F7C">
        <w:rPr>
          <w:rFonts w:ascii="Times New Roman" w:hAnsi="Times New Roman" w:cs="Times New Roman"/>
          <w:bCs/>
        </w:rPr>
        <w:t>. Przepisy te bowiem wywołają pozytywne skutki społeczne oraz gospodarcze, zwłaszcza dla przedsiębiorców.</w:t>
      </w:r>
    </w:p>
    <w:p w14:paraId="235F0B7E" w14:textId="3E64CCEB" w:rsidR="00942D20" w:rsidRPr="00942D20" w:rsidRDefault="00942D20" w:rsidP="00942D20">
      <w:pPr>
        <w:spacing w:line="240" w:lineRule="auto"/>
        <w:ind w:firstLine="708"/>
        <w:jc w:val="both"/>
        <w:rPr>
          <w:rFonts w:ascii="Times New Roman" w:hAnsi="Times New Roman" w:cs="Times New Roman"/>
        </w:rPr>
      </w:pPr>
      <w:r w:rsidRPr="00942D20">
        <w:rPr>
          <w:rFonts w:ascii="Times New Roman" w:hAnsi="Times New Roman" w:cs="Times New Roman"/>
          <w:bCs/>
        </w:rPr>
        <w:t>Projektowane rozwiązania są spójne z dotychczasowymi regulacjami pod kątem systemowym i terminologicznym</w:t>
      </w:r>
      <w:r>
        <w:rPr>
          <w:rFonts w:ascii="Times New Roman" w:hAnsi="Times New Roman" w:cs="Times New Roman"/>
          <w:bCs/>
        </w:rPr>
        <w:t xml:space="preserve">, a także </w:t>
      </w:r>
      <w:r w:rsidRPr="00942D20">
        <w:rPr>
          <w:rFonts w:ascii="Times New Roman" w:hAnsi="Times New Roman" w:cs="Times New Roman"/>
          <w:bCs/>
        </w:rPr>
        <w:t>zgodne z Konstytucją RP,</w:t>
      </w:r>
      <w:r>
        <w:rPr>
          <w:rFonts w:ascii="Times New Roman" w:hAnsi="Times New Roman" w:cs="Times New Roman"/>
          <w:bCs/>
        </w:rPr>
        <w:t xml:space="preserve"> </w:t>
      </w:r>
      <w:r w:rsidRPr="00942D20">
        <w:rPr>
          <w:rFonts w:ascii="Times New Roman" w:hAnsi="Times New Roman" w:cs="Times New Roman"/>
          <w:bCs/>
        </w:rPr>
        <w:t>w tym z konstytucyjnym standardem ochrony wolności i praw.</w:t>
      </w:r>
    </w:p>
    <w:p w14:paraId="33411378" w14:textId="432AB3F6" w:rsidR="00436A0D" w:rsidRDefault="00436A0D" w:rsidP="00942D20">
      <w:pPr>
        <w:spacing w:line="240" w:lineRule="auto"/>
        <w:jc w:val="both"/>
        <w:rPr>
          <w:rFonts w:ascii="Times New Roman" w:hAnsi="Times New Roman" w:cs="Times New Roman"/>
          <w:b/>
          <w:bCs/>
        </w:rPr>
      </w:pPr>
      <w:r w:rsidRPr="003D1D04">
        <w:rPr>
          <w:rFonts w:ascii="Times New Roman" w:hAnsi="Times New Roman" w:cs="Times New Roman"/>
          <w:b/>
          <w:bCs/>
        </w:rPr>
        <w:t>3. Przewidywane skutki społeczne, gospodarcze, finansowe</w:t>
      </w:r>
    </w:p>
    <w:p w14:paraId="41AD5DD5" w14:textId="54148AEF" w:rsidR="00166B89" w:rsidRPr="00166B89" w:rsidRDefault="00942D20" w:rsidP="00166B89">
      <w:pPr>
        <w:spacing w:line="240" w:lineRule="auto"/>
        <w:ind w:firstLine="708"/>
        <w:jc w:val="both"/>
        <w:rPr>
          <w:rFonts w:ascii="Times New Roman" w:hAnsi="Times New Roman" w:cs="Times New Roman"/>
        </w:rPr>
      </w:pPr>
      <w:r w:rsidRPr="00942D20">
        <w:rPr>
          <w:rFonts w:ascii="Times New Roman" w:hAnsi="Times New Roman" w:cs="Times New Roman"/>
        </w:rPr>
        <w:t>Projekt ustawy wywoła pozytywne skutki społeczne.</w:t>
      </w:r>
      <w:r w:rsidR="00166B89">
        <w:rPr>
          <w:rFonts w:ascii="Times New Roman" w:hAnsi="Times New Roman" w:cs="Times New Roman"/>
        </w:rPr>
        <w:t xml:space="preserve"> </w:t>
      </w:r>
      <w:r w:rsidR="00166B89" w:rsidRPr="00166B89">
        <w:rPr>
          <w:rFonts w:ascii="Times New Roman" w:hAnsi="Times New Roman" w:cs="Times New Roman"/>
        </w:rPr>
        <w:t>Regulacja wzmacnia ochronę użytkowników rynku kryptoaktywów poprzez zapewnienie krajowej wykonalności mechanizmów nadzoru wynikających z MiCA. Wprowadzenie kontroli sądowej nad środkami ingerencyjnymi dotyczącymi interfejsów internetowych zwiększa ochronę praw jednostki i</w:t>
      </w:r>
      <w:r w:rsidR="002F773A">
        <w:rPr>
          <w:rFonts w:ascii="Times New Roman" w:hAnsi="Times New Roman" w:cs="Times New Roman"/>
        </w:rPr>
        <w:t> </w:t>
      </w:r>
      <w:r w:rsidR="00166B89" w:rsidRPr="00166B89">
        <w:rPr>
          <w:rFonts w:ascii="Times New Roman" w:hAnsi="Times New Roman" w:cs="Times New Roman"/>
        </w:rPr>
        <w:t>przejrzystość ingerencji. Doprecyzowanie trybu rozpatrywania wniosków o zezwolenie (weryfikacja kompletności i forma żądań uzupełnienia) sprzyja przejrzystości działania organu oraz ogranicza ryzyko niepewności po stronie klientów podmiotów działających w okresie przejściowym.</w:t>
      </w:r>
    </w:p>
    <w:p w14:paraId="32F57ABD" w14:textId="77777777" w:rsidR="00166B89" w:rsidRPr="00166B89" w:rsidRDefault="00166B89" w:rsidP="00166B89">
      <w:pPr>
        <w:spacing w:line="240" w:lineRule="auto"/>
        <w:ind w:firstLine="708"/>
        <w:jc w:val="both"/>
        <w:rPr>
          <w:rFonts w:ascii="Times New Roman" w:hAnsi="Times New Roman" w:cs="Times New Roman"/>
        </w:rPr>
      </w:pPr>
      <w:r w:rsidRPr="00166B89">
        <w:rPr>
          <w:rFonts w:ascii="Times New Roman" w:hAnsi="Times New Roman" w:cs="Times New Roman"/>
        </w:rPr>
        <w:t>Dodatkowo rozwiązania dotyczące Rzecznika Finansowego poszerzają dostęp do pozasądowych form rozwiązywania sporów, bez wprowadzania obowiązku mediacji.</w:t>
      </w:r>
    </w:p>
    <w:p w14:paraId="0E726DA5" w14:textId="77777777" w:rsidR="00166B89" w:rsidRPr="00166B89" w:rsidRDefault="00166B89" w:rsidP="00166B89">
      <w:pPr>
        <w:spacing w:line="240" w:lineRule="auto"/>
        <w:ind w:firstLine="708"/>
        <w:jc w:val="both"/>
        <w:rPr>
          <w:rFonts w:ascii="Times New Roman" w:hAnsi="Times New Roman" w:cs="Times New Roman"/>
        </w:rPr>
      </w:pPr>
      <w:r w:rsidRPr="00166B89">
        <w:rPr>
          <w:rFonts w:ascii="Times New Roman" w:hAnsi="Times New Roman" w:cs="Times New Roman"/>
        </w:rPr>
        <w:t xml:space="preserve">Projekt nie wywiera bezpośredniego wpływu na rynek pracy w sensie regulacyjnym. Ewentualne skutki pośrednie są związane z warunkami prowadzenia działalności w sektorze </w:t>
      </w:r>
      <w:r w:rsidRPr="00166B89">
        <w:rPr>
          <w:rFonts w:ascii="Times New Roman" w:hAnsi="Times New Roman" w:cs="Times New Roman"/>
        </w:rPr>
        <w:lastRenderedPageBreak/>
        <w:t>usług cyfrowych i finansowych, które będą determinowane w pierwszej kolejności przez rozporządzenie MiCA.</w:t>
      </w:r>
    </w:p>
    <w:p w14:paraId="5F78DBD3" w14:textId="56E50345" w:rsidR="00942D20" w:rsidRDefault="00166B89" w:rsidP="00166B89">
      <w:pPr>
        <w:spacing w:line="240" w:lineRule="auto"/>
        <w:ind w:firstLine="708"/>
        <w:jc w:val="both"/>
        <w:rPr>
          <w:rFonts w:ascii="Times New Roman" w:hAnsi="Times New Roman" w:cs="Times New Roman"/>
        </w:rPr>
      </w:pPr>
      <w:r w:rsidRPr="00166B89">
        <w:rPr>
          <w:rFonts w:ascii="Times New Roman" w:hAnsi="Times New Roman" w:cs="Times New Roman"/>
        </w:rPr>
        <w:t>Projekt nie wywiera wpływu na środowisko naturalne.</w:t>
      </w:r>
    </w:p>
    <w:p w14:paraId="363AFAD2" w14:textId="77777777" w:rsidR="00166B89" w:rsidRPr="00166B89" w:rsidRDefault="00942D20" w:rsidP="00166B89">
      <w:pPr>
        <w:spacing w:line="240" w:lineRule="auto"/>
        <w:ind w:firstLine="708"/>
        <w:jc w:val="both"/>
        <w:rPr>
          <w:rFonts w:ascii="Times New Roman" w:hAnsi="Times New Roman" w:cs="Times New Roman"/>
          <w:bCs/>
        </w:rPr>
      </w:pPr>
      <w:r w:rsidRPr="00942D20">
        <w:rPr>
          <w:rFonts w:ascii="Times New Roman" w:hAnsi="Times New Roman" w:cs="Times New Roman"/>
          <w:bCs/>
        </w:rPr>
        <w:t>Projekt</w:t>
      </w:r>
      <w:r w:rsidR="00B5751A">
        <w:rPr>
          <w:rFonts w:ascii="Times New Roman" w:hAnsi="Times New Roman" w:cs="Times New Roman"/>
          <w:bCs/>
        </w:rPr>
        <w:t xml:space="preserve"> ustawy wywoła pozytywne skutki gospodarcze</w:t>
      </w:r>
      <w:r w:rsidR="00166B89">
        <w:rPr>
          <w:rFonts w:ascii="Times New Roman" w:hAnsi="Times New Roman" w:cs="Times New Roman"/>
          <w:bCs/>
        </w:rPr>
        <w:t xml:space="preserve">. </w:t>
      </w:r>
      <w:r w:rsidR="00166B89" w:rsidRPr="00166B89">
        <w:rPr>
          <w:rFonts w:ascii="Times New Roman" w:hAnsi="Times New Roman" w:cs="Times New Roman"/>
          <w:bCs/>
        </w:rPr>
        <w:t>Dla przedsiębiorców kluczowe znaczenie ma przewidywalność i proporcjonalność rozwiązań krajowych. Ustawa wprowadza ramy opłat w taki sposób, aby nie eliminować z rynku legalnie działających modeli biznesowych, w szczególności modeli niskomarżowych. Jednocześnie zastosowanie limitów maksymalnych oraz ryczałtu dla najmniejszych i rozpoczynających działalność podmiotów ogranicza barierę wejścia i stabilizuje koszty regulacyjne.</w:t>
      </w:r>
    </w:p>
    <w:p w14:paraId="6EEEF857" w14:textId="77777777" w:rsidR="00166B89" w:rsidRDefault="00166B89" w:rsidP="00166B89">
      <w:pPr>
        <w:spacing w:line="240" w:lineRule="auto"/>
        <w:ind w:firstLine="708"/>
        <w:jc w:val="both"/>
        <w:rPr>
          <w:rFonts w:ascii="Times New Roman" w:hAnsi="Times New Roman" w:cs="Times New Roman"/>
          <w:bCs/>
        </w:rPr>
      </w:pPr>
      <w:r w:rsidRPr="00166B89">
        <w:rPr>
          <w:rFonts w:ascii="Times New Roman" w:hAnsi="Times New Roman" w:cs="Times New Roman"/>
          <w:bCs/>
        </w:rPr>
        <w:t>Brak opłat za paszportowanie sprzyja zgodności z zasadą swobody świadczenia usług w UE i nie tworzy krajowych barier dla działalności transgranicznej. Uregulowanie podstawowych reguł proceduralnych oraz dopuszczenie składania dokumentów w języku angielskim może ograniczać koszty administracyjne po stronie podmiotów rynku i zwiększać przewidywalność postępowania.</w:t>
      </w:r>
    </w:p>
    <w:p w14:paraId="7762CB45" w14:textId="08C1F654" w:rsidR="00166B89" w:rsidRDefault="00166B89" w:rsidP="00166B89">
      <w:pPr>
        <w:spacing w:line="240" w:lineRule="auto"/>
        <w:ind w:firstLine="708"/>
        <w:jc w:val="both"/>
        <w:rPr>
          <w:rFonts w:ascii="Times New Roman" w:hAnsi="Times New Roman" w:cs="Times New Roman"/>
          <w:bCs/>
        </w:rPr>
      </w:pPr>
      <w:r w:rsidRPr="00166B89">
        <w:rPr>
          <w:rFonts w:ascii="Times New Roman" w:hAnsi="Times New Roman" w:cs="Times New Roman"/>
          <w:bCs/>
        </w:rPr>
        <w:t>Projekt nie zakłada obciążenia budżetu państwa kosztami wykonywania nowych zadań. Finansowanie nadzoru nad rynkiem kryptoaktywów oparto na opłatach wnoszonych przez podmioty objęte nadzorem, przy czym w ustawie określono maksymalne limity opłat, a</w:t>
      </w:r>
      <w:r w:rsidR="002F773A">
        <w:rPr>
          <w:rFonts w:ascii="Times New Roman" w:hAnsi="Times New Roman" w:cs="Times New Roman"/>
          <w:bCs/>
        </w:rPr>
        <w:t> </w:t>
      </w:r>
      <w:r w:rsidRPr="00166B89">
        <w:rPr>
          <w:rFonts w:ascii="Times New Roman" w:hAnsi="Times New Roman" w:cs="Times New Roman"/>
          <w:bCs/>
        </w:rPr>
        <w:t>elementy techniczne pozostawiono do doprecyzowania w rozporządzeniu. Takie ujęcie służy przewidywalności i ogranicza ryzyko nieproporcjonalnego obciążenia rynku.</w:t>
      </w:r>
    </w:p>
    <w:p w14:paraId="2AD6FCE2" w14:textId="77777777" w:rsidR="00166B89" w:rsidRDefault="00166B89" w:rsidP="00166B89">
      <w:pPr>
        <w:spacing w:line="240" w:lineRule="auto"/>
        <w:ind w:firstLine="708"/>
        <w:jc w:val="both"/>
        <w:rPr>
          <w:rFonts w:ascii="Times New Roman" w:hAnsi="Times New Roman" w:cs="Times New Roman"/>
          <w:bCs/>
        </w:rPr>
      </w:pPr>
      <w:r w:rsidRPr="00166B89">
        <w:rPr>
          <w:rFonts w:ascii="Times New Roman" w:hAnsi="Times New Roman" w:cs="Times New Roman"/>
          <w:bCs/>
        </w:rPr>
        <w:t>W zakresie środków dotyczących interfejsów internetowych projekt może skutkować incydentalnym zwiększeniem liczby spraw rozpoznawanych przez sądy okręgowe. Ze względu na wyjątkowy charakter tych środków oraz sądowy model ingerencji nie przewiduje się jednak istotnego ani trwałego obciążenia finansowego po stronie sądownictwa.</w:t>
      </w:r>
    </w:p>
    <w:p w14:paraId="734833E6" w14:textId="77777777" w:rsidR="00166B89" w:rsidRDefault="00166B89" w:rsidP="00166B89">
      <w:pPr>
        <w:spacing w:line="240" w:lineRule="auto"/>
        <w:ind w:firstLine="708"/>
        <w:jc w:val="both"/>
        <w:rPr>
          <w:rFonts w:ascii="Times New Roman" w:hAnsi="Times New Roman" w:cs="Times New Roman"/>
          <w:bCs/>
        </w:rPr>
      </w:pPr>
      <w:r w:rsidRPr="00166B89">
        <w:rPr>
          <w:rFonts w:ascii="Times New Roman" w:hAnsi="Times New Roman" w:cs="Times New Roman"/>
          <w:bCs/>
        </w:rPr>
        <w:t>W zakresie zmian podatkowych, które wchodzą w życie od 1 stycznia 2027 r., wpływ fiskalny będzie zależał od skali rynku oraz zachowań podatników. Na etapie OSR o charakterze poselskim brak jest ustandaryzowanych danych umożliwiających wiarygodne oszacowanie wpływu kwotowego, w szczególności w zakresie liczby przyszłych emitentów EMT/ART oraz wolumenu emisji. Celem tych zmian jest przede wszystkim zwiększenie pewności rozliczeń oraz usunięcie barier krajowych mogących utrudniać praktyczne wykorzystanie rozwiązań dopuszczonych w MiCA; wpływ kwotowy powinien zostać oceniony w ramach monitoringu stosowania przepisów po ich wejściu w życie</w:t>
      </w:r>
    </w:p>
    <w:p w14:paraId="0119E9B7" w14:textId="4684E4BE" w:rsidR="00D522CD" w:rsidRPr="00166B89" w:rsidRDefault="00D522CD" w:rsidP="00166B89">
      <w:pPr>
        <w:spacing w:line="240" w:lineRule="auto"/>
        <w:ind w:firstLine="708"/>
        <w:jc w:val="both"/>
        <w:rPr>
          <w:rFonts w:ascii="Times New Roman" w:hAnsi="Times New Roman" w:cs="Times New Roman"/>
          <w:bCs/>
        </w:rPr>
      </w:pPr>
      <w:r w:rsidRPr="00D522CD">
        <w:rPr>
          <w:rFonts w:ascii="Times New Roman" w:hAnsi="Times New Roman" w:cs="Times New Roman"/>
          <w:b/>
          <w:bCs/>
        </w:rPr>
        <w:t>4. Założenia podstawowych aktów wykonawczych</w:t>
      </w:r>
    </w:p>
    <w:p w14:paraId="1EC94CC5" w14:textId="77777777" w:rsidR="0030058D" w:rsidRDefault="0030058D" w:rsidP="001A4F7C">
      <w:pPr>
        <w:spacing w:line="240" w:lineRule="auto"/>
        <w:ind w:firstLine="708"/>
        <w:jc w:val="both"/>
        <w:rPr>
          <w:rFonts w:ascii="Times New Roman" w:hAnsi="Times New Roman" w:cs="Times New Roman"/>
          <w:lang w:val="pl"/>
        </w:rPr>
      </w:pPr>
      <w:r>
        <w:rPr>
          <w:rFonts w:ascii="Times New Roman" w:hAnsi="Times New Roman" w:cs="Times New Roman"/>
          <w:lang w:val="pl"/>
        </w:rPr>
        <w:t>Projekt ustawy w art. 11 ust. 3 oraz art. 14 ust. 1 przewiduje określenie przez ministra właściwego do spraw instytucji finansowych w drodze rozporządzenia:</w:t>
      </w:r>
    </w:p>
    <w:p w14:paraId="743A1FA0" w14:textId="3818C141" w:rsidR="0030058D" w:rsidRDefault="0030058D" w:rsidP="0030058D">
      <w:pPr>
        <w:pStyle w:val="Akapitzlist"/>
        <w:numPr>
          <w:ilvl w:val="0"/>
          <w:numId w:val="28"/>
        </w:numPr>
        <w:spacing w:line="240" w:lineRule="auto"/>
        <w:jc w:val="both"/>
        <w:rPr>
          <w:rFonts w:ascii="Times New Roman" w:hAnsi="Times New Roman" w:cs="Times New Roman"/>
        </w:rPr>
      </w:pPr>
      <w:r w:rsidRPr="0030058D">
        <w:rPr>
          <w:rFonts w:ascii="Times New Roman" w:hAnsi="Times New Roman" w:cs="Times New Roman"/>
        </w:rPr>
        <w:t>wysokość opłat, o których mowa w art. 11 ust. 1 i 2:</w:t>
      </w:r>
    </w:p>
    <w:p w14:paraId="4C5D309E" w14:textId="1D5B900D" w:rsidR="0030058D" w:rsidRDefault="0030058D" w:rsidP="0030058D">
      <w:pPr>
        <w:pStyle w:val="Akapitzlist"/>
        <w:numPr>
          <w:ilvl w:val="1"/>
          <w:numId w:val="28"/>
        </w:numPr>
        <w:spacing w:line="240" w:lineRule="auto"/>
        <w:jc w:val="both"/>
        <w:rPr>
          <w:rFonts w:ascii="Times New Roman" w:hAnsi="Times New Roman" w:cs="Times New Roman"/>
        </w:rPr>
      </w:pPr>
      <w:r>
        <w:rPr>
          <w:rFonts w:ascii="Times New Roman" w:hAnsi="Times New Roman" w:cs="Times New Roman"/>
        </w:rPr>
        <w:t>opłata za z</w:t>
      </w:r>
      <w:r w:rsidRPr="0030058D">
        <w:rPr>
          <w:rFonts w:ascii="Times New Roman" w:hAnsi="Times New Roman" w:cs="Times New Roman"/>
        </w:rPr>
        <w:t>łożenie wniosku o udzielenie zezwolenia na prowadzenie działalności jako dostawca usług w zakresie kryptoaktywów, o którym mowa w art. 62 MiCA</w:t>
      </w:r>
      <w:r>
        <w:rPr>
          <w:rFonts w:ascii="Times New Roman" w:hAnsi="Times New Roman" w:cs="Times New Roman"/>
        </w:rPr>
        <w:t>;</w:t>
      </w:r>
    </w:p>
    <w:p w14:paraId="33612723" w14:textId="13FCA55B" w:rsidR="0030058D" w:rsidRDefault="0030058D" w:rsidP="0030058D">
      <w:pPr>
        <w:pStyle w:val="Akapitzlist"/>
        <w:numPr>
          <w:ilvl w:val="1"/>
          <w:numId w:val="28"/>
        </w:numPr>
        <w:spacing w:line="240" w:lineRule="auto"/>
        <w:jc w:val="both"/>
        <w:rPr>
          <w:rFonts w:ascii="Times New Roman" w:hAnsi="Times New Roman" w:cs="Times New Roman"/>
        </w:rPr>
      </w:pPr>
      <w:r>
        <w:rPr>
          <w:rFonts w:ascii="Times New Roman" w:hAnsi="Times New Roman" w:cs="Times New Roman"/>
        </w:rPr>
        <w:t>opłata za z</w:t>
      </w:r>
      <w:r w:rsidRPr="0030058D">
        <w:rPr>
          <w:rFonts w:ascii="Times New Roman" w:hAnsi="Times New Roman" w:cs="Times New Roman"/>
        </w:rPr>
        <w:t>łożenie wniosku o udzielenie zezwolenia emitentowi tokena powiązanego z aktywami, o którym mowa w art. 21 MiCA</w:t>
      </w:r>
      <w:r>
        <w:rPr>
          <w:rFonts w:ascii="Times New Roman" w:hAnsi="Times New Roman" w:cs="Times New Roman"/>
        </w:rPr>
        <w:t>;</w:t>
      </w:r>
    </w:p>
    <w:p w14:paraId="266D47A6" w14:textId="151319CF" w:rsidR="0030058D" w:rsidRDefault="0030058D" w:rsidP="0030058D">
      <w:pPr>
        <w:pStyle w:val="Akapitzlist"/>
        <w:numPr>
          <w:ilvl w:val="0"/>
          <w:numId w:val="28"/>
        </w:numPr>
        <w:spacing w:line="240" w:lineRule="auto"/>
        <w:jc w:val="both"/>
        <w:rPr>
          <w:rFonts w:ascii="Times New Roman" w:hAnsi="Times New Roman" w:cs="Times New Roman"/>
        </w:rPr>
      </w:pPr>
      <w:r w:rsidRPr="0030058D">
        <w:rPr>
          <w:rFonts w:ascii="Times New Roman" w:hAnsi="Times New Roman" w:cs="Times New Roman"/>
        </w:rPr>
        <w:t>szczegółow</w:t>
      </w:r>
      <w:r>
        <w:rPr>
          <w:rFonts w:ascii="Times New Roman" w:hAnsi="Times New Roman" w:cs="Times New Roman"/>
        </w:rPr>
        <w:t>ych</w:t>
      </w:r>
      <w:r w:rsidRPr="0030058D">
        <w:rPr>
          <w:rFonts w:ascii="Times New Roman" w:hAnsi="Times New Roman" w:cs="Times New Roman"/>
        </w:rPr>
        <w:t xml:space="preserve"> termin</w:t>
      </w:r>
      <w:r>
        <w:rPr>
          <w:rFonts w:ascii="Times New Roman" w:hAnsi="Times New Roman" w:cs="Times New Roman"/>
        </w:rPr>
        <w:t>ów</w:t>
      </w:r>
      <w:r w:rsidRPr="0030058D">
        <w:rPr>
          <w:rFonts w:ascii="Times New Roman" w:hAnsi="Times New Roman" w:cs="Times New Roman"/>
        </w:rPr>
        <w:t xml:space="preserve"> i spos</w:t>
      </w:r>
      <w:r>
        <w:rPr>
          <w:rFonts w:ascii="Times New Roman" w:hAnsi="Times New Roman" w:cs="Times New Roman"/>
        </w:rPr>
        <w:t>obu</w:t>
      </w:r>
      <w:r w:rsidRPr="0030058D">
        <w:rPr>
          <w:rFonts w:ascii="Times New Roman" w:hAnsi="Times New Roman" w:cs="Times New Roman"/>
        </w:rPr>
        <w:t xml:space="preserve"> uiszczania opłat, o których mowa w art. 12 i art. 13</w:t>
      </w:r>
      <w:r>
        <w:rPr>
          <w:rFonts w:ascii="Times New Roman" w:hAnsi="Times New Roman" w:cs="Times New Roman"/>
        </w:rPr>
        <w:t>:</w:t>
      </w:r>
    </w:p>
    <w:p w14:paraId="4724D0FB" w14:textId="48A6BD3C" w:rsidR="0030058D" w:rsidRDefault="0030058D" w:rsidP="0030058D">
      <w:pPr>
        <w:pStyle w:val="Akapitzlist"/>
        <w:numPr>
          <w:ilvl w:val="1"/>
          <w:numId w:val="28"/>
        </w:numPr>
        <w:spacing w:line="240" w:lineRule="auto"/>
        <w:jc w:val="both"/>
        <w:rPr>
          <w:rFonts w:ascii="Times New Roman" w:hAnsi="Times New Roman" w:cs="Times New Roman"/>
        </w:rPr>
      </w:pPr>
      <w:r w:rsidRPr="0030058D">
        <w:rPr>
          <w:rFonts w:ascii="Times New Roman" w:hAnsi="Times New Roman" w:cs="Times New Roman"/>
        </w:rPr>
        <w:lastRenderedPageBreak/>
        <w:t>roczn</w:t>
      </w:r>
      <w:r>
        <w:rPr>
          <w:rFonts w:ascii="Times New Roman" w:hAnsi="Times New Roman" w:cs="Times New Roman"/>
        </w:rPr>
        <w:t>a</w:t>
      </w:r>
      <w:r w:rsidRPr="0030058D">
        <w:rPr>
          <w:rFonts w:ascii="Times New Roman" w:hAnsi="Times New Roman" w:cs="Times New Roman"/>
        </w:rPr>
        <w:t xml:space="preserve"> opłat</w:t>
      </w:r>
      <w:r>
        <w:rPr>
          <w:rFonts w:ascii="Times New Roman" w:hAnsi="Times New Roman" w:cs="Times New Roman"/>
        </w:rPr>
        <w:t xml:space="preserve">a </w:t>
      </w:r>
      <w:r w:rsidRPr="0030058D">
        <w:rPr>
          <w:rFonts w:ascii="Times New Roman" w:hAnsi="Times New Roman" w:cs="Times New Roman"/>
        </w:rPr>
        <w:t>na pokrycie kosztów nadzoru</w:t>
      </w:r>
      <w:r>
        <w:rPr>
          <w:rFonts w:ascii="Times New Roman" w:hAnsi="Times New Roman" w:cs="Times New Roman"/>
        </w:rPr>
        <w:t xml:space="preserve"> wnoszona przez dostawcę usług w zakresie kryptoaktywów;</w:t>
      </w:r>
    </w:p>
    <w:p w14:paraId="3AAEA16A" w14:textId="1E16E7D7" w:rsidR="0030058D" w:rsidRPr="0030058D" w:rsidRDefault="0030058D" w:rsidP="0030058D">
      <w:pPr>
        <w:pStyle w:val="Akapitzlist"/>
        <w:numPr>
          <w:ilvl w:val="1"/>
          <w:numId w:val="28"/>
        </w:numPr>
        <w:spacing w:line="240" w:lineRule="auto"/>
        <w:jc w:val="both"/>
        <w:rPr>
          <w:rFonts w:ascii="Times New Roman" w:hAnsi="Times New Roman" w:cs="Times New Roman"/>
        </w:rPr>
      </w:pPr>
      <w:r w:rsidRPr="0030058D">
        <w:rPr>
          <w:rFonts w:ascii="Times New Roman" w:hAnsi="Times New Roman" w:cs="Times New Roman"/>
        </w:rPr>
        <w:t>roczna opłata na pokrycie kosztów nadzoru wnoszona przez</w:t>
      </w:r>
      <w:r>
        <w:rPr>
          <w:rFonts w:ascii="Times New Roman" w:hAnsi="Times New Roman" w:cs="Times New Roman"/>
        </w:rPr>
        <w:t xml:space="preserve"> emitenta </w:t>
      </w:r>
      <w:r w:rsidRPr="0030058D">
        <w:rPr>
          <w:rFonts w:ascii="Times New Roman" w:hAnsi="Times New Roman" w:cs="Times New Roman"/>
        </w:rPr>
        <w:t>tokenów powiązanych z aktywami lub tokenów będących pieniądzem elektronicznym</w:t>
      </w:r>
      <w:r>
        <w:rPr>
          <w:rFonts w:ascii="Times New Roman" w:hAnsi="Times New Roman" w:cs="Times New Roman"/>
        </w:rPr>
        <w:t>;</w:t>
      </w:r>
    </w:p>
    <w:p w14:paraId="2F7CBABE" w14:textId="41CB57BD" w:rsidR="0030058D" w:rsidRPr="0030058D" w:rsidRDefault="0030058D" w:rsidP="0030058D">
      <w:pPr>
        <w:pStyle w:val="Akapitzlist"/>
        <w:numPr>
          <w:ilvl w:val="0"/>
          <w:numId w:val="28"/>
        </w:numPr>
        <w:spacing w:line="240" w:lineRule="auto"/>
        <w:jc w:val="both"/>
        <w:rPr>
          <w:rFonts w:ascii="Times New Roman" w:hAnsi="Times New Roman" w:cs="Times New Roman"/>
        </w:rPr>
      </w:pPr>
      <w:r w:rsidRPr="0030058D">
        <w:rPr>
          <w:rFonts w:ascii="Times New Roman" w:hAnsi="Times New Roman" w:cs="Times New Roman"/>
        </w:rPr>
        <w:t>wysokoś</w:t>
      </w:r>
      <w:r>
        <w:rPr>
          <w:rFonts w:ascii="Times New Roman" w:hAnsi="Times New Roman" w:cs="Times New Roman"/>
        </w:rPr>
        <w:t>ci</w:t>
      </w:r>
      <w:r w:rsidRPr="0030058D">
        <w:rPr>
          <w:rFonts w:ascii="Times New Roman" w:hAnsi="Times New Roman" w:cs="Times New Roman"/>
        </w:rPr>
        <w:t xml:space="preserve"> stawek procentowych, o których mowa w art. 12 ust. 3 oraz art. 13 ust. 2, w</w:t>
      </w:r>
      <w:r w:rsidR="00BC3A60">
        <w:rPr>
          <w:rFonts w:ascii="Times New Roman" w:hAnsi="Times New Roman" w:cs="Times New Roman"/>
        </w:rPr>
        <w:t> </w:t>
      </w:r>
      <w:r w:rsidRPr="0030058D">
        <w:rPr>
          <w:rFonts w:ascii="Times New Roman" w:hAnsi="Times New Roman" w:cs="Times New Roman"/>
        </w:rPr>
        <w:t>granicach określonych w ustawie</w:t>
      </w:r>
      <w:r>
        <w:rPr>
          <w:rFonts w:ascii="Times New Roman" w:hAnsi="Times New Roman" w:cs="Times New Roman"/>
        </w:rPr>
        <w:t>.</w:t>
      </w:r>
    </w:p>
    <w:p w14:paraId="639E571A" w14:textId="79D466D7" w:rsidR="00BC3A60" w:rsidRDefault="00211906" w:rsidP="00BC3A60">
      <w:pPr>
        <w:spacing w:line="240" w:lineRule="auto"/>
        <w:ind w:firstLine="708"/>
        <w:jc w:val="both"/>
        <w:rPr>
          <w:rFonts w:ascii="Times New Roman" w:hAnsi="Times New Roman" w:cs="Times New Roman"/>
          <w:lang w:val="pl"/>
        </w:rPr>
      </w:pPr>
      <w:r w:rsidRPr="00211906">
        <w:rPr>
          <w:rFonts w:ascii="Times New Roman" w:hAnsi="Times New Roman" w:cs="Times New Roman"/>
          <w:lang w:val="pl"/>
        </w:rPr>
        <w:t xml:space="preserve">Rozporządzenie ma </w:t>
      </w:r>
      <w:r w:rsidR="0030058D">
        <w:rPr>
          <w:rFonts w:ascii="Times New Roman" w:hAnsi="Times New Roman" w:cs="Times New Roman"/>
          <w:lang w:val="pl"/>
        </w:rPr>
        <w:t xml:space="preserve">mieć </w:t>
      </w:r>
      <w:r w:rsidRPr="00211906">
        <w:rPr>
          <w:rFonts w:ascii="Times New Roman" w:hAnsi="Times New Roman" w:cs="Times New Roman"/>
          <w:lang w:val="pl"/>
        </w:rPr>
        <w:t>charakter ściśle wykonawczy: określa</w:t>
      </w:r>
      <w:r w:rsidR="00BC3A60">
        <w:rPr>
          <w:rFonts w:ascii="Times New Roman" w:hAnsi="Times New Roman" w:cs="Times New Roman"/>
          <w:lang w:val="pl"/>
        </w:rPr>
        <w:t>ć</w:t>
      </w:r>
      <w:r w:rsidRPr="00211906">
        <w:rPr>
          <w:rFonts w:ascii="Times New Roman" w:hAnsi="Times New Roman" w:cs="Times New Roman"/>
          <w:lang w:val="pl"/>
        </w:rPr>
        <w:t xml:space="preserve"> wysokość opłat w</w:t>
      </w:r>
      <w:r w:rsidR="00BC3A60">
        <w:rPr>
          <w:rFonts w:ascii="Times New Roman" w:hAnsi="Times New Roman" w:cs="Times New Roman"/>
          <w:lang w:val="pl"/>
        </w:rPr>
        <w:t> </w:t>
      </w:r>
      <w:r w:rsidRPr="00211906">
        <w:rPr>
          <w:rFonts w:ascii="Times New Roman" w:hAnsi="Times New Roman" w:cs="Times New Roman"/>
          <w:lang w:val="pl"/>
        </w:rPr>
        <w:t>granicach limitów ustawowych oraz techniczne zasady ich wnoszenia (terminy, sposób przeliczenia euro na złote), bez wprowadzania nowych obowiązków materialnych dla uczestników rynku.</w:t>
      </w:r>
    </w:p>
    <w:p w14:paraId="0353C6A5" w14:textId="22DB81B9" w:rsidR="00211906" w:rsidRPr="00211906" w:rsidRDefault="00211906" w:rsidP="00BC3A60">
      <w:pPr>
        <w:spacing w:line="240" w:lineRule="auto"/>
        <w:ind w:firstLine="708"/>
        <w:jc w:val="both"/>
        <w:rPr>
          <w:rFonts w:ascii="Times New Roman" w:hAnsi="Times New Roman" w:cs="Times New Roman"/>
          <w:lang w:val="pl"/>
        </w:rPr>
      </w:pPr>
      <w:r w:rsidRPr="00211906">
        <w:rPr>
          <w:rFonts w:ascii="Times New Roman" w:hAnsi="Times New Roman" w:cs="Times New Roman"/>
          <w:lang w:val="pl"/>
        </w:rPr>
        <w:t xml:space="preserve">Potrzeba wydania rozporządzenia wynika z konieczności zapewnienia transparentnego i przewidywalnego finansowania kosztów nadzoru sprawowanego przez </w:t>
      </w:r>
      <w:r w:rsidR="00BC3A60">
        <w:rPr>
          <w:rFonts w:ascii="Times New Roman" w:hAnsi="Times New Roman" w:cs="Times New Roman"/>
          <w:lang w:val="pl"/>
        </w:rPr>
        <w:t>KNF</w:t>
      </w:r>
      <w:r w:rsidRPr="00211906">
        <w:rPr>
          <w:rFonts w:ascii="Times New Roman" w:hAnsi="Times New Roman" w:cs="Times New Roman"/>
          <w:lang w:val="pl"/>
        </w:rPr>
        <w:t xml:space="preserve"> nad rynkiem kryptoaktywów. Rozwiązania przyjęte w projekcie realizują zasadę proporcjonalności obciążeń oraz niedyskryminacji modeli biznesowych, a także uwzględniają transgraniczny charakter rynku w ramach jednolitego rynku Unii Europejskiej. Rozporządzenie nie </w:t>
      </w:r>
      <w:r w:rsidR="00BC3A60">
        <w:rPr>
          <w:rFonts w:ascii="Times New Roman" w:hAnsi="Times New Roman" w:cs="Times New Roman"/>
          <w:lang w:val="pl"/>
        </w:rPr>
        <w:t xml:space="preserve">powinno </w:t>
      </w:r>
      <w:r w:rsidRPr="00211906">
        <w:rPr>
          <w:rFonts w:ascii="Times New Roman" w:hAnsi="Times New Roman" w:cs="Times New Roman"/>
          <w:lang w:val="pl"/>
        </w:rPr>
        <w:t>przewid</w:t>
      </w:r>
      <w:r w:rsidR="00BC3A60">
        <w:rPr>
          <w:rFonts w:ascii="Times New Roman" w:hAnsi="Times New Roman" w:cs="Times New Roman"/>
          <w:lang w:val="pl"/>
        </w:rPr>
        <w:t>ywać</w:t>
      </w:r>
      <w:r w:rsidRPr="00211906">
        <w:rPr>
          <w:rFonts w:ascii="Times New Roman" w:hAnsi="Times New Roman" w:cs="Times New Roman"/>
          <w:lang w:val="pl"/>
        </w:rPr>
        <w:t xml:space="preserve"> opłat związanych z paszportowaniem usług (notyfikacją transgraniczną), aby nie tworzyć barier dla swobody świadczenia usług.</w:t>
      </w:r>
    </w:p>
    <w:p w14:paraId="132F976B" w14:textId="0116A203" w:rsidR="00211906" w:rsidRPr="00211906" w:rsidRDefault="00211906" w:rsidP="00211906">
      <w:pPr>
        <w:spacing w:line="240" w:lineRule="auto"/>
        <w:jc w:val="both"/>
        <w:rPr>
          <w:rFonts w:ascii="Times New Roman" w:hAnsi="Times New Roman" w:cs="Times New Roman"/>
          <w:lang w:val="pl"/>
        </w:rPr>
      </w:pPr>
      <w:r w:rsidRPr="00211906">
        <w:rPr>
          <w:rFonts w:ascii="Times New Roman" w:hAnsi="Times New Roman" w:cs="Times New Roman"/>
          <w:lang w:val="pl"/>
        </w:rPr>
        <w:tab/>
        <w:t xml:space="preserve">Rozporządzenie </w:t>
      </w:r>
      <w:r w:rsidR="00BC3A60">
        <w:rPr>
          <w:rFonts w:ascii="Times New Roman" w:hAnsi="Times New Roman" w:cs="Times New Roman"/>
          <w:lang w:val="pl"/>
        </w:rPr>
        <w:t xml:space="preserve">powinno </w:t>
      </w:r>
      <w:r w:rsidRPr="00211906">
        <w:rPr>
          <w:rFonts w:ascii="Times New Roman" w:hAnsi="Times New Roman" w:cs="Times New Roman"/>
          <w:lang w:val="pl"/>
        </w:rPr>
        <w:t>zapewni</w:t>
      </w:r>
      <w:r w:rsidR="00BC3A60">
        <w:rPr>
          <w:rFonts w:ascii="Times New Roman" w:hAnsi="Times New Roman" w:cs="Times New Roman"/>
          <w:lang w:val="pl"/>
        </w:rPr>
        <w:t>ć</w:t>
      </w:r>
      <w:r w:rsidRPr="00211906">
        <w:rPr>
          <w:rFonts w:ascii="Times New Roman" w:hAnsi="Times New Roman" w:cs="Times New Roman"/>
          <w:lang w:val="pl"/>
        </w:rPr>
        <w:t xml:space="preserve"> techniczne warunki poboru opłat umożliwiające finansowanie kosztów nadzoru nad rynkiem kryptoaktywów bez obciążania budżetu państwa. Jednocześnie konstrukcja podstaw naliczania opłat, wprowadzenie ryczałtu dla najmniejszych i nowych podmiotów oraz limitów kwotowych </w:t>
      </w:r>
      <w:r w:rsidR="005D4027">
        <w:rPr>
          <w:rFonts w:ascii="Times New Roman" w:hAnsi="Times New Roman" w:cs="Times New Roman"/>
          <w:lang w:val="pl"/>
        </w:rPr>
        <w:t xml:space="preserve">powinna </w:t>
      </w:r>
      <w:r w:rsidRPr="00211906">
        <w:rPr>
          <w:rFonts w:ascii="Times New Roman" w:hAnsi="Times New Roman" w:cs="Times New Roman"/>
          <w:lang w:val="pl"/>
        </w:rPr>
        <w:t>m</w:t>
      </w:r>
      <w:r w:rsidR="005D4027">
        <w:rPr>
          <w:rFonts w:ascii="Times New Roman" w:hAnsi="Times New Roman" w:cs="Times New Roman"/>
          <w:lang w:val="pl"/>
        </w:rPr>
        <w:t>ieć</w:t>
      </w:r>
      <w:r w:rsidRPr="00211906">
        <w:rPr>
          <w:rFonts w:ascii="Times New Roman" w:hAnsi="Times New Roman" w:cs="Times New Roman"/>
          <w:lang w:val="pl"/>
        </w:rPr>
        <w:t xml:space="preserve"> na celu utrzymanie proporcjonalności obciążeń oraz przewidywalności kosztów regulacyjnych.</w:t>
      </w:r>
    </w:p>
    <w:p w14:paraId="63E7E385" w14:textId="62AD868E" w:rsidR="00211906" w:rsidRDefault="00211906" w:rsidP="00211906">
      <w:pPr>
        <w:jc w:val="both"/>
        <w:rPr>
          <w:rFonts w:ascii="Times New Roman" w:hAnsi="Times New Roman" w:cs="Times New Roman"/>
          <w:b/>
          <w:bCs/>
          <w:lang w:val="pl"/>
        </w:rPr>
      </w:pPr>
      <w:r w:rsidRPr="00211906">
        <w:rPr>
          <w:rFonts w:ascii="Times New Roman" w:hAnsi="Times New Roman" w:cs="Times New Roman"/>
          <w:b/>
          <w:bCs/>
          <w:lang w:val="pl"/>
        </w:rPr>
        <w:t>5. Zgodność z prawem Unii Europejskiej</w:t>
      </w:r>
    </w:p>
    <w:p w14:paraId="781D3D9B" w14:textId="4FAA2C1B" w:rsidR="00190D8B" w:rsidRDefault="00190D8B" w:rsidP="00190D8B">
      <w:pPr>
        <w:pStyle w:val="Akapitzlist"/>
        <w:numPr>
          <w:ilvl w:val="0"/>
          <w:numId w:val="29"/>
        </w:numPr>
        <w:jc w:val="both"/>
        <w:rPr>
          <w:rFonts w:ascii="Times New Roman" w:hAnsi="Times New Roman" w:cs="Times New Roman"/>
          <w:b/>
          <w:bCs/>
          <w:lang w:val="pl"/>
        </w:rPr>
      </w:pPr>
      <w:r w:rsidRPr="00190D8B">
        <w:rPr>
          <w:rFonts w:ascii="Times New Roman" w:hAnsi="Times New Roman" w:cs="Times New Roman"/>
          <w:b/>
          <w:bCs/>
          <w:lang w:val="pl"/>
        </w:rPr>
        <w:t>Tabela zgodności z MiCA</w:t>
      </w:r>
    </w:p>
    <w:tbl>
      <w:tblPr>
        <w:tblW w:w="10774" w:type="dxa"/>
        <w:tblInd w:w="-1003" w:type="dxa"/>
        <w:tblBorders>
          <w:top w:val="nil"/>
          <w:left w:val="nil"/>
          <w:bottom w:val="nil"/>
          <w:right w:val="nil"/>
          <w:insideH w:val="nil"/>
          <w:insideV w:val="nil"/>
        </w:tblBorders>
        <w:tblLayout w:type="fixed"/>
        <w:tblLook w:val="0600" w:firstRow="0" w:lastRow="0" w:firstColumn="0" w:lastColumn="0" w:noHBand="1" w:noVBand="1"/>
      </w:tblPr>
      <w:tblGrid>
        <w:gridCol w:w="1021"/>
        <w:gridCol w:w="2438"/>
        <w:gridCol w:w="2438"/>
        <w:gridCol w:w="2438"/>
        <w:gridCol w:w="2439"/>
      </w:tblGrid>
      <w:tr w:rsidR="00904E38" w14:paraId="66F99C9C"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2E4F3EA7" w14:textId="7EB8DC34" w:rsidR="00904E38" w:rsidRPr="00904E38" w:rsidRDefault="00904E38" w:rsidP="00904E38">
            <w:pPr>
              <w:spacing w:after="0" w:line="240" w:lineRule="auto"/>
              <w:jc w:val="both"/>
              <w:rPr>
                <w:rFonts w:ascii="Times New Roman" w:hAnsi="Times New Roman" w:cs="Times New Roman"/>
                <w:b/>
                <w:bCs/>
              </w:rPr>
            </w:pPr>
            <w:r w:rsidRPr="00904E38">
              <w:rPr>
                <w:rFonts w:ascii="Times New Roman" w:hAnsi="Times New Roman" w:cs="Times New Roman"/>
                <w:b/>
                <w:bCs/>
              </w:rPr>
              <w:t xml:space="preserve">Przepis </w:t>
            </w:r>
            <w:r>
              <w:rPr>
                <w:rFonts w:ascii="Times New Roman" w:hAnsi="Times New Roman" w:cs="Times New Roman"/>
                <w:b/>
                <w:bCs/>
              </w:rPr>
              <w:t>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1234A09" w14:textId="77777777" w:rsidR="00904E38" w:rsidRPr="00904E38" w:rsidRDefault="00904E38" w:rsidP="00904E38">
            <w:pPr>
              <w:spacing w:after="0" w:line="240" w:lineRule="auto"/>
              <w:jc w:val="both"/>
              <w:rPr>
                <w:rFonts w:ascii="Times New Roman" w:hAnsi="Times New Roman" w:cs="Times New Roman"/>
                <w:b/>
                <w:bCs/>
              </w:rPr>
            </w:pPr>
            <w:r w:rsidRPr="00904E38">
              <w:rPr>
                <w:rFonts w:ascii="Times New Roman" w:hAnsi="Times New Roman" w:cs="Times New Roman"/>
                <w:b/>
                <w:bCs/>
              </w:rPr>
              <w:t>Zakres / temat</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1DC0C0B" w14:textId="77777777" w:rsidR="00904E38" w:rsidRPr="00904E38" w:rsidRDefault="00904E38" w:rsidP="00904E38">
            <w:pPr>
              <w:spacing w:after="0" w:line="240" w:lineRule="auto"/>
              <w:jc w:val="both"/>
              <w:rPr>
                <w:rFonts w:ascii="Times New Roman" w:hAnsi="Times New Roman" w:cs="Times New Roman"/>
                <w:b/>
                <w:bCs/>
              </w:rPr>
            </w:pPr>
            <w:r w:rsidRPr="00904E38">
              <w:rPr>
                <w:rFonts w:ascii="Times New Roman" w:hAnsi="Times New Roman" w:cs="Times New Roman"/>
                <w:b/>
                <w:bCs/>
              </w:rPr>
              <w:t>Projekt – przepis</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1C6D47E" w14:textId="77777777" w:rsidR="00904E38" w:rsidRPr="00904E38" w:rsidRDefault="00904E38" w:rsidP="00904E38">
            <w:pPr>
              <w:spacing w:after="0" w:line="240" w:lineRule="auto"/>
              <w:jc w:val="both"/>
              <w:rPr>
                <w:rFonts w:ascii="Times New Roman" w:hAnsi="Times New Roman" w:cs="Times New Roman"/>
                <w:b/>
                <w:bCs/>
              </w:rPr>
            </w:pPr>
            <w:r w:rsidRPr="00904E38">
              <w:rPr>
                <w:rFonts w:ascii="Times New Roman" w:hAnsi="Times New Roman" w:cs="Times New Roman"/>
                <w:b/>
                <w:bCs/>
              </w:rPr>
              <w:t>Charakter relacji</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23D2BF17" w14:textId="77777777" w:rsidR="00904E38" w:rsidRPr="00904E38" w:rsidRDefault="00904E38" w:rsidP="00904E38">
            <w:pPr>
              <w:spacing w:after="0" w:line="240" w:lineRule="auto"/>
              <w:jc w:val="both"/>
              <w:rPr>
                <w:rFonts w:ascii="Times New Roman" w:hAnsi="Times New Roman" w:cs="Times New Roman"/>
                <w:b/>
                <w:bCs/>
              </w:rPr>
            </w:pPr>
            <w:r w:rsidRPr="00904E38">
              <w:rPr>
                <w:rFonts w:ascii="Times New Roman" w:hAnsi="Times New Roman" w:cs="Times New Roman"/>
                <w:b/>
                <w:bCs/>
              </w:rPr>
              <w:t>Uwagi</w:t>
            </w:r>
          </w:p>
        </w:tc>
      </w:tr>
      <w:tr w:rsidR="00904E38" w14:paraId="39707DC5"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10FA02E9" w14:textId="32F16BF9"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Ogólnie</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24E703F"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Ustawa wykonawcza: elementy krajowe niezbędne do stosowania MiCA (organ, procedury, środki sądowe, opłaty, przejściowe)</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635054A"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B18D10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Uzupełnienie organizacyjne</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26A9898C"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UE+0:</w:t>
            </w:r>
            <w:r w:rsidRPr="000A329E">
              <w:rPr>
                <w:rFonts w:ascii="Times New Roman" w:hAnsi="Times New Roman" w:cs="Times New Roman"/>
                <w:sz w:val="22"/>
                <w:szCs w:val="22"/>
              </w:rPr>
              <w:br/>
              <w:t>brak powielania przepisów</w:t>
            </w:r>
          </w:p>
          <w:p w14:paraId="32170D93" w14:textId="10584DB3"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materialnych MiCA.</w:t>
            </w:r>
          </w:p>
        </w:tc>
      </w:tr>
      <w:tr w:rsidR="00904E38" w14:paraId="1C8D3D9C"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2B95BF57" w14:textId="5CFC3A72"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ADA3F1A"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Definicje – odesłanie do terminologii 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1B3A1C3"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2</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3517D19"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Odesłanie</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838F7F4" w14:textId="1B6246FF"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Spójność pojęciowa z</w:t>
            </w:r>
            <w:r w:rsidR="008D2009">
              <w:rPr>
                <w:rFonts w:ascii="Times New Roman" w:hAnsi="Times New Roman" w:cs="Times New Roman"/>
                <w:sz w:val="22"/>
                <w:szCs w:val="22"/>
              </w:rPr>
              <w:t> </w:t>
            </w:r>
            <w:r w:rsidRPr="000A329E">
              <w:rPr>
                <w:rFonts w:ascii="Times New Roman" w:hAnsi="Times New Roman" w:cs="Times New Roman"/>
                <w:sz w:val="22"/>
                <w:szCs w:val="22"/>
              </w:rPr>
              <w:t>rozporządzeniem.</w:t>
            </w:r>
          </w:p>
        </w:tc>
      </w:tr>
      <w:tr w:rsidR="00904E38" w14:paraId="746262EF"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718147B6" w14:textId="678512AD"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93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7A8FA3F"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Wskazanie KNF jako organu właściwego w rozumieniu MiCA. Współpraca z EBA oraz krajowy tryb wykonywania kar nakładanych przez EBA zgodnie z art. 134 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894F05D"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4D629CF"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uprawnień</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270E8DCB" w14:textId="33265382"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Umożliwia wykonywanie uprawnień nadzorczych i prowadzenie postępowań.</w:t>
            </w:r>
          </w:p>
        </w:tc>
      </w:tr>
      <w:tr w:rsidR="00904E38" w14:paraId="7D3D7378"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7D7A61E2" w14:textId="6C9FD905"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lastRenderedPageBreak/>
              <w:t>Art. 93–96</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B0A0D1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Współpraca KNF z EBA oraz krajowy tryb wykonywania kar nakładanych przez EBA, zgodnie z art. 131–134 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BA429A8"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4</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3DEDBC3"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Krajowy reżim tajemnicy zawodowej związany z MiCA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27A1977E" w14:textId="3F756C66"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Rozwiązanie organizacyjne; przewiduje się też dostosowanie organizacji KNF w</w:t>
            </w:r>
            <w:r w:rsidR="008D2009">
              <w:rPr>
                <w:rFonts w:ascii="Times New Roman" w:hAnsi="Times New Roman" w:cs="Times New Roman"/>
                <w:sz w:val="22"/>
                <w:szCs w:val="22"/>
              </w:rPr>
              <w:t> </w:t>
            </w:r>
            <w:r w:rsidRPr="000A329E">
              <w:rPr>
                <w:rFonts w:ascii="Times New Roman" w:hAnsi="Times New Roman" w:cs="Times New Roman"/>
                <w:sz w:val="22"/>
                <w:szCs w:val="22"/>
              </w:rPr>
              <w:t>ustawie o</w:t>
            </w:r>
            <w:r w:rsidR="008D2009">
              <w:rPr>
                <w:rFonts w:ascii="Times New Roman" w:hAnsi="Times New Roman" w:cs="Times New Roman"/>
                <w:sz w:val="22"/>
                <w:szCs w:val="22"/>
              </w:rPr>
              <w:t> </w:t>
            </w:r>
            <w:r w:rsidRPr="000A329E">
              <w:rPr>
                <w:rFonts w:ascii="Times New Roman" w:hAnsi="Times New Roman" w:cs="Times New Roman"/>
                <w:sz w:val="22"/>
                <w:szCs w:val="22"/>
              </w:rPr>
              <w:t>nadzorze nad rynkiem finans</w:t>
            </w:r>
            <w:r w:rsidR="003032AE">
              <w:rPr>
                <w:rFonts w:ascii="Times New Roman" w:hAnsi="Times New Roman" w:cs="Times New Roman"/>
                <w:sz w:val="22"/>
                <w:szCs w:val="22"/>
              </w:rPr>
              <w:t>owym</w:t>
            </w:r>
          </w:p>
        </w:tc>
      </w:tr>
      <w:tr w:rsidR="00904E38" w14:paraId="59A67141"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3983B35D" w14:textId="7B92E790"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p w14:paraId="0C84B880" w14:textId="77777777" w:rsidR="00904E38" w:rsidRPr="000A329E" w:rsidRDefault="00904E38" w:rsidP="00904E38">
            <w:pPr>
              <w:spacing w:after="0" w:line="240" w:lineRule="auto"/>
              <w:jc w:val="both"/>
              <w:rPr>
                <w:rFonts w:ascii="Times New Roman" w:hAnsi="Times New Roman" w:cs="Times New Roman"/>
                <w:sz w:val="22"/>
                <w:szCs w:val="22"/>
              </w:rPr>
            </w:pP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AA6C570"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Krajowy reżim tajemnicy zawodowej związanej z wykonywaniem zadań przez KNF na podstawie MiCA, w tym zasady udostępniania informacji organom uprawnionym.</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AF149B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5</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5A56D70"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proceduralna państwa członkowskiego (UE+0)</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6641C81" w14:textId="20DAE08B"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nie wprowadza dodatkowych obowiązków materialnych; zapewnia spójność z krajowymi standardami tajemnicy zawodowej w sektorze finansowym i nie narusza MiCA ani RODO.</w:t>
            </w:r>
          </w:p>
        </w:tc>
      </w:tr>
      <w:tr w:rsidR="00904E38" w14:paraId="5DAE1250"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6153B622" w14:textId="6D6812AA"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37F294A"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Tryb postępowania administracyjnego w sprawach prowadzonych przez właściwy organ (KPA)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05FEE27"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6 </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B4001B9"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proceduralna państwa członkowskiego (UE+0)</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018EC87D" w14:textId="3248AE9E"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techniczny: wskazuje reżim KPA jako podstawę proceduralną, bez zmiany terminów i</w:t>
            </w:r>
            <w:r w:rsidR="008D2009">
              <w:rPr>
                <w:rFonts w:ascii="Times New Roman" w:hAnsi="Times New Roman" w:cs="Times New Roman"/>
                <w:sz w:val="22"/>
                <w:szCs w:val="22"/>
              </w:rPr>
              <w:t> </w:t>
            </w:r>
            <w:r w:rsidRPr="000A329E">
              <w:rPr>
                <w:rFonts w:ascii="Times New Roman" w:hAnsi="Times New Roman" w:cs="Times New Roman"/>
                <w:sz w:val="22"/>
                <w:szCs w:val="22"/>
              </w:rPr>
              <w:t>obowiązków materialnych wynikających z</w:t>
            </w:r>
            <w:r w:rsidR="008D2009">
              <w:rPr>
                <w:rFonts w:ascii="Times New Roman" w:hAnsi="Times New Roman" w:cs="Times New Roman"/>
                <w:sz w:val="22"/>
                <w:szCs w:val="22"/>
              </w:rPr>
              <w:t> </w:t>
            </w:r>
            <w:r w:rsidRPr="000A329E">
              <w:rPr>
                <w:rFonts w:ascii="Times New Roman" w:hAnsi="Times New Roman" w:cs="Times New Roman"/>
                <w:sz w:val="22"/>
                <w:szCs w:val="22"/>
              </w:rPr>
              <w:t>MiCA.</w:t>
            </w:r>
          </w:p>
        </w:tc>
      </w:tr>
      <w:tr w:rsidR="00904E38" w14:paraId="31D5F2A7"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7A017C06" w14:textId="26A6F90C"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5FFEC3D"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Forma komunikacji/doręczeń w postępowaniach prowadzonych przez KNF</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616B5F3"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7</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04F2AA9"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proceduralna państwa członkowskiego (UE+0)</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482440C7" w14:textId="55034BD6"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porządkujący; powinien być neutralny wobec podmiotów z</w:t>
            </w:r>
            <w:r w:rsidR="008D2009">
              <w:rPr>
                <w:rFonts w:ascii="Times New Roman" w:hAnsi="Times New Roman" w:cs="Times New Roman"/>
                <w:sz w:val="22"/>
                <w:szCs w:val="22"/>
              </w:rPr>
              <w:t> </w:t>
            </w:r>
            <w:r w:rsidRPr="000A329E">
              <w:rPr>
                <w:rFonts w:ascii="Times New Roman" w:hAnsi="Times New Roman" w:cs="Times New Roman"/>
                <w:sz w:val="22"/>
                <w:szCs w:val="22"/>
              </w:rPr>
              <w:t>innych państw UE (brak dyskryminacji).</w:t>
            </w:r>
          </w:p>
        </w:tc>
      </w:tr>
      <w:tr w:rsidR="00904E38" w14:paraId="734A0500"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77CABAC5" w14:textId="05DE7F0F"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76C0A0F"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Język postępowania (PL / dopuszczenie EN)</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6CAA9E8"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8</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7E4F58E"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proceduralna państwa członkowskiego (UE+0)</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5AD4557" w14:textId="27C04D2A"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Dopuszczenie języka angielskiego wzmacnia dostęp podmiotów z UE i</w:t>
            </w:r>
            <w:r w:rsidR="008D2009">
              <w:rPr>
                <w:rFonts w:ascii="Times New Roman" w:hAnsi="Times New Roman" w:cs="Times New Roman"/>
                <w:sz w:val="22"/>
                <w:szCs w:val="22"/>
              </w:rPr>
              <w:t> </w:t>
            </w:r>
            <w:r w:rsidRPr="000A329E">
              <w:rPr>
                <w:rFonts w:ascii="Times New Roman" w:hAnsi="Times New Roman" w:cs="Times New Roman"/>
                <w:sz w:val="22"/>
                <w:szCs w:val="22"/>
              </w:rPr>
              <w:t xml:space="preserve">ogranicza ryzyko zarzutów </w:t>
            </w:r>
            <w:r w:rsidR="003032AE" w:rsidRPr="000A329E">
              <w:rPr>
                <w:rFonts w:ascii="Times New Roman" w:hAnsi="Times New Roman" w:cs="Times New Roman"/>
                <w:sz w:val="22"/>
                <w:szCs w:val="22"/>
              </w:rPr>
              <w:t>z</w:t>
            </w:r>
            <w:r w:rsidR="003032AE">
              <w:rPr>
                <w:rFonts w:ascii="Times New Roman" w:hAnsi="Times New Roman" w:cs="Times New Roman"/>
                <w:sz w:val="22"/>
                <w:szCs w:val="22"/>
              </w:rPr>
              <w:t xml:space="preserve"> perspektywy</w:t>
            </w:r>
            <w:r w:rsidRPr="000A329E">
              <w:rPr>
                <w:rFonts w:ascii="Times New Roman" w:hAnsi="Times New Roman" w:cs="Times New Roman"/>
                <w:sz w:val="22"/>
                <w:szCs w:val="22"/>
              </w:rPr>
              <w:t xml:space="preserve"> swobody świadczenia usług (TFUE).</w:t>
            </w:r>
          </w:p>
        </w:tc>
      </w:tr>
      <w:tr w:rsidR="00904E38" w14:paraId="26B99116"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79AECE80" w14:textId="2221618B"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94 ust. 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2350E4B"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Wykonywanie środków nadzorczych dot. interfejsów internetowych z udziałem sądu (nakaz sądowy)</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8722E96"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9</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F71F41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Wykonanie/operacjonalizacja uprawnień nadzorczych z MiCA (procedura krajowa)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71AD76F5" w14:textId="18BBDAA4"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Implementacja mechanizmu egzekucyjnego: KNF działa przez sąd, a sąd bada niezbędność i</w:t>
            </w:r>
            <w:r w:rsidR="008D2009">
              <w:rPr>
                <w:rFonts w:ascii="Times New Roman" w:hAnsi="Times New Roman" w:cs="Times New Roman"/>
                <w:sz w:val="22"/>
                <w:szCs w:val="22"/>
              </w:rPr>
              <w:t> </w:t>
            </w:r>
            <w:r w:rsidRPr="000A329E">
              <w:rPr>
                <w:rFonts w:ascii="Times New Roman" w:hAnsi="Times New Roman" w:cs="Times New Roman"/>
                <w:sz w:val="22"/>
                <w:szCs w:val="22"/>
              </w:rPr>
              <w:t>proporcjonalność - spójne z art. 47 KPP (prawo do sądu) i</w:t>
            </w:r>
            <w:r w:rsidR="008D2009">
              <w:rPr>
                <w:rFonts w:ascii="Times New Roman" w:hAnsi="Times New Roman" w:cs="Times New Roman"/>
                <w:sz w:val="22"/>
                <w:szCs w:val="22"/>
              </w:rPr>
              <w:t> </w:t>
            </w:r>
            <w:r w:rsidRPr="000A329E">
              <w:rPr>
                <w:rFonts w:ascii="Times New Roman" w:hAnsi="Times New Roman" w:cs="Times New Roman"/>
                <w:sz w:val="22"/>
                <w:szCs w:val="22"/>
              </w:rPr>
              <w:t>minimalizuje ryzyka konstytucyjne.</w:t>
            </w:r>
          </w:p>
        </w:tc>
      </w:tr>
      <w:tr w:rsidR="00904E38" w14:paraId="7A87CBD0"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37FFCB0A" w14:textId="7F4C946E"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 xml:space="preserve">rt. 94 ust. 1 + </w:t>
            </w:r>
            <w:r w:rsidRPr="000A329E">
              <w:rPr>
                <w:rFonts w:ascii="Times New Roman" w:hAnsi="Times New Roman" w:cs="Times New Roman"/>
                <w:sz w:val="22"/>
                <w:szCs w:val="22"/>
              </w:rPr>
              <w:t xml:space="preserve">ogólna </w:t>
            </w:r>
            <w:r w:rsidR="00904E38" w:rsidRPr="000A329E">
              <w:rPr>
                <w:rFonts w:ascii="Times New Roman" w:hAnsi="Times New Roman" w:cs="Times New Roman"/>
                <w:sz w:val="22"/>
                <w:szCs w:val="22"/>
              </w:rPr>
              <w:t xml:space="preserve">zasada </w:t>
            </w:r>
            <w:r w:rsidR="00904E38" w:rsidRPr="000A329E">
              <w:rPr>
                <w:rFonts w:ascii="Times New Roman" w:hAnsi="Times New Roman" w:cs="Times New Roman"/>
                <w:sz w:val="22"/>
                <w:szCs w:val="22"/>
              </w:rPr>
              <w:lastRenderedPageBreak/>
              <w:t>skutecznego nadzoru</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B1D1480"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lastRenderedPageBreak/>
              <w:t xml:space="preserve">Tryb pilny – środek tymczasowy (procedura krajowa zapewniająca </w:t>
            </w:r>
            <w:r w:rsidRPr="000A329E">
              <w:rPr>
                <w:rFonts w:ascii="Times New Roman" w:hAnsi="Times New Roman" w:cs="Times New Roman"/>
                <w:sz w:val="22"/>
                <w:szCs w:val="22"/>
              </w:rPr>
              <w:lastRenderedPageBreak/>
              <w:t>skuteczność środków z art. 94 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5A8527B"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lastRenderedPageBreak/>
              <w:t>Art. 10</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5712CC0"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Wykonanie / uzupełnienie proceduralne (autonomia </w:t>
            </w:r>
            <w:r w:rsidRPr="000A329E">
              <w:rPr>
                <w:rFonts w:ascii="Times New Roman" w:hAnsi="Times New Roman" w:cs="Times New Roman"/>
                <w:sz w:val="22"/>
                <w:szCs w:val="22"/>
              </w:rPr>
              <w:lastRenderedPageBreak/>
              <w:t>proceduralna w ramach wykonywania MiCA)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1CE8316" w14:textId="4231F8A5"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lastRenderedPageBreak/>
              <w:t xml:space="preserve">Środek tymczasowy ma charakter wyjątkowy, czasowy i podlega kontroli sądu — to </w:t>
            </w:r>
            <w:r w:rsidRPr="000A329E">
              <w:rPr>
                <w:rFonts w:ascii="Times New Roman" w:hAnsi="Times New Roman" w:cs="Times New Roman"/>
                <w:sz w:val="22"/>
                <w:szCs w:val="22"/>
              </w:rPr>
              <w:lastRenderedPageBreak/>
              <w:t>utrzymuje proporcjonalność i</w:t>
            </w:r>
            <w:r w:rsidR="008D2009">
              <w:rPr>
                <w:rFonts w:ascii="Times New Roman" w:hAnsi="Times New Roman" w:cs="Times New Roman"/>
                <w:sz w:val="22"/>
                <w:szCs w:val="22"/>
              </w:rPr>
              <w:t> </w:t>
            </w:r>
            <w:r w:rsidRPr="000A329E">
              <w:rPr>
                <w:rFonts w:ascii="Times New Roman" w:hAnsi="Times New Roman" w:cs="Times New Roman"/>
                <w:sz w:val="22"/>
                <w:szCs w:val="22"/>
              </w:rPr>
              <w:t>zgodność z KPP/TFUE</w:t>
            </w:r>
          </w:p>
        </w:tc>
      </w:tr>
      <w:tr w:rsidR="00904E38" w14:paraId="55320A54"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46A2EF2F" w14:textId="7361254C"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lastRenderedPageBreak/>
              <w:t>A</w:t>
            </w:r>
            <w:r w:rsidR="00904E38" w:rsidRPr="000A329E">
              <w:rPr>
                <w:rFonts w:ascii="Times New Roman" w:hAnsi="Times New Roman" w:cs="Times New Roman"/>
                <w:sz w:val="22"/>
                <w:szCs w:val="22"/>
              </w:rPr>
              <w:t>rt.</w:t>
            </w:r>
            <w:r w:rsidRPr="000A329E">
              <w:rPr>
                <w:rFonts w:ascii="Times New Roman" w:hAnsi="Times New Roman" w:cs="Times New Roman"/>
                <w:sz w:val="22"/>
                <w:szCs w:val="22"/>
              </w:rPr>
              <w:t xml:space="preserve"> 21 oraz art.</w:t>
            </w:r>
            <w:r w:rsidR="00904E38" w:rsidRPr="000A329E">
              <w:rPr>
                <w:rFonts w:ascii="Times New Roman" w:hAnsi="Times New Roman" w:cs="Times New Roman"/>
                <w:sz w:val="22"/>
                <w:szCs w:val="22"/>
              </w:rPr>
              <w:t xml:space="preserve"> 62–63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3BECB6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Opłaty jednorazowe związane z wnioskiem o udzielenie zezwoleń (CASP; emitent ART) </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98DBC0D"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11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D744152"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państwa członkowskiego w zakresie finansowania nadzoru + wykonanie MiCA (opłaty za procedurę licencyjną)</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7FFAD7B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Opłata dotyczy wniosku / zezwolenia. Brak opłat za paszportowanie, brak opłat za „filing” tam, gdzie MiCA przewiduje jedynie publikację / notyfikację.</w:t>
            </w:r>
          </w:p>
        </w:tc>
      </w:tr>
      <w:tr w:rsidR="00904E38" w14:paraId="3AB4DC39"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7BC30EC1" w14:textId="7FB1C042"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51A04F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Roczna opłata nadzorcza dla CASP – podstawa naliczania, stawka, limity, ryczałt</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23C4AB8"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12</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E0B6562"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państwa członkowskiego (koszty nadzoru / finansowanie nadzoru)</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463D5A0F" w14:textId="174DFF1A"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podstawa opłaty powiązana z</w:t>
            </w:r>
            <w:r w:rsidR="008D2009">
              <w:rPr>
                <w:rFonts w:ascii="Times New Roman" w:hAnsi="Times New Roman" w:cs="Times New Roman"/>
                <w:sz w:val="22"/>
                <w:szCs w:val="22"/>
              </w:rPr>
              <w:t> </w:t>
            </w:r>
            <w:r w:rsidRPr="000A329E">
              <w:rPr>
                <w:rFonts w:ascii="Times New Roman" w:hAnsi="Times New Roman" w:cs="Times New Roman"/>
                <w:sz w:val="22"/>
                <w:szCs w:val="22"/>
              </w:rPr>
              <w:t>działalnością (przychody/marża) oraz cap/ryczałt - argument proporcjonalności i</w:t>
            </w:r>
            <w:r w:rsidR="008D2009">
              <w:rPr>
                <w:rFonts w:ascii="Times New Roman" w:hAnsi="Times New Roman" w:cs="Times New Roman"/>
                <w:sz w:val="22"/>
                <w:szCs w:val="22"/>
              </w:rPr>
              <w:t> </w:t>
            </w:r>
            <w:r w:rsidRPr="000A329E">
              <w:rPr>
                <w:rFonts w:ascii="Times New Roman" w:hAnsi="Times New Roman" w:cs="Times New Roman"/>
                <w:sz w:val="22"/>
                <w:szCs w:val="22"/>
              </w:rPr>
              <w:t>niedyskryminacji (TFUE).</w:t>
            </w:r>
          </w:p>
        </w:tc>
      </w:tr>
      <w:tr w:rsidR="00904E38" w14:paraId="0A6AA562"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47714A54" w14:textId="49FF3DBC"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03D4743"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Roczna opłata nadzorcza dla emitentów ART/EMT – podstawa (zobowiązania) i cap</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9E3D1DF"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13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3F72D82"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państwa członkowskiego (koszty nadzoru)</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C99915E" w14:textId="090B4120"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Podstawa oparta o</w:t>
            </w:r>
            <w:r w:rsidR="008D2009">
              <w:rPr>
                <w:rFonts w:ascii="Times New Roman" w:hAnsi="Times New Roman" w:cs="Times New Roman"/>
                <w:sz w:val="22"/>
                <w:szCs w:val="22"/>
              </w:rPr>
              <w:t> </w:t>
            </w:r>
            <w:r w:rsidRPr="000A329E">
              <w:rPr>
                <w:rFonts w:ascii="Times New Roman" w:hAnsi="Times New Roman" w:cs="Times New Roman"/>
                <w:sz w:val="22"/>
                <w:szCs w:val="22"/>
              </w:rPr>
              <w:t>zobowiązania z tytułu tokenów wspiera „kosztowość” nadzoru (im większy wpływ systemowy, tym wyższa opłata), a cap ogranicza barierowość.</w:t>
            </w:r>
          </w:p>
        </w:tc>
      </w:tr>
      <w:tr w:rsidR="00904E38" w14:paraId="544EFE40"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38575919" w14:textId="605520D3"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A01EC47"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Delegacja ustawowa do rozporządzenia (ustalenie wysokości opłat i sposobu ich uiszczania)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6D20B4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14</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3067D9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państwa członkowskiego + wykonanie krajowe (uszczegółowienie techniczne)</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6B0C5CBF" w14:textId="728032F3"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Delegacja opisana jako „szczegółowa” (art. 92 Konstytucji) i oparta o</w:t>
            </w:r>
            <w:r w:rsidR="008D2009">
              <w:rPr>
                <w:rFonts w:ascii="Times New Roman" w:hAnsi="Times New Roman" w:cs="Times New Roman"/>
                <w:sz w:val="22"/>
                <w:szCs w:val="22"/>
              </w:rPr>
              <w:t> </w:t>
            </w:r>
            <w:r w:rsidRPr="000A329E">
              <w:rPr>
                <w:rFonts w:ascii="Times New Roman" w:hAnsi="Times New Roman" w:cs="Times New Roman"/>
                <w:sz w:val="22"/>
                <w:szCs w:val="22"/>
              </w:rPr>
              <w:t>kryteria: nakład pracy organu, skala działalności, kosztowość - to ogranicza ryzyko zarzutu fiskalnego charakteru opłat.</w:t>
            </w:r>
          </w:p>
        </w:tc>
      </w:tr>
      <w:tr w:rsidR="00904E38" w14:paraId="2E618CE8"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757CC89F" w14:textId="1BF42128"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7 ust. 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F2960C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Odpowiedzialność cywilna emitenta za informacje zawarte w dokumencie informacyjnym (white paper)</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172135A"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15</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05D1680"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Uzupełnienie krajowe w zakresie pozostawionym do regulacji państwom członkowskim (MiCA – odesłanie do prawa krajowego)</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E34E5D2" w14:textId="28D9419B"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MiCA nie harmonizuje reżimu odpowiedzialności cywilnej; przepis krajowy mieści się w</w:t>
            </w:r>
            <w:r w:rsidR="008D2009">
              <w:rPr>
                <w:rFonts w:ascii="Times New Roman" w:hAnsi="Times New Roman" w:cs="Times New Roman"/>
                <w:sz w:val="22"/>
                <w:szCs w:val="22"/>
              </w:rPr>
              <w:t> </w:t>
            </w:r>
            <w:r w:rsidRPr="000A329E">
              <w:rPr>
                <w:rFonts w:ascii="Times New Roman" w:hAnsi="Times New Roman" w:cs="Times New Roman"/>
                <w:sz w:val="22"/>
                <w:szCs w:val="22"/>
              </w:rPr>
              <w:t>zakresie art. 7 ust. 3 MiCA i nie rozszerza odpowiedzialności tam, gdzie MiCA ją wyłącza.</w:t>
            </w:r>
          </w:p>
        </w:tc>
      </w:tr>
      <w:tr w:rsidR="00904E38" w14:paraId="657C3343"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6F6779BE" w14:textId="414ADEB0"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94–98 oraz art. 111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FB6699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Administracyjne sankcje za naruszenie obowiązków wynikających z 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3FD40D6"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16</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5AD2523" w14:textId="45F69029"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i</w:t>
            </w:r>
            <w:r w:rsidR="008D2009">
              <w:rPr>
                <w:rFonts w:ascii="Times New Roman" w:hAnsi="Times New Roman" w:cs="Times New Roman"/>
                <w:sz w:val="22"/>
                <w:szCs w:val="22"/>
              </w:rPr>
              <w:t> </w:t>
            </w:r>
            <w:r w:rsidRPr="000A329E">
              <w:rPr>
                <w:rFonts w:ascii="Times New Roman" w:hAnsi="Times New Roman" w:cs="Times New Roman"/>
                <w:sz w:val="22"/>
                <w:szCs w:val="22"/>
              </w:rPr>
              <w:t>doprecyzowanie krajowego reżimu sankcji administracyjnych przewidzianych w MiCA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3E768FEC" w14:textId="2B6D9FAB"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i</w:t>
            </w:r>
            <w:r w:rsidR="008D2009">
              <w:rPr>
                <w:rFonts w:ascii="Times New Roman" w:hAnsi="Times New Roman" w:cs="Times New Roman"/>
                <w:sz w:val="22"/>
                <w:szCs w:val="22"/>
              </w:rPr>
              <w:t> </w:t>
            </w:r>
            <w:r w:rsidRPr="000A329E">
              <w:rPr>
                <w:rFonts w:ascii="Times New Roman" w:hAnsi="Times New Roman" w:cs="Times New Roman"/>
                <w:sz w:val="22"/>
                <w:szCs w:val="22"/>
              </w:rPr>
              <w:t>doprecyzowanie krajowego reżimu sankcji administracyjnych przewidzianych w MiCA</w:t>
            </w:r>
          </w:p>
        </w:tc>
      </w:tr>
      <w:tr w:rsidR="00904E38" w14:paraId="7F50B284"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68C78C12" w14:textId="4EDFBF7C"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lastRenderedPageBreak/>
              <w:t>A</w:t>
            </w:r>
            <w:r w:rsidR="00904E38" w:rsidRPr="000A329E">
              <w:rPr>
                <w:rFonts w:ascii="Times New Roman" w:hAnsi="Times New Roman" w:cs="Times New Roman"/>
                <w:sz w:val="22"/>
                <w:szCs w:val="22"/>
              </w:rPr>
              <w:t>rt. 111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A557C9C"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Odpowiedzialność karna za prowadzenie działalności w zakresie kryptoaktywów bez wymaganego zezwolenia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C9A3FFE" w14:textId="15BC79B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w:t>
            </w:r>
            <w:r w:rsidR="00F6484B" w:rsidRPr="000A329E">
              <w:rPr>
                <w:rFonts w:ascii="Times New Roman" w:hAnsi="Times New Roman" w:cs="Times New Roman"/>
                <w:sz w:val="22"/>
                <w:szCs w:val="22"/>
              </w:rPr>
              <w:t>21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495CC83" w14:textId="518BD51B"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Autonomia państwa członkowskiego w</w:t>
            </w:r>
            <w:r w:rsidR="008D2009">
              <w:rPr>
                <w:rFonts w:ascii="Times New Roman" w:hAnsi="Times New Roman" w:cs="Times New Roman"/>
                <w:sz w:val="22"/>
                <w:szCs w:val="22"/>
              </w:rPr>
              <w:t> </w:t>
            </w:r>
            <w:r w:rsidRPr="000A329E">
              <w:rPr>
                <w:rFonts w:ascii="Times New Roman" w:hAnsi="Times New Roman" w:cs="Times New Roman"/>
                <w:sz w:val="22"/>
                <w:szCs w:val="22"/>
              </w:rPr>
              <w:t>zakresie sankcji karnych.</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11D3A43F"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MiCA nie harmonizuje sankcji karnych; przepis krajowy realizuje wymóg art. 111 MiCA, ograniczając odpowiedzialność do czynów umyślnych.</w:t>
            </w:r>
          </w:p>
        </w:tc>
      </w:tr>
      <w:tr w:rsidR="00904E38" w14:paraId="147F0D48"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55DD638B" w14:textId="415563D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940B36C"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Zmiany w przepisach podatkowych (PIT/CIT) dotyczące kryptoaktywów</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2300D9A" w14:textId="3AE33784"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w:t>
            </w:r>
            <w:r w:rsidR="00F6484B" w:rsidRPr="000A329E">
              <w:rPr>
                <w:rFonts w:ascii="Times New Roman" w:hAnsi="Times New Roman" w:cs="Times New Roman"/>
                <w:sz w:val="22"/>
                <w:szCs w:val="22"/>
              </w:rPr>
              <w:t>22</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8869ED7"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Poza zakresem MiCA – autonomia krajowa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F888C66"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MiCA nie harmonizuje opodatkowania kryptoaktywów.</w:t>
            </w:r>
          </w:p>
        </w:tc>
      </w:tr>
      <w:tr w:rsidR="00904E38" w14:paraId="13DD1A45"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692D5008" w14:textId="52ECE96B"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A642AAF"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Zmiany w ustawie podatkowej (szczegółowe rozwiązania)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FC64501" w14:textId="643D30F0"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w:t>
            </w:r>
            <w:r w:rsidR="00F6484B" w:rsidRPr="000A329E">
              <w:rPr>
                <w:rFonts w:ascii="Times New Roman" w:hAnsi="Times New Roman" w:cs="Times New Roman"/>
                <w:sz w:val="22"/>
                <w:szCs w:val="22"/>
              </w:rPr>
              <w:t>23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452118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Poza zakresem MiCA – autonomia krajowa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4B76490B"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podatkowy, bez wpływu na wykonywanie MiCA.</w:t>
            </w:r>
          </w:p>
        </w:tc>
      </w:tr>
      <w:tr w:rsidR="00904E38" w14:paraId="3CB30D52"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2445726E" w14:textId="487D6BDF"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743A3A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Zmiany w Ordynacji podatkowej. </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8E91DC6" w14:textId="6C58AF0E"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2</w:t>
            </w:r>
            <w:r w:rsidR="00F6484B" w:rsidRPr="000A329E">
              <w:rPr>
                <w:rFonts w:ascii="Times New Roman" w:hAnsi="Times New Roman" w:cs="Times New Roman"/>
                <w:sz w:val="22"/>
                <w:szCs w:val="22"/>
              </w:rPr>
              <w:t>4</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227F6F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Poza zakresem MiCA – autonomia krajowa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1239565E"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Poza zakresem MiCA – autonomia krajowa</w:t>
            </w:r>
          </w:p>
        </w:tc>
      </w:tr>
      <w:tr w:rsidR="00904E38" w14:paraId="0FC9D2C3"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3C12CCF8" w14:textId="319D4795"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84E193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Przepisy podatkowe – dalsze dostosowania techniczne</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7293123" w14:textId="2845D5D6"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2</w:t>
            </w:r>
            <w:r w:rsidR="00F6484B" w:rsidRPr="000A329E">
              <w:rPr>
                <w:rFonts w:ascii="Times New Roman" w:hAnsi="Times New Roman" w:cs="Times New Roman"/>
                <w:sz w:val="22"/>
                <w:szCs w:val="22"/>
              </w:rPr>
              <w:t>8-30</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24ED85D"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Poza zakresem MiCA – autonomia krajowa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5CF6105" w14:textId="2196F15D"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 związku z rynkiem wewnętrznym w</w:t>
            </w:r>
            <w:r w:rsidR="008D2009">
              <w:rPr>
                <w:rFonts w:ascii="Times New Roman" w:hAnsi="Times New Roman" w:cs="Times New Roman"/>
                <w:sz w:val="22"/>
                <w:szCs w:val="22"/>
              </w:rPr>
              <w:t> </w:t>
            </w:r>
            <w:r w:rsidRPr="000A329E">
              <w:rPr>
                <w:rFonts w:ascii="Times New Roman" w:hAnsi="Times New Roman" w:cs="Times New Roman"/>
                <w:sz w:val="22"/>
                <w:szCs w:val="22"/>
              </w:rPr>
              <w:t>rozumieniu MiCA.</w:t>
            </w:r>
          </w:p>
        </w:tc>
      </w:tr>
      <w:tr w:rsidR="00904E38" w14:paraId="1A05567E"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4CA7436D" w14:textId="2CE55EB1"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101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7D29C77"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Alternatywne rozwiązywanie sporów (ADR) pomiędzy klientami a CASP</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5C96256" w14:textId="288D39FA"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w:t>
            </w:r>
            <w:r w:rsidR="00F6484B" w:rsidRPr="000A329E">
              <w:rPr>
                <w:rFonts w:ascii="Times New Roman" w:hAnsi="Times New Roman" w:cs="Times New Roman"/>
                <w:sz w:val="22"/>
                <w:szCs w:val="22"/>
              </w:rPr>
              <w:t>17</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9CE66AB"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MiCA – zapewnienie mechanizmu ADR</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0E45777B"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realizuje obowiązek zapewnienia ADR, w tym w sprawach transgranicznych.</w:t>
            </w:r>
          </w:p>
        </w:tc>
      </w:tr>
      <w:tr w:rsidR="00904E38" w14:paraId="5A20A380"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59D3EB13" w14:textId="3F7DD0F3"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101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1EE26CC"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Współpraca informacyjna organów na potrzeby ADR</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853335C" w14:textId="3C3BB77C"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w:t>
            </w:r>
            <w:r w:rsidR="00F6484B" w:rsidRPr="000A329E">
              <w:rPr>
                <w:rFonts w:ascii="Times New Roman" w:hAnsi="Times New Roman" w:cs="Times New Roman"/>
                <w:sz w:val="22"/>
                <w:szCs w:val="22"/>
              </w:rPr>
              <w:t>18</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AE5FC5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MiCA (instrumenty organizacyjne)</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740E0D49"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zapewnia skuteczność ADR bez naruszania tajemnic prawnie chronionych.</w:t>
            </w:r>
          </w:p>
        </w:tc>
      </w:tr>
      <w:tr w:rsidR="00904E38" w14:paraId="344C9E7E"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312D5A9D" w14:textId="4374F331"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3FA0F3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Gwarancje wykonalności reżimu 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B261363" w14:textId="01E3D19B"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w:t>
            </w:r>
            <w:r w:rsidR="00F6484B" w:rsidRPr="000A329E">
              <w:rPr>
                <w:rFonts w:ascii="Times New Roman" w:hAnsi="Times New Roman" w:cs="Times New Roman"/>
                <w:sz w:val="22"/>
                <w:szCs w:val="22"/>
              </w:rPr>
              <w:t>19</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EC27A1C"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Uzupełnienie gwarancyjne (autonomia państwa członkowskiego)</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25D3400B"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ustanawia obowiązek pisemnego uzasadnienia i standard indywidualizacji oceny ryzyka; pozostaje bez uszczerbku dla obowiązków AML.</w:t>
            </w:r>
          </w:p>
        </w:tc>
      </w:tr>
      <w:tr w:rsidR="00904E38" w14:paraId="624B9F69"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7A691FF6" w14:textId="2F081F95"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70</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DFC188E"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Zapewnienie możliwości wykonania segregacji środków klientów</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B46C08D" w14:textId="3C3B53A8"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2</w:t>
            </w:r>
            <w:r w:rsidR="00F6484B" w:rsidRPr="000A329E">
              <w:rPr>
                <w:rFonts w:ascii="Times New Roman" w:hAnsi="Times New Roman" w:cs="Times New Roman"/>
                <w:sz w:val="22"/>
                <w:szCs w:val="22"/>
              </w:rPr>
              <w:t>0</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2455A735"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gwarancyjno - techniczny zapewniający wykonalność obowiązków z MiCA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04FC68C2" w14:textId="0B4B93A1"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nie narzuca bankom konkretnego produktu; wskazuje przykładowe rozwiązania techniczne i</w:t>
            </w:r>
            <w:r w:rsidR="008D2009">
              <w:rPr>
                <w:rFonts w:ascii="Times New Roman" w:hAnsi="Times New Roman" w:cs="Times New Roman"/>
                <w:sz w:val="22"/>
                <w:szCs w:val="22"/>
              </w:rPr>
              <w:t> </w:t>
            </w:r>
            <w:r w:rsidRPr="000A329E">
              <w:rPr>
                <w:rFonts w:ascii="Times New Roman" w:hAnsi="Times New Roman" w:cs="Times New Roman"/>
                <w:sz w:val="22"/>
                <w:szCs w:val="22"/>
              </w:rPr>
              <w:t>wymaga uzasadnienia odmowy.</w:t>
            </w:r>
          </w:p>
        </w:tc>
      </w:tr>
      <w:tr w:rsidR="00904E38" w14:paraId="5E310910"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0A2F5D2F" w14:textId="6980FFA8"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68</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61685FA"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Dostosowanie pojęciowe przepisów AML do terminologii MiCA (kryptoaktywa zamiast walut wirtualnych)</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91EA09C" w14:textId="41684ECD"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w:t>
            </w:r>
            <w:r w:rsidR="00F6484B" w:rsidRPr="000A329E">
              <w:rPr>
                <w:rFonts w:ascii="Times New Roman" w:hAnsi="Times New Roman" w:cs="Times New Roman"/>
                <w:sz w:val="22"/>
                <w:szCs w:val="22"/>
              </w:rPr>
              <w:t>31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70463E0"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Koordynacja / spójność systemowa (terminologia AML vs. MiCA) – autonomia krajowa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2E787519" w14:textId="6E2BCA3D"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ma charakter interpretacyjny i</w:t>
            </w:r>
            <w:r w:rsidR="008D2009">
              <w:rPr>
                <w:rFonts w:ascii="Times New Roman" w:hAnsi="Times New Roman" w:cs="Times New Roman"/>
                <w:sz w:val="22"/>
                <w:szCs w:val="22"/>
              </w:rPr>
              <w:t> </w:t>
            </w:r>
            <w:r w:rsidRPr="000A329E">
              <w:rPr>
                <w:rFonts w:ascii="Times New Roman" w:hAnsi="Times New Roman" w:cs="Times New Roman"/>
                <w:sz w:val="22"/>
                <w:szCs w:val="22"/>
              </w:rPr>
              <w:t>porządkujący; nie zmienia zakresu obowiązków AML, a</w:t>
            </w:r>
            <w:r w:rsidR="008D2009">
              <w:rPr>
                <w:rFonts w:ascii="Times New Roman" w:hAnsi="Times New Roman" w:cs="Times New Roman"/>
                <w:sz w:val="22"/>
                <w:szCs w:val="22"/>
              </w:rPr>
              <w:t> </w:t>
            </w:r>
            <w:r w:rsidRPr="000A329E">
              <w:rPr>
                <w:rFonts w:ascii="Times New Roman" w:hAnsi="Times New Roman" w:cs="Times New Roman"/>
                <w:sz w:val="22"/>
                <w:szCs w:val="22"/>
              </w:rPr>
              <w:t xml:space="preserve">jedynie zapewnia spójność </w:t>
            </w:r>
            <w:r w:rsidRPr="000A329E">
              <w:rPr>
                <w:rFonts w:ascii="Times New Roman" w:hAnsi="Times New Roman" w:cs="Times New Roman"/>
                <w:sz w:val="22"/>
                <w:szCs w:val="22"/>
              </w:rPr>
              <w:lastRenderedPageBreak/>
              <w:t>terminologiczną po wejściu w życie MiCA.</w:t>
            </w:r>
          </w:p>
        </w:tc>
      </w:tr>
      <w:tr w:rsidR="00904E38" w14:paraId="1E0D6D8B"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1A358182" w14:textId="4265406F"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lastRenderedPageBreak/>
              <w:t>A</w:t>
            </w:r>
            <w:r w:rsidR="00904E38" w:rsidRPr="000A329E">
              <w:rPr>
                <w:rFonts w:ascii="Times New Roman" w:hAnsi="Times New Roman" w:cs="Times New Roman"/>
                <w:sz w:val="22"/>
                <w:szCs w:val="22"/>
              </w:rPr>
              <w:t>rt. 3 ust. 1 pkt 15 oraz art. 143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1B611C6"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Powiązanie definicji dostawcy usług w zakresie kryptoaktywów (CASP) z przepisami AML; funkcjonowanie reżimu przejściowego</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0D49F97" w14:textId="7A81128F"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27</w:t>
            </w:r>
            <w:r w:rsidR="00F6484B" w:rsidRPr="000A329E">
              <w:rPr>
                <w:rFonts w:ascii="Times New Roman" w:hAnsi="Times New Roman" w:cs="Times New Roman"/>
                <w:sz w:val="22"/>
                <w:szCs w:val="22"/>
              </w:rPr>
              <w:t xml:space="preserve"> oraz art. 37</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7FB2258"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Uzupełnienie krajowe zapewniające ciągłość stosowania przepisów AML w okresie przejściowym (art. 143 MiCA)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0861768B" w14:textId="42F95273"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umożliwia stosowanie obowiązków AML wobec podmiotów przechodzących z reżimu VASP do CASP, zgodnie z art. 143 MiCA i</w:t>
            </w:r>
            <w:r w:rsidR="008D2009">
              <w:rPr>
                <w:rFonts w:ascii="Times New Roman" w:hAnsi="Times New Roman" w:cs="Times New Roman"/>
                <w:sz w:val="22"/>
                <w:szCs w:val="22"/>
              </w:rPr>
              <w:t> </w:t>
            </w:r>
            <w:r w:rsidRPr="000A329E">
              <w:rPr>
                <w:rFonts w:ascii="Times New Roman" w:hAnsi="Times New Roman" w:cs="Times New Roman"/>
                <w:sz w:val="22"/>
                <w:szCs w:val="22"/>
              </w:rPr>
              <w:t>rekomendacją FATF nr 15.</w:t>
            </w:r>
          </w:p>
        </w:tc>
      </w:tr>
      <w:tr w:rsidR="00904E38" w14:paraId="73891D29"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04302612" w14:textId="424E8AC9"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63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6313956"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Organizacja rozpatrywania wniosków o zezwolenie (kolejność, znaczenie systemowe)</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97165F1" w14:textId="546F104E"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Art. </w:t>
            </w:r>
            <w:r w:rsidR="007742B4" w:rsidRPr="000A329E">
              <w:rPr>
                <w:rFonts w:ascii="Times New Roman" w:hAnsi="Times New Roman" w:cs="Times New Roman"/>
                <w:sz w:val="22"/>
                <w:szCs w:val="22"/>
              </w:rPr>
              <w:t>31</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E60B64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MiCA – organizacja krajowej procedury licencyjnej</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1F3C9E14"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nie modyfikuje terminów ani kryteriów MiCA; dotyczy wyłącznie zarządzania kolejnością spraw przez organ krajowy.</w:t>
            </w:r>
          </w:p>
        </w:tc>
      </w:tr>
      <w:tr w:rsidR="00904E38" w14:paraId="02BC437D"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6E309B10" w14:textId="40007617" w:rsidR="00904E38" w:rsidRPr="000A329E" w:rsidRDefault="00F6484B"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143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9B9A7AD"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Wygaśnięcie prawa kontynuowania działalności w okresie przejściowym</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2628338" w14:textId="51F03CD8"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2</w:t>
            </w:r>
            <w:r w:rsidR="007742B4" w:rsidRPr="000A329E">
              <w:rPr>
                <w:rFonts w:ascii="Times New Roman" w:hAnsi="Times New Roman" w:cs="Times New Roman"/>
                <w:sz w:val="22"/>
                <w:szCs w:val="22"/>
              </w:rPr>
              <w:t>5</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850E059"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MiCA – doprecyzowanie skutków końca okresu przejściowego</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31BB8A7A" w14:textId="427B568F"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precyzuje moment utraty uprawnień wynikających z art. 143 MiCA i nie skraca okresu przejściowego przewidzianego w</w:t>
            </w:r>
            <w:r w:rsidR="008D2009">
              <w:rPr>
                <w:rFonts w:ascii="Times New Roman" w:hAnsi="Times New Roman" w:cs="Times New Roman"/>
                <w:sz w:val="22"/>
                <w:szCs w:val="22"/>
              </w:rPr>
              <w:t> </w:t>
            </w:r>
            <w:r w:rsidRPr="000A329E">
              <w:rPr>
                <w:rFonts w:ascii="Times New Roman" w:hAnsi="Times New Roman" w:cs="Times New Roman"/>
                <w:sz w:val="22"/>
                <w:szCs w:val="22"/>
              </w:rPr>
              <w:t>rozporządzeniu.</w:t>
            </w:r>
          </w:p>
        </w:tc>
      </w:tr>
      <w:tr w:rsidR="00904E38" w14:paraId="23EC5B3F"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0B75CBBC" w14:textId="53F63A82" w:rsidR="00904E38" w:rsidRPr="000A329E" w:rsidRDefault="007742B4"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62–63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1159D0D"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Weryfikacja kompletności wniosku, terminy proceduralne, skutki ich przekroczenia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536DD91" w14:textId="3F2436BE"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3</w:t>
            </w:r>
            <w:r w:rsidR="007742B4" w:rsidRPr="000A329E">
              <w:rPr>
                <w:rFonts w:ascii="Times New Roman" w:hAnsi="Times New Roman" w:cs="Times New Roman"/>
                <w:sz w:val="22"/>
                <w:szCs w:val="22"/>
              </w:rPr>
              <w:t>2</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4DEFD22"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Bezpośrednie wykonanie MiCA (procedura licencyjna CASP)</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09A1EC21" w14:textId="7AF5CB9A"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powtarza i</w:t>
            </w:r>
            <w:r w:rsidR="008D2009">
              <w:rPr>
                <w:rFonts w:ascii="Times New Roman" w:hAnsi="Times New Roman" w:cs="Times New Roman"/>
                <w:sz w:val="22"/>
                <w:szCs w:val="22"/>
              </w:rPr>
              <w:t> </w:t>
            </w:r>
            <w:r w:rsidRPr="000A329E">
              <w:rPr>
                <w:rFonts w:ascii="Times New Roman" w:hAnsi="Times New Roman" w:cs="Times New Roman"/>
                <w:sz w:val="22"/>
                <w:szCs w:val="22"/>
              </w:rPr>
              <w:t>operacjonalizuje terminy z MiCA oraz określa skutki proceduralne na gruncie prawa krajowego (KPA); nie modyfikuje standardów unijnych.</w:t>
            </w:r>
          </w:p>
        </w:tc>
      </w:tr>
      <w:tr w:rsidR="00904E38" w14:paraId="4C31F01F"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3D754EA3" w14:textId="201660AC" w:rsidR="00904E38" w:rsidRPr="000A329E" w:rsidRDefault="007742B4"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143 ust. 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8569962"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Prawo kontynuowania działalności przez podmioty działające przed stosowaniem 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0D471A19" w14:textId="345E6352"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3</w:t>
            </w:r>
            <w:r w:rsidR="007742B4" w:rsidRPr="000A329E">
              <w:rPr>
                <w:rFonts w:ascii="Times New Roman" w:hAnsi="Times New Roman" w:cs="Times New Roman"/>
                <w:sz w:val="22"/>
                <w:szCs w:val="22"/>
              </w:rPr>
              <w:t>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BC0EE38"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MiCA – przepis przejściowy</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337FE2F0" w14:textId="454C953B"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wiernie odtwarza zakres i czas trwania grandfatheringu przewidzianego w</w:t>
            </w:r>
            <w:r w:rsidR="008D2009">
              <w:rPr>
                <w:rFonts w:ascii="Times New Roman" w:hAnsi="Times New Roman" w:cs="Times New Roman"/>
                <w:sz w:val="22"/>
                <w:szCs w:val="22"/>
              </w:rPr>
              <w:t> </w:t>
            </w:r>
            <w:r w:rsidRPr="000A329E">
              <w:rPr>
                <w:rFonts w:ascii="Times New Roman" w:hAnsi="Times New Roman" w:cs="Times New Roman"/>
                <w:sz w:val="22"/>
                <w:szCs w:val="22"/>
              </w:rPr>
              <w:t>MiCA.</w:t>
            </w:r>
          </w:p>
        </w:tc>
      </w:tr>
      <w:tr w:rsidR="00904E38" w14:paraId="0BCEB670"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32D5B46C" w14:textId="485894C4" w:rsidR="00904E38" w:rsidRPr="000A329E" w:rsidRDefault="007742B4"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 xml:space="preserve">rt. </w:t>
            </w:r>
            <w:r w:rsidRPr="000A329E">
              <w:rPr>
                <w:rFonts w:ascii="Times New Roman" w:hAnsi="Times New Roman" w:cs="Times New Roman"/>
                <w:sz w:val="22"/>
                <w:szCs w:val="22"/>
              </w:rPr>
              <w:t xml:space="preserve">66 oraz art. </w:t>
            </w:r>
            <w:r w:rsidR="00904E38" w:rsidRPr="000A329E">
              <w:rPr>
                <w:rFonts w:ascii="Times New Roman" w:hAnsi="Times New Roman" w:cs="Times New Roman"/>
                <w:sz w:val="22"/>
                <w:szCs w:val="22"/>
              </w:rPr>
              <w:t>143;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4B7760EF"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Minimalne standardy działania CASP w okresie przejściowym</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DCE9887" w14:textId="5C3E2595"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3</w:t>
            </w:r>
            <w:r w:rsidR="007742B4" w:rsidRPr="000A329E">
              <w:rPr>
                <w:rFonts w:ascii="Times New Roman" w:hAnsi="Times New Roman" w:cs="Times New Roman"/>
                <w:sz w:val="22"/>
                <w:szCs w:val="22"/>
              </w:rPr>
              <w:t>4</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9BE3581"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Uzupełnienie krajowe w ramach art. 143 MiCA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117741F" w14:textId="46301252"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odwołuje się do standardu rzetelnego i</w:t>
            </w:r>
            <w:r w:rsidR="008D2009">
              <w:rPr>
                <w:rFonts w:ascii="Times New Roman" w:hAnsi="Times New Roman" w:cs="Times New Roman"/>
                <w:sz w:val="22"/>
                <w:szCs w:val="22"/>
              </w:rPr>
              <w:t> </w:t>
            </w:r>
            <w:r w:rsidRPr="000A329E">
              <w:rPr>
                <w:rFonts w:ascii="Times New Roman" w:hAnsi="Times New Roman" w:cs="Times New Roman"/>
                <w:sz w:val="22"/>
                <w:szCs w:val="22"/>
              </w:rPr>
              <w:t>uczciwego działania, bez przyznawania organowi uznaniowości sankcyjnej.</w:t>
            </w:r>
          </w:p>
        </w:tc>
      </w:tr>
      <w:tr w:rsidR="00904E38" w14:paraId="1381715D"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14398CC1" w14:textId="74FE02C3" w:rsidR="00904E38" w:rsidRPr="000A329E" w:rsidRDefault="007742B4"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w:t>
            </w:r>
            <w:r w:rsidR="00904E38" w:rsidRPr="000A329E">
              <w:rPr>
                <w:rFonts w:ascii="Times New Roman" w:hAnsi="Times New Roman" w:cs="Times New Roman"/>
                <w:sz w:val="22"/>
                <w:szCs w:val="22"/>
              </w:rPr>
              <w:t>rt. 143 ust. 6</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ED98613"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Uproszczona procedura licencyjna dla podmiotów działających przed MiCA</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9F98F6B" w14:textId="192ADD1D"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3</w:t>
            </w:r>
            <w:r w:rsidR="007742B4" w:rsidRPr="000A329E">
              <w:rPr>
                <w:rFonts w:ascii="Times New Roman" w:hAnsi="Times New Roman" w:cs="Times New Roman"/>
                <w:sz w:val="22"/>
                <w:szCs w:val="22"/>
              </w:rPr>
              <w:t>5</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75FFFA46"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MiCA – proceduralne</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783139C0" w14:textId="3521EF6E"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 xml:space="preserve">Przepis ogranicza zakres weryfikacji do elementów nieweryfikowanych wcześniej; zgodny </w:t>
            </w:r>
            <w:r w:rsidRPr="000A329E">
              <w:rPr>
                <w:rFonts w:ascii="Times New Roman" w:hAnsi="Times New Roman" w:cs="Times New Roman"/>
                <w:sz w:val="22"/>
                <w:szCs w:val="22"/>
              </w:rPr>
              <w:lastRenderedPageBreak/>
              <w:t>z</w:t>
            </w:r>
            <w:r w:rsidR="008D2009">
              <w:rPr>
                <w:rFonts w:ascii="Times New Roman" w:hAnsi="Times New Roman" w:cs="Times New Roman"/>
                <w:sz w:val="22"/>
                <w:szCs w:val="22"/>
              </w:rPr>
              <w:t> </w:t>
            </w:r>
            <w:r w:rsidRPr="000A329E">
              <w:rPr>
                <w:rFonts w:ascii="Times New Roman" w:hAnsi="Times New Roman" w:cs="Times New Roman"/>
                <w:sz w:val="22"/>
                <w:szCs w:val="22"/>
              </w:rPr>
              <w:t>zasadą proporcjonalności.</w:t>
            </w:r>
          </w:p>
        </w:tc>
      </w:tr>
      <w:tr w:rsidR="00904E38" w14:paraId="56287935"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67E6C4F0" w14:textId="675F0D1F" w:rsidR="00904E38" w:rsidRPr="000A329E" w:rsidRDefault="007742B4"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lastRenderedPageBreak/>
              <w:t>A</w:t>
            </w:r>
            <w:r w:rsidR="00904E38" w:rsidRPr="000A329E">
              <w:rPr>
                <w:rFonts w:ascii="Times New Roman" w:hAnsi="Times New Roman" w:cs="Times New Roman"/>
                <w:sz w:val="22"/>
                <w:szCs w:val="22"/>
              </w:rPr>
              <w:t>rt. 143</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B1E2852"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Moment wygaśnięcia uprawnień przejściowych</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6EFD924D" w14:textId="43895DBE"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3</w:t>
            </w:r>
            <w:r w:rsidR="007742B4" w:rsidRPr="000A329E">
              <w:rPr>
                <w:rFonts w:ascii="Times New Roman" w:hAnsi="Times New Roman" w:cs="Times New Roman"/>
                <w:sz w:val="22"/>
                <w:szCs w:val="22"/>
              </w:rPr>
              <w:t>6</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0E27CE0"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Wykonanie MiCA – przepis przejściowy</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5BDD5C3D"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jednoznacznie określa skutki braku zezwolenia po upływie okresu przejściowego.</w:t>
            </w:r>
          </w:p>
        </w:tc>
      </w:tr>
      <w:tr w:rsidR="00904E38" w14:paraId="1759C19A" w14:textId="77777777" w:rsidTr="008D2009">
        <w:tc>
          <w:tcPr>
            <w:tcW w:w="1021" w:type="dxa"/>
            <w:tcBorders>
              <w:top w:val="single" w:sz="8" w:space="0" w:color="BFBFBF"/>
              <w:left w:val="single" w:sz="8" w:space="0" w:color="BFBFBF"/>
              <w:bottom w:val="single" w:sz="8" w:space="0" w:color="BFBFBF"/>
              <w:right w:val="single" w:sz="8" w:space="0" w:color="BFBFBF"/>
            </w:tcBorders>
            <w:tcMar>
              <w:top w:w="0" w:type="dxa"/>
              <w:bottom w:w="0" w:type="dxa"/>
            </w:tcMar>
          </w:tcPr>
          <w:p w14:paraId="69BED96B" w14:textId="0084110F"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Brak</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59A7BEAD"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Wejście w życie ustawy</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134AE6C4" w14:textId="70C2A93A"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Art. 3</w:t>
            </w:r>
            <w:r w:rsidR="007742B4" w:rsidRPr="000A329E">
              <w:rPr>
                <w:rFonts w:ascii="Times New Roman" w:hAnsi="Times New Roman" w:cs="Times New Roman"/>
                <w:sz w:val="22"/>
                <w:szCs w:val="22"/>
              </w:rPr>
              <w:t>7</w:t>
            </w:r>
          </w:p>
        </w:tc>
        <w:tc>
          <w:tcPr>
            <w:tcW w:w="2438" w:type="dxa"/>
            <w:tcBorders>
              <w:top w:val="single" w:sz="8" w:space="0" w:color="BFBFBF"/>
              <w:left w:val="single" w:sz="8" w:space="0" w:color="BFBFBF"/>
              <w:bottom w:val="single" w:sz="8" w:space="0" w:color="BFBFBF"/>
              <w:right w:val="single" w:sz="8" w:space="0" w:color="BFBFBF"/>
            </w:tcBorders>
            <w:tcMar>
              <w:top w:w="0" w:type="dxa"/>
              <w:bottom w:w="0" w:type="dxa"/>
            </w:tcMar>
          </w:tcPr>
          <w:p w14:paraId="3B83A09B"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Poza zakresem MiCA – technika legislacyjna</w:t>
            </w:r>
          </w:p>
        </w:tc>
        <w:tc>
          <w:tcPr>
            <w:tcW w:w="2439" w:type="dxa"/>
            <w:tcBorders>
              <w:top w:val="single" w:sz="8" w:space="0" w:color="BFBFBF"/>
              <w:left w:val="single" w:sz="8" w:space="0" w:color="BFBFBF"/>
              <w:bottom w:val="single" w:sz="8" w:space="0" w:color="BFBFBF"/>
              <w:right w:val="single" w:sz="8" w:space="0" w:color="BFBFBF"/>
            </w:tcBorders>
            <w:tcMar>
              <w:top w:w="0" w:type="dxa"/>
              <w:bottom w:w="0" w:type="dxa"/>
            </w:tcMar>
          </w:tcPr>
          <w:p w14:paraId="43B52503" w14:textId="77777777" w:rsidR="00904E38" w:rsidRPr="000A329E" w:rsidRDefault="00904E38" w:rsidP="00904E38">
            <w:pPr>
              <w:spacing w:after="0" w:line="240" w:lineRule="auto"/>
              <w:jc w:val="both"/>
              <w:rPr>
                <w:rFonts w:ascii="Times New Roman" w:hAnsi="Times New Roman" w:cs="Times New Roman"/>
                <w:sz w:val="22"/>
                <w:szCs w:val="22"/>
              </w:rPr>
            </w:pPr>
            <w:r w:rsidRPr="000A329E">
              <w:rPr>
                <w:rFonts w:ascii="Times New Roman" w:hAnsi="Times New Roman" w:cs="Times New Roman"/>
                <w:sz w:val="22"/>
                <w:szCs w:val="22"/>
              </w:rPr>
              <w:t>Przepis techniczny, nie wpływa na stosowanie MiCA.</w:t>
            </w:r>
          </w:p>
        </w:tc>
      </w:tr>
    </w:tbl>
    <w:p w14:paraId="7DEDF9B2" w14:textId="77777777" w:rsidR="00190D8B" w:rsidRPr="00190D8B" w:rsidRDefault="00190D8B" w:rsidP="00904E38">
      <w:pPr>
        <w:spacing w:after="0" w:line="240" w:lineRule="auto"/>
        <w:jc w:val="both"/>
        <w:rPr>
          <w:rFonts w:ascii="Times New Roman" w:hAnsi="Times New Roman" w:cs="Times New Roman"/>
          <w:b/>
          <w:bCs/>
          <w:lang w:val="pl"/>
        </w:rPr>
      </w:pPr>
    </w:p>
    <w:p w14:paraId="3B9AADC1" w14:textId="3C86A3C7" w:rsidR="007742B4" w:rsidRDefault="00190D8B" w:rsidP="007742B4">
      <w:pPr>
        <w:pStyle w:val="Akapitzlist"/>
        <w:numPr>
          <w:ilvl w:val="0"/>
          <w:numId w:val="29"/>
        </w:numPr>
        <w:jc w:val="both"/>
        <w:rPr>
          <w:rFonts w:ascii="Times New Roman" w:hAnsi="Times New Roman" w:cs="Times New Roman"/>
          <w:b/>
          <w:bCs/>
          <w:lang w:val="pl"/>
        </w:rPr>
      </w:pPr>
      <w:r>
        <w:rPr>
          <w:rFonts w:ascii="Times New Roman" w:hAnsi="Times New Roman" w:cs="Times New Roman"/>
          <w:b/>
          <w:bCs/>
          <w:lang w:val="pl"/>
        </w:rPr>
        <w:t>Tabela zgodności z innymi aktami prawnymi UE</w:t>
      </w:r>
      <w:bookmarkStart w:id="1" w:name="_hwzfqr8npb3m" w:colFirst="0" w:colLast="0"/>
      <w:bookmarkStart w:id="2" w:name="_2b5p7bl5d6mz" w:colFirst="0" w:colLast="0"/>
      <w:bookmarkEnd w:id="1"/>
      <w:bookmarkEnd w:id="2"/>
    </w:p>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7"/>
        <w:gridCol w:w="2551"/>
        <w:gridCol w:w="2552"/>
        <w:gridCol w:w="1984"/>
        <w:gridCol w:w="2410"/>
      </w:tblGrid>
      <w:tr w:rsidR="007742B4" w:rsidRPr="007742B4" w14:paraId="073E2238" w14:textId="77777777" w:rsidTr="00166B89">
        <w:tc>
          <w:tcPr>
            <w:tcW w:w="1277" w:type="dxa"/>
            <w:shd w:val="clear" w:color="auto" w:fill="FFFFFF" w:themeFill="background1"/>
            <w:tcMar>
              <w:top w:w="0" w:type="dxa"/>
              <w:left w:w="80" w:type="dxa"/>
              <w:bottom w:w="0" w:type="dxa"/>
              <w:right w:w="80" w:type="dxa"/>
            </w:tcMar>
            <w:vAlign w:val="bottom"/>
          </w:tcPr>
          <w:p w14:paraId="3D74A9A9" w14:textId="77777777" w:rsidR="007742B4" w:rsidRPr="007742B4" w:rsidRDefault="007742B4" w:rsidP="007742B4">
            <w:pPr>
              <w:jc w:val="both"/>
              <w:rPr>
                <w:rFonts w:ascii="Times New Roman" w:hAnsi="Times New Roman" w:cs="Times New Roman"/>
                <w:b/>
                <w:bCs/>
                <w:lang w:val="pl"/>
              </w:rPr>
            </w:pPr>
            <w:r w:rsidRPr="007742B4">
              <w:rPr>
                <w:rFonts w:ascii="Times New Roman" w:hAnsi="Times New Roman" w:cs="Times New Roman"/>
                <w:b/>
                <w:bCs/>
                <w:lang w:val="pl"/>
              </w:rPr>
              <w:t>Akt UE</w:t>
            </w:r>
          </w:p>
        </w:tc>
        <w:tc>
          <w:tcPr>
            <w:tcW w:w="2551" w:type="dxa"/>
            <w:shd w:val="clear" w:color="auto" w:fill="FFFFFF" w:themeFill="background1"/>
            <w:tcMar>
              <w:top w:w="0" w:type="dxa"/>
              <w:left w:w="80" w:type="dxa"/>
              <w:bottom w:w="0" w:type="dxa"/>
              <w:right w:w="80" w:type="dxa"/>
            </w:tcMar>
            <w:vAlign w:val="bottom"/>
          </w:tcPr>
          <w:p w14:paraId="3F9D8559" w14:textId="77777777" w:rsidR="007742B4" w:rsidRPr="007742B4" w:rsidRDefault="007742B4" w:rsidP="007742B4">
            <w:pPr>
              <w:jc w:val="both"/>
              <w:rPr>
                <w:rFonts w:ascii="Times New Roman" w:hAnsi="Times New Roman" w:cs="Times New Roman"/>
                <w:b/>
                <w:bCs/>
                <w:lang w:val="pl"/>
              </w:rPr>
            </w:pPr>
            <w:r w:rsidRPr="007742B4">
              <w:rPr>
                <w:rFonts w:ascii="Times New Roman" w:hAnsi="Times New Roman" w:cs="Times New Roman"/>
                <w:b/>
                <w:bCs/>
                <w:lang w:val="pl"/>
              </w:rPr>
              <w:t>Zakres / temat</w:t>
            </w:r>
          </w:p>
        </w:tc>
        <w:tc>
          <w:tcPr>
            <w:tcW w:w="2552" w:type="dxa"/>
            <w:shd w:val="clear" w:color="auto" w:fill="FFFFFF" w:themeFill="background1"/>
            <w:tcMar>
              <w:top w:w="0" w:type="dxa"/>
              <w:left w:w="80" w:type="dxa"/>
              <w:bottom w:w="0" w:type="dxa"/>
              <w:right w:w="80" w:type="dxa"/>
            </w:tcMar>
            <w:vAlign w:val="bottom"/>
          </w:tcPr>
          <w:p w14:paraId="19116FB7" w14:textId="77777777" w:rsidR="007742B4" w:rsidRPr="007742B4" w:rsidRDefault="007742B4" w:rsidP="007742B4">
            <w:pPr>
              <w:jc w:val="both"/>
              <w:rPr>
                <w:rFonts w:ascii="Times New Roman" w:hAnsi="Times New Roman" w:cs="Times New Roman"/>
                <w:b/>
                <w:bCs/>
                <w:lang w:val="pl"/>
              </w:rPr>
            </w:pPr>
            <w:r w:rsidRPr="007742B4">
              <w:rPr>
                <w:rFonts w:ascii="Times New Roman" w:hAnsi="Times New Roman" w:cs="Times New Roman"/>
                <w:b/>
                <w:bCs/>
                <w:lang w:val="pl"/>
              </w:rPr>
              <w:t>Projekt PL – przepis</w:t>
            </w:r>
          </w:p>
        </w:tc>
        <w:tc>
          <w:tcPr>
            <w:tcW w:w="1984" w:type="dxa"/>
            <w:shd w:val="clear" w:color="auto" w:fill="FFFFFF" w:themeFill="background1"/>
            <w:tcMar>
              <w:top w:w="0" w:type="dxa"/>
              <w:left w:w="80" w:type="dxa"/>
              <w:bottom w:w="0" w:type="dxa"/>
              <w:right w:w="80" w:type="dxa"/>
            </w:tcMar>
            <w:vAlign w:val="bottom"/>
          </w:tcPr>
          <w:p w14:paraId="4CF784CA" w14:textId="77777777" w:rsidR="007742B4" w:rsidRPr="007742B4" w:rsidRDefault="007742B4" w:rsidP="007742B4">
            <w:pPr>
              <w:jc w:val="both"/>
              <w:rPr>
                <w:rFonts w:ascii="Times New Roman" w:hAnsi="Times New Roman" w:cs="Times New Roman"/>
                <w:b/>
                <w:bCs/>
                <w:lang w:val="pl"/>
              </w:rPr>
            </w:pPr>
            <w:r w:rsidRPr="007742B4">
              <w:rPr>
                <w:rFonts w:ascii="Times New Roman" w:hAnsi="Times New Roman" w:cs="Times New Roman"/>
                <w:b/>
                <w:bCs/>
                <w:lang w:val="pl"/>
              </w:rPr>
              <w:t>Charakter relacji</w:t>
            </w:r>
          </w:p>
        </w:tc>
        <w:tc>
          <w:tcPr>
            <w:tcW w:w="2410" w:type="dxa"/>
            <w:shd w:val="clear" w:color="auto" w:fill="FFFFFF" w:themeFill="background1"/>
            <w:tcMar>
              <w:top w:w="0" w:type="dxa"/>
              <w:left w:w="80" w:type="dxa"/>
              <w:bottom w:w="0" w:type="dxa"/>
              <w:right w:w="80" w:type="dxa"/>
            </w:tcMar>
            <w:vAlign w:val="bottom"/>
          </w:tcPr>
          <w:p w14:paraId="4EAE13E5" w14:textId="77777777" w:rsidR="007742B4" w:rsidRPr="007742B4" w:rsidRDefault="007742B4" w:rsidP="007742B4">
            <w:pPr>
              <w:jc w:val="both"/>
              <w:rPr>
                <w:rFonts w:ascii="Times New Roman" w:hAnsi="Times New Roman" w:cs="Times New Roman"/>
                <w:b/>
                <w:bCs/>
                <w:lang w:val="pl"/>
              </w:rPr>
            </w:pPr>
            <w:r w:rsidRPr="007742B4">
              <w:rPr>
                <w:rFonts w:ascii="Times New Roman" w:hAnsi="Times New Roman" w:cs="Times New Roman"/>
                <w:b/>
                <w:bCs/>
                <w:lang w:val="pl"/>
              </w:rPr>
              <w:t>Uwagi</w:t>
            </w:r>
          </w:p>
        </w:tc>
      </w:tr>
      <w:tr w:rsidR="007742B4" w:rsidRPr="007742B4" w14:paraId="6CA7A3C2" w14:textId="77777777" w:rsidTr="00166B89">
        <w:tc>
          <w:tcPr>
            <w:tcW w:w="1277" w:type="dxa"/>
            <w:tcMar>
              <w:top w:w="0" w:type="dxa"/>
              <w:left w:w="80" w:type="dxa"/>
              <w:bottom w:w="0" w:type="dxa"/>
              <w:right w:w="80" w:type="dxa"/>
            </w:tcMar>
          </w:tcPr>
          <w:p w14:paraId="75B372A4"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TFUE art. 288</w:t>
            </w:r>
          </w:p>
        </w:tc>
        <w:tc>
          <w:tcPr>
            <w:tcW w:w="2551" w:type="dxa"/>
            <w:tcMar>
              <w:top w:w="0" w:type="dxa"/>
              <w:left w:w="80" w:type="dxa"/>
              <w:bottom w:w="0" w:type="dxa"/>
              <w:right w:w="80" w:type="dxa"/>
            </w:tcMar>
          </w:tcPr>
          <w:p w14:paraId="0041F58B"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Bezpośrednie stosowanie rozporządzeń UE</w:t>
            </w:r>
          </w:p>
        </w:tc>
        <w:tc>
          <w:tcPr>
            <w:tcW w:w="2552" w:type="dxa"/>
            <w:tcMar>
              <w:top w:w="0" w:type="dxa"/>
              <w:left w:w="80" w:type="dxa"/>
              <w:bottom w:w="0" w:type="dxa"/>
              <w:right w:w="80" w:type="dxa"/>
            </w:tcMar>
          </w:tcPr>
          <w:p w14:paraId="7D7581A0"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Preambuła/założenia + konstrukcja ustawy (odesłania, brak powielania)</w:t>
            </w:r>
          </w:p>
        </w:tc>
        <w:tc>
          <w:tcPr>
            <w:tcW w:w="1984" w:type="dxa"/>
            <w:tcMar>
              <w:top w:w="0" w:type="dxa"/>
              <w:left w:w="80" w:type="dxa"/>
              <w:bottom w:w="0" w:type="dxa"/>
              <w:right w:w="80" w:type="dxa"/>
            </w:tcMar>
          </w:tcPr>
          <w:p w14:paraId="1FFAD6CE"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Spójność systemowa</w:t>
            </w:r>
          </w:p>
        </w:tc>
        <w:tc>
          <w:tcPr>
            <w:tcW w:w="2410" w:type="dxa"/>
            <w:tcMar>
              <w:top w:w="0" w:type="dxa"/>
              <w:left w:w="80" w:type="dxa"/>
              <w:bottom w:w="0" w:type="dxa"/>
              <w:right w:w="80" w:type="dxa"/>
            </w:tcMar>
          </w:tcPr>
          <w:p w14:paraId="750F727A"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Ustawa ogranicza się do elementów wykonawczych; nie powiela norm materialnych MiCA.</w:t>
            </w:r>
          </w:p>
        </w:tc>
      </w:tr>
      <w:tr w:rsidR="007742B4" w:rsidRPr="007742B4" w14:paraId="74A02649" w14:textId="77777777" w:rsidTr="00166B89">
        <w:tc>
          <w:tcPr>
            <w:tcW w:w="1277" w:type="dxa"/>
            <w:tcMar>
              <w:top w:w="0" w:type="dxa"/>
              <w:left w:w="80" w:type="dxa"/>
              <w:bottom w:w="0" w:type="dxa"/>
              <w:right w:w="80" w:type="dxa"/>
            </w:tcMar>
          </w:tcPr>
          <w:p w14:paraId="764249FA"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TUE art. 5 ust. 4</w:t>
            </w:r>
          </w:p>
        </w:tc>
        <w:tc>
          <w:tcPr>
            <w:tcW w:w="2551" w:type="dxa"/>
            <w:tcMar>
              <w:top w:w="0" w:type="dxa"/>
              <w:left w:w="80" w:type="dxa"/>
              <w:bottom w:w="0" w:type="dxa"/>
              <w:right w:w="80" w:type="dxa"/>
            </w:tcMar>
          </w:tcPr>
          <w:p w14:paraId="681CE970"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Zasada proporcjonalności działań państwa członkowskiego</w:t>
            </w:r>
          </w:p>
        </w:tc>
        <w:tc>
          <w:tcPr>
            <w:tcW w:w="2552" w:type="dxa"/>
            <w:tcMar>
              <w:top w:w="0" w:type="dxa"/>
              <w:left w:w="80" w:type="dxa"/>
              <w:bottom w:w="0" w:type="dxa"/>
              <w:right w:w="80" w:type="dxa"/>
            </w:tcMar>
          </w:tcPr>
          <w:p w14:paraId="38346400"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Rozdział o opłatach i środkach ingerencyjnych (model sądowy, capy)</w:t>
            </w:r>
          </w:p>
        </w:tc>
        <w:tc>
          <w:tcPr>
            <w:tcW w:w="1984" w:type="dxa"/>
            <w:tcMar>
              <w:top w:w="0" w:type="dxa"/>
              <w:left w:w="80" w:type="dxa"/>
              <w:bottom w:w="0" w:type="dxa"/>
              <w:right w:w="80" w:type="dxa"/>
            </w:tcMar>
          </w:tcPr>
          <w:p w14:paraId="4CED2692"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Zasada ogólna</w:t>
            </w:r>
          </w:p>
        </w:tc>
        <w:tc>
          <w:tcPr>
            <w:tcW w:w="2410" w:type="dxa"/>
            <w:tcMar>
              <w:top w:w="0" w:type="dxa"/>
              <w:left w:w="80" w:type="dxa"/>
              <w:bottom w:w="0" w:type="dxa"/>
              <w:right w:w="80" w:type="dxa"/>
            </w:tcMar>
          </w:tcPr>
          <w:p w14:paraId="40ED8F52"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Wzmocnienie proporcjonalności obciążeń i ingerencji.</w:t>
            </w:r>
          </w:p>
        </w:tc>
      </w:tr>
      <w:tr w:rsidR="007742B4" w:rsidRPr="007742B4" w14:paraId="320EC59F" w14:textId="77777777" w:rsidTr="00166B89">
        <w:tc>
          <w:tcPr>
            <w:tcW w:w="1277" w:type="dxa"/>
            <w:tcMar>
              <w:top w:w="0" w:type="dxa"/>
              <w:left w:w="80" w:type="dxa"/>
              <w:bottom w:w="0" w:type="dxa"/>
              <w:right w:w="80" w:type="dxa"/>
            </w:tcMar>
          </w:tcPr>
          <w:p w14:paraId="3EE9B522"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KPP art. 47</w:t>
            </w:r>
          </w:p>
        </w:tc>
        <w:tc>
          <w:tcPr>
            <w:tcW w:w="2551" w:type="dxa"/>
            <w:tcMar>
              <w:top w:w="0" w:type="dxa"/>
              <w:left w:w="80" w:type="dxa"/>
              <w:bottom w:w="0" w:type="dxa"/>
              <w:right w:w="80" w:type="dxa"/>
            </w:tcMar>
          </w:tcPr>
          <w:p w14:paraId="26D6A182"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Prawo do skutecznego środka prawnego i do sądu</w:t>
            </w:r>
          </w:p>
        </w:tc>
        <w:tc>
          <w:tcPr>
            <w:tcW w:w="2552" w:type="dxa"/>
            <w:tcMar>
              <w:top w:w="0" w:type="dxa"/>
              <w:left w:w="80" w:type="dxa"/>
              <w:bottom w:w="0" w:type="dxa"/>
              <w:right w:w="80" w:type="dxa"/>
            </w:tcMar>
          </w:tcPr>
          <w:p w14:paraId="12FECEFF"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Rozdział o interfejsach internetowych (kontrola sądowa)</w:t>
            </w:r>
          </w:p>
        </w:tc>
        <w:tc>
          <w:tcPr>
            <w:tcW w:w="1984" w:type="dxa"/>
            <w:tcMar>
              <w:top w:w="0" w:type="dxa"/>
              <w:left w:w="80" w:type="dxa"/>
              <w:bottom w:w="0" w:type="dxa"/>
              <w:right w:w="80" w:type="dxa"/>
            </w:tcMar>
          </w:tcPr>
          <w:p w14:paraId="5457CD26"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Gwarancja praw podstawowych</w:t>
            </w:r>
          </w:p>
        </w:tc>
        <w:tc>
          <w:tcPr>
            <w:tcW w:w="2410" w:type="dxa"/>
            <w:tcMar>
              <w:top w:w="0" w:type="dxa"/>
              <w:left w:w="80" w:type="dxa"/>
              <w:bottom w:w="0" w:type="dxa"/>
              <w:right w:w="80" w:type="dxa"/>
            </w:tcMar>
          </w:tcPr>
          <w:p w14:paraId="476613B4"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Model sądowy ingerencji ogranicza ryzyko arbitralności.</w:t>
            </w:r>
          </w:p>
        </w:tc>
      </w:tr>
      <w:tr w:rsidR="007742B4" w:rsidRPr="007742B4" w14:paraId="62D88FB0" w14:textId="77777777" w:rsidTr="00166B89">
        <w:tc>
          <w:tcPr>
            <w:tcW w:w="1277" w:type="dxa"/>
            <w:tcMar>
              <w:top w:w="0" w:type="dxa"/>
              <w:left w:w="80" w:type="dxa"/>
              <w:bottom w:w="0" w:type="dxa"/>
              <w:right w:w="80" w:type="dxa"/>
            </w:tcMar>
          </w:tcPr>
          <w:p w14:paraId="7BC02772"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KPP art. 16</w:t>
            </w:r>
          </w:p>
        </w:tc>
        <w:tc>
          <w:tcPr>
            <w:tcW w:w="2551" w:type="dxa"/>
            <w:tcMar>
              <w:top w:w="0" w:type="dxa"/>
              <w:left w:w="80" w:type="dxa"/>
              <w:bottom w:w="0" w:type="dxa"/>
              <w:right w:w="80" w:type="dxa"/>
            </w:tcMar>
          </w:tcPr>
          <w:p w14:paraId="15B63395"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Wolność prowadzenia działalności gospodarczej</w:t>
            </w:r>
          </w:p>
        </w:tc>
        <w:tc>
          <w:tcPr>
            <w:tcW w:w="2552" w:type="dxa"/>
            <w:tcMar>
              <w:top w:w="0" w:type="dxa"/>
              <w:left w:w="80" w:type="dxa"/>
              <w:bottom w:w="0" w:type="dxa"/>
              <w:right w:w="80" w:type="dxa"/>
            </w:tcMar>
          </w:tcPr>
          <w:p w14:paraId="09E595A7"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 xml:space="preserve">Opłaty (baza adekwatna + capy) oraz model środków ingerencyjnych (sankcje) </w:t>
            </w:r>
          </w:p>
        </w:tc>
        <w:tc>
          <w:tcPr>
            <w:tcW w:w="1984" w:type="dxa"/>
            <w:tcMar>
              <w:top w:w="0" w:type="dxa"/>
              <w:left w:w="80" w:type="dxa"/>
              <w:bottom w:w="0" w:type="dxa"/>
              <w:right w:w="80" w:type="dxa"/>
            </w:tcMar>
          </w:tcPr>
          <w:p w14:paraId="47AAD5D3"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Gwarancja praw podstawowych</w:t>
            </w:r>
          </w:p>
        </w:tc>
        <w:tc>
          <w:tcPr>
            <w:tcW w:w="2410" w:type="dxa"/>
            <w:tcMar>
              <w:top w:w="0" w:type="dxa"/>
              <w:left w:w="80" w:type="dxa"/>
              <w:bottom w:w="0" w:type="dxa"/>
              <w:right w:w="80" w:type="dxa"/>
            </w:tcMar>
          </w:tcPr>
          <w:p w14:paraId="7FD9D54B"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Ograniczenia wolności działalności gospodarczej wynikają bezpośrednio z MiCA lub są proporcjonalnym wykonaniem obowiązków państwa członkowskiego.</w:t>
            </w:r>
          </w:p>
        </w:tc>
      </w:tr>
      <w:tr w:rsidR="007742B4" w:rsidRPr="007742B4" w14:paraId="119202C1" w14:textId="77777777" w:rsidTr="00166B89">
        <w:tc>
          <w:tcPr>
            <w:tcW w:w="1277" w:type="dxa"/>
            <w:tcMar>
              <w:top w:w="0" w:type="dxa"/>
              <w:left w:w="80" w:type="dxa"/>
              <w:bottom w:w="0" w:type="dxa"/>
              <w:right w:w="80" w:type="dxa"/>
            </w:tcMar>
          </w:tcPr>
          <w:p w14:paraId="290D2D14"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KPP art. 50</w:t>
            </w:r>
          </w:p>
        </w:tc>
        <w:tc>
          <w:tcPr>
            <w:tcW w:w="2551" w:type="dxa"/>
            <w:tcMar>
              <w:top w:w="0" w:type="dxa"/>
              <w:left w:w="80" w:type="dxa"/>
              <w:bottom w:w="0" w:type="dxa"/>
              <w:right w:w="80" w:type="dxa"/>
            </w:tcMar>
          </w:tcPr>
          <w:p w14:paraId="79871F72" w14:textId="77777777" w:rsidR="007742B4" w:rsidRPr="007742B4" w:rsidRDefault="007742B4" w:rsidP="000A329E">
            <w:pPr>
              <w:spacing w:after="0" w:line="240" w:lineRule="auto"/>
              <w:jc w:val="both"/>
              <w:rPr>
                <w:rFonts w:ascii="Times New Roman" w:hAnsi="Times New Roman" w:cs="Times New Roman"/>
                <w:i/>
                <w:iCs/>
                <w:sz w:val="22"/>
                <w:szCs w:val="22"/>
                <w:lang w:val="pl"/>
              </w:rPr>
            </w:pPr>
            <w:r w:rsidRPr="007742B4">
              <w:rPr>
                <w:rFonts w:ascii="Times New Roman" w:hAnsi="Times New Roman" w:cs="Times New Roman"/>
                <w:i/>
                <w:iCs/>
                <w:sz w:val="22"/>
                <w:szCs w:val="22"/>
                <w:lang w:val="pl"/>
              </w:rPr>
              <w:t>Ne bis in idem</w:t>
            </w:r>
          </w:p>
        </w:tc>
        <w:tc>
          <w:tcPr>
            <w:tcW w:w="2552" w:type="dxa"/>
            <w:tcMar>
              <w:top w:w="0" w:type="dxa"/>
              <w:left w:w="80" w:type="dxa"/>
              <w:bottom w:w="0" w:type="dxa"/>
              <w:right w:w="80" w:type="dxa"/>
            </w:tcMar>
          </w:tcPr>
          <w:p w14:paraId="4FCE47AF"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Konstrukcja reżimu sankcyjnego (brak automatycznego kumulowania sankcji)</w:t>
            </w:r>
          </w:p>
        </w:tc>
        <w:tc>
          <w:tcPr>
            <w:tcW w:w="1984" w:type="dxa"/>
            <w:tcMar>
              <w:top w:w="0" w:type="dxa"/>
              <w:left w:w="80" w:type="dxa"/>
              <w:bottom w:w="0" w:type="dxa"/>
              <w:right w:w="80" w:type="dxa"/>
            </w:tcMar>
          </w:tcPr>
          <w:p w14:paraId="37A0D460"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Spójność</w:t>
            </w:r>
          </w:p>
        </w:tc>
        <w:tc>
          <w:tcPr>
            <w:tcW w:w="2410" w:type="dxa"/>
            <w:tcMar>
              <w:top w:w="0" w:type="dxa"/>
              <w:left w:w="80" w:type="dxa"/>
              <w:bottom w:w="0" w:type="dxa"/>
              <w:right w:w="80" w:type="dxa"/>
            </w:tcMar>
          </w:tcPr>
          <w:p w14:paraId="30002B83"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Unika ryzyka podwójnego karania za to samo zachowanie.</w:t>
            </w:r>
          </w:p>
        </w:tc>
      </w:tr>
      <w:tr w:rsidR="007742B4" w:rsidRPr="007742B4" w14:paraId="0E19CC2F" w14:textId="77777777" w:rsidTr="00166B89">
        <w:tc>
          <w:tcPr>
            <w:tcW w:w="1277" w:type="dxa"/>
            <w:tcMar>
              <w:top w:w="0" w:type="dxa"/>
              <w:left w:w="80" w:type="dxa"/>
              <w:bottom w:w="0" w:type="dxa"/>
              <w:right w:w="80" w:type="dxa"/>
            </w:tcMar>
          </w:tcPr>
          <w:p w14:paraId="29806880"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TFUE art. 49 i 56</w:t>
            </w:r>
          </w:p>
        </w:tc>
        <w:tc>
          <w:tcPr>
            <w:tcW w:w="2551" w:type="dxa"/>
            <w:tcMar>
              <w:top w:w="0" w:type="dxa"/>
              <w:left w:w="80" w:type="dxa"/>
              <w:bottom w:w="0" w:type="dxa"/>
              <w:right w:w="80" w:type="dxa"/>
            </w:tcMar>
          </w:tcPr>
          <w:p w14:paraId="3E35CDCB" w14:textId="62DA110D"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Swoboda przedsiębiorczości i</w:t>
            </w:r>
            <w:r w:rsidR="008D2009">
              <w:rPr>
                <w:rFonts w:ascii="Times New Roman" w:hAnsi="Times New Roman" w:cs="Times New Roman"/>
                <w:sz w:val="22"/>
                <w:szCs w:val="22"/>
                <w:lang w:val="pl"/>
              </w:rPr>
              <w:t> </w:t>
            </w:r>
            <w:r w:rsidRPr="007742B4">
              <w:rPr>
                <w:rFonts w:ascii="Times New Roman" w:hAnsi="Times New Roman" w:cs="Times New Roman"/>
                <w:sz w:val="22"/>
                <w:szCs w:val="22"/>
                <w:lang w:val="pl"/>
              </w:rPr>
              <w:t>świadczenia usług</w:t>
            </w:r>
          </w:p>
        </w:tc>
        <w:tc>
          <w:tcPr>
            <w:tcW w:w="2552" w:type="dxa"/>
            <w:tcMar>
              <w:top w:w="0" w:type="dxa"/>
              <w:left w:w="80" w:type="dxa"/>
              <w:bottom w:w="0" w:type="dxa"/>
              <w:right w:w="80" w:type="dxa"/>
            </w:tcMar>
          </w:tcPr>
          <w:p w14:paraId="3124AFAD"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Brak opłat za paszportowanie; język angielski dla pism; UE+0</w:t>
            </w:r>
          </w:p>
        </w:tc>
        <w:tc>
          <w:tcPr>
            <w:tcW w:w="1984" w:type="dxa"/>
            <w:tcMar>
              <w:top w:w="0" w:type="dxa"/>
              <w:left w:w="80" w:type="dxa"/>
              <w:bottom w:w="0" w:type="dxa"/>
              <w:right w:w="80" w:type="dxa"/>
            </w:tcMar>
          </w:tcPr>
          <w:p w14:paraId="67744BE6"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Ułatwienie</w:t>
            </w:r>
          </w:p>
        </w:tc>
        <w:tc>
          <w:tcPr>
            <w:tcW w:w="2410" w:type="dxa"/>
            <w:tcMar>
              <w:top w:w="0" w:type="dxa"/>
              <w:left w:w="80" w:type="dxa"/>
              <w:bottom w:w="0" w:type="dxa"/>
              <w:right w:w="80" w:type="dxa"/>
            </w:tcMar>
          </w:tcPr>
          <w:p w14:paraId="73909E67"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Rozwiązania ograniczają bariery administracyjne dla podmiotów z innych państw UE.</w:t>
            </w:r>
          </w:p>
        </w:tc>
      </w:tr>
      <w:tr w:rsidR="007742B4" w:rsidRPr="007742B4" w14:paraId="6DB4C437" w14:textId="77777777" w:rsidTr="00166B89">
        <w:tc>
          <w:tcPr>
            <w:tcW w:w="1277" w:type="dxa"/>
            <w:tcMar>
              <w:top w:w="0" w:type="dxa"/>
              <w:left w:w="80" w:type="dxa"/>
              <w:bottom w:w="0" w:type="dxa"/>
              <w:right w:w="80" w:type="dxa"/>
            </w:tcMar>
          </w:tcPr>
          <w:p w14:paraId="0EBAD6CF"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TFUE art. 18</w:t>
            </w:r>
          </w:p>
        </w:tc>
        <w:tc>
          <w:tcPr>
            <w:tcW w:w="2551" w:type="dxa"/>
            <w:tcMar>
              <w:top w:w="0" w:type="dxa"/>
              <w:left w:w="80" w:type="dxa"/>
              <w:bottom w:w="0" w:type="dxa"/>
              <w:right w:w="80" w:type="dxa"/>
            </w:tcMar>
          </w:tcPr>
          <w:p w14:paraId="30CF6B5D"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Zakaz dyskryminacji ze względu na przynależność państwową</w:t>
            </w:r>
          </w:p>
        </w:tc>
        <w:tc>
          <w:tcPr>
            <w:tcW w:w="2552" w:type="dxa"/>
            <w:tcMar>
              <w:top w:w="0" w:type="dxa"/>
              <w:left w:w="80" w:type="dxa"/>
              <w:bottom w:w="0" w:type="dxa"/>
              <w:right w:w="80" w:type="dxa"/>
            </w:tcMar>
          </w:tcPr>
          <w:p w14:paraId="2056900D"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Opłaty i procedury mają zastosowanie w sposób jednolity</w:t>
            </w:r>
          </w:p>
        </w:tc>
        <w:tc>
          <w:tcPr>
            <w:tcW w:w="1984" w:type="dxa"/>
            <w:tcMar>
              <w:top w:w="0" w:type="dxa"/>
              <w:left w:w="80" w:type="dxa"/>
              <w:bottom w:w="0" w:type="dxa"/>
              <w:right w:w="80" w:type="dxa"/>
            </w:tcMar>
          </w:tcPr>
          <w:p w14:paraId="33E0FE37"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Spójność</w:t>
            </w:r>
          </w:p>
        </w:tc>
        <w:tc>
          <w:tcPr>
            <w:tcW w:w="2410" w:type="dxa"/>
            <w:tcMar>
              <w:top w:w="0" w:type="dxa"/>
              <w:left w:w="80" w:type="dxa"/>
              <w:bottom w:w="0" w:type="dxa"/>
              <w:right w:w="80" w:type="dxa"/>
            </w:tcMar>
          </w:tcPr>
          <w:p w14:paraId="5985665C"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Brak rozwiązań różnicujących podmioty krajowe i zagraniczne.</w:t>
            </w:r>
          </w:p>
        </w:tc>
      </w:tr>
      <w:tr w:rsidR="007742B4" w:rsidRPr="007742B4" w14:paraId="34FD5A2B" w14:textId="77777777" w:rsidTr="00166B89">
        <w:tc>
          <w:tcPr>
            <w:tcW w:w="1277" w:type="dxa"/>
            <w:tcMar>
              <w:top w:w="0" w:type="dxa"/>
              <w:left w:w="80" w:type="dxa"/>
              <w:bottom w:w="0" w:type="dxa"/>
              <w:right w:w="80" w:type="dxa"/>
            </w:tcMar>
          </w:tcPr>
          <w:p w14:paraId="4AD8684B" w14:textId="677599D3"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Rozp</w:t>
            </w:r>
            <w:r w:rsidR="000A329E" w:rsidRPr="000A329E">
              <w:rPr>
                <w:rFonts w:ascii="Times New Roman" w:hAnsi="Times New Roman" w:cs="Times New Roman"/>
                <w:sz w:val="22"/>
                <w:szCs w:val="22"/>
                <w:lang w:val="pl"/>
              </w:rPr>
              <w:t xml:space="preserve">orządzenie </w:t>
            </w:r>
            <w:r w:rsidRPr="007742B4">
              <w:rPr>
                <w:rFonts w:ascii="Times New Roman" w:hAnsi="Times New Roman" w:cs="Times New Roman"/>
                <w:sz w:val="22"/>
                <w:szCs w:val="22"/>
                <w:lang w:val="pl"/>
              </w:rPr>
              <w:t>nr 910/2014 (eIDAS) oraz zm</w:t>
            </w:r>
            <w:r w:rsidR="000A329E" w:rsidRPr="000A329E">
              <w:rPr>
                <w:rFonts w:ascii="Times New Roman" w:hAnsi="Times New Roman" w:cs="Times New Roman"/>
                <w:sz w:val="22"/>
                <w:szCs w:val="22"/>
                <w:lang w:val="pl"/>
              </w:rPr>
              <w:t>.</w:t>
            </w:r>
            <w:r w:rsidRPr="007742B4">
              <w:rPr>
                <w:rFonts w:ascii="Times New Roman" w:hAnsi="Times New Roman" w:cs="Times New Roman"/>
                <w:sz w:val="22"/>
                <w:szCs w:val="22"/>
                <w:lang w:val="pl"/>
              </w:rPr>
              <w:t xml:space="preserve"> 2024/1183</w:t>
            </w:r>
          </w:p>
        </w:tc>
        <w:tc>
          <w:tcPr>
            <w:tcW w:w="2551" w:type="dxa"/>
            <w:tcMar>
              <w:top w:w="0" w:type="dxa"/>
              <w:left w:w="80" w:type="dxa"/>
              <w:bottom w:w="0" w:type="dxa"/>
              <w:right w:w="80" w:type="dxa"/>
            </w:tcMar>
          </w:tcPr>
          <w:p w14:paraId="6B25D7E4"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Usługi zaufania, identyfikacja elektroniczna, kwalifikowane rejestry elektroniczne</w:t>
            </w:r>
          </w:p>
        </w:tc>
        <w:tc>
          <w:tcPr>
            <w:tcW w:w="2552" w:type="dxa"/>
            <w:tcMar>
              <w:top w:w="0" w:type="dxa"/>
              <w:left w:w="80" w:type="dxa"/>
              <w:bottom w:w="0" w:type="dxa"/>
              <w:right w:w="80" w:type="dxa"/>
            </w:tcMar>
          </w:tcPr>
          <w:p w14:paraId="25D82D15"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Przepis dowodowy/DLT oraz forma komunikacji</w:t>
            </w:r>
          </w:p>
        </w:tc>
        <w:tc>
          <w:tcPr>
            <w:tcW w:w="1984" w:type="dxa"/>
            <w:tcMar>
              <w:top w:w="0" w:type="dxa"/>
              <w:left w:w="80" w:type="dxa"/>
              <w:bottom w:w="0" w:type="dxa"/>
              <w:right w:w="80" w:type="dxa"/>
            </w:tcMar>
          </w:tcPr>
          <w:p w14:paraId="71463DCA"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Odesłanie / spójność systemowa</w:t>
            </w:r>
          </w:p>
        </w:tc>
        <w:tc>
          <w:tcPr>
            <w:tcW w:w="2410" w:type="dxa"/>
            <w:tcMar>
              <w:top w:w="0" w:type="dxa"/>
              <w:left w:w="80" w:type="dxa"/>
              <w:bottom w:w="0" w:type="dxa"/>
              <w:right w:w="80" w:type="dxa"/>
            </w:tcMar>
          </w:tcPr>
          <w:p w14:paraId="2EBD734F" w14:textId="77777777" w:rsidR="007742B4" w:rsidRPr="007742B4" w:rsidRDefault="007742B4" w:rsidP="000A329E">
            <w:pPr>
              <w:spacing w:after="0" w:line="240" w:lineRule="auto"/>
              <w:jc w:val="both"/>
              <w:rPr>
                <w:rFonts w:ascii="Times New Roman" w:hAnsi="Times New Roman" w:cs="Times New Roman"/>
                <w:sz w:val="22"/>
                <w:szCs w:val="22"/>
                <w:lang w:val="pl"/>
              </w:rPr>
            </w:pPr>
            <w:r w:rsidRPr="007742B4">
              <w:rPr>
                <w:rFonts w:ascii="Times New Roman" w:hAnsi="Times New Roman" w:cs="Times New Roman"/>
                <w:sz w:val="22"/>
                <w:szCs w:val="22"/>
                <w:lang w:val="pl"/>
              </w:rPr>
              <w:t>Ułatwia wykorzystywanie wiarygodnych zapisów elektronicznych; bez tworzenia krajowych definicji.</w:t>
            </w:r>
          </w:p>
        </w:tc>
      </w:tr>
    </w:tbl>
    <w:p w14:paraId="268B83CC" w14:textId="05B62685" w:rsidR="00436A0D" w:rsidRPr="003D1D04" w:rsidRDefault="00211906" w:rsidP="000A329E">
      <w:pPr>
        <w:spacing w:before="240" w:line="240" w:lineRule="auto"/>
        <w:jc w:val="both"/>
        <w:rPr>
          <w:rFonts w:ascii="Times New Roman" w:hAnsi="Times New Roman" w:cs="Times New Roman"/>
          <w:b/>
          <w:bCs/>
        </w:rPr>
      </w:pPr>
      <w:r>
        <w:rPr>
          <w:rFonts w:ascii="Times New Roman" w:hAnsi="Times New Roman" w:cs="Times New Roman"/>
          <w:b/>
          <w:bCs/>
        </w:rPr>
        <w:lastRenderedPageBreak/>
        <w:t>6</w:t>
      </w:r>
      <w:r w:rsidR="00436A0D" w:rsidRPr="003D1D04">
        <w:rPr>
          <w:rFonts w:ascii="Times New Roman" w:hAnsi="Times New Roman" w:cs="Times New Roman"/>
          <w:b/>
          <w:bCs/>
        </w:rPr>
        <w:t>. Informacje dodatkowe</w:t>
      </w:r>
    </w:p>
    <w:p w14:paraId="362295AF" w14:textId="1A4363B9" w:rsidR="003F7543" w:rsidRDefault="003F7543" w:rsidP="00166B89">
      <w:pPr>
        <w:spacing w:line="240" w:lineRule="auto"/>
        <w:ind w:firstLine="708"/>
        <w:jc w:val="both"/>
        <w:rPr>
          <w:rFonts w:ascii="Times New Roman" w:hAnsi="Times New Roman" w:cs="Times New Roman"/>
        </w:rPr>
      </w:pPr>
      <w:r w:rsidRPr="003F7543">
        <w:rPr>
          <w:rFonts w:ascii="Times New Roman" w:hAnsi="Times New Roman" w:cs="Times New Roman"/>
        </w:rPr>
        <w:t>Projekt nie był przedmiotem formalnych konsultacji publicznych. Rozwiązania zostały przygotowane z uwzględnieniem uwag zgłaszanych w toku dotychczasowych prac legislacyjnych nad wdrożeniem MiCA, w szczególności dotyczących opłat oraz gwarancji procesowych przy stosowaniu środków ingerencyjnych.</w:t>
      </w:r>
      <w:r w:rsidR="00166B89">
        <w:rPr>
          <w:rFonts w:ascii="Times New Roman" w:hAnsi="Times New Roman" w:cs="Times New Roman"/>
        </w:rPr>
        <w:t xml:space="preserve"> </w:t>
      </w:r>
      <w:r w:rsidRPr="003F7543">
        <w:rPr>
          <w:rFonts w:ascii="Times New Roman" w:hAnsi="Times New Roman" w:cs="Times New Roman"/>
        </w:rPr>
        <w:t>W szczególności uwzględniono publicznie dostępne stanowiska i uwagi formułowane w debacie wokół wcześniejszych propozycji krajowych rozwiązań dotyczących wykonywania MiCA.</w:t>
      </w:r>
    </w:p>
    <w:p w14:paraId="67516D0A" w14:textId="21402D9D" w:rsidR="00436A0D" w:rsidRPr="003D1D04" w:rsidRDefault="00436A0D" w:rsidP="003F7543">
      <w:pPr>
        <w:spacing w:line="240" w:lineRule="auto"/>
        <w:ind w:firstLine="708"/>
        <w:jc w:val="both"/>
        <w:rPr>
          <w:rFonts w:ascii="Times New Roman" w:hAnsi="Times New Roman" w:cs="Times New Roman"/>
        </w:rPr>
      </w:pPr>
      <w:r w:rsidRPr="003D1D04">
        <w:rPr>
          <w:rFonts w:ascii="Times New Roman" w:hAnsi="Times New Roman" w:cs="Times New Roman"/>
        </w:rPr>
        <w:t xml:space="preserve">Projekt nie zawiera przepisów określających zasady podejmowania, wykonywania lub zakończenia działalności gospodarczej. Wdrożenie projektowanych przepisów nie spowoduje wzrostu obciążeń administracyjnych mikroprzedsiębiorców, małych i średnich przedsiębiorców. Projekt ustawy </w:t>
      </w:r>
      <w:r w:rsidR="00B5751A">
        <w:rPr>
          <w:rFonts w:ascii="Times New Roman" w:hAnsi="Times New Roman" w:cs="Times New Roman"/>
        </w:rPr>
        <w:t xml:space="preserve">pozytywnie </w:t>
      </w:r>
      <w:r w:rsidRPr="003D1D04">
        <w:rPr>
          <w:rFonts w:ascii="Times New Roman" w:hAnsi="Times New Roman" w:cs="Times New Roman"/>
        </w:rPr>
        <w:t>wpły</w:t>
      </w:r>
      <w:r w:rsidR="00B5751A">
        <w:rPr>
          <w:rFonts w:ascii="Times New Roman" w:hAnsi="Times New Roman" w:cs="Times New Roman"/>
        </w:rPr>
        <w:t>nie</w:t>
      </w:r>
      <w:r w:rsidRPr="003D1D04">
        <w:rPr>
          <w:rFonts w:ascii="Times New Roman" w:hAnsi="Times New Roman" w:cs="Times New Roman"/>
        </w:rPr>
        <w:t xml:space="preserve"> na działalność przedsiębiorców</w:t>
      </w:r>
      <w:r w:rsidR="00056B5E" w:rsidRPr="003D1D04">
        <w:rPr>
          <w:rFonts w:ascii="Times New Roman" w:hAnsi="Times New Roman" w:cs="Times New Roman"/>
        </w:rPr>
        <w:t>.</w:t>
      </w:r>
      <w:r w:rsidR="006B4607" w:rsidRPr="003D1D04">
        <w:rPr>
          <w:rFonts w:ascii="Times New Roman" w:hAnsi="Times New Roman" w:cs="Times New Roman"/>
        </w:rPr>
        <w:t xml:space="preserve"> </w:t>
      </w:r>
      <w:r w:rsidRPr="003D1D04">
        <w:rPr>
          <w:rFonts w:ascii="Times New Roman" w:hAnsi="Times New Roman" w:cs="Times New Roman"/>
        </w:rPr>
        <w:t>Projekt ustawy jest zgodny z przepisami ustawy z dnia 6 marca 2018 r. – Prawo przedsiębiorców (t.j. Dz. U. z</w:t>
      </w:r>
      <w:r w:rsidR="003D1D04" w:rsidRPr="003D1D04">
        <w:rPr>
          <w:rFonts w:ascii="Times New Roman" w:hAnsi="Times New Roman" w:cs="Times New Roman"/>
        </w:rPr>
        <w:t> </w:t>
      </w:r>
      <w:r w:rsidRPr="003D1D04">
        <w:rPr>
          <w:rFonts w:ascii="Times New Roman" w:hAnsi="Times New Roman" w:cs="Times New Roman"/>
        </w:rPr>
        <w:t>202</w:t>
      </w:r>
      <w:r w:rsidR="00B84366" w:rsidRPr="003D1D04">
        <w:rPr>
          <w:rFonts w:ascii="Times New Roman" w:hAnsi="Times New Roman" w:cs="Times New Roman"/>
        </w:rPr>
        <w:t>5</w:t>
      </w:r>
      <w:r w:rsidRPr="003D1D04">
        <w:rPr>
          <w:rFonts w:ascii="Times New Roman" w:hAnsi="Times New Roman" w:cs="Times New Roman"/>
        </w:rPr>
        <w:t xml:space="preserve"> r. poz. </w:t>
      </w:r>
      <w:r w:rsidR="00B84366" w:rsidRPr="003D1D04">
        <w:rPr>
          <w:rFonts w:ascii="Times New Roman" w:hAnsi="Times New Roman" w:cs="Times New Roman"/>
        </w:rPr>
        <w:t>1480</w:t>
      </w:r>
      <w:r w:rsidR="00B41731" w:rsidRPr="00B41731">
        <w:rPr>
          <w:rFonts w:ascii="Times New Roman" w:hAnsi="Times New Roman" w:cs="Times New Roman"/>
        </w:rPr>
        <w:t>,</w:t>
      </w:r>
      <w:r w:rsidR="00B41731">
        <w:rPr>
          <w:rFonts w:ascii="Times New Roman" w:hAnsi="Times New Roman" w:cs="Times New Roman"/>
        </w:rPr>
        <w:t xml:space="preserve"> </w:t>
      </w:r>
      <w:r w:rsidR="00B41731" w:rsidRPr="00B41731">
        <w:rPr>
          <w:rFonts w:ascii="Times New Roman" w:hAnsi="Times New Roman" w:cs="Times New Roman"/>
        </w:rPr>
        <w:t>1795,</w:t>
      </w:r>
      <w:r w:rsidR="00B41731">
        <w:rPr>
          <w:rFonts w:ascii="Times New Roman" w:hAnsi="Times New Roman" w:cs="Times New Roman"/>
        </w:rPr>
        <w:t xml:space="preserve"> </w:t>
      </w:r>
      <w:r w:rsidR="00B41731" w:rsidRPr="00B41731">
        <w:rPr>
          <w:rFonts w:ascii="Times New Roman" w:hAnsi="Times New Roman" w:cs="Times New Roman"/>
        </w:rPr>
        <w:t>1826</w:t>
      </w:r>
      <w:r w:rsidRPr="003D1D04">
        <w:rPr>
          <w:rFonts w:ascii="Times New Roman" w:hAnsi="Times New Roman" w:cs="Times New Roman"/>
        </w:rPr>
        <w:t>).</w:t>
      </w:r>
    </w:p>
    <w:p w14:paraId="39D10F3F" w14:textId="6F943A5E" w:rsidR="00436A0D" w:rsidRPr="003D1D04" w:rsidRDefault="007742B4" w:rsidP="00436A0D">
      <w:pPr>
        <w:spacing w:line="240" w:lineRule="auto"/>
        <w:ind w:firstLine="708"/>
        <w:jc w:val="both"/>
        <w:rPr>
          <w:rFonts w:ascii="Times New Roman" w:hAnsi="Times New Roman" w:cs="Times New Roman"/>
        </w:rPr>
      </w:pPr>
      <w:r>
        <w:rPr>
          <w:rFonts w:ascii="Times New Roman" w:hAnsi="Times New Roman" w:cs="Times New Roman"/>
        </w:rPr>
        <w:t>Projekt</w:t>
      </w:r>
      <w:r w:rsidR="00436A0D" w:rsidRPr="003D1D04">
        <w:rPr>
          <w:rFonts w:ascii="Times New Roman" w:hAnsi="Times New Roman" w:cs="Times New Roman"/>
        </w:rPr>
        <w:t xml:space="preserve"> ustawy </w:t>
      </w:r>
      <w:r>
        <w:rPr>
          <w:rFonts w:ascii="Times New Roman" w:hAnsi="Times New Roman" w:cs="Times New Roman"/>
        </w:rPr>
        <w:t>jest zgodny</w:t>
      </w:r>
      <w:r w:rsidR="00436A0D" w:rsidRPr="003D1D04">
        <w:rPr>
          <w:rFonts w:ascii="Times New Roman" w:hAnsi="Times New Roman" w:cs="Times New Roman"/>
        </w:rPr>
        <w:t xml:space="preserve"> </w:t>
      </w:r>
      <w:r w:rsidR="00E0285E" w:rsidRPr="003D1D04">
        <w:rPr>
          <w:rFonts w:ascii="Times New Roman" w:hAnsi="Times New Roman" w:cs="Times New Roman"/>
        </w:rPr>
        <w:t>z</w:t>
      </w:r>
      <w:r w:rsidR="00436A0D" w:rsidRPr="003D1D04">
        <w:rPr>
          <w:rFonts w:ascii="Times New Roman" w:hAnsi="Times New Roman" w:cs="Times New Roman"/>
        </w:rPr>
        <w:t xml:space="preserve"> prawem Unii Europejskiej.</w:t>
      </w:r>
    </w:p>
    <w:p w14:paraId="2CCC18E5" w14:textId="77777777" w:rsidR="00436A0D" w:rsidRDefault="00436A0D" w:rsidP="00436A0D">
      <w:pPr>
        <w:spacing w:line="240" w:lineRule="auto"/>
        <w:ind w:firstLine="708"/>
        <w:jc w:val="both"/>
        <w:rPr>
          <w:rFonts w:ascii="Times New Roman" w:hAnsi="Times New Roman" w:cs="Times New Roman"/>
        </w:rPr>
      </w:pPr>
      <w:r w:rsidRPr="003D1D04">
        <w:rPr>
          <w:rFonts w:ascii="Times New Roman" w:hAnsi="Times New Roman" w:cs="Times New Roman"/>
        </w:rPr>
        <w:t>Osiągnięcie celu ustawy nie jest możliwe za pomocą innych środków.</w:t>
      </w:r>
    </w:p>
    <w:p w14:paraId="544666BE" w14:textId="5F9B90FC" w:rsidR="00166B89" w:rsidRPr="003D1D04" w:rsidRDefault="00166B89" w:rsidP="00166B89">
      <w:pPr>
        <w:spacing w:line="240" w:lineRule="auto"/>
        <w:ind w:firstLine="708"/>
        <w:jc w:val="both"/>
        <w:rPr>
          <w:rFonts w:ascii="Times New Roman" w:hAnsi="Times New Roman" w:cs="Times New Roman"/>
        </w:rPr>
      </w:pPr>
      <w:r w:rsidRPr="00166B89">
        <w:rPr>
          <w:rFonts w:ascii="Times New Roman" w:hAnsi="Times New Roman" w:cs="Times New Roman"/>
        </w:rPr>
        <w:t>Ocena skuteczności regulacji może być prowadzona w oparciu o mierniki obejmujące m.in.: liczbę wniosków o zezwolenie i czas ich rozpatrywania, wpływy z opłat nadzorczych w relacji do kosztów wykonywania zadań nadzorczych, liczbę zastosowanych środków dotyczących interfejsów internetowych i wynik postępowań sądowych w tym zakresie, a także liczbę spraw kierowanych do Rzecznika Finansowego dotyczących rynku kryptoaktywów. Od 2027 r. dodatkowym miernikiem może być obserwacja liczby sporów interpretacyjnych w zakresie objętym zmianami podatkowymi.</w:t>
      </w:r>
      <w:r>
        <w:rPr>
          <w:rFonts w:ascii="Times New Roman" w:hAnsi="Times New Roman" w:cs="Times New Roman"/>
        </w:rPr>
        <w:t xml:space="preserve"> </w:t>
      </w:r>
      <w:r w:rsidRPr="00166B89">
        <w:rPr>
          <w:rFonts w:ascii="Times New Roman" w:hAnsi="Times New Roman" w:cs="Times New Roman"/>
        </w:rPr>
        <w:t>Dodatkowymi miernikami mogą być liczba przypadków wykonania w Polsce kar pieniężnych i okresowych kar pieniężnych nałożonych przez EBA oraz liczba zgłoszeń/analiz w obszarze AML powiązanych z podmiotami działającymi na rynku kryptoaktywów (w zakresie, w jakim dane są dostępne dla właściwych instytucji).</w:t>
      </w:r>
      <w:r>
        <w:rPr>
          <w:rFonts w:ascii="Times New Roman" w:hAnsi="Times New Roman" w:cs="Times New Roman"/>
        </w:rPr>
        <w:t xml:space="preserve"> </w:t>
      </w:r>
      <w:r w:rsidRPr="00166B89">
        <w:rPr>
          <w:rFonts w:ascii="Times New Roman" w:hAnsi="Times New Roman" w:cs="Times New Roman"/>
        </w:rPr>
        <w:t>Dodatkowym miernikiem skuteczności regulacji może być liczba oraz średni czas rozpatrywania wniosków o udostępnienie informacji objętych tajemnicą zawodową kierowanych przez uprawnione organy na podstawie przepisów ustawy.</w:t>
      </w:r>
    </w:p>
    <w:p w14:paraId="2CE3CDD4" w14:textId="14F76AC3" w:rsidR="00436A0D" w:rsidRPr="003D1D04" w:rsidRDefault="00436A0D" w:rsidP="00436A0D">
      <w:pPr>
        <w:spacing w:line="240" w:lineRule="auto"/>
        <w:ind w:firstLine="708"/>
        <w:jc w:val="both"/>
        <w:rPr>
          <w:rFonts w:ascii="Times New Roman" w:hAnsi="Times New Roman" w:cs="Times New Roman"/>
        </w:rPr>
      </w:pPr>
      <w:r w:rsidRPr="003D1D04">
        <w:rPr>
          <w:rFonts w:ascii="Times New Roman" w:hAnsi="Times New Roman" w:cs="Times New Roman"/>
        </w:rPr>
        <w:t>Projekt nie zawiera przepisów regulacyjnych i nie określa wymogów dotyczących świadczenia usług transgranicznych w rozumieniu ustawy z dnia 22 grudnia 2015 r. o zasadach uznawania kwalifikacji zawodowych nabytych w państwach członkowskich Unii Europejskiej (t.j. Dz. U. z 2023 r. poz. 334, z 2025 r. poz. 619).</w:t>
      </w:r>
    </w:p>
    <w:p w14:paraId="3A5C002E" w14:textId="77777777" w:rsidR="00436A0D" w:rsidRPr="003D1D04" w:rsidRDefault="00436A0D" w:rsidP="00436A0D">
      <w:pPr>
        <w:spacing w:line="240" w:lineRule="auto"/>
        <w:ind w:firstLine="708"/>
        <w:jc w:val="both"/>
        <w:rPr>
          <w:rFonts w:ascii="Times New Roman" w:hAnsi="Times New Roman" w:cs="Times New Roman"/>
        </w:rPr>
      </w:pPr>
      <w:r w:rsidRPr="003D1D04">
        <w:rPr>
          <w:rFonts w:ascii="Times New Roman" w:hAnsi="Times New Roman" w:cs="Times New Roman"/>
        </w:rPr>
        <w:t>Projektowana ustawa nie wymaga przedstawienia właściwym organom i instytucjom Unii Europejskiej, w tym Europejskiemu Bankowi Centralnemu, w celu uzyskania opinii, dokonania powiadomienia, konsultacji albo uzgodnienia.</w:t>
      </w:r>
    </w:p>
    <w:p w14:paraId="1777A3AB" w14:textId="3EDE8E2C" w:rsidR="00436A0D" w:rsidRPr="000A329E" w:rsidRDefault="00436A0D" w:rsidP="000A329E">
      <w:pPr>
        <w:spacing w:line="240" w:lineRule="auto"/>
        <w:ind w:firstLine="708"/>
        <w:jc w:val="both"/>
        <w:rPr>
          <w:rFonts w:ascii="Times New Roman" w:hAnsi="Times New Roman" w:cs="Times New Roman"/>
        </w:rPr>
      </w:pPr>
      <w:r w:rsidRPr="003D1D04">
        <w:rPr>
          <w:rFonts w:ascii="Times New Roman" w:hAnsi="Times New Roman" w:cs="Times New Roman"/>
        </w:rPr>
        <w:t>Projektowana ustawa nie zawiera przepisów technicznych i nie podlega notyfikacji zgodnie z przepisami rozporządzenia Rady Ministrów z dnia 23 grudnia 2002 r. w sprawie sposobu funkcjonowania krajowego systemu notyfikacji norm i aktów prawnych (Dz. U. poz. 2039 oraz z 2004 r. poz. 597).</w:t>
      </w:r>
    </w:p>
    <w:sectPr w:rsidR="00436A0D" w:rsidRPr="000A32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5D2B" w14:textId="77777777" w:rsidR="00A253FE" w:rsidRDefault="00A253FE" w:rsidP="00436A0D">
      <w:pPr>
        <w:spacing w:after="0" w:line="240" w:lineRule="auto"/>
      </w:pPr>
      <w:r>
        <w:separator/>
      </w:r>
    </w:p>
  </w:endnote>
  <w:endnote w:type="continuationSeparator" w:id="0">
    <w:p w14:paraId="43D68FB8" w14:textId="77777777" w:rsidR="00A253FE" w:rsidRDefault="00A253FE" w:rsidP="0043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71644497"/>
      <w:docPartObj>
        <w:docPartGallery w:val="Page Numbers (Bottom of Page)"/>
        <w:docPartUnique/>
      </w:docPartObj>
    </w:sdtPr>
    <w:sdtEndPr/>
    <w:sdtContent>
      <w:p w14:paraId="53136864" w14:textId="2BFF92C7" w:rsidR="00436A0D" w:rsidRDefault="00436A0D">
        <w:pPr>
          <w:pStyle w:val="Stopka"/>
          <w:jc w:val="center"/>
          <w:rPr>
            <w:rFonts w:ascii="Times New Roman" w:hAnsi="Times New Roman" w:cs="Times New Roman"/>
          </w:rPr>
        </w:pPr>
        <w:r w:rsidRPr="00436A0D">
          <w:rPr>
            <w:rFonts w:ascii="Times New Roman" w:hAnsi="Times New Roman" w:cs="Times New Roman"/>
          </w:rPr>
          <w:fldChar w:fldCharType="begin"/>
        </w:r>
        <w:r w:rsidRPr="00436A0D">
          <w:rPr>
            <w:rFonts w:ascii="Times New Roman" w:hAnsi="Times New Roman" w:cs="Times New Roman"/>
          </w:rPr>
          <w:instrText>PAGE   \* MERGEFORMAT</w:instrText>
        </w:r>
        <w:r w:rsidRPr="00436A0D">
          <w:rPr>
            <w:rFonts w:ascii="Times New Roman" w:hAnsi="Times New Roman" w:cs="Times New Roman"/>
          </w:rPr>
          <w:fldChar w:fldCharType="separate"/>
        </w:r>
        <w:r w:rsidRPr="00436A0D">
          <w:rPr>
            <w:rFonts w:ascii="Times New Roman" w:hAnsi="Times New Roman" w:cs="Times New Roman"/>
          </w:rPr>
          <w:t>2</w:t>
        </w:r>
        <w:r w:rsidRPr="00436A0D">
          <w:rPr>
            <w:rFonts w:ascii="Times New Roman" w:hAnsi="Times New Roman" w:cs="Times New Roman"/>
          </w:rPr>
          <w:fldChar w:fldCharType="end"/>
        </w:r>
      </w:p>
      <w:p w14:paraId="71DEE50A" w14:textId="77777777" w:rsidR="00436A0D" w:rsidRPr="00066EAD" w:rsidRDefault="00436A0D" w:rsidP="00436A0D">
        <w:pPr>
          <w:pBdr>
            <w:top w:val="nil"/>
            <w:left w:val="nil"/>
            <w:bottom w:val="single" w:sz="6" w:space="1" w:color="000000"/>
            <w:right w:val="nil"/>
            <w:between w:val="nil"/>
          </w:pBdr>
          <w:spacing w:after="200" w:line="240" w:lineRule="auto"/>
          <w:rPr>
            <w:rFonts w:ascii="Times New Roman" w:eastAsia="Times New Roman" w:hAnsi="Times New Roman" w:cs="Times New Roman"/>
            <w:color w:val="000000"/>
            <w:kern w:val="0"/>
            <w14:ligatures w14:val="none"/>
          </w:rPr>
        </w:pPr>
        <w:bookmarkStart w:id="3" w:name="_Hlk199494664"/>
        <w:bookmarkStart w:id="4" w:name="_Hlk199494663"/>
      </w:p>
      <w:p w14:paraId="5A6039DF" w14:textId="4BF8617C" w:rsidR="00436A0D" w:rsidRPr="00436A0D" w:rsidRDefault="00436A0D" w:rsidP="00436A0D">
        <w:pPr>
          <w:pBdr>
            <w:top w:val="nil"/>
            <w:left w:val="nil"/>
            <w:bottom w:val="nil"/>
            <w:right w:val="nil"/>
            <w:between w:val="nil"/>
          </w:pBdr>
          <w:tabs>
            <w:tab w:val="center" w:pos="4536"/>
            <w:tab w:val="right" w:pos="9072"/>
          </w:tabs>
          <w:spacing w:after="200" w:line="240" w:lineRule="auto"/>
          <w:jc w:val="center"/>
          <w:rPr>
            <w:color w:val="000000"/>
            <w:kern w:val="0"/>
            <w:sz w:val="22"/>
            <w:szCs w:val="22"/>
            <w14:ligatures w14:val="none"/>
          </w:rPr>
        </w:pPr>
        <w:r w:rsidRPr="00066EAD">
          <w:rPr>
            <w:color w:val="000000"/>
            <w:kern w:val="0"/>
            <w:sz w:val="22"/>
            <w:szCs w:val="22"/>
            <w14:ligatures w14:val="none"/>
          </w:rPr>
          <w:br/>
        </w:r>
        <w:r w:rsidRPr="00066EAD">
          <w:rPr>
            <w:rFonts w:ascii="Calibri" w:eastAsia="Calibri" w:hAnsi="Calibri" w:cs="Calibri"/>
            <w:b/>
            <w:color w:val="132D4D"/>
            <w:kern w:val="0"/>
            <w:sz w:val="22"/>
            <w:szCs w:val="22"/>
            <w14:ligatures w14:val="none"/>
          </w:rPr>
          <w:t>Konfederacja Wolność i Niepodległość</w:t>
        </w:r>
        <w:r w:rsidRPr="00066EAD">
          <w:rPr>
            <w:rFonts w:ascii="Calibri" w:eastAsia="Calibri" w:hAnsi="Calibri" w:cs="Calibri"/>
            <w:color w:val="132D4D"/>
            <w:kern w:val="0"/>
            <w:sz w:val="22"/>
            <w:szCs w:val="22"/>
            <w14:ligatures w14:val="none"/>
          </w:rPr>
          <w:t xml:space="preserve"> | konfederacja.pl</w:t>
        </w:r>
      </w:p>
      <w:bookmarkEnd w:id="4" w:displacedByCustomXml="next"/>
      <w:bookmarkEnd w:id="3" w:displacedByCustomXml="next"/>
    </w:sdtContent>
  </w:sdt>
  <w:p w14:paraId="66751985" w14:textId="77777777" w:rsidR="00436A0D" w:rsidRDefault="00436A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09E6" w14:textId="77777777" w:rsidR="00A253FE" w:rsidRDefault="00A253FE" w:rsidP="00436A0D">
      <w:pPr>
        <w:spacing w:after="0" w:line="240" w:lineRule="auto"/>
      </w:pPr>
      <w:r>
        <w:separator/>
      </w:r>
    </w:p>
  </w:footnote>
  <w:footnote w:type="continuationSeparator" w:id="0">
    <w:p w14:paraId="289E3566" w14:textId="77777777" w:rsidR="00A253FE" w:rsidRDefault="00A253FE" w:rsidP="00436A0D">
      <w:pPr>
        <w:spacing w:after="0" w:line="240" w:lineRule="auto"/>
      </w:pPr>
      <w:r>
        <w:continuationSeparator/>
      </w:r>
    </w:p>
  </w:footnote>
  <w:footnote w:id="1">
    <w:p w14:paraId="6F78D09B" w14:textId="2AFEEA0D" w:rsidR="00636859" w:rsidRPr="00636859" w:rsidRDefault="00636859">
      <w:pPr>
        <w:pStyle w:val="Tekstprzypisudolnego"/>
        <w:rPr>
          <w:rFonts w:ascii="Times New Roman" w:hAnsi="Times New Roman" w:cs="Times New Roman"/>
        </w:rPr>
      </w:pPr>
      <w:r w:rsidRPr="00636859">
        <w:rPr>
          <w:rStyle w:val="Odwoanieprzypisudolnego"/>
          <w:rFonts w:ascii="Times New Roman" w:hAnsi="Times New Roman" w:cs="Times New Roman"/>
        </w:rPr>
        <w:footnoteRef/>
      </w:r>
      <w:r w:rsidRPr="00636859">
        <w:rPr>
          <w:rFonts w:ascii="Times New Roman" w:hAnsi="Times New Roman" w:cs="Times New Roman"/>
        </w:rPr>
        <w:t xml:space="preserve"> Zmiany wymienionego rozporządzenia zostały ogłoszone w Dz. Urz. UE L 2023/2869 z 20.12.2023, Dz. Urz. UE L 2024/90275 z 02.05.2024 oraz Dz. Urz. UE L 2024/90658 z 30.10.2024.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1FC3" w14:textId="3C791676" w:rsidR="00436A0D" w:rsidRDefault="00436A0D">
    <w:pPr>
      <w:pStyle w:val="Nagwek"/>
    </w:pPr>
    <w:r>
      <w:rPr>
        <w:rFonts w:ascii="Calibri" w:eastAsia="Calibri" w:hAnsi="Calibri" w:cs="Calibri"/>
        <w:noProof/>
        <w:color w:val="000000"/>
      </w:rPr>
      <w:drawing>
        <wp:inline distT="0" distB="0" distL="0" distR="0" wp14:anchorId="0C5F8B35" wp14:editId="486C17AA">
          <wp:extent cx="2733675" cy="495300"/>
          <wp:effectExtent l="0" t="0" r="0" b="0"/>
          <wp:docPr id="9" name="image1.jpg" descr="Obraz zawierający tekst, Czcionka, logo,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logo, Grafika&#10;&#10;Opis wygenerowany automatycznie"/>
                  <pic:cNvPicPr preferRelativeResize="0"/>
                </pic:nvPicPr>
                <pic:blipFill>
                  <a:blip r:embed="rId1"/>
                  <a:srcRect/>
                  <a:stretch>
                    <a:fillRect/>
                  </a:stretch>
                </pic:blipFill>
                <pic:spPr>
                  <a:xfrm>
                    <a:off x="0" y="0"/>
                    <a:ext cx="2733675" cy="495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326"/>
    <w:multiLevelType w:val="multilevel"/>
    <w:tmpl w:val="2806D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9188A"/>
    <w:multiLevelType w:val="hybridMultilevel"/>
    <w:tmpl w:val="3482C8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02364"/>
    <w:multiLevelType w:val="hybridMultilevel"/>
    <w:tmpl w:val="D12E5F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91D2E"/>
    <w:multiLevelType w:val="multilevel"/>
    <w:tmpl w:val="6AFCE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076A97"/>
    <w:multiLevelType w:val="hybridMultilevel"/>
    <w:tmpl w:val="CE0AD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0D7E25"/>
    <w:multiLevelType w:val="hybridMultilevel"/>
    <w:tmpl w:val="2D986E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B086C"/>
    <w:multiLevelType w:val="hybridMultilevel"/>
    <w:tmpl w:val="3522D1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2B19AA"/>
    <w:multiLevelType w:val="hybridMultilevel"/>
    <w:tmpl w:val="70F85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FA49A9"/>
    <w:multiLevelType w:val="hybridMultilevel"/>
    <w:tmpl w:val="C17427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AD2A7C"/>
    <w:multiLevelType w:val="hybridMultilevel"/>
    <w:tmpl w:val="AA423A88"/>
    <w:lvl w:ilvl="0" w:tplc="8B5A9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6B21CB"/>
    <w:multiLevelType w:val="hybridMultilevel"/>
    <w:tmpl w:val="0D8CEEA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1F067B"/>
    <w:multiLevelType w:val="hybridMultilevel"/>
    <w:tmpl w:val="C4A47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E123DC"/>
    <w:multiLevelType w:val="hybridMultilevel"/>
    <w:tmpl w:val="C27EC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DA7818"/>
    <w:multiLevelType w:val="hybridMultilevel"/>
    <w:tmpl w:val="EBEE9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E36B4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EB4A43"/>
    <w:multiLevelType w:val="hybridMultilevel"/>
    <w:tmpl w:val="842C24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887410"/>
    <w:multiLevelType w:val="hybridMultilevel"/>
    <w:tmpl w:val="B6BE0FA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2EB690F"/>
    <w:multiLevelType w:val="multilevel"/>
    <w:tmpl w:val="B442CA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13654F"/>
    <w:multiLevelType w:val="hybridMultilevel"/>
    <w:tmpl w:val="C4A47C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1F33FF"/>
    <w:multiLevelType w:val="hybridMultilevel"/>
    <w:tmpl w:val="07780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061EDE"/>
    <w:multiLevelType w:val="hybridMultilevel"/>
    <w:tmpl w:val="04D007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60165C"/>
    <w:multiLevelType w:val="hybridMultilevel"/>
    <w:tmpl w:val="8550B5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41248"/>
    <w:multiLevelType w:val="hybridMultilevel"/>
    <w:tmpl w:val="1706B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A95F2E"/>
    <w:multiLevelType w:val="hybridMultilevel"/>
    <w:tmpl w:val="00C499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D344A"/>
    <w:multiLevelType w:val="hybridMultilevel"/>
    <w:tmpl w:val="6EF2B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37A93"/>
    <w:multiLevelType w:val="hybridMultilevel"/>
    <w:tmpl w:val="364AF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0A4509"/>
    <w:multiLevelType w:val="multilevel"/>
    <w:tmpl w:val="5574D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726D96"/>
    <w:multiLevelType w:val="multilevel"/>
    <w:tmpl w:val="BFDE1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E60F6"/>
    <w:multiLevelType w:val="hybridMultilevel"/>
    <w:tmpl w:val="04DCE4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EA07CF"/>
    <w:multiLevelType w:val="hybridMultilevel"/>
    <w:tmpl w:val="97EA8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9507421">
    <w:abstractNumId w:val="17"/>
  </w:num>
  <w:num w:numId="2" w16cid:durableId="1733500731">
    <w:abstractNumId w:val="27"/>
  </w:num>
  <w:num w:numId="3" w16cid:durableId="2071881670">
    <w:abstractNumId w:val="24"/>
  </w:num>
  <w:num w:numId="4" w16cid:durableId="186063542">
    <w:abstractNumId w:val="29"/>
  </w:num>
  <w:num w:numId="5" w16cid:durableId="1618944627">
    <w:abstractNumId w:val="15"/>
  </w:num>
  <w:num w:numId="6" w16cid:durableId="1530529520">
    <w:abstractNumId w:val="21"/>
  </w:num>
  <w:num w:numId="7" w16cid:durableId="796266873">
    <w:abstractNumId w:val="4"/>
  </w:num>
  <w:num w:numId="8" w16cid:durableId="1404597564">
    <w:abstractNumId w:val="19"/>
  </w:num>
  <w:num w:numId="9" w16cid:durableId="810442212">
    <w:abstractNumId w:val="14"/>
  </w:num>
  <w:num w:numId="10" w16cid:durableId="886988464">
    <w:abstractNumId w:val="9"/>
  </w:num>
  <w:num w:numId="11" w16cid:durableId="1297683171">
    <w:abstractNumId w:val="20"/>
  </w:num>
  <w:num w:numId="12" w16cid:durableId="1446004947">
    <w:abstractNumId w:val="23"/>
  </w:num>
  <w:num w:numId="13" w16cid:durableId="1963682139">
    <w:abstractNumId w:val="5"/>
  </w:num>
  <w:num w:numId="14" w16cid:durableId="1804999102">
    <w:abstractNumId w:val="12"/>
  </w:num>
  <w:num w:numId="15" w16cid:durableId="455025567">
    <w:abstractNumId w:val="11"/>
  </w:num>
  <w:num w:numId="16" w16cid:durableId="813595626">
    <w:abstractNumId w:val="22"/>
  </w:num>
  <w:num w:numId="17" w16cid:durableId="521435156">
    <w:abstractNumId w:val="25"/>
  </w:num>
  <w:num w:numId="18" w16cid:durableId="910046796">
    <w:abstractNumId w:val="16"/>
  </w:num>
  <w:num w:numId="19" w16cid:durableId="1131481872">
    <w:abstractNumId w:val="18"/>
  </w:num>
  <w:num w:numId="20" w16cid:durableId="466898280">
    <w:abstractNumId w:val="26"/>
  </w:num>
  <w:num w:numId="21" w16cid:durableId="1545559533">
    <w:abstractNumId w:val="3"/>
  </w:num>
  <w:num w:numId="22" w16cid:durableId="1136994526">
    <w:abstractNumId w:val="0"/>
  </w:num>
  <w:num w:numId="23" w16cid:durableId="1575044298">
    <w:abstractNumId w:val="13"/>
  </w:num>
  <w:num w:numId="24" w16cid:durableId="1670864054">
    <w:abstractNumId w:val="28"/>
  </w:num>
  <w:num w:numId="25" w16cid:durableId="451245050">
    <w:abstractNumId w:val="2"/>
  </w:num>
  <w:num w:numId="26" w16cid:durableId="1909194913">
    <w:abstractNumId w:val="8"/>
  </w:num>
  <w:num w:numId="27" w16cid:durableId="1525972830">
    <w:abstractNumId w:val="1"/>
  </w:num>
  <w:num w:numId="28" w16cid:durableId="1133674262">
    <w:abstractNumId w:val="10"/>
  </w:num>
  <w:num w:numId="29" w16cid:durableId="1553614910">
    <w:abstractNumId w:val="7"/>
  </w:num>
  <w:num w:numId="30" w16cid:durableId="1864240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2C"/>
    <w:rsid w:val="0001230F"/>
    <w:rsid w:val="00023F7F"/>
    <w:rsid w:val="00034D36"/>
    <w:rsid w:val="00056B5E"/>
    <w:rsid w:val="000641C1"/>
    <w:rsid w:val="000763F0"/>
    <w:rsid w:val="000952B4"/>
    <w:rsid w:val="00097AC5"/>
    <w:rsid w:val="000A329E"/>
    <w:rsid w:val="000D5454"/>
    <w:rsid w:val="00106582"/>
    <w:rsid w:val="00112CB7"/>
    <w:rsid w:val="00115ABA"/>
    <w:rsid w:val="001351C1"/>
    <w:rsid w:val="00162C3B"/>
    <w:rsid w:val="00166B89"/>
    <w:rsid w:val="00190D8B"/>
    <w:rsid w:val="001A2737"/>
    <w:rsid w:val="001A33AC"/>
    <w:rsid w:val="001A4F7C"/>
    <w:rsid w:val="001B4B86"/>
    <w:rsid w:val="001E36A8"/>
    <w:rsid w:val="001F7AAE"/>
    <w:rsid w:val="00206EF3"/>
    <w:rsid w:val="002076D3"/>
    <w:rsid w:val="00211906"/>
    <w:rsid w:val="00213BC9"/>
    <w:rsid w:val="00230756"/>
    <w:rsid w:val="00260752"/>
    <w:rsid w:val="002651C0"/>
    <w:rsid w:val="0026672A"/>
    <w:rsid w:val="00275E52"/>
    <w:rsid w:val="00281575"/>
    <w:rsid w:val="002E1FD2"/>
    <w:rsid w:val="002F457F"/>
    <w:rsid w:val="002F773A"/>
    <w:rsid w:val="0030058D"/>
    <w:rsid w:val="00302F2C"/>
    <w:rsid w:val="003032AE"/>
    <w:rsid w:val="003076AF"/>
    <w:rsid w:val="003375A5"/>
    <w:rsid w:val="00343DF4"/>
    <w:rsid w:val="00381E8D"/>
    <w:rsid w:val="0039120C"/>
    <w:rsid w:val="003A6BAE"/>
    <w:rsid w:val="003B1277"/>
    <w:rsid w:val="003B1F51"/>
    <w:rsid w:val="003B3498"/>
    <w:rsid w:val="003C5265"/>
    <w:rsid w:val="003C6667"/>
    <w:rsid w:val="003D19EB"/>
    <w:rsid w:val="003D1D04"/>
    <w:rsid w:val="003D50EA"/>
    <w:rsid w:val="003D6809"/>
    <w:rsid w:val="003F0D49"/>
    <w:rsid w:val="003F7543"/>
    <w:rsid w:val="00436A0D"/>
    <w:rsid w:val="004704B3"/>
    <w:rsid w:val="0048651D"/>
    <w:rsid w:val="004E1F1C"/>
    <w:rsid w:val="004E66E8"/>
    <w:rsid w:val="0050243F"/>
    <w:rsid w:val="00516820"/>
    <w:rsid w:val="00520B54"/>
    <w:rsid w:val="005714AE"/>
    <w:rsid w:val="00591D63"/>
    <w:rsid w:val="005D4027"/>
    <w:rsid w:val="00605972"/>
    <w:rsid w:val="006175A6"/>
    <w:rsid w:val="00624FC7"/>
    <w:rsid w:val="006322B4"/>
    <w:rsid w:val="00636859"/>
    <w:rsid w:val="00637658"/>
    <w:rsid w:val="00647C32"/>
    <w:rsid w:val="00650EEF"/>
    <w:rsid w:val="0066591C"/>
    <w:rsid w:val="006731E8"/>
    <w:rsid w:val="006A0477"/>
    <w:rsid w:val="006A6961"/>
    <w:rsid w:val="006B4607"/>
    <w:rsid w:val="006B784A"/>
    <w:rsid w:val="006C1B9C"/>
    <w:rsid w:val="006F6EC0"/>
    <w:rsid w:val="006F78A3"/>
    <w:rsid w:val="00714C20"/>
    <w:rsid w:val="007220D9"/>
    <w:rsid w:val="00742A48"/>
    <w:rsid w:val="00751E04"/>
    <w:rsid w:val="00761F4A"/>
    <w:rsid w:val="00765693"/>
    <w:rsid w:val="007742B4"/>
    <w:rsid w:val="007C717C"/>
    <w:rsid w:val="007E4FC4"/>
    <w:rsid w:val="007F3064"/>
    <w:rsid w:val="008315D4"/>
    <w:rsid w:val="00831B87"/>
    <w:rsid w:val="00833037"/>
    <w:rsid w:val="00852E51"/>
    <w:rsid w:val="00864C2F"/>
    <w:rsid w:val="00886C0E"/>
    <w:rsid w:val="0089616B"/>
    <w:rsid w:val="008B1C12"/>
    <w:rsid w:val="008D2009"/>
    <w:rsid w:val="008E31CE"/>
    <w:rsid w:val="00904E38"/>
    <w:rsid w:val="00942D20"/>
    <w:rsid w:val="00950C17"/>
    <w:rsid w:val="0096037D"/>
    <w:rsid w:val="009746AE"/>
    <w:rsid w:val="009A372A"/>
    <w:rsid w:val="009B1533"/>
    <w:rsid w:val="009B219A"/>
    <w:rsid w:val="009C7E3A"/>
    <w:rsid w:val="009E7A0B"/>
    <w:rsid w:val="009F51ED"/>
    <w:rsid w:val="00A12D9D"/>
    <w:rsid w:val="00A15ECB"/>
    <w:rsid w:val="00A20F0B"/>
    <w:rsid w:val="00A253FE"/>
    <w:rsid w:val="00A30114"/>
    <w:rsid w:val="00A36EB9"/>
    <w:rsid w:val="00A5021A"/>
    <w:rsid w:val="00A74CC8"/>
    <w:rsid w:val="00A76C29"/>
    <w:rsid w:val="00AC27AF"/>
    <w:rsid w:val="00AC4593"/>
    <w:rsid w:val="00B14C4F"/>
    <w:rsid w:val="00B14F82"/>
    <w:rsid w:val="00B15714"/>
    <w:rsid w:val="00B311AB"/>
    <w:rsid w:val="00B40B32"/>
    <w:rsid w:val="00B41731"/>
    <w:rsid w:val="00B52ED7"/>
    <w:rsid w:val="00B561CC"/>
    <w:rsid w:val="00B5751A"/>
    <w:rsid w:val="00B757FF"/>
    <w:rsid w:val="00B75DC5"/>
    <w:rsid w:val="00B812C8"/>
    <w:rsid w:val="00B84366"/>
    <w:rsid w:val="00B865BF"/>
    <w:rsid w:val="00B9612A"/>
    <w:rsid w:val="00BA3055"/>
    <w:rsid w:val="00BC24D2"/>
    <w:rsid w:val="00BC3A60"/>
    <w:rsid w:val="00BD49BF"/>
    <w:rsid w:val="00BE68B7"/>
    <w:rsid w:val="00C00B6A"/>
    <w:rsid w:val="00C014BD"/>
    <w:rsid w:val="00C10794"/>
    <w:rsid w:val="00C11AC8"/>
    <w:rsid w:val="00C232E1"/>
    <w:rsid w:val="00C53983"/>
    <w:rsid w:val="00C558F0"/>
    <w:rsid w:val="00C878E8"/>
    <w:rsid w:val="00CC0EE4"/>
    <w:rsid w:val="00CC36D0"/>
    <w:rsid w:val="00CD1DD2"/>
    <w:rsid w:val="00D25762"/>
    <w:rsid w:val="00D410E7"/>
    <w:rsid w:val="00D4195C"/>
    <w:rsid w:val="00D522CD"/>
    <w:rsid w:val="00D80462"/>
    <w:rsid w:val="00D92B48"/>
    <w:rsid w:val="00D94B6F"/>
    <w:rsid w:val="00D956D6"/>
    <w:rsid w:val="00DA3120"/>
    <w:rsid w:val="00DA578D"/>
    <w:rsid w:val="00DA6196"/>
    <w:rsid w:val="00E00ACF"/>
    <w:rsid w:val="00E0285E"/>
    <w:rsid w:val="00E0309F"/>
    <w:rsid w:val="00E20A69"/>
    <w:rsid w:val="00E36204"/>
    <w:rsid w:val="00E57D47"/>
    <w:rsid w:val="00E70248"/>
    <w:rsid w:val="00EA2E73"/>
    <w:rsid w:val="00EA5E13"/>
    <w:rsid w:val="00ED2A9D"/>
    <w:rsid w:val="00ED7F43"/>
    <w:rsid w:val="00EE41CB"/>
    <w:rsid w:val="00F0546E"/>
    <w:rsid w:val="00F10EE3"/>
    <w:rsid w:val="00F3297E"/>
    <w:rsid w:val="00F6484B"/>
    <w:rsid w:val="00F673B3"/>
    <w:rsid w:val="00F67BE3"/>
    <w:rsid w:val="00F74759"/>
    <w:rsid w:val="00F9363F"/>
    <w:rsid w:val="00FA0013"/>
    <w:rsid w:val="00FA3A28"/>
    <w:rsid w:val="00FC1312"/>
    <w:rsid w:val="00FC2B8D"/>
    <w:rsid w:val="00FC508F"/>
    <w:rsid w:val="00FC6820"/>
    <w:rsid w:val="00FD6EC7"/>
    <w:rsid w:val="00FF3F6C"/>
    <w:rsid w:val="00FF5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5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D36"/>
  </w:style>
  <w:style w:type="paragraph" w:styleId="Nagwek1">
    <w:name w:val="heading 1"/>
    <w:basedOn w:val="Normalny"/>
    <w:next w:val="Normalny"/>
    <w:link w:val="Nagwek1Znak"/>
    <w:uiPriority w:val="9"/>
    <w:qFormat/>
    <w:rsid w:val="00302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02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02F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02F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02F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02F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2F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2F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2F2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2F2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02F2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02F2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02F2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02F2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02F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2F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2F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2F2C"/>
    <w:rPr>
      <w:rFonts w:eastAsiaTheme="majorEastAsia" w:cstheme="majorBidi"/>
      <w:color w:val="272727" w:themeColor="text1" w:themeTint="D8"/>
    </w:rPr>
  </w:style>
  <w:style w:type="paragraph" w:styleId="Tytu">
    <w:name w:val="Title"/>
    <w:basedOn w:val="Normalny"/>
    <w:next w:val="Normalny"/>
    <w:link w:val="TytuZnak"/>
    <w:uiPriority w:val="10"/>
    <w:qFormat/>
    <w:rsid w:val="003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2F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2F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2F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2F2C"/>
    <w:pPr>
      <w:spacing w:before="160"/>
      <w:jc w:val="center"/>
    </w:pPr>
    <w:rPr>
      <w:i/>
      <w:iCs/>
      <w:color w:val="404040" w:themeColor="text1" w:themeTint="BF"/>
    </w:rPr>
  </w:style>
  <w:style w:type="character" w:customStyle="1" w:styleId="CytatZnak">
    <w:name w:val="Cytat Znak"/>
    <w:basedOn w:val="Domylnaczcionkaakapitu"/>
    <w:link w:val="Cytat"/>
    <w:uiPriority w:val="29"/>
    <w:rsid w:val="00302F2C"/>
    <w:rPr>
      <w:i/>
      <w:iCs/>
      <w:color w:val="404040" w:themeColor="text1" w:themeTint="BF"/>
    </w:rPr>
  </w:style>
  <w:style w:type="paragraph" w:styleId="Akapitzlist">
    <w:name w:val="List Paragraph"/>
    <w:basedOn w:val="Normalny"/>
    <w:uiPriority w:val="34"/>
    <w:qFormat/>
    <w:rsid w:val="00302F2C"/>
    <w:pPr>
      <w:ind w:left="720"/>
      <w:contextualSpacing/>
    </w:pPr>
  </w:style>
  <w:style w:type="character" w:styleId="Wyrnienieintensywne">
    <w:name w:val="Intense Emphasis"/>
    <w:basedOn w:val="Domylnaczcionkaakapitu"/>
    <w:uiPriority w:val="21"/>
    <w:qFormat/>
    <w:rsid w:val="00302F2C"/>
    <w:rPr>
      <w:i/>
      <w:iCs/>
      <w:color w:val="0F4761" w:themeColor="accent1" w:themeShade="BF"/>
    </w:rPr>
  </w:style>
  <w:style w:type="paragraph" w:styleId="Cytatintensywny">
    <w:name w:val="Intense Quote"/>
    <w:basedOn w:val="Normalny"/>
    <w:next w:val="Normalny"/>
    <w:link w:val="CytatintensywnyZnak"/>
    <w:uiPriority w:val="30"/>
    <w:qFormat/>
    <w:rsid w:val="00302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02F2C"/>
    <w:rPr>
      <w:i/>
      <w:iCs/>
      <w:color w:val="0F4761" w:themeColor="accent1" w:themeShade="BF"/>
    </w:rPr>
  </w:style>
  <w:style w:type="character" w:styleId="Odwoanieintensywne">
    <w:name w:val="Intense Reference"/>
    <w:basedOn w:val="Domylnaczcionkaakapitu"/>
    <w:uiPriority w:val="32"/>
    <w:qFormat/>
    <w:rsid w:val="00302F2C"/>
    <w:rPr>
      <w:b/>
      <w:bCs/>
      <w:smallCaps/>
      <w:color w:val="0F4761" w:themeColor="accent1" w:themeShade="BF"/>
      <w:spacing w:val="5"/>
    </w:rPr>
  </w:style>
  <w:style w:type="paragraph" w:styleId="Nagwek">
    <w:name w:val="header"/>
    <w:basedOn w:val="Normalny"/>
    <w:link w:val="NagwekZnak"/>
    <w:uiPriority w:val="99"/>
    <w:unhideWhenUsed/>
    <w:rsid w:val="00436A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6A0D"/>
  </w:style>
  <w:style w:type="paragraph" w:styleId="Stopka">
    <w:name w:val="footer"/>
    <w:basedOn w:val="Normalny"/>
    <w:link w:val="StopkaZnak"/>
    <w:uiPriority w:val="99"/>
    <w:unhideWhenUsed/>
    <w:rsid w:val="00436A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6A0D"/>
  </w:style>
  <w:style w:type="paragraph" w:styleId="Tekstprzypisudolnego">
    <w:name w:val="footnote text"/>
    <w:basedOn w:val="Normalny"/>
    <w:link w:val="TekstprzypisudolnegoZnak"/>
    <w:uiPriority w:val="99"/>
    <w:semiHidden/>
    <w:unhideWhenUsed/>
    <w:rsid w:val="00CC0EE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0EE4"/>
    <w:rPr>
      <w:sz w:val="20"/>
      <w:szCs w:val="20"/>
    </w:rPr>
  </w:style>
  <w:style w:type="character" w:styleId="Odwoanieprzypisudolnego">
    <w:name w:val="footnote reference"/>
    <w:basedOn w:val="Domylnaczcionkaakapitu"/>
    <w:uiPriority w:val="99"/>
    <w:semiHidden/>
    <w:unhideWhenUsed/>
    <w:rsid w:val="00CC0EE4"/>
    <w:rPr>
      <w:vertAlign w:val="superscript"/>
    </w:rPr>
  </w:style>
  <w:style w:type="character" w:styleId="Hipercze">
    <w:name w:val="Hyperlink"/>
    <w:basedOn w:val="Domylnaczcionkaakapitu"/>
    <w:uiPriority w:val="99"/>
    <w:unhideWhenUsed/>
    <w:rsid w:val="00CC0EE4"/>
    <w:rPr>
      <w:color w:val="467886" w:themeColor="hyperlink"/>
      <w:u w:val="single"/>
    </w:rPr>
  </w:style>
  <w:style w:type="character" w:styleId="Nierozpoznanawzmianka">
    <w:name w:val="Unresolved Mention"/>
    <w:basedOn w:val="Domylnaczcionkaakapitu"/>
    <w:uiPriority w:val="99"/>
    <w:semiHidden/>
    <w:unhideWhenUsed/>
    <w:rsid w:val="00CC0EE4"/>
    <w:rPr>
      <w:color w:val="605E5C"/>
      <w:shd w:val="clear" w:color="auto" w:fill="E1DFDD"/>
    </w:rPr>
  </w:style>
  <w:style w:type="paragraph" w:styleId="Tekstprzypisukocowego">
    <w:name w:val="endnote text"/>
    <w:basedOn w:val="Normalny"/>
    <w:link w:val="TekstprzypisukocowegoZnak"/>
    <w:uiPriority w:val="99"/>
    <w:semiHidden/>
    <w:unhideWhenUsed/>
    <w:rsid w:val="00112C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CB7"/>
    <w:rPr>
      <w:sz w:val="20"/>
      <w:szCs w:val="20"/>
    </w:rPr>
  </w:style>
  <w:style w:type="character" w:styleId="Odwoanieprzypisukocowego">
    <w:name w:val="endnote reference"/>
    <w:basedOn w:val="Domylnaczcionkaakapitu"/>
    <w:uiPriority w:val="99"/>
    <w:semiHidden/>
    <w:unhideWhenUsed/>
    <w:rsid w:val="00112CB7"/>
    <w:rPr>
      <w:vertAlign w:val="superscript"/>
    </w:rPr>
  </w:style>
  <w:style w:type="character" w:styleId="UyteHipercze">
    <w:name w:val="FollowedHyperlink"/>
    <w:basedOn w:val="Domylnaczcionkaakapitu"/>
    <w:uiPriority w:val="99"/>
    <w:semiHidden/>
    <w:unhideWhenUsed/>
    <w:rsid w:val="00AC45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166">
      <w:bodyDiv w:val="1"/>
      <w:marLeft w:val="0"/>
      <w:marRight w:val="0"/>
      <w:marTop w:val="0"/>
      <w:marBottom w:val="0"/>
      <w:divBdr>
        <w:top w:val="none" w:sz="0" w:space="0" w:color="auto"/>
        <w:left w:val="none" w:sz="0" w:space="0" w:color="auto"/>
        <w:bottom w:val="none" w:sz="0" w:space="0" w:color="auto"/>
        <w:right w:val="none" w:sz="0" w:space="0" w:color="auto"/>
      </w:divBdr>
    </w:div>
    <w:div w:id="136262714">
      <w:bodyDiv w:val="1"/>
      <w:marLeft w:val="0"/>
      <w:marRight w:val="0"/>
      <w:marTop w:val="0"/>
      <w:marBottom w:val="0"/>
      <w:divBdr>
        <w:top w:val="none" w:sz="0" w:space="0" w:color="auto"/>
        <w:left w:val="none" w:sz="0" w:space="0" w:color="auto"/>
        <w:bottom w:val="none" w:sz="0" w:space="0" w:color="auto"/>
        <w:right w:val="none" w:sz="0" w:space="0" w:color="auto"/>
      </w:divBdr>
    </w:div>
    <w:div w:id="174879377">
      <w:bodyDiv w:val="1"/>
      <w:marLeft w:val="0"/>
      <w:marRight w:val="0"/>
      <w:marTop w:val="0"/>
      <w:marBottom w:val="0"/>
      <w:divBdr>
        <w:top w:val="none" w:sz="0" w:space="0" w:color="auto"/>
        <w:left w:val="none" w:sz="0" w:space="0" w:color="auto"/>
        <w:bottom w:val="none" w:sz="0" w:space="0" w:color="auto"/>
        <w:right w:val="none" w:sz="0" w:space="0" w:color="auto"/>
      </w:divBdr>
    </w:div>
    <w:div w:id="229730863">
      <w:bodyDiv w:val="1"/>
      <w:marLeft w:val="0"/>
      <w:marRight w:val="0"/>
      <w:marTop w:val="0"/>
      <w:marBottom w:val="0"/>
      <w:divBdr>
        <w:top w:val="none" w:sz="0" w:space="0" w:color="auto"/>
        <w:left w:val="none" w:sz="0" w:space="0" w:color="auto"/>
        <w:bottom w:val="none" w:sz="0" w:space="0" w:color="auto"/>
        <w:right w:val="none" w:sz="0" w:space="0" w:color="auto"/>
      </w:divBdr>
      <w:divsChild>
        <w:div w:id="1920824070">
          <w:marLeft w:val="0"/>
          <w:marRight w:val="0"/>
          <w:marTop w:val="0"/>
          <w:marBottom w:val="0"/>
          <w:divBdr>
            <w:top w:val="none" w:sz="0" w:space="0" w:color="auto"/>
            <w:left w:val="none" w:sz="0" w:space="0" w:color="auto"/>
            <w:bottom w:val="none" w:sz="0" w:space="0" w:color="auto"/>
            <w:right w:val="none" w:sz="0" w:space="0" w:color="auto"/>
          </w:divBdr>
        </w:div>
        <w:div w:id="1263756465">
          <w:marLeft w:val="0"/>
          <w:marRight w:val="0"/>
          <w:marTop w:val="0"/>
          <w:marBottom w:val="0"/>
          <w:divBdr>
            <w:top w:val="none" w:sz="0" w:space="0" w:color="auto"/>
            <w:left w:val="none" w:sz="0" w:space="0" w:color="auto"/>
            <w:bottom w:val="none" w:sz="0" w:space="0" w:color="auto"/>
            <w:right w:val="none" w:sz="0" w:space="0" w:color="auto"/>
          </w:divBdr>
        </w:div>
        <w:div w:id="100105929">
          <w:marLeft w:val="0"/>
          <w:marRight w:val="0"/>
          <w:marTop w:val="0"/>
          <w:marBottom w:val="0"/>
          <w:divBdr>
            <w:top w:val="none" w:sz="0" w:space="0" w:color="auto"/>
            <w:left w:val="none" w:sz="0" w:space="0" w:color="auto"/>
            <w:bottom w:val="none" w:sz="0" w:space="0" w:color="auto"/>
            <w:right w:val="none" w:sz="0" w:space="0" w:color="auto"/>
          </w:divBdr>
        </w:div>
        <w:div w:id="261647594">
          <w:marLeft w:val="0"/>
          <w:marRight w:val="0"/>
          <w:marTop w:val="0"/>
          <w:marBottom w:val="0"/>
          <w:divBdr>
            <w:top w:val="none" w:sz="0" w:space="0" w:color="auto"/>
            <w:left w:val="none" w:sz="0" w:space="0" w:color="auto"/>
            <w:bottom w:val="none" w:sz="0" w:space="0" w:color="auto"/>
            <w:right w:val="none" w:sz="0" w:space="0" w:color="auto"/>
          </w:divBdr>
        </w:div>
        <w:div w:id="1950818492">
          <w:marLeft w:val="0"/>
          <w:marRight w:val="0"/>
          <w:marTop w:val="0"/>
          <w:marBottom w:val="0"/>
          <w:divBdr>
            <w:top w:val="none" w:sz="0" w:space="0" w:color="auto"/>
            <w:left w:val="none" w:sz="0" w:space="0" w:color="auto"/>
            <w:bottom w:val="none" w:sz="0" w:space="0" w:color="auto"/>
            <w:right w:val="none" w:sz="0" w:space="0" w:color="auto"/>
          </w:divBdr>
        </w:div>
        <w:div w:id="1438213294">
          <w:marLeft w:val="0"/>
          <w:marRight w:val="0"/>
          <w:marTop w:val="0"/>
          <w:marBottom w:val="0"/>
          <w:divBdr>
            <w:top w:val="none" w:sz="0" w:space="0" w:color="auto"/>
            <w:left w:val="none" w:sz="0" w:space="0" w:color="auto"/>
            <w:bottom w:val="none" w:sz="0" w:space="0" w:color="auto"/>
            <w:right w:val="none" w:sz="0" w:space="0" w:color="auto"/>
          </w:divBdr>
        </w:div>
        <w:div w:id="147478088">
          <w:marLeft w:val="0"/>
          <w:marRight w:val="0"/>
          <w:marTop w:val="0"/>
          <w:marBottom w:val="0"/>
          <w:divBdr>
            <w:top w:val="none" w:sz="0" w:space="0" w:color="auto"/>
            <w:left w:val="none" w:sz="0" w:space="0" w:color="auto"/>
            <w:bottom w:val="none" w:sz="0" w:space="0" w:color="auto"/>
            <w:right w:val="none" w:sz="0" w:space="0" w:color="auto"/>
          </w:divBdr>
        </w:div>
        <w:div w:id="977807599">
          <w:marLeft w:val="0"/>
          <w:marRight w:val="0"/>
          <w:marTop w:val="0"/>
          <w:marBottom w:val="0"/>
          <w:divBdr>
            <w:top w:val="none" w:sz="0" w:space="0" w:color="auto"/>
            <w:left w:val="none" w:sz="0" w:space="0" w:color="auto"/>
            <w:bottom w:val="none" w:sz="0" w:space="0" w:color="auto"/>
            <w:right w:val="none" w:sz="0" w:space="0" w:color="auto"/>
          </w:divBdr>
        </w:div>
        <w:div w:id="1571647541">
          <w:marLeft w:val="0"/>
          <w:marRight w:val="0"/>
          <w:marTop w:val="0"/>
          <w:marBottom w:val="0"/>
          <w:divBdr>
            <w:top w:val="none" w:sz="0" w:space="0" w:color="auto"/>
            <w:left w:val="none" w:sz="0" w:space="0" w:color="auto"/>
            <w:bottom w:val="none" w:sz="0" w:space="0" w:color="auto"/>
            <w:right w:val="none" w:sz="0" w:space="0" w:color="auto"/>
          </w:divBdr>
        </w:div>
        <w:div w:id="1195537883">
          <w:marLeft w:val="0"/>
          <w:marRight w:val="0"/>
          <w:marTop w:val="0"/>
          <w:marBottom w:val="0"/>
          <w:divBdr>
            <w:top w:val="none" w:sz="0" w:space="0" w:color="auto"/>
            <w:left w:val="none" w:sz="0" w:space="0" w:color="auto"/>
            <w:bottom w:val="none" w:sz="0" w:space="0" w:color="auto"/>
            <w:right w:val="none" w:sz="0" w:space="0" w:color="auto"/>
          </w:divBdr>
        </w:div>
        <w:div w:id="1806970413">
          <w:marLeft w:val="0"/>
          <w:marRight w:val="0"/>
          <w:marTop w:val="0"/>
          <w:marBottom w:val="0"/>
          <w:divBdr>
            <w:top w:val="none" w:sz="0" w:space="0" w:color="auto"/>
            <w:left w:val="none" w:sz="0" w:space="0" w:color="auto"/>
            <w:bottom w:val="none" w:sz="0" w:space="0" w:color="auto"/>
            <w:right w:val="none" w:sz="0" w:space="0" w:color="auto"/>
          </w:divBdr>
        </w:div>
        <w:div w:id="2007826648">
          <w:marLeft w:val="0"/>
          <w:marRight w:val="0"/>
          <w:marTop w:val="0"/>
          <w:marBottom w:val="0"/>
          <w:divBdr>
            <w:top w:val="none" w:sz="0" w:space="0" w:color="auto"/>
            <w:left w:val="none" w:sz="0" w:space="0" w:color="auto"/>
            <w:bottom w:val="none" w:sz="0" w:space="0" w:color="auto"/>
            <w:right w:val="none" w:sz="0" w:space="0" w:color="auto"/>
          </w:divBdr>
        </w:div>
        <w:div w:id="1585335760">
          <w:marLeft w:val="0"/>
          <w:marRight w:val="0"/>
          <w:marTop w:val="0"/>
          <w:marBottom w:val="0"/>
          <w:divBdr>
            <w:top w:val="none" w:sz="0" w:space="0" w:color="auto"/>
            <w:left w:val="none" w:sz="0" w:space="0" w:color="auto"/>
            <w:bottom w:val="none" w:sz="0" w:space="0" w:color="auto"/>
            <w:right w:val="none" w:sz="0" w:space="0" w:color="auto"/>
          </w:divBdr>
        </w:div>
        <w:div w:id="964505867">
          <w:marLeft w:val="0"/>
          <w:marRight w:val="0"/>
          <w:marTop w:val="0"/>
          <w:marBottom w:val="0"/>
          <w:divBdr>
            <w:top w:val="none" w:sz="0" w:space="0" w:color="auto"/>
            <w:left w:val="none" w:sz="0" w:space="0" w:color="auto"/>
            <w:bottom w:val="none" w:sz="0" w:space="0" w:color="auto"/>
            <w:right w:val="none" w:sz="0" w:space="0" w:color="auto"/>
          </w:divBdr>
        </w:div>
        <w:div w:id="176237973">
          <w:marLeft w:val="0"/>
          <w:marRight w:val="0"/>
          <w:marTop w:val="0"/>
          <w:marBottom w:val="0"/>
          <w:divBdr>
            <w:top w:val="none" w:sz="0" w:space="0" w:color="auto"/>
            <w:left w:val="none" w:sz="0" w:space="0" w:color="auto"/>
            <w:bottom w:val="none" w:sz="0" w:space="0" w:color="auto"/>
            <w:right w:val="none" w:sz="0" w:space="0" w:color="auto"/>
          </w:divBdr>
        </w:div>
        <w:div w:id="1352998606">
          <w:marLeft w:val="0"/>
          <w:marRight w:val="0"/>
          <w:marTop w:val="0"/>
          <w:marBottom w:val="0"/>
          <w:divBdr>
            <w:top w:val="none" w:sz="0" w:space="0" w:color="auto"/>
            <w:left w:val="none" w:sz="0" w:space="0" w:color="auto"/>
            <w:bottom w:val="none" w:sz="0" w:space="0" w:color="auto"/>
            <w:right w:val="none" w:sz="0" w:space="0" w:color="auto"/>
          </w:divBdr>
        </w:div>
        <w:div w:id="1547525359">
          <w:marLeft w:val="0"/>
          <w:marRight w:val="0"/>
          <w:marTop w:val="0"/>
          <w:marBottom w:val="0"/>
          <w:divBdr>
            <w:top w:val="none" w:sz="0" w:space="0" w:color="auto"/>
            <w:left w:val="none" w:sz="0" w:space="0" w:color="auto"/>
            <w:bottom w:val="none" w:sz="0" w:space="0" w:color="auto"/>
            <w:right w:val="none" w:sz="0" w:space="0" w:color="auto"/>
          </w:divBdr>
        </w:div>
        <w:div w:id="1686899316">
          <w:marLeft w:val="0"/>
          <w:marRight w:val="0"/>
          <w:marTop w:val="0"/>
          <w:marBottom w:val="0"/>
          <w:divBdr>
            <w:top w:val="none" w:sz="0" w:space="0" w:color="auto"/>
            <w:left w:val="none" w:sz="0" w:space="0" w:color="auto"/>
            <w:bottom w:val="none" w:sz="0" w:space="0" w:color="auto"/>
            <w:right w:val="none" w:sz="0" w:space="0" w:color="auto"/>
          </w:divBdr>
        </w:div>
        <w:div w:id="294798406">
          <w:marLeft w:val="0"/>
          <w:marRight w:val="0"/>
          <w:marTop w:val="0"/>
          <w:marBottom w:val="0"/>
          <w:divBdr>
            <w:top w:val="none" w:sz="0" w:space="0" w:color="auto"/>
            <w:left w:val="none" w:sz="0" w:space="0" w:color="auto"/>
            <w:bottom w:val="none" w:sz="0" w:space="0" w:color="auto"/>
            <w:right w:val="none" w:sz="0" w:space="0" w:color="auto"/>
          </w:divBdr>
        </w:div>
        <w:div w:id="1482890698">
          <w:marLeft w:val="0"/>
          <w:marRight w:val="0"/>
          <w:marTop w:val="0"/>
          <w:marBottom w:val="0"/>
          <w:divBdr>
            <w:top w:val="none" w:sz="0" w:space="0" w:color="auto"/>
            <w:left w:val="none" w:sz="0" w:space="0" w:color="auto"/>
            <w:bottom w:val="none" w:sz="0" w:space="0" w:color="auto"/>
            <w:right w:val="none" w:sz="0" w:space="0" w:color="auto"/>
          </w:divBdr>
        </w:div>
        <w:div w:id="1466241389">
          <w:marLeft w:val="0"/>
          <w:marRight w:val="0"/>
          <w:marTop w:val="0"/>
          <w:marBottom w:val="0"/>
          <w:divBdr>
            <w:top w:val="none" w:sz="0" w:space="0" w:color="auto"/>
            <w:left w:val="none" w:sz="0" w:space="0" w:color="auto"/>
            <w:bottom w:val="none" w:sz="0" w:space="0" w:color="auto"/>
            <w:right w:val="none" w:sz="0" w:space="0" w:color="auto"/>
          </w:divBdr>
        </w:div>
      </w:divsChild>
    </w:div>
    <w:div w:id="426848499">
      <w:bodyDiv w:val="1"/>
      <w:marLeft w:val="0"/>
      <w:marRight w:val="0"/>
      <w:marTop w:val="0"/>
      <w:marBottom w:val="0"/>
      <w:divBdr>
        <w:top w:val="none" w:sz="0" w:space="0" w:color="auto"/>
        <w:left w:val="none" w:sz="0" w:space="0" w:color="auto"/>
        <w:bottom w:val="none" w:sz="0" w:space="0" w:color="auto"/>
        <w:right w:val="none" w:sz="0" w:space="0" w:color="auto"/>
      </w:divBdr>
    </w:div>
    <w:div w:id="522014276">
      <w:bodyDiv w:val="1"/>
      <w:marLeft w:val="0"/>
      <w:marRight w:val="0"/>
      <w:marTop w:val="0"/>
      <w:marBottom w:val="0"/>
      <w:divBdr>
        <w:top w:val="none" w:sz="0" w:space="0" w:color="auto"/>
        <w:left w:val="none" w:sz="0" w:space="0" w:color="auto"/>
        <w:bottom w:val="none" w:sz="0" w:space="0" w:color="auto"/>
        <w:right w:val="none" w:sz="0" w:space="0" w:color="auto"/>
      </w:divBdr>
    </w:div>
    <w:div w:id="658073002">
      <w:bodyDiv w:val="1"/>
      <w:marLeft w:val="0"/>
      <w:marRight w:val="0"/>
      <w:marTop w:val="0"/>
      <w:marBottom w:val="0"/>
      <w:divBdr>
        <w:top w:val="none" w:sz="0" w:space="0" w:color="auto"/>
        <w:left w:val="none" w:sz="0" w:space="0" w:color="auto"/>
        <w:bottom w:val="none" w:sz="0" w:space="0" w:color="auto"/>
        <w:right w:val="none" w:sz="0" w:space="0" w:color="auto"/>
      </w:divBdr>
    </w:div>
    <w:div w:id="662398462">
      <w:bodyDiv w:val="1"/>
      <w:marLeft w:val="0"/>
      <w:marRight w:val="0"/>
      <w:marTop w:val="0"/>
      <w:marBottom w:val="0"/>
      <w:divBdr>
        <w:top w:val="none" w:sz="0" w:space="0" w:color="auto"/>
        <w:left w:val="none" w:sz="0" w:space="0" w:color="auto"/>
        <w:bottom w:val="none" w:sz="0" w:space="0" w:color="auto"/>
        <w:right w:val="none" w:sz="0" w:space="0" w:color="auto"/>
      </w:divBdr>
    </w:div>
    <w:div w:id="751779730">
      <w:bodyDiv w:val="1"/>
      <w:marLeft w:val="0"/>
      <w:marRight w:val="0"/>
      <w:marTop w:val="0"/>
      <w:marBottom w:val="0"/>
      <w:divBdr>
        <w:top w:val="none" w:sz="0" w:space="0" w:color="auto"/>
        <w:left w:val="none" w:sz="0" w:space="0" w:color="auto"/>
        <w:bottom w:val="none" w:sz="0" w:space="0" w:color="auto"/>
        <w:right w:val="none" w:sz="0" w:space="0" w:color="auto"/>
      </w:divBdr>
    </w:div>
    <w:div w:id="1120145146">
      <w:bodyDiv w:val="1"/>
      <w:marLeft w:val="0"/>
      <w:marRight w:val="0"/>
      <w:marTop w:val="0"/>
      <w:marBottom w:val="0"/>
      <w:divBdr>
        <w:top w:val="none" w:sz="0" w:space="0" w:color="auto"/>
        <w:left w:val="none" w:sz="0" w:space="0" w:color="auto"/>
        <w:bottom w:val="none" w:sz="0" w:space="0" w:color="auto"/>
        <w:right w:val="none" w:sz="0" w:space="0" w:color="auto"/>
      </w:divBdr>
    </w:div>
    <w:div w:id="1156458634">
      <w:bodyDiv w:val="1"/>
      <w:marLeft w:val="0"/>
      <w:marRight w:val="0"/>
      <w:marTop w:val="0"/>
      <w:marBottom w:val="0"/>
      <w:divBdr>
        <w:top w:val="none" w:sz="0" w:space="0" w:color="auto"/>
        <w:left w:val="none" w:sz="0" w:space="0" w:color="auto"/>
        <w:bottom w:val="none" w:sz="0" w:space="0" w:color="auto"/>
        <w:right w:val="none" w:sz="0" w:space="0" w:color="auto"/>
      </w:divBdr>
      <w:divsChild>
        <w:div w:id="2007171774">
          <w:marLeft w:val="0"/>
          <w:marRight w:val="0"/>
          <w:marTop w:val="72"/>
          <w:marBottom w:val="0"/>
          <w:divBdr>
            <w:top w:val="none" w:sz="0" w:space="0" w:color="auto"/>
            <w:left w:val="none" w:sz="0" w:space="0" w:color="auto"/>
            <w:bottom w:val="none" w:sz="0" w:space="0" w:color="auto"/>
            <w:right w:val="none" w:sz="0" w:space="0" w:color="auto"/>
          </w:divBdr>
          <w:divsChild>
            <w:div w:id="1955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6854">
      <w:bodyDiv w:val="1"/>
      <w:marLeft w:val="0"/>
      <w:marRight w:val="0"/>
      <w:marTop w:val="0"/>
      <w:marBottom w:val="0"/>
      <w:divBdr>
        <w:top w:val="none" w:sz="0" w:space="0" w:color="auto"/>
        <w:left w:val="none" w:sz="0" w:space="0" w:color="auto"/>
        <w:bottom w:val="none" w:sz="0" w:space="0" w:color="auto"/>
        <w:right w:val="none" w:sz="0" w:space="0" w:color="auto"/>
      </w:divBdr>
    </w:div>
    <w:div w:id="1286737597">
      <w:bodyDiv w:val="1"/>
      <w:marLeft w:val="0"/>
      <w:marRight w:val="0"/>
      <w:marTop w:val="0"/>
      <w:marBottom w:val="0"/>
      <w:divBdr>
        <w:top w:val="none" w:sz="0" w:space="0" w:color="auto"/>
        <w:left w:val="none" w:sz="0" w:space="0" w:color="auto"/>
        <w:bottom w:val="none" w:sz="0" w:space="0" w:color="auto"/>
        <w:right w:val="none" w:sz="0" w:space="0" w:color="auto"/>
      </w:divBdr>
    </w:div>
    <w:div w:id="1364402356">
      <w:bodyDiv w:val="1"/>
      <w:marLeft w:val="0"/>
      <w:marRight w:val="0"/>
      <w:marTop w:val="0"/>
      <w:marBottom w:val="0"/>
      <w:divBdr>
        <w:top w:val="none" w:sz="0" w:space="0" w:color="auto"/>
        <w:left w:val="none" w:sz="0" w:space="0" w:color="auto"/>
        <w:bottom w:val="none" w:sz="0" w:space="0" w:color="auto"/>
        <w:right w:val="none" w:sz="0" w:space="0" w:color="auto"/>
      </w:divBdr>
    </w:div>
    <w:div w:id="1544244373">
      <w:bodyDiv w:val="1"/>
      <w:marLeft w:val="0"/>
      <w:marRight w:val="0"/>
      <w:marTop w:val="0"/>
      <w:marBottom w:val="0"/>
      <w:divBdr>
        <w:top w:val="none" w:sz="0" w:space="0" w:color="auto"/>
        <w:left w:val="none" w:sz="0" w:space="0" w:color="auto"/>
        <w:bottom w:val="none" w:sz="0" w:space="0" w:color="auto"/>
        <w:right w:val="none" w:sz="0" w:space="0" w:color="auto"/>
      </w:divBdr>
    </w:div>
    <w:div w:id="1547378470">
      <w:bodyDiv w:val="1"/>
      <w:marLeft w:val="0"/>
      <w:marRight w:val="0"/>
      <w:marTop w:val="0"/>
      <w:marBottom w:val="0"/>
      <w:divBdr>
        <w:top w:val="none" w:sz="0" w:space="0" w:color="auto"/>
        <w:left w:val="none" w:sz="0" w:space="0" w:color="auto"/>
        <w:bottom w:val="none" w:sz="0" w:space="0" w:color="auto"/>
        <w:right w:val="none" w:sz="0" w:space="0" w:color="auto"/>
      </w:divBdr>
    </w:div>
    <w:div w:id="1562986304">
      <w:bodyDiv w:val="1"/>
      <w:marLeft w:val="0"/>
      <w:marRight w:val="0"/>
      <w:marTop w:val="0"/>
      <w:marBottom w:val="0"/>
      <w:divBdr>
        <w:top w:val="none" w:sz="0" w:space="0" w:color="auto"/>
        <w:left w:val="none" w:sz="0" w:space="0" w:color="auto"/>
        <w:bottom w:val="none" w:sz="0" w:space="0" w:color="auto"/>
        <w:right w:val="none" w:sz="0" w:space="0" w:color="auto"/>
      </w:divBdr>
    </w:div>
    <w:div w:id="1813592416">
      <w:bodyDiv w:val="1"/>
      <w:marLeft w:val="0"/>
      <w:marRight w:val="0"/>
      <w:marTop w:val="0"/>
      <w:marBottom w:val="0"/>
      <w:divBdr>
        <w:top w:val="none" w:sz="0" w:space="0" w:color="auto"/>
        <w:left w:val="none" w:sz="0" w:space="0" w:color="auto"/>
        <w:bottom w:val="none" w:sz="0" w:space="0" w:color="auto"/>
        <w:right w:val="none" w:sz="0" w:space="0" w:color="auto"/>
      </w:divBdr>
      <w:divsChild>
        <w:div w:id="19473523">
          <w:marLeft w:val="0"/>
          <w:marRight w:val="0"/>
          <w:marTop w:val="72"/>
          <w:marBottom w:val="0"/>
          <w:divBdr>
            <w:top w:val="none" w:sz="0" w:space="0" w:color="auto"/>
            <w:left w:val="none" w:sz="0" w:space="0" w:color="auto"/>
            <w:bottom w:val="none" w:sz="0" w:space="0" w:color="auto"/>
            <w:right w:val="none" w:sz="0" w:space="0" w:color="auto"/>
          </w:divBdr>
          <w:divsChild>
            <w:div w:id="14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3169">
      <w:bodyDiv w:val="1"/>
      <w:marLeft w:val="0"/>
      <w:marRight w:val="0"/>
      <w:marTop w:val="0"/>
      <w:marBottom w:val="0"/>
      <w:divBdr>
        <w:top w:val="none" w:sz="0" w:space="0" w:color="auto"/>
        <w:left w:val="none" w:sz="0" w:space="0" w:color="auto"/>
        <w:bottom w:val="none" w:sz="0" w:space="0" w:color="auto"/>
        <w:right w:val="none" w:sz="0" w:space="0" w:color="auto"/>
      </w:divBdr>
    </w:div>
    <w:div w:id="2056543790">
      <w:bodyDiv w:val="1"/>
      <w:marLeft w:val="0"/>
      <w:marRight w:val="0"/>
      <w:marTop w:val="0"/>
      <w:marBottom w:val="0"/>
      <w:divBdr>
        <w:top w:val="none" w:sz="0" w:space="0" w:color="auto"/>
        <w:left w:val="none" w:sz="0" w:space="0" w:color="auto"/>
        <w:bottom w:val="none" w:sz="0" w:space="0" w:color="auto"/>
        <w:right w:val="none" w:sz="0" w:space="0" w:color="auto"/>
      </w:divBdr>
      <w:divsChild>
        <w:div w:id="667292025">
          <w:marLeft w:val="0"/>
          <w:marRight w:val="0"/>
          <w:marTop w:val="0"/>
          <w:marBottom w:val="0"/>
          <w:divBdr>
            <w:top w:val="none" w:sz="0" w:space="0" w:color="auto"/>
            <w:left w:val="none" w:sz="0" w:space="0" w:color="auto"/>
            <w:bottom w:val="none" w:sz="0" w:space="0" w:color="auto"/>
            <w:right w:val="none" w:sz="0" w:space="0" w:color="auto"/>
          </w:divBdr>
        </w:div>
        <w:div w:id="1504665163">
          <w:marLeft w:val="0"/>
          <w:marRight w:val="0"/>
          <w:marTop w:val="0"/>
          <w:marBottom w:val="0"/>
          <w:divBdr>
            <w:top w:val="none" w:sz="0" w:space="0" w:color="auto"/>
            <w:left w:val="none" w:sz="0" w:space="0" w:color="auto"/>
            <w:bottom w:val="none" w:sz="0" w:space="0" w:color="auto"/>
            <w:right w:val="none" w:sz="0" w:space="0" w:color="auto"/>
          </w:divBdr>
        </w:div>
        <w:div w:id="1991901990">
          <w:marLeft w:val="0"/>
          <w:marRight w:val="0"/>
          <w:marTop w:val="0"/>
          <w:marBottom w:val="0"/>
          <w:divBdr>
            <w:top w:val="none" w:sz="0" w:space="0" w:color="auto"/>
            <w:left w:val="none" w:sz="0" w:space="0" w:color="auto"/>
            <w:bottom w:val="none" w:sz="0" w:space="0" w:color="auto"/>
            <w:right w:val="none" w:sz="0" w:space="0" w:color="auto"/>
          </w:divBdr>
        </w:div>
        <w:div w:id="1066146040">
          <w:marLeft w:val="0"/>
          <w:marRight w:val="0"/>
          <w:marTop w:val="0"/>
          <w:marBottom w:val="0"/>
          <w:divBdr>
            <w:top w:val="none" w:sz="0" w:space="0" w:color="auto"/>
            <w:left w:val="none" w:sz="0" w:space="0" w:color="auto"/>
            <w:bottom w:val="none" w:sz="0" w:space="0" w:color="auto"/>
            <w:right w:val="none" w:sz="0" w:space="0" w:color="auto"/>
          </w:divBdr>
        </w:div>
        <w:div w:id="1647125803">
          <w:marLeft w:val="0"/>
          <w:marRight w:val="0"/>
          <w:marTop w:val="0"/>
          <w:marBottom w:val="0"/>
          <w:divBdr>
            <w:top w:val="none" w:sz="0" w:space="0" w:color="auto"/>
            <w:left w:val="none" w:sz="0" w:space="0" w:color="auto"/>
            <w:bottom w:val="none" w:sz="0" w:space="0" w:color="auto"/>
            <w:right w:val="none" w:sz="0" w:space="0" w:color="auto"/>
          </w:divBdr>
        </w:div>
        <w:div w:id="2121484740">
          <w:marLeft w:val="0"/>
          <w:marRight w:val="0"/>
          <w:marTop w:val="0"/>
          <w:marBottom w:val="0"/>
          <w:divBdr>
            <w:top w:val="none" w:sz="0" w:space="0" w:color="auto"/>
            <w:left w:val="none" w:sz="0" w:space="0" w:color="auto"/>
            <w:bottom w:val="none" w:sz="0" w:space="0" w:color="auto"/>
            <w:right w:val="none" w:sz="0" w:space="0" w:color="auto"/>
          </w:divBdr>
        </w:div>
        <w:div w:id="143860026">
          <w:marLeft w:val="0"/>
          <w:marRight w:val="0"/>
          <w:marTop w:val="0"/>
          <w:marBottom w:val="0"/>
          <w:divBdr>
            <w:top w:val="none" w:sz="0" w:space="0" w:color="auto"/>
            <w:left w:val="none" w:sz="0" w:space="0" w:color="auto"/>
            <w:bottom w:val="none" w:sz="0" w:space="0" w:color="auto"/>
            <w:right w:val="none" w:sz="0" w:space="0" w:color="auto"/>
          </w:divBdr>
        </w:div>
        <w:div w:id="1299726129">
          <w:marLeft w:val="0"/>
          <w:marRight w:val="0"/>
          <w:marTop w:val="0"/>
          <w:marBottom w:val="0"/>
          <w:divBdr>
            <w:top w:val="none" w:sz="0" w:space="0" w:color="auto"/>
            <w:left w:val="none" w:sz="0" w:space="0" w:color="auto"/>
            <w:bottom w:val="none" w:sz="0" w:space="0" w:color="auto"/>
            <w:right w:val="none" w:sz="0" w:space="0" w:color="auto"/>
          </w:divBdr>
        </w:div>
        <w:div w:id="1402289535">
          <w:marLeft w:val="0"/>
          <w:marRight w:val="0"/>
          <w:marTop w:val="0"/>
          <w:marBottom w:val="0"/>
          <w:divBdr>
            <w:top w:val="none" w:sz="0" w:space="0" w:color="auto"/>
            <w:left w:val="none" w:sz="0" w:space="0" w:color="auto"/>
            <w:bottom w:val="none" w:sz="0" w:space="0" w:color="auto"/>
            <w:right w:val="none" w:sz="0" w:space="0" w:color="auto"/>
          </w:divBdr>
        </w:div>
        <w:div w:id="1212041209">
          <w:marLeft w:val="0"/>
          <w:marRight w:val="0"/>
          <w:marTop w:val="0"/>
          <w:marBottom w:val="0"/>
          <w:divBdr>
            <w:top w:val="none" w:sz="0" w:space="0" w:color="auto"/>
            <w:left w:val="none" w:sz="0" w:space="0" w:color="auto"/>
            <w:bottom w:val="none" w:sz="0" w:space="0" w:color="auto"/>
            <w:right w:val="none" w:sz="0" w:space="0" w:color="auto"/>
          </w:divBdr>
        </w:div>
        <w:div w:id="1069383284">
          <w:marLeft w:val="0"/>
          <w:marRight w:val="0"/>
          <w:marTop w:val="0"/>
          <w:marBottom w:val="0"/>
          <w:divBdr>
            <w:top w:val="none" w:sz="0" w:space="0" w:color="auto"/>
            <w:left w:val="none" w:sz="0" w:space="0" w:color="auto"/>
            <w:bottom w:val="none" w:sz="0" w:space="0" w:color="auto"/>
            <w:right w:val="none" w:sz="0" w:space="0" w:color="auto"/>
          </w:divBdr>
        </w:div>
        <w:div w:id="1627853868">
          <w:marLeft w:val="0"/>
          <w:marRight w:val="0"/>
          <w:marTop w:val="0"/>
          <w:marBottom w:val="0"/>
          <w:divBdr>
            <w:top w:val="none" w:sz="0" w:space="0" w:color="auto"/>
            <w:left w:val="none" w:sz="0" w:space="0" w:color="auto"/>
            <w:bottom w:val="none" w:sz="0" w:space="0" w:color="auto"/>
            <w:right w:val="none" w:sz="0" w:space="0" w:color="auto"/>
          </w:divBdr>
        </w:div>
        <w:div w:id="1881432575">
          <w:marLeft w:val="0"/>
          <w:marRight w:val="0"/>
          <w:marTop w:val="0"/>
          <w:marBottom w:val="0"/>
          <w:divBdr>
            <w:top w:val="none" w:sz="0" w:space="0" w:color="auto"/>
            <w:left w:val="none" w:sz="0" w:space="0" w:color="auto"/>
            <w:bottom w:val="none" w:sz="0" w:space="0" w:color="auto"/>
            <w:right w:val="none" w:sz="0" w:space="0" w:color="auto"/>
          </w:divBdr>
        </w:div>
        <w:div w:id="488402807">
          <w:marLeft w:val="0"/>
          <w:marRight w:val="0"/>
          <w:marTop w:val="0"/>
          <w:marBottom w:val="0"/>
          <w:divBdr>
            <w:top w:val="none" w:sz="0" w:space="0" w:color="auto"/>
            <w:left w:val="none" w:sz="0" w:space="0" w:color="auto"/>
            <w:bottom w:val="none" w:sz="0" w:space="0" w:color="auto"/>
            <w:right w:val="none" w:sz="0" w:space="0" w:color="auto"/>
          </w:divBdr>
        </w:div>
        <w:div w:id="1355576991">
          <w:marLeft w:val="0"/>
          <w:marRight w:val="0"/>
          <w:marTop w:val="0"/>
          <w:marBottom w:val="0"/>
          <w:divBdr>
            <w:top w:val="none" w:sz="0" w:space="0" w:color="auto"/>
            <w:left w:val="none" w:sz="0" w:space="0" w:color="auto"/>
            <w:bottom w:val="none" w:sz="0" w:space="0" w:color="auto"/>
            <w:right w:val="none" w:sz="0" w:space="0" w:color="auto"/>
          </w:divBdr>
        </w:div>
        <w:div w:id="1342783693">
          <w:marLeft w:val="0"/>
          <w:marRight w:val="0"/>
          <w:marTop w:val="0"/>
          <w:marBottom w:val="0"/>
          <w:divBdr>
            <w:top w:val="none" w:sz="0" w:space="0" w:color="auto"/>
            <w:left w:val="none" w:sz="0" w:space="0" w:color="auto"/>
            <w:bottom w:val="none" w:sz="0" w:space="0" w:color="auto"/>
            <w:right w:val="none" w:sz="0" w:space="0" w:color="auto"/>
          </w:divBdr>
        </w:div>
        <w:div w:id="373389660">
          <w:marLeft w:val="0"/>
          <w:marRight w:val="0"/>
          <w:marTop w:val="0"/>
          <w:marBottom w:val="0"/>
          <w:divBdr>
            <w:top w:val="none" w:sz="0" w:space="0" w:color="auto"/>
            <w:left w:val="none" w:sz="0" w:space="0" w:color="auto"/>
            <w:bottom w:val="none" w:sz="0" w:space="0" w:color="auto"/>
            <w:right w:val="none" w:sz="0" w:space="0" w:color="auto"/>
          </w:divBdr>
        </w:div>
        <w:div w:id="1633713352">
          <w:marLeft w:val="0"/>
          <w:marRight w:val="0"/>
          <w:marTop w:val="0"/>
          <w:marBottom w:val="0"/>
          <w:divBdr>
            <w:top w:val="none" w:sz="0" w:space="0" w:color="auto"/>
            <w:left w:val="none" w:sz="0" w:space="0" w:color="auto"/>
            <w:bottom w:val="none" w:sz="0" w:space="0" w:color="auto"/>
            <w:right w:val="none" w:sz="0" w:space="0" w:color="auto"/>
          </w:divBdr>
        </w:div>
        <w:div w:id="748428598">
          <w:marLeft w:val="0"/>
          <w:marRight w:val="0"/>
          <w:marTop w:val="0"/>
          <w:marBottom w:val="0"/>
          <w:divBdr>
            <w:top w:val="none" w:sz="0" w:space="0" w:color="auto"/>
            <w:left w:val="none" w:sz="0" w:space="0" w:color="auto"/>
            <w:bottom w:val="none" w:sz="0" w:space="0" w:color="auto"/>
            <w:right w:val="none" w:sz="0" w:space="0" w:color="auto"/>
          </w:divBdr>
        </w:div>
        <w:div w:id="1058478568">
          <w:marLeft w:val="0"/>
          <w:marRight w:val="0"/>
          <w:marTop w:val="0"/>
          <w:marBottom w:val="0"/>
          <w:divBdr>
            <w:top w:val="none" w:sz="0" w:space="0" w:color="auto"/>
            <w:left w:val="none" w:sz="0" w:space="0" w:color="auto"/>
            <w:bottom w:val="none" w:sz="0" w:space="0" w:color="auto"/>
            <w:right w:val="none" w:sz="0" w:space="0" w:color="auto"/>
          </w:divBdr>
        </w:div>
        <w:div w:id="1564832210">
          <w:marLeft w:val="0"/>
          <w:marRight w:val="0"/>
          <w:marTop w:val="0"/>
          <w:marBottom w:val="0"/>
          <w:divBdr>
            <w:top w:val="none" w:sz="0" w:space="0" w:color="auto"/>
            <w:left w:val="none" w:sz="0" w:space="0" w:color="auto"/>
            <w:bottom w:val="none" w:sz="0" w:space="0" w:color="auto"/>
            <w:right w:val="none" w:sz="0" w:space="0" w:color="auto"/>
          </w:divBdr>
        </w:div>
        <w:div w:id="1059325240">
          <w:marLeft w:val="0"/>
          <w:marRight w:val="0"/>
          <w:marTop w:val="0"/>
          <w:marBottom w:val="0"/>
          <w:divBdr>
            <w:top w:val="none" w:sz="0" w:space="0" w:color="auto"/>
            <w:left w:val="none" w:sz="0" w:space="0" w:color="auto"/>
            <w:bottom w:val="none" w:sz="0" w:space="0" w:color="auto"/>
            <w:right w:val="none" w:sz="0" w:space="0" w:color="auto"/>
          </w:divBdr>
        </w:div>
        <w:div w:id="1176074898">
          <w:marLeft w:val="0"/>
          <w:marRight w:val="0"/>
          <w:marTop w:val="0"/>
          <w:marBottom w:val="0"/>
          <w:divBdr>
            <w:top w:val="none" w:sz="0" w:space="0" w:color="auto"/>
            <w:left w:val="none" w:sz="0" w:space="0" w:color="auto"/>
            <w:bottom w:val="none" w:sz="0" w:space="0" w:color="auto"/>
            <w:right w:val="none" w:sz="0" w:space="0" w:color="auto"/>
          </w:divBdr>
        </w:div>
        <w:div w:id="1755586936">
          <w:marLeft w:val="0"/>
          <w:marRight w:val="0"/>
          <w:marTop w:val="0"/>
          <w:marBottom w:val="0"/>
          <w:divBdr>
            <w:top w:val="none" w:sz="0" w:space="0" w:color="auto"/>
            <w:left w:val="none" w:sz="0" w:space="0" w:color="auto"/>
            <w:bottom w:val="none" w:sz="0" w:space="0" w:color="auto"/>
            <w:right w:val="none" w:sz="0" w:space="0" w:color="auto"/>
          </w:divBdr>
        </w:div>
        <w:div w:id="2136167925">
          <w:marLeft w:val="0"/>
          <w:marRight w:val="0"/>
          <w:marTop w:val="0"/>
          <w:marBottom w:val="0"/>
          <w:divBdr>
            <w:top w:val="none" w:sz="0" w:space="0" w:color="auto"/>
            <w:left w:val="none" w:sz="0" w:space="0" w:color="auto"/>
            <w:bottom w:val="none" w:sz="0" w:space="0" w:color="auto"/>
            <w:right w:val="none" w:sz="0" w:space="0" w:color="auto"/>
          </w:divBdr>
        </w:div>
        <w:div w:id="1227766522">
          <w:marLeft w:val="0"/>
          <w:marRight w:val="0"/>
          <w:marTop w:val="0"/>
          <w:marBottom w:val="0"/>
          <w:divBdr>
            <w:top w:val="none" w:sz="0" w:space="0" w:color="auto"/>
            <w:left w:val="none" w:sz="0" w:space="0" w:color="auto"/>
            <w:bottom w:val="none" w:sz="0" w:space="0" w:color="auto"/>
            <w:right w:val="none" w:sz="0" w:space="0" w:color="auto"/>
          </w:divBdr>
        </w:div>
        <w:div w:id="528571630">
          <w:marLeft w:val="0"/>
          <w:marRight w:val="0"/>
          <w:marTop w:val="0"/>
          <w:marBottom w:val="0"/>
          <w:divBdr>
            <w:top w:val="none" w:sz="0" w:space="0" w:color="auto"/>
            <w:left w:val="none" w:sz="0" w:space="0" w:color="auto"/>
            <w:bottom w:val="none" w:sz="0" w:space="0" w:color="auto"/>
            <w:right w:val="none" w:sz="0" w:space="0" w:color="auto"/>
          </w:divBdr>
        </w:div>
        <w:div w:id="756830612">
          <w:marLeft w:val="0"/>
          <w:marRight w:val="0"/>
          <w:marTop w:val="0"/>
          <w:marBottom w:val="0"/>
          <w:divBdr>
            <w:top w:val="none" w:sz="0" w:space="0" w:color="auto"/>
            <w:left w:val="none" w:sz="0" w:space="0" w:color="auto"/>
            <w:bottom w:val="none" w:sz="0" w:space="0" w:color="auto"/>
            <w:right w:val="none" w:sz="0" w:space="0" w:color="auto"/>
          </w:divBdr>
        </w:div>
        <w:div w:id="973019396">
          <w:marLeft w:val="0"/>
          <w:marRight w:val="0"/>
          <w:marTop w:val="0"/>
          <w:marBottom w:val="0"/>
          <w:divBdr>
            <w:top w:val="none" w:sz="0" w:space="0" w:color="auto"/>
            <w:left w:val="none" w:sz="0" w:space="0" w:color="auto"/>
            <w:bottom w:val="none" w:sz="0" w:space="0" w:color="auto"/>
            <w:right w:val="none" w:sz="0" w:space="0" w:color="auto"/>
          </w:divBdr>
        </w:div>
        <w:div w:id="1215966831">
          <w:marLeft w:val="0"/>
          <w:marRight w:val="0"/>
          <w:marTop w:val="0"/>
          <w:marBottom w:val="0"/>
          <w:divBdr>
            <w:top w:val="none" w:sz="0" w:space="0" w:color="auto"/>
            <w:left w:val="none" w:sz="0" w:space="0" w:color="auto"/>
            <w:bottom w:val="none" w:sz="0" w:space="0" w:color="auto"/>
            <w:right w:val="none" w:sz="0" w:space="0" w:color="auto"/>
          </w:divBdr>
        </w:div>
        <w:div w:id="1756853078">
          <w:marLeft w:val="0"/>
          <w:marRight w:val="0"/>
          <w:marTop w:val="0"/>
          <w:marBottom w:val="0"/>
          <w:divBdr>
            <w:top w:val="none" w:sz="0" w:space="0" w:color="auto"/>
            <w:left w:val="none" w:sz="0" w:space="0" w:color="auto"/>
            <w:bottom w:val="none" w:sz="0" w:space="0" w:color="auto"/>
            <w:right w:val="none" w:sz="0" w:space="0" w:color="auto"/>
          </w:divBdr>
        </w:div>
        <w:div w:id="1640763352">
          <w:marLeft w:val="0"/>
          <w:marRight w:val="0"/>
          <w:marTop w:val="0"/>
          <w:marBottom w:val="0"/>
          <w:divBdr>
            <w:top w:val="none" w:sz="0" w:space="0" w:color="auto"/>
            <w:left w:val="none" w:sz="0" w:space="0" w:color="auto"/>
            <w:bottom w:val="none" w:sz="0" w:space="0" w:color="auto"/>
            <w:right w:val="none" w:sz="0" w:space="0" w:color="auto"/>
          </w:divBdr>
        </w:div>
        <w:div w:id="1550265497">
          <w:marLeft w:val="0"/>
          <w:marRight w:val="0"/>
          <w:marTop w:val="0"/>
          <w:marBottom w:val="0"/>
          <w:divBdr>
            <w:top w:val="none" w:sz="0" w:space="0" w:color="auto"/>
            <w:left w:val="none" w:sz="0" w:space="0" w:color="auto"/>
            <w:bottom w:val="none" w:sz="0" w:space="0" w:color="auto"/>
            <w:right w:val="none" w:sz="0" w:space="0" w:color="auto"/>
          </w:divBdr>
        </w:div>
        <w:div w:id="83654703">
          <w:marLeft w:val="0"/>
          <w:marRight w:val="0"/>
          <w:marTop w:val="0"/>
          <w:marBottom w:val="0"/>
          <w:divBdr>
            <w:top w:val="none" w:sz="0" w:space="0" w:color="auto"/>
            <w:left w:val="none" w:sz="0" w:space="0" w:color="auto"/>
            <w:bottom w:val="none" w:sz="0" w:space="0" w:color="auto"/>
            <w:right w:val="none" w:sz="0" w:space="0" w:color="auto"/>
          </w:divBdr>
        </w:div>
        <w:div w:id="1497379351">
          <w:marLeft w:val="0"/>
          <w:marRight w:val="0"/>
          <w:marTop w:val="0"/>
          <w:marBottom w:val="0"/>
          <w:divBdr>
            <w:top w:val="none" w:sz="0" w:space="0" w:color="auto"/>
            <w:left w:val="none" w:sz="0" w:space="0" w:color="auto"/>
            <w:bottom w:val="none" w:sz="0" w:space="0" w:color="auto"/>
            <w:right w:val="none" w:sz="0" w:space="0" w:color="auto"/>
          </w:divBdr>
        </w:div>
        <w:div w:id="1091270165">
          <w:marLeft w:val="0"/>
          <w:marRight w:val="0"/>
          <w:marTop w:val="0"/>
          <w:marBottom w:val="0"/>
          <w:divBdr>
            <w:top w:val="none" w:sz="0" w:space="0" w:color="auto"/>
            <w:left w:val="none" w:sz="0" w:space="0" w:color="auto"/>
            <w:bottom w:val="none" w:sz="0" w:space="0" w:color="auto"/>
            <w:right w:val="none" w:sz="0" w:space="0" w:color="auto"/>
          </w:divBdr>
        </w:div>
        <w:div w:id="595795377">
          <w:marLeft w:val="0"/>
          <w:marRight w:val="0"/>
          <w:marTop w:val="0"/>
          <w:marBottom w:val="0"/>
          <w:divBdr>
            <w:top w:val="none" w:sz="0" w:space="0" w:color="auto"/>
            <w:left w:val="none" w:sz="0" w:space="0" w:color="auto"/>
            <w:bottom w:val="none" w:sz="0" w:space="0" w:color="auto"/>
            <w:right w:val="none" w:sz="0" w:space="0" w:color="auto"/>
          </w:divBdr>
        </w:div>
        <w:div w:id="736126581">
          <w:marLeft w:val="0"/>
          <w:marRight w:val="0"/>
          <w:marTop w:val="0"/>
          <w:marBottom w:val="0"/>
          <w:divBdr>
            <w:top w:val="none" w:sz="0" w:space="0" w:color="auto"/>
            <w:left w:val="none" w:sz="0" w:space="0" w:color="auto"/>
            <w:bottom w:val="none" w:sz="0" w:space="0" w:color="auto"/>
            <w:right w:val="none" w:sz="0" w:space="0" w:color="auto"/>
          </w:divBdr>
        </w:div>
        <w:div w:id="1078138823">
          <w:marLeft w:val="0"/>
          <w:marRight w:val="0"/>
          <w:marTop w:val="0"/>
          <w:marBottom w:val="0"/>
          <w:divBdr>
            <w:top w:val="none" w:sz="0" w:space="0" w:color="auto"/>
            <w:left w:val="none" w:sz="0" w:space="0" w:color="auto"/>
            <w:bottom w:val="none" w:sz="0" w:space="0" w:color="auto"/>
            <w:right w:val="none" w:sz="0" w:space="0" w:color="auto"/>
          </w:divBdr>
        </w:div>
        <w:div w:id="1116219090">
          <w:marLeft w:val="0"/>
          <w:marRight w:val="0"/>
          <w:marTop w:val="0"/>
          <w:marBottom w:val="0"/>
          <w:divBdr>
            <w:top w:val="none" w:sz="0" w:space="0" w:color="auto"/>
            <w:left w:val="none" w:sz="0" w:space="0" w:color="auto"/>
            <w:bottom w:val="none" w:sz="0" w:space="0" w:color="auto"/>
            <w:right w:val="none" w:sz="0" w:space="0" w:color="auto"/>
          </w:divBdr>
        </w:div>
        <w:div w:id="1210263081">
          <w:marLeft w:val="0"/>
          <w:marRight w:val="0"/>
          <w:marTop w:val="0"/>
          <w:marBottom w:val="0"/>
          <w:divBdr>
            <w:top w:val="none" w:sz="0" w:space="0" w:color="auto"/>
            <w:left w:val="none" w:sz="0" w:space="0" w:color="auto"/>
            <w:bottom w:val="none" w:sz="0" w:space="0" w:color="auto"/>
            <w:right w:val="none" w:sz="0" w:space="0" w:color="auto"/>
          </w:divBdr>
        </w:div>
        <w:div w:id="2041710227">
          <w:marLeft w:val="0"/>
          <w:marRight w:val="0"/>
          <w:marTop w:val="0"/>
          <w:marBottom w:val="0"/>
          <w:divBdr>
            <w:top w:val="none" w:sz="0" w:space="0" w:color="auto"/>
            <w:left w:val="none" w:sz="0" w:space="0" w:color="auto"/>
            <w:bottom w:val="none" w:sz="0" w:space="0" w:color="auto"/>
            <w:right w:val="none" w:sz="0" w:space="0" w:color="auto"/>
          </w:divBdr>
        </w:div>
        <w:div w:id="1333408918">
          <w:marLeft w:val="0"/>
          <w:marRight w:val="0"/>
          <w:marTop w:val="0"/>
          <w:marBottom w:val="0"/>
          <w:divBdr>
            <w:top w:val="none" w:sz="0" w:space="0" w:color="auto"/>
            <w:left w:val="none" w:sz="0" w:space="0" w:color="auto"/>
            <w:bottom w:val="none" w:sz="0" w:space="0" w:color="auto"/>
            <w:right w:val="none" w:sz="0" w:space="0" w:color="auto"/>
          </w:divBdr>
        </w:div>
        <w:div w:id="1718818218">
          <w:marLeft w:val="0"/>
          <w:marRight w:val="0"/>
          <w:marTop w:val="0"/>
          <w:marBottom w:val="0"/>
          <w:divBdr>
            <w:top w:val="none" w:sz="0" w:space="0" w:color="auto"/>
            <w:left w:val="none" w:sz="0" w:space="0" w:color="auto"/>
            <w:bottom w:val="none" w:sz="0" w:space="0" w:color="auto"/>
            <w:right w:val="none" w:sz="0" w:space="0" w:color="auto"/>
          </w:divBdr>
        </w:div>
        <w:div w:id="632951958">
          <w:marLeft w:val="0"/>
          <w:marRight w:val="0"/>
          <w:marTop w:val="0"/>
          <w:marBottom w:val="0"/>
          <w:divBdr>
            <w:top w:val="none" w:sz="0" w:space="0" w:color="auto"/>
            <w:left w:val="none" w:sz="0" w:space="0" w:color="auto"/>
            <w:bottom w:val="none" w:sz="0" w:space="0" w:color="auto"/>
            <w:right w:val="none" w:sz="0" w:space="0" w:color="auto"/>
          </w:divBdr>
        </w:div>
        <w:div w:id="1465270912">
          <w:marLeft w:val="0"/>
          <w:marRight w:val="0"/>
          <w:marTop w:val="0"/>
          <w:marBottom w:val="0"/>
          <w:divBdr>
            <w:top w:val="none" w:sz="0" w:space="0" w:color="auto"/>
            <w:left w:val="none" w:sz="0" w:space="0" w:color="auto"/>
            <w:bottom w:val="none" w:sz="0" w:space="0" w:color="auto"/>
            <w:right w:val="none" w:sz="0" w:space="0" w:color="auto"/>
          </w:divBdr>
        </w:div>
        <w:div w:id="1098715746">
          <w:marLeft w:val="0"/>
          <w:marRight w:val="0"/>
          <w:marTop w:val="0"/>
          <w:marBottom w:val="0"/>
          <w:divBdr>
            <w:top w:val="none" w:sz="0" w:space="0" w:color="auto"/>
            <w:left w:val="none" w:sz="0" w:space="0" w:color="auto"/>
            <w:bottom w:val="none" w:sz="0" w:space="0" w:color="auto"/>
            <w:right w:val="none" w:sz="0" w:space="0" w:color="auto"/>
          </w:divBdr>
        </w:div>
        <w:div w:id="967902521">
          <w:marLeft w:val="0"/>
          <w:marRight w:val="0"/>
          <w:marTop w:val="0"/>
          <w:marBottom w:val="0"/>
          <w:divBdr>
            <w:top w:val="none" w:sz="0" w:space="0" w:color="auto"/>
            <w:left w:val="none" w:sz="0" w:space="0" w:color="auto"/>
            <w:bottom w:val="none" w:sz="0" w:space="0" w:color="auto"/>
            <w:right w:val="none" w:sz="0" w:space="0" w:color="auto"/>
          </w:divBdr>
        </w:div>
        <w:div w:id="1878934606">
          <w:marLeft w:val="0"/>
          <w:marRight w:val="0"/>
          <w:marTop w:val="0"/>
          <w:marBottom w:val="0"/>
          <w:divBdr>
            <w:top w:val="none" w:sz="0" w:space="0" w:color="auto"/>
            <w:left w:val="none" w:sz="0" w:space="0" w:color="auto"/>
            <w:bottom w:val="none" w:sz="0" w:space="0" w:color="auto"/>
            <w:right w:val="none" w:sz="0" w:space="0" w:color="auto"/>
          </w:divBdr>
        </w:div>
        <w:div w:id="78714626">
          <w:marLeft w:val="0"/>
          <w:marRight w:val="0"/>
          <w:marTop w:val="0"/>
          <w:marBottom w:val="0"/>
          <w:divBdr>
            <w:top w:val="none" w:sz="0" w:space="0" w:color="auto"/>
            <w:left w:val="none" w:sz="0" w:space="0" w:color="auto"/>
            <w:bottom w:val="none" w:sz="0" w:space="0" w:color="auto"/>
            <w:right w:val="none" w:sz="0" w:space="0" w:color="auto"/>
          </w:divBdr>
        </w:div>
        <w:div w:id="886529833">
          <w:marLeft w:val="0"/>
          <w:marRight w:val="0"/>
          <w:marTop w:val="0"/>
          <w:marBottom w:val="0"/>
          <w:divBdr>
            <w:top w:val="none" w:sz="0" w:space="0" w:color="auto"/>
            <w:left w:val="none" w:sz="0" w:space="0" w:color="auto"/>
            <w:bottom w:val="none" w:sz="0" w:space="0" w:color="auto"/>
            <w:right w:val="none" w:sz="0" w:space="0" w:color="auto"/>
          </w:divBdr>
        </w:div>
        <w:div w:id="1067997643">
          <w:marLeft w:val="0"/>
          <w:marRight w:val="0"/>
          <w:marTop w:val="0"/>
          <w:marBottom w:val="0"/>
          <w:divBdr>
            <w:top w:val="none" w:sz="0" w:space="0" w:color="auto"/>
            <w:left w:val="none" w:sz="0" w:space="0" w:color="auto"/>
            <w:bottom w:val="none" w:sz="0" w:space="0" w:color="auto"/>
            <w:right w:val="none" w:sz="0" w:space="0" w:color="auto"/>
          </w:divBdr>
        </w:div>
        <w:div w:id="1732659035">
          <w:marLeft w:val="0"/>
          <w:marRight w:val="0"/>
          <w:marTop w:val="0"/>
          <w:marBottom w:val="0"/>
          <w:divBdr>
            <w:top w:val="none" w:sz="0" w:space="0" w:color="auto"/>
            <w:left w:val="none" w:sz="0" w:space="0" w:color="auto"/>
            <w:bottom w:val="none" w:sz="0" w:space="0" w:color="auto"/>
            <w:right w:val="none" w:sz="0" w:space="0" w:color="auto"/>
          </w:divBdr>
        </w:div>
        <w:div w:id="46539436">
          <w:marLeft w:val="0"/>
          <w:marRight w:val="0"/>
          <w:marTop w:val="0"/>
          <w:marBottom w:val="0"/>
          <w:divBdr>
            <w:top w:val="none" w:sz="0" w:space="0" w:color="auto"/>
            <w:left w:val="none" w:sz="0" w:space="0" w:color="auto"/>
            <w:bottom w:val="none" w:sz="0" w:space="0" w:color="auto"/>
            <w:right w:val="none" w:sz="0" w:space="0" w:color="auto"/>
          </w:divBdr>
        </w:div>
        <w:div w:id="780957334">
          <w:marLeft w:val="0"/>
          <w:marRight w:val="0"/>
          <w:marTop w:val="0"/>
          <w:marBottom w:val="0"/>
          <w:divBdr>
            <w:top w:val="none" w:sz="0" w:space="0" w:color="auto"/>
            <w:left w:val="none" w:sz="0" w:space="0" w:color="auto"/>
            <w:bottom w:val="none" w:sz="0" w:space="0" w:color="auto"/>
            <w:right w:val="none" w:sz="0" w:space="0" w:color="auto"/>
          </w:divBdr>
        </w:div>
        <w:div w:id="91629243">
          <w:marLeft w:val="0"/>
          <w:marRight w:val="0"/>
          <w:marTop w:val="0"/>
          <w:marBottom w:val="0"/>
          <w:divBdr>
            <w:top w:val="none" w:sz="0" w:space="0" w:color="auto"/>
            <w:left w:val="none" w:sz="0" w:space="0" w:color="auto"/>
            <w:bottom w:val="none" w:sz="0" w:space="0" w:color="auto"/>
            <w:right w:val="none" w:sz="0" w:space="0" w:color="auto"/>
          </w:divBdr>
        </w:div>
        <w:div w:id="1582986602">
          <w:marLeft w:val="0"/>
          <w:marRight w:val="0"/>
          <w:marTop w:val="0"/>
          <w:marBottom w:val="0"/>
          <w:divBdr>
            <w:top w:val="none" w:sz="0" w:space="0" w:color="auto"/>
            <w:left w:val="none" w:sz="0" w:space="0" w:color="auto"/>
            <w:bottom w:val="none" w:sz="0" w:space="0" w:color="auto"/>
            <w:right w:val="none" w:sz="0" w:space="0" w:color="auto"/>
          </w:divBdr>
        </w:div>
        <w:div w:id="311298938">
          <w:marLeft w:val="0"/>
          <w:marRight w:val="0"/>
          <w:marTop w:val="0"/>
          <w:marBottom w:val="0"/>
          <w:divBdr>
            <w:top w:val="none" w:sz="0" w:space="0" w:color="auto"/>
            <w:left w:val="none" w:sz="0" w:space="0" w:color="auto"/>
            <w:bottom w:val="none" w:sz="0" w:space="0" w:color="auto"/>
            <w:right w:val="none" w:sz="0" w:space="0" w:color="auto"/>
          </w:divBdr>
        </w:div>
        <w:div w:id="1476799702">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1909337499">
          <w:marLeft w:val="0"/>
          <w:marRight w:val="0"/>
          <w:marTop w:val="0"/>
          <w:marBottom w:val="0"/>
          <w:divBdr>
            <w:top w:val="none" w:sz="0" w:space="0" w:color="auto"/>
            <w:left w:val="none" w:sz="0" w:space="0" w:color="auto"/>
            <w:bottom w:val="none" w:sz="0" w:space="0" w:color="auto"/>
            <w:right w:val="none" w:sz="0" w:space="0" w:color="auto"/>
          </w:divBdr>
        </w:div>
        <w:div w:id="449591592">
          <w:marLeft w:val="0"/>
          <w:marRight w:val="0"/>
          <w:marTop w:val="0"/>
          <w:marBottom w:val="0"/>
          <w:divBdr>
            <w:top w:val="none" w:sz="0" w:space="0" w:color="auto"/>
            <w:left w:val="none" w:sz="0" w:space="0" w:color="auto"/>
            <w:bottom w:val="none" w:sz="0" w:space="0" w:color="auto"/>
            <w:right w:val="none" w:sz="0" w:space="0" w:color="auto"/>
          </w:divBdr>
        </w:div>
        <w:div w:id="1304047159">
          <w:marLeft w:val="0"/>
          <w:marRight w:val="0"/>
          <w:marTop w:val="0"/>
          <w:marBottom w:val="0"/>
          <w:divBdr>
            <w:top w:val="none" w:sz="0" w:space="0" w:color="auto"/>
            <w:left w:val="none" w:sz="0" w:space="0" w:color="auto"/>
            <w:bottom w:val="none" w:sz="0" w:space="0" w:color="auto"/>
            <w:right w:val="none" w:sz="0" w:space="0" w:color="auto"/>
          </w:divBdr>
        </w:div>
        <w:div w:id="2058315964">
          <w:marLeft w:val="0"/>
          <w:marRight w:val="0"/>
          <w:marTop w:val="0"/>
          <w:marBottom w:val="0"/>
          <w:divBdr>
            <w:top w:val="none" w:sz="0" w:space="0" w:color="auto"/>
            <w:left w:val="none" w:sz="0" w:space="0" w:color="auto"/>
            <w:bottom w:val="none" w:sz="0" w:space="0" w:color="auto"/>
            <w:right w:val="none" w:sz="0" w:space="0" w:color="auto"/>
          </w:divBdr>
        </w:div>
        <w:div w:id="642390837">
          <w:marLeft w:val="0"/>
          <w:marRight w:val="0"/>
          <w:marTop w:val="0"/>
          <w:marBottom w:val="0"/>
          <w:divBdr>
            <w:top w:val="none" w:sz="0" w:space="0" w:color="auto"/>
            <w:left w:val="none" w:sz="0" w:space="0" w:color="auto"/>
            <w:bottom w:val="none" w:sz="0" w:space="0" w:color="auto"/>
            <w:right w:val="none" w:sz="0" w:space="0" w:color="auto"/>
          </w:divBdr>
        </w:div>
        <w:div w:id="1284266077">
          <w:marLeft w:val="0"/>
          <w:marRight w:val="0"/>
          <w:marTop w:val="0"/>
          <w:marBottom w:val="0"/>
          <w:divBdr>
            <w:top w:val="none" w:sz="0" w:space="0" w:color="auto"/>
            <w:left w:val="none" w:sz="0" w:space="0" w:color="auto"/>
            <w:bottom w:val="none" w:sz="0" w:space="0" w:color="auto"/>
            <w:right w:val="none" w:sz="0" w:space="0" w:color="auto"/>
          </w:divBdr>
        </w:div>
        <w:div w:id="332726677">
          <w:marLeft w:val="0"/>
          <w:marRight w:val="0"/>
          <w:marTop w:val="0"/>
          <w:marBottom w:val="0"/>
          <w:divBdr>
            <w:top w:val="none" w:sz="0" w:space="0" w:color="auto"/>
            <w:left w:val="none" w:sz="0" w:space="0" w:color="auto"/>
            <w:bottom w:val="none" w:sz="0" w:space="0" w:color="auto"/>
            <w:right w:val="none" w:sz="0" w:space="0" w:color="auto"/>
          </w:divBdr>
        </w:div>
        <w:div w:id="892279653">
          <w:marLeft w:val="0"/>
          <w:marRight w:val="0"/>
          <w:marTop w:val="0"/>
          <w:marBottom w:val="0"/>
          <w:divBdr>
            <w:top w:val="none" w:sz="0" w:space="0" w:color="auto"/>
            <w:left w:val="none" w:sz="0" w:space="0" w:color="auto"/>
            <w:bottom w:val="none" w:sz="0" w:space="0" w:color="auto"/>
            <w:right w:val="none" w:sz="0" w:space="0" w:color="auto"/>
          </w:divBdr>
        </w:div>
        <w:div w:id="2004501163">
          <w:marLeft w:val="0"/>
          <w:marRight w:val="0"/>
          <w:marTop w:val="0"/>
          <w:marBottom w:val="0"/>
          <w:divBdr>
            <w:top w:val="none" w:sz="0" w:space="0" w:color="auto"/>
            <w:left w:val="none" w:sz="0" w:space="0" w:color="auto"/>
            <w:bottom w:val="none" w:sz="0" w:space="0" w:color="auto"/>
            <w:right w:val="none" w:sz="0" w:space="0" w:color="auto"/>
          </w:divBdr>
        </w:div>
        <w:div w:id="641620695">
          <w:marLeft w:val="0"/>
          <w:marRight w:val="0"/>
          <w:marTop w:val="0"/>
          <w:marBottom w:val="0"/>
          <w:divBdr>
            <w:top w:val="none" w:sz="0" w:space="0" w:color="auto"/>
            <w:left w:val="none" w:sz="0" w:space="0" w:color="auto"/>
            <w:bottom w:val="none" w:sz="0" w:space="0" w:color="auto"/>
            <w:right w:val="none" w:sz="0" w:space="0" w:color="auto"/>
          </w:divBdr>
        </w:div>
        <w:div w:id="472868143">
          <w:marLeft w:val="0"/>
          <w:marRight w:val="0"/>
          <w:marTop w:val="0"/>
          <w:marBottom w:val="0"/>
          <w:divBdr>
            <w:top w:val="none" w:sz="0" w:space="0" w:color="auto"/>
            <w:left w:val="none" w:sz="0" w:space="0" w:color="auto"/>
            <w:bottom w:val="none" w:sz="0" w:space="0" w:color="auto"/>
            <w:right w:val="none" w:sz="0" w:space="0" w:color="auto"/>
          </w:divBdr>
        </w:div>
        <w:div w:id="1952665624">
          <w:marLeft w:val="0"/>
          <w:marRight w:val="0"/>
          <w:marTop w:val="0"/>
          <w:marBottom w:val="0"/>
          <w:divBdr>
            <w:top w:val="none" w:sz="0" w:space="0" w:color="auto"/>
            <w:left w:val="none" w:sz="0" w:space="0" w:color="auto"/>
            <w:bottom w:val="none" w:sz="0" w:space="0" w:color="auto"/>
            <w:right w:val="none" w:sz="0" w:space="0" w:color="auto"/>
          </w:divBdr>
        </w:div>
        <w:div w:id="1152404359">
          <w:marLeft w:val="0"/>
          <w:marRight w:val="0"/>
          <w:marTop w:val="0"/>
          <w:marBottom w:val="0"/>
          <w:divBdr>
            <w:top w:val="none" w:sz="0" w:space="0" w:color="auto"/>
            <w:left w:val="none" w:sz="0" w:space="0" w:color="auto"/>
            <w:bottom w:val="none" w:sz="0" w:space="0" w:color="auto"/>
            <w:right w:val="none" w:sz="0" w:space="0" w:color="auto"/>
          </w:divBdr>
        </w:div>
        <w:div w:id="173691069">
          <w:marLeft w:val="0"/>
          <w:marRight w:val="0"/>
          <w:marTop w:val="0"/>
          <w:marBottom w:val="0"/>
          <w:divBdr>
            <w:top w:val="none" w:sz="0" w:space="0" w:color="auto"/>
            <w:left w:val="none" w:sz="0" w:space="0" w:color="auto"/>
            <w:bottom w:val="none" w:sz="0" w:space="0" w:color="auto"/>
            <w:right w:val="none" w:sz="0" w:space="0" w:color="auto"/>
          </w:divBdr>
        </w:div>
        <w:div w:id="1990355459">
          <w:marLeft w:val="0"/>
          <w:marRight w:val="0"/>
          <w:marTop w:val="0"/>
          <w:marBottom w:val="0"/>
          <w:divBdr>
            <w:top w:val="none" w:sz="0" w:space="0" w:color="auto"/>
            <w:left w:val="none" w:sz="0" w:space="0" w:color="auto"/>
            <w:bottom w:val="none" w:sz="0" w:space="0" w:color="auto"/>
            <w:right w:val="none" w:sz="0" w:space="0" w:color="auto"/>
          </w:divBdr>
        </w:div>
        <w:div w:id="735250731">
          <w:marLeft w:val="0"/>
          <w:marRight w:val="0"/>
          <w:marTop w:val="0"/>
          <w:marBottom w:val="0"/>
          <w:divBdr>
            <w:top w:val="none" w:sz="0" w:space="0" w:color="auto"/>
            <w:left w:val="none" w:sz="0" w:space="0" w:color="auto"/>
            <w:bottom w:val="none" w:sz="0" w:space="0" w:color="auto"/>
            <w:right w:val="none" w:sz="0" w:space="0" w:color="auto"/>
          </w:divBdr>
        </w:div>
        <w:div w:id="922031878">
          <w:marLeft w:val="0"/>
          <w:marRight w:val="0"/>
          <w:marTop w:val="0"/>
          <w:marBottom w:val="0"/>
          <w:divBdr>
            <w:top w:val="none" w:sz="0" w:space="0" w:color="auto"/>
            <w:left w:val="none" w:sz="0" w:space="0" w:color="auto"/>
            <w:bottom w:val="none" w:sz="0" w:space="0" w:color="auto"/>
            <w:right w:val="none" w:sz="0" w:space="0" w:color="auto"/>
          </w:divBdr>
        </w:div>
        <w:div w:id="1348868638">
          <w:marLeft w:val="0"/>
          <w:marRight w:val="0"/>
          <w:marTop w:val="0"/>
          <w:marBottom w:val="0"/>
          <w:divBdr>
            <w:top w:val="none" w:sz="0" w:space="0" w:color="auto"/>
            <w:left w:val="none" w:sz="0" w:space="0" w:color="auto"/>
            <w:bottom w:val="none" w:sz="0" w:space="0" w:color="auto"/>
            <w:right w:val="none" w:sz="0" w:space="0" w:color="auto"/>
          </w:divBdr>
        </w:div>
        <w:div w:id="1989162302">
          <w:marLeft w:val="0"/>
          <w:marRight w:val="0"/>
          <w:marTop w:val="0"/>
          <w:marBottom w:val="0"/>
          <w:divBdr>
            <w:top w:val="none" w:sz="0" w:space="0" w:color="auto"/>
            <w:left w:val="none" w:sz="0" w:space="0" w:color="auto"/>
            <w:bottom w:val="none" w:sz="0" w:space="0" w:color="auto"/>
            <w:right w:val="none" w:sz="0" w:space="0" w:color="auto"/>
          </w:divBdr>
        </w:div>
        <w:div w:id="578295419">
          <w:marLeft w:val="0"/>
          <w:marRight w:val="0"/>
          <w:marTop w:val="0"/>
          <w:marBottom w:val="0"/>
          <w:divBdr>
            <w:top w:val="none" w:sz="0" w:space="0" w:color="auto"/>
            <w:left w:val="none" w:sz="0" w:space="0" w:color="auto"/>
            <w:bottom w:val="none" w:sz="0" w:space="0" w:color="auto"/>
            <w:right w:val="none" w:sz="0" w:space="0" w:color="auto"/>
          </w:divBdr>
        </w:div>
        <w:div w:id="85807768">
          <w:marLeft w:val="0"/>
          <w:marRight w:val="0"/>
          <w:marTop w:val="0"/>
          <w:marBottom w:val="0"/>
          <w:divBdr>
            <w:top w:val="none" w:sz="0" w:space="0" w:color="auto"/>
            <w:left w:val="none" w:sz="0" w:space="0" w:color="auto"/>
            <w:bottom w:val="none" w:sz="0" w:space="0" w:color="auto"/>
            <w:right w:val="none" w:sz="0" w:space="0" w:color="auto"/>
          </w:divBdr>
        </w:div>
        <w:div w:id="662586850">
          <w:marLeft w:val="0"/>
          <w:marRight w:val="0"/>
          <w:marTop w:val="0"/>
          <w:marBottom w:val="0"/>
          <w:divBdr>
            <w:top w:val="none" w:sz="0" w:space="0" w:color="auto"/>
            <w:left w:val="none" w:sz="0" w:space="0" w:color="auto"/>
            <w:bottom w:val="none" w:sz="0" w:space="0" w:color="auto"/>
            <w:right w:val="none" w:sz="0" w:space="0" w:color="auto"/>
          </w:divBdr>
        </w:div>
        <w:div w:id="2094281021">
          <w:marLeft w:val="0"/>
          <w:marRight w:val="0"/>
          <w:marTop w:val="0"/>
          <w:marBottom w:val="0"/>
          <w:divBdr>
            <w:top w:val="none" w:sz="0" w:space="0" w:color="auto"/>
            <w:left w:val="none" w:sz="0" w:space="0" w:color="auto"/>
            <w:bottom w:val="none" w:sz="0" w:space="0" w:color="auto"/>
            <w:right w:val="none" w:sz="0" w:space="0" w:color="auto"/>
          </w:divBdr>
        </w:div>
        <w:div w:id="282613533">
          <w:marLeft w:val="0"/>
          <w:marRight w:val="0"/>
          <w:marTop w:val="0"/>
          <w:marBottom w:val="0"/>
          <w:divBdr>
            <w:top w:val="none" w:sz="0" w:space="0" w:color="auto"/>
            <w:left w:val="none" w:sz="0" w:space="0" w:color="auto"/>
            <w:bottom w:val="none" w:sz="0" w:space="0" w:color="auto"/>
            <w:right w:val="none" w:sz="0" w:space="0" w:color="auto"/>
          </w:divBdr>
        </w:div>
        <w:div w:id="225921257">
          <w:marLeft w:val="0"/>
          <w:marRight w:val="0"/>
          <w:marTop w:val="0"/>
          <w:marBottom w:val="0"/>
          <w:divBdr>
            <w:top w:val="none" w:sz="0" w:space="0" w:color="auto"/>
            <w:left w:val="none" w:sz="0" w:space="0" w:color="auto"/>
            <w:bottom w:val="none" w:sz="0" w:space="0" w:color="auto"/>
            <w:right w:val="none" w:sz="0" w:space="0" w:color="auto"/>
          </w:divBdr>
        </w:div>
        <w:div w:id="959995398">
          <w:marLeft w:val="0"/>
          <w:marRight w:val="0"/>
          <w:marTop w:val="0"/>
          <w:marBottom w:val="0"/>
          <w:divBdr>
            <w:top w:val="none" w:sz="0" w:space="0" w:color="auto"/>
            <w:left w:val="none" w:sz="0" w:space="0" w:color="auto"/>
            <w:bottom w:val="none" w:sz="0" w:space="0" w:color="auto"/>
            <w:right w:val="none" w:sz="0" w:space="0" w:color="auto"/>
          </w:divBdr>
        </w:div>
        <w:div w:id="1014498115">
          <w:marLeft w:val="0"/>
          <w:marRight w:val="0"/>
          <w:marTop w:val="0"/>
          <w:marBottom w:val="0"/>
          <w:divBdr>
            <w:top w:val="none" w:sz="0" w:space="0" w:color="auto"/>
            <w:left w:val="none" w:sz="0" w:space="0" w:color="auto"/>
            <w:bottom w:val="none" w:sz="0" w:space="0" w:color="auto"/>
            <w:right w:val="none" w:sz="0" w:space="0" w:color="auto"/>
          </w:divBdr>
        </w:div>
        <w:div w:id="471872609">
          <w:marLeft w:val="0"/>
          <w:marRight w:val="0"/>
          <w:marTop w:val="0"/>
          <w:marBottom w:val="0"/>
          <w:divBdr>
            <w:top w:val="none" w:sz="0" w:space="0" w:color="auto"/>
            <w:left w:val="none" w:sz="0" w:space="0" w:color="auto"/>
            <w:bottom w:val="none" w:sz="0" w:space="0" w:color="auto"/>
            <w:right w:val="none" w:sz="0" w:space="0" w:color="auto"/>
          </w:divBdr>
        </w:div>
        <w:div w:id="21831416">
          <w:marLeft w:val="0"/>
          <w:marRight w:val="0"/>
          <w:marTop w:val="0"/>
          <w:marBottom w:val="0"/>
          <w:divBdr>
            <w:top w:val="none" w:sz="0" w:space="0" w:color="auto"/>
            <w:left w:val="none" w:sz="0" w:space="0" w:color="auto"/>
            <w:bottom w:val="none" w:sz="0" w:space="0" w:color="auto"/>
            <w:right w:val="none" w:sz="0" w:space="0" w:color="auto"/>
          </w:divBdr>
        </w:div>
        <w:div w:id="396436624">
          <w:marLeft w:val="0"/>
          <w:marRight w:val="0"/>
          <w:marTop w:val="0"/>
          <w:marBottom w:val="0"/>
          <w:divBdr>
            <w:top w:val="none" w:sz="0" w:space="0" w:color="auto"/>
            <w:left w:val="none" w:sz="0" w:space="0" w:color="auto"/>
            <w:bottom w:val="none" w:sz="0" w:space="0" w:color="auto"/>
            <w:right w:val="none" w:sz="0" w:space="0" w:color="auto"/>
          </w:divBdr>
        </w:div>
        <w:div w:id="1274559575">
          <w:marLeft w:val="0"/>
          <w:marRight w:val="0"/>
          <w:marTop w:val="0"/>
          <w:marBottom w:val="0"/>
          <w:divBdr>
            <w:top w:val="none" w:sz="0" w:space="0" w:color="auto"/>
            <w:left w:val="none" w:sz="0" w:space="0" w:color="auto"/>
            <w:bottom w:val="none" w:sz="0" w:space="0" w:color="auto"/>
            <w:right w:val="none" w:sz="0" w:space="0" w:color="auto"/>
          </w:divBdr>
        </w:div>
        <w:div w:id="1667660758">
          <w:marLeft w:val="0"/>
          <w:marRight w:val="0"/>
          <w:marTop w:val="0"/>
          <w:marBottom w:val="0"/>
          <w:divBdr>
            <w:top w:val="none" w:sz="0" w:space="0" w:color="auto"/>
            <w:left w:val="none" w:sz="0" w:space="0" w:color="auto"/>
            <w:bottom w:val="none" w:sz="0" w:space="0" w:color="auto"/>
            <w:right w:val="none" w:sz="0" w:space="0" w:color="auto"/>
          </w:divBdr>
        </w:div>
        <w:div w:id="2050496890">
          <w:marLeft w:val="0"/>
          <w:marRight w:val="0"/>
          <w:marTop w:val="0"/>
          <w:marBottom w:val="0"/>
          <w:divBdr>
            <w:top w:val="none" w:sz="0" w:space="0" w:color="auto"/>
            <w:left w:val="none" w:sz="0" w:space="0" w:color="auto"/>
            <w:bottom w:val="none" w:sz="0" w:space="0" w:color="auto"/>
            <w:right w:val="none" w:sz="0" w:space="0" w:color="auto"/>
          </w:divBdr>
        </w:div>
        <w:div w:id="1998414707">
          <w:marLeft w:val="0"/>
          <w:marRight w:val="0"/>
          <w:marTop w:val="0"/>
          <w:marBottom w:val="0"/>
          <w:divBdr>
            <w:top w:val="none" w:sz="0" w:space="0" w:color="auto"/>
            <w:left w:val="none" w:sz="0" w:space="0" w:color="auto"/>
            <w:bottom w:val="none" w:sz="0" w:space="0" w:color="auto"/>
            <w:right w:val="none" w:sz="0" w:space="0" w:color="auto"/>
          </w:divBdr>
        </w:div>
        <w:div w:id="1308900794">
          <w:marLeft w:val="0"/>
          <w:marRight w:val="0"/>
          <w:marTop w:val="0"/>
          <w:marBottom w:val="0"/>
          <w:divBdr>
            <w:top w:val="none" w:sz="0" w:space="0" w:color="auto"/>
            <w:left w:val="none" w:sz="0" w:space="0" w:color="auto"/>
            <w:bottom w:val="none" w:sz="0" w:space="0" w:color="auto"/>
            <w:right w:val="none" w:sz="0" w:space="0" w:color="auto"/>
          </w:divBdr>
        </w:div>
        <w:div w:id="572203181">
          <w:marLeft w:val="0"/>
          <w:marRight w:val="0"/>
          <w:marTop w:val="0"/>
          <w:marBottom w:val="0"/>
          <w:divBdr>
            <w:top w:val="none" w:sz="0" w:space="0" w:color="auto"/>
            <w:left w:val="none" w:sz="0" w:space="0" w:color="auto"/>
            <w:bottom w:val="none" w:sz="0" w:space="0" w:color="auto"/>
            <w:right w:val="none" w:sz="0" w:space="0" w:color="auto"/>
          </w:divBdr>
        </w:div>
        <w:div w:id="745035067">
          <w:marLeft w:val="0"/>
          <w:marRight w:val="0"/>
          <w:marTop w:val="0"/>
          <w:marBottom w:val="0"/>
          <w:divBdr>
            <w:top w:val="none" w:sz="0" w:space="0" w:color="auto"/>
            <w:left w:val="none" w:sz="0" w:space="0" w:color="auto"/>
            <w:bottom w:val="none" w:sz="0" w:space="0" w:color="auto"/>
            <w:right w:val="none" w:sz="0" w:space="0" w:color="auto"/>
          </w:divBdr>
        </w:div>
        <w:div w:id="1398475641">
          <w:marLeft w:val="0"/>
          <w:marRight w:val="0"/>
          <w:marTop w:val="0"/>
          <w:marBottom w:val="0"/>
          <w:divBdr>
            <w:top w:val="none" w:sz="0" w:space="0" w:color="auto"/>
            <w:left w:val="none" w:sz="0" w:space="0" w:color="auto"/>
            <w:bottom w:val="none" w:sz="0" w:space="0" w:color="auto"/>
            <w:right w:val="none" w:sz="0" w:space="0" w:color="auto"/>
          </w:divBdr>
        </w:div>
        <w:div w:id="745955400">
          <w:marLeft w:val="0"/>
          <w:marRight w:val="0"/>
          <w:marTop w:val="0"/>
          <w:marBottom w:val="0"/>
          <w:divBdr>
            <w:top w:val="none" w:sz="0" w:space="0" w:color="auto"/>
            <w:left w:val="none" w:sz="0" w:space="0" w:color="auto"/>
            <w:bottom w:val="none" w:sz="0" w:space="0" w:color="auto"/>
            <w:right w:val="none" w:sz="0" w:space="0" w:color="auto"/>
          </w:divBdr>
        </w:div>
        <w:div w:id="1410810947">
          <w:marLeft w:val="0"/>
          <w:marRight w:val="0"/>
          <w:marTop w:val="0"/>
          <w:marBottom w:val="0"/>
          <w:divBdr>
            <w:top w:val="none" w:sz="0" w:space="0" w:color="auto"/>
            <w:left w:val="none" w:sz="0" w:space="0" w:color="auto"/>
            <w:bottom w:val="none" w:sz="0" w:space="0" w:color="auto"/>
            <w:right w:val="none" w:sz="0" w:space="0" w:color="auto"/>
          </w:divBdr>
        </w:div>
        <w:div w:id="1842433125">
          <w:marLeft w:val="0"/>
          <w:marRight w:val="0"/>
          <w:marTop w:val="0"/>
          <w:marBottom w:val="0"/>
          <w:divBdr>
            <w:top w:val="none" w:sz="0" w:space="0" w:color="auto"/>
            <w:left w:val="none" w:sz="0" w:space="0" w:color="auto"/>
            <w:bottom w:val="none" w:sz="0" w:space="0" w:color="auto"/>
            <w:right w:val="none" w:sz="0" w:space="0" w:color="auto"/>
          </w:divBdr>
        </w:div>
        <w:div w:id="1644043289">
          <w:marLeft w:val="0"/>
          <w:marRight w:val="0"/>
          <w:marTop w:val="0"/>
          <w:marBottom w:val="0"/>
          <w:divBdr>
            <w:top w:val="none" w:sz="0" w:space="0" w:color="auto"/>
            <w:left w:val="none" w:sz="0" w:space="0" w:color="auto"/>
            <w:bottom w:val="none" w:sz="0" w:space="0" w:color="auto"/>
            <w:right w:val="none" w:sz="0" w:space="0" w:color="auto"/>
          </w:divBdr>
        </w:div>
        <w:div w:id="1916623547">
          <w:marLeft w:val="0"/>
          <w:marRight w:val="0"/>
          <w:marTop w:val="0"/>
          <w:marBottom w:val="0"/>
          <w:divBdr>
            <w:top w:val="none" w:sz="0" w:space="0" w:color="auto"/>
            <w:left w:val="none" w:sz="0" w:space="0" w:color="auto"/>
            <w:bottom w:val="none" w:sz="0" w:space="0" w:color="auto"/>
            <w:right w:val="none" w:sz="0" w:space="0" w:color="auto"/>
          </w:divBdr>
        </w:div>
        <w:div w:id="1475290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9002C-F6AF-4DBD-9983-C75D63ED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4872</Words>
  <Characters>29234</Characters>
  <Application>Microsoft Office Word</Application>
  <DocSecurity>0</DocSecurity>
  <Lines>243</Lines>
  <Paragraphs>68</Paragraphs>
  <ScaleCrop>false</ScaleCrop>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2026-03-03T11:00:00Z</dcterms:created>
  <dcterms:modified xsi:type="dcterms:W3CDTF">2026-03-03T11:00:00Z</dcterms:modified>
</cp:coreProperties>
</file>