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DD86" w14:textId="77777777" w:rsidR="00901BE1" w:rsidRPr="00E000DC" w:rsidRDefault="00901BE1" w:rsidP="00901BE1">
      <w:pPr>
        <w:pStyle w:val="OZNRODZAKTUtznustawalubrozporzdzenieiorganwydajcy"/>
      </w:pPr>
      <w:r w:rsidRPr="00912118">
        <w:t>UCHWAŁA</w:t>
      </w:r>
    </w:p>
    <w:p w14:paraId="13221641" w14:textId="77777777" w:rsidR="00901BE1" w:rsidRPr="00E000DC" w:rsidRDefault="00901BE1" w:rsidP="00901BE1">
      <w:pPr>
        <w:pStyle w:val="OZNRODZAKTUtznustawalubrozporzdzenieiorganwydajcy"/>
      </w:pPr>
      <w:r w:rsidRPr="00E000DC">
        <w:t>SENATU RZECZYPOSPOLITEJ POLSKIEJ</w:t>
      </w:r>
    </w:p>
    <w:p w14:paraId="1DBC7469" w14:textId="62A37BAB" w:rsidR="00901BE1" w:rsidRPr="00E000DC" w:rsidRDefault="00901BE1" w:rsidP="00901BE1">
      <w:pPr>
        <w:pStyle w:val="DATAAKTUdatauchwalenialubwydaniaaktu"/>
      </w:pPr>
      <w:r w:rsidRPr="00E000DC">
        <w:t>z dnia</w:t>
      </w:r>
      <w:r>
        <w:t xml:space="preserve"> 21 maja 2026 r.</w:t>
      </w:r>
    </w:p>
    <w:p w14:paraId="61CAADD8" w14:textId="77777777" w:rsidR="00901BE1" w:rsidRPr="00E000DC" w:rsidRDefault="00901BE1" w:rsidP="00901BE1">
      <w:pPr>
        <w:pStyle w:val="TYTUAKTUprzedmiotregulacjiustawylubrozporzdzenia"/>
      </w:pPr>
      <w:r>
        <w:t xml:space="preserve">w sprawie ustawy </w:t>
      </w:r>
      <w:bookmarkStart w:id="0" w:name="_Hlk230101608"/>
      <w:r>
        <w:t>o</w:t>
      </w:r>
      <w:r w:rsidRPr="00BB0A0F">
        <w:t xml:space="preserve"> </w:t>
      </w:r>
      <w:r w:rsidRPr="00513879">
        <w:t>szczególnych środkach ochrony</w:t>
      </w:r>
      <w:r>
        <w:t xml:space="preserve"> w postępowaniu cywilnym</w:t>
      </w:r>
      <w:r w:rsidRPr="00513879">
        <w:t xml:space="preserve"> osób uczestniczących w debacie publicznej</w:t>
      </w:r>
      <w:bookmarkEnd w:id="0"/>
    </w:p>
    <w:p w14:paraId="377C1F2C" w14:textId="77777777" w:rsidR="00901BE1" w:rsidRDefault="00901BE1" w:rsidP="00901BE1">
      <w:pPr>
        <w:pStyle w:val="NIEARTTEKSTtekstnieartykuowanynppodstprawnarozplubpreambua"/>
      </w:pPr>
      <w:r w:rsidRPr="00E000DC">
        <w:t xml:space="preserve">Senat, po rozpatrzeniu uchwalonej przez Sejm na posiedzeniu w dniu </w:t>
      </w:r>
      <w:r>
        <w:t>15 maja 2026 r.</w:t>
      </w:r>
      <w:r w:rsidRPr="00E000DC">
        <w:t xml:space="preserve"> ustawy o </w:t>
      </w:r>
      <w:r w:rsidRPr="00706F52">
        <w:t>szczególnych środkach ochrony w postępowaniu cywilnym osób uczestniczących w</w:t>
      </w:r>
      <w:r>
        <w:t> </w:t>
      </w:r>
      <w:r w:rsidRPr="00706F52">
        <w:t>debacie publicznej</w:t>
      </w:r>
      <w:r w:rsidRPr="00E000DC">
        <w:t>, wprowadza do jej tekstu następujące poprawki:</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93"/>
        <w:gridCol w:w="8221"/>
      </w:tblGrid>
      <w:tr w:rsidR="00901BE1" w:rsidRPr="00B528A4" w14:paraId="2DFA234F" w14:textId="77777777" w:rsidTr="00901BE1">
        <w:trPr>
          <w:trHeight w:val="720"/>
        </w:trPr>
        <w:tc>
          <w:tcPr>
            <w:tcW w:w="993" w:type="dxa"/>
            <w:tcBorders>
              <w:top w:val="nil"/>
              <w:left w:val="nil"/>
              <w:bottom w:val="nil"/>
              <w:right w:val="nil"/>
            </w:tcBorders>
          </w:tcPr>
          <w:p w14:paraId="2FD52057" w14:textId="77777777" w:rsidR="00901BE1" w:rsidRPr="00B528A4" w:rsidRDefault="00901BE1" w:rsidP="00597B89">
            <w:pPr>
              <w:pStyle w:val="OZNACZENIEPUNKTUWUCHWALESENACKIEJ"/>
            </w:pPr>
          </w:p>
        </w:tc>
        <w:tc>
          <w:tcPr>
            <w:tcW w:w="8221" w:type="dxa"/>
            <w:tcBorders>
              <w:top w:val="nil"/>
              <w:left w:val="nil"/>
              <w:bottom w:val="nil"/>
              <w:right w:val="nil"/>
            </w:tcBorders>
          </w:tcPr>
          <w:p w14:paraId="1E466D91" w14:textId="6D3B9B00" w:rsidR="00901BE1" w:rsidRPr="00E348C4" w:rsidRDefault="00901BE1" w:rsidP="00597B89">
            <w:pPr>
              <w:pStyle w:val="TREPUNKTUWUCHWALESENACKIEJ"/>
            </w:pPr>
            <w:r>
              <w:t>w art. 6 po wyrazach „art. 191</w:t>
            </w:r>
            <w:r>
              <w:rPr>
                <w:rStyle w:val="IGindeksgrny"/>
              </w:rPr>
              <w:t>[1]</w:t>
            </w:r>
            <w:r>
              <w:t>” dodaje się wyrazy „§ 2–4”;</w:t>
            </w:r>
          </w:p>
        </w:tc>
      </w:tr>
      <w:tr w:rsidR="00901BE1" w:rsidRPr="00B528A4" w14:paraId="3F95F1E6" w14:textId="77777777" w:rsidTr="00901BE1">
        <w:trPr>
          <w:trHeight w:val="720"/>
        </w:trPr>
        <w:tc>
          <w:tcPr>
            <w:tcW w:w="993" w:type="dxa"/>
            <w:tcBorders>
              <w:top w:val="nil"/>
              <w:left w:val="nil"/>
              <w:bottom w:val="nil"/>
              <w:right w:val="nil"/>
            </w:tcBorders>
          </w:tcPr>
          <w:p w14:paraId="258A5680" w14:textId="77777777" w:rsidR="00901BE1" w:rsidRPr="00B528A4" w:rsidRDefault="00901BE1" w:rsidP="00A50CCE">
            <w:pPr>
              <w:pStyle w:val="OZNACZENIEPUNKTUWUCHWALESENACKIEJ"/>
            </w:pPr>
          </w:p>
        </w:tc>
        <w:tc>
          <w:tcPr>
            <w:tcW w:w="8221" w:type="dxa"/>
            <w:tcBorders>
              <w:top w:val="nil"/>
              <w:left w:val="nil"/>
              <w:bottom w:val="nil"/>
              <w:right w:val="nil"/>
            </w:tcBorders>
          </w:tcPr>
          <w:p w14:paraId="6B084251" w14:textId="77777777" w:rsidR="00901BE1" w:rsidRPr="00A50CCE" w:rsidRDefault="00901BE1" w:rsidP="00A50CCE">
            <w:pPr>
              <w:pStyle w:val="TREPUNKTUWUCHWALESENACKIEJ"/>
            </w:pPr>
            <w:r>
              <w:t>w art. 7 ust. 1 otrzymuje brzmienie:</w:t>
            </w:r>
          </w:p>
          <w:p w14:paraId="472543CB" w14:textId="0948D6B2" w:rsidR="00901BE1" w:rsidRDefault="00901BE1" w:rsidP="00A50CCE">
            <w:pPr>
              <w:pStyle w:val="USTustnpkodeksu"/>
            </w:pPr>
            <w:r>
              <w:t xml:space="preserve">„1. </w:t>
            </w:r>
            <w:r w:rsidRPr="00A50CCE">
              <w:t>Jeżeli pozwany złoży wniosek o oddalenie powództwa jako oczywiście bezzasadnego, powód obowiązany jest wskazać okoliczności uzasadniające powództwo, pozwalające sądowi na ocenę, czy nie jest ono oczywiście bezzasadne. Jeżeli wniosek został złożony poza rozprawą, przewodniczący wyznaczy powodowi termin do złożenia pisma przygotowawczego w celu przedstawienia stanowiska co do tego wniosku. Sąd może ponadto wysłuchać strony, także na posiedzeniu niejawnym.”</w:t>
            </w:r>
            <w:r>
              <w:t>;</w:t>
            </w:r>
          </w:p>
        </w:tc>
      </w:tr>
      <w:tr w:rsidR="00901BE1" w:rsidRPr="00B528A4" w14:paraId="0706D4EB" w14:textId="77777777" w:rsidTr="00901BE1">
        <w:trPr>
          <w:trHeight w:val="720"/>
        </w:trPr>
        <w:tc>
          <w:tcPr>
            <w:tcW w:w="993" w:type="dxa"/>
            <w:tcBorders>
              <w:top w:val="nil"/>
              <w:left w:val="nil"/>
              <w:bottom w:val="nil"/>
              <w:right w:val="nil"/>
            </w:tcBorders>
          </w:tcPr>
          <w:p w14:paraId="148C10B9" w14:textId="77777777" w:rsidR="00901BE1" w:rsidRPr="00B528A4" w:rsidRDefault="00901BE1" w:rsidP="00A50CCE">
            <w:pPr>
              <w:pStyle w:val="OZNACZENIEPUNKTUWUCHWALESENACKIEJ"/>
            </w:pPr>
          </w:p>
        </w:tc>
        <w:tc>
          <w:tcPr>
            <w:tcW w:w="8221" w:type="dxa"/>
            <w:tcBorders>
              <w:top w:val="nil"/>
              <w:left w:val="nil"/>
              <w:bottom w:val="nil"/>
              <w:right w:val="nil"/>
            </w:tcBorders>
          </w:tcPr>
          <w:p w14:paraId="5C6A52DC" w14:textId="4D94DB4F" w:rsidR="00901BE1" w:rsidRDefault="00901BE1" w:rsidP="00A50CCE">
            <w:pPr>
              <w:pStyle w:val="TREPUNKTUWUCHWALESENACKIEJ"/>
            </w:pPr>
            <w:r>
              <w:t>w art. 10 w ust. 1 po wyrazie „wyznaczając” dodaje się wyraz „im”;</w:t>
            </w:r>
          </w:p>
        </w:tc>
      </w:tr>
      <w:tr w:rsidR="00901BE1" w:rsidRPr="00B528A4" w14:paraId="2A143139" w14:textId="77777777" w:rsidTr="00901BE1">
        <w:trPr>
          <w:trHeight w:val="720"/>
        </w:trPr>
        <w:tc>
          <w:tcPr>
            <w:tcW w:w="993" w:type="dxa"/>
            <w:tcBorders>
              <w:top w:val="nil"/>
              <w:left w:val="nil"/>
              <w:bottom w:val="nil"/>
              <w:right w:val="nil"/>
            </w:tcBorders>
          </w:tcPr>
          <w:p w14:paraId="7029619E" w14:textId="77777777" w:rsidR="00901BE1" w:rsidRPr="00B528A4" w:rsidRDefault="00901BE1" w:rsidP="00A50CCE">
            <w:pPr>
              <w:pStyle w:val="OZNACZENIEPUNKTUWUCHWALESENACKIEJ"/>
            </w:pPr>
          </w:p>
        </w:tc>
        <w:tc>
          <w:tcPr>
            <w:tcW w:w="8221" w:type="dxa"/>
            <w:tcBorders>
              <w:top w:val="nil"/>
              <w:left w:val="nil"/>
              <w:bottom w:val="nil"/>
              <w:right w:val="nil"/>
            </w:tcBorders>
          </w:tcPr>
          <w:p w14:paraId="3646F583" w14:textId="77777777" w:rsidR="00901BE1" w:rsidRPr="00A50CCE" w:rsidRDefault="00901BE1" w:rsidP="00A50CCE">
            <w:pPr>
              <w:pStyle w:val="TREPUNKTUWUCHWALESENACKIEJ"/>
            </w:pPr>
            <w:r>
              <w:t>w art. 19 ust. 2 otrzymuje brzmienie:</w:t>
            </w:r>
          </w:p>
          <w:p w14:paraId="7E92D505" w14:textId="7EAF1819" w:rsidR="00901BE1" w:rsidRPr="00A50CCE" w:rsidRDefault="00901BE1" w:rsidP="00A50CCE">
            <w:pPr>
              <w:pStyle w:val="USTustnpkodeksu"/>
            </w:pPr>
            <w:r>
              <w:t>„</w:t>
            </w:r>
            <w:r w:rsidRPr="00A50CCE">
              <w:t xml:space="preserve">2. W </w:t>
            </w:r>
            <w:r>
              <w:t>postępowaniach</w:t>
            </w:r>
            <w:r w:rsidRPr="00A50CCE">
              <w:t xml:space="preserve"> wszczętych i niezakończonych przed dniem wejścia </w:t>
            </w:r>
            <w:r w:rsidR="0041237F">
              <w:br/>
            </w:r>
            <w:r w:rsidRPr="00A50CCE">
              <w:t>w życie niniejszej ustawy przepis art. 4</w:t>
            </w:r>
            <w:r w:rsidRPr="00A50CCE">
              <w:rPr>
                <w:rStyle w:val="IGindeksgrny"/>
              </w:rPr>
              <w:t>[1]</w:t>
            </w:r>
            <w:r w:rsidRPr="00A50CCE">
              <w:t xml:space="preserve"> ustawy zmienianej w</w:t>
            </w:r>
            <w:r>
              <w:t> </w:t>
            </w:r>
            <w:r w:rsidRPr="00A50CCE">
              <w:t>art. 18, w brzmieniu nadanym niniejszą ustawą, stosuje się do czynności procesowych podjętych po dniu wejścia w życie niniejszej ustawy.”.</w:t>
            </w:r>
          </w:p>
        </w:tc>
      </w:tr>
    </w:tbl>
    <w:p w14:paraId="66DF936F" w14:textId="77777777" w:rsidR="00A67615" w:rsidRDefault="00A67615" w:rsidP="00A67615">
      <w:pPr>
        <w:ind w:left="5443"/>
        <w:rPr>
          <w:rStyle w:val="Ppogrubienie"/>
        </w:rPr>
      </w:pPr>
      <w:r>
        <w:rPr>
          <w:rFonts w:eastAsia="Times New Roman" w:cs="Times New Roman"/>
          <w:b/>
          <w:color w:val="000000" w:themeColor="text1"/>
        </w:rPr>
        <w:tab/>
      </w:r>
      <w:r>
        <w:rPr>
          <w:rStyle w:val="Ppogrubienie"/>
          <w:color w:val="000000" w:themeColor="text1"/>
        </w:rPr>
        <w:t>MARSZAŁEK SENATU</w:t>
      </w:r>
    </w:p>
    <w:p w14:paraId="2A27E663" w14:textId="77777777" w:rsidR="00A67615" w:rsidRDefault="00A67615" w:rsidP="00A67615">
      <w:pPr>
        <w:ind w:left="5103" w:firstLine="4"/>
        <w:rPr>
          <w:rStyle w:val="Ppogrubienie"/>
          <w:color w:val="000000" w:themeColor="text1"/>
        </w:rPr>
      </w:pPr>
    </w:p>
    <w:p w14:paraId="57BE2E5E" w14:textId="77777777" w:rsidR="00A67615" w:rsidRDefault="00A67615" w:rsidP="00A67615">
      <w:pPr>
        <w:ind w:left="5103" w:firstLine="4"/>
        <w:rPr>
          <w:rStyle w:val="Ppogrubienie"/>
          <w:color w:val="000000" w:themeColor="text1"/>
        </w:rPr>
      </w:pPr>
    </w:p>
    <w:p w14:paraId="36BF8EC5" w14:textId="77777777" w:rsidR="00B400EB" w:rsidRDefault="00A67615" w:rsidP="00A67615">
      <w:pPr>
        <w:tabs>
          <w:tab w:val="left" w:pos="5387"/>
        </w:tabs>
        <w:ind w:left="4962" w:firstLine="283"/>
        <w:rPr>
          <w:rStyle w:val="Ppogrubienie"/>
          <w:color w:val="000000" w:themeColor="text1"/>
        </w:rPr>
        <w:sectPr w:rsidR="00B400EB" w:rsidSect="001A7F15">
          <w:headerReference w:type="default" r:id="rId9"/>
          <w:footnotePr>
            <w:numRestart w:val="eachSect"/>
          </w:footnotePr>
          <w:pgSz w:w="11906" w:h="16838"/>
          <w:pgMar w:top="1560" w:right="1434" w:bottom="1560" w:left="1418" w:header="709" w:footer="709" w:gutter="0"/>
          <w:cols w:space="708"/>
          <w:titlePg/>
          <w:docGrid w:linePitch="254"/>
        </w:sectPr>
      </w:pPr>
      <w:r>
        <w:rPr>
          <w:rStyle w:val="Ppogrubienie"/>
          <w:color w:val="000000" w:themeColor="text1"/>
        </w:rPr>
        <w:t>Małgorzata KIDAWA-BŁOŃSKA</w:t>
      </w:r>
    </w:p>
    <w:p w14:paraId="71AAB2E3" w14:textId="77777777" w:rsidR="00B400EB" w:rsidRDefault="00B400EB" w:rsidP="00B400EB">
      <w:pPr>
        <w:pStyle w:val="OZNRODZAKTUtznustawalubrozporzdzenieiorganwydajcy"/>
      </w:pPr>
      <w:r>
        <w:lastRenderedPageBreak/>
        <w:t>uzasadnienie</w:t>
      </w:r>
    </w:p>
    <w:p w14:paraId="3C9DA2AE" w14:textId="77777777" w:rsidR="00B400EB" w:rsidRPr="00E6394A" w:rsidRDefault="00B400EB" w:rsidP="00B400EB">
      <w:pPr>
        <w:pStyle w:val="NIEARTTEKSTtekstnieartykuowanynppodstprawnarozplubpreambua"/>
      </w:pPr>
      <w:r w:rsidRPr="00D76C8E">
        <w:t>Senat, po rozpatrzeniu uchwalonej przez Sejm na posiedzen</w:t>
      </w:r>
      <w:r>
        <w:t>iu w dniu 15 maja 2026 r.</w:t>
      </w:r>
      <w:r w:rsidRPr="00D76C8E">
        <w:t xml:space="preserve"> ustawy </w:t>
      </w:r>
      <w:bookmarkStart w:id="1" w:name="_Hlk192766970"/>
      <w:r w:rsidRPr="00450A6F">
        <w:t>o szczególnych środkach ochrony w postępowaniu cywilnym osób uczestniczących w</w:t>
      </w:r>
      <w:r>
        <w:t> </w:t>
      </w:r>
      <w:r w:rsidRPr="00450A6F">
        <w:t>debacie publicznej</w:t>
      </w:r>
      <w:bookmarkEnd w:id="1"/>
      <w:r w:rsidRPr="00D76C8E">
        <w:t xml:space="preserve">, </w:t>
      </w:r>
      <w:r>
        <w:t xml:space="preserve">proponuje wprowadzenie do </w:t>
      </w:r>
      <w:r w:rsidRPr="00E6394A">
        <w:t xml:space="preserve">jej tekstu </w:t>
      </w:r>
      <w:r>
        <w:t>4</w:t>
      </w:r>
      <w:r w:rsidRPr="00E6394A">
        <w:t> popraw</w:t>
      </w:r>
      <w:r>
        <w:t>e</w:t>
      </w:r>
      <w:r w:rsidRPr="00E6394A">
        <w:t>k.</w:t>
      </w:r>
    </w:p>
    <w:p w14:paraId="0676BC90" w14:textId="77777777" w:rsidR="00B400EB" w:rsidRDefault="00B400EB" w:rsidP="00B400EB">
      <w:pPr>
        <w:pStyle w:val="ARTartustawynprozporzdzenia"/>
      </w:pPr>
      <w:r w:rsidRPr="0096000F">
        <w:rPr>
          <w:b/>
        </w:rPr>
        <w:t xml:space="preserve">Poprawka nr 1 </w:t>
      </w:r>
      <w:r w:rsidRPr="0096000F">
        <w:t>koryguje zakres odesłania do przepisu Kodeksu postępowania cywilnego</w:t>
      </w:r>
      <w:r>
        <w:t xml:space="preserve"> zawarty w art. 6 procedowanej ustawy, uwzględniając, że odesłanie do § 1 w </w:t>
      </w:r>
      <w:r w:rsidRPr="00EA1FAC">
        <w:t>art.</w:t>
      </w:r>
      <w:r w:rsidRPr="0096000F">
        <w:t xml:space="preserve"> 191</w:t>
      </w:r>
      <w:r w:rsidRPr="0096000F">
        <w:rPr>
          <w:rStyle w:val="IGindeksgrny"/>
        </w:rPr>
        <w:t>[1</w:t>
      </w:r>
      <w:r w:rsidRPr="0096000F">
        <w:rPr>
          <w:bCs/>
          <w:vertAlign w:val="superscript"/>
        </w:rPr>
        <w:t>]</w:t>
      </w:r>
      <w:r>
        <w:t xml:space="preserve"> jest zbędne (</w:t>
      </w:r>
      <w:r w:rsidRPr="0096000F">
        <w:rPr>
          <w:bCs/>
        </w:rPr>
        <w:t>przesłanki zawarte w art. 191</w:t>
      </w:r>
      <w:r w:rsidRPr="0096000F">
        <w:rPr>
          <w:bCs/>
          <w:vertAlign w:val="superscript"/>
        </w:rPr>
        <w:t>[1]</w:t>
      </w:r>
      <w:r w:rsidRPr="0096000F">
        <w:rPr>
          <w:bCs/>
        </w:rPr>
        <w:t xml:space="preserve"> § 1 </w:t>
      </w:r>
      <w:r>
        <w:rPr>
          <w:bCs/>
        </w:rPr>
        <w:t>Kodeksu</w:t>
      </w:r>
      <w:r w:rsidRPr="0096000F">
        <w:rPr>
          <w:bCs/>
        </w:rPr>
        <w:t xml:space="preserve"> </w:t>
      </w:r>
      <w:r w:rsidRPr="0096000F">
        <w:t>postępowania cywilnego</w:t>
      </w:r>
      <w:r w:rsidRPr="0096000F">
        <w:rPr>
          <w:bCs/>
        </w:rPr>
        <w:t xml:space="preserve"> zostały powtórzone w treści art. 6</w:t>
      </w:r>
      <w:r>
        <w:rPr>
          <w:bCs/>
        </w:rPr>
        <w:t>).</w:t>
      </w:r>
    </w:p>
    <w:p w14:paraId="142CA181" w14:textId="77777777" w:rsidR="00B400EB" w:rsidRPr="00E004C3" w:rsidRDefault="00B400EB" w:rsidP="00B400EB">
      <w:pPr>
        <w:pStyle w:val="ARTartustawynprozporzdzenia"/>
      </w:pPr>
      <w:r>
        <w:t>Senat odniósł się również do treści w art. 7 ust. 1 procedowanej ustawy, regulującego</w:t>
      </w:r>
      <w:r w:rsidRPr="00450A6F">
        <w:t xml:space="preserve"> postępowanie w przypadku złożenia przez pozwanego wniosku o oddalenie powództwa jako oczywiście bezzasadnego w sprawach</w:t>
      </w:r>
      <w:r>
        <w:t xml:space="preserve"> </w:t>
      </w:r>
      <w:r w:rsidRPr="00E004C3">
        <w:t>cywilnych zmierzających wyłącznie lub głównie do stłumienia, ograniczenia, zakłócenia debaty publicznej lub szykanowania za udział w niej</w:t>
      </w:r>
      <w:r>
        <w:t>.</w:t>
      </w:r>
      <w:bookmarkStart w:id="2" w:name="_Hlk230171070"/>
      <w:r>
        <w:t xml:space="preserve"> Izba proponuje doprecyzowanie tego przepisu w sposób, który pozwoli na pełniejszą implementację</w:t>
      </w:r>
      <w:r w:rsidRPr="00A96546">
        <w:t xml:space="preserve"> art. 12 dyrektywy Parlamentu Europejskiego i Rady (UE) 2024/1069 z dnia 11 kwietnia 2024</w:t>
      </w:r>
      <w:r>
        <w:t> </w:t>
      </w:r>
      <w:r w:rsidRPr="00A96546">
        <w:t>r. w</w:t>
      </w:r>
      <w:r>
        <w:t xml:space="preserve"> </w:t>
      </w:r>
      <w:r w:rsidRPr="00A96546">
        <w:t>sprawie ochrony osób, które angażują się w debatę publiczną, przed oczywiście bezzasadnymi roszczeniami lub stanowiącymi nadużycie postępowaniami sądowymi (</w:t>
      </w:r>
      <w:r>
        <w:t>„</w:t>
      </w:r>
      <w:r w:rsidRPr="00A96546">
        <w:t>strategiczne powództwa zmierzające do stłumienia debaty publicznej</w:t>
      </w:r>
      <w:r>
        <w:t>”)</w:t>
      </w:r>
      <w:r w:rsidRPr="00A96546">
        <w:t>.</w:t>
      </w:r>
      <w:r>
        <w:t xml:space="preserve"> </w:t>
      </w:r>
      <w:r w:rsidRPr="00450A6F">
        <w:t>Proponuje się, aby w</w:t>
      </w:r>
      <w:r>
        <w:t> </w:t>
      </w:r>
      <w:r w:rsidRPr="00450A6F">
        <w:t xml:space="preserve">przypadku </w:t>
      </w:r>
      <w:r>
        <w:t xml:space="preserve">złożenia </w:t>
      </w:r>
      <w:r w:rsidRPr="00450A6F">
        <w:t xml:space="preserve">wniosku </w:t>
      </w:r>
      <w:r w:rsidRPr="0096000F">
        <w:t xml:space="preserve">o uznanie powództwa jako oczywiście bezzasadnego </w:t>
      </w:r>
      <w:r w:rsidRPr="00450A6F">
        <w:t xml:space="preserve">powód był obowiązany do wskazania okoliczności pozwalających sądowi na ocenę, czy powództwo nie jest oczywiście bezzasadne. </w:t>
      </w:r>
      <w:bookmarkEnd w:id="2"/>
      <w:r>
        <w:t>O</w:t>
      </w:r>
      <w:r w:rsidRPr="00450A6F">
        <w:t xml:space="preserve">bowiązek powstanie niezależnie od tego, czy wniosek został złożony na rozprawie czy poza </w:t>
      </w:r>
      <w:r>
        <w:t>nią</w:t>
      </w:r>
      <w:r w:rsidRPr="00450A6F">
        <w:t>. W przypadku wniosku złożonego poza rozprawą, sąd dysponuje możliwością odebrania od powoda stanowiska na piśmie lub wysłuchania stron na posiedzeniu niejawnym</w:t>
      </w:r>
      <w:r>
        <w:t xml:space="preserve"> (</w:t>
      </w:r>
      <w:r w:rsidRPr="00EA1FAC">
        <w:rPr>
          <w:rStyle w:val="Ppogrubienie"/>
        </w:rPr>
        <w:t>poprawka nr 2</w:t>
      </w:r>
      <w:r>
        <w:t>)</w:t>
      </w:r>
      <w:r w:rsidRPr="00450A6F">
        <w:t>.</w:t>
      </w:r>
    </w:p>
    <w:p w14:paraId="0F3C8664" w14:textId="77777777" w:rsidR="00B400EB" w:rsidRDefault="00B400EB" w:rsidP="00B400EB">
      <w:pPr>
        <w:pStyle w:val="ARTartustawynprozporzdzenia"/>
        <w:rPr>
          <w:bCs/>
        </w:rPr>
      </w:pPr>
      <w:r w:rsidRPr="00EA1FAC">
        <w:rPr>
          <w:b/>
          <w:bCs/>
        </w:rPr>
        <w:t xml:space="preserve">Poprawka </w:t>
      </w:r>
      <w:r w:rsidRPr="00EB3250">
        <w:rPr>
          <w:rStyle w:val="Ppogrubienie"/>
        </w:rPr>
        <w:t>nr 3</w:t>
      </w:r>
      <w:r>
        <w:rPr>
          <w:bCs/>
        </w:rPr>
        <w:t xml:space="preserve"> </w:t>
      </w:r>
      <w:r w:rsidRPr="00EA1FAC">
        <w:rPr>
          <w:bCs/>
        </w:rPr>
        <w:t>zmierza do przesądzenia, że obowiązek złożenia pisma przygotowawczego przed wydaniem przez sąd postanowienia o odrzuceniu pozwu dotyczy obu stron postępowania.</w:t>
      </w:r>
    </w:p>
    <w:p w14:paraId="1FFC6A78" w14:textId="77777777" w:rsidR="00B400EB" w:rsidRPr="007652BC" w:rsidRDefault="00B400EB" w:rsidP="00B400EB">
      <w:pPr>
        <w:pStyle w:val="ARTartustawynprozporzdzenia"/>
      </w:pPr>
      <w:r w:rsidRPr="0096000F">
        <w:rPr>
          <w:b/>
        </w:rPr>
        <w:t xml:space="preserve">Poprawka nr </w:t>
      </w:r>
      <w:r>
        <w:rPr>
          <w:b/>
        </w:rPr>
        <w:t>4</w:t>
      </w:r>
      <w:r w:rsidRPr="0096000F">
        <w:rPr>
          <w:b/>
        </w:rPr>
        <w:t xml:space="preserve"> </w:t>
      </w:r>
      <w:r w:rsidRPr="004804E5">
        <w:t>usuwa ewentualne wątpliwości interpretacyjne</w:t>
      </w:r>
      <w:r>
        <w:rPr>
          <w:b/>
        </w:rPr>
        <w:t xml:space="preserve"> </w:t>
      </w:r>
      <w:r w:rsidRPr="0096000F">
        <w:rPr>
          <w:bCs/>
        </w:rPr>
        <w:t>doprecyzowuj</w:t>
      </w:r>
      <w:r>
        <w:rPr>
          <w:bCs/>
        </w:rPr>
        <w:t>ąc</w:t>
      </w:r>
      <w:r w:rsidRPr="0096000F">
        <w:rPr>
          <w:bCs/>
        </w:rPr>
        <w:t>, że znowelizowany przepis</w:t>
      </w:r>
      <w:r>
        <w:rPr>
          <w:bCs/>
        </w:rPr>
        <w:t xml:space="preserve"> art. 4</w:t>
      </w:r>
      <w:r>
        <w:rPr>
          <w:rStyle w:val="IGindeksgrny"/>
        </w:rPr>
        <w:t>[1]</w:t>
      </w:r>
      <w:r w:rsidRPr="0096000F">
        <w:rPr>
          <w:bCs/>
        </w:rPr>
        <w:t xml:space="preserve"> Kodeksu postępowania cywilnego będzie miał zastosowanie do </w:t>
      </w:r>
      <w:r>
        <w:rPr>
          <w:bCs/>
        </w:rPr>
        <w:t>postępowań</w:t>
      </w:r>
      <w:r w:rsidRPr="0096000F">
        <w:rPr>
          <w:bCs/>
        </w:rPr>
        <w:t xml:space="preserve"> wszczętych i niezakończonych przed dniem wejścia w życie</w:t>
      </w:r>
      <w:r>
        <w:rPr>
          <w:bCs/>
        </w:rPr>
        <w:t xml:space="preserve"> procedowanej ustawy</w:t>
      </w:r>
      <w:r w:rsidRPr="0096000F">
        <w:rPr>
          <w:bCs/>
        </w:rPr>
        <w:t>, lecz jedynie</w:t>
      </w:r>
      <w:r>
        <w:rPr>
          <w:bCs/>
        </w:rPr>
        <w:t xml:space="preserve"> w odniesieniu </w:t>
      </w:r>
      <w:r w:rsidRPr="0096000F">
        <w:rPr>
          <w:bCs/>
        </w:rPr>
        <w:t xml:space="preserve">do czynności procesowych podjętych po dniu </w:t>
      </w:r>
      <w:r>
        <w:rPr>
          <w:bCs/>
        </w:rPr>
        <w:t>jej wejścia</w:t>
      </w:r>
      <w:r w:rsidRPr="0096000F">
        <w:rPr>
          <w:bCs/>
        </w:rPr>
        <w:t xml:space="preserve"> w</w:t>
      </w:r>
      <w:r>
        <w:rPr>
          <w:bCs/>
        </w:rPr>
        <w:t> </w:t>
      </w:r>
      <w:r w:rsidRPr="0096000F">
        <w:rPr>
          <w:bCs/>
        </w:rPr>
        <w:t>życie</w:t>
      </w:r>
      <w:r w:rsidRPr="0096000F">
        <w:t>.</w:t>
      </w:r>
    </w:p>
    <w:p w14:paraId="241502BF" w14:textId="59C00653" w:rsidR="00AE039B" w:rsidRPr="00737F6A" w:rsidRDefault="00AE039B" w:rsidP="00A67615">
      <w:pPr>
        <w:tabs>
          <w:tab w:val="left" w:pos="5387"/>
        </w:tabs>
        <w:ind w:left="4962" w:firstLine="283"/>
      </w:pPr>
    </w:p>
    <w:sectPr w:rsidR="00AE039B"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15C1" w14:textId="77777777" w:rsidR="00341D7D" w:rsidRDefault="00341D7D">
      <w:r>
        <w:separator/>
      </w:r>
    </w:p>
  </w:endnote>
  <w:endnote w:type="continuationSeparator" w:id="0">
    <w:p w14:paraId="296FC756" w14:textId="77777777" w:rsidR="00341D7D" w:rsidRDefault="0034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134B" w14:textId="77777777" w:rsidR="00341D7D" w:rsidRDefault="00341D7D">
      <w:r>
        <w:separator/>
      </w:r>
    </w:p>
  </w:footnote>
  <w:footnote w:type="continuationSeparator" w:id="0">
    <w:p w14:paraId="204D68BA" w14:textId="77777777" w:rsidR="00341D7D" w:rsidRDefault="00341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C4B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722EB0">
      <w:rPr>
        <w:noProof/>
      </w:rPr>
      <w:t>2</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43A7"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B400EB">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2201"/>
        </w:tabs>
        <w:ind w:left="2201"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C9A42C00"/>
    <w:lvl w:ilvl="0" w:tplc="40D202E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148039">
    <w:abstractNumId w:val="23"/>
  </w:num>
  <w:num w:numId="2" w16cid:durableId="482703405">
    <w:abstractNumId w:val="23"/>
  </w:num>
  <w:num w:numId="3" w16cid:durableId="1678772960">
    <w:abstractNumId w:val="18"/>
  </w:num>
  <w:num w:numId="4" w16cid:durableId="1439258738">
    <w:abstractNumId w:val="18"/>
  </w:num>
  <w:num w:numId="5" w16cid:durableId="1396050233">
    <w:abstractNumId w:val="36"/>
  </w:num>
  <w:num w:numId="6" w16cid:durableId="1431660278">
    <w:abstractNumId w:val="32"/>
  </w:num>
  <w:num w:numId="7" w16cid:durableId="734621118">
    <w:abstractNumId w:val="36"/>
  </w:num>
  <w:num w:numId="8" w16cid:durableId="1008017163">
    <w:abstractNumId w:val="32"/>
  </w:num>
  <w:num w:numId="9" w16cid:durableId="2135439124">
    <w:abstractNumId w:val="36"/>
  </w:num>
  <w:num w:numId="10" w16cid:durableId="1243489124">
    <w:abstractNumId w:val="32"/>
  </w:num>
  <w:num w:numId="11" w16cid:durableId="2062778059">
    <w:abstractNumId w:val="14"/>
  </w:num>
  <w:num w:numId="12" w16cid:durableId="2037150292">
    <w:abstractNumId w:val="10"/>
  </w:num>
  <w:num w:numId="13" w16cid:durableId="1151169228">
    <w:abstractNumId w:val="15"/>
  </w:num>
  <w:num w:numId="14" w16cid:durableId="1489134247">
    <w:abstractNumId w:val="27"/>
  </w:num>
  <w:num w:numId="15" w16cid:durableId="1511067593">
    <w:abstractNumId w:val="14"/>
  </w:num>
  <w:num w:numId="16" w16cid:durableId="1020622982">
    <w:abstractNumId w:val="16"/>
  </w:num>
  <w:num w:numId="17" w16cid:durableId="1562061156">
    <w:abstractNumId w:val="8"/>
  </w:num>
  <w:num w:numId="18" w16cid:durableId="577859787">
    <w:abstractNumId w:val="3"/>
  </w:num>
  <w:num w:numId="19" w16cid:durableId="1973633807">
    <w:abstractNumId w:val="2"/>
  </w:num>
  <w:num w:numId="20" w16cid:durableId="1884637838">
    <w:abstractNumId w:val="1"/>
  </w:num>
  <w:num w:numId="21" w16cid:durableId="676158114">
    <w:abstractNumId w:val="0"/>
  </w:num>
  <w:num w:numId="22" w16cid:durableId="1173951096">
    <w:abstractNumId w:val="9"/>
  </w:num>
  <w:num w:numId="23" w16cid:durableId="1191917206">
    <w:abstractNumId w:val="7"/>
  </w:num>
  <w:num w:numId="24" w16cid:durableId="1256786942">
    <w:abstractNumId w:val="6"/>
  </w:num>
  <w:num w:numId="25" w16cid:durableId="1439711838">
    <w:abstractNumId w:val="5"/>
  </w:num>
  <w:num w:numId="26" w16cid:durableId="880095731">
    <w:abstractNumId w:val="4"/>
  </w:num>
  <w:num w:numId="27" w16cid:durableId="1727407687">
    <w:abstractNumId w:val="34"/>
  </w:num>
  <w:num w:numId="28" w16cid:durableId="1091437973">
    <w:abstractNumId w:val="26"/>
  </w:num>
  <w:num w:numId="29" w16cid:durableId="1589149010">
    <w:abstractNumId w:val="37"/>
  </w:num>
  <w:num w:numId="30" w16cid:durableId="1197933877">
    <w:abstractNumId w:val="33"/>
  </w:num>
  <w:num w:numId="31" w16cid:durableId="58674238">
    <w:abstractNumId w:val="19"/>
  </w:num>
  <w:num w:numId="32" w16cid:durableId="1070735935">
    <w:abstractNumId w:val="11"/>
  </w:num>
  <w:num w:numId="33" w16cid:durableId="1863976507">
    <w:abstractNumId w:val="31"/>
  </w:num>
  <w:num w:numId="34" w16cid:durableId="88892173">
    <w:abstractNumId w:val="20"/>
  </w:num>
  <w:num w:numId="35" w16cid:durableId="1282614849">
    <w:abstractNumId w:val="17"/>
  </w:num>
  <w:num w:numId="36" w16cid:durableId="2096389863">
    <w:abstractNumId w:val="22"/>
  </w:num>
  <w:num w:numId="37" w16cid:durableId="262345882">
    <w:abstractNumId w:val="28"/>
  </w:num>
  <w:num w:numId="38" w16cid:durableId="377709175">
    <w:abstractNumId w:val="25"/>
  </w:num>
  <w:num w:numId="39" w16cid:durableId="1844541201">
    <w:abstractNumId w:val="13"/>
  </w:num>
  <w:num w:numId="40" w16cid:durableId="331030757">
    <w:abstractNumId w:val="30"/>
  </w:num>
  <w:num w:numId="41" w16cid:durableId="1368221572">
    <w:abstractNumId w:val="29"/>
  </w:num>
  <w:num w:numId="42" w16cid:durableId="450900695">
    <w:abstractNumId w:val="21"/>
  </w:num>
  <w:num w:numId="43" w16cid:durableId="965114792">
    <w:abstractNumId w:val="35"/>
  </w:num>
  <w:num w:numId="44" w16cid:durableId="1946688264">
    <w:abstractNumId w:val="12"/>
  </w:num>
  <w:num w:numId="45" w16cid:durableId="1499691733">
    <w:abstractNumId w:val="24"/>
  </w:num>
  <w:num w:numId="46" w16cid:durableId="1635672256">
    <w:abstractNumId w:val="24"/>
  </w:num>
  <w:num w:numId="47" w16cid:durableId="649020386">
    <w:abstractNumId w:val="24"/>
  </w:num>
  <w:num w:numId="48" w16cid:durableId="5036655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0B1E"/>
    <w:rsid w:val="000517AB"/>
    <w:rsid w:val="0005339C"/>
    <w:rsid w:val="0005571B"/>
    <w:rsid w:val="00057AB3"/>
    <w:rsid w:val="00060076"/>
    <w:rsid w:val="00060432"/>
    <w:rsid w:val="00060D87"/>
    <w:rsid w:val="000615A5"/>
    <w:rsid w:val="00064E4C"/>
    <w:rsid w:val="00066901"/>
    <w:rsid w:val="00070437"/>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2941"/>
    <w:rsid w:val="000D318A"/>
    <w:rsid w:val="000D6173"/>
    <w:rsid w:val="000D6F83"/>
    <w:rsid w:val="000E25CC"/>
    <w:rsid w:val="000E3694"/>
    <w:rsid w:val="000E490F"/>
    <w:rsid w:val="000E6241"/>
    <w:rsid w:val="000F297B"/>
    <w:rsid w:val="000F2BE3"/>
    <w:rsid w:val="000F3D0D"/>
    <w:rsid w:val="000F6ED4"/>
    <w:rsid w:val="000F7A6E"/>
    <w:rsid w:val="001042BA"/>
    <w:rsid w:val="00106D03"/>
    <w:rsid w:val="00110465"/>
    <w:rsid w:val="00110628"/>
    <w:rsid w:val="0011245A"/>
    <w:rsid w:val="00113209"/>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023F"/>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1A57"/>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1E3"/>
    <w:rsid w:val="002E2AB6"/>
    <w:rsid w:val="002E3F34"/>
    <w:rsid w:val="002E5F79"/>
    <w:rsid w:val="002E64FA"/>
    <w:rsid w:val="002F0A00"/>
    <w:rsid w:val="002F0CFA"/>
    <w:rsid w:val="002F669F"/>
    <w:rsid w:val="00301C97"/>
    <w:rsid w:val="00304CA1"/>
    <w:rsid w:val="0031004C"/>
    <w:rsid w:val="003105F6"/>
    <w:rsid w:val="00311297"/>
    <w:rsid w:val="003113BE"/>
    <w:rsid w:val="003122CA"/>
    <w:rsid w:val="003148FD"/>
    <w:rsid w:val="00321080"/>
    <w:rsid w:val="00322D45"/>
    <w:rsid w:val="0032569A"/>
    <w:rsid w:val="00325A1F"/>
    <w:rsid w:val="003268F9"/>
    <w:rsid w:val="003309D1"/>
    <w:rsid w:val="00330BAF"/>
    <w:rsid w:val="00334E3A"/>
    <w:rsid w:val="003361DD"/>
    <w:rsid w:val="00341A6A"/>
    <w:rsid w:val="00341D7D"/>
    <w:rsid w:val="00345B9C"/>
    <w:rsid w:val="00351BBB"/>
    <w:rsid w:val="00352DAE"/>
    <w:rsid w:val="00354EB9"/>
    <w:rsid w:val="003561A1"/>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4695"/>
    <w:rsid w:val="003A60DC"/>
    <w:rsid w:val="003A6A46"/>
    <w:rsid w:val="003A7A63"/>
    <w:rsid w:val="003B000C"/>
    <w:rsid w:val="003B0F1D"/>
    <w:rsid w:val="003B3509"/>
    <w:rsid w:val="003B4A57"/>
    <w:rsid w:val="003C0AD9"/>
    <w:rsid w:val="003C0ED0"/>
    <w:rsid w:val="003C1D49"/>
    <w:rsid w:val="003C35C4"/>
    <w:rsid w:val="003D12C2"/>
    <w:rsid w:val="003D31B9"/>
    <w:rsid w:val="003D3867"/>
    <w:rsid w:val="003D74C5"/>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180A"/>
    <w:rsid w:val="0041237F"/>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A762B"/>
    <w:rsid w:val="004B00A7"/>
    <w:rsid w:val="004B25E2"/>
    <w:rsid w:val="004B34D7"/>
    <w:rsid w:val="004B5037"/>
    <w:rsid w:val="004B5B2F"/>
    <w:rsid w:val="004B626A"/>
    <w:rsid w:val="004B660E"/>
    <w:rsid w:val="004C05BD"/>
    <w:rsid w:val="004C3B06"/>
    <w:rsid w:val="004C3F97"/>
    <w:rsid w:val="004C6742"/>
    <w:rsid w:val="004C7EE7"/>
    <w:rsid w:val="004D2DEE"/>
    <w:rsid w:val="004D2E1F"/>
    <w:rsid w:val="004D7FD9"/>
    <w:rsid w:val="004E1324"/>
    <w:rsid w:val="004E19A5"/>
    <w:rsid w:val="004E37E5"/>
    <w:rsid w:val="004E3FDB"/>
    <w:rsid w:val="004E6041"/>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97B89"/>
    <w:rsid w:val="005A0274"/>
    <w:rsid w:val="005A095C"/>
    <w:rsid w:val="005A669D"/>
    <w:rsid w:val="005A6793"/>
    <w:rsid w:val="005A75D8"/>
    <w:rsid w:val="005B713E"/>
    <w:rsid w:val="005C03B6"/>
    <w:rsid w:val="005C348E"/>
    <w:rsid w:val="005C68E1"/>
    <w:rsid w:val="005C6E84"/>
    <w:rsid w:val="005D3763"/>
    <w:rsid w:val="005D55E1"/>
    <w:rsid w:val="005D68B2"/>
    <w:rsid w:val="005E19F7"/>
    <w:rsid w:val="005E4F04"/>
    <w:rsid w:val="005E62C2"/>
    <w:rsid w:val="005E6C71"/>
    <w:rsid w:val="005F0963"/>
    <w:rsid w:val="005F13BB"/>
    <w:rsid w:val="005F2824"/>
    <w:rsid w:val="005F2EBA"/>
    <w:rsid w:val="005F35ED"/>
    <w:rsid w:val="005F7812"/>
    <w:rsid w:val="005F7A88"/>
    <w:rsid w:val="00603A1A"/>
    <w:rsid w:val="006046D5"/>
    <w:rsid w:val="00607A93"/>
    <w:rsid w:val="00610C08"/>
    <w:rsid w:val="00611F74"/>
    <w:rsid w:val="00615772"/>
    <w:rsid w:val="006163C1"/>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2EB0"/>
    <w:rsid w:val="0072457F"/>
    <w:rsid w:val="00725406"/>
    <w:rsid w:val="0072621B"/>
    <w:rsid w:val="00730555"/>
    <w:rsid w:val="007312CC"/>
    <w:rsid w:val="00736A64"/>
    <w:rsid w:val="00737F6A"/>
    <w:rsid w:val="00737F84"/>
    <w:rsid w:val="007410B6"/>
    <w:rsid w:val="00744C6F"/>
    <w:rsid w:val="00744EFC"/>
    <w:rsid w:val="007457F6"/>
    <w:rsid w:val="00745ABB"/>
    <w:rsid w:val="00746E38"/>
    <w:rsid w:val="00747CD5"/>
    <w:rsid w:val="00753B51"/>
    <w:rsid w:val="00756629"/>
    <w:rsid w:val="007575D2"/>
    <w:rsid w:val="00757B4F"/>
    <w:rsid w:val="00757B6A"/>
    <w:rsid w:val="007610E0"/>
    <w:rsid w:val="007621AA"/>
    <w:rsid w:val="0076260A"/>
    <w:rsid w:val="00764A67"/>
    <w:rsid w:val="00770A4D"/>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1C9"/>
    <w:rsid w:val="007F2EB6"/>
    <w:rsid w:val="007F54C3"/>
    <w:rsid w:val="00802949"/>
    <w:rsid w:val="0080301E"/>
    <w:rsid w:val="0080365F"/>
    <w:rsid w:val="00812BE5"/>
    <w:rsid w:val="00815ADD"/>
    <w:rsid w:val="00817429"/>
    <w:rsid w:val="00821514"/>
    <w:rsid w:val="00821E35"/>
    <w:rsid w:val="00824591"/>
    <w:rsid w:val="00824AED"/>
    <w:rsid w:val="00827820"/>
    <w:rsid w:val="00831B8B"/>
    <w:rsid w:val="0083260A"/>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971C3"/>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64B1"/>
    <w:rsid w:val="008E78A3"/>
    <w:rsid w:val="008F0654"/>
    <w:rsid w:val="008F06CB"/>
    <w:rsid w:val="008F2E83"/>
    <w:rsid w:val="008F612A"/>
    <w:rsid w:val="00901BE1"/>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6970"/>
    <w:rsid w:val="0095719A"/>
    <w:rsid w:val="009623E9"/>
    <w:rsid w:val="009634DD"/>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45BE"/>
    <w:rsid w:val="009D55AA"/>
    <w:rsid w:val="009D7930"/>
    <w:rsid w:val="009E3E77"/>
    <w:rsid w:val="009E3FAB"/>
    <w:rsid w:val="009E5A87"/>
    <w:rsid w:val="009E5B3F"/>
    <w:rsid w:val="009E7D90"/>
    <w:rsid w:val="009F1AB0"/>
    <w:rsid w:val="009F501D"/>
    <w:rsid w:val="00A039D5"/>
    <w:rsid w:val="00A046AD"/>
    <w:rsid w:val="00A054FD"/>
    <w:rsid w:val="00A079C1"/>
    <w:rsid w:val="00A12520"/>
    <w:rsid w:val="00A130FD"/>
    <w:rsid w:val="00A13D6D"/>
    <w:rsid w:val="00A14769"/>
    <w:rsid w:val="00A16151"/>
    <w:rsid w:val="00A16C38"/>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CE"/>
    <w:rsid w:val="00A50CD4"/>
    <w:rsid w:val="00A51191"/>
    <w:rsid w:val="00A56D62"/>
    <w:rsid w:val="00A56F07"/>
    <w:rsid w:val="00A5762C"/>
    <w:rsid w:val="00A600FC"/>
    <w:rsid w:val="00A60BCA"/>
    <w:rsid w:val="00A638DA"/>
    <w:rsid w:val="00A65B41"/>
    <w:rsid w:val="00A65E00"/>
    <w:rsid w:val="00A66A78"/>
    <w:rsid w:val="00A67615"/>
    <w:rsid w:val="00A7436E"/>
    <w:rsid w:val="00A74E96"/>
    <w:rsid w:val="00A75A8E"/>
    <w:rsid w:val="00A824DD"/>
    <w:rsid w:val="00A83676"/>
    <w:rsid w:val="00A83B7B"/>
    <w:rsid w:val="00A84274"/>
    <w:rsid w:val="00A84EDE"/>
    <w:rsid w:val="00A850F3"/>
    <w:rsid w:val="00A864E3"/>
    <w:rsid w:val="00A94574"/>
    <w:rsid w:val="00A95936"/>
    <w:rsid w:val="00A96265"/>
    <w:rsid w:val="00A97084"/>
    <w:rsid w:val="00AA1C2C"/>
    <w:rsid w:val="00AA35F6"/>
    <w:rsid w:val="00AA667C"/>
    <w:rsid w:val="00AA6B8F"/>
    <w:rsid w:val="00AA6E91"/>
    <w:rsid w:val="00AA7439"/>
    <w:rsid w:val="00AB047E"/>
    <w:rsid w:val="00AB0B0A"/>
    <w:rsid w:val="00AB0BB7"/>
    <w:rsid w:val="00AB22C6"/>
    <w:rsid w:val="00AB2AD0"/>
    <w:rsid w:val="00AB67FC"/>
    <w:rsid w:val="00AC00F2"/>
    <w:rsid w:val="00AC0748"/>
    <w:rsid w:val="00AC31B5"/>
    <w:rsid w:val="00AC4EA1"/>
    <w:rsid w:val="00AC5381"/>
    <w:rsid w:val="00AC5920"/>
    <w:rsid w:val="00AD0D52"/>
    <w:rsid w:val="00AD0E65"/>
    <w:rsid w:val="00AD2BF2"/>
    <w:rsid w:val="00AD4E90"/>
    <w:rsid w:val="00AD5422"/>
    <w:rsid w:val="00AE039B"/>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37FF"/>
    <w:rsid w:val="00B24DB5"/>
    <w:rsid w:val="00B31F9E"/>
    <w:rsid w:val="00B3268F"/>
    <w:rsid w:val="00B32C2C"/>
    <w:rsid w:val="00B33A1A"/>
    <w:rsid w:val="00B33E6C"/>
    <w:rsid w:val="00B371CC"/>
    <w:rsid w:val="00B400EB"/>
    <w:rsid w:val="00B41CD9"/>
    <w:rsid w:val="00B427E6"/>
    <w:rsid w:val="00B428A6"/>
    <w:rsid w:val="00B43E1F"/>
    <w:rsid w:val="00B45FBC"/>
    <w:rsid w:val="00B51A7D"/>
    <w:rsid w:val="00B535C2"/>
    <w:rsid w:val="00B55544"/>
    <w:rsid w:val="00B640EE"/>
    <w:rsid w:val="00B642FC"/>
    <w:rsid w:val="00B64D26"/>
    <w:rsid w:val="00B64FBB"/>
    <w:rsid w:val="00B70E22"/>
    <w:rsid w:val="00B774CB"/>
    <w:rsid w:val="00B80402"/>
    <w:rsid w:val="00B80B9A"/>
    <w:rsid w:val="00B830B7"/>
    <w:rsid w:val="00B848EA"/>
    <w:rsid w:val="00B84B2B"/>
    <w:rsid w:val="00B85A73"/>
    <w:rsid w:val="00B90500"/>
    <w:rsid w:val="00B90537"/>
    <w:rsid w:val="00B9176C"/>
    <w:rsid w:val="00B935A4"/>
    <w:rsid w:val="00BA561A"/>
    <w:rsid w:val="00BB0DC6"/>
    <w:rsid w:val="00BB15E4"/>
    <w:rsid w:val="00BB1E19"/>
    <w:rsid w:val="00BB21D1"/>
    <w:rsid w:val="00BB32F2"/>
    <w:rsid w:val="00BB4338"/>
    <w:rsid w:val="00BB44BB"/>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B7657"/>
    <w:rsid w:val="00CC0D6A"/>
    <w:rsid w:val="00CC34B8"/>
    <w:rsid w:val="00CC3831"/>
    <w:rsid w:val="00CC3E3D"/>
    <w:rsid w:val="00CC519B"/>
    <w:rsid w:val="00CD12C1"/>
    <w:rsid w:val="00CD214E"/>
    <w:rsid w:val="00CD46FA"/>
    <w:rsid w:val="00CD5973"/>
    <w:rsid w:val="00CE1B08"/>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0BF4"/>
    <w:rsid w:val="00D55290"/>
    <w:rsid w:val="00D57791"/>
    <w:rsid w:val="00D6046A"/>
    <w:rsid w:val="00D62870"/>
    <w:rsid w:val="00D64ABE"/>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183C"/>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02B8"/>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4D9C"/>
    <w:rsid w:val="00E276AC"/>
    <w:rsid w:val="00E348C4"/>
    <w:rsid w:val="00E34A35"/>
    <w:rsid w:val="00E37C2F"/>
    <w:rsid w:val="00E41C28"/>
    <w:rsid w:val="00E46308"/>
    <w:rsid w:val="00E50BE3"/>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28F"/>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5ADC"/>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0491"/>
    <w:rsid w:val="00F43390"/>
    <w:rsid w:val="00F443B2"/>
    <w:rsid w:val="00F458D8"/>
    <w:rsid w:val="00F50237"/>
    <w:rsid w:val="00F51B12"/>
    <w:rsid w:val="00F53596"/>
    <w:rsid w:val="00F55BA8"/>
    <w:rsid w:val="00F55DB1"/>
    <w:rsid w:val="00F56ACA"/>
    <w:rsid w:val="00F600FE"/>
    <w:rsid w:val="00F62E4D"/>
    <w:rsid w:val="00F66B34"/>
    <w:rsid w:val="00F675B9"/>
    <w:rsid w:val="00F7018C"/>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179F"/>
    <w:rsid w:val="00FC2E3D"/>
    <w:rsid w:val="00FC3BDE"/>
    <w:rsid w:val="00FD1DBE"/>
    <w:rsid w:val="00FD25A7"/>
    <w:rsid w:val="00FD27B6"/>
    <w:rsid w:val="00FD3689"/>
    <w:rsid w:val="00FD42A3"/>
    <w:rsid w:val="00FD7468"/>
    <w:rsid w:val="00FD7CE0"/>
    <w:rsid w:val="00FD7DFF"/>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15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7615"/>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3"/>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6"/>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7"/>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24"/>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2"/>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uiPriority w:val="5"/>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F51B12"/>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BB44BB"/>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F51B12"/>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OZNACZENIEWNIOSKUWZESTAWIENIU">
    <w:name w:val="OZNACZENIE WNIOSKU W ZESTAWIENIU"/>
    <w:basedOn w:val="OZNACZENIEPUNKTUWUCHWALESENACKIEJ"/>
    <w:qFormat/>
    <w:rsid w:val="00BB44BB"/>
    <w:pPr>
      <w:ind w:left="0" w:firstLine="0"/>
    </w:pPr>
  </w:style>
  <w:style w:type="character" w:customStyle="1" w:styleId="PKTpunktZnak">
    <w:name w:val="PKT – punkt Znak"/>
    <w:basedOn w:val="Domylnaczcionkaakapitu"/>
    <w:link w:val="PKTpunkt"/>
    <w:uiPriority w:val="16"/>
    <w:locked/>
    <w:rsid w:val="003B3509"/>
    <w:rPr>
      <w:rFonts w:eastAsiaTheme="minorEastAsia" w:cs="Arial"/>
      <w:bCs/>
      <w:szCs w:val="20"/>
    </w:rPr>
  </w:style>
  <w:style w:type="character" w:customStyle="1" w:styleId="ZPKTzmpktartykuempunktemZnak">
    <w:name w:val="Z/PKT – zm. pkt artykułem (punktem) Znak"/>
    <w:basedOn w:val="PKTpunktZnak"/>
    <w:link w:val="ZPKTzmpktartykuempunktem"/>
    <w:uiPriority w:val="33"/>
    <w:rsid w:val="003B3509"/>
    <w:rPr>
      <w:rFonts w:eastAsiaTheme="minorEastAsia" w:cs="Arial"/>
      <w:bCs/>
      <w:szCs w:val="20"/>
    </w:rPr>
  </w:style>
  <w:style w:type="paragraph" w:customStyle="1" w:styleId="CZWSPLNALITERWUCHWALESENACKIEJ">
    <w:name w:val="CZĘŚĆ WSPÓLNA LITER W UCHWALE SENACKIEJ"/>
    <w:basedOn w:val="LITERAWUCHWALESENACKIEJ"/>
    <w:qFormat/>
    <w:rsid w:val="003B3509"/>
    <w:pPr>
      <w:ind w:left="0" w:firstLine="0"/>
    </w:pPr>
  </w:style>
  <w:style w:type="paragraph" w:customStyle="1" w:styleId="PODWJNETIRETWUCHWALESENACKIEJ">
    <w:name w:val="PODWÓJNE TIRET W UCHWALE SENACKIEJ"/>
    <w:basedOn w:val="Normalny"/>
    <w:qFormat/>
    <w:rsid w:val="00E24D9C"/>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43794">
      <w:bodyDiv w:val="1"/>
      <w:marLeft w:val="0"/>
      <w:marRight w:val="0"/>
      <w:marTop w:val="0"/>
      <w:marBottom w:val="0"/>
      <w:divBdr>
        <w:top w:val="none" w:sz="0" w:space="0" w:color="auto"/>
        <w:left w:val="none" w:sz="0" w:space="0" w:color="auto"/>
        <w:bottom w:val="none" w:sz="0" w:space="0" w:color="auto"/>
        <w:right w:val="none" w:sz="0" w:space="0" w:color="auto"/>
      </w:divBdr>
    </w:div>
    <w:div w:id="20906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4DE4C1-A29F-4728-96D8-19B8377C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3210</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2026-05-22T09:56:00Z</dcterms:created>
  <dcterms:modified xsi:type="dcterms:W3CDTF">2026-05-22T09:56:00Z</dcterms:modified>
  <cp:category/>
</cp:coreProperties>
</file>