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0859E" w14:textId="77777777" w:rsidR="00F706C4" w:rsidRPr="00F706C4" w:rsidRDefault="00F706C4" w:rsidP="00905892">
      <w:pPr>
        <w:pStyle w:val="OZNPROJEKTUwskazaniedatylubwersjiprojektu"/>
        <w:rPr>
          <w:rFonts w:cs="Times New Roman"/>
          <w:szCs w:val="24"/>
        </w:rPr>
      </w:pPr>
      <w:r w:rsidRPr="00F706C4">
        <w:rPr>
          <w:rFonts w:cs="Times New Roman"/>
          <w:szCs w:val="24"/>
        </w:rPr>
        <w:t>Projekt</w:t>
      </w:r>
    </w:p>
    <w:p w14:paraId="3670DFFB" w14:textId="77777777" w:rsidR="00F706C4" w:rsidRPr="00905892" w:rsidRDefault="00F706C4" w:rsidP="00F706C4">
      <w:pPr>
        <w:pStyle w:val="OZNRODZAKTUtznustawalubrozporzdzenieiorganwydajcy"/>
        <w:rPr>
          <w:rFonts w:ascii="Times New Roman" w:eastAsia="Calibri" w:hAnsi="Times New Roman"/>
        </w:rPr>
      </w:pPr>
      <w:r w:rsidRPr="00905892">
        <w:rPr>
          <w:rFonts w:ascii="Times New Roman" w:eastAsia="Calibri" w:hAnsi="Times New Roman"/>
        </w:rPr>
        <w:t>USTAWA</w:t>
      </w:r>
    </w:p>
    <w:p w14:paraId="234D7707" w14:textId="344C4871" w:rsidR="00F706C4" w:rsidRPr="00905892" w:rsidRDefault="00F706C4" w:rsidP="00F706C4">
      <w:pPr>
        <w:pStyle w:val="DATAAKTUdatauchwalenialubwydaniaaktu"/>
        <w:rPr>
          <w:rFonts w:ascii="Times New Roman" w:hAnsi="Times New Roman" w:cs="Times New Roman"/>
        </w:rPr>
      </w:pPr>
      <w:r w:rsidRPr="00905892">
        <w:rPr>
          <w:rFonts w:ascii="Times New Roman" w:hAnsi="Times New Roman" w:cs="Times New Roman"/>
        </w:rPr>
        <w:t>z dnia</w:t>
      </w:r>
    </w:p>
    <w:p w14:paraId="2E393DF6" w14:textId="6D83F083" w:rsidR="00F706C4" w:rsidRPr="00942103" w:rsidRDefault="00F706C4" w:rsidP="00905892">
      <w:pPr>
        <w:pStyle w:val="TYTUAKTUprzedmiotregulacjiustawylubrozporzdzenia"/>
      </w:pPr>
      <w:r w:rsidRPr="00942103">
        <w:t>o ratyfikacji Konwencji w sprawie utworzenia Międzynarodowej Komisji do spraw Roszczeń dla Ukrainy, sporządzonej w Hadze dnia 16 grudnia 2025 r.</w:t>
      </w:r>
    </w:p>
    <w:p w14:paraId="650AC5AE" w14:textId="65C60E32" w:rsidR="00F706C4" w:rsidRPr="00905892" w:rsidRDefault="00F706C4" w:rsidP="00F706C4">
      <w:pPr>
        <w:pStyle w:val="ARTartustawynprozporzdzenia"/>
        <w:rPr>
          <w:rFonts w:ascii="Times New Roman" w:hAnsi="Times New Roman" w:cs="Times New Roman"/>
          <w:szCs w:val="24"/>
        </w:rPr>
      </w:pPr>
      <w:r w:rsidRPr="00905892">
        <w:rPr>
          <w:rStyle w:val="Ppogrubienie"/>
          <w:rFonts w:ascii="Times New Roman" w:hAnsi="Times New Roman" w:cs="Times New Roman"/>
          <w:szCs w:val="24"/>
        </w:rPr>
        <w:t>Art. 1.</w:t>
      </w:r>
      <w:r w:rsidRPr="00905892">
        <w:rPr>
          <w:rFonts w:ascii="Times New Roman" w:hAnsi="Times New Roman" w:cs="Times New Roman"/>
          <w:szCs w:val="24"/>
        </w:rPr>
        <w:t xml:space="preserve"> Wyraża się zgodę na dokonanie przez Prezydenta Rzeczypospolitej Polskiej ratyfikacji </w:t>
      </w:r>
      <w:bookmarkStart w:id="0" w:name="_Hlk209097049"/>
      <w:r w:rsidRPr="00905892">
        <w:rPr>
          <w:rFonts w:ascii="Times New Roman" w:hAnsi="Times New Roman" w:cs="Times New Roman"/>
          <w:szCs w:val="24"/>
        </w:rPr>
        <w:t>Konwencji w sprawie utworzenia Międzynarodowej Komisji do spraw Roszczeń dla Ukrainy, sporządzonej w Hadze dnia 16 grudnia 2025 r.</w:t>
      </w:r>
    </w:p>
    <w:bookmarkEnd w:id="0"/>
    <w:p w14:paraId="6323BA10" w14:textId="5A9CC9C1" w:rsidR="00261A16" w:rsidRPr="00942103" w:rsidRDefault="00F706C4" w:rsidP="00905892">
      <w:pPr>
        <w:pStyle w:val="ARTartustawynprozporzdzenia"/>
        <w:rPr>
          <w:rFonts w:cs="Times New Roman"/>
          <w:szCs w:val="24"/>
        </w:rPr>
      </w:pPr>
      <w:r w:rsidRPr="00905892">
        <w:rPr>
          <w:rStyle w:val="Ppogrubienie"/>
          <w:rFonts w:ascii="Times New Roman" w:hAnsi="Times New Roman" w:cs="Times New Roman"/>
          <w:szCs w:val="24"/>
        </w:rPr>
        <w:t>Art. 2.</w:t>
      </w:r>
      <w:r w:rsidRPr="00905892">
        <w:rPr>
          <w:rFonts w:ascii="Times New Roman" w:hAnsi="Times New Roman" w:cs="Times New Roman"/>
          <w:szCs w:val="24"/>
        </w:rPr>
        <w:t> Ustawa wchodzi w życie po upływie 14 dni od dnia ogłoszenia.</w:t>
      </w:r>
    </w:p>
    <w:sectPr w:rsidR="00261A16" w:rsidRPr="00942103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479A1" w14:textId="77777777" w:rsidR="00372835" w:rsidRDefault="00372835">
      <w:r>
        <w:separator/>
      </w:r>
    </w:p>
  </w:endnote>
  <w:endnote w:type="continuationSeparator" w:id="0">
    <w:p w14:paraId="4D1D3A19" w14:textId="77777777" w:rsidR="00372835" w:rsidRDefault="00372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C2BFE" w14:textId="77777777" w:rsidR="00372835" w:rsidRDefault="00372835">
      <w:r>
        <w:separator/>
      </w:r>
    </w:p>
  </w:footnote>
  <w:footnote w:type="continuationSeparator" w:id="0">
    <w:p w14:paraId="6328686C" w14:textId="77777777" w:rsidR="00372835" w:rsidRDefault="00372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8BFFF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C4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2835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43FA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5892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2103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035B"/>
    <w:rsid w:val="00F706C4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E46DC3"/>
  <w15:docId w15:val="{C7E6115F-E095-474E-AAE2-6BCF9C09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F706C4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oklej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1</Pages>
  <Words>65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Rybkowska Bożena</dc:creator>
  <cp:lastModifiedBy>Oklej Agata</cp:lastModifiedBy>
  <cp:revision>2</cp:revision>
  <cp:lastPrinted>2012-04-23T06:39:00Z</cp:lastPrinted>
  <dcterms:created xsi:type="dcterms:W3CDTF">2026-05-22T14:27:00Z</dcterms:created>
  <dcterms:modified xsi:type="dcterms:W3CDTF">2026-05-22T14:27:00Z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