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B01D" w14:textId="77777777" w:rsidR="006371CC" w:rsidRPr="006371CC" w:rsidRDefault="006371CC" w:rsidP="006371CC">
      <w:pPr>
        <w:spacing w:after="0" w:line="360" w:lineRule="auto"/>
        <w:jc w:val="center"/>
        <w:rPr>
          <w:rFonts w:ascii="Times New Roman" w:hAnsi="Times New Roman" w:cs="Times New Roman"/>
          <w:b/>
          <w:bCs/>
        </w:rPr>
      </w:pPr>
      <w:r w:rsidRPr="006371CC">
        <w:rPr>
          <w:rFonts w:ascii="Times New Roman" w:hAnsi="Times New Roman" w:cs="Times New Roman"/>
          <w:b/>
          <w:bCs/>
        </w:rPr>
        <w:t>UZASADNIENIE</w:t>
      </w:r>
    </w:p>
    <w:p w14:paraId="6E4EF81D"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Oświadczenie majątkowe składane jest przez osoby wykonujące szeroko rozumianą władzę publiczną. Zawiera ono informacje o stanie majątkowym. Oświadczenie o stanie majątkowym dotyczy zarówno majątku odrębnego oraz objętego małżeńską wspólnością majątkową. Oświadczenie to zawiera w szczególności informacje o:</w:t>
      </w:r>
    </w:p>
    <w:p w14:paraId="6691577C"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1)</w:t>
      </w:r>
      <w:r w:rsidRPr="006371CC">
        <w:rPr>
          <w:rFonts w:ascii="Times New Roman" w:hAnsi="Times New Roman" w:cs="Times New Roman"/>
        </w:rPr>
        <w:tab/>
        <w:t xml:space="preserve"> zasobach pieniężnych, nieruchomościach, uczestnictwie w spółkach cywilnych lub w osobowych spółkach handlowych, udziałach i akcjach w spółkach handlowych, o nabytym od Skarbu Państwa, innej państwowej osoby prawnej, jednostek samorządu terytorialnego, ich związków lub komunalnej osoby prawnej, mieniu, które podlegało zbyciu w drodze przetargu, a także o prowadzonej działalności gospodarczej i stanowiskach zajmowanych w spółkach handlowych;</w:t>
      </w:r>
    </w:p>
    <w:p w14:paraId="70D62010"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2)</w:t>
      </w:r>
      <w:r w:rsidRPr="006371CC">
        <w:rPr>
          <w:rFonts w:ascii="Times New Roman" w:hAnsi="Times New Roman" w:cs="Times New Roman"/>
        </w:rPr>
        <w:tab/>
        <w:t xml:space="preserve"> dochodach osiąganych z tytułu zatrudnienia lub innej działalności zarobkowej lub zajęć, z podaniem kwot uzyskiwanych z każdego tytułu;</w:t>
      </w:r>
    </w:p>
    <w:p w14:paraId="6198F4DB"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3)</w:t>
      </w:r>
      <w:r w:rsidRPr="006371CC">
        <w:rPr>
          <w:rFonts w:ascii="Times New Roman" w:hAnsi="Times New Roman" w:cs="Times New Roman"/>
        </w:rPr>
        <w:tab/>
        <w:t xml:space="preserve"> mieniu ruchomym o wartości powyżej 10 000 złotych;</w:t>
      </w:r>
    </w:p>
    <w:p w14:paraId="43F656E4"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4)</w:t>
      </w:r>
      <w:r w:rsidRPr="006371CC">
        <w:rPr>
          <w:rFonts w:ascii="Times New Roman" w:hAnsi="Times New Roman" w:cs="Times New Roman"/>
        </w:rPr>
        <w:tab/>
        <w:t xml:space="preserve"> zobowiązaniach pieniężnych o wartości powyżej 10 000 złotych, w tym zaciągniętych kredytach i pożyczkach oraz warunkach, na jakich zostały udzielone.</w:t>
      </w:r>
    </w:p>
    <w:p w14:paraId="5C7040CB"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Oświadczenie majątkowe stanowi regulację, która z jednej strony ma charakter antykorupcyjny, z drugiej zaś stanowi realizację zasady jawności życia publicznego, czego przejawem staje się jawność finansów parlamentarzystów w Polsce, w tym wypadku wskazująca na niewykorzystywanie mandatu dla osiągania prywatnych korzyści majątkowych (W. Kręcisz, Etyka parlamentarna w polskim parlamencie – wybrane zagadnienia, PS 1999, nr 3, s. 30).</w:t>
      </w:r>
      <w:r w:rsidRPr="006371CC">
        <w:rPr>
          <w:rStyle w:val="Odwoanieprzypisudolnego"/>
          <w:rFonts w:ascii="Times New Roman" w:hAnsi="Times New Roman" w:cs="Times New Roman"/>
        </w:rPr>
        <w:footnoteReference w:id="1"/>
      </w:r>
    </w:p>
    <w:p w14:paraId="59728F06"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Regulacje dotyczące oświadczeń majątkowych rozproszone są w różnych aktach prawnych.</w:t>
      </w:r>
    </w:p>
    <w:p w14:paraId="1AE5CCDF"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Niniejszy projekt dokonuje zmian w następujących aktach prawnych:</w:t>
      </w:r>
    </w:p>
    <w:p w14:paraId="7CF14BDE"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8 marca 1990 r. o samorządzie gminnym;</w:t>
      </w:r>
    </w:p>
    <w:p w14:paraId="4FF88114"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6 kwietnia 1990 r. o Policji;</w:t>
      </w:r>
    </w:p>
    <w:p w14:paraId="0B7CB8CE"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12 października 1990 r. o Straży Granicznej;</w:t>
      </w:r>
    </w:p>
    <w:p w14:paraId="4ACA76D3"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24 sierpnia 1991 r. o Państwowej Straży Pożarnej;</w:t>
      </w:r>
    </w:p>
    <w:p w14:paraId="543D5B23"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 xml:space="preserve">ustawie z dnia 9 maja 1996 r. </w:t>
      </w:r>
      <w:bookmarkStart w:id="0" w:name="_Hlk228362972"/>
      <w:r w:rsidRPr="006371CC">
        <w:rPr>
          <w:rFonts w:ascii="Times New Roman" w:hAnsi="Times New Roman" w:cs="Times New Roman"/>
        </w:rPr>
        <w:t>o wykonywaniu mandatu posła i senatora;</w:t>
      </w:r>
      <w:bookmarkEnd w:id="0"/>
    </w:p>
    <w:p w14:paraId="50DE296D"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21 sierpnia 1997 r. o ograniczeniu prowadzenia działalności gospodarczej przez osoby pełniące funkcje publiczne;</w:t>
      </w:r>
    </w:p>
    <w:p w14:paraId="75E82106"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21 sierpnia 1997 r. - Prawo o ustroju sądów wojskowych;</w:t>
      </w:r>
    </w:p>
    <w:p w14:paraId="6547C8A1"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lastRenderedPageBreak/>
        <w:t>ustawie z dnia 28 sierpnia 1997 r. o organizacji i funkcjonowaniu funduszy emerytalnych;</w:t>
      </w:r>
    </w:p>
    <w:p w14:paraId="0DE8C699"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5 czerwca 1998 r. o samorządzie powiatowym;</w:t>
      </w:r>
    </w:p>
    <w:p w14:paraId="36178398"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5 czerwca 1998 r. o samorządzie województwa;</w:t>
      </w:r>
    </w:p>
    <w:p w14:paraId="3F2037E9"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27 lipca 2001 r. - Prawo o ustroju sądów powszechnych;</w:t>
      </w:r>
    </w:p>
    <w:p w14:paraId="520DA961"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30 lipca 2004 r. o uposażeniu posłów do Parlamentu Europejskiego wybranych w Rzeczypospolitej Polskiej;</w:t>
      </w:r>
    </w:p>
    <w:p w14:paraId="7127CFDE"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9 kwietnia 2010 r. o Służbie Więziennej;</w:t>
      </w:r>
    </w:p>
    <w:p w14:paraId="1F5E6B7D"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28 stycznia 2016 r. - Prawo o prokuraturze;</w:t>
      </w:r>
    </w:p>
    <w:p w14:paraId="044E6D5C"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30 listopada 2016 r. o statusie sędziów Trybunału Konstytucyjnego;</w:t>
      </w:r>
    </w:p>
    <w:p w14:paraId="4FC618D2"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8 grudnia 2017 r. o Służbie Ochrony Państwa;</w:t>
      </w:r>
    </w:p>
    <w:p w14:paraId="7DB3052E"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22 marca 2018 r. o komornikach sądowych;</w:t>
      </w:r>
    </w:p>
    <w:p w14:paraId="57DAAE32" w14:textId="77777777" w:rsidR="006371CC" w:rsidRPr="006371CC" w:rsidRDefault="006371CC" w:rsidP="006371CC">
      <w:pPr>
        <w:pStyle w:val="Akapitzlist"/>
        <w:numPr>
          <w:ilvl w:val="0"/>
          <w:numId w:val="1"/>
        </w:numPr>
        <w:spacing w:after="0" w:line="360" w:lineRule="auto"/>
        <w:ind w:left="714" w:hanging="357"/>
        <w:jc w:val="both"/>
        <w:rPr>
          <w:rFonts w:ascii="Times New Roman" w:hAnsi="Times New Roman" w:cs="Times New Roman"/>
        </w:rPr>
      </w:pPr>
      <w:r w:rsidRPr="006371CC">
        <w:rPr>
          <w:rFonts w:ascii="Times New Roman" w:hAnsi="Times New Roman" w:cs="Times New Roman"/>
        </w:rPr>
        <w:t>ustawie z dnia 11 marca 2022 r. o obronie Ojczyzny.</w:t>
      </w:r>
    </w:p>
    <w:p w14:paraId="7B5990FF"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Każda z nich reguluje wzór oświadczenia majątkowego poprzez załącznik do ustawy albo ustanawia delegację ustawową do wydania rozporządzenia regulującego wzór oświadczenia. Przepis wskazują również organ do którego należy przedkładać oświadczenie, procedurę kontrolną, terminy składania oświadczeń, sankcje za niezłożenie oświadczenia w terminie lub poświadczenie nieprawdy, zasady przechowywania.</w:t>
      </w:r>
    </w:p>
    <w:p w14:paraId="361C88DD"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 nie nowelizuje ustaw w których jest uregulowane odpowiednie odesłanie do ustaw zmienianych niniejszą ustawą. W ramach odesłania przepisy w zakresie oświadczeń majątkowych stosuje się w trybie i na zasadach określonych w przepisach. Dotyczy to następujących aktów prawnych:</w:t>
      </w:r>
    </w:p>
    <w:p w14:paraId="7FBB546F"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24 maja 2002 r. o Agencji Bezpieczeństwa Wewnętrznego oraz Agencji Wywiadu;</w:t>
      </w:r>
    </w:p>
    <w:p w14:paraId="50A31179"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stawie z dnia 25 lipca 2002 r. - Prawo o ustroju sądów administracyjnych;</w:t>
      </w:r>
    </w:p>
    <w:p w14:paraId="1AE21F35"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9 czerwca 2006 r. o Centralnym Biurze Antykorupcyjnym;</w:t>
      </w:r>
    </w:p>
    <w:p w14:paraId="6FD3FC55"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21 listopada 2008 r. o pracownikach samorządowych;</w:t>
      </w:r>
    </w:p>
    <w:p w14:paraId="32843F0B"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18 marca 2011 r. o Urzędzie Rejestracji Produktów Leczniczych, Wyrobów Medycznych i Produktów Biobójczych;</w:t>
      </w:r>
    </w:p>
    <w:p w14:paraId="16734DB5"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22 czerwca 2016 r. o Radzie Mediów Narodowych;</w:t>
      </w:r>
    </w:p>
    <w:p w14:paraId="6078E1E2"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16 listopada 2016 r. o Krajowej Administracji Skarbowej;</w:t>
      </w:r>
    </w:p>
    <w:p w14:paraId="187E7FBC"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20 lipca 2017 r. - Prawo wodne;</w:t>
      </w:r>
    </w:p>
    <w:p w14:paraId="47F70099" w14:textId="77777777" w:rsidR="006371CC" w:rsidRPr="006371CC" w:rsidRDefault="006371CC" w:rsidP="006371CC">
      <w:pPr>
        <w:pStyle w:val="Akapitzlist"/>
        <w:numPr>
          <w:ilvl w:val="0"/>
          <w:numId w:val="3"/>
        </w:numPr>
        <w:spacing w:after="0" w:line="360" w:lineRule="auto"/>
        <w:jc w:val="both"/>
        <w:rPr>
          <w:rFonts w:ascii="Times New Roman" w:hAnsi="Times New Roman" w:cs="Times New Roman"/>
        </w:rPr>
      </w:pPr>
      <w:r w:rsidRPr="006371CC">
        <w:rPr>
          <w:rFonts w:ascii="Times New Roman" w:hAnsi="Times New Roman" w:cs="Times New Roman"/>
        </w:rPr>
        <w:t>ustawie z dnia 8 grudnia 2017 r. o Sądzie Najwyższym;</w:t>
      </w:r>
    </w:p>
    <w:p w14:paraId="69DEDB5A" w14:textId="77777777" w:rsidR="006371CC" w:rsidRPr="006371CC" w:rsidRDefault="006371CC" w:rsidP="006371CC">
      <w:pPr>
        <w:pStyle w:val="Akapitzlist"/>
        <w:numPr>
          <w:ilvl w:val="0"/>
          <w:numId w:val="3"/>
        </w:numPr>
        <w:jc w:val="both"/>
        <w:rPr>
          <w:rFonts w:ascii="Times New Roman" w:hAnsi="Times New Roman" w:cs="Times New Roman"/>
        </w:rPr>
      </w:pPr>
      <w:r w:rsidRPr="006371CC">
        <w:rPr>
          <w:rFonts w:ascii="Times New Roman" w:hAnsi="Times New Roman" w:cs="Times New Roman"/>
        </w:rPr>
        <w:t>ustawie z dnia 26 stycznia 2018 r. o Straży Marszałkowskiej;</w:t>
      </w:r>
    </w:p>
    <w:p w14:paraId="2591E982" w14:textId="77777777" w:rsidR="006371CC" w:rsidRPr="006371CC" w:rsidRDefault="006371CC" w:rsidP="006371CC">
      <w:pPr>
        <w:pStyle w:val="Akapitzlist"/>
        <w:jc w:val="both"/>
        <w:rPr>
          <w:rFonts w:ascii="Times New Roman" w:hAnsi="Times New Roman" w:cs="Times New Roman"/>
        </w:rPr>
      </w:pPr>
      <w:r w:rsidRPr="006371CC">
        <w:rPr>
          <w:rFonts w:ascii="Times New Roman" w:hAnsi="Times New Roman" w:cs="Times New Roman"/>
        </w:rPr>
        <w:lastRenderedPageBreak/>
        <w:t>ustawie z dnia 17 grudnia 2020 r. o rezerwach strategicznych.</w:t>
      </w:r>
    </w:p>
    <w:p w14:paraId="69B7E396" w14:textId="77777777" w:rsidR="006371CC" w:rsidRPr="006371CC" w:rsidRDefault="006371CC" w:rsidP="006371CC">
      <w:pPr>
        <w:spacing w:after="0" w:line="360" w:lineRule="auto"/>
        <w:jc w:val="both"/>
        <w:rPr>
          <w:rFonts w:ascii="Times New Roman" w:hAnsi="Times New Roman" w:cs="Times New Roman"/>
        </w:rPr>
      </w:pPr>
    </w:p>
    <w:p w14:paraId="4EA2D6A5"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Oświadczenia majątkowe pełnią ważną funkcję kontrolną i informacyjną. Szczególnego znaczenia nabiera to w procesie legislacyjnym, gdy poparcie lub sprzeciw wobec określonych rozwiązań prawnych może wynikać z argumentacji merytorycznej, ale może też być wynikiem dbałości o własny interes. W literaturze podkreśla się, że ,,ustawodawca wyraźnie wskazał, jakie składniki majątkowe powinny zostać ujawnione w oświadczeniu parlamentarzysty. Nie można mieć żadnych wątpliwości, że wskazane wyliczenie ma wyłącznie przykładowy charakter, o czym przesądza to, iż użyte zostało sformułowanie „w szczególności”.  Wymienione zostały bowiem te elementy, które mają najbardziej typowy charakter, co naturalnie pozwala na możliwość wystąpienia innych elementów majątkowych, które również powinny zostać wskazane w takim oświadczeniu”.</w:t>
      </w:r>
      <w:r w:rsidRPr="006371CC">
        <w:rPr>
          <w:rStyle w:val="Odwoanieprzypisudolnego"/>
          <w:rFonts w:ascii="Times New Roman" w:hAnsi="Times New Roman" w:cs="Times New Roman"/>
        </w:rPr>
        <w:footnoteReference w:id="2"/>
      </w:r>
      <w:r w:rsidRPr="006371CC">
        <w:rPr>
          <w:rFonts w:ascii="Times New Roman" w:hAnsi="Times New Roman" w:cs="Times New Roman"/>
        </w:rPr>
        <w:t xml:space="preserve"> Zdaniem projektodawców zasadnym jest wskazanie wprost czy osoba składająca oświadczenie majątkowe uczestniczy w fundacji rodzinnej w postaci fundatora, beneficjenta lub jest członkiem organów fundacji. </w:t>
      </w:r>
    </w:p>
    <w:p w14:paraId="58115A05"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Zaznaczyć przy tym należy, że fundacja rodzinna jest nową instytucją prawną wprowadzoną ustawą z dnia 26 stycznia 2023 r. o fundacji rodzinnej (Dz. U. poz. 326), a jej celem jest gromadzenie mienia, zarządzanie nim w interesie beneficjentów oraz spełnianie świadczeń na rzecz beneficjentów.</w:t>
      </w:r>
    </w:p>
    <w:p w14:paraId="2CB7691B" w14:textId="0EA4C184"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 xml:space="preserve">Z uwagi na szereg korzystnych rozwiązań podatkowych wprowadzonych dla fundacji rodzinnej, które w praktyce okazały się być wykorzystywane do optymalizacji podatkowej zaszła konieczność ich modyfikacji tak, by fundacje rodzinne służyły celowi sukcesji, do której zostały przeznaczone. Ustawa uchwalona przez Sejm (druk 1753) nie weszła w życie z uwagi na weto prezydenta. Wśród samych posłów </w:t>
      </w:r>
      <w:r w:rsidR="00D232CD">
        <w:rPr>
          <w:rFonts w:ascii="Times New Roman" w:hAnsi="Times New Roman" w:cs="Times New Roman"/>
        </w:rPr>
        <w:t>199</w:t>
      </w:r>
      <w:r w:rsidRPr="006371CC">
        <w:rPr>
          <w:rFonts w:ascii="Times New Roman" w:hAnsi="Times New Roman" w:cs="Times New Roman"/>
        </w:rPr>
        <w:t xml:space="preserve"> było przeciw uszczelnieniu rozwiązań podatkowych związanych z fundacjami rodzinnymi.</w:t>
      </w:r>
    </w:p>
    <w:p w14:paraId="1347EAE2"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Obywatel ma prawo wiedzieć, czy stanowisko danego posła wobec zmian w ustawie o fundacjach rodzinnych może mieć związek z jego uczestnictwem w fundacji rodzinnej. Dlatego wszelkie inicjatywy w zakresie zmian w fundacjach rodzinnych powinny być poprzedzone uzupełnieniem oświadczeń majątkowych osób uczestniczących w procesie legislacyjnym o informacje o zakres uczestnictwa w fundacji rodzinnej. Dodać należy, że fundacje rodzinne nie korzystają z jawności na wzór rejestru przedsiębiorców, fundacji czy stowarzyszeń prowadzonych przez Krajowy Rejestr Sądowy.</w:t>
      </w:r>
    </w:p>
    <w:p w14:paraId="490A8ACF"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lastRenderedPageBreak/>
        <w:t xml:space="preserve">Projekt zakłada obowiązek ujawniania przez osoby na których ciąży obowiązek składania oświadczeń majątkowych w tych oświadczeniach informacji o uczestnictwie w fundacji rodzinnej w charakterze fundatora, beneficjenta lub członka organu fundacji rodzinnej, wartości mienia wniesionego do fundacji, charakterze uprawnień beneficjenta, dochodach osiąganych z uczestnictwa w fundacji. </w:t>
      </w:r>
    </w:p>
    <w:p w14:paraId="347C1592"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 zawiera trzy załączniki do ustaw, które zawierają wzór oświadczenia majątkowego.</w:t>
      </w:r>
    </w:p>
    <w:p w14:paraId="17544ADF"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 xml:space="preserve">Są to: </w:t>
      </w:r>
    </w:p>
    <w:p w14:paraId="17C915C5" w14:textId="77777777" w:rsidR="006371CC" w:rsidRPr="006371CC" w:rsidRDefault="006371CC" w:rsidP="006371CC">
      <w:pPr>
        <w:pStyle w:val="Akapitzlist"/>
        <w:numPr>
          <w:ilvl w:val="0"/>
          <w:numId w:val="2"/>
        </w:numPr>
        <w:spacing w:after="0" w:line="360" w:lineRule="auto"/>
        <w:jc w:val="both"/>
        <w:rPr>
          <w:rFonts w:ascii="Times New Roman" w:hAnsi="Times New Roman" w:cs="Times New Roman"/>
        </w:rPr>
      </w:pPr>
      <w:r w:rsidRPr="006371CC">
        <w:rPr>
          <w:rFonts w:ascii="Times New Roman" w:hAnsi="Times New Roman" w:cs="Times New Roman"/>
        </w:rPr>
        <w:t>ustawa o wykonywaniu mandatu posła i senatora;</w:t>
      </w:r>
    </w:p>
    <w:p w14:paraId="1854E85B" w14:textId="77777777" w:rsidR="006371CC" w:rsidRPr="006371CC" w:rsidRDefault="006371CC" w:rsidP="006371CC">
      <w:pPr>
        <w:pStyle w:val="Akapitzlist"/>
        <w:numPr>
          <w:ilvl w:val="0"/>
          <w:numId w:val="2"/>
        </w:numPr>
        <w:spacing w:after="0" w:line="360" w:lineRule="auto"/>
        <w:jc w:val="both"/>
        <w:rPr>
          <w:rFonts w:ascii="Times New Roman" w:hAnsi="Times New Roman" w:cs="Times New Roman"/>
        </w:rPr>
      </w:pPr>
      <w:r w:rsidRPr="006371CC">
        <w:rPr>
          <w:rFonts w:ascii="Times New Roman" w:hAnsi="Times New Roman" w:cs="Times New Roman"/>
        </w:rPr>
        <w:t>ustawa o uposażeniu posłów do Parlamentu Europejskiego wybranych w Rzeczypospolitej Polskiej;</w:t>
      </w:r>
    </w:p>
    <w:p w14:paraId="0C62B0F8" w14:textId="77777777" w:rsidR="006371CC" w:rsidRPr="006371CC" w:rsidRDefault="006371CC" w:rsidP="006371CC">
      <w:pPr>
        <w:pStyle w:val="Akapitzlist"/>
        <w:numPr>
          <w:ilvl w:val="0"/>
          <w:numId w:val="2"/>
        </w:numPr>
        <w:spacing w:after="0" w:line="360" w:lineRule="auto"/>
        <w:jc w:val="both"/>
        <w:rPr>
          <w:rFonts w:ascii="Times New Roman" w:hAnsi="Times New Roman" w:cs="Times New Roman"/>
        </w:rPr>
      </w:pPr>
      <w:r w:rsidRPr="006371CC">
        <w:rPr>
          <w:rFonts w:ascii="Times New Roman" w:hAnsi="Times New Roman" w:cs="Times New Roman"/>
        </w:rPr>
        <w:t>ustawa o statusie sędziów Trybunału Konstytucyjnego.</w:t>
      </w:r>
    </w:p>
    <w:p w14:paraId="412BDFA1"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W tych wzorach rozszerzono dotychczasowe oświadczenia majątkowe o:</w:t>
      </w:r>
    </w:p>
    <w:p w14:paraId="4B2EEC8B"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Uczestnictwo w fundacji rodzinnej</w:t>
      </w:r>
    </w:p>
    <w:p w14:paraId="62356E28"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1. Jestem fundatorem fundacji rodzinnej:</w:t>
      </w:r>
    </w:p>
    <w:p w14:paraId="36CFD052"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nazwa fundacji rodzinnej: ..........................................................................................................................................</w:t>
      </w:r>
    </w:p>
    <w:p w14:paraId="5D77A0D2"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numer w rejestrze: .....................................................................................................................................................</w:t>
      </w:r>
    </w:p>
    <w:p w14:paraId="5161799F"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data utworzenia fundacji: ..........................................................................................................................................</w:t>
      </w:r>
    </w:p>
    <w:p w14:paraId="2383A0BB"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wartość mienia wniesionego do fundacji rodzinnej (łącznie): .............................................................................. zł</w:t>
      </w:r>
    </w:p>
    <w:p w14:paraId="0BB9E2DB"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z tego w roku objętym oświadczeniem: ................................................................................................................ zł</w:t>
      </w:r>
    </w:p>
    <w:p w14:paraId="75409285"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2. Jestem beneficjentem fundacji rodzinnej:</w:t>
      </w:r>
    </w:p>
    <w:p w14:paraId="4941E38A"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nazwa fundacji rodzinnej: .........................................................................................................................................</w:t>
      </w:r>
    </w:p>
    <w:p w14:paraId="7FC2FC45"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numer w rejestrze: .....................................................................................................................................................</w:t>
      </w:r>
    </w:p>
    <w:p w14:paraId="7654ECC8"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charakter uprawnień beneficjenta (np. świadczenia pieniężne, przekazanie lub udział w składnikach majątkowych, pożyczki, wynagrodzenie):…………………………………………………………………………..</w:t>
      </w:r>
    </w:p>
    <w:p w14:paraId="330CAF77"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wartość świadczeń otrzymanych od fundacji rodzinnej w roku objętym oświadczeniem: ................................... zł</w:t>
      </w:r>
    </w:p>
    <w:p w14:paraId="08B436FC"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3. Jestem członkiem organu fundacji rodzinnej:</w:t>
      </w:r>
    </w:p>
    <w:p w14:paraId="04AE115B"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nazwa fundacji rodzinnej: ..........................................................................................................................................</w:t>
      </w:r>
    </w:p>
    <w:p w14:paraId="24DC7F31"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numer w rejestrze: ......................................................................................................................................................</w:t>
      </w:r>
    </w:p>
    <w:p w14:paraId="3A0837F1"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pełniona funkcja (zarząd/rada nadzorcza/zgromadzenie beneficjentów):…………………………………………..</w:t>
      </w:r>
    </w:p>
    <w:p w14:paraId="6856FAC8"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w:t>
      </w:r>
    </w:p>
    <w:p w14:paraId="6BDFA983"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t>okres pełnienia funkcji: od ................................................................... do ................................................................</w:t>
      </w:r>
    </w:p>
    <w:p w14:paraId="7E770524" w14:textId="77777777" w:rsidR="006371CC" w:rsidRPr="006371CC" w:rsidRDefault="006371CC" w:rsidP="006371CC">
      <w:pPr>
        <w:spacing w:before="240" w:after="0" w:line="240" w:lineRule="atLeast"/>
        <w:jc w:val="both"/>
        <w:rPr>
          <w:rFonts w:ascii="Times New Roman" w:eastAsia="Times New Roman" w:hAnsi="Times New Roman" w:cs="Times New Roman"/>
          <w:kern w:val="0"/>
          <w:sz w:val="20"/>
          <w:szCs w:val="20"/>
          <w:lang w:eastAsia="pl-PL"/>
          <w14:ligatures w14:val="none"/>
        </w:rPr>
      </w:pPr>
      <w:r w:rsidRPr="006371CC">
        <w:rPr>
          <w:rFonts w:ascii="Times New Roman" w:eastAsia="Times New Roman" w:hAnsi="Times New Roman" w:cs="Times New Roman"/>
          <w:kern w:val="0"/>
          <w:sz w:val="20"/>
          <w:szCs w:val="20"/>
          <w:lang w:eastAsia="pl-PL"/>
          <w14:ligatures w14:val="none"/>
        </w:rPr>
        <w:lastRenderedPageBreak/>
        <w:t>dochód z tytułu pełnienia funkcji w roku objętym oświadczeniem: ...................................................................... zł</w:t>
      </w:r>
    </w:p>
    <w:p w14:paraId="370D2E57" w14:textId="77777777" w:rsidR="006371CC" w:rsidRPr="006371CC" w:rsidRDefault="006371CC" w:rsidP="006371CC">
      <w:pPr>
        <w:spacing w:after="0" w:line="360" w:lineRule="auto"/>
        <w:jc w:val="both"/>
        <w:rPr>
          <w:rFonts w:ascii="Times New Roman" w:hAnsi="Times New Roman" w:cs="Times New Roman"/>
          <w:i/>
          <w:iCs/>
          <w:sz w:val="20"/>
          <w:szCs w:val="20"/>
        </w:rPr>
      </w:pPr>
    </w:p>
    <w:p w14:paraId="0FB7879D"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Projektodawca dostrzega, że art. 114 ust. 2 pkt 3 ustawy o fundacjach rodzinnych zakłada, że zgłoszenia do rejestru fundacji rodzinnych wymaga jedynie podanie beneficjentów będących osobami fizycznymi wchodzącymi w skład zgromadzenia beneficjentów, zaś oświadczenia majątkowe wymagać będą ujawnienia faktu bycia beneficjentem nawet nie wchodzących do zgromadzenia beneficjentów. Takie rozwiązanie sprzyjać będzie transparentności życia publicznego.</w:t>
      </w:r>
    </w:p>
    <w:p w14:paraId="0EDA5ADE"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 xml:space="preserve">Projekt przewiduje wejście w życie w terminie 14 dni od dnia ogłoszenia. </w:t>
      </w:r>
    </w:p>
    <w:p w14:paraId="69DCBF67"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Zmianie będą musiały ulec rozporządzenia, które zawierają wzór oświadczenia majątkowego dla wybranych grup. I tak: przewidziano, że dotychczasowe przepisy wykonawcze wydane na podstawie przepisów:</w:t>
      </w:r>
    </w:p>
    <w:p w14:paraId="54A7BA91"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1)</w:t>
      </w:r>
      <w:r w:rsidRPr="006371CC">
        <w:rPr>
          <w:rFonts w:ascii="Times New Roman" w:hAnsi="Times New Roman" w:cs="Times New Roman"/>
        </w:rPr>
        <w:tab/>
        <w:t>art. 24h ust. 13 ustawy zmienianej w art. 1,</w:t>
      </w:r>
    </w:p>
    <w:p w14:paraId="41AD38F3"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2)</w:t>
      </w:r>
      <w:r w:rsidRPr="006371CC">
        <w:rPr>
          <w:rFonts w:ascii="Times New Roman" w:hAnsi="Times New Roman" w:cs="Times New Roman"/>
        </w:rPr>
        <w:tab/>
        <w:t>art. 62 ust. 8 ustawy zmienianej w art. 2,</w:t>
      </w:r>
    </w:p>
    <w:p w14:paraId="2D6E87D0"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3)</w:t>
      </w:r>
      <w:r w:rsidRPr="006371CC">
        <w:rPr>
          <w:rFonts w:ascii="Times New Roman" w:hAnsi="Times New Roman" w:cs="Times New Roman"/>
        </w:rPr>
        <w:tab/>
        <w:t>art. 91a ust. 9 ustawy zmienianej w art. 3,</w:t>
      </w:r>
    </w:p>
    <w:p w14:paraId="045CFF9F"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4)</w:t>
      </w:r>
      <w:r w:rsidRPr="006371CC">
        <w:rPr>
          <w:rFonts w:ascii="Times New Roman" w:hAnsi="Times New Roman" w:cs="Times New Roman"/>
        </w:rPr>
        <w:tab/>
        <w:t>art. 57a ust. 12 ustawy zmienianej w art. 4,</w:t>
      </w:r>
    </w:p>
    <w:p w14:paraId="7EC72E0E"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5)</w:t>
      </w:r>
      <w:r w:rsidRPr="006371CC">
        <w:rPr>
          <w:rFonts w:ascii="Times New Roman" w:hAnsi="Times New Roman" w:cs="Times New Roman"/>
        </w:rPr>
        <w:tab/>
        <w:t>art. 11 ustawy zmienianej w art. 6,</w:t>
      </w:r>
    </w:p>
    <w:p w14:paraId="3A3ED13D"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6)</w:t>
      </w:r>
      <w:r w:rsidRPr="006371CC">
        <w:rPr>
          <w:rFonts w:ascii="Times New Roman" w:hAnsi="Times New Roman" w:cs="Times New Roman"/>
        </w:rPr>
        <w:tab/>
        <w:t>art. 41a ust. 7 ustawy zmienianej w art. 8,</w:t>
      </w:r>
    </w:p>
    <w:p w14:paraId="16EDD845"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7)</w:t>
      </w:r>
      <w:r w:rsidRPr="006371CC">
        <w:rPr>
          <w:rFonts w:ascii="Times New Roman" w:hAnsi="Times New Roman" w:cs="Times New Roman"/>
        </w:rPr>
        <w:tab/>
        <w:t>art. 25c ust. 13 ustawy zmienianej w art. 9,</w:t>
      </w:r>
    </w:p>
    <w:p w14:paraId="3D8E9101"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8)</w:t>
      </w:r>
      <w:r w:rsidRPr="006371CC">
        <w:rPr>
          <w:rFonts w:ascii="Times New Roman" w:hAnsi="Times New Roman" w:cs="Times New Roman"/>
        </w:rPr>
        <w:tab/>
        <w:t>art. 27c ust. 13 ustawy zmienianej w art. 10,</w:t>
      </w:r>
    </w:p>
    <w:p w14:paraId="215DA736"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9)</w:t>
      </w:r>
      <w:r w:rsidRPr="006371CC">
        <w:rPr>
          <w:rFonts w:ascii="Times New Roman" w:hAnsi="Times New Roman" w:cs="Times New Roman"/>
        </w:rPr>
        <w:tab/>
        <w:t>art. 88 ustawy zmienianej w art. 11,</w:t>
      </w:r>
    </w:p>
    <w:p w14:paraId="20E47FE9"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10)</w:t>
      </w:r>
      <w:r w:rsidRPr="006371CC">
        <w:rPr>
          <w:rFonts w:ascii="Times New Roman" w:hAnsi="Times New Roman" w:cs="Times New Roman"/>
        </w:rPr>
        <w:tab/>
        <w:t>art. 105 ustawy zmienianej w art. 14,</w:t>
      </w:r>
    </w:p>
    <w:p w14:paraId="790BD772"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11)</w:t>
      </w:r>
      <w:r w:rsidRPr="006371CC">
        <w:rPr>
          <w:rFonts w:ascii="Times New Roman" w:hAnsi="Times New Roman" w:cs="Times New Roman"/>
        </w:rPr>
        <w:tab/>
        <w:t>art. 137 ust. 10 ustawy zmienianej w art. 16,</w:t>
      </w:r>
    </w:p>
    <w:p w14:paraId="56552D65"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12)</w:t>
      </w:r>
      <w:r w:rsidRPr="006371CC">
        <w:rPr>
          <w:rFonts w:ascii="Times New Roman" w:hAnsi="Times New Roman" w:cs="Times New Roman"/>
        </w:rPr>
        <w:tab/>
        <w:t>art. 32 ust. 12 ustawy zmienianej w art. 17</w:t>
      </w:r>
    </w:p>
    <w:p w14:paraId="1CBB54A2"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 zachowują moc do dnia wejścia w życie przepisów wykonawczych wydanych odpowiednio na podstawie art. 24h ust. 13 ustawy zmienianej w art. 1, art. 62 ust. 8 ustawy zmienianej w art. 2, art. 91a ust. 9 ustawy zmienianej w art. 3, art. 57a ust. 12 ustawy zmienianej w art. 4, art. 11 ustawy zmienianej w art. 6, art. 41a ust. 7 ustawy zmienianej w art. 8, art. 25c ust. 13 ustawy zmienianej w art. 9, art. 27c ust. 13 ustawy zmienianej w art. 10, art. 88 ustawy zmienianej w art. 11, art. 105 ustawy zmienianej w art. 14, art. 137 ust. 10 ustawy zmienianej w art. 16, art. 32 ust. 12 ustawy zmienianej w art. 17 w brzmieniu nadanym niniejszą ustawą, jednak nie dłużej niż przez 3 miesiące od dnia wejścia w życie niniejszej ustawy.</w:t>
      </w:r>
    </w:p>
    <w:p w14:paraId="59AA95A1"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Zmiany w aktach wykonawczych dotyczyć będą tylko uregulowania nowego wzoru oświadczenia majątkowego.</w:t>
      </w:r>
    </w:p>
    <w:p w14:paraId="003B25F9"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lastRenderedPageBreak/>
        <w:t>Dla większości osób objętych obowiązkiem uzupełnienia oświadczenia nowy wzór będzie wiążący od roku 2027 r. Jednakże osoby uczestniczące w procesie legislacyjnym zdaniem przedstawicieli wnioskodawców powinny złożyć uzupełnione o fundacje rodzinne oświadczenie jeszcze w tym roku, w terminie 4 miesięcy od dnia wejścia w życie ustawy.</w:t>
      </w:r>
    </w:p>
    <w:p w14:paraId="782C64D2"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 xml:space="preserve">Obowiązek ten obejmie w szczególności posłów i senatorów. </w:t>
      </w:r>
    </w:p>
    <w:p w14:paraId="5A24C24D"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 xml:space="preserve">Projekt wywoła pozytywne skutki społeczne poprzez poprawę jawności życia publicznego, dostęp do pełnej informacji o stanie majątkowym osób sprawujących władzę, poprawi skuteczność przepisów antykorupcyjnych. </w:t>
      </w:r>
    </w:p>
    <w:p w14:paraId="4F3EEF7F"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 nie wywołuje skutków finansowych. Odebranie dodatkowych oświadczeń od grupy osób może być realizowane w ramach dotychczasowych zadań.</w:t>
      </w:r>
    </w:p>
    <w:p w14:paraId="3C76A7B7"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 nie określa zasad podejmowania, wykonywania lub zakończenia działalności gospodarczej. Zawarte w projekcie regulacje nie będą miały wpływ na mikro, małych i średnich przedsiębiorców, zgodnie z ustawą z dnia 6 marca 2018 r. – Prawo przedsiębiorców.</w:t>
      </w:r>
    </w:p>
    <w:p w14:paraId="2F0CE362"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Przedkładany projekt ustawy jest zgodny z prawem Unii Europejskiej.</w:t>
      </w:r>
    </w:p>
    <w:p w14:paraId="1C7C0085"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 ustawy nie wymaga przedłożenia właściwym instytucjom i organom Unii Europejskiej, w tym Europejskiemu Bankowi Centralnemu, w celu uzyskania opinii, dokonania powiadomienia, konsultacji albo uzgodnienia.</w:t>
      </w:r>
    </w:p>
    <w:p w14:paraId="5C2CA098" w14:textId="77777777" w:rsidR="006371CC" w:rsidRPr="006371CC" w:rsidRDefault="006371CC" w:rsidP="006371CC">
      <w:pPr>
        <w:spacing w:after="0" w:line="360" w:lineRule="auto"/>
        <w:jc w:val="both"/>
        <w:rPr>
          <w:rFonts w:ascii="Times New Roman" w:hAnsi="Times New Roman" w:cs="Times New Roman"/>
        </w:rPr>
      </w:pPr>
      <w:r w:rsidRPr="006371CC">
        <w:rPr>
          <w:rFonts w:ascii="Times New Roman" w:hAnsi="Times New Roman" w:cs="Times New Roman"/>
        </w:rPr>
        <w:t>Projekt nie podlega procedurze notyfikacji.</w:t>
      </w:r>
    </w:p>
    <w:p w14:paraId="3719BC7D" w14:textId="77777777" w:rsidR="006371CC" w:rsidRPr="006371CC" w:rsidRDefault="006371CC" w:rsidP="006371CC">
      <w:pPr>
        <w:spacing w:after="0" w:line="360" w:lineRule="auto"/>
        <w:jc w:val="both"/>
        <w:rPr>
          <w:rFonts w:ascii="Times New Roman" w:hAnsi="Times New Roman" w:cs="Times New Roman"/>
        </w:rPr>
      </w:pPr>
    </w:p>
    <w:p w14:paraId="4C070D3F" w14:textId="77777777" w:rsidR="00F740E1" w:rsidRPr="006371CC" w:rsidRDefault="00F740E1">
      <w:pPr>
        <w:rPr>
          <w:rFonts w:ascii="Times New Roman" w:hAnsi="Times New Roman" w:cs="Times New Roman"/>
        </w:rPr>
      </w:pPr>
    </w:p>
    <w:sectPr w:rsidR="00F740E1" w:rsidRPr="006371CC" w:rsidSect="006371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216F" w14:textId="77777777" w:rsidR="00607D54" w:rsidRDefault="00607D54" w:rsidP="006371CC">
      <w:pPr>
        <w:spacing w:after="0" w:line="240" w:lineRule="auto"/>
      </w:pPr>
      <w:r>
        <w:separator/>
      </w:r>
    </w:p>
  </w:endnote>
  <w:endnote w:type="continuationSeparator" w:id="0">
    <w:p w14:paraId="0F7978A9" w14:textId="77777777" w:rsidR="00607D54" w:rsidRDefault="00607D54" w:rsidP="0063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C9E6" w14:textId="77777777" w:rsidR="00607D54" w:rsidRDefault="00607D54" w:rsidP="006371CC">
      <w:pPr>
        <w:spacing w:after="0" w:line="240" w:lineRule="auto"/>
      </w:pPr>
      <w:r>
        <w:separator/>
      </w:r>
    </w:p>
  </w:footnote>
  <w:footnote w:type="continuationSeparator" w:id="0">
    <w:p w14:paraId="67D000B3" w14:textId="77777777" w:rsidR="00607D54" w:rsidRDefault="00607D54" w:rsidP="006371CC">
      <w:pPr>
        <w:spacing w:after="0" w:line="240" w:lineRule="auto"/>
      </w:pPr>
      <w:r>
        <w:continuationSeparator/>
      </w:r>
    </w:p>
  </w:footnote>
  <w:footnote w:id="1">
    <w:p w14:paraId="7160D602" w14:textId="77777777" w:rsidR="006371CC" w:rsidRDefault="006371CC" w:rsidP="006371CC">
      <w:pPr>
        <w:pStyle w:val="Tekstprzypisudolnego"/>
      </w:pPr>
      <w:r>
        <w:rPr>
          <w:rStyle w:val="Odwoanieprzypisudolnego"/>
        </w:rPr>
        <w:footnoteRef/>
      </w:r>
      <w:r>
        <w:t xml:space="preserve"> </w:t>
      </w:r>
      <w:r w:rsidRPr="000C1D0F">
        <w:t xml:space="preserve">P. J. Uziębło [w:] K. Grajewski, J. </w:t>
      </w:r>
      <w:proofErr w:type="spellStart"/>
      <w:r w:rsidRPr="000C1D0F">
        <w:t>Stelina</w:t>
      </w:r>
      <w:proofErr w:type="spellEnd"/>
      <w:r w:rsidRPr="000C1D0F">
        <w:t>, P. J. Uziębło, Komentarz do ustawy o wykonywaniu mandatu posła i senatora, Warszawa 2014, art. 35.</w:t>
      </w:r>
    </w:p>
  </w:footnote>
  <w:footnote w:id="2">
    <w:p w14:paraId="2AFEF953" w14:textId="77777777" w:rsidR="006371CC" w:rsidRDefault="006371CC" w:rsidP="006371CC">
      <w:pPr>
        <w:pStyle w:val="Tekstprzypisudolnego"/>
      </w:pPr>
      <w:r>
        <w:rPr>
          <w:rStyle w:val="Odwoanieprzypisudolnego"/>
        </w:rPr>
        <w:footnoteRef/>
      </w:r>
      <w:r>
        <w:t xml:space="preserve"> </w:t>
      </w:r>
      <w:r w:rsidRPr="001A14BD">
        <w:t xml:space="preserve">P. J. Uziębło [w:] K. Grajewski, J. </w:t>
      </w:r>
      <w:proofErr w:type="spellStart"/>
      <w:r w:rsidRPr="001A14BD">
        <w:t>Stelina</w:t>
      </w:r>
      <w:proofErr w:type="spellEnd"/>
      <w:r w:rsidRPr="001A14BD">
        <w:t>, P. J. Uziębło, Komentarz do ustawy o wykonywaniu mandatu posła i senatora, Warszawa 2014, art.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C37DA"/>
    <w:multiLevelType w:val="hybridMultilevel"/>
    <w:tmpl w:val="CCC40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015665"/>
    <w:multiLevelType w:val="hybridMultilevel"/>
    <w:tmpl w:val="C21649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5649A8"/>
    <w:multiLevelType w:val="hybridMultilevel"/>
    <w:tmpl w:val="A75AA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4466397">
    <w:abstractNumId w:val="1"/>
  </w:num>
  <w:num w:numId="2" w16cid:durableId="898591280">
    <w:abstractNumId w:val="2"/>
  </w:num>
  <w:num w:numId="3" w16cid:durableId="85361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CC"/>
    <w:rsid w:val="001B7544"/>
    <w:rsid w:val="0043358F"/>
    <w:rsid w:val="00607D54"/>
    <w:rsid w:val="006371CC"/>
    <w:rsid w:val="009F7E5F"/>
    <w:rsid w:val="00CE7AEB"/>
    <w:rsid w:val="00D232CD"/>
    <w:rsid w:val="00D87AC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5D6D"/>
  <w15:chartTrackingRefBased/>
  <w15:docId w15:val="{A02EFBD2-0CBE-4CD0-A58E-566EF109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CC"/>
    <w:pPr>
      <w:spacing w:line="278" w:lineRule="auto"/>
    </w:pPr>
    <w:rPr>
      <w:sz w:val="24"/>
      <w:szCs w:val="24"/>
    </w:rPr>
  </w:style>
  <w:style w:type="paragraph" w:styleId="Nagwek1">
    <w:name w:val="heading 1"/>
    <w:basedOn w:val="Normalny"/>
    <w:next w:val="Normalny"/>
    <w:link w:val="Nagwek1Znak"/>
    <w:uiPriority w:val="9"/>
    <w:qFormat/>
    <w:rsid w:val="0063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71C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71C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71C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71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71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71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71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71C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71C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71C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71C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71C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71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71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71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71CC"/>
    <w:rPr>
      <w:rFonts w:eastAsiaTheme="majorEastAsia" w:cstheme="majorBidi"/>
      <w:color w:val="272727" w:themeColor="text1" w:themeTint="D8"/>
    </w:rPr>
  </w:style>
  <w:style w:type="paragraph" w:styleId="Tytu">
    <w:name w:val="Title"/>
    <w:basedOn w:val="Normalny"/>
    <w:next w:val="Normalny"/>
    <w:link w:val="TytuZnak"/>
    <w:uiPriority w:val="10"/>
    <w:qFormat/>
    <w:rsid w:val="00637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71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71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71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71CC"/>
    <w:pPr>
      <w:spacing w:before="160"/>
      <w:jc w:val="center"/>
    </w:pPr>
    <w:rPr>
      <w:i/>
      <w:iCs/>
      <w:color w:val="404040" w:themeColor="text1" w:themeTint="BF"/>
    </w:rPr>
  </w:style>
  <w:style w:type="character" w:customStyle="1" w:styleId="CytatZnak">
    <w:name w:val="Cytat Znak"/>
    <w:basedOn w:val="Domylnaczcionkaakapitu"/>
    <w:link w:val="Cytat"/>
    <w:uiPriority w:val="29"/>
    <w:rsid w:val="006371CC"/>
    <w:rPr>
      <w:i/>
      <w:iCs/>
      <w:color w:val="404040" w:themeColor="text1" w:themeTint="BF"/>
    </w:rPr>
  </w:style>
  <w:style w:type="paragraph" w:styleId="Akapitzlist">
    <w:name w:val="List Paragraph"/>
    <w:basedOn w:val="Normalny"/>
    <w:uiPriority w:val="34"/>
    <w:qFormat/>
    <w:rsid w:val="006371CC"/>
    <w:pPr>
      <w:ind w:left="720"/>
      <w:contextualSpacing/>
    </w:pPr>
  </w:style>
  <w:style w:type="character" w:styleId="Wyrnienieintensywne">
    <w:name w:val="Intense Emphasis"/>
    <w:basedOn w:val="Domylnaczcionkaakapitu"/>
    <w:uiPriority w:val="21"/>
    <w:qFormat/>
    <w:rsid w:val="006371CC"/>
    <w:rPr>
      <w:i/>
      <w:iCs/>
      <w:color w:val="0F4761" w:themeColor="accent1" w:themeShade="BF"/>
    </w:rPr>
  </w:style>
  <w:style w:type="paragraph" w:styleId="Cytatintensywny">
    <w:name w:val="Intense Quote"/>
    <w:basedOn w:val="Normalny"/>
    <w:next w:val="Normalny"/>
    <w:link w:val="CytatintensywnyZnak"/>
    <w:uiPriority w:val="30"/>
    <w:qFormat/>
    <w:rsid w:val="0063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71CC"/>
    <w:rPr>
      <w:i/>
      <w:iCs/>
      <w:color w:val="0F4761" w:themeColor="accent1" w:themeShade="BF"/>
    </w:rPr>
  </w:style>
  <w:style w:type="character" w:styleId="Odwoanieintensywne">
    <w:name w:val="Intense Reference"/>
    <w:basedOn w:val="Domylnaczcionkaakapitu"/>
    <w:uiPriority w:val="32"/>
    <w:qFormat/>
    <w:rsid w:val="006371CC"/>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6371C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371CC"/>
    <w:rPr>
      <w:sz w:val="20"/>
      <w:szCs w:val="20"/>
    </w:rPr>
  </w:style>
  <w:style w:type="character" w:styleId="Odwoanieprzypisudolnego">
    <w:name w:val="footnote reference"/>
    <w:basedOn w:val="Domylnaczcionkaakapitu"/>
    <w:uiPriority w:val="99"/>
    <w:semiHidden/>
    <w:unhideWhenUsed/>
    <w:rsid w:val="00637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1918</Words>
  <Characters>11512</Characters>
  <Application>Microsoft Office Word</Application>
  <DocSecurity>0</DocSecurity>
  <Lines>95</Lines>
  <Paragraphs>26</Paragraphs>
  <ScaleCrop>false</ScaleCrop>
  <Company>Kancelaria Sejmu</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2</cp:revision>
  <dcterms:created xsi:type="dcterms:W3CDTF">2026-05-04T12:52:00Z</dcterms:created>
  <dcterms:modified xsi:type="dcterms:W3CDTF">2026-05-06T09:54:00Z</dcterms:modified>
</cp:coreProperties>
</file>