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5D07" w14:textId="77777777" w:rsidR="00240FDA" w:rsidRPr="009858C9" w:rsidRDefault="00240FDA" w:rsidP="009858C9">
      <w:pPr>
        <w:pStyle w:val="OZNRODZAKTUtznustawalubrozporzdzenieiorganwydajcy"/>
        <w:spacing w:before="120" w:after="0"/>
        <w:rPr>
          <w:rFonts w:ascii="Times New Roman" w:hAnsi="Times New Roman"/>
          <w:b w:val="0"/>
          <w:bCs w:val="0"/>
          <w:spacing w:val="0"/>
        </w:rPr>
      </w:pPr>
      <w:r w:rsidRPr="009858C9">
        <w:rPr>
          <w:rFonts w:ascii="Times New Roman" w:hAnsi="Times New Roman"/>
          <w:b w:val="0"/>
          <w:bCs w:val="0"/>
          <w:spacing w:val="0"/>
        </w:rPr>
        <w:t>uzasadnienie</w:t>
      </w:r>
    </w:p>
    <w:p w14:paraId="4650B9F4" w14:textId="7FFDD7A4" w:rsidR="003C71E3" w:rsidRPr="00BE264C" w:rsidRDefault="003C71E3" w:rsidP="009858C9">
      <w:pPr>
        <w:suppressAutoHyphens/>
        <w:autoSpaceDE w:val="0"/>
        <w:autoSpaceDN w:val="0"/>
        <w:adjustRightInd w:val="0"/>
        <w:spacing w:before="120" w:after="0" w:line="360" w:lineRule="auto"/>
        <w:jc w:val="both"/>
        <w:rPr>
          <w:rFonts w:ascii="Times New Roman" w:eastAsiaTheme="minorEastAsia" w:hAnsi="Times New Roman" w:cs="Times New Roman"/>
          <w:bCs/>
          <w:color w:val="000000" w:themeColor="text1"/>
          <w:sz w:val="24"/>
          <w:szCs w:val="24"/>
          <w:lang w:eastAsia="pl-PL"/>
        </w:rPr>
      </w:pPr>
      <w:r w:rsidRPr="00BE264C">
        <w:rPr>
          <w:rFonts w:ascii="Times New Roman" w:eastAsiaTheme="minorEastAsia" w:hAnsi="Times New Roman" w:cs="Times New Roman"/>
          <w:bCs/>
          <w:color w:val="000000" w:themeColor="text1"/>
          <w:sz w:val="24"/>
          <w:szCs w:val="24"/>
          <w:lang w:eastAsia="pl-PL"/>
        </w:rPr>
        <w:t xml:space="preserve">Celem projektu </w:t>
      </w:r>
      <w:r w:rsidRPr="00BE264C">
        <w:rPr>
          <w:rFonts w:ascii="Times New Roman" w:eastAsiaTheme="minorEastAsia" w:hAnsi="Times New Roman" w:cs="Times New Roman"/>
          <w:bCs/>
          <w:i/>
          <w:iCs/>
          <w:color w:val="000000" w:themeColor="text1"/>
          <w:sz w:val="24"/>
          <w:szCs w:val="24"/>
          <w:lang w:eastAsia="pl-PL"/>
        </w:rPr>
        <w:t>ustawy o zmianie ustawy – Prawo bankowe oraz niektórych innych ustaw</w:t>
      </w:r>
      <w:r w:rsidRPr="00BE264C">
        <w:rPr>
          <w:rFonts w:ascii="Times New Roman" w:eastAsiaTheme="minorEastAsia" w:hAnsi="Times New Roman" w:cs="Times New Roman"/>
          <w:bCs/>
          <w:color w:val="000000" w:themeColor="text1"/>
          <w:sz w:val="24"/>
          <w:szCs w:val="24"/>
          <w:lang w:eastAsia="pl-PL"/>
        </w:rPr>
        <w:t xml:space="preserve"> jest dokonanie zmian w krajowym porządku prawnym w związku z wejściem w życie regulacji prawnych Unii Europejskiej dot</w:t>
      </w:r>
      <w:r w:rsidR="00B45B9E" w:rsidRPr="00BE264C">
        <w:rPr>
          <w:rFonts w:ascii="Times New Roman" w:eastAsiaTheme="minorEastAsia" w:hAnsi="Times New Roman" w:cs="Times New Roman"/>
          <w:bCs/>
          <w:color w:val="000000" w:themeColor="text1"/>
          <w:sz w:val="24"/>
          <w:szCs w:val="24"/>
          <w:lang w:eastAsia="pl-PL"/>
        </w:rPr>
        <w:t>y</w:t>
      </w:r>
      <w:r w:rsidRPr="00BE264C">
        <w:rPr>
          <w:rFonts w:ascii="Times New Roman" w:eastAsiaTheme="minorEastAsia" w:hAnsi="Times New Roman" w:cs="Times New Roman"/>
          <w:bCs/>
          <w:color w:val="000000" w:themeColor="text1"/>
          <w:sz w:val="24"/>
          <w:szCs w:val="24"/>
          <w:lang w:eastAsia="pl-PL"/>
        </w:rPr>
        <w:t>czących wymogów kapitałowych dla instytucji kredytowych, tzw. pakietu CRD VI/CRR III, któ</w:t>
      </w:r>
      <w:r w:rsidR="00BE1124" w:rsidRPr="00BE264C">
        <w:rPr>
          <w:rFonts w:ascii="Times New Roman" w:eastAsiaTheme="minorEastAsia" w:hAnsi="Times New Roman" w:cs="Times New Roman"/>
          <w:bCs/>
          <w:color w:val="000000" w:themeColor="text1"/>
          <w:sz w:val="24"/>
          <w:szCs w:val="24"/>
          <w:lang w:eastAsia="pl-PL"/>
        </w:rPr>
        <w:t>r</w:t>
      </w:r>
      <w:r w:rsidRPr="00BE264C">
        <w:rPr>
          <w:rFonts w:ascii="Times New Roman" w:eastAsiaTheme="minorEastAsia" w:hAnsi="Times New Roman" w:cs="Times New Roman"/>
          <w:bCs/>
          <w:color w:val="000000" w:themeColor="text1"/>
          <w:sz w:val="24"/>
          <w:szCs w:val="24"/>
          <w:lang w:eastAsia="pl-PL"/>
        </w:rPr>
        <w:t>y obejmuje:</w:t>
      </w:r>
    </w:p>
    <w:p w14:paraId="21FA9C56" w14:textId="5154E294"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dyrektywę Parlamentu Europejskiego i Rady (UE) 2024/1619 z dnia 31 maja 2024 r. w</w:t>
      </w:r>
      <w:r w:rsidR="00600EBA" w:rsidRPr="00BE264C">
        <w:rPr>
          <w:rFonts w:ascii="Times New Roman" w:hAnsi="Times New Roman" w:cs="Times New Roman"/>
          <w:sz w:val="24"/>
          <w:szCs w:val="24"/>
        </w:rPr>
        <w:t> </w:t>
      </w:r>
      <w:r w:rsidRPr="00BE264C">
        <w:rPr>
          <w:rFonts w:ascii="Times New Roman" w:hAnsi="Times New Roman" w:cs="Times New Roman"/>
          <w:sz w:val="24"/>
          <w:szCs w:val="24"/>
        </w:rPr>
        <w:t>sprawie zmiany dyrektywy 2013/36/UE w odniesieniu do uprawnień nadzorczych, sankcji, oddziałów z państw trzecich i ryzyk środowiskowych, społecznych i z zakresu ładu korporacyjnego (Dz. Urz. UE L 2024/1619 z 19.06.2024), dalej „dyrektywa CRD VI”,</w:t>
      </w:r>
    </w:p>
    <w:p w14:paraId="264C48CA" w14:textId="58C2249B"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rozporządzenie Parlamentu Europejskiego i Rady (UE) 2024/1623 z dnia 31 maja 2024</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r. w sprawie zmiany rozporządzenia (UE) nr 575/2013 w odniesieniu do wymogów dotyczących ryzyka kredytowego, ryzyka związanego z korektą wyceny kredytowej, ryzyka operacyjnego, ryzyka rynkowego oraz minimalnego progu kapitałowego (Dz. Urz. UE L 2024/1623 z 19.06.2024</w:t>
      </w:r>
      <w:r w:rsidR="000B0232">
        <w:rPr>
          <w:rFonts w:ascii="Times New Roman" w:hAnsi="Times New Roman" w:cs="Times New Roman"/>
          <w:sz w:val="24"/>
          <w:szCs w:val="24"/>
        </w:rPr>
        <w:t>, z późn. zm.</w:t>
      </w:r>
      <w:r w:rsidRPr="00BE264C">
        <w:rPr>
          <w:rFonts w:ascii="Times New Roman" w:hAnsi="Times New Roman" w:cs="Times New Roman"/>
          <w:sz w:val="24"/>
          <w:szCs w:val="24"/>
        </w:rPr>
        <w:t>), dalej „rozporządzenie CRR III”.</w:t>
      </w:r>
    </w:p>
    <w:p w14:paraId="5791340A" w14:textId="0BE98FC1" w:rsidR="003C71E3" w:rsidRPr="00BE264C" w:rsidRDefault="003C71E3" w:rsidP="009858C9">
      <w:pPr>
        <w:suppressAutoHyphens/>
        <w:autoSpaceDE w:val="0"/>
        <w:autoSpaceDN w:val="0"/>
        <w:adjustRightInd w:val="0"/>
        <w:spacing w:before="120" w:after="0" w:line="360" w:lineRule="auto"/>
        <w:jc w:val="both"/>
        <w:rPr>
          <w:rFonts w:ascii="Times New Roman" w:eastAsiaTheme="minorEastAsia" w:hAnsi="Times New Roman" w:cs="Times New Roman"/>
          <w:bCs/>
          <w:color w:val="000000" w:themeColor="text1"/>
          <w:sz w:val="24"/>
          <w:szCs w:val="24"/>
          <w:lang w:eastAsia="pl-PL"/>
        </w:rPr>
      </w:pPr>
      <w:r w:rsidRPr="00BE264C">
        <w:rPr>
          <w:rFonts w:ascii="Times New Roman" w:eastAsiaTheme="minorEastAsia" w:hAnsi="Times New Roman" w:cs="Times New Roman"/>
          <w:bCs/>
          <w:color w:val="000000" w:themeColor="text1"/>
          <w:sz w:val="24"/>
          <w:szCs w:val="24"/>
          <w:lang w:eastAsia="pl-PL"/>
        </w:rPr>
        <w:t>Kryzys finansowy w latach 2008-2009 uwidocznił słabości sektora finansowego. Odpowiedzią na to zjawisko była Bazylea III, która stanowi zbiór rozwiązań wypracowanych przez Komitet Bazylejski oraz kontynuację dotychczasowych działań na poziomie międzynarodowym nad poprawą bezpieczeństwa i efektywności rynku finansowego. Większość rozwiązań zawartych w Bazylei III została już zawarta w regulacjach UE. Celem pakietu ostrożnościowego CRD VI/CRR III jest transponowanie pozostałych rozwiązań Bazylei III do porządku prawnego Unii Europejskiej.</w:t>
      </w:r>
    </w:p>
    <w:p w14:paraId="1A3C8A80" w14:textId="651CDF64" w:rsidR="00FA7349" w:rsidRPr="00BE264C" w:rsidRDefault="00FA7349" w:rsidP="009858C9">
      <w:pPr>
        <w:suppressAutoHyphens/>
        <w:autoSpaceDE w:val="0"/>
        <w:autoSpaceDN w:val="0"/>
        <w:adjustRightInd w:val="0"/>
        <w:spacing w:before="120" w:after="0" w:line="360" w:lineRule="auto"/>
        <w:jc w:val="both"/>
        <w:rPr>
          <w:rFonts w:ascii="Times New Roman" w:eastAsiaTheme="minorEastAsia" w:hAnsi="Times New Roman" w:cs="Times New Roman"/>
          <w:bCs/>
          <w:color w:val="000000" w:themeColor="text1"/>
          <w:sz w:val="24"/>
          <w:szCs w:val="24"/>
          <w:lang w:eastAsia="pl-PL"/>
        </w:rPr>
      </w:pPr>
      <w:r w:rsidRPr="00BE264C">
        <w:rPr>
          <w:rFonts w:ascii="Times New Roman" w:eastAsiaTheme="minorEastAsia" w:hAnsi="Times New Roman" w:cs="Times New Roman"/>
          <w:bCs/>
          <w:color w:val="000000" w:themeColor="text1"/>
          <w:sz w:val="24"/>
          <w:szCs w:val="24"/>
          <w:lang w:eastAsia="pl-PL"/>
        </w:rPr>
        <w:t>Celem projektu jest także wdrożenie do krajowego porządku prawnego dyrektywy Parlamentu Europejskiego i Rady (UE) 2024/2994 z dnia 27 listopada 2024 r. zmieniającej dyrektywy 2009/65/WE, 2013/36/UE i (UE) 2019/2034 w odniesieniu do sposobu traktowania ryzyka koncentracji z tytułu ekspozycji wobec kontrahentów centralnych i ryzyka kontrahenta w przypadku rozliczanych centralnie transakcji na instrumentach pochodnych (Dz. Urz. UE L 2024/2994 z 04.12.2024), dalej „dyrektywa 2024/2994”</w:t>
      </w:r>
      <w:r w:rsidR="000458FD" w:rsidRPr="00BE264C">
        <w:rPr>
          <w:rFonts w:ascii="Times New Roman" w:eastAsiaTheme="minorEastAsia" w:hAnsi="Times New Roman" w:cs="Times New Roman"/>
          <w:bCs/>
          <w:color w:val="000000" w:themeColor="text1"/>
          <w:sz w:val="24"/>
          <w:szCs w:val="24"/>
          <w:lang w:eastAsia="pl-PL"/>
        </w:rPr>
        <w:t>,</w:t>
      </w:r>
      <w:r w:rsidR="00D0382B" w:rsidRPr="009858C9">
        <w:rPr>
          <w:rFonts w:ascii="Times New Roman" w:eastAsia="Calibri" w:hAnsi="Times New Roman" w:cs="Times New Roman"/>
          <w:bCs/>
          <w:sz w:val="24"/>
          <w:szCs w:val="24"/>
        </w:rPr>
        <w:t xml:space="preserve"> </w:t>
      </w:r>
      <w:r w:rsidR="00D0382B" w:rsidRPr="00BE264C">
        <w:rPr>
          <w:rFonts w:ascii="Times New Roman" w:eastAsia="Calibri" w:hAnsi="Times New Roman" w:cs="Times New Roman"/>
          <w:bCs/>
          <w:sz w:val="24"/>
          <w:szCs w:val="24"/>
        </w:rPr>
        <w:t xml:space="preserve">oraz dokonanie w krajowym porządku prawnym zmian wynikających z </w:t>
      </w:r>
      <w:r w:rsidR="00D0382B" w:rsidRPr="00BE264C">
        <w:rPr>
          <w:rFonts w:ascii="Times New Roman" w:eastAsiaTheme="minorEastAsia" w:hAnsi="Times New Roman" w:cs="Times New Roman"/>
          <w:bCs/>
          <w:color w:val="000000" w:themeColor="text1"/>
          <w:sz w:val="24"/>
          <w:szCs w:val="24"/>
          <w:lang w:eastAsia="pl-PL"/>
        </w:rPr>
        <w:t>rozporządzenia Parlamentu Europejskiego i Rady (UE) 2024/2987 z dnia 27 listopada 2024 r. zmieniające</w:t>
      </w:r>
      <w:r w:rsidR="00516F15" w:rsidRPr="00BE264C">
        <w:rPr>
          <w:rFonts w:ascii="Times New Roman" w:eastAsiaTheme="minorEastAsia" w:hAnsi="Times New Roman" w:cs="Times New Roman"/>
          <w:bCs/>
          <w:color w:val="000000" w:themeColor="text1"/>
          <w:sz w:val="24"/>
          <w:szCs w:val="24"/>
          <w:lang w:eastAsia="pl-PL"/>
        </w:rPr>
        <w:t>go</w:t>
      </w:r>
      <w:r w:rsidR="00D0382B" w:rsidRPr="00BE264C">
        <w:rPr>
          <w:rFonts w:ascii="Times New Roman" w:eastAsiaTheme="minorEastAsia" w:hAnsi="Times New Roman" w:cs="Times New Roman"/>
          <w:bCs/>
          <w:color w:val="000000" w:themeColor="text1"/>
          <w:sz w:val="24"/>
          <w:szCs w:val="24"/>
          <w:lang w:eastAsia="pl-PL"/>
        </w:rPr>
        <w:t xml:space="preserve"> rozporządzenia (UE) nr 648/2012, (UE) nr 575/2013 i (UE) 2017/1131 w zakresie środków mających na celu ograniczenie nadmiernych </w:t>
      </w:r>
      <w:r w:rsidR="00D0382B" w:rsidRPr="00BE264C">
        <w:rPr>
          <w:rFonts w:ascii="Times New Roman" w:eastAsiaTheme="minorEastAsia" w:hAnsi="Times New Roman" w:cs="Times New Roman"/>
          <w:bCs/>
          <w:color w:val="000000" w:themeColor="text1"/>
          <w:sz w:val="24"/>
          <w:szCs w:val="24"/>
          <w:lang w:eastAsia="pl-PL"/>
        </w:rPr>
        <w:lastRenderedPageBreak/>
        <w:t xml:space="preserve">ekspozycji wobec kontrahentów centralnych z państw trzecich oraz zwiększenie efektywności unijnych rynków usług rozliczeniowych (Dz. Urz. UE L, 2024/2987 z </w:t>
      </w:r>
      <w:r w:rsidR="00E169AC">
        <w:rPr>
          <w:rFonts w:ascii="Times New Roman" w:eastAsiaTheme="minorEastAsia" w:hAnsi="Times New Roman" w:cs="Times New Roman"/>
          <w:bCs/>
          <w:color w:val="000000" w:themeColor="text1"/>
          <w:sz w:val="24"/>
          <w:szCs w:val="24"/>
          <w:lang w:eastAsia="pl-PL"/>
        </w:rPr>
        <w:t>0</w:t>
      </w:r>
      <w:r w:rsidR="00D0382B" w:rsidRPr="00BE264C">
        <w:rPr>
          <w:rFonts w:ascii="Times New Roman" w:eastAsiaTheme="minorEastAsia" w:hAnsi="Times New Roman" w:cs="Times New Roman"/>
          <w:bCs/>
          <w:color w:val="000000" w:themeColor="text1"/>
          <w:sz w:val="24"/>
          <w:szCs w:val="24"/>
          <w:lang w:eastAsia="pl-PL"/>
        </w:rPr>
        <w:t xml:space="preserve">4.12.2024), dalej: „rozporządzenie 2024/2987” </w:t>
      </w:r>
      <w:r w:rsidRPr="00BE264C">
        <w:rPr>
          <w:rFonts w:ascii="Times New Roman" w:eastAsiaTheme="minorEastAsia" w:hAnsi="Times New Roman" w:cs="Times New Roman"/>
          <w:bCs/>
          <w:color w:val="000000" w:themeColor="text1"/>
          <w:sz w:val="24"/>
          <w:szCs w:val="24"/>
          <w:lang w:eastAsia="pl-PL"/>
        </w:rPr>
        <w:t>.</w:t>
      </w:r>
    </w:p>
    <w:p w14:paraId="7886487C" w14:textId="77777777" w:rsidR="003C71E3" w:rsidRPr="00BE264C" w:rsidRDefault="003C71E3"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Zmiany w zakresie rozporządzenia CRR III zakładają m.in.: </w:t>
      </w:r>
    </w:p>
    <w:p w14:paraId="5297A99E" w14:textId="00A55220"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ustanowienie tzw. minimalnego progu kapitałowego, czyli mechanizmu pozwalającego ograniczyć niedoszacowanie wymogów kapitałowych kalkulowanych z</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wykorzystaniem metody wewnętrznych ratingów (internal ratings-based approach, IRB). Zgodnie z obowiązującymi przepisami banki mają możliwość szacowania wymogu kapitałowego albo metodą standardową, albo metodą IRB. W przypadku zastosowania metody IRB nierzadko wymóg kapitałowy jest znacznie niższy niż w</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przypadku metody standardowej, która jest bardziej konserwatywna. Zgodnie z</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nowymi regulacjami wymóg kapitałowy oszacowany metodą IRB będzie porównywany do wyniku uzyskanego metodą standardową. Jeżeli wynik uzyskany metodą IRB będzie niższy niż 72,5</w:t>
      </w:r>
      <w:r w:rsidR="006B637B">
        <w:rPr>
          <w:rFonts w:ascii="Times New Roman" w:hAnsi="Times New Roman" w:cs="Times New Roman"/>
          <w:sz w:val="24"/>
          <w:szCs w:val="24"/>
        </w:rPr>
        <w:t xml:space="preserve"> </w:t>
      </w:r>
      <w:r w:rsidRPr="00BE264C">
        <w:rPr>
          <w:rFonts w:ascii="Times New Roman" w:hAnsi="Times New Roman" w:cs="Times New Roman"/>
          <w:sz w:val="24"/>
          <w:szCs w:val="24"/>
        </w:rPr>
        <w:t>% wymogu uzyskanego metodą standardową, podmiot będzie musiał zastosować wartość wyższą</w:t>
      </w:r>
      <w:r w:rsidR="002140B9" w:rsidRPr="00BE264C">
        <w:rPr>
          <w:rFonts w:ascii="Times New Roman" w:hAnsi="Times New Roman" w:cs="Times New Roman"/>
          <w:sz w:val="24"/>
          <w:szCs w:val="24"/>
        </w:rPr>
        <w:t>,</w:t>
      </w:r>
    </w:p>
    <w:p w14:paraId="1F52F3E2" w14:textId="1E196617"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wprowadzenie szeregu zmian do metody standardowej dla ryzyka kredytowego, tak aby zwiększyć wrażliwość tej metody na ryzyko w kilku kluczowych aspektach. Szczególnie istotne jest wprowadzenie dwóch nowych rodzajów ekspozycji: ekspozycje IPRE (</w:t>
      </w:r>
      <w:r w:rsidRPr="00BE264C">
        <w:rPr>
          <w:rFonts w:ascii="Times New Roman" w:hAnsi="Times New Roman" w:cs="Times New Roman"/>
          <w:i/>
          <w:iCs/>
          <w:sz w:val="24"/>
          <w:szCs w:val="24"/>
        </w:rPr>
        <w:t>income-producing real estate exposures</w:t>
      </w:r>
      <w:r w:rsidRPr="00BE264C">
        <w:rPr>
          <w:rFonts w:ascii="Times New Roman" w:hAnsi="Times New Roman" w:cs="Times New Roman"/>
          <w:sz w:val="24"/>
          <w:szCs w:val="24"/>
        </w:rPr>
        <w:t>), gdzie zabezpieczeniem jest nieruchomość generująca dochód (będący źródłem spłaty ekspozycji), a także ekspozycje ADC (</w:t>
      </w:r>
      <w:r w:rsidRPr="00BE264C">
        <w:rPr>
          <w:rFonts w:ascii="Times New Roman" w:hAnsi="Times New Roman" w:cs="Times New Roman"/>
          <w:i/>
          <w:iCs/>
          <w:sz w:val="24"/>
          <w:szCs w:val="24"/>
        </w:rPr>
        <w:t>land acquisition, development and construction exposures</w:t>
      </w:r>
      <w:r w:rsidRPr="00BE264C">
        <w:rPr>
          <w:rFonts w:ascii="Times New Roman" w:hAnsi="Times New Roman" w:cs="Times New Roman"/>
          <w:sz w:val="24"/>
          <w:szCs w:val="24"/>
        </w:rPr>
        <w:t xml:space="preserve">) finansujące zakup gruntów i budowę nieruchomości przez przedsiębiorstwa. Otrzymają one średnio wyższą wagę ryzyka niż standardowe ekspozycje zabezpieczone nieruchomością w rozumieniu rozporządzenia CRR </w:t>
      </w:r>
      <w:r w:rsidR="00B87B1D" w:rsidRPr="00BE264C">
        <w:rPr>
          <w:rFonts w:ascii="Times New Roman" w:hAnsi="Times New Roman" w:cs="Times New Roman"/>
          <w:sz w:val="24"/>
          <w:szCs w:val="24"/>
        </w:rPr>
        <w:t>I</w:t>
      </w:r>
      <w:r w:rsidRPr="00BE264C">
        <w:rPr>
          <w:rFonts w:ascii="Times New Roman" w:hAnsi="Times New Roman" w:cs="Times New Roman"/>
          <w:sz w:val="24"/>
          <w:szCs w:val="24"/>
        </w:rPr>
        <w:t>II</w:t>
      </w:r>
      <w:r w:rsidR="002140B9" w:rsidRPr="00BE264C">
        <w:rPr>
          <w:rFonts w:ascii="Times New Roman" w:hAnsi="Times New Roman" w:cs="Times New Roman"/>
          <w:sz w:val="24"/>
          <w:szCs w:val="24"/>
        </w:rPr>
        <w:t>,</w:t>
      </w:r>
      <w:r w:rsidRPr="00BE264C">
        <w:rPr>
          <w:rFonts w:ascii="Times New Roman" w:hAnsi="Times New Roman" w:cs="Times New Roman"/>
          <w:sz w:val="24"/>
          <w:szCs w:val="24"/>
        </w:rPr>
        <w:t xml:space="preserve"> </w:t>
      </w:r>
    </w:p>
    <w:p w14:paraId="4C62E4A4" w14:textId="4F6E35EE"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 xml:space="preserve">uporządkowanie wymogów </w:t>
      </w:r>
      <w:r w:rsidRPr="00BE264C">
        <w:rPr>
          <w:rFonts w:ascii="Times New Roman" w:hAnsi="Times New Roman" w:cs="Times New Roman"/>
          <w:sz w:val="24"/>
          <w:szCs w:val="24"/>
          <w:lang w:eastAsia="pl-PL"/>
        </w:rPr>
        <w:t>dotyczących ryzyka rynkowego poprzez ustanowienie wiążących wymogów opartych na alternatywnej metodzie standardowej oraz wprowadzenie mnożników zwiększających wartość wymogu liczonego uproszczoną metodą standardową</w:t>
      </w:r>
      <w:r w:rsidR="00A14CD9" w:rsidRPr="00BE264C">
        <w:rPr>
          <w:rFonts w:ascii="Times New Roman" w:hAnsi="Times New Roman" w:cs="Times New Roman"/>
          <w:sz w:val="24"/>
          <w:szCs w:val="24"/>
          <w:lang w:eastAsia="pl-PL"/>
        </w:rPr>
        <w:t>,</w:t>
      </w:r>
    </w:p>
    <w:p w14:paraId="08EA429F" w14:textId="2305D9FB"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lang w:eastAsia="pl-PL"/>
        </w:rPr>
        <w:t xml:space="preserve">wprowadzenie zmian w obszarze raportowania m.in. poprzez rozszerzenie zakresu raportowania dla ryzyka operacyjnego, korekty wyceny kredytowej oraz ryzyk ESG. </w:t>
      </w:r>
    </w:p>
    <w:p w14:paraId="1E0A757A" w14:textId="77777777" w:rsidR="003C71E3" w:rsidRPr="00BE264C" w:rsidRDefault="003C71E3" w:rsidP="009858C9">
      <w:pPr>
        <w:spacing w:before="120" w:after="0" w:line="360" w:lineRule="auto"/>
        <w:ind w:left="720"/>
        <w:contextualSpacing/>
        <w:jc w:val="both"/>
        <w:rPr>
          <w:rFonts w:ascii="Times New Roman" w:hAnsi="Times New Roman" w:cs="Times New Roman"/>
          <w:sz w:val="24"/>
          <w:szCs w:val="24"/>
        </w:rPr>
      </w:pPr>
    </w:p>
    <w:p w14:paraId="12498724" w14:textId="77777777" w:rsidR="003C71E3" w:rsidRPr="00BE264C" w:rsidRDefault="003C71E3" w:rsidP="009858C9">
      <w:pPr>
        <w:spacing w:before="120" w:after="0" w:line="360" w:lineRule="auto"/>
        <w:jc w:val="both"/>
        <w:rPr>
          <w:rFonts w:ascii="Times New Roman" w:hAnsi="Times New Roman" w:cs="Times New Roman"/>
          <w:color w:val="000000" w:themeColor="text1"/>
          <w:sz w:val="24"/>
          <w:szCs w:val="24"/>
        </w:rPr>
      </w:pPr>
      <w:r w:rsidRPr="00BE264C">
        <w:rPr>
          <w:rFonts w:ascii="Times New Roman" w:hAnsi="Times New Roman" w:cs="Times New Roman"/>
          <w:color w:val="000000" w:themeColor="text1"/>
          <w:sz w:val="24"/>
          <w:szCs w:val="24"/>
        </w:rPr>
        <w:t>Główne zmiany wynikające z dyrektywy CRD VI dotyczą:</w:t>
      </w:r>
    </w:p>
    <w:p w14:paraId="29D21DF0" w14:textId="32883A0A"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lastRenderedPageBreak/>
        <w:t>wzmocnienia niezależności K</w:t>
      </w:r>
      <w:r w:rsidR="00A14CD9" w:rsidRPr="00BE264C">
        <w:rPr>
          <w:rFonts w:ascii="Times New Roman" w:hAnsi="Times New Roman" w:cs="Times New Roman"/>
          <w:sz w:val="24"/>
          <w:szCs w:val="24"/>
        </w:rPr>
        <w:t xml:space="preserve">omisji </w:t>
      </w:r>
      <w:r w:rsidRPr="00BE264C">
        <w:rPr>
          <w:rFonts w:ascii="Times New Roman" w:hAnsi="Times New Roman" w:cs="Times New Roman"/>
          <w:sz w:val="24"/>
          <w:szCs w:val="24"/>
        </w:rPr>
        <w:t>N</w:t>
      </w:r>
      <w:r w:rsidR="00A14CD9" w:rsidRPr="00BE264C">
        <w:rPr>
          <w:rFonts w:ascii="Times New Roman" w:hAnsi="Times New Roman" w:cs="Times New Roman"/>
          <w:sz w:val="24"/>
          <w:szCs w:val="24"/>
        </w:rPr>
        <w:t xml:space="preserve">adzoru </w:t>
      </w:r>
      <w:r w:rsidRPr="00BE264C">
        <w:rPr>
          <w:rFonts w:ascii="Times New Roman" w:hAnsi="Times New Roman" w:cs="Times New Roman"/>
          <w:sz w:val="24"/>
          <w:szCs w:val="24"/>
        </w:rPr>
        <w:t>F</w:t>
      </w:r>
      <w:r w:rsidR="00A14CD9" w:rsidRPr="00BE264C">
        <w:rPr>
          <w:rFonts w:ascii="Times New Roman" w:hAnsi="Times New Roman" w:cs="Times New Roman"/>
          <w:sz w:val="24"/>
          <w:szCs w:val="24"/>
        </w:rPr>
        <w:t>inansowego, dalej „KNF”</w:t>
      </w:r>
      <w:r w:rsidRPr="00BE264C">
        <w:rPr>
          <w:rFonts w:ascii="Times New Roman" w:hAnsi="Times New Roman" w:cs="Times New Roman"/>
          <w:sz w:val="24"/>
          <w:szCs w:val="24"/>
        </w:rPr>
        <w:t>, m.in. poprzez określenie limitu czasu pełnienia funkcji w organie nadzoru przez Przewodniczącego KNF i Zastępców Przewodniczącego, wprowadzenie zakazu zatrudniania przez określony czas w</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 xml:space="preserve">podmiotach nadzorowanych, podmiotach świadczących usługi na rzecz podmiotów nadzorowanych oraz w podmiotach prowadzących działalność lobbingową w zakresie rynku finansowego </w:t>
      </w:r>
      <w:r w:rsidR="00B87B1D" w:rsidRPr="00BE264C">
        <w:rPr>
          <w:rFonts w:ascii="Times New Roman" w:hAnsi="Times New Roman" w:cs="Times New Roman"/>
          <w:sz w:val="24"/>
          <w:szCs w:val="24"/>
        </w:rPr>
        <w:t>(</w:t>
      </w:r>
      <w:r w:rsidRPr="00BE264C">
        <w:rPr>
          <w:rFonts w:ascii="Times New Roman" w:hAnsi="Times New Roman" w:cs="Times New Roman"/>
          <w:sz w:val="24"/>
          <w:szCs w:val="24"/>
        </w:rPr>
        <w:t>w sprawach, którymi zajmowała się dana osoba</w:t>
      </w:r>
      <w:r w:rsidR="00B87B1D" w:rsidRPr="00BE264C">
        <w:rPr>
          <w:rFonts w:ascii="Times New Roman" w:hAnsi="Times New Roman" w:cs="Times New Roman"/>
          <w:sz w:val="24"/>
          <w:szCs w:val="24"/>
        </w:rPr>
        <w:t>)</w:t>
      </w:r>
      <w:r w:rsidRPr="00BE264C">
        <w:rPr>
          <w:rFonts w:ascii="Times New Roman" w:hAnsi="Times New Roman" w:cs="Times New Roman"/>
          <w:sz w:val="24"/>
          <w:szCs w:val="24"/>
        </w:rPr>
        <w:t xml:space="preserve"> </w:t>
      </w:r>
      <w:r w:rsidR="00B87B1D" w:rsidRPr="00BE264C">
        <w:rPr>
          <w:rFonts w:ascii="Times New Roman" w:hAnsi="Times New Roman" w:cs="Times New Roman"/>
          <w:sz w:val="24"/>
          <w:szCs w:val="24"/>
        </w:rPr>
        <w:t xml:space="preserve">przez </w:t>
      </w:r>
      <w:r w:rsidRPr="00BE264C">
        <w:rPr>
          <w:rFonts w:ascii="Times New Roman" w:hAnsi="Times New Roman" w:cs="Times New Roman"/>
          <w:sz w:val="24"/>
          <w:szCs w:val="24"/>
        </w:rPr>
        <w:t xml:space="preserve">Przewodniczącego KNF, jego Zastępców i pracowników Urzędu </w:t>
      </w:r>
      <w:r w:rsidR="0040223C" w:rsidRPr="00BE264C">
        <w:rPr>
          <w:rFonts w:ascii="Times New Roman" w:hAnsi="Times New Roman" w:cs="Times New Roman"/>
          <w:sz w:val="24"/>
          <w:szCs w:val="24"/>
        </w:rPr>
        <w:t>Komisji Nadzoru Finansowego, dalej „UKNF”,</w:t>
      </w:r>
      <w:r w:rsidRPr="00BE264C">
        <w:rPr>
          <w:rFonts w:ascii="Times New Roman" w:hAnsi="Times New Roman" w:cs="Times New Roman"/>
          <w:sz w:val="24"/>
          <w:szCs w:val="24"/>
        </w:rPr>
        <w:t xml:space="preserve"> po zakończeniu pełnienia funkcji lub zakończeniu zatrudnienia, a także wprowadzenie zakazu posiadania statusu inwestora w rozumieniu ustawy z dnia 25 lipca 2005 r. o obrocie instrumentami finansowymi (Dz. U. z 2024 r. poz. 722, z późn. zm.)</w:t>
      </w:r>
      <w:r w:rsidR="00AA6EA2" w:rsidRPr="00BE264C">
        <w:rPr>
          <w:rFonts w:ascii="Times New Roman" w:hAnsi="Times New Roman" w:cs="Times New Roman"/>
          <w:sz w:val="24"/>
          <w:szCs w:val="24"/>
        </w:rPr>
        <w:t>, dalej „ustawa o obrocie instrumentami finansowymi”,</w:t>
      </w:r>
      <w:r w:rsidRPr="00BE264C">
        <w:rPr>
          <w:rFonts w:ascii="Times New Roman" w:hAnsi="Times New Roman" w:cs="Times New Roman"/>
          <w:sz w:val="24"/>
          <w:szCs w:val="24"/>
        </w:rPr>
        <w:t xml:space="preserve"> przez te osoby, w</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odniesieniu do instrumentów finansowych emitowanych przez podmioty nadzorowane</w:t>
      </w:r>
      <w:r w:rsidR="00A14CD9" w:rsidRPr="00BE264C">
        <w:rPr>
          <w:rFonts w:ascii="Times New Roman" w:hAnsi="Times New Roman" w:cs="Times New Roman"/>
          <w:sz w:val="24"/>
          <w:szCs w:val="24"/>
        </w:rPr>
        <w:t>,</w:t>
      </w:r>
    </w:p>
    <w:p w14:paraId="7CD339F4" w14:textId="2F2772E4"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wprowadzenia zmian w zakresie weryfikacji spełniania wymogów odpowiedniości określonych w art. 22aa ustawy z dnia 29 sierpnia 1997 r. – Prawo bankowe</w:t>
      </w:r>
      <w:r w:rsidR="00A14CD9" w:rsidRPr="00BE264C">
        <w:rPr>
          <w:rFonts w:ascii="Times New Roman" w:hAnsi="Times New Roman" w:cs="Times New Roman"/>
          <w:sz w:val="24"/>
          <w:szCs w:val="24"/>
        </w:rPr>
        <w:t xml:space="preserve"> (Dz. U. z</w:t>
      </w:r>
      <w:r w:rsidR="00E25837" w:rsidRPr="00BE264C">
        <w:rPr>
          <w:rFonts w:ascii="Times New Roman" w:hAnsi="Times New Roman" w:cs="Times New Roman"/>
          <w:sz w:val="24"/>
          <w:szCs w:val="24"/>
        </w:rPr>
        <w:t xml:space="preserve"> </w:t>
      </w:r>
      <w:r w:rsidR="0067519B" w:rsidRPr="00BE264C">
        <w:rPr>
          <w:rFonts w:ascii="Times New Roman" w:hAnsi="Times New Roman" w:cs="Times New Roman"/>
          <w:sz w:val="24"/>
          <w:szCs w:val="24"/>
        </w:rPr>
        <w:t xml:space="preserve">2026 r. poz. 38, </w:t>
      </w:r>
      <w:r w:rsidR="003456A8" w:rsidRPr="00BE264C">
        <w:rPr>
          <w:rFonts w:ascii="Times New Roman" w:hAnsi="Times New Roman" w:cs="Times New Roman"/>
          <w:sz w:val="24"/>
          <w:szCs w:val="24"/>
        </w:rPr>
        <w:t>z późn. zm.</w:t>
      </w:r>
      <w:r w:rsidR="00A14CD9" w:rsidRPr="00BE264C">
        <w:rPr>
          <w:rFonts w:ascii="Times New Roman" w:hAnsi="Times New Roman" w:cs="Times New Roman"/>
          <w:sz w:val="24"/>
          <w:szCs w:val="24"/>
        </w:rPr>
        <w:t>)</w:t>
      </w:r>
      <w:r w:rsidRPr="00BE264C">
        <w:rPr>
          <w:rFonts w:ascii="Times New Roman" w:hAnsi="Times New Roman" w:cs="Times New Roman"/>
          <w:sz w:val="24"/>
          <w:szCs w:val="24"/>
        </w:rPr>
        <w:t xml:space="preserve">, dalej „ustawa – Prawo bankowe”, przez członków zarządu i rady nadzorczej banku, m.in. poprzez wymóg uzyskania zgody </w:t>
      </w:r>
      <w:bookmarkStart w:id="0" w:name="_Hlk199497818"/>
      <w:r w:rsidRPr="00BE264C">
        <w:rPr>
          <w:rFonts w:ascii="Times New Roman" w:hAnsi="Times New Roman" w:cs="Times New Roman"/>
          <w:sz w:val="24"/>
          <w:szCs w:val="24"/>
        </w:rPr>
        <w:t xml:space="preserve">KNF </w:t>
      </w:r>
      <w:bookmarkEnd w:id="0"/>
      <w:r w:rsidRPr="00BE264C">
        <w:rPr>
          <w:rFonts w:ascii="Times New Roman" w:hAnsi="Times New Roman" w:cs="Times New Roman"/>
          <w:sz w:val="24"/>
          <w:szCs w:val="24"/>
        </w:rPr>
        <w:t>na powołanie członków zarządu i przewodniczącego rady nadzorczej banku będącego duż</w:t>
      </w:r>
      <w:r w:rsidR="00B321AE" w:rsidRPr="00BE264C">
        <w:rPr>
          <w:rFonts w:ascii="Times New Roman" w:hAnsi="Times New Roman" w:cs="Times New Roman"/>
          <w:sz w:val="24"/>
          <w:szCs w:val="24"/>
        </w:rPr>
        <w:t>ą</w:t>
      </w:r>
      <w:r w:rsidRPr="00BE264C">
        <w:rPr>
          <w:rFonts w:ascii="Times New Roman" w:hAnsi="Times New Roman" w:cs="Times New Roman"/>
          <w:sz w:val="24"/>
          <w:szCs w:val="24"/>
        </w:rPr>
        <w:t xml:space="preserve"> instytucją w rozumieniu rozporządzenia CRR III oraz nałożenie na KNF obowiązku dokonania oceny, czy kierownicy komórek </w:t>
      </w:r>
      <w:r w:rsidR="009F66B9" w:rsidRPr="00BE264C">
        <w:rPr>
          <w:rFonts w:ascii="Times New Roman" w:hAnsi="Times New Roman" w:cs="Times New Roman"/>
          <w:sz w:val="24"/>
          <w:szCs w:val="24"/>
        </w:rPr>
        <w:t xml:space="preserve">kontroli wewnętrznej </w:t>
      </w:r>
      <w:r w:rsidRPr="00BE264C">
        <w:rPr>
          <w:rFonts w:ascii="Times New Roman" w:hAnsi="Times New Roman" w:cs="Times New Roman"/>
          <w:sz w:val="24"/>
          <w:szCs w:val="24"/>
        </w:rPr>
        <w:t>i dyrektorzy do spraw finansowych spełniają wymogi</w:t>
      </w:r>
      <w:r w:rsidR="00B321AE" w:rsidRPr="00BE264C">
        <w:rPr>
          <w:rFonts w:ascii="Times New Roman" w:hAnsi="Times New Roman" w:cs="Times New Roman"/>
          <w:sz w:val="24"/>
          <w:szCs w:val="24"/>
        </w:rPr>
        <w:t xml:space="preserve"> odpowiedniości</w:t>
      </w:r>
      <w:r w:rsidRPr="00BE264C">
        <w:rPr>
          <w:rFonts w:ascii="Times New Roman" w:hAnsi="Times New Roman" w:cs="Times New Roman"/>
          <w:sz w:val="24"/>
          <w:szCs w:val="24"/>
        </w:rPr>
        <w:t xml:space="preserve"> określone w art. 22aa ustawy – Prawo bankowe w przypadku ich powołania w podmiotach będących dużymi instytucjami w</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rozumieniu rozporządzenia CRR III</w:t>
      </w:r>
      <w:r w:rsidR="00A14CD9" w:rsidRPr="00BE264C">
        <w:rPr>
          <w:rFonts w:ascii="Times New Roman" w:hAnsi="Times New Roman" w:cs="Times New Roman"/>
          <w:sz w:val="24"/>
          <w:szCs w:val="24"/>
        </w:rPr>
        <w:t>,</w:t>
      </w:r>
    </w:p>
    <w:p w14:paraId="4E634791" w14:textId="6F41A243"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ustanowienia regulacji określających zasady nadzoru nad istotnymi transakcjami przeprowadzanymi przez banki (nabycie lub zbycie istotnego pakietu akcji, przeniesienie aktywów lub pasywów o istotnej wartości, fuzje i podziały instytucji kredytowych), zgodnie z którymi banki oraz zatwierdzone finansowe spółki holdingowe lub finansowe spółki holdingowe o działalności mieszanej, są zobowiązane do zawiadomienia KNF o planowanej transakcji</w:t>
      </w:r>
      <w:r w:rsidR="00A14CD9" w:rsidRPr="00BE264C">
        <w:rPr>
          <w:rFonts w:ascii="Times New Roman" w:hAnsi="Times New Roman" w:cs="Times New Roman"/>
          <w:sz w:val="24"/>
          <w:szCs w:val="24"/>
        </w:rPr>
        <w:t>. P</w:t>
      </w:r>
      <w:r w:rsidRPr="00BE264C">
        <w:rPr>
          <w:rFonts w:ascii="Times New Roman" w:hAnsi="Times New Roman" w:cs="Times New Roman"/>
          <w:sz w:val="24"/>
          <w:szCs w:val="24"/>
        </w:rPr>
        <w:t>rzy czym w przypadku planowanego nabycia lub objęcia akcji lub praw z akcji oraz w przypadku planowanego zbycia pakietu akcji, zawiadomienie jest wymagane jeżeli planowana transakcja prowadzi do osiągnięcia albo przekroczenia 15</w:t>
      </w:r>
      <w:r w:rsidR="006B637B">
        <w:rPr>
          <w:rFonts w:ascii="Times New Roman" w:hAnsi="Times New Roman" w:cs="Times New Roman"/>
          <w:sz w:val="24"/>
          <w:szCs w:val="24"/>
        </w:rPr>
        <w:t xml:space="preserve"> </w:t>
      </w:r>
      <w:r w:rsidRPr="00BE264C">
        <w:rPr>
          <w:rFonts w:ascii="Times New Roman" w:hAnsi="Times New Roman" w:cs="Times New Roman"/>
          <w:sz w:val="24"/>
          <w:szCs w:val="24"/>
        </w:rPr>
        <w:t>% uznanego kapitału potencjalnego nabywcy, natomiast planowane przeniesienie aktywów lub zobowiązań podlega zgłoszeniu, gdy ich wartość wynosi co najmniej 10</w:t>
      </w:r>
      <w:r w:rsidR="006B637B">
        <w:rPr>
          <w:rFonts w:ascii="Times New Roman" w:hAnsi="Times New Roman" w:cs="Times New Roman"/>
          <w:sz w:val="24"/>
          <w:szCs w:val="24"/>
        </w:rPr>
        <w:t xml:space="preserve"> </w:t>
      </w:r>
      <w:r w:rsidRPr="00BE264C">
        <w:rPr>
          <w:rFonts w:ascii="Times New Roman" w:hAnsi="Times New Roman" w:cs="Times New Roman"/>
          <w:sz w:val="24"/>
          <w:szCs w:val="24"/>
        </w:rPr>
        <w:t>% całkowitych aktywów lub zobowiązań</w:t>
      </w:r>
      <w:r w:rsidR="00A14CD9" w:rsidRPr="00BE264C">
        <w:rPr>
          <w:rFonts w:ascii="Times New Roman" w:hAnsi="Times New Roman" w:cs="Times New Roman"/>
          <w:sz w:val="24"/>
          <w:szCs w:val="24"/>
        </w:rPr>
        <w:t>.</w:t>
      </w:r>
      <w:r w:rsidRPr="00BE264C">
        <w:rPr>
          <w:rFonts w:ascii="Times New Roman" w:hAnsi="Times New Roman" w:cs="Times New Roman"/>
          <w:sz w:val="24"/>
          <w:szCs w:val="24"/>
        </w:rPr>
        <w:t xml:space="preserve"> KNF może </w:t>
      </w:r>
      <w:r w:rsidRPr="00BE264C">
        <w:rPr>
          <w:rFonts w:ascii="Times New Roman" w:hAnsi="Times New Roman" w:cs="Times New Roman"/>
          <w:sz w:val="24"/>
          <w:szCs w:val="24"/>
        </w:rPr>
        <w:lastRenderedPageBreak/>
        <w:t>zgłosić sprzeciw co do nabycia albo objęcia akcji lub praw z akcji, wydać negatywną opinię co do połączenia lub podziału, a także nałożyć sankcje w przypadku przeprowadzenia transakcji z naruszeniem przepisów ustawy</w:t>
      </w:r>
      <w:r w:rsidR="00A14CD9" w:rsidRPr="00BE264C">
        <w:rPr>
          <w:rFonts w:ascii="Times New Roman" w:hAnsi="Times New Roman" w:cs="Times New Roman"/>
          <w:sz w:val="24"/>
          <w:szCs w:val="24"/>
        </w:rPr>
        <w:t>,</w:t>
      </w:r>
    </w:p>
    <w:p w14:paraId="51BD5E51" w14:textId="3C97B3CF"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 xml:space="preserve">wprowadzenia regulacji określających zasady podejmowania i prowadzenia działalności przez oddziały </w:t>
      </w:r>
      <w:r w:rsidR="00292BB4" w:rsidRPr="00BE264C">
        <w:rPr>
          <w:rFonts w:ascii="Times New Roman" w:hAnsi="Times New Roman" w:cs="Times New Roman"/>
          <w:sz w:val="24"/>
          <w:szCs w:val="24"/>
        </w:rPr>
        <w:t>banków zagranicznych</w:t>
      </w:r>
      <w:r w:rsidRPr="00BE264C">
        <w:rPr>
          <w:rFonts w:ascii="Times New Roman" w:hAnsi="Times New Roman" w:cs="Times New Roman"/>
          <w:sz w:val="24"/>
          <w:szCs w:val="24"/>
        </w:rPr>
        <w:t xml:space="preserve"> na terytorium Rzeczypospolitej Polskiej, w tym: </w:t>
      </w:r>
      <w:bookmarkStart w:id="1" w:name="_Hlk191023862"/>
      <w:r w:rsidRPr="00BE264C">
        <w:rPr>
          <w:rFonts w:ascii="Times New Roman" w:hAnsi="Times New Roman" w:cs="Times New Roman"/>
          <w:sz w:val="24"/>
          <w:szCs w:val="24"/>
        </w:rPr>
        <w:t xml:space="preserve">wymogu utworzenia oddziału przez bank zagraniczny oraz uzyskania zezwolenia KNF na prowadzenie działalności, a także stworzenia systemu klasyfikacji oddziałów </w:t>
      </w:r>
      <w:bookmarkEnd w:id="1"/>
      <w:r w:rsidR="00292BB4" w:rsidRPr="00BE264C">
        <w:rPr>
          <w:rFonts w:ascii="Times New Roman" w:hAnsi="Times New Roman" w:cs="Times New Roman"/>
          <w:sz w:val="24"/>
          <w:szCs w:val="24"/>
        </w:rPr>
        <w:t>banków zagranicznych</w:t>
      </w:r>
      <w:r w:rsidRPr="00BE264C">
        <w:rPr>
          <w:rFonts w:ascii="Times New Roman" w:hAnsi="Times New Roman" w:cs="Times New Roman"/>
          <w:sz w:val="24"/>
          <w:szCs w:val="24"/>
        </w:rPr>
        <w:t xml:space="preserve">, </w:t>
      </w:r>
      <w:bookmarkStart w:id="2" w:name="_Hlk191023922"/>
      <w:r w:rsidRPr="00BE264C">
        <w:rPr>
          <w:rFonts w:ascii="Times New Roman" w:hAnsi="Times New Roman" w:cs="Times New Roman"/>
          <w:sz w:val="24"/>
          <w:szCs w:val="24"/>
        </w:rPr>
        <w:t>w zależności od poziomu ryzyka jaki stanowią dla stabilności finansowej i integralności unijnego rynku finansowego</w:t>
      </w:r>
      <w:bookmarkEnd w:id="2"/>
      <w:r w:rsidR="00A14CD9" w:rsidRPr="00BE264C">
        <w:rPr>
          <w:rFonts w:ascii="Times New Roman" w:hAnsi="Times New Roman" w:cs="Times New Roman"/>
          <w:sz w:val="24"/>
          <w:szCs w:val="24"/>
        </w:rPr>
        <w:t>,</w:t>
      </w:r>
    </w:p>
    <w:p w14:paraId="68D81EB1" w14:textId="2EF8090D" w:rsidR="003C71E3"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 xml:space="preserve">ujednolicenia systemu sankcji przewidzianych za naruszenie przez bank przepisów prawa krajowego lub unijnego, poprzez wprowadzenie definicji całkowitego rocznego </w:t>
      </w:r>
      <w:r w:rsidR="00CF3A09" w:rsidRPr="00BE264C">
        <w:rPr>
          <w:rFonts w:ascii="Times New Roman" w:hAnsi="Times New Roman" w:cs="Times New Roman"/>
          <w:sz w:val="24"/>
          <w:szCs w:val="24"/>
        </w:rPr>
        <w:t xml:space="preserve">obrotu </w:t>
      </w:r>
      <w:r w:rsidRPr="00BE264C">
        <w:rPr>
          <w:rFonts w:ascii="Times New Roman" w:hAnsi="Times New Roman" w:cs="Times New Roman"/>
          <w:sz w:val="24"/>
          <w:szCs w:val="24"/>
        </w:rPr>
        <w:t xml:space="preserve">netto i średniego dziennego </w:t>
      </w:r>
      <w:r w:rsidR="00CF3A09" w:rsidRPr="00BE264C">
        <w:rPr>
          <w:rFonts w:ascii="Times New Roman" w:hAnsi="Times New Roman" w:cs="Times New Roman"/>
          <w:sz w:val="24"/>
          <w:szCs w:val="24"/>
        </w:rPr>
        <w:t xml:space="preserve">obrotu </w:t>
      </w:r>
      <w:r w:rsidRPr="00BE264C">
        <w:rPr>
          <w:rFonts w:ascii="Times New Roman" w:hAnsi="Times New Roman" w:cs="Times New Roman"/>
          <w:sz w:val="24"/>
          <w:szCs w:val="24"/>
        </w:rPr>
        <w:t>netto,</w:t>
      </w:r>
      <w:r w:rsidR="009F66B9" w:rsidRPr="00BE264C">
        <w:rPr>
          <w:rFonts w:ascii="Times New Roman" w:hAnsi="Times New Roman" w:cs="Times New Roman"/>
          <w:sz w:val="24"/>
          <w:szCs w:val="24"/>
        </w:rPr>
        <w:t xml:space="preserve"> które stanowią podstawę do obliczenia wysokości kary,</w:t>
      </w:r>
      <w:r w:rsidRPr="00BE264C">
        <w:rPr>
          <w:rFonts w:ascii="Times New Roman" w:hAnsi="Times New Roman" w:cs="Times New Roman"/>
          <w:sz w:val="24"/>
          <w:szCs w:val="24"/>
        </w:rPr>
        <w:t xml:space="preserve"> ujednolicenie wysokości kar pieniężnych nakładanych na osoby fizyczne oraz wprowadzenie okresowych kar pieniężnych</w:t>
      </w:r>
      <w:r w:rsidR="00A14CD9" w:rsidRPr="00BE264C">
        <w:rPr>
          <w:rFonts w:ascii="Times New Roman" w:hAnsi="Times New Roman" w:cs="Times New Roman"/>
          <w:sz w:val="24"/>
          <w:szCs w:val="24"/>
        </w:rPr>
        <w:t>,</w:t>
      </w:r>
    </w:p>
    <w:p w14:paraId="02206B3B" w14:textId="364B854D" w:rsidR="00FA7349" w:rsidRPr="00BE264C" w:rsidRDefault="003C71E3" w:rsidP="009858C9">
      <w:pPr>
        <w:numPr>
          <w:ilvl w:val="0"/>
          <w:numId w:val="1"/>
        </w:num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ustanowienia obowiązku uwzględniania przez banki ryzyk ESG w wewnętrznych strategiach i procesach oceny potrzeb w zakresie kapitału wewnętrznego i zarządzania, a także wprowadzenie wymogu opracowania konkretnych planów przeciwdziałania tym ryzykom przez banki.</w:t>
      </w:r>
    </w:p>
    <w:p w14:paraId="59027B32" w14:textId="77777777" w:rsidR="00FA7349" w:rsidRPr="00BE264C" w:rsidRDefault="00FA7349" w:rsidP="009858C9">
      <w:pPr>
        <w:spacing w:before="120" w:after="0" w:line="360" w:lineRule="auto"/>
        <w:contextualSpacing/>
        <w:jc w:val="both"/>
        <w:rPr>
          <w:rFonts w:ascii="Times New Roman" w:hAnsi="Times New Roman" w:cs="Times New Roman"/>
          <w:sz w:val="24"/>
          <w:szCs w:val="24"/>
        </w:rPr>
      </w:pPr>
    </w:p>
    <w:p w14:paraId="0A459891" w14:textId="45E88C66" w:rsidR="00FA7349" w:rsidRPr="00BE264C" w:rsidRDefault="00FA7349" w:rsidP="009858C9">
      <w:pPr>
        <w:spacing w:before="120" w:after="0" w:line="360" w:lineRule="auto"/>
        <w:contextualSpacing/>
        <w:jc w:val="both"/>
        <w:rPr>
          <w:rFonts w:ascii="Times New Roman" w:hAnsi="Times New Roman" w:cs="Times New Roman"/>
          <w:sz w:val="24"/>
          <w:szCs w:val="24"/>
        </w:rPr>
      </w:pPr>
      <w:r w:rsidRPr="00BE264C">
        <w:rPr>
          <w:rFonts w:ascii="Times New Roman" w:hAnsi="Times New Roman" w:cs="Times New Roman"/>
          <w:sz w:val="24"/>
          <w:szCs w:val="24"/>
        </w:rPr>
        <w:t>W zakresie dyrektywy 2024/2994 wprowadzone regulacje sprzyjają identyfikacji ryzyka koncentracji z tytułu ekspozycji wobec kontrahenta centralnego (</w:t>
      </w:r>
      <w:r w:rsidR="000458FD" w:rsidRPr="00BE264C">
        <w:rPr>
          <w:rFonts w:ascii="Times New Roman" w:hAnsi="Times New Roman" w:cs="Times New Roman"/>
          <w:sz w:val="24"/>
          <w:szCs w:val="24"/>
        </w:rPr>
        <w:t>dalej: „</w:t>
      </w:r>
      <w:r w:rsidRPr="00BE264C">
        <w:rPr>
          <w:rFonts w:ascii="Times New Roman" w:hAnsi="Times New Roman" w:cs="Times New Roman"/>
          <w:sz w:val="24"/>
          <w:szCs w:val="24"/>
        </w:rPr>
        <w:t>CCP</w:t>
      </w:r>
      <w:r w:rsidR="000458FD" w:rsidRPr="00BE264C">
        <w:rPr>
          <w:rFonts w:ascii="Times New Roman" w:hAnsi="Times New Roman" w:cs="Times New Roman"/>
          <w:sz w:val="24"/>
          <w:szCs w:val="24"/>
        </w:rPr>
        <w:t>”</w:t>
      </w:r>
      <w:r w:rsidRPr="00BE264C">
        <w:rPr>
          <w:rFonts w:ascii="Times New Roman" w:hAnsi="Times New Roman" w:cs="Times New Roman"/>
          <w:sz w:val="24"/>
          <w:szCs w:val="24"/>
        </w:rPr>
        <w:t>), zarządzaniu takim ryzykiem i jego monitorowaniu. Założeniem jest zachęcenie instytucji i firm inwestycyjnych do podjęcia niezbędnych działań w celu dostosowania modeli biznesowych w sposób zapewniający zgodność z nowymi wymogami dotyczącymi rozliczania wprowadzonymi w</w:t>
      </w:r>
      <w:r w:rsidR="000B7AD4" w:rsidRPr="00BE264C">
        <w:rPr>
          <w:rFonts w:ascii="Times New Roman" w:hAnsi="Times New Roman" w:cs="Times New Roman"/>
          <w:sz w:val="24"/>
          <w:szCs w:val="24"/>
        </w:rPr>
        <w:t> </w:t>
      </w:r>
      <w:r w:rsidRPr="00BE264C">
        <w:rPr>
          <w:rFonts w:ascii="Times New Roman" w:hAnsi="Times New Roman" w:cs="Times New Roman"/>
          <w:sz w:val="24"/>
          <w:szCs w:val="24"/>
        </w:rPr>
        <w:t>drodze zmian w rozporządzeniu Parlamentu Europejskiego i Rady (UE) nr 648/2012 z dnia 4 lipca 2012 r. w sprawie instrumentów pochodnych będących przedmiotem obrotu poza rynkiem regulowanym, kontrahentów centralnych i repozytoriów transakcji (Dz. Urz. UE L 201 z 27.07.2012, str. 1, z późn. zm.)</w:t>
      </w:r>
      <w:r w:rsidR="000458FD" w:rsidRPr="00BE264C">
        <w:rPr>
          <w:rFonts w:ascii="Times New Roman" w:hAnsi="Times New Roman" w:cs="Times New Roman"/>
          <w:sz w:val="24"/>
          <w:szCs w:val="24"/>
        </w:rPr>
        <w:t>, dalej: „rozporządzenie EMIR”,</w:t>
      </w:r>
      <w:r w:rsidRPr="00BE264C">
        <w:rPr>
          <w:rFonts w:ascii="Times New Roman" w:hAnsi="Times New Roman" w:cs="Times New Roman"/>
          <w:sz w:val="24"/>
          <w:szCs w:val="24"/>
        </w:rPr>
        <w:t xml:space="preserve"> zawartych w rozporządzeniu 2024/2987 oraz do ogólnego udoskonalenia praktyk zarządzania ryzykiem, mając również na uwadze charakter, zakres i złożoność prowadzonej przez nie działalności na rynku.</w:t>
      </w:r>
    </w:p>
    <w:p w14:paraId="3BE7186E" w14:textId="6B1E6938" w:rsidR="003C71E3" w:rsidRPr="00BE264C" w:rsidRDefault="003C71E3" w:rsidP="00BE264C">
      <w:pPr>
        <w:suppressAutoHyphens/>
        <w:autoSpaceDE w:val="0"/>
        <w:autoSpaceDN w:val="0"/>
        <w:adjustRightInd w:val="0"/>
        <w:spacing w:before="120" w:after="0" w:line="360" w:lineRule="auto"/>
        <w:jc w:val="both"/>
        <w:rPr>
          <w:rFonts w:ascii="Times New Roman" w:eastAsiaTheme="minorEastAsia" w:hAnsi="Times New Roman" w:cs="Times New Roman"/>
          <w:bCs/>
          <w:color w:val="000000" w:themeColor="text1"/>
          <w:sz w:val="24"/>
          <w:szCs w:val="24"/>
          <w:lang w:eastAsia="pl-PL"/>
        </w:rPr>
      </w:pPr>
      <w:r w:rsidRPr="00BE264C">
        <w:rPr>
          <w:rFonts w:ascii="Times New Roman" w:eastAsiaTheme="minorEastAsia" w:hAnsi="Times New Roman" w:cs="Times New Roman"/>
          <w:bCs/>
          <w:color w:val="000000" w:themeColor="text1"/>
          <w:sz w:val="24"/>
          <w:szCs w:val="24"/>
          <w:lang w:eastAsia="pl-PL"/>
        </w:rPr>
        <w:t>Mając powyższe na uwadze, konieczne jest dokonanie zmian w:</w:t>
      </w:r>
    </w:p>
    <w:p w14:paraId="65327B3C" w14:textId="43CE0DAF" w:rsidR="009F66B9" w:rsidRPr="00BE264C" w:rsidRDefault="003C71E3" w:rsidP="009858C9">
      <w:pPr>
        <w:numPr>
          <w:ilvl w:val="0"/>
          <w:numId w:val="2"/>
        </w:numPr>
        <w:spacing w:before="120" w:after="0" w:line="360" w:lineRule="auto"/>
        <w:ind w:left="714" w:hanging="357"/>
        <w:jc w:val="both"/>
        <w:rPr>
          <w:rFonts w:ascii="Times New Roman" w:hAnsi="Times New Roman" w:cs="Times New Roman"/>
          <w:sz w:val="24"/>
          <w:szCs w:val="24"/>
        </w:rPr>
      </w:pPr>
      <w:r w:rsidRPr="00BE264C">
        <w:rPr>
          <w:rFonts w:ascii="Times New Roman" w:hAnsi="Times New Roman" w:cs="Times New Roman"/>
          <w:sz w:val="24"/>
          <w:szCs w:val="24"/>
          <w:lang w:eastAsia="pl-PL"/>
        </w:rPr>
        <w:t>ustawie – Prawo bankowe,</w:t>
      </w:r>
    </w:p>
    <w:p w14:paraId="045B7748" w14:textId="6702DFC1"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lastRenderedPageBreak/>
        <w:t>ustawie z dnia 29 września 1994 r. o rachunkowości (Dz. U. z 202</w:t>
      </w:r>
      <w:r w:rsidR="00E25837"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E25837" w:rsidRPr="00BE264C">
        <w:rPr>
          <w:rFonts w:ascii="Times New Roman" w:hAnsi="Times New Roman" w:cs="Times New Roman"/>
          <w:sz w:val="24"/>
          <w:szCs w:val="24"/>
          <w:lang w:eastAsia="pl-PL"/>
        </w:rPr>
        <w:t>522</w:t>
      </w:r>
      <w:r w:rsidR="006B637B">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w:t>
      </w:r>
      <w:r w:rsidR="00401F5D" w:rsidRPr="00BE264C">
        <w:rPr>
          <w:rFonts w:ascii="Times New Roman" w:hAnsi="Times New Roman" w:cs="Times New Roman"/>
          <w:sz w:val="24"/>
          <w:szCs w:val="24"/>
          <w:lang w:eastAsia="pl-PL"/>
        </w:rPr>
        <w:t xml:space="preserve"> dalej: „ustawa o rachunkowości”,</w:t>
      </w:r>
      <w:r w:rsidRPr="00BE264C">
        <w:rPr>
          <w:rFonts w:ascii="Times New Roman" w:hAnsi="Times New Roman" w:cs="Times New Roman"/>
          <w:sz w:val="24"/>
          <w:szCs w:val="24"/>
          <w:lang w:eastAsia="pl-PL"/>
        </w:rPr>
        <w:t xml:space="preserve"> </w:t>
      </w:r>
    </w:p>
    <w:p w14:paraId="43FBC525" w14:textId="3C912FC3"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29 sierpnia 1997 r. – Ordynacja podatkowa (Dz. U. z 202</w:t>
      </w:r>
      <w:r w:rsidR="006B637B">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6B637B">
        <w:rPr>
          <w:rFonts w:ascii="Times New Roman" w:hAnsi="Times New Roman" w:cs="Times New Roman"/>
          <w:sz w:val="24"/>
          <w:szCs w:val="24"/>
          <w:lang w:eastAsia="pl-PL"/>
        </w:rPr>
        <w:t>622</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 Ordynacja podatkowa”,</w:t>
      </w:r>
    </w:p>
    <w:p w14:paraId="37588B9A" w14:textId="48815182" w:rsidR="00A87B38" w:rsidRPr="00BE264C" w:rsidRDefault="00A87B38"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7 grudnia 2000 r. o funkcjonowaniu banków spółdzielczych, ich zrzeszaniu się i bankach zrzeszających (Dz. U. z 202</w:t>
      </w:r>
      <w:r w:rsidR="007C2307">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7C2307">
        <w:rPr>
          <w:rFonts w:ascii="Times New Roman" w:hAnsi="Times New Roman" w:cs="Times New Roman"/>
          <w:sz w:val="24"/>
          <w:szCs w:val="24"/>
          <w:lang w:eastAsia="pl-PL"/>
        </w:rPr>
        <w:t>618</w:t>
      </w:r>
      <w:r w:rsidRPr="00BE264C">
        <w:rPr>
          <w:rFonts w:ascii="Times New Roman" w:hAnsi="Times New Roman" w:cs="Times New Roman"/>
          <w:sz w:val="24"/>
          <w:szCs w:val="24"/>
          <w:lang w:eastAsia="pl-PL"/>
        </w:rPr>
        <w:t>), dalej: „ustawa o funkcjonowaniu banków spółdzielczych”,</w:t>
      </w:r>
    </w:p>
    <w:p w14:paraId="2CC6FAED" w14:textId="08471E90"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25 maja 2001 r. o skutkach wprowadzenia w niektórych państwach członkowskich Unii Europejskiej wspólnej waluty euro (Dz. U. </w:t>
      </w:r>
      <w:r w:rsidR="003C2201" w:rsidRPr="00BE264C">
        <w:rPr>
          <w:rFonts w:ascii="Times New Roman" w:hAnsi="Times New Roman" w:cs="Times New Roman"/>
          <w:sz w:val="24"/>
          <w:szCs w:val="24"/>
          <w:lang w:eastAsia="pl-PL"/>
        </w:rPr>
        <w:t>poz. 640</w:t>
      </w:r>
      <w:r w:rsidRPr="00BE264C">
        <w:rPr>
          <w:rFonts w:ascii="Times New Roman" w:hAnsi="Times New Roman" w:cs="Times New Roman"/>
          <w:sz w:val="24"/>
          <w:szCs w:val="24"/>
          <w:lang w:eastAsia="pl-PL"/>
        </w:rPr>
        <w:t>,</w:t>
      </w:r>
      <w:r w:rsidR="00401F5D" w:rsidRPr="00BE264C">
        <w:rPr>
          <w:rFonts w:ascii="Times New Roman" w:hAnsi="Times New Roman" w:cs="Times New Roman"/>
          <w:sz w:val="24"/>
          <w:szCs w:val="24"/>
          <w:lang w:eastAsia="pl-PL"/>
        </w:rPr>
        <w:t xml:space="preserve">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skutkach wprowadzenia w niektórych państwach członkowskich Unii Europejskiej wspólnej waluty euro”,</w:t>
      </w:r>
    </w:p>
    <w:p w14:paraId="689531CF" w14:textId="4E82B2CB"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24 sierpnia 2001 r. o ostateczności rozrachunku w systemach płatności i systemach rozrachunku papierów wartościowych oraz zasadach nadzoru nad tymi systemami (Dz. U. z 2024 r. poz. 585</w:t>
      </w:r>
      <w:r w:rsidR="00E25837"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ostateczności rozrachunku w systemach płatności”,</w:t>
      </w:r>
    </w:p>
    <w:p w14:paraId="3EA4B8A0" w14:textId="10AEB147"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27 lipca 2002 r. </w:t>
      </w:r>
      <w:r w:rsidR="00401F5D" w:rsidRPr="00BE264C">
        <w:rPr>
          <w:rFonts w:ascii="Times New Roman" w:hAnsi="Times New Roman" w:cs="Times New Roman"/>
          <w:sz w:val="24"/>
          <w:szCs w:val="24"/>
          <w:lang w:eastAsia="pl-PL"/>
        </w:rPr>
        <w:t xml:space="preserve">– </w:t>
      </w:r>
      <w:r w:rsidRPr="00BE264C">
        <w:rPr>
          <w:rFonts w:ascii="Times New Roman" w:hAnsi="Times New Roman" w:cs="Times New Roman"/>
          <w:sz w:val="24"/>
          <w:szCs w:val="24"/>
          <w:lang w:eastAsia="pl-PL"/>
        </w:rPr>
        <w:t xml:space="preserve">Prawo dewizowe (Dz. U. z 2024 r. poz. 1131), </w:t>
      </w:r>
      <w:r w:rsidR="00401F5D" w:rsidRPr="00BE264C">
        <w:rPr>
          <w:rFonts w:ascii="Times New Roman" w:hAnsi="Times New Roman" w:cs="Times New Roman"/>
          <w:sz w:val="24"/>
          <w:szCs w:val="24"/>
          <w:lang w:eastAsia="pl-PL"/>
        </w:rPr>
        <w:t>dalej: „ustawa – Prawo dewizowe”,</w:t>
      </w:r>
    </w:p>
    <w:p w14:paraId="504BB794" w14:textId="2953FE22"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28 lutego 2003 r. </w:t>
      </w:r>
      <w:r w:rsidR="00401F5D" w:rsidRPr="00BE264C">
        <w:rPr>
          <w:rFonts w:ascii="Times New Roman" w:hAnsi="Times New Roman" w:cs="Times New Roman"/>
          <w:sz w:val="24"/>
          <w:szCs w:val="24"/>
          <w:lang w:eastAsia="pl-PL"/>
        </w:rPr>
        <w:t>–</w:t>
      </w:r>
      <w:r w:rsidRPr="00BE264C">
        <w:rPr>
          <w:rFonts w:ascii="Times New Roman" w:hAnsi="Times New Roman" w:cs="Times New Roman"/>
          <w:sz w:val="24"/>
          <w:szCs w:val="24"/>
          <w:lang w:eastAsia="pl-PL"/>
        </w:rPr>
        <w:t xml:space="preserve"> Prawo upadłościowe (Dz. U. z 2025 r. poz. 614,</w:t>
      </w:r>
      <w:r w:rsidR="00401F5D" w:rsidRPr="00BE264C">
        <w:rPr>
          <w:rFonts w:ascii="Times New Roman" w:hAnsi="Times New Roman" w:cs="Times New Roman"/>
          <w:sz w:val="24"/>
          <w:szCs w:val="24"/>
          <w:lang w:eastAsia="pl-PL"/>
        </w:rPr>
        <w:t xml:space="preserve">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 Prawo upadłościowe”,</w:t>
      </w:r>
    </w:p>
    <w:p w14:paraId="03CE805C" w14:textId="6F4DD9C0"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27 maja 2004 r. o funduszach inwestycyjnych i zarządzaniu alternatywnymi funduszami inwestycyjnymi (Dz. U. z 202</w:t>
      </w:r>
      <w:r w:rsidR="00E25837"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E25837" w:rsidRPr="00BE264C">
        <w:rPr>
          <w:rFonts w:ascii="Times New Roman" w:hAnsi="Times New Roman" w:cs="Times New Roman"/>
          <w:sz w:val="24"/>
          <w:szCs w:val="24"/>
          <w:lang w:eastAsia="pl-PL"/>
        </w:rPr>
        <w:t>60</w:t>
      </w:r>
      <w:r w:rsidRPr="00BE264C">
        <w:rPr>
          <w:rFonts w:ascii="Times New Roman" w:hAnsi="Times New Roman" w:cs="Times New Roman"/>
          <w:sz w:val="24"/>
          <w:szCs w:val="24"/>
          <w:lang w:eastAsia="pl-PL"/>
        </w:rPr>
        <w:t>, z późn. zm.),</w:t>
      </w:r>
      <w:r w:rsidR="00F67D90" w:rsidRPr="00BE264C">
        <w:rPr>
          <w:rFonts w:ascii="Times New Roman" w:hAnsi="Times New Roman" w:cs="Times New Roman"/>
          <w:sz w:val="24"/>
          <w:szCs w:val="24"/>
          <w:lang w:eastAsia="pl-PL"/>
        </w:rPr>
        <w:t xml:space="preserve"> dalej: „ustawa o funduszach inwestycyjnych”,</w:t>
      </w:r>
    </w:p>
    <w:p w14:paraId="55CA1EDA" w14:textId="248851A7"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29 lipca 2005 r. o nadzorze nad rynkiem kapitałowym (Dz. U. z 2024 r. poz. 1161, z późn. zm.),</w:t>
      </w:r>
      <w:r w:rsidR="00401F5D" w:rsidRPr="00BE264C">
        <w:rPr>
          <w:rFonts w:ascii="Times New Roman" w:hAnsi="Times New Roman" w:cs="Times New Roman"/>
          <w:sz w:val="24"/>
          <w:szCs w:val="24"/>
          <w:lang w:eastAsia="pl-PL"/>
        </w:rPr>
        <w:t xml:space="preserve"> dalej: „ustawa o nadzorze nad rynkiem kapitałowym”,</w:t>
      </w:r>
    </w:p>
    <w:p w14:paraId="1CB13B9A" w14:textId="18A79CAE" w:rsidR="009A1C64" w:rsidRPr="00BE264C" w:rsidRDefault="009A1C64"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29 lipca 2005 r. o obrocie </w:t>
      </w:r>
      <w:r w:rsidRPr="007C2307">
        <w:rPr>
          <w:rFonts w:ascii="Times New Roman" w:hAnsi="Times New Roman" w:cs="Times New Roman"/>
          <w:sz w:val="24"/>
          <w:szCs w:val="24"/>
          <w:lang w:eastAsia="pl-PL"/>
        </w:rPr>
        <w:t>instrumentami finansowymi,</w:t>
      </w:r>
    </w:p>
    <w:p w14:paraId="460E7A8B" w14:textId="066FBEFD"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29 lipca 2005 r. o ofercie publicznej i warunkach wprowadzania instrumentów finansowych do zorganizowanego systemu obrotu oraz o spółkach publicznych (Dz. U. z 2025 r. poz. 592</w:t>
      </w:r>
      <w:r w:rsidR="00E25837"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ofercie publicznej”,</w:t>
      </w:r>
    </w:p>
    <w:p w14:paraId="34800F2C" w14:textId="1205EAF7"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lastRenderedPageBreak/>
        <w:t>ustawie z dnia 13 lipca 2006 r. o ochronie roszczeń pracowniczych w razie niewypłacalności pracodawcy (Dz. U. z 202</w:t>
      </w:r>
      <w:r w:rsidR="00E25837"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w:t>
      </w:r>
      <w:r w:rsidR="00E25837" w:rsidRPr="00BE264C">
        <w:rPr>
          <w:rFonts w:ascii="Times New Roman" w:hAnsi="Times New Roman" w:cs="Times New Roman"/>
          <w:sz w:val="24"/>
          <w:szCs w:val="24"/>
          <w:lang w:eastAsia="pl-PL"/>
        </w:rPr>
        <w:t xml:space="preserve"> 186</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ochronie roszczeń pracowniczych”,</w:t>
      </w:r>
    </w:p>
    <w:p w14:paraId="2FD2DB4F" w14:textId="7A3505A7"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21 lipca 2006 r. o nadzorze nad </w:t>
      </w:r>
      <w:r w:rsidRPr="00EA4375">
        <w:rPr>
          <w:rFonts w:ascii="Times New Roman" w:hAnsi="Times New Roman" w:cs="Times New Roman"/>
          <w:sz w:val="24"/>
          <w:szCs w:val="24"/>
          <w:lang w:eastAsia="pl-PL"/>
        </w:rPr>
        <w:t>rynkiem finansowym (Dz. U. z 2025 r. poz. 640</w:t>
      </w:r>
      <w:r w:rsidR="003C2201" w:rsidRPr="00EA4375">
        <w:rPr>
          <w:rFonts w:ascii="Times New Roman" w:hAnsi="Times New Roman" w:cs="Times New Roman"/>
          <w:sz w:val="24"/>
          <w:szCs w:val="24"/>
          <w:lang w:eastAsia="pl-PL"/>
        </w:rPr>
        <w:t>, z późn. zm.</w:t>
      </w:r>
      <w:r w:rsidRPr="00EA4375">
        <w:rPr>
          <w:rFonts w:ascii="Times New Roman" w:hAnsi="Times New Roman" w:cs="Times New Roman"/>
          <w:sz w:val="24"/>
          <w:szCs w:val="24"/>
          <w:lang w:eastAsia="pl-PL"/>
        </w:rPr>
        <w:t>), dalej „ustawa o nadzorze nad rynkiem finansowym”,</w:t>
      </w:r>
    </w:p>
    <w:p w14:paraId="473434C0" w14:textId="2BD50A12"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16 listopada 2006 r. o opłacie skarbowej (Dz. U. z 2025 r. poz. 1154</w:t>
      </w:r>
      <w:r w:rsidR="00E25837"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w:t>
      </w:r>
      <w:r w:rsidR="00401F5D" w:rsidRPr="00BE264C">
        <w:rPr>
          <w:rFonts w:ascii="Times New Roman" w:hAnsi="Times New Roman" w:cs="Times New Roman"/>
          <w:sz w:val="24"/>
          <w:szCs w:val="24"/>
          <w:lang w:eastAsia="pl-PL"/>
        </w:rPr>
        <w:t xml:space="preserve"> dalej: „ustawa o opłacie skarbowej”,</w:t>
      </w:r>
      <w:r w:rsidRPr="00BE264C">
        <w:rPr>
          <w:rFonts w:ascii="Times New Roman" w:hAnsi="Times New Roman" w:cs="Times New Roman"/>
          <w:sz w:val="24"/>
          <w:szCs w:val="24"/>
          <w:lang w:eastAsia="pl-PL"/>
        </w:rPr>
        <w:t xml:space="preserve"> </w:t>
      </w:r>
    </w:p>
    <w:p w14:paraId="38D8756E" w14:textId="591DD3D8"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6 grudnia 2008 r. o podatku akcyzowym (Dz. U. z 202</w:t>
      </w:r>
      <w:r w:rsidR="00E25837"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E25837" w:rsidRPr="00BE264C">
        <w:rPr>
          <w:rFonts w:ascii="Times New Roman" w:hAnsi="Times New Roman" w:cs="Times New Roman"/>
          <w:sz w:val="24"/>
          <w:szCs w:val="24"/>
          <w:lang w:eastAsia="pl-PL"/>
        </w:rPr>
        <w:t xml:space="preserve">412, </w:t>
      </w:r>
      <w:r w:rsidR="00401F5D" w:rsidRPr="00BE264C">
        <w:rPr>
          <w:rFonts w:ascii="Times New Roman" w:hAnsi="Times New Roman" w:cs="Times New Roman"/>
          <w:sz w:val="24"/>
          <w:szCs w:val="24"/>
          <w:lang w:eastAsia="pl-PL"/>
        </w:rPr>
        <w:t>z późn. zm.</w:t>
      </w:r>
      <w:r w:rsidRPr="00BE264C">
        <w:rPr>
          <w:rFonts w:ascii="Times New Roman" w:hAnsi="Times New Roman" w:cs="Times New Roman"/>
          <w:sz w:val="24"/>
          <w:szCs w:val="24"/>
          <w:lang w:eastAsia="pl-PL"/>
        </w:rPr>
        <w:t>),</w:t>
      </w:r>
      <w:r w:rsidR="00401F5D" w:rsidRPr="00BE264C">
        <w:rPr>
          <w:rFonts w:ascii="Times New Roman" w:hAnsi="Times New Roman" w:cs="Times New Roman"/>
          <w:sz w:val="24"/>
          <w:szCs w:val="24"/>
          <w:lang w:eastAsia="pl-PL"/>
        </w:rPr>
        <w:t xml:space="preserve"> dalej: „ustawa o podatku akcyzowym”,</w:t>
      </w:r>
    </w:p>
    <w:p w14:paraId="631DC1F8" w14:textId="23731DE7"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19 czerwca 2009 r. o pomocy państwa w spłacie niektórych kredytów mieszkaniowych udzielonych osobom, które utraciły pracę (Dz. U. </w:t>
      </w:r>
      <w:r w:rsidR="00B24E44" w:rsidRPr="00BE264C">
        <w:rPr>
          <w:rFonts w:ascii="Times New Roman" w:hAnsi="Times New Roman" w:cs="Times New Roman"/>
          <w:sz w:val="24"/>
          <w:szCs w:val="24"/>
          <w:lang w:eastAsia="pl-PL"/>
        </w:rPr>
        <w:t>z 2025 r. poz. 1580</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pomocy państwa w spłacie niektórych kredytów mieszkaniowych”,</w:t>
      </w:r>
    </w:p>
    <w:p w14:paraId="07A72C1A" w14:textId="37393542"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19 listopada 2009 r. o grach hazardowych (Dz. U. z 2025 r. poz. 595</w:t>
      </w:r>
      <w:r w:rsidR="00E25837"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grach hazardowych”,</w:t>
      </w:r>
    </w:p>
    <w:p w14:paraId="0095DF56" w14:textId="362F4A09" w:rsidR="0078368A" w:rsidRPr="00BE264C" w:rsidRDefault="0078368A"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6 sierpnia 2010 r. o dowodach osobistych (Dz. U. z 2025 r. poz. 1753), dalej: „ustawa o dowodach osobistych”,</w:t>
      </w:r>
    </w:p>
    <w:p w14:paraId="4F38175B" w14:textId="4F1488A8" w:rsidR="0078368A" w:rsidRPr="00BE264C" w:rsidRDefault="0078368A"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24 września 2010 r. o ewidencji ludności (Dz. U. z 202</w:t>
      </w:r>
      <w:r w:rsidR="00E25837"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E25837" w:rsidRPr="00BE264C">
        <w:rPr>
          <w:rFonts w:ascii="Times New Roman" w:hAnsi="Times New Roman" w:cs="Times New Roman"/>
          <w:sz w:val="24"/>
          <w:szCs w:val="24"/>
          <w:lang w:eastAsia="pl-PL"/>
        </w:rPr>
        <w:t>384)</w:t>
      </w:r>
      <w:r w:rsidRPr="00BE264C">
        <w:rPr>
          <w:rFonts w:ascii="Times New Roman" w:hAnsi="Times New Roman" w:cs="Times New Roman"/>
          <w:sz w:val="24"/>
          <w:szCs w:val="24"/>
          <w:lang w:eastAsia="pl-PL"/>
        </w:rPr>
        <w:t>, dalej: „ustawa o ewidencji ludności”,</w:t>
      </w:r>
    </w:p>
    <w:p w14:paraId="33538F3A" w14:textId="18A75043"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12 maja 2011 r. o kredycie konsumenckim (Dz. U. z 202</w:t>
      </w:r>
      <w:r w:rsidR="00B24E44" w:rsidRPr="00BE264C">
        <w:rPr>
          <w:rFonts w:ascii="Times New Roman" w:hAnsi="Times New Roman" w:cs="Times New Roman"/>
          <w:sz w:val="24"/>
          <w:szCs w:val="24"/>
          <w:lang w:eastAsia="pl-PL"/>
        </w:rPr>
        <w:t>5</w:t>
      </w:r>
      <w:r w:rsidRPr="00BE264C">
        <w:rPr>
          <w:rFonts w:ascii="Times New Roman" w:hAnsi="Times New Roman" w:cs="Times New Roman"/>
          <w:sz w:val="24"/>
          <w:szCs w:val="24"/>
          <w:lang w:eastAsia="pl-PL"/>
        </w:rPr>
        <w:t xml:space="preserve"> r. poz. 1</w:t>
      </w:r>
      <w:r w:rsidR="00B24E44" w:rsidRPr="00BE264C">
        <w:rPr>
          <w:rFonts w:ascii="Times New Roman" w:hAnsi="Times New Roman" w:cs="Times New Roman"/>
          <w:sz w:val="24"/>
          <w:szCs w:val="24"/>
          <w:lang w:eastAsia="pl-PL"/>
        </w:rPr>
        <w:t>362</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kredycie konsumenckim”,</w:t>
      </w:r>
    </w:p>
    <w:p w14:paraId="27AA7D3D" w14:textId="2040F940"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19 sierpnia 2011 r. o usługach płatniczych (Dz. U. z 202</w:t>
      </w:r>
      <w:r w:rsidR="00EA4375">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6</w:t>
      </w:r>
      <w:r w:rsidR="00EA4375">
        <w:rPr>
          <w:rFonts w:ascii="Times New Roman" w:hAnsi="Times New Roman" w:cs="Times New Roman"/>
          <w:sz w:val="24"/>
          <w:szCs w:val="24"/>
          <w:lang w:eastAsia="pl-PL"/>
        </w:rPr>
        <w:t>23</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usługach płatniczych”,</w:t>
      </w:r>
    </w:p>
    <w:p w14:paraId="5293467B" w14:textId="1C8765AE"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23 października 2014 r. o odwróconym kredycie hipotecznym (Dz. U. z 2025 r. poz. 573), </w:t>
      </w:r>
      <w:r w:rsidR="00401F5D" w:rsidRPr="00BE264C">
        <w:rPr>
          <w:rFonts w:ascii="Times New Roman" w:hAnsi="Times New Roman" w:cs="Times New Roman"/>
          <w:sz w:val="24"/>
          <w:szCs w:val="24"/>
          <w:lang w:eastAsia="pl-PL"/>
        </w:rPr>
        <w:t>dalej: „ustawa o odwróconym kredycie hipotecznym”,</w:t>
      </w:r>
    </w:p>
    <w:p w14:paraId="7703B4CC" w14:textId="22AC1843"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15 maja 2015 r. </w:t>
      </w:r>
      <w:r w:rsidR="00401F5D" w:rsidRPr="00BE264C">
        <w:rPr>
          <w:rFonts w:ascii="Times New Roman" w:hAnsi="Times New Roman" w:cs="Times New Roman"/>
          <w:sz w:val="24"/>
          <w:szCs w:val="24"/>
          <w:lang w:eastAsia="pl-PL"/>
        </w:rPr>
        <w:t>–</w:t>
      </w:r>
      <w:r w:rsidRPr="00BE264C">
        <w:rPr>
          <w:rFonts w:ascii="Times New Roman" w:hAnsi="Times New Roman" w:cs="Times New Roman"/>
          <w:sz w:val="24"/>
          <w:szCs w:val="24"/>
          <w:lang w:eastAsia="pl-PL"/>
        </w:rPr>
        <w:t xml:space="preserve"> Prawo restrukturyzacyjne (Dz. U. z 202</w:t>
      </w:r>
      <w:r w:rsidR="00EE1553"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EE1553" w:rsidRPr="00BE264C">
        <w:rPr>
          <w:rFonts w:ascii="Times New Roman" w:hAnsi="Times New Roman" w:cs="Times New Roman"/>
          <w:sz w:val="24"/>
          <w:szCs w:val="24"/>
          <w:lang w:eastAsia="pl-PL"/>
        </w:rPr>
        <w:t>533</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 Prawo restrukturyzacyjne”,</w:t>
      </w:r>
    </w:p>
    <w:p w14:paraId="07905A92" w14:textId="199EC163"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5 sierpnia 2015 r. o nadzorze makroostrożnościowym nad systemem finansowym i zarządzaniu kryzysowym w systemie finansowym (Dz. U. </w:t>
      </w:r>
      <w:r w:rsidR="00B24E44" w:rsidRPr="00BE264C">
        <w:rPr>
          <w:rFonts w:ascii="Times New Roman" w:hAnsi="Times New Roman" w:cs="Times New Roman"/>
          <w:sz w:val="24"/>
          <w:szCs w:val="24"/>
          <w:lang w:eastAsia="pl-PL"/>
        </w:rPr>
        <w:t>z 2025 r. poz. 819</w:t>
      </w:r>
      <w:r w:rsidR="00E73706">
        <w:rPr>
          <w:rFonts w:ascii="Times New Roman" w:hAnsi="Times New Roman" w:cs="Times New Roman"/>
          <w:sz w:val="24"/>
          <w:szCs w:val="24"/>
          <w:lang w:eastAsia="pl-PL"/>
        </w:rPr>
        <w:t>, z późń. zm.</w:t>
      </w:r>
      <w:r w:rsidRPr="00BE264C">
        <w:rPr>
          <w:rFonts w:ascii="Times New Roman" w:hAnsi="Times New Roman" w:cs="Times New Roman"/>
          <w:sz w:val="24"/>
          <w:szCs w:val="24"/>
          <w:lang w:eastAsia="pl-PL"/>
        </w:rPr>
        <w:t>), dalej „ustawa o nadzorze makroostrożnościowym”,</w:t>
      </w:r>
    </w:p>
    <w:p w14:paraId="6536F126" w14:textId="77777777" w:rsidR="00EE1553"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lastRenderedPageBreak/>
        <w:t>ustawie z dnia 5 sierpnia 2015 r. o rozpatrywaniu reklamacji przez podmioty rynku finansowego, o Rzeczniku Finansowym i o Funduszu Edukacji Finansowej (Dz. U. z 2024 r. poz. 1109</w:t>
      </w:r>
      <w:r w:rsidR="00401F5D"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rozpatrywaniu reklamacji przez podmioty rynku finansowego”,</w:t>
      </w:r>
    </w:p>
    <w:p w14:paraId="41E40274" w14:textId="7F9FD5B3"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9 października 2015 r. o wsparciu kredytobiorców, którzy zaciągnęli kredyt mieszkaniowy i znajdują się w trudnej sytuacji finansowej (Dz. U. z 2024 r. poz. 1385</w:t>
      </w:r>
      <w:r w:rsidR="000B0232">
        <w:rPr>
          <w:rFonts w:ascii="Times New Roman" w:hAnsi="Times New Roman" w:cs="Times New Roman"/>
          <w:sz w:val="24"/>
          <w:szCs w:val="24"/>
          <w:lang w:eastAsia="pl-PL"/>
        </w:rPr>
        <w:t>, z póź.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dalej: „ustawa o wsparciu kredytobiorc</w:t>
      </w:r>
      <w:r w:rsidR="00BE7D0C" w:rsidRPr="00BE264C">
        <w:rPr>
          <w:rFonts w:ascii="Times New Roman" w:hAnsi="Times New Roman" w:cs="Times New Roman"/>
          <w:sz w:val="24"/>
          <w:szCs w:val="24"/>
          <w:lang w:eastAsia="pl-PL"/>
        </w:rPr>
        <w:t>ów”,</w:t>
      </w:r>
    </w:p>
    <w:p w14:paraId="633EEA24" w14:textId="09DB8902"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15 stycznia 2016 r. o podatku od niektórych instytucji finansowych (Dz. U. </w:t>
      </w:r>
      <w:r w:rsidR="00B24E44" w:rsidRPr="00BE264C">
        <w:rPr>
          <w:rFonts w:ascii="Times New Roman" w:hAnsi="Times New Roman" w:cs="Times New Roman"/>
          <w:sz w:val="24"/>
          <w:szCs w:val="24"/>
          <w:lang w:eastAsia="pl-PL"/>
        </w:rPr>
        <w:t>z 2023 r. poz. 623</w:t>
      </w:r>
      <w:r w:rsidR="00EE1553"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401F5D" w:rsidRPr="00BE264C">
        <w:rPr>
          <w:rFonts w:ascii="Times New Roman" w:hAnsi="Times New Roman" w:cs="Times New Roman"/>
          <w:sz w:val="24"/>
          <w:szCs w:val="24"/>
          <w:lang w:eastAsia="pl-PL"/>
        </w:rPr>
        <w:t xml:space="preserve">dalej: </w:t>
      </w:r>
      <w:r w:rsidR="00BE7D0C" w:rsidRPr="00BE264C">
        <w:rPr>
          <w:rFonts w:ascii="Times New Roman" w:hAnsi="Times New Roman" w:cs="Times New Roman"/>
          <w:sz w:val="24"/>
          <w:szCs w:val="24"/>
          <w:lang w:eastAsia="pl-PL"/>
        </w:rPr>
        <w:t>ustawa o podatku od niektórych instytucji finansowych”,</w:t>
      </w:r>
    </w:p>
    <w:p w14:paraId="7FA94449" w14:textId="56AB0AFC"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10 czerwca 2016 r. o Bankowym Funduszu Gwarancyjnym, systemie gwarantowania depozytów oraz przymusowej restrukturyzacji (Dz. U. z 202</w:t>
      </w:r>
      <w:r w:rsidR="00F82F61">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6</w:t>
      </w:r>
      <w:r w:rsidR="00F82F61">
        <w:rPr>
          <w:rFonts w:ascii="Times New Roman" w:hAnsi="Times New Roman" w:cs="Times New Roman"/>
          <w:sz w:val="24"/>
          <w:szCs w:val="24"/>
          <w:lang w:eastAsia="pl-PL"/>
        </w:rPr>
        <w:t>20</w:t>
      </w:r>
      <w:r w:rsidR="00401F5D"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w:t>
      </w:r>
      <w:r w:rsidR="00BE7D0C" w:rsidRPr="00BE264C">
        <w:rPr>
          <w:rFonts w:ascii="Times New Roman" w:hAnsi="Times New Roman" w:cs="Times New Roman"/>
          <w:sz w:val="24"/>
          <w:szCs w:val="24"/>
          <w:lang w:eastAsia="pl-PL"/>
        </w:rPr>
        <w:t xml:space="preserve"> dalej: „ustawa o Bankowym Funduszu Gwarancyjnym”,</w:t>
      </w:r>
    </w:p>
    <w:p w14:paraId="1BADA33A" w14:textId="588CCAAA"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9 marca 2017 r. o wymianie informacji podatkowych z innymi państwami (Dz. U. </w:t>
      </w:r>
      <w:r w:rsidR="00B24E44" w:rsidRPr="00BE264C">
        <w:rPr>
          <w:rFonts w:ascii="Times New Roman" w:hAnsi="Times New Roman" w:cs="Times New Roman"/>
          <w:sz w:val="24"/>
          <w:szCs w:val="24"/>
          <w:lang w:eastAsia="pl-PL"/>
        </w:rPr>
        <w:t>z 2025 r. poz. 1379</w:t>
      </w:r>
      <w:r w:rsidR="00EE1553"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BE7D0C" w:rsidRPr="00BE264C">
        <w:rPr>
          <w:rFonts w:ascii="Times New Roman" w:hAnsi="Times New Roman" w:cs="Times New Roman"/>
          <w:sz w:val="24"/>
          <w:szCs w:val="24"/>
          <w:lang w:eastAsia="pl-PL"/>
        </w:rPr>
        <w:t>dalej: „ustawa o wymianie informacji podatkowych z innymi państwami”,</w:t>
      </w:r>
    </w:p>
    <w:p w14:paraId="6F5BA18A" w14:textId="328507B1"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23 marca 2017 r. o kredycie hipotecznym oraz o nadzorze nad pośrednikami kredytu hipotecznego i agentami (Dz. U. z 2025 r. poz. 720),</w:t>
      </w:r>
      <w:r w:rsidR="00BE7D0C" w:rsidRPr="00BE264C">
        <w:rPr>
          <w:rFonts w:ascii="Times New Roman" w:hAnsi="Times New Roman" w:cs="Times New Roman"/>
          <w:sz w:val="24"/>
          <w:szCs w:val="24"/>
          <w:lang w:eastAsia="pl-PL"/>
        </w:rPr>
        <w:t xml:space="preserve"> dalej: „ustawa o kredycie hipotecznym”,</w:t>
      </w:r>
      <w:r w:rsidRPr="00BE264C">
        <w:rPr>
          <w:rFonts w:ascii="Times New Roman" w:hAnsi="Times New Roman" w:cs="Times New Roman"/>
          <w:sz w:val="24"/>
          <w:szCs w:val="24"/>
          <w:lang w:eastAsia="pl-PL"/>
        </w:rPr>
        <w:t xml:space="preserve"> </w:t>
      </w:r>
    </w:p>
    <w:p w14:paraId="29511130" w14:textId="7AD5CFCB"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11 maja 2017 r. o biegłych rewidentach, firmach audytorskich oraz nadzorze publicznym (Dz. U. z 202</w:t>
      </w:r>
      <w:r w:rsidR="00EE1553" w:rsidRPr="00BE264C">
        <w:rPr>
          <w:rFonts w:ascii="Times New Roman" w:hAnsi="Times New Roman" w:cs="Times New Roman"/>
          <w:sz w:val="24"/>
          <w:szCs w:val="24"/>
          <w:lang w:eastAsia="pl-PL"/>
        </w:rPr>
        <w:t>5</w:t>
      </w:r>
      <w:r w:rsidRPr="00BE264C">
        <w:rPr>
          <w:rFonts w:ascii="Times New Roman" w:hAnsi="Times New Roman" w:cs="Times New Roman"/>
          <w:sz w:val="24"/>
          <w:szCs w:val="24"/>
          <w:lang w:eastAsia="pl-PL"/>
        </w:rPr>
        <w:t xml:space="preserve"> r. poz. </w:t>
      </w:r>
      <w:r w:rsidR="00EE1553" w:rsidRPr="00BE264C">
        <w:rPr>
          <w:rFonts w:ascii="Times New Roman" w:hAnsi="Times New Roman" w:cs="Times New Roman"/>
          <w:sz w:val="24"/>
          <w:szCs w:val="24"/>
          <w:lang w:eastAsia="pl-PL"/>
        </w:rPr>
        <w:t>1891</w:t>
      </w:r>
      <w:r w:rsidR="00E169A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w:t>
      </w:r>
      <w:r w:rsidR="00BE7D0C" w:rsidRPr="00BE264C">
        <w:rPr>
          <w:rFonts w:ascii="Times New Roman" w:hAnsi="Times New Roman" w:cs="Times New Roman"/>
          <w:sz w:val="24"/>
          <w:szCs w:val="24"/>
          <w:lang w:eastAsia="pl-PL"/>
        </w:rPr>
        <w:t xml:space="preserve"> dalej: „ustawa o biegłych rewidentach”,</w:t>
      </w:r>
    </w:p>
    <w:p w14:paraId="260D2133" w14:textId="2C2FEAF0"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 marca 2018 r. o przeciwdziałaniu praniu pieniędzy oraz finansowaniu terroryzmu (Dz. U. z 2025 r. poz. 644</w:t>
      </w:r>
      <w:r w:rsidR="00EE1553"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 xml:space="preserve">), </w:t>
      </w:r>
      <w:r w:rsidR="00BE7D0C" w:rsidRPr="00BE264C">
        <w:rPr>
          <w:rFonts w:ascii="Times New Roman" w:hAnsi="Times New Roman" w:cs="Times New Roman"/>
          <w:sz w:val="24"/>
          <w:szCs w:val="24"/>
          <w:lang w:eastAsia="pl-PL"/>
        </w:rPr>
        <w:t>dalej: „ustawa o przeciwdziałaniu praniu pieniędzy oraz finansowaniu terroryzmu”,</w:t>
      </w:r>
    </w:p>
    <w:p w14:paraId="60BF754C" w14:textId="2B0975F0"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12 kwietnia 2018 r. o zasadach pozyskiwania informacji o niekaralności osób ubiegających się o zatrudnienie i osób zatrudnionych w podmiotach sektora finansowego (Dz. U. z 2025 r. poz. 566),</w:t>
      </w:r>
      <w:r w:rsidR="00BE7D0C" w:rsidRPr="00BE264C">
        <w:rPr>
          <w:rFonts w:ascii="Times New Roman" w:hAnsi="Times New Roman" w:cs="Times New Roman"/>
          <w:sz w:val="24"/>
          <w:szCs w:val="24"/>
          <w:lang w:eastAsia="pl-PL"/>
        </w:rPr>
        <w:t xml:space="preserve"> dalej: „ustawa o zasadach pozyskiwania informacji o niekaralności osób ubiegających się o zatrudnienie i osób zatrudnionych w podmiotach sektora finansowego”,</w:t>
      </w:r>
    </w:p>
    <w:p w14:paraId="2C03C14C" w14:textId="24A39982"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lastRenderedPageBreak/>
        <w:t>ustawie z dnia 5 lipca 2018 r. o krajowym systemie cyberbezpieczeństwa (Dz. U. z 202</w:t>
      </w:r>
      <w:r w:rsidR="00EE1553" w:rsidRPr="00BE264C">
        <w:rPr>
          <w:rFonts w:ascii="Times New Roman" w:hAnsi="Times New Roman" w:cs="Times New Roman"/>
          <w:sz w:val="24"/>
          <w:szCs w:val="24"/>
          <w:lang w:eastAsia="pl-PL"/>
        </w:rPr>
        <w:t>6</w:t>
      </w:r>
      <w:r w:rsidRPr="00BE264C">
        <w:rPr>
          <w:rFonts w:ascii="Times New Roman" w:hAnsi="Times New Roman" w:cs="Times New Roman"/>
          <w:sz w:val="24"/>
          <w:szCs w:val="24"/>
          <w:lang w:eastAsia="pl-PL"/>
        </w:rPr>
        <w:t xml:space="preserve"> r. poz. </w:t>
      </w:r>
      <w:r w:rsidR="00EE1553" w:rsidRPr="00BE264C">
        <w:rPr>
          <w:rFonts w:ascii="Times New Roman" w:hAnsi="Times New Roman" w:cs="Times New Roman"/>
          <w:sz w:val="24"/>
          <w:szCs w:val="24"/>
          <w:lang w:eastAsia="pl-PL"/>
        </w:rPr>
        <w:t>20</w:t>
      </w:r>
      <w:r w:rsidRPr="00BE264C">
        <w:rPr>
          <w:rFonts w:ascii="Times New Roman" w:hAnsi="Times New Roman" w:cs="Times New Roman"/>
          <w:sz w:val="24"/>
          <w:szCs w:val="24"/>
          <w:lang w:eastAsia="pl-PL"/>
        </w:rPr>
        <w:t>,</w:t>
      </w:r>
      <w:r w:rsidR="00401F5D" w:rsidRPr="00BE264C">
        <w:rPr>
          <w:rFonts w:ascii="Times New Roman" w:hAnsi="Times New Roman" w:cs="Times New Roman"/>
          <w:sz w:val="24"/>
          <w:szCs w:val="24"/>
          <w:lang w:eastAsia="pl-PL"/>
        </w:rPr>
        <w:t xml:space="preserve"> z późn. zm.</w:t>
      </w:r>
      <w:r w:rsidRPr="00BE264C">
        <w:rPr>
          <w:rFonts w:ascii="Times New Roman" w:hAnsi="Times New Roman" w:cs="Times New Roman"/>
          <w:sz w:val="24"/>
          <w:szCs w:val="24"/>
          <w:lang w:eastAsia="pl-PL"/>
        </w:rPr>
        <w:t xml:space="preserve">), </w:t>
      </w:r>
      <w:r w:rsidR="00BE7D0C" w:rsidRPr="00BE264C">
        <w:rPr>
          <w:rFonts w:ascii="Times New Roman" w:hAnsi="Times New Roman" w:cs="Times New Roman"/>
          <w:sz w:val="24"/>
          <w:szCs w:val="24"/>
          <w:lang w:eastAsia="pl-PL"/>
        </w:rPr>
        <w:t>dalej: „ustawa o krajowym systemie cyberbezpieczeństwa”,</w:t>
      </w:r>
    </w:p>
    <w:p w14:paraId="5DA0B403" w14:textId="2E88B7B0"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19 czerwca 2020 r. o dopłatach do oprocentowania kredytów bankowych udzielanych przedsiębiorcom dotkniętym skutkami COVID-19 oraz o uproszczonym postępowaniu o zatwierdzenie układu w związku z wystąpieniem COVID-19 (Dz. U. </w:t>
      </w:r>
      <w:r w:rsidR="00B24E44" w:rsidRPr="00BE264C">
        <w:rPr>
          <w:rFonts w:ascii="Times New Roman" w:hAnsi="Times New Roman" w:cs="Times New Roman"/>
          <w:sz w:val="24"/>
          <w:szCs w:val="24"/>
          <w:lang w:eastAsia="pl-PL"/>
        </w:rPr>
        <w:t>z 2025 r. poz. 1738</w:t>
      </w:r>
      <w:r w:rsidRPr="00BE264C">
        <w:rPr>
          <w:rFonts w:ascii="Times New Roman" w:hAnsi="Times New Roman" w:cs="Times New Roman"/>
          <w:sz w:val="24"/>
          <w:szCs w:val="24"/>
          <w:lang w:eastAsia="pl-PL"/>
        </w:rPr>
        <w:t xml:space="preserve">), </w:t>
      </w:r>
      <w:r w:rsidR="00BE7D0C" w:rsidRPr="00BE264C">
        <w:rPr>
          <w:rFonts w:ascii="Times New Roman" w:hAnsi="Times New Roman" w:cs="Times New Roman"/>
          <w:sz w:val="24"/>
          <w:szCs w:val="24"/>
          <w:lang w:eastAsia="pl-PL"/>
        </w:rPr>
        <w:t>dalej: „ustawa o dopłatach do oprocentowania kredytów bankowych udzielanych przedsiębiorcom dotkniętym skutkami COVID-19”,</w:t>
      </w:r>
    </w:p>
    <w:p w14:paraId="7926B38C" w14:textId="6B119EC2"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1 grudnia 2022 r. o Systemie Informacji Finansowej (Dz.U. z 2023 r. poz. 180), </w:t>
      </w:r>
      <w:r w:rsidR="00BE7D0C" w:rsidRPr="00BE264C">
        <w:rPr>
          <w:rFonts w:ascii="Times New Roman" w:hAnsi="Times New Roman" w:cs="Times New Roman"/>
          <w:sz w:val="24"/>
          <w:szCs w:val="24"/>
          <w:lang w:eastAsia="pl-PL"/>
        </w:rPr>
        <w:t>dalej: „ustawa o Systemie Informacji Finansowej”,</w:t>
      </w:r>
    </w:p>
    <w:p w14:paraId="5CC3079B" w14:textId="2611065D"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 xml:space="preserve">ustawie z dnia 14 kwietnia 2023 r. o konsumenckiej pożyczce lombardowej (Dz. U. z 2024 r. poz. 1111), </w:t>
      </w:r>
      <w:r w:rsidR="00BE7D0C" w:rsidRPr="00BE264C">
        <w:rPr>
          <w:rFonts w:ascii="Times New Roman" w:hAnsi="Times New Roman" w:cs="Times New Roman"/>
          <w:sz w:val="24"/>
          <w:szCs w:val="24"/>
          <w:lang w:eastAsia="pl-PL"/>
        </w:rPr>
        <w:t>dalej: „ustawa o konsumenckiej pożyczce lombardowej”,</w:t>
      </w:r>
    </w:p>
    <w:p w14:paraId="4107A7FD" w14:textId="4DFBB7A9"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7 lipca 2023 r. o ogólnoeuropejskim indywidualnym produkcie emerytalnym (Dz.</w:t>
      </w:r>
      <w:r w:rsidR="00B24E44" w:rsidRPr="00BE264C">
        <w:rPr>
          <w:rFonts w:ascii="Times New Roman" w:hAnsi="Times New Roman" w:cs="Times New Roman"/>
          <w:sz w:val="24"/>
          <w:szCs w:val="24"/>
          <w:lang w:eastAsia="pl-PL"/>
        </w:rPr>
        <w:t xml:space="preserve"> </w:t>
      </w:r>
      <w:r w:rsidRPr="00BE264C">
        <w:rPr>
          <w:rFonts w:ascii="Times New Roman" w:hAnsi="Times New Roman" w:cs="Times New Roman"/>
          <w:sz w:val="24"/>
          <w:szCs w:val="24"/>
          <w:lang w:eastAsia="pl-PL"/>
        </w:rPr>
        <w:t xml:space="preserve">U. poz. 1843), </w:t>
      </w:r>
      <w:r w:rsidR="00BE7D0C" w:rsidRPr="00BE264C">
        <w:rPr>
          <w:rFonts w:ascii="Times New Roman" w:hAnsi="Times New Roman" w:cs="Times New Roman"/>
          <w:sz w:val="24"/>
          <w:szCs w:val="24"/>
          <w:lang w:eastAsia="pl-PL"/>
        </w:rPr>
        <w:t>dalej: „ustawa o ogólnoeuropejskim indywidualnym produkcie emerytalnym”,</w:t>
      </w:r>
    </w:p>
    <w:p w14:paraId="5DC47737" w14:textId="419FDD5E" w:rsidR="00AD22E5" w:rsidRPr="00BE264C" w:rsidRDefault="00AD22E5" w:rsidP="009858C9">
      <w:pPr>
        <w:numPr>
          <w:ilvl w:val="0"/>
          <w:numId w:val="2"/>
        </w:numPr>
        <w:spacing w:before="120" w:after="0" w:line="360" w:lineRule="auto"/>
        <w:ind w:left="714" w:hanging="357"/>
        <w:jc w:val="both"/>
        <w:rPr>
          <w:rFonts w:ascii="Times New Roman" w:hAnsi="Times New Roman" w:cs="Times New Roman"/>
          <w:sz w:val="24"/>
          <w:szCs w:val="24"/>
          <w:lang w:eastAsia="pl-PL"/>
        </w:rPr>
      </w:pPr>
      <w:r w:rsidRPr="00BE264C">
        <w:rPr>
          <w:rFonts w:ascii="Times New Roman" w:hAnsi="Times New Roman" w:cs="Times New Roman"/>
          <w:sz w:val="24"/>
          <w:szCs w:val="24"/>
          <w:lang w:eastAsia="pl-PL"/>
        </w:rPr>
        <w:t>ustawie z dnia 28 lipca 2023 r. o zwalczaniu nadużyć w komunikacji elektronicznej (Dz. U. z 2024 r. poz. 1803</w:t>
      </w:r>
      <w:r w:rsidR="00EE1553" w:rsidRPr="00BE264C">
        <w:rPr>
          <w:rFonts w:ascii="Times New Roman" w:hAnsi="Times New Roman" w:cs="Times New Roman"/>
          <w:sz w:val="24"/>
          <w:szCs w:val="24"/>
          <w:lang w:eastAsia="pl-PL"/>
        </w:rPr>
        <w:t>, z późn. zm.</w:t>
      </w:r>
      <w:r w:rsidRPr="00BE264C">
        <w:rPr>
          <w:rFonts w:ascii="Times New Roman" w:hAnsi="Times New Roman" w:cs="Times New Roman"/>
          <w:sz w:val="24"/>
          <w:szCs w:val="24"/>
          <w:lang w:eastAsia="pl-PL"/>
        </w:rPr>
        <w:t>)</w:t>
      </w:r>
      <w:r w:rsidR="00BE7D0C" w:rsidRPr="00BE264C">
        <w:rPr>
          <w:rFonts w:ascii="Times New Roman" w:hAnsi="Times New Roman" w:cs="Times New Roman"/>
          <w:sz w:val="24"/>
          <w:szCs w:val="24"/>
          <w:lang w:eastAsia="pl-PL"/>
        </w:rPr>
        <w:t>, dalej: „ustawa o zwalczaniu nadużyć w komunikacji elektronicznej”.</w:t>
      </w:r>
    </w:p>
    <w:p w14:paraId="64BBF1F9" w14:textId="4CA11AC9" w:rsidR="00D1570B" w:rsidRPr="00BE264C" w:rsidRDefault="003C71E3" w:rsidP="009858C9">
      <w:pPr>
        <w:spacing w:before="120" w:after="0" w:line="360" w:lineRule="auto"/>
        <w:jc w:val="both"/>
        <w:rPr>
          <w:rFonts w:ascii="Times New Roman" w:hAnsi="Times New Roman" w:cs="Times New Roman"/>
          <w:sz w:val="24"/>
          <w:szCs w:val="24"/>
        </w:rPr>
      </w:pPr>
      <w:r w:rsidRPr="00BE264C">
        <w:rPr>
          <w:rFonts w:ascii="Times New Roman" w:eastAsiaTheme="minorEastAsia" w:hAnsi="Times New Roman" w:cs="Times New Roman"/>
          <w:bCs/>
          <w:color w:val="000000" w:themeColor="text1"/>
          <w:sz w:val="24"/>
          <w:szCs w:val="24"/>
          <w:lang w:eastAsia="pl-PL"/>
        </w:rPr>
        <w:t>Dyrektywa CRD VI weszła w życie dwudziestego dnia po jego opublikowaniu w Dzienniku Urzędowym UE</w:t>
      </w:r>
      <w:r w:rsidR="00AA6EA2" w:rsidRPr="00BE264C">
        <w:rPr>
          <w:rFonts w:ascii="Times New Roman" w:eastAsiaTheme="minorEastAsia" w:hAnsi="Times New Roman" w:cs="Times New Roman"/>
          <w:bCs/>
          <w:color w:val="000000" w:themeColor="text1"/>
          <w:sz w:val="24"/>
          <w:szCs w:val="24"/>
          <w:lang w:eastAsia="pl-PL"/>
        </w:rPr>
        <w:t>,</w:t>
      </w:r>
      <w:r w:rsidRPr="00BE264C">
        <w:rPr>
          <w:rFonts w:ascii="Times New Roman" w:eastAsiaTheme="minorEastAsia" w:hAnsi="Times New Roman" w:cs="Times New Roman"/>
          <w:bCs/>
          <w:color w:val="000000" w:themeColor="text1"/>
          <w:sz w:val="24"/>
          <w:szCs w:val="24"/>
          <w:lang w:eastAsia="pl-PL"/>
        </w:rPr>
        <w:t xml:space="preserve"> tj. w dniu 9 lipca 2024 r. </w:t>
      </w:r>
      <w:r w:rsidR="00E169AC">
        <w:rPr>
          <w:rFonts w:ascii="Times New Roman" w:eastAsiaTheme="minorEastAsia" w:hAnsi="Times New Roman" w:cs="Times New Roman"/>
          <w:bCs/>
          <w:color w:val="000000" w:themeColor="text1"/>
          <w:sz w:val="24"/>
          <w:szCs w:val="24"/>
          <w:lang w:eastAsia="pl-PL"/>
        </w:rPr>
        <w:t>p</w:t>
      </w:r>
      <w:r w:rsidRPr="00BE264C">
        <w:rPr>
          <w:rFonts w:ascii="Times New Roman" w:eastAsiaTheme="minorEastAsia" w:hAnsi="Times New Roman" w:cs="Times New Roman"/>
          <w:bCs/>
          <w:color w:val="000000" w:themeColor="text1"/>
          <w:sz w:val="24"/>
          <w:szCs w:val="24"/>
          <w:lang w:eastAsia="pl-PL"/>
        </w:rPr>
        <w:t xml:space="preserve">aństwa </w:t>
      </w:r>
      <w:r w:rsidR="00E169AC">
        <w:rPr>
          <w:rFonts w:ascii="Times New Roman" w:eastAsiaTheme="minorEastAsia" w:hAnsi="Times New Roman" w:cs="Times New Roman"/>
          <w:bCs/>
          <w:color w:val="000000" w:themeColor="text1"/>
          <w:sz w:val="24"/>
          <w:szCs w:val="24"/>
          <w:lang w:eastAsia="pl-PL"/>
        </w:rPr>
        <w:t>c</w:t>
      </w:r>
      <w:r w:rsidRPr="00BE264C">
        <w:rPr>
          <w:rFonts w:ascii="Times New Roman" w:eastAsiaTheme="minorEastAsia" w:hAnsi="Times New Roman" w:cs="Times New Roman"/>
          <w:bCs/>
          <w:color w:val="000000" w:themeColor="text1"/>
          <w:sz w:val="24"/>
          <w:szCs w:val="24"/>
          <w:lang w:eastAsia="pl-PL"/>
        </w:rPr>
        <w:t xml:space="preserve">złonkowskie są zobowiązane do </w:t>
      </w:r>
      <w:r w:rsidRPr="00BE264C">
        <w:rPr>
          <w:rFonts w:ascii="Times New Roman" w:hAnsi="Times New Roman" w:cs="Times New Roman"/>
          <w:sz w:val="24"/>
          <w:szCs w:val="24"/>
        </w:rPr>
        <w:t>zaimplementowania odpowiednich przepisów do dnia 10 stycznia 2026 r.</w:t>
      </w:r>
    </w:p>
    <w:p w14:paraId="64FE4253" w14:textId="54E81BDA" w:rsidR="0085698B" w:rsidRPr="00BE264C" w:rsidRDefault="0085698B" w:rsidP="009858C9">
      <w:pPr>
        <w:spacing w:before="120" w:after="0" w:line="360" w:lineRule="auto"/>
        <w:jc w:val="center"/>
        <w:rPr>
          <w:rFonts w:ascii="Times New Roman" w:hAnsi="Times New Roman" w:cs="Times New Roman"/>
          <w:b/>
          <w:bCs/>
          <w:sz w:val="24"/>
          <w:szCs w:val="24"/>
        </w:rPr>
      </w:pPr>
      <w:r w:rsidRPr="00BE264C">
        <w:rPr>
          <w:rFonts w:ascii="Times New Roman" w:hAnsi="Times New Roman" w:cs="Times New Roman"/>
          <w:b/>
          <w:bCs/>
          <w:sz w:val="24"/>
          <w:szCs w:val="24"/>
        </w:rPr>
        <w:t>Zmiany w ustawie – Prawo bankowe</w:t>
      </w:r>
    </w:p>
    <w:p w14:paraId="53CB293D" w14:textId="4B89152D" w:rsidR="00A415B5" w:rsidRPr="00BE264C" w:rsidRDefault="001617DF"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1</w:t>
      </w:r>
      <w:r w:rsidRPr="00BE264C">
        <w:rPr>
          <w:rFonts w:ascii="Times New Roman" w:hAnsi="Times New Roman" w:cs="Times New Roman"/>
          <w:sz w:val="24"/>
          <w:szCs w:val="24"/>
        </w:rPr>
        <w:t xml:space="preserve"> </w:t>
      </w:r>
      <w:r w:rsidR="00A415B5" w:rsidRPr="00BE264C">
        <w:rPr>
          <w:rFonts w:ascii="Times New Roman" w:hAnsi="Times New Roman" w:cs="Times New Roman"/>
          <w:sz w:val="24"/>
          <w:szCs w:val="24"/>
        </w:rPr>
        <w:t>zaktualizowano odnośnik do tytułu ustawy – Prawo bankowe.</w:t>
      </w:r>
    </w:p>
    <w:p w14:paraId="3B6B631F" w14:textId="3DFC54F3" w:rsidR="00A415B5" w:rsidRPr="00BE264C" w:rsidRDefault="00A415B5"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art. 1 pkt 2</w:t>
      </w:r>
      <w:r w:rsidRPr="00BE264C">
        <w:rPr>
          <w:rFonts w:ascii="Times New Roman" w:hAnsi="Times New Roman" w:cs="Times New Roman"/>
          <w:sz w:val="24"/>
          <w:szCs w:val="24"/>
        </w:rPr>
        <w:t xml:space="preserve"> ma charakter dostosowujący i wynika </w:t>
      </w:r>
      <w:r w:rsidR="001D62F6" w:rsidRPr="00BE264C">
        <w:rPr>
          <w:rFonts w:ascii="Times New Roman" w:hAnsi="Times New Roman" w:cs="Times New Roman"/>
          <w:sz w:val="24"/>
          <w:szCs w:val="24"/>
        </w:rPr>
        <w:t xml:space="preserve">z uchylenia </w:t>
      </w:r>
      <w:r w:rsidR="00DF2F05" w:rsidRPr="00BE264C">
        <w:rPr>
          <w:rFonts w:ascii="Times New Roman" w:hAnsi="Times New Roman" w:cs="Times New Roman"/>
          <w:sz w:val="24"/>
          <w:szCs w:val="24"/>
        </w:rPr>
        <w:t xml:space="preserve">w ustawie – Prawo bankowe </w:t>
      </w:r>
      <w:r w:rsidR="001D62F6" w:rsidRPr="00BE264C">
        <w:rPr>
          <w:rFonts w:ascii="Times New Roman" w:hAnsi="Times New Roman" w:cs="Times New Roman"/>
          <w:sz w:val="24"/>
          <w:szCs w:val="24"/>
        </w:rPr>
        <w:t>definicji oddziału banku zagranicznego oraz wprowadzenia definicji oddziału z państwa trzeciego.</w:t>
      </w:r>
    </w:p>
    <w:p w14:paraId="1470656B" w14:textId="5B8D7426" w:rsidR="001617DF" w:rsidRPr="00BE264C" w:rsidRDefault="00D97D45"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3</w:t>
      </w:r>
      <w:r w:rsidRPr="00BE264C">
        <w:rPr>
          <w:rFonts w:ascii="Times New Roman" w:hAnsi="Times New Roman" w:cs="Times New Roman"/>
          <w:sz w:val="24"/>
          <w:szCs w:val="24"/>
        </w:rPr>
        <w:t xml:space="preserve"> </w:t>
      </w:r>
      <w:r w:rsidR="001617DF" w:rsidRPr="00BE264C">
        <w:rPr>
          <w:rFonts w:ascii="Times New Roman" w:hAnsi="Times New Roman" w:cs="Times New Roman"/>
          <w:sz w:val="24"/>
          <w:szCs w:val="24"/>
        </w:rPr>
        <w:t>dostosowano słowniczek pojęć</w:t>
      </w:r>
      <w:r w:rsidR="00F144D4" w:rsidRPr="00BE264C">
        <w:rPr>
          <w:rFonts w:ascii="Times New Roman" w:hAnsi="Times New Roman" w:cs="Times New Roman"/>
          <w:sz w:val="24"/>
          <w:szCs w:val="24"/>
        </w:rPr>
        <w:t>,</w:t>
      </w:r>
      <w:r w:rsidR="001617DF" w:rsidRPr="00BE264C">
        <w:rPr>
          <w:rFonts w:ascii="Times New Roman" w:hAnsi="Times New Roman" w:cs="Times New Roman"/>
          <w:sz w:val="24"/>
          <w:szCs w:val="24"/>
        </w:rPr>
        <w:t xml:space="preserve"> zamieszczony w art. 4 zmienianej ustawy</w:t>
      </w:r>
      <w:r w:rsidR="00F144D4" w:rsidRPr="00BE264C">
        <w:rPr>
          <w:rFonts w:ascii="Times New Roman" w:hAnsi="Times New Roman" w:cs="Times New Roman"/>
          <w:sz w:val="24"/>
          <w:szCs w:val="24"/>
        </w:rPr>
        <w:t>,</w:t>
      </w:r>
      <w:r w:rsidR="001617DF" w:rsidRPr="00BE264C">
        <w:rPr>
          <w:rFonts w:ascii="Times New Roman" w:hAnsi="Times New Roman" w:cs="Times New Roman"/>
          <w:sz w:val="24"/>
          <w:szCs w:val="24"/>
        </w:rPr>
        <w:t xml:space="preserve"> do definicji zawartych w art. 3 dyrektywy CRD VI. </w:t>
      </w:r>
      <w:r w:rsidR="007E0A6E" w:rsidRPr="00BE264C">
        <w:rPr>
          <w:rFonts w:ascii="Times New Roman" w:hAnsi="Times New Roman" w:cs="Times New Roman"/>
          <w:sz w:val="24"/>
          <w:szCs w:val="24"/>
        </w:rPr>
        <w:t>Przy czym w</w:t>
      </w:r>
      <w:r w:rsidR="009A1C64" w:rsidRPr="00BE264C">
        <w:rPr>
          <w:rFonts w:ascii="Times New Roman" w:hAnsi="Times New Roman" w:cs="Times New Roman"/>
          <w:sz w:val="24"/>
          <w:szCs w:val="24"/>
        </w:rPr>
        <w:t xml:space="preserve"> art. 1 pkt 3 lit. j (w zakresie art. 4 ust. 1 pkt 6</w:t>
      </w:r>
      <w:r w:rsidR="00B52218">
        <w:rPr>
          <w:rFonts w:ascii="Times New Roman" w:hAnsi="Times New Roman" w:cs="Times New Roman"/>
          <w:sz w:val="24"/>
          <w:szCs w:val="24"/>
        </w:rPr>
        <w:t>8</w:t>
      </w:r>
      <w:r w:rsidR="009A1C64" w:rsidRPr="00BE264C">
        <w:rPr>
          <w:rFonts w:ascii="Times New Roman" w:hAnsi="Times New Roman" w:cs="Times New Roman"/>
          <w:sz w:val="24"/>
          <w:szCs w:val="24"/>
        </w:rPr>
        <w:t xml:space="preserve"> zmienianej ustawy), w definicji </w:t>
      </w:r>
      <w:r w:rsidR="002168D6" w:rsidRPr="00BE264C">
        <w:rPr>
          <w:rFonts w:ascii="Times New Roman" w:hAnsi="Times New Roman" w:cs="Times New Roman"/>
          <w:sz w:val="24"/>
          <w:szCs w:val="24"/>
        </w:rPr>
        <w:t xml:space="preserve">całkowitego </w:t>
      </w:r>
      <w:r w:rsidR="009A1C64" w:rsidRPr="00BE264C">
        <w:rPr>
          <w:rFonts w:ascii="Times New Roman" w:hAnsi="Times New Roman" w:cs="Times New Roman"/>
          <w:sz w:val="24"/>
          <w:szCs w:val="24"/>
        </w:rPr>
        <w:t>rocznego obrotu netto, wprowadzono ogólne odesłanie</w:t>
      </w:r>
      <w:r w:rsidR="00493C2F" w:rsidRPr="00BE264C">
        <w:rPr>
          <w:rFonts w:ascii="Times New Roman" w:hAnsi="Times New Roman" w:cs="Times New Roman"/>
          <w:sz w:val="24"/>
          <w:szCs w:val="24"/>
        </w:rPr>
        <w:t xml:space="preserve"> do podstawy prawnej</w:t>
      </w:r>
      <w:r w:rsidR="009A1C64" w:rsidRPr="00BE264C">
        <w:rPr>
          <w:rFonts w:ascii="Times New Roman" w:hAnsi="Times New Roman" w:cs="Times New Roman"/>
          <w:sz w:val="24"/>
          <w:szCs w:val="24"/>
        </w:rPr>
        <w:t xml:space="preserve">, </w:t>
      </w:r>
      <w:r w:rsidR="00493C2F" w:rsidRPr="00BE264C">
        <w:rPr>
          <w:rFonts w:ascii="Times New Roman" w:hAnsi="Times New Roman" w:cs="Times New Roman"/>
          <w:sz w:val="24"/>
          <w:szCs w:val="24"/>
        </w:rPr>
        <w:t xml:space="preserve">zamiast odwołania do konkretnego rozporządzenia wykonawczego, </w:t>
      </w:r>
      <w:r w:rsidR="009A1C64" w:rsidRPr="00BE264C">
        <w:rPr>
          <w:rFonts w:ascii="Times New Roman" w:hAnsi="Times New Roman" w:cs="Times New Roman"/>
          <w:sz w:val="24"/>
          <w:szCs w:val="24"/>
        </w:rPr>
        <w:t xml:space="preserve">ze względu na konieczność nowelizacji ustawy w przypadku zmiany </w:t>
      </w:r>
      <w:r w:rsidR="00493C2F" w:rsidRPr="00BE264C">
        <w:rPr>
          <w:rFonts w:ascii="Times New Roman" w:hAnsi="Times New Roman" w:cs="Times New Roman"/>
          <w:sz w:val="24"/>
          <w:szCs w:val="24"/>
        </w:rPr>
        <w:t>danego rozporządzenia.</w:t>
      </w:r>
    </w:p>
    <w:p w14:paraId="41E7FC6D" w14:textId="3AB497F1" w:rsidR="001617DF" w:rsidRPr="00BE264C" w:rsidRDefault="006370A5"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b/>
          <w:bCs/>
          <w:sz w:val="24"/>
          <w:szCs w:val="24"/>
        </w:rPr>
        <w:lastRenderedPageBreak/>
        <w:t xml:space="preserve">Art. 1 pkt </w:t>
      </w:r>
      <w:r w:rsidR="00495449" w:rsidRPr="00BE264C">
        <w:rPr>
          <w:rFonts w:ascii="Times New Roman" w:hAnsi="Times New Roman" w:cs="Times New Roman"/>
          <w:b/>
          <w:bCs/>
          <w:sz w:val="24"/>
          <w:szCs w:val="24"/>
        </w:rPr>
        <w:t>4</w:t>
      </w:r>
      <w:r w:rsidRPr="00BE264C">
        <w:rPr>
          <w:rFonts w:ascii="Times New Roman" w:hAnsi="Times New Roman" w:cs="Times New Roman"/>
          <w:sz w:val="24"/>
          <w:szCs w:val="24"/>
        </w:rPr>
        <w:t xml:space="preserve"> stanowi o wymogu stosowania przepisów art. 141f–141l zmienianej ustawy do grup firm inwestycyjnych zdefiniowanych w art. 4 ust. 1 pkt 25 rozporządzenia </w:t>
      </w:r>
      <w:r w:rsidR="005776BE" w:rsidRPr="00BE264C">
        <w:rPr>
          <w:rFonts w:ascii="Times New Roman" w:hAnsi="Times New Roman" w:cs="Times New Roman"/>
          <w:sz w:val="24"/>
          <w:szCs w:val="24"/>
        </w:rPr>
        <w:t>Parlamentu Europejskiego i Rady (UE) 2019/2033 z dnia 27 listopada 2019 r. w sprawie wymogów ostrożnościowych dla firm inwestycyjnych oraz zmieniające rozporządzenia (UE) nr 1093/2010, (UE) nr 575/2013, (UE) nr 600/2014 i (UE) nr 806/2014 (Dz. Urz. UE L 314 z</w:t>
      </w:r>
      <w:r w:rsidR="000B7AD4" w:rsidRPr="00BE264C">
        <w:rPr>
          <w:rFonts w:ascii="Times New Roman" w:hAnsi="Times New Roman" w:cs="Times New Roman"/>
          <w:sz w:val="24"/>
          <w:szCs w:val="24"/>
        </w:rPr>
        <w:t> </w:t>
      </w:r>
      <w:r w:rsidR="005776BE" w:rsidRPr="00BE264C">
        <w:rPr>
          <w:rFonts w:ascii="Times New Roman" w:hAnsi="Times New Roman" w:cs="Times New Roman"/>
          <w:sz w:val="24"/>
          <w:szCs w:val="24"/>
        </w:rPr>
        <w:t>05.12.2019, str. 1, z późn. zm.)</w:t>
      </w:r>
      <w:r w:rsidRPr="00BE264C">
        <w:rPr>
          <w:rFonts w:ascii="Times New Roman" w:hAnsi="Times New Roman" w:cs="Times New Roman"/>
          <w:sz w:val="24"/>
          <w:szCs w:val="24"/>
        </w:rPr>
        <w:t>, jeżeli co najmniej jeden dom maklerski w danej grupie stosuje rozporządzenie</w:t>
      </w:r>
      <w:r w:rsidR="00957823" w:rsidRPr="00BE264C">
        <w:rPr>
          <w:rFonts w:ascii="Times New Roman" w:hAnsi="Times New Roman" w:cs="Times New Roman"/>
          <w:sz w:val="24"/>
          <w:szCs w:val="24"/>
        </w:rPr>
        <w:t xml:space="preserve"> CRR</w:t>
      </w:r>
      <w:r w:rsidRPr="00BE264C">
        <w:rPr>
          <w:rFonts w:ascii="Times New Roman" w:hAnsi="Times New Roman" w:cs="Times New Roman"/>
          <w:sz w:val="24"/>
          <w:szCs w:val="24"/>
        </w:rPr>
        <w:t>.</w:t>
      </w:r>
    </w:p>
    <w:p w14:paraId="0C2DEE62" w14:textId="555F057E" w:rsidR="0043134A" w:rsidRPr="00BE264C" w:rsidRDefault="00801F04"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b/>
          <w:bCs/>
          <w:sz w:val="24"/>
          <w:szCs w:val="24"/>
        </w:rPr>
        <w:t xml:space="preserve">Art. 1 pkt </w:t>
      </w:r>
      <w:r w:rsidR="004C622F" w:rsidRPr="00BE264C">
        <w:rPr>
          <w:rFonts w:ascii="Times New Roman" w:hAnsi="Times New Roman" w:cs="Times New Roman"/>
          <w:b/>
          <w:bCs/>
          <w:sz w:val="24"/>
          <w:szCs w:val="24"/>
        </w:rPr>
        <w:t>5</w:t>
      </w:r>
      <w:r w:rsidRPr="00BE264C">
        <w:rPr>
          <w:rFonts w:ascii="Times New Roman" w:hAnsi="Times New Roman" w:cs="Times New Roman"/>
          <w:b/>
          <w:bCs/>
          <w:sz w:val="24"/>
          <w:szCs w:val="24"/>
        </w:rPr>
        <w:t xml:space="preserve"> i </w:t>
      </w:r>
      <w:r w:rsidR="004C622F" w:rsidRPr="00BE264C">
        <w:rPr>
          <w:rFonts w:ascii="Times New Roman" w:hAnsi="Times New Roman" w:cs="Times New Roman"/>
          <w:b/>
          <w:bCs/>
          <w:sz w:val="24"/>
          <w:szCs w:val="24"/>
        </w:rPr>
        <w:t>6</w:t>
      </w:r>
      <w:r w:rsidRPr="00BE264C">
        <w:rPr>
          <w:rFonts w:ascii="Times New Roman" w:hAnsi="Times New Roman" w:cs="Times New Roman"/>
          <w:sz w:val="24"/>
          <w:szCs w:val="24"/>
        </w:rPr>
        <w:t xml:space="preserve"> </w:t>
      </w:r>
      <w:r w:rsidR="004C26DA" w:rsidRPr="00BE264C">
        <w:rPr>
          <w:rFonts w:ascii="Times New Roman" w:hAnsi="Times New Roman" w:cs="Times New Roman"/>
          <w:sz w:val="24"/>
          <w:szCs w:val="24"/>
        </w:rPr>
        <w:t xml:space="preserve">mają charakter dostosowujący i wynikają </w:t>
      </w:r>
      <w:r w:rsidR="002F539A" w:rsidRPr="00BE264C">
        <w:rPr>
          <w:rFonts w:ascii="Times New Roman" w:hAnsi="Times New Roman" w:cs="Times New Roman"/>
          <w:sz w:val="24"/>
          <w:szCs w:val="24"/>
        </w:rPr>
        <w:t xml:space="preserve">ze zmiany brzmienia </w:t>
      </w:r>
      <w:r w:rsidRPr="00BE264C">
        <w:rPr>
          <w:rFonts w:ascii="Times New Roman" w:hAnsi="Times New Roman" w:cs="Times New Roman"/>
          <w:sz w:val="24"/>
          <w:szCs w:val="24"/>
        </w:rPr>
        <w:t xml:space="preserve">definicji osób pełniących kluczowe funkcje. </w:t>
      </w:r>
    </w:p>
    <w:p w14:paraId="65B6E3D2" w14:textId="183D94EB" w:rsidR="004C622F" w:rsidRPr="00BE264C" w:rsidRDefault="004C622F"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Zgodnie ze zmianą wprowadzoną w </w:t>
      </w:r>
      <w:r w:rsidRPr="00BE264C">
        <w:rPr>
          <w:rFonts w:ascii="Times New Roman" w:hAnsi="Times New Roman" w:cs="Times New Roman"/>
          <w:b/>
          <w:bCs/>
          <w:sz w:val="24"/>
          <w:szCs w:val="24"/>
        </w:rPr>
        <w:t xml:space="preserve">art. 1 pkt 7 </w:t>
      </w:r>
      <w:r w:rsidRPr="00BE264C">
        <w:rPr>
          <w:rFonts w:ascii="Times New Roman" w:hAnsi="Times New Roman" w:cs="Times New Roman"/>
          <w:sz w:val="24"/>
          <w:szCs w:val="24"/>
        </w:rPr>
        <w:t>walne zgromadzenie przyjmuje politykę różnorodności w składzie rady nadzorczej banku, uwzględniającą szeroki zestaw cech i kompetencji wymaganych w przypadku osób pełniących funkcję członków rady nadzorczej.</w:t>
      </w:r>
    </w:p>
    <w:p w14:paraId="45610FC6" w14:textId="4B64D199" w:rsidR="00801F04" w:rsidRPr="00BE264C" w:rsidRDefault="00622907"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 xml:space="preserve">art. 1 pkt </w:t>
      </w:r>
      <w:r w:rsidR="003C1B30" w:rsidRPr="00BE264C">
        <w:rPr>
          <w:rFonts w:ascii="Times New Roman" w:hAnsi="Times New Roman" w:cs="Times New Roman"/>
          <w:b/>
          <w:bCs/>
          <w:sz w:val="24"/>
          <w:szCs w:val="24"/>
        </w:rPr>
        <w:t>8</w:t>
      </w:r>
      <w:r w:rsidRPr="00BE264C">
        <w:rPr>
          <w:rFonts w:ascii="Times New Roman" w:hAnsi="Times New Roman" w:cs="Times New Roman"/>
          <w:sz w:val="24"/>
          <w:szCs w:val="24"/>
        </w:rPr>
        <w:t xml:space="preserve"> poszerzono zakres informacji, których ujawnienie nie stanowi naruszenia tajemnicy zawodowej przez Przewodniczącego </w:t>
      </w:r>
      <w:r w:rsidR="002F539A" w:rsidRPr="00BE264C">
        <w:rPr>
          <w:rFonts w:ascii="Times New Roman" w:hAnsi="Times New Roman" w:cs="Times New Roman"/>
          <w:sz w:val="24"/>
          <w:szCs w:val="24"/>
        </w:rPr>
        <w:t>KNF</w:t>
      </w:r>
      <w:r w:rsidRPr="00BE264C">
        <w:rPr>
          <w:rFonts w:ascii="Times New Roman" w:hAnsi="Times New Roman" w:cs="Times New Roman"/>
          <w:sz w:val="24"/>
          <w:szCs w:val="24"/>
        </w:rPr>
        <w:t>, jego zastępców, członk</w:t>
      </w:r>
      <w:r w:rsidR="00292D13" w:rsidRPr="00BE264C">
        <w:rPr>
          <w:rFonts w:ascii="Times New Roman" w:hAnsi="Times New Roman" w:cs="Times New Roman"/>
          <w:sz w:val="24"/>
          <w:szCs w:val="24"/>
        </w:rPr>
        <w:t>ów</w:t>
      </w:r>
      <w:r w:rsidR="00845BFE" w:rsidRPr="00BE264C">
        <w:rPr>
          <w:rFonts w:ascii="Times New Roman" w:hAnsi="Times New Roman" w:cs="Times New Roman"/>
          <w:sz w:val="24"/>
          <w:szCs w:val="24"/>
        </w:rPr>
        <w:t xml:space="preserve"> </w:t>
      </w:r>
      <w:r w:rsidR="002F539A" w:rsidRPr="00BE264C">
        <w:rPr>
          <w:rFonts w:ascii="Times New Roman" w:hAnsi="Times New Roman" w:cs="Times New Roman"/>
          <w:sz w:val="24"/>
          <w:szCs w:val="24"/>
        </w:rPr>
        <w:t>KNF</w:t>
      </w:r>
      <w:r w:rsidRPr="00BE264C">
        <w:rPr>
          <w:rFonts w:ascii="Times New Roman" w:hAnsi="Times New Roman" w:cs="Times New Roman"/>
          <w:sz w:val="24"/>
          <w:szCs w:val="24"/>
        </w:rPr>
        <w:t>, pracowni</w:t>
      </w:r>
      <w:r w:rsidR="00292D13" w:rsidRPr="00BE264C">
        <w:rPr>
          <w:rFonts w:ascii="Times New Roman" w:hAnsi="Times New Roman" w:cs="Times New Roman"/>
          <w:sz w:val="24"/>
          <w:szCs w:val="24"/>
        </w:rPr>
        <w:t>ków</w:t>
      </w:r>
      <w:r w:rsidRPr="00BE264C">
        <w:rPr>
          <w:rFonts w:ascii="Times New Roman" w:hAnsi="Times New Roman" w:cs="Times New Roman"/>
          <w:sz w:val="24"/>
          <w:szCs w:val="24"/>
        </w:rPr>
        <w:t xml:space="preserve"> </w:t>
      </w:r>
      <w:r w:rsidR="00432EC4" w:rsidRPr="00BE264C">
        <w:rPr>
          <w:rFonts w:ascii="Times New Roman" w:hAnsi="Times New Roman" w:cs="Times New Roman"/>
          <w:sz w:val="24"/>
          <w:szCs w:val="24"/>
        </w:rPr>
        <w:t>UKNF</w:t>
      </w:r>
      <w:r w:rsidRPr="00BE264C">
        <w:rPr>
          <w:rFonts w:ascii="Times New Roman" w:hAnsi="Times New Roman" w:cs="Times New Roman"/>
          <w:sz w:val="24"/>
          <w:szCs w:val="24"/>
        </w:rPr>
        <w:t xml:space="preserve"> i os</w:t>
      </w:r>
      <w:r w:rsidR="00292D13" w:rsidRPr="00BE264C">
        <w:rPr>
          <w:rFonts w:ascii="Times New Roman" w:hAnsi="Times New Roman" w:cs="Times New Roman"/>
          <w:sz w:val="24"/>
          <w:szCs w:val="24"/>
        </w:rPr>
        <w:t>ób</w:t>
      </w:r>
      <w:r w:rsidRPr="00BE264C">
        <w:rPr>
          <w:rFonts w:ascii="Times New Roman" w:hAnsi="Times New Roman" w:cs="Times New Roman"/>
          <w:sz w:val="24"/>
          <w:szCs w:val="24"/>
        </w:rPr>
        <w:t xml:space="preserve"> zatrudnion</w:t>
      </w:r>
      <w:r w:rsidR="00292D13" w:rsidRPr="00BE264C">
        <w:rPr>
          <w:rFonts w:ascii="Times New Roman" w:hAnsi="Times New Roman" w:cs="Times New Roman"/>
          <w:sz w:val="24"/>
          <w:szCs w:val="24"/>
        </w:rPr>
        <w:t>ych</w:t>
      </w:r>
      <w:r w:rsidRPr="00BE264C">
        <w:rPr>
          <w:rFonts w:ascii="Times New Roman" w:hAnsi="Times New Roman" w:cs="Times New Roman"/>
          <w:sz w:val="24"/>
          <w:szCs w:val="24"/>
        </w:rPr>
        <w:t xml:space="preserve"> w</w:t>
      </w:r>
      <w:r w:rsidR="000B7AD4" w:rsidRPr="00BE264C">
        <w:rPr>
          <w:rFonts w:ascii="Times New Roman" w:hAnsi="Times New Roman" w:cs="Times New Roman"/>
          <w:sz w:val="24"/>
          <w:szCs w:val="24"/>
        </w:rPr>
        <w:t> </w:t>
      </w:r>
      <w:r w:rsidR="002D51F9" w:rsidRPr="00BE264C">
        <w:rPr>
          <w:rFonts w:ascii="Times New Roman" w:hAnsi="Times New Roman" w:cs="Times New Roman"/>
          <w:sz w:val="24"/>
          <w:szCs w:val="24"/>
        </w:rPr>
        <w:t>UKNF</w:t>
      </w:r>
      <w:r w:rsidR="0040223C" w:rsidRPr="00BE264C">
        <w:rPr>
          <w:rFonts w:ascii="Times New Roman" w:hAnsi="Times New Roman" w:cs="Times New Roman"/>
          <w:sz w:val="24"/>
          <w:szCs w:val="24"/>
        </w:rPr>
        <w:t xml:space="preserve"> na podstawie umowy o dzieło, umowy zlecenia albo innych umów o podobnym charakterze</w:t>
      </w:r>
      <w:r w:rsidR="00292D13" w:rsidRPr="00BE264C">
        <w:rPr>
          <w:rFonts w:ascii="Times New Roman" w:hAnsi="Times New Roman" w:cs="Times New Roman"/>
          <w:sz w:val="24"/>
          <w:szCs w:val="24"/>
        </w:rPr>
        <w:t xml:space="preserve">, o informacje </w:t>
      </w:r>
      <w:r w:rsidRPr="00BE264C">
        <w:rPr>
          <w:rFonts w:ascii="Times New Roman" w:hAnsi="Times New Roman" w:cs="Times New Roman"/>
          <w:sz w:val="24"/>
          <w:szCs w:val="24"/>
        </w:rPr>
        <w:t>udziel</w:t>
      </w:r>
      <w:r w:rsidR="00292D13" w:rsidRPr="00BE264C">
        <w:rPr>
          <w:rFonts w:ascii="Times New Roman" w:hAnsi="Times New Roman" w:cs="Times New Roman"/>
          <w:sz w:val="24"/>
          <w:szCs w:val="24"/>
        </w:rPr>
        <w:t>ane</w:t>
      </w:r>
      <w:r w:rsidRPr="00BE264C">
        <w:rPr>
          <w:rFonts w:ascii="Times New Roman" w:hAnsi="Times New Roman" w:cs="Times New Roman"/>
          <w:sz w:val="24"/>
          <w:szCs w:val="24"/>
        </w:rPr>
        <w:t xml:space="preserve"> organom podatkowym</w:t>
      </w:r>
      <w:r w:rsidR="00845BFE" w:rsidRPr="00BE264C">
        <w:rPr>
          <w:rFonts w:ascii="Times New Roman" w:hAnsi="Times New Roman" w:cs="Times New Roman"/>
          <w:sz w:val="24"/>
          <w:szCs w:val="24"/>
        </w:rPr>
        <w:t>,</w:t>
      </w:r>
      <w:r w:rsidR="00845BFE" w:rsidRPr="00BE264C">
        <w:rPr>
          <w:rFonts w:ascii="Times New Roman" w:eastAsiaTheme="minorEastAsia" w:hAnsi="Times New Roman" w:cs="Times New Roman"/>
          <w:sz w:val="24"/>
          <w:szCs w:val="24"/>
          <w:lang w:eastAsia="pl-PL"/>
        </w:rPr>
        <w:t xml:space="preserve"> </w:t>
      </w:r>
      <w:r w:rsidR="00845BFE" w:rsidRPr="00BE264C">
        <w:rPr>
          <w:rFonts w:ascii="Times New Roman" w:hAnsi="Times New Roman" w:cs="Times New Roman"/>
          <w:sz w:val="24"/>
          <w:szCs w:val="24"/>
        </w:rPr>
        <w:t>niezbędne do realizacji przez te organy zadań ustawowych</w:t>
      </w:r>
      <w:r w:rsidR="00292D13" w:rsidRPr="00BE264C">
        <w:rPr>
          <w:rFonts w:ascii="Times New Roman" w:hAnsi="Times New Roman" w:cs="Times New Roman"/>
          <w:sz w:val="24"/>
          <w:szCs w:val="24"/>
        </w:rPr>
        <w:t>.</w:t>
      </w:r>
    </w:p>
    <w:p w14:paraId="75C9ABCD" w14:textId="0544719C" w:rsidR="00E479A7" w:rsidRPr="00BE264C" w:rsidRDefault="00E479A7"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9</w:t>
      </w:r>
      <w:r w:rsidRPr="00BE264C">
        <w:rPr>
          <w:rFonts w:ascii="Times New Roman" w:hAnsi="Times New Roman" w:cs="Times New Roman"/>
          <w:sz w:val="24"/>
          <w:szCs w:val="24"/>
        </w:rPr>
        <w:t xml:space="preserve"> wprowadzono zmianę zbiorową, obejmującą wszystkie zmiany o charakterze dostosowującym</w:t>
      </w:r>
      <w:r w:rsidR="007E0A6E" w:rsidRPr="00BE264C">
        <w:rPr>
          <w:rFonts w:ascii="Times New Roman" w:hAnsi="Times New Roman" w:cs="Times New Roman"/>
          <w:sz w:val="24"/>
          <w:szCs w:val="24"/>
        </w:rPr>
        <w:t>,</w:t>
      </w:r>
      <w:r w:rsidRPr="00BE264C">
        <w:rPr>
          <w:rFonts w:ascii="Times New Roman" w:hAnsi="Times New Roman" w:cs="Times New Roman"/>
          <w:sz w:val="24"/>
          <w:szCs w:val="24"/>
        </w:rPr>
        <w:t xml:space="preserve"> wynikające z uchylenia w ustawie – Prawo bankowe definicji oddziału banku zagranicznego oraz z wprowadzenia definicji oddziału z państwa trzeciego.</w:t>
      </w:r>
    </w:p>
    <w:p w14:paraId="6D50BC3D" w14:textId="5CADBB8E" w:rsidR="00E479A7" w:rsidRPr="00BE264C" w:rsidRDefault="00E479A7"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10</w:t>
      </w:r>
      <w:r w:rsidRPr="00BE264C">
        <w:rPr>
          <w:rFonts w:ascii="Times New Roman" w:hAnsi="Times New Roman" w:cs="Times New Roman"/>
          <w:sz w:val="24"/>
          <w:szCs w:val="24"/>
        </w:rPr>
        <w:t xml:space="preserve"> </w:t>
      </w:r>
      <w:r w:rsidRPr="00BE264C">
        <w:rPr>
          <w:rFonts w:ascii="Times New Roman" w:hAnsi="Times New Roman" w:cs="Times New Roman"/>
          <w:b/>
          <w:bCs/>
          <w:sz w:val="24"/>
          <w:szCs w:val="24"/>
        </w:rPr>
        <w:t>lit. a</w:t>
      </w:r>
      <w:r w:rsidRPr="00BE264C">
        <w:rPr>
          <w:rFonts w:ascii="Times New Roman" w:hAnsi="Times New Roman" w:cs="Times New Roman"/>
          <w:sz w:val="24"/>
          <w:szCs w:val="24"/>
        </w:rPr>
        <w:t xml:space="preserve"> wprowadzono zmianę polegającą na zastąpieniu wyrazu „sprzedaży” wyrazem „zbycia”, w celu ujednolicenia pojęć stosowany</w:t>
      </w:r>
      <w:r w:rsidR="00663F25" w:rsidRPr="00BE264C">
        <w:rPr>
          <w:rFonts w:ascii="Times New Roman" w:hAnsi="Times New Roman" w:cs="Times New Roman"/>
          <w:sz w:val="24"/>
          <w:szCs w:val="24"/>
        </w:rPr>
        <w:t>ch</w:t>
      </w:r>
      <w:r w:rsidRPr="00BE264C">
        <w:rPr>
          <w:rFonts w:ascii="Times New Roman" w:hAnsi="Times New Roman" w:cs="Times New Roman"/>
          <w:sz w:val="24"/>
          <w:szCs w:val="24"/>
        </w:rPr>
        <w:t xml:space="preserve"> w zmienianej ustawie.</w:t>
      </w:r>
    </w:p>
    <w:p w14:paraId="7B85072F" w14:textId="5A37F4EE" w:rsidR="00E479A7" w:rsidRPr="00BE264C" w:rsidRDefault="00E479A7"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art. 1 pkt 10 lit. b</w:t>
      </w:r>
      <w:r w:rsidRPr="00BE264C">
        <w:rPr>
          <w:rFonts w:ascii="Times New Roman" w:hAnsi="Times New Roman" w:cs="Times New Roman"/>
          <w:sz w:val="24"/>
          <w:szCs w:val="24"/>
        </w:rPr>
        <w:t xml:space="preserve"> ma charakter dostosowujący i wynika z uchylenia w ustawie – Prawo bankowe definicji oddziału banku zagranicznego oraz z wprowadzenia definicji oddziału z państwa trzeciego.</w:t>
      </w:r>
    </w:p>
    <w:p w14:paraId="366D5C37" w14:textId="29EF1BFB" w:rsidR="00E47F2D" w:rsidRPr="00BE264C" w:rsidRDefault="00E47F2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sz w:val="24"/>
          <w:szCs w:val="24"/>
        </w:rPr>
        <w:t xml:space="preserve">Zmiany wprowadzone w </w:t>
      </w:r>
      <w:r w:rsidRPr="00BE264C">
        <w:rPr>
          <w:rFonts w:ascii="Times New Roman" w:hAnsi="Times New Roman" w:cs="Times New Roman"/>
          <w:b/>
          <w:bCs/>
          <w:sz w:val="24"/>
          <w:szCs w:val="24"/>
        </w:rPr>
        <w:t xml:space="preserve">art. 1 pkt </w:t>
      </w:r>
      <w:r w:rsidR="00E150B5" w:rsidRPr="00BE264C">
        <w:rPr>
          <w:rFonts w:ascii="Times New Roman" w:hAnsi="Times New Roman" w:cs="Times New Roman"/>
          <w:b/>
          <w:bCs/>
          <w:sz w:val="24"/>
          <w:szCs w:val="24"/>
        </w:rPr>
        <w:t>10</w:t>
      </w:r>
      <w:r w:rsidRPr="00BE264C">
        <w:rPr>
          <w:rFonts w:ascii="Times New Roman" w:hAnsi="Times New Roman" w:cs="Times New Roman"/>
          <w:b/>
          <w:bCs/>
          <w:sz w:val="24"/>
          <w:szCs w:val="24"/>
        </w:rPr>
        <w:t xml:space="preserve"> lit. </w:t>
      </w:r>
      <w:r w:rsidR="00E150B5" w:rsidRPr="00BE264C">
        <w:rPr>
          <w:rFonts w:ascii="Times New Roman" w:hAnsi="Times New Roman" w:cs="Times New Roman"/>
          <w:b/>
          <w:bCs/>
          <w:sz w:val="24"/>
          <w:szCs w:val="24"/>
        </w:rPr>
        <w:t>c</w:t>
      </w:r>
      <w:r w:rsidR="007E0A6E" w:rsidRPr="00BE264C">
        <w:rPr>
          <w:rFonts w:ascii="Times New Roman" w:hAnsi="Times New Roman" w:cs="Times New Roman"/>
          <w:b/>
          <w:bCs/>
          <w:sz w:val="24"/>
          <w:szCs w:val="24"/>
        </w:rPr>
        <w:t xml:space="preserve"> i</w:t>
      </w:r>
      <w:r w:rsidR="00B52218">
        <w:rPr>
          <w:rFonts w:ascii="Times New Roman" w:hAnsi="Times New Roman" w:cs="Times New Roman"/>
          <w:b/>
          <w:bCs/>
          <w:sz w:val="24"/>
          <w:szCs w:val="24"/>
        </w:rPr>
        <w:t xml:space="preserve"> </w:t>
      </w:r>
      <w:r w:rsidR="00E150B5" w:rsidRPr="00BE264C">
        <w:rPr>
          <w:rFonts w:ascii="Times New Roman" w:hAnsi="Times New Roman" w:cs="Times New Roman"/>
          <w:b/>
          <w:bCs/>
          <w:sz w:val="24"/>
          <w:szCs w:val="24"/>
        </w:rPr>
        <w:t>d</w:t>
      </w:r>
      <w:r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maj</w:t>
      </w:r>
      <w:r w:rsidR="0074085A" w:rsidRPr="00BE264C">
        <w:rPr>
          <w:rFonts w:ascii="Times New Roman" w:hAnsi="Times New Roman" w:cs="Times New Roman"/>
          <w:sz w:val="24"/>
          <w:szCs w:val="24"/>
        </w:rPr>
        <w:t>ą</w:t>
      </w:r>
      <w:r w:rsidRPr="00BE264C">
        <w:rPr>
          <w:rFonts w:ascii="Times New Roman" w:hAnsi="Times New Roman" w:cs="Times New Roman"/>
          <w:sz w:val="24"/>
          <w:szCs w:val="24"/>
        </w:rPr>
        <w:t xml:space="preserve"> charakter dostosowujący i </w:t>
      </w:r>
      <w:r w:rsidR="00923654" w:rsidRPr="00BE264C">
        <w:rPr>
          <w:rFonts w:ascii="Times New Roman" w:hAnsi="Times New Roman" w:cs="Times New Roman"/>
          <w:sz w:val="24"/>
          <w:szCs w:val="24"/>
        </w:rPr>
        <w:t xml:space="preserve">polegają </w:t>
      </w:r>
      <w:r w:rsidRPr="00BE264C">
        <w:rPr>
          <w:rFonts w:ascii="Times New Roman" w:hAnsi="Times New Roman" w:cs="Times New Roman"/>
          <w:sz w:val="24"/>
          <w:szCs w:val="24"/>
        </w:rPr>
        <w:t>na poszerzeniu listy decyzji nadzorczych podejmowanych przez KNF, mających moc ostatecznych decyzji administracyjnych i podlegających natychmiastowemu wykonaniu,</w:t>
      </w:r>
      <w:r w:rsidR="00E150B5" w:rsidRPr="00BE264C">
        <w:rPr>
          <w:rFonts w:ascii="Times New Roman" w:hAnsi="Times New Roman" w:cs="Times New Roman"/>
          <w:sz w:val="24"/>
          <w:szCs w:val="24"/>
        </w:rPr>
        <w:t xml:space="preserve"> o decyzję w przedmiocie uznania oddziału banku zagranicznego za istotny,</w:t>
      </w:r>
      <w:r w:rsidR="00E150B5" w:rsidRPr="00BE264C">
        <w:rPr>
          <w:rFonts w:ascii="Times New Roman" w:hAnsi="Times New Roman" w:cs="Times New Roman"/>
          <w:bCs/>
          <w:sz w:val="24"/>
          <w:szCs w:val="24"/>
        </w:rPr>
        <w:t xml:space="preserve"> o decyzję w przedmiocie zgłoszenia sprzeciwu, o których mowa w art. 25h ust. 1 i art. 112p ust. 1</w:t>
      </w:r>
      <w:r w:rsidR="00E150B5" w:rsidRPr="00BE264C">
        <w:rPr>
          <w:rFonts w:ascii="Times New Roman" w:hAnsi="Times New Roman" w:cs="Times New Roman"/>
          <w:sz w:val="24"/>
          <w:szCs w:val="24"/>
        </w:rPr>
        <w:t xml:space="preserve"> </w:t>
      </w:r>
      <w:r w:rsidR="00E150B5" w:rsidRPr="00BE264C">
        <w:rPr>
          <w:rFonts w:ascii="Times New Roman" w:hAnsi="Times New Roman" w:cs="Times New Roman"/>
          <w:bCs/>
          <w:sz w:val="24"/>
          <w:szCs w:val="24"/>
        </w:rPr>
        <w:t>ustawy – Prawo bankowe, o decyzję w przedmiocie połączenia albo podziału, o których mowa w art. 124e ust. 9</w:t>
      </w:r>
      <w:r w:rsidR="00E150B5" w:rsidRPr="00BE264C">
        <w:rPr>
          <w:rFonts w:ascii="Times New Roman" w:hAnsi="Times New Roman" w:cs="Times New Roman"/>
          <w:sz w:val="24"/>
          <w:szCs w:val="24"/>
        </w:rPr>
        <w:t xml:space="preserve"> </w:t>
      </w:r>
      <w:r w:rsidR="00E150B5" w:rsidRPr="00BE264C">
        <w:rPr>
          <w:rFonts w:ascii="Times New Roman" w:hAnsi="Times New Roman" w:cs="Times New Roman"/>
          <w:bCs/>
          <w:sz w:val="24"/>
          <w:szCs w:val="24"/>
        </w:rPr>
        <w:t xml:space="preserve">ustawy – Prawo bankowe, o decyzję w przedmiocie nakazania oddziałowi z państwa </w:t>
      </w:r>
      <w:r w:rsidR="00E150B5" w:rsidRPr="00BE264C">
        <w:rPr>
          <w:rFonts w:ascii="Times New Roman" w:hAnsi="Times New Roman" w:cs="Times New Roman"/>
          <w:bCs/>
          <w:sz w:val="24"/>
          <w:szCs w:val="24"/>
        </w:rPr>
        <w:lastRenderedPageBreak/>
        <w:t>trzeciego utrzymywania poziomu wyposażenia kapitałowego powyżej minimalnych wymogów oraz o decyzję w przedmiocie nakazania spełniania innych wymogów dotyczących płynności.</w:t>
      </w:r>
    </w:p>
    <w:p w14:paraId="48C155DF" w14:textId="0B6C2A87" w:rsidR="00292D13" w:rsidRPr="00BE264C" w:rsidRDefault="00845BFE"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sz w:val="24"/>
          <w:szCs w:val="24"/>
        </w:rPr>
        <w:t>Zmiana wprowadzona w</w:t>
      </w:r>
      <w:r w:rsidRPr="00BE264C">
        <w:rPr>
          <w:rFonts w:ascii="Times New Roman" w:hAnsi="Times New Roman" w:cs="Times New Roman"/>
          <w:b/>
          <w:bCs/>
          <w:sz w:val="24"/>
          <w:szCs w:val="24"/>
        </w:rPr>
        <w:t xml:space="preserve"> art. 1 pkt </w:t>
      </w:r>
      <w:r w:rsidR="00991D64" w:rsidRPr="00BE264C">
        <w:rPr>
          <w:rFonts w:ascii="Times New Roman" w:hAnsi="Times New Roman" w:cs="Times New Roman"/>
          <w:b/>
          <w:bCs/>
          <w:sz w:val="24"/>
          <w:szCs w:val="24"/>
        </w:rPr>
        <w:t>1</w:t>
      </w:r>
      <w:r w:rsidR="001558FD" w:rsidRPr="00BE264C">
        <w:rPr>
          <w:rFonts w:ascii="Times New Roman" w:hAnsi="Times New Roman" w:cs="Times New Roman"/>
          <w:b/>
          <w:bCs/>
          <w:sz w:val="24"/>
          <w:szCs w:val="24"/>
        </w:rPr>
        <w:t>1</w:t>
      </w:r>
      <w:r w:rsidRPr="00BE264C">
        <w:rPr>
          <w:rFonts w:ascii="Times New Roman" w:hAnsi="Times New Roman" w:cs="Times New Roman"/>
          <w:b/>
          <w:bCs/>
          <w:sz w:val="24"/>
          <w:szCs w:val="24"/>
        </w:rPr>
        <w:t xml:space="preserve"> </w:t>
      </w:r>
      <w:r w:rsidR="00A95FA8" w:rsidRPr="00BE264C">
        <w:rPr>
          <w:rFonts w:ascii="Times New Roman" w:hAnsi="Times New Roman" w:cs="Times New Roman"/>
          <w:sz w:val="24"/>
          <w:szCs w:val="24"/>
        </w:rPr>
        <w:t>nakłada na bank obowiązek przekazania</w:t>
      </w:r>
      <w:r w:rsidR="00A95FA8" w:rsidRPr="009858C9">
        <w:rPr>
          <w:rFonts w:ascii="Times New Roman" w:eastAsiaTheme="minorEastAsia" w:hAnsi="Times New Roman" w:cs="Times New Roman"/>
          <w:bCs/>
          <w:sz w:val="24"/>
          <w:szCs w:val="24"/>
          <w:lang w:eastAsia="pl-PL"/>
        </w:rPr>
        <w:t xml:space="preserve"> </w:t>
      </w:r>
      <w:r w:rsidR="00A95FA8" w:rsidRPr="00BE264C">
        <w:rPr>
          <w:rFonts w:ascii="Times New Roman" w:hAnsi="Times New Roman" w:cs="Times New Roman"/>
          <w:bCs/>
          <w:sz w:val="24"/>
          <w:szCs w:val="24"/>
        </w:rPr>
        <w:t>K</w:t>
      </w:r>
      <w:r w:rsidR="00432EC4" w:rsidRPr="00BE264C">
        <w:rPr>
          <w:rFonts w:ascii="Times New Roman" w:hAnsi="Times New Roman" w:cs="Times New Roman"/>
          <w:bCs/>
          <w:sz w:val="24"/>
          <w:szCs w:val="24"/>
        </w:rPr>
        <w:t>NF</w:t>
      </w:r>
      <w:r w:rsidR="00A95FA8" w:rsidRPr="009858C9">
        <w:rPr>
          <w:rFonts w:ascii="Times New Roman" w:hAnsi="Times New Roman" w:cs="Times New Roman"/>
          <w:sz w:val="24"/>
          <w:szCs w:val="24"/>
        </w:rPr>
        <w:t xml:space="preserve">, </w:t>
      </w:r>
      <w:r w:rsidR="00A95FA8" w:rsidRPr="00BE264C">
        <w:rPr>
          <w:rFonts w:ascii="Times New Roman" w:hAnsi="Times New Roman" w:cs="Times New Roman"/>
          <w:bCs/>
          <w:sz w:val="24"/>
          <w:szCs w:val="24"/>
        </w:rPr>
        <w:t xml:space="preserve">niezwłocznie po powołaniu rady nadzorczej </w:t>
      </w:r>
      <w:r w:rsidR="0039282F" w:rsidRPr="00BE264C">
        <w:rPr>
          <w:rFonts w:ascii="Times New Roman" w:hAnsi="Times New Roman" w:cs="Times New Roman"/>
          <w:bCs/>
          <w:sz w:val="24"/>
          <w:szCs w:val="24"/>
        </w:rPr>
        <w:t>lub</w:t>
      </w:r>
      <w:r w:rsidR="002F43AE" w:rsidRPr="00BE264C">
        <w:rPr>
          <w:rFonts w:ascii="Times New Roman" w:hAnsi="Times New Roman" w:cs="Times New Roman"/>
          <w:bCs/>
          <w:sz w:val="24"/>
          <w:szCs w:val="24"/>
        </w:rPr>
        <w:t xml:space="preserve"> </w:t>
      </w:r>
      <w:r w:rsidR="00A95FA8" w:rsidRPr="00BE264C">
        <w:rPr>
          <w:rFonts w:ascii="Times New Roman" w:hAnsi="Times New Roman" w:cs="Times New Roman"/>
          <w:bCs/>
          <w:sz w:val="24"/>
          <w:szCs w:val="24"/>
        </w:rPr>
        <w:t>dokonaniu zmiany jej składu, informacji o</w:t>
      </w:r>
      <w:r w:rsidR="000B7AD4" w:rsidRPr="00BE264C">
        <w:rPr>
          <w:rFonts w:ascii="Times New Roman" w:hAnsi="Times New Roman" w:cs="Times New Roman"/>
          <w:bCs/>
          <w:sz w:val="24"/>
          <w:szCs w:val="24"/>
        </w:rPr>
        <w:t> </w:t>
      </w:r>
      <w:r w:rsidR="00A95FA8" w:rsidRPr="00BE264C">
        <w:rPr>
          <w:rFonts w:ascii="Times New Roman" w:hAnsi="Times New Roman" w:cs="Times New Roman"/>
          <w:bCs/>
          <w:sz w:val="24"/>
          <w:szCs w:val="24"/>
        </w:rPr>
        <w:t xml:space="preserve">składzie rady nadzorczej i zmianie jej składu oraz informacji o spełnieniu przez członków rady nadzorczej oraz przez radę nadzorczą jako całość wymogów </w:t>
      </w:r>
      <w:r w:rsidR="00281EE8" w:rsidRPr="00BE264C">
        <w:rPr>
          <w:rFonts w:ascii="Times New Roman" w:hAnsi="Times New Roman" w:cs="Times New Roman"/>
          <w:bCs/>
          <w:sz w:val="24"/>
          <w:szCs w:val="24"/>
        </w:rPr>
        <w:t xml:space="preserve">odpowiedniości </w:t>
      </w:r>
      <w:r w:rsidR="00A95FA8" w:rsidRPr="00BE264C">
        <w:rPr>
          <w:rFonts w:ascii="Times New Roman" w:hAnsi="Times New Roman" w:cs="Times New Roman"/>
          <w:bCs/>
          <w:sz w:val="24"/>
          <w:szCs w:val="24"/>
        </w:rPr>
        <w:t xml:space="preserve">określonych w art. 22aa </w:t>
      </w:r>
      <w:r w:rsidR="001378AB" w:rsidRPr="00BE264C">
        <w:rPr>
          <w:rFonts w:ascii="Times New Roman" w:hAnsi="Times New Roman" w:cs="Times New Roman"/>
          <w:bCs/>
          <w:sz w:val="24"/>
          <w:szCs w:val="24"/>
        </w:rPr>
        <w:t>ustawy</w:t>
      </w:r>
      <w:r w:rsidR="00281EE8" w:rsidRPr="00BE264C">
        <w:rPr>
          <w:rFonts w:ascii="Times New Roman" w:hAnsi="Times New Roman" w:cs="Times New Roman"/>
          <w:bCs/>
          <w:sz w:val="24"/>
          <w:szCs w:val="24"/>
        </w:rPr>
        <w:t xml:space="preserve"> – Prawo bankowe</w:t>
      </w:r>
      <w:r w:rsidR="00A95FA8" w:rsidRPr="00BE264C">
        <w:rPr>
          <w:rFonts w:ascii="Times New Roman" w:hAnsi="Times New Roman" w:cs="Times New Roman"/>
          <w:bCs/>
          <w:sz w:val="24"/>
          <w:szCs w:val="24"/>
        </w:rPr>
        <w:t>.</w:t>
      </w:r>
    </w:p>
    <w:p w14:paraId="4BD97AB3" w14:textId="4FA82295" w:rsidR="00C00AB9" w:rsidRPr="00BE264C" w:rsidRDefault="00C00AB9"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sz w:val="24"/>
          <w:szCs w:val="24"/>
        </w:rPr>
        <w:t>Zmiana wprowadzona w</w:t>
      </w:r>
      <w:r w:rsidRPr="00BE264C">
        <w:rPr>
          <w:rFonts w:ascii="Times New Roman" w:hAnsi="Times New Roman" w:cs="Times New Roman"/>
          <w:b/>
          <w:bCs/>
          <w:sz w:val="24"/>
          <w:szCs w:val="24"/>
        </w:rPr>
        <w:t xml:space="preserve"> art. 1 pkt </w:t>
      </w:r>
      <w:r w:rsidR="00991D64" w:rsidRPr="00BE264C">
        <w:rPr>
          <w:rFonts w:ascii="Times New Roman" w:hAnsi="Times New Roman" w:cs="Times New Roman"/>
          <w:b/>
          <w:bCs/>
          <w:sz w:val="24"/>
          <w:szCs w:val="24"/>
        </w:rPr>
        <w:t>1</w:t>
      </w:r>
      <w:r w:rsidR="001558FD" w:rsidRPr="00BE264C">
        <w:rPr>
          <w:rFonts w:ascii="Times New Roman" w:hAnsi="Times New Roman" w:cs="Times New Roman"/>
          <w:b/>
          <w:bCs/>
          <w:sz w:val="24"/>
          <w:szCs w:val="24"/>
        </w:rPr>
        <w:t>2</w:t>
      </w:r>
      <w:r w:rsidRPr="00BE264C">
        <w:rPr>
          <w:rFonts w:ascii="Times New Roman" w:hAnsi="Times New Roman" w:cs="Times New Roman"/>
          <w:b/>
          <w:bCs/>
          <w:sz w:val="24"/>
          <w:szCs w:val="24"/>
        </w:rPr>
        <w:t xml:space="preserve"> </w:t>
      </w:r>
      <w:r w:rsidR="00DD3AE1" w:rsidRPr="00BE264C">
        <w:rPr>
          <w:rFonts w:ascii="Times New Roman" w:hAnsi="Times New Roman" w:cs="Times New Roman"/>
          <w:sz w:val="24"/>
          <w:szCs w:val="24"/>
        </w:rPr>
        <w:t xml:space="preserve">nakłada na </w:t>
      </w:r>
      <w:r w:rsidR="00991D64" w:rsidRPr="00BE264C">
        <w:rPr>
          <w:rFonts w:ascii="Times New Roman" w:hAnsi="Times New Roman" w:cs="Times New Roman"/>
          <w:sz w:val="24"/>
          <w:szCs w:val="24"/>
        </w:rPr>
        <w:t xml:space="preserve">bank </w:t>
      </w:r>
      <w:r w:rsidR="00DD3AE1" w:rsidRPr="00BE264C">
        <w:rPr>
          <w:rFonts w:ascii="Times New Roman" w:hAnsi="Times New Roman" w:cs="Times New Roman"/>
          <w:sz w:val="24"/>
          <w:szCs w:val="24"/>
        </w:rPr>
        <w:t>obowiązek przekazania</w:t>
      </w:r>
      <w:r w:rsidR="00432EC4" w:rsidRPr="00BE264C">
        <w:rPr>
          <w:rFonts w:ascii="Times New Roman" w:hAnsi="Times New Roman" w:cs="Times New Roman"/>
          <w:sz w:val="24"/>
          <w:szCs w:val="24"/>
        </w:rPr>
        <w:t xml:space="preserve"> </w:t>
      </w:r>
      <w:r w:rsidR="00432EC4" w:rsidRPr="00BE264C">
        <w:rPr>
          <w:rFonts w:ascii="Times New Roman" w:hAnsi="Times New Roman" w:cs="Times New Roman"/>
          <w:bCs/>
          <w:sz w:val="24"/>
          <w:szCs w:val="24"/>
        </w:rPr>
        <w:t>KNF</w:t>
      </w:r>
      <w:r w:rsidR="00DD3AE1" w:rsidRPr="00BE264C">
        <w:rPr>
          <w:rFonts w:ascii="Times New Roman" w:hAnsi="Times New Roman" w:cs="Times New Roman"/>
          <w:bCs/>
          <w:sz w:val="24"/>
          <w:szCs w:val="24"/>
        </w:rPr>
        <w:t>,</w:t>
      </w:r>
      <w:r w:rsidR="00DD3AE1" w:rsidRPr="00BE264C">
        <w:rPr>
          <w:rFonts w:ascii="Times New Roman" w:hAnsi="Times New Roman" w:cs="Times New Roman"/>
          <w:sz w:val="24"/>
          <w:szCs w:val="24"/>
        </w:rPr>
        <w:t xml:space="preserve"> </w:t>
      </w:r>
      <w:r w:rsidR="00DD3AE1" w:rsidRPr="00BE264C">
        <w:rPr>
          <w:rFonts w:ascii="Times New Roman" w:hAnsi="Times New Roman" w:cs="Times New Roman"/>
          <w:bCs/>
          <w:sz w:val="24"/>
          <w:szCs w:val="24"/>
        </w:rPr>
        <w:t xml:space="preserve">niezwłocznie po powołaniu zarządu </w:t>
      </w:r>
      <w:r w:rsidR="0039282F" w:rsidRPr="00BE264C">
        <w:rPr>
          <w:rFonts w:ascii="Times New Roman" w:hAnsi="Times New Roman" w:cs="Times New Roman"/>
          <w:bCs/>
          <w:sz w:val="24"/>
          <w:szCs w:val="24"/>
        </w:rPr>
        <w:t>lub</w:t>
      </w:r>
      <w:r w:rsidR="00DD3AE1" w:rsidRPr="00BE264C">
        <w:rPr>
          <w:rFonts w:ascii="Times New Roman" w:hAnsi="Times New Roman" w:cs="Times New Roman"/>
          <w:bCs/>
          <w:sz w:val="24"/>
          <w:szCs w:val="24"/>
        </w:rPr>
        <w:t xml:space="preserve"> po dokonaniu zmiany jego składu, informacji o</w:t>
      </w:r>
      <w:r w:rsidR="000B7AD4" w:rsidRPr="00BE264C">
        <w:rPr>
          <w:rFonts w:ascii="Times New Roman" w:hAnsi="Times New Roman" w:cs="Times New Roman"/>
          <w:bCs/>
          <w:sz w:val="24"/>
          <w:szCs w:val="24"/>
        </w:rPr>
        <w:t> </w:t>
      </w:r>
      <w:r w:rsidR="00DD3AE1" w:rsidRPr="00BE264C">
        <w:rPr>
          <w:rFonts w:ascii="Times New Roman" w:hAnsi="Times New Roman" w:cs="Times New Roman"/>
          <w:bCs/>
          <w:sz w:val="24"/>
          <w:szCs w:val="24"/>
        </w:rPr>
        <w:t xml:space="preserve">składzie zarządu i </w:t>
      </w:r>
      <w:r w:rsidR="001558FD" w:rsidRPr="00BE264C">
        <w:rPr>
          <w:rFonts w:ascii="Times New Roman" w:hAnsi="Times New Roman" w:cs="Times New Roman"/>
          <w:bCs/>
          <w:sz w:val="24"/>
          <w:szCs w:val="24"/>
        </w:rPr>
        <w:t xml:space="preserve">o </w:t>
      </w:r>
      <w:r w:rsidR="00DD3AE1" w:rsidRPr="00BE264C">
        <w:rPr>
          <w:rFonts w:ascii="Times New Roman" w:hAnsi="Times New Roman" w:cs="Times New Roman"/>
          <w:bCs/>
          <w:sz w:val="24"/>
          <w:szCs w:val="24"/>
        </w:rPr>
        <w:t>zmianie jego składu oraz informacji o spełnieniu przez członków zarządu oraz przez zarząd jako całość wymogów</w:t>
      </w:r>
      <w:r w:rsidR="00281EE8" w:rsidRPr="00BE264C">
        <w:rPr>
          <w:rFonts w:ascii="Times New Roman" w:hAnsi="Times New Roman" w:cs="Times New Roman"/>
          <w:bCs/>
          <w:sz w:val="24"/>
          <w:szCs w:val="24"/>
        </w:rPr>
        <w:t xml:space="preserve"> określonych</w:t>
      </w:r>
      <w:r w:rsidR="00DD3AE1" w:rsidRPr="00BE264C">
        <w:rPr>
          <w:rFonts w:ascii="Times New Roman" w:hAnsi="Times New Roman" w:cs="Times New Roman"/>
          <w:bCs/>
          <w:sz w:val="24"/>
          <w:szCs w:val="24"/>
        </w:rPr>
        <w:t xml:space="preserve"> w art. 22aa </w:t>
      </w:r>
      <w:r w:rsidR="001378AB" w:rsidRPr="00BE264C">
        <w:rPr>
          <w:rFonts w:ascii="Times New Roman" w:hAnsi="Times New Roman" w:cs="Times New Roman"/>
          <w:bCs/>
          <w:sz w:val="24"/>
          <w:szCs w:val="24"/>
        </w:rPr>
        <w:t>ustawy</w:t>
      </w:r>
      <w:r w:rsidR="00281EE8" w:rsidRPr="00BE264C">
        <w:rPr>
          <w:rFonts w:ascii="Times New Roman" w:hAnsi="Times New Roman" w:cs="Times New Roman"/>
          <w:bCs/>
          <w:sz w:val="24"/>
          <w:szCs w:val="24"/>
        </w:rPr>
        <w:t xml:space="preserve"> – Prawo bankowe</w:t>
      </w:r>
      <w:r w:rsidR="00DD3AE1" w:rsidRPr="00BE264C">
        <w:rPr>
          <w:rFonts w:ascii="Times New Roman" w:hAnsi="Times New Roman" w:cs="Times New Roman"/>
          <w:bCs/>
          <w:sz w:val="24"/>
          <w:szCs w:val="24"/>
        </w:rPr>
        <w:t>.</w:t>
      </w:r>
    </w:p>
    <w:p w14:paraId="6963AD7D" w14:textId="2FA38B91" w:rsidR="00CE6BC7" w:rsidRPr="00BE264C" w:rsidRDefault="00CE6BC7"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00256255" w:rsidRPr="00BE264C">
        <w:rPr>
          <w:rFonts w:ascii="Times New Roman" w:hAnsi="Times New Roman" w:cs="Times New Roman"/>
          <w:b/>
          <w:bCs/>
          <w:sz w:val="24"/>
          <w:szCs w:val="24"/>
        </w:rPr>
        <w:t xml:space="preserve">art. 1 pkt </w:t>
      </w:r>
      <w:r w:rsidR="00CC3833" w:rsidRPr="00BE264C">
        <w:rPr>
          <w:rFonts w:ascii="Times New Roman" w:hAnsi="Times New Roman" w:cs="Times New Roman"/>
          <w:b/>
          <w:bCs/>
          <w:sz w:val="24"/>
          <w:szCs w:val="24"/>
        </w:rPr>
        <w:t>1</w:t>
      </w:r>
      <w:r w:rsidRPr="00BE264C">
        <w:rPr>
          <w:rFonts w:ascii="Times New Roman" w:hAnsi="Times New Roman" w:cs="Times New Roman"/>
          <w:b/>
          <w:bCs/>
          <w:sz w:val="24"/>
          <w:szCs w:val="24"/>
        </w:rPr>
        <w:t>3</w:t>
      </w:r>
      <w:r w:rsidR="00256255" w:rsidRPr="00BE264C">
        <w:rPr>
          <w:rFonts w:ascii="Times New Roman" w:hAnsi="Times New Roman" w:cs="Times New Roman"/>
          <w:b/>
          <w:bCs/>
          <w:sz w:val="24"/>
          <w:szCs w:val="24"/>
        </w:rPr>
        <w:t xml:space="preserve"> lit. a</w:t>
      </w:r>
      <w:r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 xml:space="preserve">wymogi </w:t>
      </w:r>
      <w:r w:rsidR="007E0A6E" w:rsidRPr="00BE264C">
        <w:rPr>
          <w:rFonts w:ascii="Times New Roman" w:hAnsi="Times New Roman" w:cs="Times New Roman"/>
          <w:sz w:val="24"/>
          <w:szCs w:val="24"/>
        </w:rPr>
        <w:t xml:space="preserve">jakie powinni spełniać </w:t>
      </w:r>
      <w:r w:rsidRPr="00BE264C">
        <w:rPr>
          <w:rFonts w:ascii="Times New Roman" w:hAnsi="Times New Roman" w:cs="Times New Roman"/>
          <w:sz w:val="24"/>
          <w:szCs w:val="24"/>
        </w:rPr>
        <w:t>członk</w:t>
      </w:r>
      <w:r w:rsidR="007E0A6E" w:rsidRPr="00BE264C">
        <w:rPr>
          <w:rFonts w:ascii="Times New Roman" w:hAnsi="Times New Roman" w:cs="Times New Roman"/>
          <w:sz w:val="24"/>
          <w:szCs w:val="24"/>
        </w:rPr>
        <w:t>owie</w:t>
      </w:r>
      <w:r w:rsidRPr="00BE264C">
        <w:rPr>
          <w:rFonts w:ascii="Times New Roman" w:hAnsi="Times New Roman" w:cs="Times New Roman"/>
          <w:sz w:val="24"/>
          <w:szCs w:val="24"/>
        </w:rPr>
        <w:t xml:space="preserve"> zarządu i rady nadzorczej banku, finansowej spółki holdingowej i finansowej spółki holdingowej o</w:t>
      </w:r>
      <w:r w:rsidR="00001FC3" w:rsidRPr="00BE264C">
        <w:rPr>
          <w:rFonts w:ascii="Times New Roman" w:hAnsi="Times New Roman" w:cs="Times New Roman"/>
          <w:sz w:val="24"/>
          <w:szCs w:val="24"/>
        </w:rPr>
        <w:t> </w:t>
      </w:r>
      <w:r w:rsidRPr="00BE264C">
        <w:rPr>
          <w:rFonts w:ascii="Times New Roman" w:hAnsi="Times New Roman" w:cs="Times New Roman"/>
          <w:sz w:val="24"/>
          <w:szCs w:val="24"/>
        </w:rPr>
        <w:t>działalności mieszanej, których działalność została zatwierdzona zgodnie z art. 48q ust. 3</w:t>
      </w:r>
      <w:r w:rsidR="007E0A6E" w:rsidRPr="00BE264C">
        <w:rPr>
          <w:rFonts w:ascii="Times New Roman" w:hAnsi="Times New Roman" w:cs="Times New Roman"/>
          <w:sz w:val="24"/>
          <w:szCs w:val="24"/>
        </w:rPr>
        <w:t>,</w:t>
      </w:r>
      <w:r w:rsidRPr="00BE264C">
        <w:rPr>
          <w:rFonts w:ascii="Times New Roman" w:hAnsi="Times New Roman" w:cs="Times New Roman"/>
          <w:sz w:val="24"/>
          <w:szCs w:val="24"/>
        </w:rPr>
        <w:t xml:space="preserve"> zostały </w:t>
      </w:r>
      <w:r w:rsidR="00001FC3" w:rsidRPr="00BE264C">
        <w:rPr>
          <w:rFonts w:ascii="Times New Roman" w:hAnsi="Times New Roman" w:cs="Times New Roman"/>
          <w:sz w:val="24"/>
          <w:szCs w:val="24"/>
        </w:rPr>
        <w:t xml:space="preserve">uporządkowane i </w:t>
      </w:r>
      <w:r w:rsidRPr="00BE264C">
        <w:rPr>
          <w:rFonts w:ascii="Times New Roman" w:hAnsi="Times New Roman" w:cs="Times New Roman"/>
          <w:sz w:val="24"/>
          <w:szCs w:val="24"/>
        </w:rPr>
        <w:t>u</w:t>
      </w:r>
      <w:r w:rsidR="00001FC3" w:rsidRPr="00BE264C">
        <w:rPr>
          <w:rFonts w:ascii="Times New Roman" w:hAnsi="Times New Roman" w:cs="Times New Roman"/>
          <w:sz w:val="24"/>
          <w:szCs w:val="24"/>
        </w:rPr>
        <w:t>zupełnione</w:t>
      </w:r>
      <w:r w:rsidR="005479E0" w:rsidRPr="00BE264C">
        <w:rPr>
          <w:rFonts w:ascii="Times New Roman" w:hAnsi="Times New Roman" w:cs="Times New Roman"/>
          <w:sz w:val="24"/>
          <w:szCs w:val="24"/>
        </w:rPr>
        <w:t xml:space="preserve"> o obowiązek rozumienia przez członków zarządu i rady nadzorczej</w:t>
      </w:r>
      <w:r w:rsidR="00FC348E" w:rsidRPr="00BE264C">
        <w:rPr>
          <w:rFonts w:ascii="Times New Roman" w:hAnsi="Times New Roman" w:cs="Times New Roman"/>
          <w:sz w:val="24"/>
          <w:szCs w:val="24"/>
        </w:rPr>
        <w:t xml:space="preserve"> </w:t>
      </w:r>
      <w:r w:rsidR="005479E0" w:rsidRPr="00BE264C">
        <w:rPr>
          <w:rFonts w:ascii="Times New Roman" w:hAnsi="Times New Roman" w:cs="Times New Roman"/>
          <w:sz w:val="24"/>
          <w:szCs w:val="24"/>
        </w:rPr>
        <w:t xml:space="preserve">skutków działalności </w:t>
      </w:r>
      <w:r w:rsidR="00FC348E" w:rsidRPr="00BE264C">
        <w:rPr>
          <w:rFonts w:ascii="Times New Roman" w:hAnsi="Times New Roman" w:cs="Times New Roman"/>
          <w:sz w:val="24"/>
          <w:szCs w:val="24"/>
        </w:rPr>
        <w:t xml:space="preserve">tych podmiotów </w:t>
      </w:r>
      <w:r w:rsidR="005479E0" w:rsidRPr="00BE264C">
        <w:rPr>
          <w:rFonts w:ascii="Times New Roman" w:hAnsi="Times New Roman" w:cs="Times New Roman"/>
          <w:sz w:val="24"/>
          <w:szCs w:val="24"/>
        </w:rPr>
        <w:t>w perspektywie krótko-, średnio- i długoterminowej, z uwzględnieniem ryzyka ESG</w:t>
      </w:r>
      <w:r w:rsidR="00FC348E" w:rsidRPr="00BE264C">
        <w:rPr>
          <w:rFonts w:ascii="Times New Roman" w:hAnsi="Times New Roman" w:cs="Times New Roman"/>
          <w:sz w:val="24"/>
          <w:szCs w:val="24"/>
        </w:rPr>
        <w:t>, oraz obowiązek poświęcania wystarczającej ilości czasu odpowiednio do pełnionych przez nich funkcji i powierzonych im obowiązków.</w:t>
      </w:r>
    </w:p>
    <w:p w14:paraId="4C746BB9" w14:textId="70892D0C" w:rsidR="00DA5DF1" w:rsidRPr="00BE264C" w:rsidRDefault="00CE6BC7"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zawarta w </w:t>
      </w:r>
      <w:r w:rsidRPr="00BE264C">
        <w:rPr>
          <w:rFonts w:ascii="Times New Roman" w:hAnsi="Times New Roman" w:cs="Times New Roman"/>
          <w:b/>
          <w:bCs/>
          <w:sz w:val="24"/>
          <w:szCs w:val="24"/>
        </w:rPr>
        <w:t xml:space="preserve">art. 1 pkt 13 lit. b </w:t>
      </w:r>
      <w:r w:rsidR="00DA5DF1" w:rsidRPr="00BE264C">
        <w:rPr>
          <w:rFonts w:ascii="Times New Roman" w:hAnsi="Times New Roman" w:cs="Times New Roman"/>
          <w:sz w:val="24"/>
          <w:szCs w:val="24"/>
        </w:rPr>
        <w:t>dotyczy wyłączenia administratora podmiotów w restrukturyzacji, o którym mowa w ustawie z dnia 10 czerwca 2016 r. o Bankowym Funduszu Gwarancyjnym, systemie gwarantowania depozytów oraz przymusowej restrukturyzacji z obowiązku spełniania wymogów odpowiedniości, o których mowa w art. 22aa ust. 1.</w:t>
      </w:r>
    </w:p>
    <w:p w14:paraId="667BD110" w14:textId="1380A384" w:rsidR="004D6B6B" w:rsidRPr="00BE264C" w:rsidRDefault="004D6B6B"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Zmiany wprowadzone w</w:t>
      </w:r>
      <w:r w:rsidRPr="00BE264C">
        <w:rPr>
          <w:rFonts w:ascii="Times New Roman" w:hAnsi="Times New Roman" w:cs="Times New Roman"/>
          <w:b/>
          <w:bCs/>
          <w:sz w:val="24"/>
          <w:szCs w:val="24"/>
        </w:rPr>
        <w:t xml:space="preserve"> art. 1 pkt </w:t>
      </w:r>
      <w:r w:rsidR="00CC3833" w:rsidRPr="00BE264C">
        <w:rPr>
          <w:rFonts w:ascii="Times New Roman" w:hAnsi="Times New Roman" w:cs="Times New Roman"/>
          <w:b/>
          <w:bCs/>
          <w:sz w:val="24"/>
          <w:szCs w:val="24"/>
        </w:rPr>
        <w:t>1</w:t>
      </w:r>
      <w:r w:rsidR="008B7425" w:rsidRPr="00BE264C">
        <w:rPr>
          <w:rFonts w:ascii="Times New Roman" w:hAnsi="Times New Roman" w:cs="Times New Roman"/>
          <w:b/>
          <w:bCs/>
          <w:sz w:val="24"/>
          <w:szCs w:val="24"/>
        </w:rPr>
        <w:t>3</w:t>
      </w:r>
      <w:r w:rsidRPr="00BE264C">
        <w:rPr>
          <w:rFonts w:ascii="Times New Roman" w:hAnsi="Times New Roman" w:cs="Times New Roman"/>
          <w:b/>
          <w:bCs/>
          <w:sz w:val="24"/>
          <w:szCs w:val="24"/>
        </w:rPr>
        <w:t xml:space="preserve"> lit. </w:t>
      </w:r>
      <w:r w:rsidR="004C048C" w:rsidRPr="00BE264C">
        <w:rPr>
          <w:rFonts w:ascii="Times New Roman" w:hAnsi="Times New Roman" w:cs="Times New Roman"/>
          <w:b/>
          <w:bCs/>
          <w:sz w:val="24"/>
          <w:szCs w:val="24"/>
        </w:rPr>
        <w:t>c</w:t>
      </w:r>
      <w:r w:rsidRPr="00BE264C">
        <w:rPr>
          <w:rFonts w:ascii="Times New Roman" w:hAnsi="Times New Roman" w:cs="Times New Roman"/>
          <w:b/>
          <w:bCs/>
          <w:sz w:val="24"/>
          <w:szCs w:val="24"/>
        </w:rPr>
        <w:t xml:space="preserve"> i </w:t>
      </w:r>
      <w:r w:rsidR="004C048C" w:rsidRPr="00BE264C">
        <w:rPr>
          <w:rFonts w:ascii="Times New Roman" w:hAnsi="Times New Roman" w:cs="Times New Roman"/>
          <w:b/>
          <w:bCs/>
          <w:sz w:val="24"/>
          <w:szCs w:val="24"/>
        </w:rPr>
        <w:t>d</w:t>
      </w:r>
      <w:r w:rsidR="000B7AD4" w:rsidRPr="00BE264C">
        <w:rPr>
          <w:rFonts w:ascii="Times New Roman" w:hAnsi="Times New Roman" w:cs="Times New Roman"/>
          <w:sz w:val="24"/>
          <w:szCs w:val="24"/>
        </w:rPr>
        <w:t> </w:t>
      </w:r>
      <w:r w:rsidR="00F2109B" w:rsidRPr="00BE264C">
        <w:rPr>
          <w:rFonts w:ascii="Times New Roman" w:hAnsi="Times New Roman" w:cs="Times New Roman"/>
          <w:sz w:val="24"/>
          <w:szCs w:val="24"/>
        </w:rPr>
        <w:t>maj</w:t>
      </w:r>
      <w:r w:rsidR="006D6324" w:rsidRPr="00BE264C">
        <w:rPr>
          <w:rFonts w:ascii="Times New Roman" w:hAnsi="Times New Roman" w:cs="Times New Roman"/>
          <w:sz w:val="24"/>
          <w:szCs w:val="24"/>
        </w:rPr>
        <w:t>ą</w:t>
      </w:r>
      <w:r w:rsidR="00F2109B" w:rsidRPr="00BE264C">
        <w:rPr>
          <w:rFonts w:ascii="Times New Roman" w:hAnsi="Times New Roman" w:cs="Times New Roman"/>
          <w:sz w:val="24"/>
          <w:szCs w:val="24"/>
        </w:rPr>
        <w:t xml:space="preserve"> na celu </w:t>
      </w:r>
      <w:r w:rsidRPr="00BE264C">
        <w:rPr>
          <w:rFonts w:ascii="Times New Roman" w:hAnsi="Times New Roman" w:cs="Times New Roman"/>
          <w:sz w:val="24"/>
          <w:szCs w:val="24"/>
        </w:rPr>
        <w:t>doprecyzowani</w:t>
      </w:r>
      <w:r w:rsidR="00F2109B" w:rsidRPr="00BE264C">
        <w:rPr>
          <w:rFonts w:ascii="Times New Roman" w:hAnsi="Times New Roman" w:cs="Times New Roman"/>
          <w:sz w:val="24"/>
          <w:szCs w:val="24"/>
        </w:rPr>
        <w:t>e</w:t>
      </w:r>
      <w:r w:rsidRPr="00BE264C">
        <w:rPr>
          <w:rFonts w:ascii="Times New Roman" w:hAnsi="Times New Roman" w:cs="Times New Roman"/>
          <w:sz w:val="24"/>
          <w:szCs w:val="24"/>
        </w:rPr>
        <w:t xml:space="preserve"> zakresu podmiotowego art. 22aa</w:t>
      </w:r>
      <w:r w:rsidR="00F2109B" w:rsidRPr="00BE264C">
        <w:rPr>
          <w:rFonts w:ascii="Times New Roman" w:hAnsi="Times New Roman" w:cs="Times New Roman"/>
          <w:sz w:val="24"/>
          <w:szCs w:val="24"/>
        </w:rPr>
        <w:t xml:space="preserve"> ust. 2 i 3</w:t>
      </w:r>
      <w:r w:rsidRPr="00BE264C">
        <w:rPr>
          <w:rFonts w:ascii="Times New Roman" w:hAnsi="Times New Roman" w:cs="Times New Roman"/>
          <w:sz w:val="24"/>
          <w:szCs w:val="24"/>
        </w:rPr>
        <w:t xml:space="preserve"> ustawy</w:t>
      </w:r>
      <w:r w:rsidR="00E16C37" w:rsidRPr="00BE264C">
        <w:rPr>
          <w:rFonts w:ascii="Times New Roman" w:hAnsi="Times New Roman" w:cs="Times New Roman"/>
          <w:sz w:val="24"/>
          <w:szCs w:val="24"/>
        </w:rPr>
        <w:t xml:space="preserve"> – Prawo bankowe</w:t>
      </w:r>
      <w:r w:rsidR="00F2109B" w:rsidRPr="00BE264C">
        <w:rPr>
          <w:rFonts w:ascii="Times New Roman" w:hAnsi="Times New Roman" w:cs="Times New Roman"/>
          <w:sz w:val="24"/>
          <w:szCs w:val="24"/>
        </w:rPr>
        <w:t>.</w:t>
      </w:r>
    </w:p>
    <w:p w14:paraId="4EABA655" w14:textId="22BD5CAC" w:rsidR="007015D1" w:rsidRPr="00BE264C" w:rsidRDefault="007015D1"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hAnsi="Times New Roman" w:cs="Times New Roman"/>
          <w:sz w:val="24"/>
          <w:szCs w:val="24"/>
        </w:rPr>
        <w:t xml:space="preserve">Zgodnie z </w:t>
      </w:r>
      <w:r w:rsidRPr="00BE264C">
        <w:rPr>
          <w:rFonts w:ascii="Times New Roman" w:hAnsi="Times New Roman" w:cs="Times New Roman"/>
          <w:b/>
          <w:bCs/>
          <w:sz w:val="24"/>
          <w:szCs w:val="24"/>
        </w:rPr>
        <w:t xml:space="preserve">art. 1 pkt </w:t>
      </w:r>
      <w:r w:rsidR="00CC3833" w:rsidRPr="00BE264C">
        <w:rPr>
          <w:rFonts w:ascii="Times New Roman" w:hAnsi="Times New Roman" w:cs="Times New Roman"/>
          <w:b/>
          <w:bCs/>
          <w:sz w:val="24"/>
          <w:szCs w:val="24"/>
        </w:rPr>
        <w:t>1</w:t>
      </w:r>
      <w:r w:rsidR="008B7425" w:rsidRPr="00BE264C">
        <w:rPr>
          <w:rFonts w:ascii="Times New Roman" w:hAnsi="Times New Roman" w:cs="Times New Roman"/>
          <w:b/>
          <w:bCs/>
          <w:sz w:val="24"/>
          <w:szCs w:val="24"/>
        </w:rPr>
        <w:t>3</w:t>
      </w:r>
      <w:r w:rsidRPr="00BE264C">
        <w:rPr>
          <w:rFonts w:ascii="Times New Roman" w:hAnsi="Times New Roman" w:cs="Times New Roman"/>
          <w:b/>
          <w:bCs/>
          <w:sz w:val="24"/>
          <w:szCs w:val="24"/>
        </w:rPr>
        <w:t xml:space="preserve"> lit. </w:t>
      </w:r>
      <w:r w:rsidR="004C048C" w:rsidRPr="00BE264C">
        <w:rPr>
          <w:rFonts w:ascii="Times New Roman" w:hAnsi="Times New Roman" w:cs="Times New Roman"/>
          <w:b/>
          <w:bCs/>
          <w:sz w:val="24"/>
          <w:szCs w:val="24"/>
        </w:rPr>
        <w:t>e</w:t>
      </w:r>
      <w:r w:rsidRPr="00BE264C">
        <w:rPr>
          <w:rFonts w:ascii="Times New Roman" w:hAnsi="Times New Roman" w:cs="Times New Roman"/>
          <w:sz w:val="24"/>
          <w:szCs w:val="24"/>
        </w:rPr>
        <w:t xml:space="preserve"> projektu, za jedn</w:t>
      </w:r>
      <w:r w:rsidR="00372278" w:rsidRPr="00BE264C">
        <w:rPr>
          <w:rFonts w:ascii="Times New Roman" w:hAnsi="Times New Roman" w:cs="Times New Roman"/>
          <w:sz w:val="24"/>
          <w:szCs w:val="24"/>
        </w:rPr>
        <w:t>ą</w:t>
      </w:r>
      <w:r w:rsidRPr="00BE264C">
        <w:rPr>
          <w:rFonts w:ascii="Times New Roman" w:hAnsi="Times New Roman" w:cs="Times New Roman"/>
          <w:sz w:val="24"/>
          <w:szCs w:val="24"/>
        </w:rPr>
        <w:t xml:space="preserve"> funkcję, o której mowa </w:t>
      </w:r>
      <w:r w:rsidR="00372278" w:rsidRPr="00BE264C">
        <w:rPr>
          <w:rFonts w:ascii="Times New Roman" w:hAnsi="Times New Roman" w:cs="Times New Roman"/>
          <w:sz w:val="24"/>
          <w:szCs w:val="24"/>
        </w:rPr>
        <w:t>w art. 22aa ust. 3 ustawy</w:t>
      </w:r>
      <w:r w:rsidR="00E16C37" w:rsidRPr="00BE264C">
        <w:rPr>
          <w:rFonts w:ascii="Times New Roman" w:hAnsi="Times New Roman" w:cs="Times New Roman"/>
          <w:sz w:val="24"/>
          <w:szCs w:val="24"/>
        </w:rPr>
        <w:t xml:space="preserve"> – Prawo bankowe</w:t>
      </w:r>
      <w:r w:rsidR="00372278" w:rsidRPr="00BE264C">
        <w:rPr>
          <w:rFonts w:ascii="Times New Roman" w:hAnsi="Times New Roman" w:cs="Times New Roman"/>
          <w:sz w:val="24"/>
          <w:szCs w:val="24"/>
        </w:rPr>
        <w:t xml:space="preserve"> uznaje się </w:t>
      </w:r>
      <w:r w:rsidRPr="00BE264C">
        <w:rPr>
          <w:rFonts w:ascii="Times New Roman" w:eastAsia="Times New Roman" w:hAnsi="Times New Roman" w:cs="Times New Roman"/>
          <w:sz w:val="24"/>
          <w:szCs w:val="24"/>
          <w:lang w:eastAsia="pl-PL"/>
        </w:rPr>
        <w:t>funkcje członka zarządu lub rady nadzorczej pełnione w</w:t>
      </w:r>
      <w:r w:rsidR="000B7AD4" w:rsidRPr="00BE264C">
        <w:rPr>
          <w:rFonts w:ascii="Times New Roman" w:eastAsia="Times New Roman" w:hAnsi="Times New Roman" w:cs="Times New Roman"/>
          <w:sz w:val="24"/>
          <w:szCs w:val="24"/>
          <w:lang w:eastAsia="pl-PL"/>
        </w:rPr>
        <w:t> </w:t>
      </w:r>
      <w:r w:rsidRPr="00BE264C">
        <w:rPr>
          <w:rFonts w:ascii="Times New Roman" w:eastAsia="Times New Roman" w:hAnsi="Times New Roman" w:cs="Times New Roman"/>
          <w:sz w:val="24"/>
          <w:szCs w:val="24"/>
          <w:lang w:eastAsia="pl-PL"/>
        </w:rPr>
        <w:t xml:space="preserve">podmiotach należących do tej samej grupy będącej grupą przedsiębiorstw, które są ze sobą powiązane w sposób, o którym mowa w </w:t>
      </w:r>
      <w:r w:rsidR="00B52218">
        <w:rPr>
          <w:rFonts w:ascii="Times New Roman" w:eastAsia="Times New Roman" w:hAnsi="Times New Roman" w:cs="Times New Roman"/>
          <w:sz w:val="24"/>
          <w:szCs w:val="24"/>
          <w:lang w:eastAsia="pl-PL"/>
        </w:rPr>
        <w:t xml:space="preserve">art. </w:t>
      </w:r>
      <w:r w:rsidR="00DA5DF1" w:rsidRPr="00BE264C">
        <w:rPr>
          <w:rFonts w:ascii="Times New Roman" w:eastAsia="Times New Roman" w:hAnsi="Times New Roman" w:cs="Times New Roman"/>
          <w:sz w:val="24"/>
          <w:szCs w:val="24"/>
          <w:lang w:eastAsia="pl-PL"/>
        </w:rPr>
        <w:t xml:space="preserve">3 ust. 1 pkt 37 ustawy o rachunkowości, </w:t>
      </w:r>
      <w:r w:rsidRPr="00BE264C">
        <w:rPr>
          <w:rFonts w:ascii="Times New Roman" w:eastAsia="Times New Roman" w:hAnsi="Times New Roman" w:cs="Times New Roman"/>
          <w:sz w:val="24"/>
          <w:szCs w:val="24"/>
          <w:lang w:eastAsia="pl-PL"/>
        </w:rPr>
        <w:t>lub grupą przedsiębiorstw</w:t>
      </w:r>
      <w:r w:rsidR="00372278" w:rsidRPr="00BE264C">
        <w:rPr>
          <w:rFonts w:ascii="Times New Roman" w:eastAsia="Times New Roman" w:hAnsi="Times New Roman" w:cs="Times New Roman"/>
          <w:sz w:val="24"/>
          <w:szCs w:val="24"/>
          <w:lang w:eastAsia="pl-PL"/>
        </w:rPr>
        <w:t xml:space="preserve"> </w:t>
      </w:r>
      <w:r w:rsidRPr="00BE264C">
        <w:rPr>
          <w:rFonts w:ascii="Times New Roman" w:eastAsia="Times New Roman" w:hAnsi="Times New Roman" w:cs="Times New Roman"/>
          <w:sz w:val="24"/>
          <w:szCs w:val="24"/>
          <w:lang w:eastAsia="pl-PL"/>
        </w:rPr>
        <w:t>będących podmiotami zależnymi tej samej finansowej spółki holdingowej lub finansowej spółki holdingowej o działalności mieszanej</w:t>
      </w:r>
      <w:r w:rsidR="00372278" w:rsidRPr="00BE264C">
        <w:rPr>
          <w:rFonts w:ascii="Times New Roman" w:eastAsia="Times New Roman" w:hAnsi="Times New Roman" w:cs="Times New Roman"/>
          <w:sz w:val="24"/>
          <w:szCs w:val="24"/>
          <w:lang w:eastAsia="pl-PL"/>
        </w:rPr>
        <w:t>.</w:t>
      </w:r>
    </w:p>
    <w:p w14:paraId="26F43502" w14:textId="64E6E2E6" w:rsidR="0039282F" w:rsidRPr="00BE264C" w:rsidRDefault="002E1B60"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sz w:val="24"/>
          <w:szCs w:val="24"/>
          <w:lang w:eastAsia="pl-PL"/>
        </w:rPr>
        <w:t>Zmian</w:t>
      </w:r>
      <w:r w:rsidR="0039282F" w:rsidRPr="00BE264C">
        <w:rPr>
          <w:rFonts w:ascii="Times New Roman" w:eastAsia="Times New Roman" w:hAnsi="Times New Roman" w:cs="Times New Roman"/>
          <w:sz w:val="24"/>
          <w:szCs w:val="24"/>
          <w:lang w:eastAsia="pl-PL"/>
        </w:rPr>
        <w:t>a</w:t>
      </w:r>
      <w:r w:rsidRPr="00BE264C">
        <w:rPr>
          <w:rFonts w:ascii="Times New Roman" w:eastAsia="Times New Roman" w:hAnsi="Times New Roman" w:cs="Times New Roman"/>
          <w:sz w:val="24"/>
          <w:szCs w:val="24"/>
          <w:lang w:eastAsia="pl-PL"/>
        </w:rPr>
        <w:t xml:space="preserve"> wprowadzon</w:t>
      </w:r>
      <w:r w:rsidR="0039282F" w:rsidRPr="00BE264C">
        <w:rPr>
          <w:rFonts w:ascii="Times New Roman" w:eastAsia="Times New Roman" w:hAnsi="Times New Roman" w:cs="Times New Roman"/>
          <w:sz w:val="24"/>
          <w:szCs w:val="24"/>
          <w:lang w:eastAsia="pl-PL"/>
        </w:rPr>
        <w:t>a</w:t>
      </w:r>
      <w:r w:rsidRPr="00BE264C">
        <w:rPr>
          <w:rFonts w:ascii="Times New Roman" w:eastAsia="Times New Roman" w:hAnsi="Times New Roman" w:cs="Times New Roman"/>
          <w:sz w:val="24"/>
          <w:szCs w:val="24"/>
          <w:lang w:eastAsia="pl-PL"/>
        </w:rPr>
        <w:t xml:space="preserve"> w</w:t>
      </w:r>
      <w:r w:rsidRPr="00BE264C">
        <w:rPr>
          <w:rFonts w:ascii="Times New Roman" w:eastAsia="Times New Roman" w:hAnsi="Times New Roman" w:cs="Times New Roman"/>
          <w:b/>
          <w:bCs/>
          <w:sz w:val="24"/>
          <w:szCs w:val="24"/>
          <w:lang w:eastAsia="pl-PL"/>
        </w:rPr>
        <w:t xml:space="preserve"> art. 1 pkt </w:t>
      </w:r>
      <w:r w:rsidR="00CC3833" w:rsidRPr="00BE264C">
        <w:rPr>
          <w:rFonts w:ascii="Times New Roman" w:eastAsia="Times New Roman" w:hAnsi="Times New Roman" w:cs="Times New Roman"/>
          <w:b/>
          <w:bCs/>
          <w:sz w:val="24"/>
          <w:szCs w:val="24"/>
          <w:lang w:eastAsia="pl-PL"/>
        </w:rPr>
        <w:t>1</w:t>
      </w:r>
      <w:r w:rsidR="008B7425" w:rsidRPr="00BE264C">
        <w:rPr>
          <w:rFonts w:ascii="Times New Roman" w:eastAsia="Times New Roman" w:hAnsi="Times New Roman" w:cs="Times New Roman"/>
          <w:b/>
          <w:bCs/>
          <w:sz w:val="24"/>
          <w:szCs w:val="24"/>
          <w:lang w:eastAsia="pl-PL"/>
        </w:rPr>
        <w:t>3</w:t>
      </w:r>
      <w:r w:rsidRPr="00BE264C">
        <w:rPr>
          <w:rFonts w:ascii="Times New Roman" w:eastAsia="Times New Roman" w:hAnsi="Times New Roman" w:cs="Times New Roman"/>
          <w:b/>
          <w:bCs/>
          <w:sz w:val="24"/>
          <w:szCs w:val="24"/>
          <w:lang w:eastAsia="pl-PL"/>
        </w:rPr>
        <w:t xml:space="preserve"> lit. </w:t>
      </w:r>
      <w:r w:rsidR="004C048C" w:rsidRPr="00BE264C">
        <w:rPr>
          <w:rFonts w:ascii="Times New Roman" w:eastAsia="Times New Roman" w:hAnsi="Times New Roman" w:cs="Times New Roman"/>
          <w:b/>
          <w:bCs/>
          <w:sz w:val="24"/>
          <w:szCs w:val="24"/>
          <w:lang w:eastAsia="pl-PL"/>
        </w:rPr>
        <w:t>f</w:t>
      </w:r>
      <w:r w:rsidRPr="00BE264C">
        <w:rPr>
          <w:rFonts w:ascii="Times New Roman" w:eastAsia="Times New Roman" w:hAnsi="Times New Roman" w:cs="Times New Roman"/>
          <w:b/>
          <w:bCs/>
          <w:sz w:val="24"/>
          <w:szCs w:val="24"/>
          <w:lang w:eastAsia="pl-PL"/>
        </w:rPr>
        <w:t xml:space="preserve"> </w:t>
      </w:r>
      <w:r w:rsidR="00FB4E5A" w:rsidRPr="00BE264C">
        <w:rPr>
          <w:rFonts w:ascii="Times New Roman" w:eastAsia="Times New Roman" w:hAnsi="Times New Roman" w:cs="Times New Roman"/>
          <w:sz w:val="24"/>
          <w:szCs w:val="24"/>
          <w:lang w:eastAsia="pl-PL"/>
        </w:rPr>
        <w:t>m</w:t>
      </w:r>
      <w:r w:rsidR="00FB4E5A" w:rsidRPr="00856203">
        <w:rPr>
          <w:rFonts w:ascii="Times New Roman" w:eastAsia="Times New Roman" w:hAnsi="Times New Roman" w:cs="Times New Roman"/>
          <w:sz w:val="24"/>
          <w:szCs w:val="24"/>
          <w:lang w:eastAsia="pl-PL"/>
        </w:rPr>
        <w:t xml:space="preserve">a na celu doprecyzowanie zakresu podmiotowego art. 22aa ust. </w:t>
      </w:r>
      <w:r w:rsidR="00923654" w:rsidRPr="00856203">
        <w:rPr>
          <w:rFonts w:ascii="Times New Roman" w:eastAsia="Times New Roman" w:hAnsi="Times New Roman" w:cs="Times New Roman"/>
          <w:sz w:val="24"/>
          <w:szCs w:val="24"/>
          <w:lang w:eastAsia="pl-PL"/>
        </w:rPr>
        <w:t xml:space="preserve">5 </w:t>
      </w:r>
      <w:r w:rsidR="00FB4E5A" w:rsidRPr="00856203">
        <w:rPr>
          <w:rFonts w:ascii="Times New Roman" w:eastAsia="Times New Roman" w:hAnsi="Times New Roman" w:cs="Times New Roman"/>
          <w:sz w:val="24"/>
          <w:szCs w:val="24"/>
          <w:lang w:eastAsia="pl-PL"/>
        </w:rPr>
        <w:t>ustawy – Prawo bankowe.</w:t>
      </w:r>
    </w:p>
    <w:p w14:paraId="3D891382" w14:textId="59920FFB" w:rsidR="00372278" w:rsidRPr="00BE264C" w:rsidRDefault="008741D4"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lastRenderedPageBreak/>
        <w:t>Z</w:t>
      </w:r>
      <w:r w:rsidR="00B356AC" w:rsidRPr="00BE264C">
        <w:rPr>
          <w:rFonts w:ascii="Times New Roman" w:hAnsi="Times New Roman" w:cs="Times New Roman"/>
          <w:sz w:val="24"/>
          <w:szCs w:val="24"/>
        </w:rPr>
        <w:t xml:space="preserve">miana zawarta w </w:t>
      </w:r>
      <w:r w:rsidR="00B356AC" w:rsidRPr="00BE264C">
        <w:rPr>
          <w:rFonts w:ascii="Times New Roman" w:hAnsi="Times New Roman" w:cs="Times New Roman"/>
          <w:b/>
          <w:bCs/>
          <w:sz w:val="24"/>
          <w:szCs w:val="24"/>
        </w:rPr>
        <w:t xml:space="preserve">art. 1 pkt </w:t>
      </w:r>
      <w:r w:rsidR="00CC3833" w:rsidRPr="00BE264C">
        <w:rPr>
          <w:rFonts w:ascii="Times New Roman" w:hAnsi="Times New Roman" w:cs="Times New Roman"/>
          <w:b/>
          <w:bCs/>
          <w:sz w:val="24"/>
          <w:szCs w:val="24"/>
        </w:rPr>
        <w:t>1</w:t>
      </w:r>
      <w:r w:rsidR="008B7425" w:rsidRPr="00BE264C">
        <w:rPr>
          <w:rFonts w:ascii="Times New Roman" w:hAnsi="Times New Roman" w:cs="Times New Roman"/>
          <w:b/>
          <w:bCs/>
          <w:sz w:val="24"/>
          <w:szCs w:val="24"/>
        </w:rPr>
        <w:t>3</w:t>
      </w:r>
      <w:r w:rsidR="00B356AC" w:rsidRPr="00BE264C">
        <w:rPr>
          <w:rFonts w:ascii="Times New Roman" w:hAnsi="Times New Roman" w:cs="Times New Roman"/>
          <w:b/>
          <w:bCs/>
          <w:sz w:val="24"/>
          <w:szCs w:val="24"/>
        </w:rPr>
        <w:t xml:space="preserve"> lit. </w:t>
      </w:r>
      <w:r w:rsidR="004C048C" w:rsidRPr="00BE264C">
        <w:rPr>
          <w:rFonts w:ascii="Times New Roman" w:hAnsi="Times New Roman" w:cs="Times New Roman"/>
          <w:b/>
          <w:bCs/>
          <w:sz w:val="24"/>
          <w:szCs w:val="24"/>
        </w:rPr>
        <w:t>g</w:t>
      </w:r>
      <w:r w:rsidR="007D1370" w:rsidRPr="00BE264C">
        <w:rPr>
          <w:rFonts w:ascii="Times New Roman" w:hAnsi="Times New Roman" w:cs="Times New Roman"/>
          <w:b/>
          <w:bCs/>
          <w:sz w:val="24"/>
          <w:szCs w:val="24"/>
        </w:rPr>
        <w:t xml:space="preserve"> </w:t>
      </w:r>
      <w:r w:rsidR="00B356AC" w:rsidRPr="00BE264C">
        <w:rPr>
          <w:rFonts w:ascii="Times New Roman" w:hAnsi="Times New Roman" w:cs="Times New Roman"/>
          <w:sz w:val="24"/>
          <w:szCs w:val="24"/>
        </w:rPr>
        <w:t xml:space="preserve">stanowi implementację nowego brzmienia przepisu </w:t>
      </w:r>
      <w:r w:rsidR="003254A0" w:rsidRPr="00BE264C">
        <w:rPr>
          <w:rFonts w:ascii="Times New Roman" w:hAnsi="Times New Roman" w:cs="Times New Roman"/>
          <w:sz w:val="24"/>
          <w:szCs w:val="24"/>
        </w:rPr>
        <w:t>d</w:t>
      </w:r>
      <w:r w:rsidR="00B356AC" w:rsidRPr="00BE264C">
        <w:rPr>
          <w:rFonts w:ascii="Times New Roman" w:hAnsi="Times New Roman" w:cs="Times New Roman"/>
          <w:sz w:val="24"/>
          <w:szCs w:val="24"/>
        </w:rPr>
        <w:t>yrektywy CRD VI</w:t>
      </w:r>
      <w:r w:rsidR="003254A0" w:rsidRPr="00BE264C">
        <w:rPr>
          <w:rFonts w:ascii="Times New Roman" w:hAnsi="Times New Roman" w:cs="Times New Roman"/>
          <w:sz w:val="24"/>
          <w:szCs w:val="24"/>
        </w:rPr>
        <w:t xml:space="preserve">, zgodnie z którym zniesiono obowiązek informowania Europejskiego Urzędu Nadzoru Bankowego o zgodach wydanych przez KNF na pełnienie dodatkowej funkcji członka rady nadzorczej </w:t>
      </w:r>
      <w:r w:rsidR="00F240B2" w:rsidRPr="00BE264C">
        <w:rPr>
          <w:rFonts w:ascii="Times New Roman" w:hAnsi="Times New Roman" w:cs="Times New Roman"/>
          <w:sz w:val="24"/>
          <w:szCs w:val="24"/>
        </w:rPr>
        <w:t xml:space="preserve">banku, finansowej spółki holdingowej albo finansowej spółki holdingowej o działalności mieszanej </w:t>
      </w:r>
      <w:r w:rsidR="003254A0" w:rsidRPr="00BE264C">
        <w:rPr>
          <w:rFonts w:ascii="Times New Roman" w:hAnsi="Times New Roman" w:cs="Times New Roman"/>
          <w:sz w:val="24"/>
          <w:szCs w:val="24"/>
        </w:rPr>
        <w:t>ponad ograniczenia przewidziane w art. 22aa ust. 3 i 4</w:t>
      </w:r>
      <w:r w:rsidR="00B356AC" w:rsidRPr="00BE264C">
        <w:rPr>
          <w:rFonts w:ascii="Times New Roman" w:hAnsi="Times New Roman" w:cs="Times New Roman"/>
          <w:sz w:val="24"/>
          <w:szCs w:val="24"/>
        </w:rPr>
        <w:t>.</w:t>
      </w:r>
      <w:r w:rsidRPr="00BE264C">
        <w:rPr>
          <w:rFonts w:ascii="Times New Roman" w:hAnsi="Times New Roman" w:cs="Times New Roman"/>
          <w:sz w:val="24"/>
          <w:szCs w:val="24"/>
        </w:rPr>
        <w:t xml:space="preserve"> Projektowana zmiana ma na celu także wskazanie, że wniosek jest składany do KNF przez zainteresowany podmiot, a nie jego radę nadzorczą, co stanowi ujednolicenie z innymi przepisami ustawy – Prawo bankowe.</w:t>
      </w:r>
    </w:p>
    <w:p w14:paraId="68D54822" w14:textId="2B32B289" w:rsidR="004C048C" w:rsidRPr="00BE264C" w:rsidRDefault="004C048C"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Z</w:t>
      </w:r>
      <w:r w:rsidR="007D1370" w:rsidRPr="00BE264C">
        <w:rPr>
          <w:rFonts w:ascii="Times New Roman" w:hAnsi="Times New Roman" w:cs="Times New Roman"/>
          <w:sz w:val="24"/>
          <w:szCs w:val="24"/>
        </w:rPr>
        <w:t>mian</w:t>
      </w:r>
      <w:r w:rsidRPr="00BE264C">
        <w:rPr>
          <w:rFonts w:ascii="Times New Roman" w:hAnsi="Times New Roman" w:cs="Times New Roman"/>
          <w:sz w:val="24"/>
          <w:szCs w:val="24"/>
        </w:rPr>
        <w:t>a</w:t>
      </w:r>
      <w:r w:rsidR="007D1370" w:rsidRPr="00BE264C">
        <w:rPr>
          <w:rFonts w:ascii="Times New Roman" w:hAnsi="Times New Roman" w:cs="Times New Roman"/>
          <w:sz w:val="24"/>
          <w:szCs w:val="24"/>
        </w:rPr>
        <w:t xml:space="preserve"> wprowadzon</w:t>
      </w:r>
      <w:r w:rsidRPr="00BE264C">
        <w:rPr>
          <w:rFonts w:ascii="Times New Roman" w:hAnsi="Times New Roman" w:cs="Times New Roman"/>
          <w:sz w:val="24"/>
          <w:szCs w:val="24"/>
        </w:rPr>
        <w:t>a</w:t>
      </w:r>
      <w:r w:rsidR="007D1370" w:rsidRPr="00BE264C">
        <w:rPr>
          <w:rFonts w:ascii="Times New Roman" w:hAnsi="Times New Roman" w:cs="Times New Roman"/>
          <w:sz w:val="24"/>
          <w:szCs w:val="24"/>
        </w:rPr>
        <w:t xml:space="preserve"> w </w:t>
      </w:r>
      <w:r w:rsidR="007D1370" w:rsidRPr="00BE264C">
        <w:rPr>
          <w:rFonts w:ascii="Times New Roman" w:hAnsi="Times New Roman" w:cs="Times New Roman"/>
          <w:b/>
          <w:bCs/>
          <w:sz w:val="24"/>
          <w:szCs w:val="24"/>
        </w:rPr>
        <w:t xml:space="preserve">art. 1 pkt </w:t>
      </w:r>
      <w:r w:rsidR="00CC3833" w:rsidRPr="00BE264C">
        <w:rPr>
          <w:rFonts w:ascii="Times New Roman" w:hAnsi="Times New Roman" w:cs="Times New Roman"/>
          <w:b/>
          <w:bCs/>
          <w:sz w:val="24"/>
          <w:szCs w:val="24"/>
        </w:rPr>
        <w:t>1</w:t>
      </w:r>
      <w:r w:rsidR="008B7425" w:rsidRPr="00BE264C">
        <w:rPr>
          <w:rFonts w:ascii="Times New Roman" w:hAnsi="Times New Roman" w:cs="Times New Roman"/>
          <w:b/>
          <w:bCs/>
          <w:sz w:val="24"/>
          <w:szCs w:val="24"/>
        </w:rPr>
        <w:t>3</w:t>
      </w:r>
      <w:r w:rsidR="007D1370" w:rsidRPr="00BE264C">
        <w:rPr>
          <w:rFonts w:ascii="Times New Roman" w:hAnsi="Times New Roman" w:cs="Times New Roman"/>
          <w:b/>
          <w:bCs/>
          <w:sz w:val="24"/>
          <w:szCs w:val="24"/>
        </w:rPr>
        <w:t xml:space="preserve"> lit. </w:t>
      </w:r>
      <w:r w:rsidRPr="00BE264C">
        <w:rPr>
          <w:rFonts w:ascii="Times New Roman" w:hAnsi="Times New Roman" w:cs="Times New Roman"/>
          <w:b/>
          <w:bCs/>
          <w:sz w:val="24"/>
          <w:szCs w:val="24"/>
        </w:rPr>
        <w:t xml:space="preserve">h </w:t>
      </w:r>
      <w:r w:rsidRPr="00BE264C">
        <w:rPr>
          <w:rFonts w:ascii="Times New Roman" w:hAnsi="Times New Roman" w:cs="Times New Roman"/>
          <w:sz w:val="24"/>
          <w:szCs w:val="24"/>
        </w:rPr>
        <w:t>ma charakter wynikowy. Treść uchylanej jednostki redakcyjnej została przeniesiona do zmienianego art. 22aa ust. 1 ustawy – Prawo bankowe.</w:t>
      </w:r>
    </w:p>
    <w:p w14:paraId="3C54E24D" w14:textId="537BFC4E" w:rsidR="000F6090" w:rsidRPr="00BE264C" w:rsidRDefault="000F6090"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Zmiany wprowadzone w </w:t>
      </w:r>
      <w:r w:rsidRPr="00BE264C">
        <w:rPr>
          <w:rFonts w:ascii="Times New Roman" w:hAnsi="Times New Roman" w:cs="Times New Roman"/>
          <w:b/>
          <w:bCs/>
          <w:sz w:val="24"/>
          <w:szCs w:val="24"/>
        </w:rPr>
        <w:t>art. 1 pkt 1</w:t>
      </w:r>
      <w:r w:rsidR="008B7425" w:rsidRPr="00BE264C">
        <w:rPr>
          <w:rFonts w:ascii="Times New Roman" w:hAnsi="Times New Roman" w:cs="Times New Roman"/>
          <w:b/>
          <w:bCs/>
          <w:sz w:val="24"/>
          <w:szCs w:val="24"/>
        </w:rPr>
        <w:t>3</w:t>
      </w:r>
      <w:r w:rsidRPr="00BE264C">
        <w:rPr>
          <w:rFonts w:ascii="Times New Roman" w:hAnsi="Times New Roman" w:cs="Times New Roman"/>
          <w:b/>
          <w:bCs/>
          <w:sz w:val="24"/>
          <w:szCs w:val="24"/>
        </w:rPr>
        <w:t xml:space="preserve"> lit. i oraz j</w:t>
      </w:r>
      <w:r w:rsidRPr="00BE264C">
        <w:rPr>
          <w:rFonts w:ascii="Times New Roman" w:hAnsi="Times New Roman" w:cs="Times New Roman"/>
          <w:sz w:val="24"/>
          <w:szCs w:val="24"/>
        </w:rPr>
        <w:t xml:space="preserve"> mają na celu doprecyzowanie zakresu podmiotowego art. 22aa ust. 8 i 9 ustawy – Prawo bankowe.</w:t>
      </w:r>
    </w:p>
    <w:p w14:paraId="2DE19B68" w14:textId="20B7E6B2" w:rsidR="001378AB" w:rsidRPr="00BE264C" w:rsidRDefault="000970B6"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b/>
          <w:bCs/>
          <w:sz w:val="24"/>
          <w:szCs w:val="24"/>
        </w:rPr>
        <w:t xml:space="preserve">Art. 1 pkt </w:t>
      </w:r>
      <w:r w:rsidR="00CC3833" w:rsidRPr="00BE264C">
        <w:rPr>
          <w:rFonts w:ascii="Times New Roman" w:hAnsi="Times New Roman" w:cs="Times New Roman"/>
          <w:b/>
          <w:bCs/>
          <w:sz w:val="24"/>
          <w:szCs w:val="24"/>
        </w:rPr>
        <w:t>1</w:t>
      </w:r>
      <w:r w:rsidR="008B7425" w:rsidRPr="00BE264C">
        <w:rPr>
          <w:rFonts w:ascii="Times New Roman" w:hAnsi="Times New Roman" w:cs="Times New Roman"/>
          <w:b/>
          <w:bCs/>
          <w:sz w:val="24"/>
          <w:szCs w:val="24"/>
        </w:rPr>
        <w:t>3</w:t>
      </w:r>
      <w:r w:rsidRPr="00BE264C">
        <w:rPr>
          <w:rFonts w:ascii="Times New Roman" w:hAnsi="Times New Roman" w:cs="Times New Roman"/>
          <w:b/>
          <w:bCs/>
          <w:sz w:val="24"/>
          <w:szCs w:val="24"/>
        </w:rPr>
        <w:t xml:space="preserve"> lit. </w:t>
      </w:r>
      <w:r w:rsidR="00AB5C54" w:rsidRPr="00BE264C">
        <w:rPr>
          <w:rFonts w:ascii="Times New Roman" w:hAnsi="Times New Roman" w:cs="Times New Roman"/>
          <w:b/>
          <w:bCs/>
          <w:sz w:val="24"/>
          <w:szCs w:val="24"/>
        </w:rPr>
        <w:t>k</w:t>
      </w:r>
      <w:r w:rsidR="000F6090" w:rsidRPr="00BE264C">
        <w:rPr>
          <w:rFonts w:ascii="Times New Roman" w:hAnsi="Times New Roman" w:cs="Times New Roman"/>
          <w:b/>
          <w:bCs/>
          <w:sz w:val="24"/>
          <w:szCs w:val="24"/>
        </w:rPr>
        <w:t>-n</w:t>
      </w:r>
      <w:r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dotyczą zasad</w:t>
      </w:r>
      <w:r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dokonywania oceny odpowiedniości członków zarządu i</w:t>
      </w:r>
      <w:r w:rsidR="00AD254A" w:rsidRPr="00BE264C">
        <w:rPr>
          <w:rFonts w:ascii="Times New Roman" w:hAnsi="Times New Roman" w:cs="Times New Roman"/>
          <w:sz w:val="24"/>
          <w:szCs w:val="24"/>
        </w:rPr>
        <w:t> </w:t>
      </w:r>
      <w:r w:rsidRPr="00BE264C">
        <w:rPr>
          <w:rFonts w:ascii="Times New Roman" w:hAnsi="Times New Roman" w:cs="Times New Roman"/>
          <w:sz w:val="24"/>
          <w:szCs w:val="24"/>
        </w:rPr>
        <w:t>rady nadzorczej oraz osób pełniących kluczowe funkcje przez</w:t>
      </w:r>
      <w:r w:rsidRPr="00BE264C">
        <w:rPr>
          <w:rFonts w:ascii="Times New Roman" w:eastAsiaTheme="minorEastAsia" w:hAnsi="Times New Roman" w:cs="Times New Roman"/>
          <w:sz w:val="24"/>
          <w:szCs w:val="24"/>
          <w:lang w:eastAsia="pl-PL"/>
        </w:rPr>
        <w:t xml:space="preserve"> </w:t>
      </w:r>
      <w:r w:rsidRPr="00BE264C">
        <w:rPr>
          <w:rFonts w:ascii="Times New Roman" w:hAnsi="Times New Roman" w:cs="Times New Roman"/>
          <w:sz w:val="24"/>
          <w:szCs w:val="24"/>
        </w:rPr>
        <w:t>bank, finansową spółkę holdingową i finansową spółkę holdingową o działalności mieszanej</w:t>
      </w:r>
      <w:r w:rsidR="002D4DE5" w:rsidRPr="00BE264C">
        <w:rPr>
          <w:rFonts w:ascii="Times New Roman" w:hAnsi="Times New Roman" w:cs="Times New Roman"/>
          <w:sz w:val="24"/>
          <w:szCs w:val="24"/>
        </w:rPr>
        <w:t>, których działalność została zatwierdzona zgodnie z art. 48q ust. 3 zmienianej ustawy</w:t>
      </w:r>
      <w:r w:rsidRPr="00BE264C">
        <w:rPr>
          <w:rFonts w:ascii="Times New Roman" w:hAnsi="Times New Roman" w:cs="Times New Roman"/>
          <w:sz w:val="24"/>
          <w:szCs w:val="24"/>
        </w:rPr>
        <w:t>.</w:t>
      </w:r>
      <w:r w:rsidR="00D41CF3" w:rsidRPr="00BE264C">
        <w:rPr>
          <w:rFonts w:ascii="Times New Roman" w:hAnsi="Times New Roman" w:cs="Times New Roman"/>
          <w:sz w:val="24"/>
          <w:szCs w:val="24"/>
        </w:rPr>
        <w:t xml:space="preserve"> Zgodnie z art. 4a ustawy o nadzorze nad rynkiem finansowym, KNF jest uprawniona do przetwarzania danych osobowych dla realizacji celu, jakim jest sprawowanie nadzoru.</w:t>
      </w:r>
    </w:p>
    <w:p w14:paraId="30888BCB" w14:textId="6F3188D8" w:rsidR="00836108" w:rsidRPr="00BE264C" w:rsidRDefault="008361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1</w:t>
      </w:r>
      <w:r w:rsidR="008B7425" w:rsidRPr="00BE264C">
        <w:rPr>
          <w:rFonts w:ascii="Times New Roman" w:hAnsi="Times New Roman" w:cs="Times New Roman"/>
          <w:b/>
          <w:bCs/>
          <w:sz w:val="24"/>
          <w:szCs w:val="24"/>
        </w:rPr>
        <w:t>4</w:t>
      </w:r>
      <w:r w:rsidRPr="00BE264C">
        <w:rPr>
          <w:rFonts w:ascii="Times New Roman" w:hAnsi="Times New Roman" w:cs="Times New Roman"/>
          <w:sz w:val="24"/>
          <w:szCs w:val="24"/>
        </w:rPr>
        <w:t xml:space="preserve"> wprowadzono wymóg okresowej weryfikacji przez walne zgromadzenie spełniania przez członków rady nadzorczej oraz przez radę nadzorczą jako całość wymogów odpowiedniości określonych w art. 22aa ustawy – Prawo bankowe oraz </w:t>
      </w:r>
      <w:r w:rsidRPr="00BE264C">
        <w:rPr>
          <w:rFonts w:ascii="Times New Roman" w:eastAsia="Times New Roman" w:hAnsi="Times New Roman" w:cs="Times New Roman"/>
          <w:sz w:val="24"/>
          <w:szCs w:val="24"/>
          <w:lang w:eastAsia="pl-PL"/>
        </w:rPr>
        <w:t xml:space="preserve">niezwłocznego przekazywania </w:t>
      </w:r>
      <w:r w:rsidR="008B7425" w:rsidRPr="00BE264C">
        <w:rPr>
          <w:rFonts w:ascii="Times New Roman" w:eastAsia="Times New Roman" w:hAnsi="Times New Roman" w:cs="Times New Roman"/>
          <w:sz w:val="24"/>
          <w:szCs w:val="24"/>
          <w:lang w:eastAsia="pl-PL"/>
        </w:rPr>
        <w:t xml:space="preserve">do KNF </w:t>
      </w:r>
      <w:r w:rsidRPr="00BE264C">
        <w:rPr>
          <w:rFonts w:ascii="Times New Roman" w:eastAsia="Times New Roman" w:hAnsi="Times New Roman" w:cs="Times New Roman"/>
          <w:sz w:val="24"/>
          <w:szCs w:val="24"/>
          <w:lang w:eastAsia="pl-PL"/>
        </w:rPr>
        <w:t>przez bank</w:t>
      </w:r>
      <w:r w:rsidR="008B7425" w:rsidRPr="00BE264C">
        <w:rPr>
          <w:rFonts w:ascii="Times New Roman" w:eastAsia="Times New Roman" w:hAnsi="Times New Roman" w:cs="Times New Roman"/>
          <w:sz w:val="24"/>
          <w:szCs w:val="24"/>
          <w:lang w:eastAsia="pl-PL"/>
        </w:rPr>
        <w:t>, finansową spółkę holdingow</w:t>
      </w:r>
      <w:r w:rsidR="00225EFE" w:rsidRPr="00BE264C">
        <w:rPr>
          <w:rFonts w:ascii="Times New Roman" w:eastAsia="Times New Roman" w:hAnsi="Times New Roman" w:cs="Times New Roman"/>
          <w:sz w:val="24"/>
          <w:szCs w:val="24"/>
          <w:lang w:eastAsia="pl-PL"/>
        </w:rPr>
        <w:t>ą</w:t>
      </w:r>
      <w:r w:rsidR="008B7425" w:rsidRPr="00BE264C">
        <w:rPr>
          <w:rFonts w:ascii="Times New Roman" w:eastAsia="Times New Roman" w:hAnsi="Times New Roman" w:cs="Times New Roman"/>
          <w:sz w:val="24"/>
          <w:szCs w:val="24"/>
          <w:lang w:eastAsia="pl-PL"/>
        </w:rPr>
        <w:t xml:space="preserve"> i finansową spółkę holdingową o działalności mieszanej, których działalność została zatwierdzona zgodnie z art. 48q ust. 3, </w:t>
      </w:r>
      <w:r w:rsidRPr="00BE264C">
        <w:rPr>
          <w:rFonts w:ascii="Times New Roman" w:eastAsia="Times New Roman" w:hAnsi="Times New Roman" w:cs="Times New Roman"/>
          <w:sz w:val="24"/>
          <w:szCs w:val="24"/>
          <w:lang w:eastAsia="pl-PL"/>
        </w:rPr>
        <w:t>informacji o wyniku weryfikacji</w:t>
      </w:r>
      <w:r w:rsidRPr="00BE264C">
        <w:rPr>
          <w:rFonts w:ascii="Times New Roman" w:hAnsi="Times New Roman" w:cs="Times New Roman"/>
          <w:sz w:val="24"/>
          <w:szCs w:val="24"/>
        </w:rPr>
        <w:t>.</w:t>
      </w:r>
    </w:p>
    <w:p w14:paraId="6168EDE1" w14:textId="210DF990" w:rsidR="00836108" w:rsidRPr="00BE264C" w:rsidRDefault="008361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Wprowadzono również wymóg okresowej weryfikacji spełniania przez członków zarządu oraz przez zarząd jako całość wymogów odpowiedniości określonych w art. 22aa ustawy – Prawo bankowe.</w:t>
      </w:r>
      <w:r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Weryfikacja będzie przeprowadzana</w:t>
      </w:r>
      <w:r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przez</w:t>
      </w:r>
      <w:r w:rsidRPr="00BE264C">
        <w:rPr>
          <w:rFonts w:ascii="Times New Roman" w:eastAsiaTheme="minorEastAsia" w:hAnsi="Times New Roman" w:cs="Times New Roman"/>
          <w:sz w:val="24"/>
          <w:szCs w:val="24"/>
          <w:lang w:eastAsia="pl-PL"/>
        </w:rPr>
        <w:t xml:space="preserve"> </w:t>
      </w:r>
      <w:r w:rsidRPr="00BE264C">
        <w:rPr>
          <w:rFonts w:ascii="Times New Roman" w:hAnsi="Times New Roman" w:cs="Times New Roman"/>
          <w:sz w:val="24"/>
          <w:szCs w:val="24"/>
        </w:rPr>
        <w:t>radę nadzorczą.</w:t>
      </w:r>
    </w:p>
    <w:p w14:paraId="302BDB49" w14:textId="7503A113" w:rsidR="003204F8" w:rsidRPr="00BE264C" w:rsidRDefault="003204F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Projektowana zmiana umożliwia także przeprowadzenie oceny przez radę nadzorczą, a następnie jej zatwierdzenie przez walne zgromadzenie na najbliższym posiedzeniu, jeśli zwołanie walnego zgromadzenia w celu przeprowadzenia oceny jest niemożliwe lub wiązałoby się z nieproporcjonalnymi i nieuzasadnionymi kosztami</w:t>
      </w:r>
      <w:r w:rsidR="000E06C9" w:rsidRPr="00BE264C">
        <w:rPr>
          <w:rFonts w:ascii="Times New Roman" w:hAnsi="Times New Roman" w:cs="Times New Roman"/>
          <w:sz w:val="24"/>
          <w:szCs w:val="24"/>
        </w:rPr>
        <w:t>.</w:t>
      </w:r>
    </w:p>
    <w:p w14:paraId="1DB408A9" w14:textId="04E7E1F0" w:rsidR="00FE67BE" w:rsidRPr="00BE264C" w:rsidRDefault="00174814"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sz w:val="24"/>
          <w:szCs w:val="24"/>
        </w:rPr>
        <w:lastRenderedPageBreak/>
        <w:t>Zgodnie z</w:t>
      </w:r>
      <w:r w:rsidR="00200131" w:rsidRPr="00BE264C">
        <w:rPr>
          <w:rFonts w:ascii="Times New Roman" w:hAnsi="Times New Roman" w:cs="Times New Roman"/>
          <w:sz w:val="24"/>
          <w:szCs w:val="24"/>
        </w:rPr>
        <w:t>e zmianą zawartą w</w:t>
      </w:r>
      <w:r w:rsidRPr="00BE264C">
        <w:rPr>
          <w:rFonts w:ascii="Times New Roman" w:hAnsi="Times New Roman" w:cs="Times New Roman"/>
          <w:sz w:val="24"/>
          <w:szCs w:val="24"/>
        </w:rPr>
        <w:t xml:space="preserve"> </w:t>
      </w:r>
      <w:r w:rsidRPr="00BE264C">
        <w:rPr>
          <w:rFonts w:ascii="Times New Roman" w:hAnsi="Times New Roman" w:cs="Times New Roman"/>
          <w:b/>
          <w:bCs/>
          <w:sz w:val="24"/>
          <w:szCs w:val="24"/>
        </w:rPr>
        <w:t xml:space="preserve">art. 1 pkt </w:t>
      </w:r>
      <w:r w:rsidR="00836108" w:rsidRPr="00BE264C">
        <w:rPr>
          <w:rFonts w:ascii="Times New Roman" w:hAnsi="Times New Roman" w:cs="Times New Roman"/>
          <w:b/>
          <w:bCs/>
          <w:sz w:val="24"/>
          <w:szCs w:val="24"/>
        </w:rPr>
        <w:t>1</w:t>
      </w:r>
      <w:r w:rsidR="00776F23" w:rsidRPr="00BE264C">
        <w:rPr>
          <w:rFonts w:ascii="Times New Roman" w:hAnsi="Times New Roman" w:cs="Times New Roman"/>
          <w:b/>
          <w:bCs/>
          <w:sz w:val="24"/>
          <w:szCs w:val="24"/>
        </w:rPr>
        <w:t>5</w:t>
      </w:r>
      <w:r w:rsidR="00FE67BE" w:rsidRPr="00BE264C">
        <w:rPr>
          <w:rFonts w:ascii="Times New Roman" w:hAnsi="Times New Roman" w:cs="Times New Roman"/>
          <w:b/>
          <w:bCs/>
          <w:sz w:val="24"/>
          <w:szCs w:val="24"/>
        </w:rPr>
        <w:t xml:space="preserve"> lit. b</w:t>
      </w:r>
      <w:r w:rsidR="00836108" w:rsidRPr="00BE264C">
        <w:rPr>
          <w:rFonts w:ascii="Times New Roman" w:hAnsi="Times New Roman" w:cs="Times New Roman"/>
          <w:sz w:val="24"/>
          <w:szCs w:val="24"/>
        </w:rPr>
        <w:t xml:space="preserve"> </w:t>
      </w:r>
      <w:r w:rsidRPr="00BE264C">
        <w:rPr>
          <w:rFonts w:ascii="Times New Roman" w:hAnsi="Times New Roman" w:cs="Times New Roman"/>
          <w:sz w:val="24"/>
          <w:szCs w:val="24"/>
        </w:rPr>
        <w:t xml:space="preserve">powołanie </w:t>
      </w:r>
      <w:r w:rsidR="004C637A" w:rsidRPr="00BE264C">
        <w:rPr>
          <w:rFonts w:ascii="Times New Roman" w:hAnsi="Times New Roman" w:cs="Times New Roman"/>
          <w:sz w:val="24"/>
          <w:szCs w:val="24"/>
        </w:rPr>
        <w:t>przewodniczącego rady nadzorczej i</w:t>
      </w:r>
      <w:r w:rsidR="007762DB" w:rsidRPr="00BE264C">
        <w:rPr>
          <w:rFonts w:ascii="Times New Roman" w:hAnsi="Times New Roman" w:cs="Times New Roman"/>
          <w:sz w:val="24"/>
          <w:szCs w:val="24"/>
        </w:rPr>
        <w:t> </w:t>
      </w:r>
      <w:r w:rsidRPr="00BE264C">
        <w:rPr>
          <w:rFonts w:ascii="Times New Roman" w:hAnsi="Times New Roman" w:cs="Times New Roman"/>
          <w:sz w:val="24"/>
          <w:szCs w:val="24"/>
        </w:rPr>
        <w:t>członków zarządu w dużych instytucjach następuje za zgodą KNF.</w:t>
      </w:r>
      <w:r w:rsidR="00A774EF" w:rsidRPr="00BE264C">
        <w:rPr>
          <w:rFonts w:ascii="Times New Roman" w:hAnsi="Times New Roman" w:cs="Times New Roman"/>
          <w:sz w:val="24"/>
          <w:szCs w:val="24"/>
        </w:rPr>
        <w:t xml:space="preserve"> </w:t>
      </w:r>
    </w:p>
    <w:p w14:paraId="197B3A34" w14:textId="317CA6E8" w:rsidR="00D13BA8" w:rsidRPr="00BE264C" w:rsidRDefault="000D11CB"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związku z </w:t>
      </w:r>
      <w:r w:rsidR="003F6BEB" w:rsidRPr="00BE264C">
        <w:rPr>
          <w:rFonts w:ascii="Times New Roman" w:hAnsi="Times New Roman" w:cs="Times New Roman"/>
          <w:sz w:val="24"/>
          <w:szCs w:val="24"/>
        </w:rPr>
        <w:t>powyższym</w:t>
      </w:r>
      <w:r w:rsidRPr="00BE264C">
        <w:rPr>
          <w:rFonts w:ascii="Times New Roman" w:hAnsi="Times New Roman" w:cs="Times New Roman"/>
          <w:sz w:val="24"/>
          <w:szCs w:val="24"/>
        </w:rPr>
        <w:t xml:space="preserve"> wprowadzono też niezbędne zmiany dostosowujące</w:t>
      </w:r>
      <w:r w:rsidR="0079563B" w:rsidRPr="00BE264C">
        <w:rPr>
          <w:rFonts w:ascii="Times New Roman" w:hAnsi="Times New Roman" w:cs="Times New Roman"/>
          <w:sz w:val="24"/>
          <w:szCs w:val="24"/>
        </w:rPr>
        <w:t xml:space="preserve"> w </w:t>
      </w:r>
      <w:r w:rsidR="0079563B" w:rsidRPr="00BE264C">
        <w:rPr>
          <w:rFonts w:ascii="Times New Roman" w:hAnsi="Times New Roman" w:cs="Times New Roman"/>
          <w:b/>
          <w:bCs/>
          <w:sz w:val="24"/>
          <w:szCs w:val="24"/>
        </w:rPr>
        <w:t xml:space="preserve">art. 1 pkt </w:t>
      </w:r>
      <w:r w:rsidR="00836108" w:rsidRPr="00BE264C">
        <w:rPr>
          <w:rFonts w:ascii="Times New Roman" w:hAnsi="Times New Roman" w:cs="Times New Roman"/>
          <w:b/>
          <w:bCs/>
          <w:sz w:val="24"/>
          <w:szCs w:val="24"/>
        </w:rPr>
        <w:t>1</w:t>
      </w:r>
      <w:r w:rsidR="00776F23" w:rsidRPr="00BE264C">
        <w:rPr>
          <w:rFonts w:ascii="Times New Roman" w:hAnsi="Times New Roman" w:cs="Times New Roman"/>
          <w:b/>
          <w:bCs/>
          <w:sz w:val="24"/>
          <w:szCs w:val="24"/>
        </w:rPr>
        <w:t>5</w:t>
      </w:r>
      <w:r w:rsidR="00836108" w:rsidRPr="00BE264C">
        <w:rPr>
          <w:rFonts w:ascii="Times New Roman" w:hAnsi="Times New Roman" w:cs="Times New Roman"/>
          <w:b/>
          <w:bCs/>
          <w:sz w:val="24"/>
          <w:szCs w:val="24"/>
        </w:rPr>
        <w:t xml:space="preserve"> </w:t>
      </w:r>
      <w:r w:rsidR="0079563B" w:rsidRPr="00BE264C">
        <w:rPr>
          <w:rFonts w:ascii="Times New Roman" w:hAnsi="Times New Roman" w:cs="Times New Roman"/>
          <w:b/>
          <w:bCs/>
          <w:sz w:val="24"/>
          <w:szCs w:val="24"/>
        </w:rPr>
        <w:t>lit. a oraz c</w:t>
      </w:r>
      <w:r w:rsidRPr="00BE264C">
        <w:rPr>
          <w:rFonts w:ascii="Times New Roman" w:hAnsi="Times New Roman" w:cs="Times New Roman"/>
          <w:sz w:val="24"/>
          <w:szCs w:val="24"/>
        </w:rPr>
        <w:t>.</w:t>
      </w:r>
      <w:r w:rsidR="0079563B" w:rsidRPr="00BE264C">
        <w:rPr>
          <w:rFonts w:ascii="Times New Roman" w:hAnsi="Times New Roman" w:cs="Times New Roman"/>
          <w:sz w:val="24"/>
          <w:szCs w:val="24"/>
        </w:rPr>
        <w:t xml:space="preserve"> Zmiany wprowadzone w </w:t>
      </w:r>
      <w:r w:rsidR="0079563B" w:rsidRPr="00BE264C">
        <w:rPr>
          <w:rFonts w:ascii="Times New Roman" w:hAnsi="Times New Roman" w:cs="Times New Roman"/>
          <w:b/>
          <w:bCs/>
          <w:sz w:val="24"/>
          <w:szCs w:val="24"/>
        </w:rPr>
        <w:t xml:space="preserve">art. 1 pkt </w:t>
      </w:r>
      <w:r w:rsidR="00836108" w:rsidRPr="00BE264C">
        <w:rPr>
          <w:rFonts w:ascii="Times New Roman" w:hAnsi="Times New Roman" w:cs="Times New Roman"/>
          <w:b/>
          <w:bCs/>
          <w:sz w:val="24"/>
          <w:szCs w:val="24"/>
        </w:rPr>
        <w:t>1</w:t>
      </w:r>
      <w:r w:rsidR="00776F23" w:rsidRPr="00BE264C">
        <w:rPr>
          <w:rFonts w:ascii="Times New Roman" w:hAnsi="Times New Roman" w:cs="Times New Roman"/>
          <w:b/>
          <w:bCs/>
          <w:sz w:val="24"/>
          <w:szCs w:val="24"/>
        </w:rPr>
        <w:t>5</w:t>
      </w:r>
      <w:r w:rsidR="00836108" w:rsidRPr="00BE264C">
        <w:rPr>
          <w:rFonts w:ascii="Times New Roman" w:hAnsi="Times New Roman" w:cs="Times New Roman"/>
          <w:b/>
          <w:bCs/>
          <w:sz w:val="24"/>
          <w:szCs w:val="24"/>
        </w:rPr>
        <w:t xml:space="preserve"> </w:t>
      </w:r>
      <w:r w:rsidR="0079563B" w:rsidRPr="00BE264C">
        <w:rPr>
          <w:rFonts w:ascii="Times New Roman" w:hAnsi="Times New Roman" w:cs="Times New Roman"/>
          <w:b/>
          <w:bCs/>
          <w:sz w:val="24"/>
          <w:szCs w:val="24"/>
        </w:rPr>
        <w:t xml:space="preserve">lit. </w:t>
      </w:r>
      <w:r w:rsidR="00FE67BE" w:rsidRPr="00BE264C">
        <w:rPr>
          <w:rFonts w:ascii="Times New Roman" w:hAnsi="Times New Roman" w:cs="Times New Roman"/>
          <w:b/>
          <w:bCs/>
          <w:sz w:val="24"/>
          <w:szCs w:val="24"/>
        </w:rPr>
        <w:t>d</w:t>
      </w:r>
      <w:r w:rsidR="0079563B" w:rsidRPr="00BE264C">
        <w:rPr>
          <w:rFonts w:ascii="Times New Roman" w:hAnsi="Times New Roman" w:cs="Times New Roman"/>
          <w:b/>
          <w:bCs/>
          <w:sz w:val="24"/>
          <w:szCs w:val="24"/>
        </w:rPr>
        <w:t>-</w:t>
      </w:r>
      <w:r w:rsidR="00757139" w:rsidRPr="00BE264C">
        <w:rPr>
          <w:rFonts w:ascii="Times New Roman" w:hAnsi="Times New Roman" w:cs="Times New Roman"/>
          <w:b/>
          <w:bCs/>
          <w:sz w:val="24"/>
          <w:szCs w:val="24"/>
        </w:rPr>
        <w:t>f</w:t>
      </w:r>
      <w:r w:rsidR="0034320D" w:rsidRPr="00BE264C">
        <w:rPr>
          <w:rFonts w:ascii="Times New Roman" w:hAnsi="Times New Roman" w:cs="Times New Roman"/>
          <w:b/>
          <w:bCs/>
          <w:sz w:val="24"/>
          <w:szCs w:val="24"/>
        </w:rPr>
        <w:t xml:space="preserve"> oraz h</w:t>
      </w:r>
      <w:r w:rsidR="0079563B" w:rsidRPr="00BE264C">
        <w:rPr>
          <w:rFonts w:ascii="Times New Roman" w:hAnsi="Times New Roman" w:cs="Times New Roman"/>
          <w:sz w:val="24"/>
          <w:szCs w:val="24"/>
        </w:rPr>
        <w:t xml:space="preserve"> mają charakter redakcyjny i wynikają z dodania ust. 1a w art. 22b zmienianej ustawy.</w:t>
      </w:r>
      <w:r w:rsidR="00757139" w:rsidRPr="00BE264C">
        <w:rPr>
          <w:rFonts w:ascii="Times New Roman" w:hAnsi="Times New Roman" w:cs="Times New Roman"/>
          <w:sz w:val="24"/>
          <w:szCs w:val="24"/>
        </w:rPr>
        <w:t xml:space="preserve"> Zmiana wprowadzona w </w:t>
      </w:r>
      <w:r w:rsidR="00757139" w:rsidRPr="00BE264C">
        <w:rPr>
          <w:rFonts w:ascii="Times New Roman" w:hAnsi="Times New Roman" w:cs="Times New Roman"/>
          <w:b/>
          <w:bCs/>
          <w:sz w:val="24"/>
          <w:szCs w:val="24"/>
        </w:rPr>
        <w:t>art. 1 pkt 15 lit. g</w:t>
      </w:r>
      <w:r w:rsidR="00757139" w:rsidRPr="00BE264C">
        <w:rPr>
          <w:rFonts w:ascii="Times New Roman" w:hAnsi="Times New Roman" w:cs="Times New Roman"/>
          <w:sz w:val="24"/>
          <w:szCs w:val="24"/>
        </w:rPr>
        <w:t xml:space="preserve"> dookreśla, że art. 22b ust. 1 i 1a nie stosuje się do członków rady nadzorczej delegowanych do czasowego pełnienia funkcji członków zarządu przez okres niedłuższy niż 3 miesiące.</w:t>
      </w:r>
    </w:p>
    <w:p w14:paraId="572C0622" w14:textId="021B325E" w:rsidR="00AD3E4B" w:rsidRPr="00BE264C" w:rsidRDefault="000E06C9"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hAnsi="Times New Roman" w:cs="Times New Roman"/>
          <w:b/>
          <w:bCs/>
          <w:sz w:val="24"/>
          <w:szCs w:val="24"/>
        </w:rPr>
        <w:t>Art. 1 pkt 1</w:t>
      </w:r>
      <w:r w:rsidR="00203B9D" w:rsidRPr="00BE264C">
        <w:rPr>
          <w:rFonts w:ascii="Times New Roman" w:hAnsi="Times New Roman" w:cs="Times New Roman"/>
          <w:b/>
          <w:bCs/>
          <w:sz w:val="24"/>
          <w:szCs w:val="24"/>
        </w:rPr>
        <w:t>6</w:t>
      </w:r>
      <w:r w:rsidRPr="00BE264C">
        <w:rPr>
          <w:rFonts w:ascii="Times New Roman" w:hAnsi="Times New Roman" w:cs="Times New Roman"/>
          <w:sz w:val="24"/>
          <w:szCs w:val="24"/>
        </w:rPr>
        <w:t xml:space="preserve"> </w:t>
      </w:r>
      <w:r w:rsidR="00F13F18" w:rsidRPr="00BE264C">
        <w:rPr>
          <w:rFonts w:ascii="Times New Roman" w:hAnsi="Times New Roman" w:cs="Times New Roman"/>
          <w:sz w:val="24"/>
          <w:szCs w:val="24"/>
        </w:rPr>
        <w:t xml:space="preserve">dodaje do zmienianej ustawy </w:t>
      </w:r>
      <w:r w:rsidR="002073E2" w:rsidRPr="00BE264C">
        <w:rPr>
          <w:rFonts w:ascii="Times New Roman" w:hAnsi="Times New Roman" w:cs="Times New Roman"/>
          <w:sz w:val="24"/>
          <w:szCs w:val="24"/>
        </w:rPr>
        <w:t xml:space="preserve">przepis </w:t>
      </w:r>
      <w:r w:rsidR="00F13F18" w:rsidRPr="00BE264C">
        <w:rPr>
          <w:rFonts w:ascii="Times New Roman" w:hAnsi="Times New Roman" w:cs="Times New Roman"/>
          <w:sz w:val="24"/>
          <w:szCs w:val="24"/>
        </w:rPr>
        <w:t>umożliwiający zwrócenie się KNF o</w:t>
      </w:r>
      <w:r w:rsidR="007762DB" w:rsidRPr="00BE264C">
        <w:rPr>
          <w:rFonts w:ascii="Times New Roman" w:hAnsi="Times New Roman" w:cs="Times New Roman"/>
          <w:sz w:val="24"/>
          <w:szCs w:val="24"/>
        </w:rPr>
        <w:t> </w:t>
      </w:r>
      <w:r w:rsidR="00F13F18" w:rsidRPr="00BE264C">
        <w:rPr>
          <w:rFonts w:ascii="Times New Roman" w:hAnsi="Times New Roman" w:cs="Times New Roman"/>
          <w:bCs/>
          <w:sz w:val="24"/>
          <w:szCs w:val="24"/>
        </w:rPr>
        <w:t xml:space="preserve">informacje do </w:t>
      </w:r>
      <w:r w:rsidR="00E53028" w:rsidRPr="00BE264C">
        <w:rPr>
          <w:rFonts w:ascii="Times New Roman" w:hAnsi="Times New Roman" w:cs="Times New Roman"/>
          <w:bCs/>
          <w:sz w:val="24"/>
          <w:szCs w:val="24"/>
        </w:rPr>
        <w:t>Generalnego Inspektora Informacji Finansowej</w:t>
      </w:r>
      <w:r w:rsidR="00F13F18" w:rsidRPr="00BE264C">
        <w:rPr>
          <w:rFonts w:ascii="Times New Roman" w:hAnsi="Times New Roman" w:cs="Times New Roman"/>
          <w:bCs/>
          <w:sz w:val="24"/>
          <w:szCs w:val="24"/>
        </w:rPr>
        <w:t xml:space="preserve"> oraz o dostęp do centralnej bazy danych dotyczących przeciwdziałania praniu pieniędzy i finansowaniu terroryzmu, o</w:t>
      </w:r>
      <w:r w:rsidR="007762DB" w:rsidRPr="00BE264C">
        <w:rPr>
          <w:rFonts w:ascii="Times New Roman" w:hAnsi="Times New Roman" w:cs="Times New Roman"/>
          <w:bCs/>
          <w:sz w:val="24"/>
          <w:szCs w:val="24"/>
        </w:rPr>
        <w:t> </w:t>
      </w:r>
      <w:r w:rsidR="00F13F18" w:rsidRPr="00BE264C">
        <w:rPr>
          <w:rFonts w:ascii="Times New Roman" w:hAnsi="Times New Roman" w:cs="Times New Roman"/>
          <w:bCs/>
          <w:sz w:val="24"/>
          <w:szCs w:val="24"/>
        </w:rPr>
        <w:t xml:space="preserve">której mowa w rozporządzeniu Parlamentu Europejskiego i Rady </w:t>
      </w:r>
      <w:r w:rsidR="00E53028" w:rsidRPr="00BE264C">
        <w:rPr>
          <w:rFonts w:ascii="Times New Roman" w:hAnsi="Times New Roman" w:cs="Times New Roman"/>
          <w:bCs/>
          <w:sz w:val="24"/>
          <w:szCs w:val="24"/>
        </w:rPr>
        <w:t xml:space="preserve">(UE) </w:t>
      </w:r>
      <w:r w:rsidR="00F13F18" w:rsidRPr="00BE264C">
        <w:rPr>
          <w:rFonts w:ascii="Times New Roman" w:hAnsi="Times New Roman" w:cs="Times New Roman"/>
          <w:bCs/>
          <w:sz w:val="24"/>
          <w:szCs w:val="24"/>
        </w:rPr>
        <w:t>2024/1620</w:t>
      </w:r>
      <w:r w:rsidR="00E53028" w:rsidRPr="00BE264C">
        <w:rPr>
          <w:rFonts w:ascii="Times New Roman" w:hAnsi="Times New Roman" w:cs="Times New Roman"/>
          <w:bCs/>
          <w:sz w:val="24"/>
          <w:szCs w:val="24"/>
        </w:rPr>
        <w:t xml:space="preserve"> z dnia 31</w:t>
      </w:r>
      <w:r w:rsidR="007762DB" w:rsidRPr="00BE264C">
        <w:rPr>
          <w:rFonts w:ascii="Times New Roman" w:hAnsi="Times New Roman" w:cs="Times New Roman"/>
          <w:bCs/>
          <w:sz w:val="24"/>
          <w:szCs w:val="24"/>
        </w:rPr>
        <w:t> </w:t>
      </w:r>
      <w:r w:rsidR="00E53028" w:rsidRPr="00BE264C">
        <w:rPr>
          <w:rFonts w:ascii="Times New Roman" w:hAnsi="Times New Roman" w:cs="Times New Roman"/>
          <w:bCs/>
          <w:sz w:val="24"/>
          <w:szCs w:val="24"/>
        </w:rPr>
        <w:t>maja 2024 r. w sprawie ustanowienia Urzędu ds. Przeciwdziałania Praniu Pieniędzy i</w:t>
      </w:r>
      <w:r w:rsidR="007762DB" w:rsidRPr="00BE264C">
        <w:rPr>
          <w:rFonts w:ascii="Times New Roman" w:hAnsi="Times New Roman" w:cs="Times New Roman"/>
          <w:bCs/>
          <w:sz w:val="24"/>
          <w:szCs w:val="24"/>
        </w:rPr>
        <w:t> </w:t>
      </w:r>
      <w:r w:rsidR="00E53028" w:rsidRPr="00BE264C">
        <w:rPr>
          <w:rFonts w:ascii="Times New Roman" w:hAnsi="Times New Roman" w:cs="Times New Roman"/>
          <w:bCs/>
          <w:sz w:val="24"/>
          <w:szCs w:val="24"/>
        </w:rPr>
        <w:t>Finansowaniu Terroryzmu oraz zmiany rozporządzeń (UE) nr 1093/2010, (UE) nr 1094/2010 i (UE) nr 1095/2010 (Dz. Urz. UE L 2024/1620 z 19.06.2024)</w:t>
      </w:r>
      <w:r w:rsidR="00F13F18" w:rsidRPr="00BE264C">
        <w:rPr>
          <w:rFonts w:ascii="Times New Roman" w:hAnsi="Times New Roman" w:cs="Times New Roman"/>
          <w:bCs/>
          <w:sz w:val="24"/>
          <w:szCs w:val="24"/>
        </w:rPr>
        <w:t xml:space="preserve">. </w:t>
      </w:r>
    </w:p>
    <w:p w14:paraId="5CCF5983" w14:textId="6867F186" w:rsidR="00AD3E4B" w:rsidRPr="00BE264C" w:rsidRDefault="00AD3E4B"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sz w:val="24"/>
          <w:szCs w:val="24"/>
          <w:lang w:eastAsia="pl-PL"/>
        </w:rPr>
        <w:t xml:space="preserve">Ponadto, na KNF został nałożony obowiązek dokonania oceny, czy kierownicy komórek kontroli wewnętrznej i dyrektor do spraw finansowych spełniają wymogi </w:t>
      </w:r>
      <w:r w:rsidR="000D11CB" w:rsidRPr="00BE264C">
        <w:rPr>
          <w:rFonts w:ascii="Times New Roman" w:eastAsia="Times New Roman" w:hAnsi="Times New Roman" w:cs="Times New Roman"/>
          <w:sz w:val="24"/>
          <w:szCs w:val="24"/>
          <w:lang w:eastAsia="pl-PL"/>
        </w:rPr>
        <w:t xml:space="preserve">odpowiedniości </w:t>
      </w:r>
      <w:r w:rsidRPr="00BE264C">
        <w:rPr>
          <w:rFonts w:ascii="Times New Roman" w:eastAsia="Times New Roman" w:hAnsi="Times New Roman" w:cs="Times New Roman"/>
          <w:sz w:val="24"/>
          <w:szCs w:val="24"/>
          <w:lang w:eastAsia="pl-PL"/>
        </w:rPr>
        <w:t>określone w</w:t>
      </w:r>
      <w:r w:rsidR="000D11CB" w:rsidRPr="00BE264C">
        <w:rPr>
          <w:rFonts w:ascii="Times New Roman" w:eastAsia="Times New Roman" w:hAnsi="Times New Roman" w:cs="Times New Roman"/>
          <w:sz w:val="24"/>
          <w:szCs w:val="24"/>
          <w:lang w:eastAsia="pl-PL"/>
        </w:rPr>
        <w:t xml:space="preserve"> art. 22aa</w:t>
      </w:r>
      <w:r w:rsidRPr="00BE264C">
        <w:rPr>
          <w:rFonts w:ascii="Times New Roman" w:eastAsia="Times New Roman" w:hAnsi="Times New Roman" w:cs="Times New Roman"/>
          <w:sz w:val="24"/>
          <w:szCs w:val="24"/>
          <w:lang w:eastAsia="pl-PL"/>
        </w:rPr>
        <w:t xml:space="preserve"> ustaw</w:t>
      </w:r>
      <w:r w:rsidR="000D11CB" w:rsidRPr="00BE264C">
        <w:rPr>
          <w:rFonts w:ascii="Times New Roman" w:eastAsia="Times New Roman" w:hAnsi="Times New Roman" w:cs="Times New Roman"/>
          <w:sz w:val="24"/>
          <w:szCs w:val="24"/>
          <w:lang w:eastAsia="pl-PL"/>
        </w:rPr>
        <w:t>y</w:t>
      </w:r>
      <w:r w:rsidRPr="00BE264C">
        <w:rPr>
          <w:rFonts w:ascii="Times New Roman" w:eastAsia="Times New Roman" w:hAnsi="Times New Roman" w:cs="Times New Roman"/>
          <w:sz w:val="24"/>
          <w:szCs w:val="24"/>
          <w:lang w:eastAsia="pl-PL"/>
        </w:rPr>
        <w:t xml:space="preserve"> </w:t>
      </w:r>
      <w:r w:rsidRPr="00BE264C">
        <w:rPr>
          <w:rFonts w:ascii="Times New Roman" w:eastAsia="Times New Roman" w:hAnsi="Times New Roman" w:cs="Times New Roman"/>
          <w:bCs/>
          <w:sz w:val="24"/>
          <w:szCs w:val="24"/>
          <w:lang w:eastAsia="pl-PL"/>
        </w:rPr>
        <w:t>–</w:t>
      </w:r>
      <w:r w:rsidRPr="00BE264C">
        <w:rPr>
          <w:rFonts w:ascii="Times New Roman" w:eastAsia="Times New Roman" w:hAnsi="Times New Roman" w:cs="Times New Roman"/>
          <w:sz w:val="24"/>
          <w:szCs w:val="24"/>
          <w:lang w:eastAsia="pl-PL"/>
        </w:rPr>
        <w:t xml:space="preserve"> Prawo bankowe</w:t>
      </w:r>
      <w:r w:rsidR="00F94506" w:rsidRPr="00BE264C">
        <w:rPr>
          <w:rFonts w:ascii="Times New Roman" w:eastAsia="Times New Roman" w:hAnsi="Times New Roman" w:cs="Times New Roman"/>
          <w:sz w:val="24"/>
          <w:szCs w:val="24"/>
          <w:lang w:eastAsia="pl-PL"/>
        </w:rPr>
        <w:t>, ale tylko</w:t>
      </w:r>
      <w:r w:rsidRPr="00BE264C">
        <w:rPr>
          <w:rFonts w:ascii="Times New Roman" w:eastAsia="Times New Roman" w:hAnsi="Times New Roman" w:cs="Times New Roman"/>
          <w:sz w:val="24"/>
          <w:szCs w:val="24"/>
          <w:lang w:eastAsia="pl-PL"/>
        </w:rPr>
        <w:t xml:space="preserve"> w przypadku ich powołania w podmiotach będących dużymi instytucjami.</w:t>
      </w:r>
      <w:r w:rsidR="00CB72AC" w:rsidRPr="00BE264C">
        <w:rPr>
          <w:rFonts w:ascii="Times New Roman" w:eastAsia="Times New Roman" w:hAnsi="Times New Roman" w:cs="Times New Roman"/>
          <w:sz w:val="24"/>
          <w:szCs w:val="24"/>
          <w:lang w:eastAsia="pl-PL"/>
        </w:rPr>
        <w:t xml:space="preserve"> </w:t>
      </w:r>
      <w:r w:rsidR="002C57B6" w:rsidRPr="00BE264C">
        <w:rPr>
          <w:rFonts w:ascii="Times New Roman" w:eastAsia="Times New Roman" w:hAnsi="Times New Roman" w:cs="Times New Roman"/>
          <w:sz w:val="24"/>
          <w:szCs w:val="24"/>
          <w:lang w:eastAsia="pl-PL"/>
        </w:rPr>
        <w:t>Obowiązek ten wynika z a</w:t>
      </w:r>
      <w:r w:rsidR="00CB72AC" w:rsidRPr="00BE264C">
        <w:rPr>
          <w:rFonts w:ascii="Times New Roman" w:eastAsia="Times New Roman" w:hAnsi="Times New Roman" w:cs="Times New Roman"/>
          <w:sz w:val="24"/>
          <w:szCs w:val="24"/>
          <w:lang w:eastAsia="pl-PL"/>
        </w:rPr>
        <w:t xml:space="preserve">rt. 91a ust. </w:t>
      </w:r>
      <w:r w:rsidR="002C57B6" w:rsidRPr="00BE264C">
        <w:rPr>
          <w:rFonts w:ascii="Times New Roman" w:eastAsia="Times New Roman" w:hAnsi="Times New Roman" w:cs="Times New Roman"/>
          <w:sz w:val="24"/>
          <w:szCs w:val="24"/>
          <w:lang w:eastAsia="pl-PL"/>
        </w:rPr>
        <w:t>5</w:t>
      </w:r>
      <w:r w:rsidR="00CB72AC" w:rsidRPr="00BE264C">
        <w:rPr>
          <w:rFonts w:ascii="Times New Roman" w:eastAsia="Times New Roman" w:hAnsi="Times New Roman" w:cs="Times New Roman"/>
          <w:sz w:val="24"/>
          <w:szCs w:val="24"/>
          <w:lang w:eastAsia="pl-PL"/>
        </w:rPr>
        <w:t xml:space="preserve"> dyrektywy CRD VI</w:t>
      </w:r>
      <w:r w:rsidR="002C57B6" w:rsidRPr="00BE264C">
        <w:rPr>
          <w:rFonts w:ascii="Times New Roman" w:eastAsia="Times New Roman" w:hAnsi="Times New Roman" w:cs="Times New Roman"/>
          <w:sz w:val="24"/>
          <w:szCs w:val="24"/>
          <w:lang w:eastAsia="pl-PL"/>
        </w:rPr>
        <w:t xml:space="preserve">. </w:t>
      </w:r>
      <w:r w:rsidR="00F94506" w:rsidRPr="00BE264C">
        <w:rPr>
          <w:rFonts w:ascii="Times New Roman" w:eastAsia="Times New Roman" w:hAnsi="Times New Roman" w:cs="Times New Roman"/>
          <w:sz w:val="24"/>
          <w:szCs w:val="24"/>
          <w:lang w:eastAsia="pl-PL"/>
        </w:rPr>
        <w:t xml:space="preserve">Natomiast wszystkie osoby pełniące kluczowe funkcje podlegają ocenie odpowiedniości dokonywanej przez podmiot, przy czym wyniki oceny są przekazywane do KNF, zgodnie z art. 91a ust. 1-4 dyrektywy CRD VI. </w:t>
      </w:r>
    </w:p>
    <w:p w14:paraId="4CAB2E2A" w14:textId="2C116468" w:rsidR="00382721" w:rsidRPr="00BE264C" w:rsidRDefault="00382721"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sz w:val="24"/>
          <w:szCs w:val="24"/>
          <w:lang w:eastAsia="pl-PL"/>
        </w:rPr>
        <w:t>Wprowadza się także przepis, zgodnie z którym KNF, w ramach nadzoru nad bieżącym spełnianiem wymogów, o których mowa w art. 22aa ustawy – Prawo bankowe przez członków rady nadzorczej i zarządu oraz osoby pełniące kluczowe funkcje, może weryfikować poprawność przeprowadzenia przez bank, finansową spółkę holdingową lub finansową spółkę holdingową o działalności mieszanej</w:t>
      </w:r>
      <w:r w:rsidR="004767B2" w:rsidRPr="00BE264C">
        <w:rPr>
          <w:rFonts w:ascii="Times New Roman" w:eastAsia="Times New Roman" w:hAnsi="Times New Roman" w:cs="Times New Roman"/>
          <w:sz w:val="24"/>
          <w:szCs w:val="24"/>
          <w:lang w:eastAsia="pl-PL"/>
        </w:rPr>
        <w:t>, których działalność została zatwierdzona zgodnie z art. 48q ust. 3,</w:t>
      </w:r>
      <w:r w:rsidRPr="00BE264C">
        <w:rPr>
          <w:rFonts w:ascii="Times New Roman" w:eastAsia="Times New Roman" w:hAnsi="Times New Roman" w:cs="Times New Roman"/>
          <w:sz w:val="24"/>
          <w:szCs w:val="24"/>
          <w:lang w:eastAsia="pl-PL"/>
        </w:rPr>
        <w:t xml:space="preserve"> ocen spełniania tych wymogów, a w uzasadnionych przypadkach wezwać bank, finansową spółkę holdingową lub finansową spółkę holdingową o działalności mieszanej do przeprowadzenia takich ocen.</w:t>
      </w:r>
    </w:p>
    <w:p w14:paraId="3245A367" w14:textId="31B6C341" w:rsidR="004767B2" w:rsidRPr="00BE264C" w:rsidRDefault="004767B2"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sz w:val="24"/>
          <w:szCs w:val="24"/>
          <w:lang w:eastAsia="pl-PL"/>
        </w:rPr>
        <w:t xml:space="preserve">Zmiana wprowadzona w </w:t>
      </w:r>
      <w:r w:rsidRPr="00BE264C">
        <w:rPr>
          <w:rFonts w:ascii="Times New Roman" w:eastAsia="Times New Roman" w:hAnsi="Times New Roman" w:cs="Times New Roman"/>
          <w:b/>
          <w:bCs/>
          <w:sz w:val="24"/>
          <w:szCs w:val="24"/>
          <w:lang w:eastAsia="pl-PL"/>
        </w:rPr>
        <w:t>art. 1 pkt 17</w:t>
      </w:r>
      <w:r w:rsidRPr="00BE264C">
        <w:rPr>
          <w:rFonts w:ascii="Times New Roman" w:eastAsia="Times New Roman" w:hAnsi="Times New Roman" w:cs="Times New Roman"/>
          <w:sz w:val="24"/>
          <w:szCs w:val="24"/>
          <w:lang w:eastAsia="pl-PL"/>
        </w:rPr>
        <w:t xml:space="preserve"> wynika z konieczności uspójnienia treści przepisu poprzez dodanie wyrazów „których działalność została zatwierdzona zgodnie z art. 48q ust. 3”.</w:t>
      </w:r>
    </w:p>
    <w:p w14:paraId="17BCFC3D" w14:textId="5A5BAF84" w:rsidR="009671CC" w:rsidRPr="00BE264C" w:rsidRDefault="00C25CA0"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sz w:val="24"/>
          <w:szCs w:val="24"/>
          <w:lang w:eastAsia="pl-PL"/>
        </w:rPr>
        <w:lastRenderedPageBreak/>
        <w:t xml:space="preserve">Zgodnie ze zmianą wprowadzoną </w:t>
      </w:r>
      <w:r w:rsidRPr="00BE264C">
        <w:rPr>
          <w:rFonts w:ascii="Times New Roman" w:eastAsia="Times New Roman" w:hAnsi="Times New Roman" w:cs="Times New Roman"/>
          <w:b/>
          <w:bCs/>
          <w:sz w:val="24"/>
          <w:szCs w:val="24"/>
          <w:lang w:eastAsia="pl-PL"/>
        </w:rPr>
        <w:t xml:space="preserve">w art. 1 pkt </w:t>
      </w:r>
      <w:r w:rsidR="00C22E5F" w:rsidRPr="00BE264C">
        <w:rPr>
          <w:rFonts w:ascii="Times New Roman" w:eastAsia="Times New Roman" w:hAnsi="Times New Roman" w:cs="Times New Roman"/>
          <w:b/>
          <w:bCs/>
          <w:sz w:val="24"/>
          <w:szCs w:val="24"/>
          <w:lang w:eastAsia="pl-PL"/>
        </w:rPr>
        <w:t>1</w:t>
      </w:r>
      <w:r w:rsidR="00713A8E" w:rsidRPr="00BE264C">
        <w:rPr>
          <w:rFonts w:ascii="Times New Roman" w:eastAsia="Times New Roman" w:hAnsi="Times New Roman" w:cs="Times New Roman"/>
          <w:b/>
          <w:bCs/>
          <w:sz w:val="24"/>
          <w:szCs w:val="24"/>
          <w:lang w:eastAsia="pl-PL"/>
        </w:rPr>
        <w:t>8</w:t>
      </w:r>
      <w:r w:rsidRPr="00BE264C">
        <w:rPr>
          <w:rFonts w:ascii="Times New Roman" w:eastAsia="Times New Roman" w:hAnsi="Times New Roman" w:cs="Times New Roman"/>
          <w:sz w:val="24"/>
          <w:szCs w:val="24"/>
          <w:lang w:eastAsia="pl-PL"/>
        </w:rPr>
        <w:t xml:space="preserve"> </w:t>
      </w:r>
      <w:r w:rsidR="00F13F18" w:rsidRPr="00BE264C">
        <w:rPr>
          <w:rFonts w:ascii="Times New Roman" w:eastAsia="Times New Roman" w:hAnsi="Times New Roman" w:cs="Times New Roman"/>
          <w:sz w:val="24"/>
          <w:szCs w:val="24"/>
          <w:lang w:eastAsia="pl-PL"/>
        </w:rPr>
        <w:t>KNF otrzymuje uprawnieni</w:t>
      </w:r>
      <w:r w:rsidR="002073E2" w:rsidRPr="00BE264C">
        <w:rPr>
          <w:rFonts w:ascii="Times New Roman" w:eastAsia="Times New Roman" w:hAnsi="Times New Roman" w:cs="Times New Roman"/>
          <w:sz w:val="24"/>
          <w:szCs w:val="24"/>
          <w:lang w:eastAsia="pl-PL"/>
        </w:rPr>
        <w:t>e</w:t>
      </w:r>
      <w:r w:rsidR="00F13F18" w:rsidRPr="00BE264C">
        <w:rPr>
          <w:rFonts w:ascii="Times New Roman" w:eastAsia="Times New Roman" w:hAnsi="Times New Roman" w:cs="Times New Roman"/>
          <w:sz w:val="24"/>
          <w:szCs w:val="24"/>
          <w:lang w:eastAsia="pl-PL"/>
        </w:rPr>
        <w:t xml:space="preserve"> do wystąpienia do właściwego organu banku, finansowej spółki holdingowej lub finansowej spółki holdingowej o działalności mieszanej,</w:t>
      </w:r>
      <w:r w:rsidR="00713A8E" w:rsidRPr="00BE264C">
        <w:rPr>
          <w:rFonts w:ascii="Times New Roman" w:eastAsia="Times New Roman" w:hAnsi="Times New Roman" w:cs="Times New Roman"/>
          <w:sz w:val="24"/>
          <w:szCs w:val="24"/>
          <w:lang w:eastAsia="pl-PL"/>
        </w:rPr>
        <w:t xml:space="preserve"> których działalność została zatwierdzona zgodnie z art. 48q ust. 3,</w:t>
      </w:r>
      <w:r w:rsidR="00F13F18" w:rsidRPr="00BE264C">
        <w:rPr>
          <w:rFonts w:ascii="Times New Roman" w:eastAsia="Times New Roman" w:hAnsi="Times New Roman" w:cs="Times New Roman"/>
          <w:sz w:val="24"/>
          <w:szCs w:val="24"/>
          <w:lang w:eastAsia="pl-PL"/>
        </w:rPr>
        <w:t xml:space="preserve"> z </w:t>
      </w:r>
      <w:r w:rsidR="009671CC" w:rsidRPr="00BE264C">
        <w:rPr>
          <w:rFonts w:ascii="Times New Roman" w:eastAsia="Times New Roman" w:hAnsi="Times New Roman" w:cs="Times New Roman"/>
          <w:sz w:val="24"/>
          <w:szCs w:val="24"/>
          <w:lang w:eastAsia="pl-PL"/>
        </w:rPr>
        <w:t>zaleceniem niezwłocznego odsunięcia kierownika komórki kontroli wewnętrznej lub dyrektora do spraw finansowych od podejmowania decyzji mających znaczący wpływ na bank, finansową spółkę holdingową lub finansową spółkę holdingową o działalności mieszanej.</w:t>
      </w:r>
    </w:p>
    <w:p w14:paraId="239CC52A" w14:textId="2AD05663" w:rsidR="00713A8E" w:rsidRPr="00BE264C" w:rsidRDefault="00713A8E"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art. 1 pkt 19</w:t>
      </w:r>
      <w:r w:rsidRPr="00BE264C">
        <w:rPr>
          <w:rFonts w:ascii="Times New Roman" w:hAnsi="Times New Roman" w:cs="Times New Roman"/>
          <w:sz w:val="24"/>
          <w:szCs w:val="24"/>
        </w:rPr>
        <w:t xml:space="preserve"> ma charakter uspójniający</w:t>
      </w:r>
      <w:r w:rsidR="006577EB" w:rsidRPr="00BE264C">
        <w:rPr>
          <w:rFonts w:ascii="Times New Roman" w:hAnsi="Times New Roman" w:cs="Times New Roman"/>
          <w:sz w:val="24"/>
          <w:szCs w:val="24"/>
        </w:rPr>
        <w:t xml:space="preserve"> względem sformułowań stosowanych w ustawie – Prawo bankowe</w:t>
      </w:r>
      <w:r w:rsidRPr="00BE264C">
        <w:rPr>
          <w:rFonts w:ascii="Times New Roman" w:hAnsi="Times New Roman" w:cs="Times New Roman"/>
          <w:sz w:val="24"/>
          <w:szCs w:val="24"/>
        </w:rPr>
        <w:t xml:space="preserve">. </w:t>
      </w:r>
    </w:p>
    <w:p w14:paraId="211185CE" w14:textId="38EFA2D2" w:rsidR="00F13F18" w:rsidRPr="00BE264C" w:rsidRDefault="008741D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Zmiany wprowadzone w </w:t>
      </w:r>
      <w:r w:rsidRPr="00BE264C">
        <w:rPr>
          <w:rFonts w:ascii="Times New Roman" w:hAnsi="Times New Roman" w:cs="Times New Roman"/>
          <w:b/>
          <w:bCs/>
          <w:sz w:val="24"/>
          <w:szCs w:val="24"/>
        </w:rPr>
        <w:t xml:space="preserve">art. 1 pkt </w:t>
      </w:r>
      <w:r w:rsidR="00713A8E" w:rsidRPr="00BE264C">
        <w:rPr>
          <w:rFonts w:ascii="Times New Roman" w:hAnsi="Times New Roman" w:cs="Times New Roman"/>
          <w:b/>
          <w:bCs/>
          <w:sz w:val="24"/>
          <w:szCs w:val="24"/>
        </w:rPr>
        <w:t>20</w:t>
      </w:r>
      <w:r w:rsidR="00C22E5F" w:rsidRPr="00BE264C">
        <w:rPr>
          <w:rFonts w:ascii="Times New Roman" w:hAnsi="Times New Roman" w:cs="Times New Roman"/>
          <w:b/>
          <w:bCs/>
          <w:sz w:val="24"/>
          <w:szCs w:val="24"/>
        </w:rPr>
        <w:t xml:space="preserve"> </w:t>
      </w:r>
      <w:r w:rsidRPr="00BE264C">
        <w:rPr>
          <w:rFonts w:ascii="Times New Roman" w:hAnsi="Times New Roman" w:cs="Times New Roman"/>
          <w:b/>
          <w:bCs/>
          <w:sz w:val="24"/>
          <w:szCs w:val="24"/>
        </w:rPr>
        <w:t>lit. a i b</w:t>
      </w:r>
      <w:r w:rsidRPr="00BE264C">
        <w:rPr>
          <w:rFonts w:ascii="Times New Roman" w:hAnsi="Times New Roman" w:cs="Times New Roman"/>
          <w:sz w:val="24"/>
          <w:szCs w:val="24"/>
        </w:rPr>
        <w:t xml:space="preserve"> wydłużają terminy </w:t>
      </w:r>
      <w:r w:rsidR="00EE1196" w:rsidRPr="00BE264C">
        <w:rPr>
          <w:rFonts w:ascii="Times New Roman" w:hAnsi="Times New Roman" w:cs="Times New Roman"/>
          <w:sz w:val="24"/>
          <w:szCs w:val="24"/>
        </w:rPr>
        <w:t xml:space="preserve">(z 2 dni do 10 dni) </w:t>
      </w:r>
      <w:r w:rsidRPr="00BE264C">
        <w:rPr>
          <w:rFonts w:ascii="Times New Roman" w:hAnsi="Times New Roman" w:cs="Times New Roman"/>
          <w:sz w:val="24"/>
          <w:szCs w:val="24"/>
        </w:rPr>
        <w:t>na potwierdzenie przez KNF otrzymania zawiadomienia o planowanym nabyciu przez podmiot akcji lub praw z akcji banku krajowego oraz na potwierdzenie przez KNF otrzymania informacji lub dokumentów stanowiących uzupełnienia zawiadomienia.</w:t>
      </w:r>
    </w:p>
    <w:p w14:paraId="5C462DC6" w14:textId="161BEF32" w:rsidR="009E0F42" w:rsidRPr="00BE264C" w:rsidRDefault="009E0F42"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art. 1 pkt 20 lit. c</w:t>
      </w:r>
      <w:r w:rsidRPr="00BE264C">
        <w:rPr>
          <w:rFonts w:ascii="Times New Roman" w:hAnsi="Times New Roman" w:cs="Times New Roman"/>
          <w:sz w:val="24"/>
          <w:szCs w:val="24"/>
        </w:rPr>
        <w:t xml:space="preserve"> ma charakter uspójniaj</w:t>
      </w:r>
      <w:r w:rsidR="009A4D16" w:rsidRPr="00BE264C">
        <w:rPr>
          <w:rFonts w:ascii="Times New Roman" w:hAnsi="Times New Roman" w:cs="Times New Roman"/>
          <w:sz w:val="24"/>
          <w:szCs w:val="24"/>
        </w:rPr>
        <w:t>ą</w:t>
      </w:r>
      <w:r w:rsidRPr="00BE264C">
        <w:rPr>
          <w:rFonts w:ascii="Times New Roman" w:hAnsi="Times New Roman" w:cs="Times New Roman"/>
          <w:sz w:val="24"/>
          <w:szCs w:val="24"/>
        </w:rPr>
        <w:t>cy względem sformułowań stosowanych w ustawie – Prawo bankowe.</w:t>
      </w:r>
    </w:p>
    <w:p w14:paraId="0A850DD1" w14:textId="17E07BF5" w:rsidR="008741D8" w:rsidRPr="00BE264C" w:rsidRDefault="00B5417F"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 xml:space="preserve">art. 1 pkt </w:t>
      </w:r>
      <w:r w:rsidR="006A75A6" w:rsidRPr="00BE264C">
        <w:rPr>
          <w:rFonts w:ascii="Times New Roman" w:hAnsi="Times New Roman" w:cs="Times New Roman"/>
          <w:b/>
          <w:bCs/>
          <w:sz w:val="24"/>
          <w:szCs w:val="24"/>
        </w:rPr>
        <w:t>20</w:t>
      </w:r>
      <w:r w:rsidR="00C22E5F" w:rsidRPr="00BE264C">
        <w:rPr>
          <w:rFonts w:ascii="Times New Roman" w:hAnsi="Times New Roman" w:cs="Times New Roman"/>
          <w:b/>
          <w:bCs/>
          <w:sz w:val="24"/>
          <w:szCs w:val="24"/>
        </w:rPr>
        <w:t xml:space="preserve"> </w:t>
      </w:r>
      <w:r w:rsidRPr="00BE264C">
        <w:rPr>
          <w:rFonts w:ascii="Times New Roman" w:hAnsi="Times New Roman" w:cs="Times New Roman"/>
          <w:b/>
          <w:bCs/>
          <w:sz w:val="24"/>
          <w:szCs w:val="24"/>
        </w:rPr>
        <w:t xml:space="preserve">lit. </w:t>
      </w:r>
      <w:r w:rsidR="009E0F42" w:rsidRPr="00BE264C">
        <w:rPr>
          <w:rFonts w:ascii="Times New Roman" w:hAnsi="Times New Roman" w:cs="Times New Roman"/>
          <w:b/>
          <w:bCs/>
          <w:sz w:val="24"/>
          <w:szCs w:val="24"/>
        </w:rPr>
        <w:t>d</w:t>
      </w:r>
      <w:r w:rsidRPr="00BE264C">
        <w:rPr>
          <w:rFonts w:ascii="Times New Roman" w:hAnsi="Times New Roman" w:cs="Times New Roman"/>
          <w:sz w:val="24"/>
          <w:szCs w:val="24"/>
        </w:rPr>
        <w:t xml:space="preserve"> wprowadzono możliwość zawieszenia biegu terminu na doręczenie decyzji w przedmiocie sprzeciwu wobec planowanej transakcji </w:t>
      </w:r>
      <w:r w:rsidR="00815B13" w:rsidRPr="00BE264C">
        <w:rPr>
          <w:rFonts w:ascii="Times New Roman" w:hAnsi="Times New Roman" w:cs="Times New Roman"/>
          <w:sz w:val="24"/>
          <w:szCs w:val="24"/>
        </w:rPr>
        <w:t>także w przypadku gdy podmiotem składającym zawiadomienie jest finansowa spółka holdingowa lub finansowa spółka holdingowa o działalności mieszanej, która jest stroną toczącego się postępowania w</w:t>
      </w:r>
      <w:r w:rsidR="007762DB" w:rsidRPr="00BE264C">
        <w:rPr>
          <w:rFonts w:ascii="Times New Roman" w:hAnsi="Times New Roman" w:cs="Times New Roman"/>
          <w:sz w:val="24"/>
          <w:szCs w:val="24"/>
        </w:rPr>
        <w:t> </w:t>
      </w:r>
      <w:r w:rsidR="00815B13" w:rsidRPr="00BE264C">
        <w:rPr>
          <w:rFonts w:ascii="Times New Roman" w:hAnsi="Times New Roman" w:cs="Times New Roman"/>
          <w:sz w:val="24"/>
          <w:szCs w:val="24"/>
        </w:rPr>
        <w:t xml:space="preserve">przedmiocie </w:t>
      </w:r>
      <w:r w:rsidR="00EE1196" w:rsidRPr="00BE264C">
        <w:rPr>
          <w:rFonts w:ascii="Times New Roman" w:hAnsi="Times New Roman" w:cs="Times New Roman"/>
          <w:sz w:val="24"/>
          <w:szCs w:val="24"/>
        </w:rPr>
        <w:t>zatwierdzenia lub</w:t>
      </w:r>
      <w:r w:rsidR="00815B13" w:rsidRPr="00BE264C">
        <w:rPr>
          <w:rFonts w:ascii="Times New Roman" w:hAnsi="Times New Roman" w:cs="Times New Roman"/>
          <w:sz w:val="24"/>
          <w:szCs w:val="24"/>
        </w:rPr>
        <w:t xml:space="preserve"> zwolnieniu z obowiązku zatwierdzenia prowadzenia działalności, o który</w:t>
      </w:r>
      <w:r w:rsidR="00EE1196" w:rsidRPr="00BE264C">
        <w:rPr>
          <w:rFonts w:ascii="Times New Roman" w:hAnsi="Times New Roman" w:cs="Times New Roman"/>
          <w:sz w:val="24"/>
          <w:szCs w:val="24"/>
        </w:rPr>
        <w:t>ch</w:t>
      </w:r>
      <w:r w:rsidR="00815B13" w:rsidRPr="00BE264C">
        <w:rPr>
          <w:rFonts w:ascii="Times New Roman" w:hAnsi="Times New Roman" w:cs="Times New Roman"/>
          <w:sz w:val="24"/>
          <w:szCs w:val="24"/>
        </w:rPr>
        <w:t xml:space="preserve"> mowa </w:t>
      </w:r>
      <w:r w:rsidR="00EE1196" w:rsidRPr="00BE264C">
        <w:rPr>
          <w:rFonts w:ascii="Times New Roman" w:hAnsi="Times New Roman" w:cs="Times New Roman"/>
          <w:sz w:val="24"/>
          <w:szCs w:val="24"/>
        </w:rPr>
        <w:t xml:space="preserve">odpowiednio </w:t>
      </w:r>
      <w:r w:rsidR="00815B13" w:rsidRPr="00BE264C">
        <w:rPr>
          <w:rFonts w:ascii="Times New Roman" w:hAnsi="Times New Roman" w:cs="Times New Roman"/>
          <w:sz w:val="24"/>
          <w:szCs w:val="24"/>
        </w:rPr>
        <w:t>w</w:t>
      </w:r>
      <w:r w:rsidR="00EE1196" w:rsidRPr="00BE264C">
        <w:rPr>
          <w:rFonts w:ascii="Times New Roman" w:hAnsi="Times New Roman" w:cs="Times New Roman"/>
          <w:sz w:val="24"/>
          <w:szCs w:val="24"/>
        </w:rPr>
        <w:t xml:space="preserve"> art. 48q ust. 3 i</w:t>
      </w:r>
      <w:r w:rsidR="00815B13" w:rsidRPr="00BE264C">
        <w:rPr>
          <w:rFonts w:ascii="Times New Roman" w:hAnsi="Times New Roman" w:cs="Times New Roman"/>
          <w:sz w:val="24"/>
          <w:szCs w:val="24"/>
        </w:rPr>
        <w:t xml:space="preserve"> art. 48s ust. 1</w:t>
      </w:r>
      <w:r w:rsidR="00532695" w:rsidRPr="00BE264C">
        <w:rPr>
          <w:rFonts w:ascii="Times New Roman" w:hAnsi="Times New Roman" w:cs="Times New Roman"/>
          <w:sz w:val="24"/>
          <w:szCs w:val="24"/>
        </w:rPr>
        <w:t xml:space="preserve"> ustawy</w:t>
      </w:r>
      <w:r w:rsidR="00EE1196" w:rsidRPr="00BE264C">
        <w:rPr>
          <w:rFonts w:ascii="Times New Roman" w:hAnsi="Times New Roman" w:cs="Times New Roman"/>
          <w:sz w:val="24"/>
          <w:szCs w:val="24"/>
        </w:rPr>
        <w:t xml:space="preserve"> – Prawo bankowe</w:t>
      </w:r>
      <w:r w:rsidR="00815B13" w:rsidRPr="00BE264C">
        <w:rPr>
          <w:rFonts w:ascii="Times New Roman" w:hAnsi="Times New Roman" w:cs="Times New Roman"/>
          <w:sz w:val="24"/>
          <w:szCs w:val="24"/>
        </w:rPr>
        <w:t>.</w:t>
      </w:r>
    </w:p>
    <w:p w14:paraId="4DECFB82" w14:textId="1A00350E" w:rsidR="006A75A6" w:rsidRPr="00BE264C" w:rsidRDefault="006A75A6"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 xml:space="preserve">art. 1 pkt 20 lit. </w:t>
      </w:r>
      <w:r w:rsidR="009E0F42" w:rsidRPr="00BE264C">
        <w:rPr>
          <w:rFonts w:ascii="Times New Roman" w:hAnsi="Times New Roman" w:cs="Times New Roman"/>
          <w:b/>
          <w:bCs/>
          <w:sz w:val="24"/>
          <w:szCs w:val="24"/>
        </w:rPr>
        <w:t>e</w:t>
      </w:r>
      <w:r w:rsidRPr="00BE264C">
        <w:rPr>
          <w:rFonts w:ascii="Times New Roman" w:hAnsi="Times New Roman" w:cs="Times New Roman"/>
          <w:sz w:val="24"/>
          <w:szCs w:val="24"/>
        </w:rPr>
        <w:t xml:space="preserve"> wydłuża termin (z 2 dni do 10 dni) na potwierdzenie otrzymania przez KNF</w:t>
      </w:r>
      <w:r w:rsidRPr="009858C9">
        <w:rPr>
          <w:rFonts w:ascii="Times New Roman" w:hAnsi="Times New Roman" w:cs="Times New Roman"/>
          <w:sz w:val="24"/>
          <w:szCs w:val="24"/>
        </w:rPr>
        <w:t xml:space="preserve"> </w:t>
      </w:r>
      <w:r w:rsidRPr="00BE264C">
        <w:rPr>
          <w:rFonts w:ascii="Times New Roman" w:hAnsi="Times New Roman" w:cs="Times New Roman"/>
          <w:sz w:val="24"/>
          <w:szCs w:val="24"/>
        </w:rPr>
        <w:t>dodatkowych informacji lub dokumentów</w:t>
      </w:r>
      <w:r w:rsidRPr="009858C9">
        <w:rPr>
          <w:rFonts w:ascii="Times New Roman" w:hAnsi="Times New Roman" w:cs="Times New Roman"/>
          <w:sz w:val="24"/>
          <w:szCs w:val="24"/>
        </w:rPr>
        <w:t xml:space="preserve"> </w:t>
      </w:r>
      <w:r w:rsidRPr="00BE264C">
        <w:rPr>
          <w:rFonts w:ascii="Times New Roman" w:hAnsi="Times New Roman" w:cs="Times New Roman"/>
          <w:sz w:val="24"/>
          <w:szCs w:val="24"/>
        </w:rPr>
        <w:t>informacji lub dokumentów od podmiotu, który złożył zawiadomienie o zamiarze nabycia albo objęcia akcji lub praw z akcji banku krajowego.</w:t>
      </w:r>
    </w:p>
    <w:p w14:paraId="2EE08A72" w14:textId="0B93BBD6" w:rsidR="00815B13" w:rsidRPr="00BE264C" w:rsidRDefault="0067069C"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b/>
          <w:bCs/>
          <w:sz w:val="24"/>
          <w:szCs w:val="24"/>
        </w:rPr>
        <w:t xml:space="preserve">Art. 1 pkt </w:t>
      </w:r>
      <w:r w:rsidR="006F47FF" w:rsidRPr="00BE264C">
        <w:rPr>
          <w:rFonts w:ascii="Times New Roman" w:hAnsi="Times New Roman" w:cs="Times New Roman"/>
          <w:b/>
          <w:bCs/>
          <w:sz w:val="24"/>
          <w:szCs w:val="24"/>
        </w:rPr>
        <w:t>21</w:t>
      </w:r>
      <w:r w:rsidR="00C22E5F" w:rsidRPr="00BE264C">
        <w:rPr>
          <w:rFonts w:ascii="Times New Roman" w:hAnsi="Times New Roman" w:cs="Times New Roman"/>
          <w:sz w:val="24"/>
          <w:szCs w:val="24"/>
        </w:rPr>
        <w:t xml:space="preserve"> </w:t>
      </w:r>
      <w:r w:rsidRPr="00BE264C">
        <w:rPr>
          <w:rFonts w:ascii="Times New Roman" w:hAnsi="Times New Roman" w:cs="Times New Roman"/>
          <w:sz w:val="24"/>
          <w:szCs w:val="24"/>
        </w:rPr>
        <w:t xml:space="preserve">wprowadza możliwość wyrażenia przez KNF sprzeciwu wobec planowanej transakcji także w przypadku, gdy miejsce zamieszkania lub siedziba podmiotu składającego zawiadomienie znajduje się w państwie trzecim </w:t>
      </w:r>
      <w:r w:rsidR="007F5C4D" w:rsidRPr="00BE264C">
        <w:rPr>
          <w:rFonts w:ascii="Times New Roman" w:hAnsi="Times New Roman" w:cs="Times New Roman"/>
          <w:sz w:val="24"/>
          <w:szCs w:val="24"/>
        </w:rPr>
        <w:t xml:space="preserve">zidentyfikowanym jako państwo trzecie </w:t>
      </w:r>
      <w:r w:rsidRPr="00BE264C">
        <w:rPr>
          <w:rFonts w:ascii="Times New Roman" w:hAnsi="Times New Roman" w:cs="Times New Roman"/>
          <w:sz w:val="24"/>
          <w:szCs w:val="24"/>
        </w:rPr>
        <w:t>wysokiego ryzyka</w:t>
      </w:r>
      <w:r w:rsidR="007F5C4D" w:rsidRPr="00BE264C">
        <w:rPr>
          <w:rFonts w:ascii="Times New Roman" w:hAnsi="Times New Roman" w:cs="Times New Roman"/>
          <w:sz w:val="24"/>
          <w:szCs w:val="24"/>
        </w:rPr>
        <w:t xml:space="preserve"> w rozporządzeniu delegowanym Komisji wydanym na podstawie upoważnienia zawartego w art. 9 ust. 2 dyrektywy Parlamentu Europejskiego i Rady (UE) 2015/849 z dnia 20 maja 2015 r. w sprawie zapobiegania wykorzystywaniu systemu finansowego do prania pieniędzy lub finansowania terroryzmu, zmieniającej rozporządzenie </w:t>
      </w:r>
      <w:r w:rsidR="007F5C4D" w:rsidRPr="00BE264C">
        <w:rPr>
          <w:rFonts w:ascii="Times New Roman" w:hAnsi="Times New Roman" w:cs="Times New Roman"/>
          <w:sz w:val="24"/>
          <w:szCs w:val="24"/>
        </w:rPr>
        <w:lastRenderedPageBreak/>
        <w:t>Parlamentu Europejskiego i Rady (UE) nr 648/2012 i uchylającej dyrektywę Parlamentu Europejskiego i Rady 2005/60/WE oraz dyrektywę Komisji 2006/70/WE (Dz. Urz. UE L 141 z 05.06.2015, s. 73),</w:t>
      </w:r>
      <w:r w:rsidRPr="00BE264C">
        <w:rPr>
          <w:rFonts w:ascii="Times New Roman" w:hAnsi="Times New Roman" w:cs="Times New Roman"/>
          <w:sz w:val="24"/>
          <w:szCs w:val="24"/>
        </w:rPr>
        <w:t xml:space="preserve"> lub w</w:t>
      </w:r>
      <w:r w:rsidR="00224ECA" w:rsidRPr="00BE264C">
        <w:rPr>
          <w:rFonts w:ascii="Times New Roman" w:hAnsi="Times New Roman" w:cs="Times New Roman"/>
          <w:sz w:val="24"/>
          <w:szCs w:val="24"/>
        </w:rPr>
        <w:t> </w:t>
      </w:r>
      <w:r w:rsidRPr="00BE264C">
        <w:rPr>
          <w:rFonts w:ascii="Times New Roman" w:hAnsi="Times New Roman" w:cs="Times New Roman"/>
          <w:sz w:val="24"/>
          <w:szCs w:val="24"/>
        </w:rPr>
        <w:t xml:space="preserve">państwie trzecim, które jest objęte środkami ograniczającymi Unii Europejskiej. </w:t>
      </w:r>
    </w:p>
    <w:p w14:paraId="2A55BA1C" w14:textId="3D99B305" w:rsidR="00200131" w:rsidRPr="00BE264C" w:rsidRDefault="0067069C"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b/>
          <w:bCs/>
          <w:sz w:val="24"/>
          <w:szCs w:val="24"/>
        </w:rPr>
        <w:t xml:space="preserve">W art. 1 pkt </w:t>
      </w:r>
      <w:r w:rsidR="0006083C" w:rsidRPr="00BE264C">
        <w:rPr>
          <w:rFonts w:ascii="Times New Roman" w:hAnsi="Times New Roman" w:cs="Times New Roman"/>
          <w:b/>
          <w:bCs/>
          <w:sz w:val="24"/>
          <w:szCs w:val="24"/>
        </w:rPr>
        <w:t>22</w:t>
      </w:r>
      <w:r w:rsidR="00C22E5F" w:rsidRPr="00BE264C">
        <w:rPr>
          <w:rFonts w:ascii="Times New Roman" w:hAnsi="Times New Roman" w:cs="Times New Roman"/>
          <w:sz w:val="24"/>
          <w:szCs w:val="24"/>
        </w:rPr>
        <w:t xml:space="preserve"> </w:t>
      </w:r>
      <w:r w:rsidRPr="00BE264C">
        <w:rPr>
          <w:rFonts w:ascii="Times New Roman" w:hAnsi="Times New Roman" w:cs="Times New Roman"/>
          <w:sz w:val="24"/>
          <w:szCs w:val="24"/>
        </w:rPr>
        <w:t xml:space="preserve">wydłużono termin doręczenia przez KNF decyzji w przedmiocie sprzeciwu wobec planowanej transakcji z 2 </w:t>
      </w:r>
      <w:r w:rsidR="00272C0D" w:rsidRPr="00BE264C">
        <w:rPr>
          <w:rFonts w:ascii="Times New Roman" w:hAnsi="Times New Roman" w:cs="Times New Roman"/>
          <w:sz w:val="24"/>
          <w:szCs w:val="24"/>
        </w:rPr>
        <w:t xml:space="preserve">dni roboczych </w:t>
      </w:r>
      <w:r w:rsidRPr="00BE264C">
        <w:rPr>
          <w:rFonts w:ascii="Times New Roman" w:hAnsi="Times New Roman" w:cs="Times New Roman"/>
          <w:sz w:val="24"/>
          <w:szCs w:val="24"/>
        </w:rPr>
        <w:t>do 10 dni roboczych.</w:t>
      </w:r>
    </w:p>
    <w:p w14:paraId="7882941F" w14:textId="19279C39" w:rsidR="0006083C" w:rsidRPr="00BE264C" w:rsidRDefault="0006083C"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art. 1 pkt 23 lit.</w:t>
      </w:r>
      <w:r w:rsidR="002A321E" w:rsidRPr="00BE264C">
        <w:rPr>
          <w:rFonts w:ascii="Times New Roman" w:hAnsi="Times New Roman" w:cs="Times New Roman"/>
          <w:b/>
          <w:bCs/>
          <w:sz w:val="24"/>
          <w:szCs w:val="24"/>
        </w:rPr>
        <w:t xml:space="preserve"> a </w:t>
      </w:r>
      <w:r w:rsidR="002A321E" w:rsidRPr="00BE264C">
        <w:rPr>
          <w:rFonts w:ascii="Times New Roman" w:hAnsi="Times New Roman" w:cs="Times New Roman"/>
          <w:sz w:val="24"/>
          <w:szCs w:val="24"/>
        </w:rPr>
        <w:t>ma charakter ujednolicający.</w:t>
      </w:r>
    </w:p>
    <w:p w14:paraId="55A70315" w14:textId="34837562" w:rsidR="00FA6C56" w:rsidRPr="00BE264C" w:rsidRDefault="00FA6C56"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a</w:t>
      </w:r>
      <w:r w:rsidR="0067069C" w:rsidRPr="00BE264C">
        <w:rPr>
          <w:rFonts w:ascii="Times New Roman" w:hAnsi="Times New Roman" w:cs="Times New Roman"/>
          <w:b/>
          <w:bCs/>
          <w:sz w:val="24"/>
          <w:szCs w:val="24"/>
        </w:rPr>
        <w:t xml:space="preserve">rt. 1 pkt </w:t>
      </w:r>
      <w:r w:rsidR="007F5C4D" w:rsidRPr="00BE264C">
        <w:rPr>
          <w:rFonts w:ascii="Times New Roman" w:hAnsi="Times New Roman" w:cs="Times New Roman"/>
          <w:b/>
          <w:bCs/>
          <w:sz w:val="24"/>
          <w:szCs w:val="24"/>
        </w:rPr>
        <w:t>2</w:t>
      </w:r>
      <w:r w:rsidR="0006083C" w:rsidRPr="00BE264C">
        <w:rPr>
          <w:rFonts w:ascii="Times New Roman" w:hAnsi="Times New Roman" w:cs="Times New Roman"/>
          <w:b/>
          <w:bCs/>
          <w:sz w:val="24"/>
          <w:szCs w:val="24"/>
        </w:rPr>
        <w:t>3</w:t>
      </w:r>
      <w:r w:rsidR="00AC66BA" w:rsidRPr="00BE264C">
        <w:rPr>
          <w:rFonts w:ascii="Times New Roman" w:hAnsi="Times New Roman" w:cs="Times New Roman"/>
          <w:b/>
          <w:bCs/>
          <w:sz w:val="24"/>
          <w:szCs w:val="24"/>
        </w:rPr>
        <w:t xml:space="preserve"> lit. </w:t>
      </w:r>
      <w:r w:rsidR="0006083C" w:rsidRPr="00BE264C">
        <w:rPr>
          <w:rFonts w:ascii="Times New Roman" w:hAnsi="Times New Roman" w:cs="Times New Roman"/>
          <w:b/>
          <w:bCs/>
          <w:sz w:val="24"/>
          <w:szCs w:val="24"/>
        </w:rPr>
        <w:t>b</w:t>
      </w:r>
      <w:r w:rsidR="00C22E5F" w:rsidRPr="00BE264C">
        <w:rPr>
          <w:rFonts w:ascii="Times New Roman" w:hAnsi="Times New Roman" w:cs="Times New Roman"/>
          <w:sz w:val="24"/>
          <w:szCs w:val="24"/>
        </w:rPr>
        <w:t xml:space="preserve"> </w:t>
      </w:r>
      <w:r w:rsidR="00EF2838" w:rsidRPr="00BE264C">
        <w:rPr>
          <w:rFonts w:ascii="Times New Roman" w:hAnsi="Times New Roman" w:cs="Times New Roman"/>
          <w:bCs/>
          <w:sz w:val="24"/>
          <w:szCs w:val="24"/>
        </w:rPr>
        <w:t>wprowadza zasadę</w:t>
      </w:r>
      <w:r w:rsidRPr="00BE264C">
        <w:rPr>
          <w:rFonts w:ascii="Times New Roman" w:hAnsi="Times New Roman" w:cs="Times New Roman"/>
          <w:bCs/>
          <w:sz w:val="24"/>
          <w:szCs w:val="24"/>
        </w:rPr>
        <w:t>, że kara pieniężna</w:t>
      </w:r>
      <w:r w:rsidR="0030797C" w:rsidRPr="00BE264C">
        <w:rPr>
          <w:rFonts w:ascii="Times New Roman" w:hAnsi="Times New Roman" w:cs="Times New Roman"/>
          <w:bCs/>
          <w:sz w:val="24"/>
          <w:szCs w:val="24"/>
        </w:rPr>
        <w:t xml:space="preserve">, </w:t>
      </w:r>
      <w:r w:rsidR="0030797C" w:rsidRPr="00BE264C">
        <w:rPr>
          <w:rFonts w:ascii="Times New Roman" w:hAnsi="Times New Roman" w:cs="Times New Roman"/>
          <w:sz w:val="24"/>
          <w:szCs w:val="24"/>
        </w:rPr>
        <w:t>w przypadku nabycia lub objęcia akcji</w:t>
      </w:r>
      <w:r w:rsidR="002A321E" w:rsidRPr="00BE264C">
        <w:rPr>
          <w:rFonts w:ascii="Times New Roman" w:hAnsi="Times New Roman" w:cs="Times New Roman"/>
          <w:sz w:val="24"/>
          <w:szCs w:val="24"/>
        </w:rPr>
        <w:t xml:space="preserve"> lub praw z akcji</w:t>
      </w:r>
      <w:r w:rsidR="0030797C" w:rsidRPr="00BE264C">
        <w:rPr>
          <w:rFonts w:ascii="Times New Roman" w:hAnsi="Times New Roman" w:cs="Times New Roman"/>
          <w:sz w:val="24"/>
          <w:szCs w:val="24"/>
        </w:rPr>
        <w:t xml:space="preserve"> z naruszeniem ustawy – Prawo bankowe,</w:t>
      </w:r>
      <w:r w:rsidRPr="00BE264C">
        <w:rPr>
          <w:rFonts w:ascii="Times New Roman" w:hAnsi="Times New Roman" w:cs="Times New Roman"/>
          <w:bCs/>
          <w:sz w:val="24"/>
          <w:szCs w:val="24"/>
        </w:rPr>
        <w:t xml:space="preserve"> jest kalkulowana na podstawie całkowitego rocznego </w:t>
      </w:r>
      <w:r w:rsidR="002D14A6" w:rsidRPr="00BE264C">
        <w:rPr>
          <w:rFonts w:ascii="Times New Roman" w:hAnsi="Times New Roman" w:cs="Times New Roman"/>
          <w:bCs/>
          <w:sz w:val="24"/>
          <w:szCs w:val="24"/>
        </w:rPr>
        <w:t xml:space="preserve">obrotu </w:t>
      </w:r>
      <w:r w:rsidRPr="00BE264C">
        <w:rPr>
          <w:rFonts w:ascii="Times New Roman" w:hAnsi="Times New Roman" w:cs="Times New Roman"/>
          <w:bCs/>
          <w:sz w:val="24"/>
          <w:szCs w:val="24"/>
        </w:rPr>
        <w:t>netto.</w:t>
      </w:r>
      <w:r w:rsidR="005E1AD1" w:rsidRPr="00BE264C">
        <w:rPr>
          <w:rFonts w:ascii="Times New Roman" w:hAnsi="Times New Roman" w:cs="Times New Roman"/>
          <w:bCs/>
          <w:sz w:val="24"/>
          <w:szCs w:val="24"/>
        </w:rPr>
        <w:t xml:space="preserve"> Jednocześnie w słowniczku ustawy – Prawo bankowe wprowadzono definicję całkowitego rocznego </w:t>
      </w:r>
      <w:r w:rsidR="002D14A6" w:rsidRPr="00BE264C">
        <w:rPr>
          <w:rFonts w:ascii="Times New Roman" w:hAnsi="Times New Roman" w:cs="Times New Roman"/>
          <w:bCs/>
          <w:sz w:val="24"/>
          <w:szCs w:val="24"/>
        </w:rPr>
        <w:t xml:space="preserve">obrotu </w:t>
      </w:r>
      <w:r w:rsidR="005E1AD1" w:rsidRPr="00BE264C">
        <w:rPr>
          <w:rFonts w:ascii="Times New Roman" w:hAnsi="Times New Roman" w:cs="Times New Roman"/>
          <w:bCs/>
          <w:sz w:val="24"/>
          <w:szCs w:val="24"/>
        </w:rPr>
        <w:t>netto.</w:t>
      </w:r>
      <w:r w:rsidRPr="00BE264C">
        <w:rPr>
          <w:rFonts w:ascii="Times New Roman" w:hAnsi="Times New Roman" w:cs="Times New Roman"/>
          <w:bCs/>
          <w:sz w:val="24"/>
          <w:szCs w:val="24"/>
        </w:rPr>
        <w:t xml:space="preserve"> Ponadto, projektowana zmiana</w:t>
      </w:r>
      <w:r w:rsidRPr="00BE264C">
        <w:rPr>
          <w:rFonts w:ascii="Times New Roman" w:hAnsi="Times New Roman" w:cs="Times New Roman"/>
          <w:sz w:val="24"/>
          <w:szCs w:val="24"/>
        </w:rPr>
        <w:t xml:space="preserve"> ma na celu wprowadzenie możliwości nałożenia</w:t>
      </w:r>
      <w:r w:rsidR="00EF2838" w:rsidRPr="00BE264C">
        <w:rPr>
          <w:rFonts w:ascii="Times New Roman" w:hAnsi="Times New Roman" w:cs="Times New Roman"/>
          <w:sz w:val="24"/>
          <w:szCs w:val="24"/>
        </w:rPr>
        <w:t xml:space="preserve"> przez KNF </w:t>
      </w:r>
      <w:r w:rsidR="0030797C" w:rsidRPr="00BE264C">
        <w:rPr>
          <w:rFonts w:ascii="Times New Roman" w:hAnsi="Times New Roman" w:cs="Times New Roman"/>
          <w:sz w:val="24"/>
          <w:szCs w:val="24"/>
        </w:rPr>
        <w:t xml:space="preserve">kary pieniężnej </w:t>
      </w:r>
      <w:r w:rsidR="0030797C" w:rsidRPr="00BE264C">
        <w:rPr>
          <w:rFonts w:ascii="Times New Roman" w:hAnsi="Times New Roman" w:cs="Times New Roman"/>
          <w:bCs/>
          <w:sz w:val="24"/>
          <w:szCs w:val="24"/>
        </w:rPr>
        <w:t>za każdy dzień trwającego naruszenia. W przypadku</w:t>
      </w:r>
      <w:bookmarkStart w:id="3" w:name="_Hlk172209816"/>
      <w:r w:rsidRPr="00BE264C">
        <w:rPr>
          <w:rFonts w:ascii="Times New Roman" w:hAnsi="Times New Roman" w:cs="Times New Roman"/>
          <w:bCs/>
          <w:sz w:val="24"/>
          <w:szCs w:val="24"/>
        </w:rPr>
        <w:t xml:space="preserve"> akcjonariusza będącego</w:t>
      </w:r>
      <w:r w:rsidR="0024207A" w:rsidRPr="00BE264C">
        <w:rPr>
          <w:rFonts w:ascii="Times New Roman" w:hAnsi="Times New Roman" w:cs="Times New Roman"/>
          <w:bCs/>
          <w:sz w:val="24"/>
          <w:szCs w:val="24"/>
        </w:rPr>
        <w:t xml:space="preserve"> osobą prawną, jest to kara pieniężna do wysokości kwoty stanowiącej równowartość 5</w:t>
      </w:r>
      <w:r w:rsidR="006B637B">
        <w:rPr>
          <w:rFonts w:ascii="Times New Roman" w:hAnsi="Times New Roman" w:cs="Times New Roman"/>
          <w:bCs/>
          <w:sz w:val="24"/>
          <w:szCs w:val="24"/>
        </w:rPr>
        <w:t xml:space="preserve"> </w:t>
      </w:r>
      <w:r w:rsidR="0024207A" w:rsidRPr="00BE264C">
        <w:rPr>
          <w:rFonts w:ascii="Times New Roman" w:hAnsi="Times New Roman" w:cs="Times New Roman"/>
          <w:bCs/>
          <w:sz w:val="24"/>
          <w:szCs w:val="24"/>
        </w:rPr>
        <w:t xml:space="preserve">% średniego dziennego </w:t>
      </w:r>
      <w:r w:rsidR="00AC66BA" w:rsidRPr="00BE264C">
        <w:rPr>
          <w:rFonts w:ascii="Times New Roman" w:hAnsi="Times New Roman" w:cs="Times New Roman"/>
          <w:bCs/>
          <w:sz w:val="24"/>
          <w:szCs w:val="24"/>
        </w:rPr>
        <w:t xml:space="preserve">obrotu </w:t>
      </w:r>
      <w:r w:rsidR="0024207A" w:rsidRPr="00BE264C">
        <w:rPr>
          <w:rFonts w:ascii="Times New Roman" w:hAnsi="Times New Roman" w:cs="Times New Roman"/>
          <w:bCs/>
          <w:sz w:val="24"/>
          <w:szCs w:val="24"/>
        </w:rPr>
        <w:t xml:space="preserve">netto za każdy dzień trwającego naruszenia do dnia przywrócenia </w:t>
      </w:r>
      <w:r w:rsidR="00110B6D" w:rsidRPr="00BE264C">
        <w:rPr>
          <w:rFonts w:ascii="Times New Roman" w:hAnsi="Times New Roman" w:cs="Times New Roman"/>
          <w:bCs/>
          <w:sz w:val="24"/>
          <w:szCs w:val="24"/>
        </w:rPr>
        <w:t xml:space="preserve">stanu </w:t>
      </w:r>
      <w:r w:rsidR="0024207A" w:rsidRPr="00BE264C">
        <w:rPr>
          <w:rFonts w:ascii="Times New Roman" w:hAnsi="Times New Roman" w:cs="Times New Roman"/>
          <w:bCs/>
          <w:sz w:val="24"/>
          <w:szCs w:val="24"/>
        </w:rPr>
        <w:t>zgodności z prawem, przez okres nie dłuższy niż 6 miesięcy od daty określonej w decyzji</w:t>
      </w:r>
      <w:r w:rsidR="008203B7" w:rsidRPr="00BE264C">
        <w:rPr>
          <w:rFonts w:ascii="Times New Roman" w:eastAsiaTheme="minorEastAsia" w:hAnsi="Times New Roman" w:cs="Times New Roman"/>
          <w:sz w:val="24"/>
          <w:szCs w:val="24"/>
          <w:lang w:eastAsia="pl-PL"/>
        </w:rPr>
        <w:t xml:space="preserve"> </w:t>
      </w:r>
      <w:r w:rsidR="008203B7" w:rsidRPr="00BE264C">
        <w:rPr>
          <w:rFonts w:ascii="Times New Roman" w:hAnsi="Times New Roman" w:cs="Times New Roman"/>
          <w:bCs/>
          <w:sz w:val="24"/>
          <w:szCs w:val="24"/>
        </w:rPr>
        <w:t>nakazującej zaprzestanie naruszenia i nakładającej karę pieniężną</w:t>
      </w:r>
      <w:r w:rsidR="0024207A" w:rsidRPr="00BE264C">
        <w:rPr>
          <w:rFonts w:ascii="Times New Roman" w:hAnsi="Times New Roman" w:cs="Times New Roman"/>
          <w:bCs/>
          <w:sz w:val="24"/>
          <w:szCs w:val="24"/>
        </w:rPr>
        <w:t xml:space="preserve">, natomiast w przypadku akcjonariusza będącego </w:t>
      </w:r>
      <w:r w:rsidRPr="00BE264C">
        <w:rPr>
          <w:rFonts w:ascii="Times New Roman" w:hAnsi="Times New Roman" w:cs="Times New Roman"/>
          <w:bCs/>
          <w:sz w:val="24"/>
          <w:szCs w:val="24"/>
        </w:rPr>
        <w:t>osobą fizyczną</w:t>
      </w:r>
      <w:r w:rsidR="0024207A" w:rsidRPr="00BE264C">
        <w:rPr>
          <w:rFonts w:ascii="Times New Roman" w:hAnsi="Times New Roman" w:cs="Times New Roman"/>
          <w:bCs/>
          <w:sz w:val="24"/>
          <w:szCs w:val="24"/>
        </w:rPr>
        <w:t xml:space="preserve"> – </w:t>
      </w:r>
      <w:r w:rsidRPr="00BE264C">
        <w:rPr>
          <w:rFonts w:ascii="Times New Roman" w:hAnsi="Times New Roman" w:cs="Times New Roman"/>
          <w:bCs/>
          <w:sz w:val="24"/>
          <w:szCs w:val="24"/>
        </w:rPr>
        <w:t>kar</w:t>
      </w:r>
      <w:r w:rsidR="002D14A6" w:rsidRPr="00BE264C">
        <w:rPr>
          <w:rFonts w:ascii="Times New Roman" w:hAnsi="Times New Roman" w:cs="Times New Roman"/>
          <w:bCs/>
          <w:sz w:val="24"/>
          <w:szCs w:val="24"/>
        </w:rPr>
        <w:t>a</w:t>
      </w:r>
      <w:r w:rsidRPr="00BE264C">
        <w:rPr>
          <w:rFonts w:ascii="Times New Roman" w:hAnsi="Times New Roman" w:cs="Times New Roman"/>
          <w:bCs/>
          <w:sz w:val="24"/>
          <w:szCs w:val="24"/>
        </w:rPr>
        <w:t xml:space="preserve"> pieniężn</w:t>
      </w:r>
      <w:r w:rsidR="002D14A6" w:rsidRPr="00BE264C">
        <w:rPr>
          <w:rFonts w:ascii="Times New Roman" w:hAnsi="Times New Roman" w:cs="Times New Roman"/>
          <w:bCs/>
          <w:sz w:val="24"/>
          <w:szCs w:val="24"/>
        </w:rPr>
        <w:t>a</w:t>
      </w:r>
      <w:r w:rsidRPr="00BE264C">
        <w:rPr>
          <w:rFonts w:ascii="Times New Roman" w:hAnsi="Times New Roman" w:cs="Times New Roman"/>
          <w:bCs/>
          <w:sz w:val="24"/>
          <w:szCs w:val="24"/>
        </w:rPr>
        <w:t xml:space="preserve"> do wysokości 213 165 złotych </w:t>
      </w:r>
      <w:r w:rsidR="006F0CE3" w:rsidRPr="00BE264C">
        <w:rPr>
          <w:rFonts w:ascii="Times New Roman" w:hAnsi="Times New Roman" w:cs="Times New Roman"/>
          <w:bCs/>
          <w:sz w:val="24"/>
          <w:szCs w:val="24"/>
        </w:rPr>
        <w:t xml:space="preserve">za każdy dzień trwającego naruszenia </w:t>
      </w:r>
      <w:r w:rsidRPr="00BE264C">
        <w:rPr>
          <w:rFonts w:ascii="Times New Roman" w:hAnsi="Times New Roman" w:cs="Times New Roman"/>
          <w:bCs/>
          <w:sz w:val="24"/>
          <w:szCs w:val="24"/>
        </w:rPr>
        <w:t xml:space="preserve">do dnia przywrócenia </w:t>
      </w:r>
      <w:r w:rsidR="00110B6D" w:rsidRPr="00BE264C">
        <w:rPr>
          <w:rFonts w:ascii="Times New Roman" w:hAnsi="Times New Roman" w:cs="Times New Roman"/>
          <w:bCs/>
          <w:sz w:val="24"/>
          <w:szCs w:val="24"/>
        </w:rPr>
        <w:t xml:space="preserve">stanu </w:t>
      </w:r>
      <w:r w:rsidRPr="00BE264C">
        <w:rPr>
          <w:rFonts w:ascii="Times New Roman" w:hAnsi="Times New Roman" w:cs="Times New Roman"/>
          <w:bCs/>
          <w:sz w:val="24"/>
          <w:szCs w:val="24"/>
        </w:rPr>
        <w:t>zgodności z prawem, przez okres nie dłuższy niż sześć miesięcy od daty określonej w decyzji</w:t>
      </w:r>
      <w:r w:rsidR="008203B7" w:rsidRPr="00BE264C">
        <w:rPr>
          <w:rFonts w:ascii="Times New Roman" w:eastAsiaTheme="minorEastAsia" w:hAnsi="Times New Roman" w:cs="Times New Roman"/>
          <w:sz w:val="24"/>
          <w:szCs w:val="24"/>
          <w:lang w:eastAsia="pl-PL"/>
        </w:rPr>
        <w:t xml:space="preserve"> </w:t>
      </w:r>
      <w:r w:rsidR="008203B7" w:rsidRPr="00BE264C">
        <w:rPr>
          <w:rFonts w:ascii="Times New Roman" w:hAnsi="Times New Roman" w:cs="Times New Roman"/>
          <w:bCs/>
          <w:sz w:val="24"/>
          <w:szCs w:val="24"/>
        </w:rPr>
        <w:t>nakazującej zaprzestanie naruszenia i nakładającej karę pieniężną</w:t>
      </w:r>
      <w:r w:rsidR="0024207A" w:rsidRPr="00BE264C">
        <w:rPr>
          <w:rFonts w:ascii="Times New Roman" w:hAnsi="Times New Roman" w:cs="Times New Roman"/>
          <w:bCs/>
          <w:sz w:val="24"/>
          <w:szCs w:val="24"/>
        </w:rPr>
        <w:t>.</w:t>
      </w:r>
      <w:r w:rsidRPr="00BE264C">
        <w:rPr>
          <w:rFonts w:ascii="Times New Roman" w:hAnsi="Times New Roman" w:cs="Times New Roman"/>
          <w:bCs/>
          <w:sz w:val="24"/>
          <w:szCs w:val="24"/>
        </w:rPr>
        <w:t xml:space="preserve"> </w:t>
      </w:r>
      <w:bookmarkEnd w:id="3"/>
    </w:p>
    <w:p w14:paraId="4992CCAF" w14:textId="4570DEC0" w:rsidR="00AC66BA" w:rsidRPr="00BE264C" w:rsidRDefault="002140AB"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W </w:t>
      </w:r>
      <w:r w:rsidR="00AC66BA" w:rsidRPr="00BE264C">
        <w:rPr>
          <w:rFonts w:ascii="Times New Roman" w:hAnsi="Times New Roman" w:cs="Times New Roman"/>
          <w:b/>
          <w:sz w:val="24"/>
          <w:szCs w:val="24"/>
        </w:rPr>
        <w:t>art. 2</w:t>
      </w:r>
      <w:r w:rsidR="008203B7" w:rsidRPr="00BE264C">
        <w:rPr>
          <w:rFonts w:ascii="Times New Roman" w:hAnsi="Times New Roman" w:cs="Times New Roman"/>
          <w:b/>
          <w:sz w:val="24"/>
          <w:szCs w:val="24"/>
        </w:rPr>
        <w:t>3</w:t>
      </w:r>
      <w:r w:rsidR="00AC66BA" w:rsidRPr="00BE264C">
        <w:rPr>
          <w:rFonts w:ascii="Times New Roman" w:hAnsi="Times New Roman" w:cs="Times New Roman"/>
          <w:b/>
          <w:sz w:val="24"/>
          <w:szCs w:val="24"/>
        </w:rPr>
        <w:t xml:space="preserve"> lit. </w:t>
      </w:r>
      <w:r w:rsidR="008203B7" w:rsidRPr="00BE264C">
        <w:rPr>
          <w:rFonts w:ascii="Times New Roman" w:hAnsi="Times New Roman" w:cs="Times New Roman"/>
          <w:b/>
          <w:sz w:val="24"/>
          <w:szCs w:val="24"/>
        </w:rPr>
        <w:t>c</w:t>
      </w:r>
      <w:r w:rsidRPr="00BE264C">
        <w:rPr>
          <w:rFonts w:ascii="Times New Roman" w:hAnsi="Times New Roman" w:cs="Times New Roman"/>
          <w:bCs/>
          <w:sz w:val="24"/>
          <w:szCs w:val="24"/>
        </w:rPr>
        <w:t xml:space="preserve"> wyodrębniono w osobnym ustępie możliwość ustalenia kary w wysokości do dwukrotności kwoty korzyści albo straty oraz możliwość ustanowienia przez </w:t>
      </w:r>
      <w:r w:rsidR="00AC66BA" w:rsidRPr="00BE264C">
        <w:rPr>
          <w:rFonts w:ascii="Times New Roman" w:hAnsi="Times New Roman" w:cs="Times New Roman"/>
          <w:bCs/>
          <w:sz w:val="24"/>
          <w:szCs w:val="24"/>
        </w:rPr>
        <w:t>KNF, we wskazanych przypadkach, zarząd</w:t>
      </w:r>
      <w:r w:rsidRPr="00BE264C">
        <w:rPr>
          <w:rFonts w:ascii="Times New Roman" w:hAnsi="Times New Roman" w:cs="Times New Roman"/>
          <w:bCs/>
          <w:sz w:val="24"/>
          <w:szCs w:val="24"/>
        </w:rPr>
        <w:t>u</w:t>
      </w:r>
      <w:r w:rsidR="00AC66BA" w:rsidRPr="00BE264C">
        <w:rPr>
          <w:rFonts w:ascii="Times New Roman" w:hAnsi="Times New Roman" w:cs="Times New Roman"/>
          <w:bCs/>
          <w:sz w:val="24"/>
          <w:szCs w:val="24"/>
        </w:rPr>
        <w:t xml:space="preserve"> komisaryczn</w:t>
      </w:r>
      <w:r w:rsidRPr="00BE264C">
        <w:rPr>
          <w:rFonts w:ascii="Times New Roman" w:hAnsi="Times New Roman" w:cs="Times New Roman"/>
          <w:bCs/>
          <w:sz w:val="24"/>
          <w:szCs w:val="24"/>
        </w:rPr>
        <w:t>ego w banku krajowym</w:t>
      </w:r>
      <w:r w:rsidR="00AC66BA" w:rsidRPr="00BE264C">
        <w:rPr>
          <w:rFonts w:ascii="Times New Roman" w:hAnsi="Times New Roman" w:cs="Times New Roman"/>
          <w:bCs/>
          <w:sz w:val="24"/>
          <w:szCs w:val="24"/>
        </w:rPr>
        <w:t xml:space="preserve"> albo uchyl</w:t>
      </w:r>
      <w:r w:rsidRPr="00BE264C">
        <w:rPr>
          <w:rFonts w:ascii="Times New Roman" w:hAnsi="Times New Roman" w:cs="Times New Roman"/>
          <w:bCs/>
          <w:sz w:val="24"/>
          <w:szCs w:val="24"/>
        </w:rPr>
        <w:t>enia</w:t>
      </w:r>
      <w:r w:rsidR="00AC66BA" w:rsidRPr="00BE264C">
        <w:rPr>
          <w:rFonts w:ascii="Times New Roman" w:hAnsi="Times New Roman" w:cs="Times New Roman"/>
          <w:bCs/>
          <w:sz w:val="24"/>
          <w:szCs w:val="24"/>
        </w:rPr>
        <w:t xml:space="preserve"> zezwolenie na utworzenie banku i podj</w:t>
      </w:r>
      <w:r w:rsidRPr="00BE264C">
        <w:rPr>
          <w:rFonts w:ascii="Times New Roman" w:hAnsi="Times New Roman" w:cs="Times New Roman"/>
          <w:bCs/>
          <w:sz w:val="24"/>
          <w:szCs w:val="24"/>
        </w:rPr>
        <w:t>ęcia</w:t>
      </w:r>
      <w:r w:rsidR="00AC66BA" w:rsidRPr="00BE264C">
        <w:rPr>
          <w:rFonts w:ascii="Times New Roman" w:hAnsi="Times New Roman" w:cs="Times New Roman"/>
          <w:bCs/>
          <w:sz w:val="24"/>
          <w:szCs w:val="24"/>
        </w:rPr>
        <w:t xml:space="preserve"> decyzj</w:t>
      </w:r>
      <w:r w:rsidRPr="00BE264C">
        <w:rPr>
          <w:rFonts w:ascii="Times New Roman" w:hAnsi="Times New Roman" w:cs="Times New Roman"/>
          <w:bCs/>
          <w:sz w:val="24"/>
          <w:szCs w:val="24"/>
        </w:rPr>
        <w:t>i</w:t>
      </w:r>
      <w:r w:rsidR="00AC66BA" w:rsidRPr="00BE264C">
        <w:rPr>
          <w:rFonts w:ascii="Times New Roman" w:hAnsi="Times New Roman" w:cs="Times New Roman"/>
          <w:bCs/>
          <w:sz w:val="24"/>
          <w:szCs w:val="24"/>
        </w:rPr>
        <w:t xml:space="preserve"> o likwidacji banku.</w:t>
      </w:r>
    </w:p>
    <w:p w14:paraId="636117AE" w14:textId="48B40DA2" w:rsidR="00EF2838" w:rsidRPr="00BE264C" w:rsidRDefault="008203B7"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sz w:val="24"/>
          <w:szCs w:val="24"/>
        </w:rPr>
        <w:t xml:space="preserve">W </w:t>
      </w:r>
      <w:r w:rsidR="00FF0503" w:rsidRPr="00BE264C">
        <w:rPr>
          <w:rFonts w:ascii="Times New Roman" w:hAnsi="Times New Roman" w:cs="Times New Roman"/>
          <w:b/>
          <w:bCs/>
          <w:sz w:val="24"/>
          <w:szCs w:val="24"/>
        </w:rPr>
        <w:t>a</w:t>
      </w:r>
      <w:r w:rsidR="00EF2838" w:rsidRPr="00BE264C">
        <w:rPr>
          <w:rFonts w:ascii="Times New Roman" w:hAnsi="Times New Roman" w:cs="Times New Roman"/>
          <w:b/>
          <w:bCs/>
          <w:sz w:val="24"/>
          <w:szCs w:val="24"/>
        </w:rPr>
        <w:t xml:space="preserve">rt. 1 pkt </w:t>
      </w:r>
      <w:r w:rsidR="00AC66BA" w:rsidRPr="00BE264C">
        <w:rPr>
          <w:rFonts w:ascii="Times New Roman" w:hAnsi="Times New Roman" w:cs="Times New Roman"/>
          <w:b/>
          <w:bCs/>
          <w:sz w:val="24"/>
          <w:szCs w:val="24"/>
        </w:rPr>
        <w:t>2</w:t>
      </w:r>
      <w:r w:rsidRPr="00BE264C">
        <w:rPr>
          <w:rFonts w:ascii="Times New Roman" w:hAnsi="Times New Roman" w:cs="Times New Roman"/>
          <w:b/>
          <w:bCs/>
          <w:sz w:val="24"/>
          <w:szCs w:val="24"/>
        </w:rPr>
        <w:t>4</w:t>
      </w:r>
      <w:r w:rsidR="00C22E5F" w:rsidRPr="00BE264C">
        <w:rPr>
          <w:rFonts w:ascii="Times New Roman" w:hAnsi="Times New Roman" w:cs="Times New Roman"/>
          <w:sz w:val="24"/>
          <w:szCs w:val="24"/>
        </w:rPr>
        <w:t xml:space="preserve"> </w:t>
      </w:r>
      <w:r w:rsidR="00FF0503" w:rsidRPr="00BE264C">
        <w:rPr>
          <w:rFonts w:ascii="Times New Roman" w:hAnsi="Times New Roman" w:cs="Times New Roman"/>
          <w:b/>
          <w:bCs/>
          <w:sz w:val="24"/>
          <w:szCs w:val="24"/>
        </w:rPr>
        <w:t>lit. a</w:t>
      </w:r>
      <w:r w:rsidRPr="00BE264C">
        <w:rPr>
          <w:rFonts w:ascii="Times New Roman" w:hAnsi="Times New Roman" w:cs="Times New Roman"/>
          <w:sz w:val="24"/>
          <w:szCs w:val="24"/>
        </w:rPr>
        <w:t xml:space="preserve"> </w:t>
      </w:r>
      <w:r w:rsidR="00CE456F" w:rsidRPr="00BE264C">
        <w:rPr>
          <w:rFonts w:ascii="Times New Roman" w:hAnsi="Times New Roman" w:cs="Times New Roman"/>
          <w:sz w:val="24"/>
          <w:szCs w:val="24"/>
        </w:rPr>
        <w:t>wprowadzono zmianę redakcyjną</w:t>
      </w:r>
      <w:r w:rsidR="00CE456F" w:rsidRPr="00BE264C">
        <w:rPr>
          <w:rFonts w:ascii="Times New Roman" w:eastAsiaTheme="minorEastAsia" w:hAnsi="Times New Roman" w:cs="Times New Roman"/>
          <w:sz w:val="24"/>
          <w:szCs w:val="24"/>
          <w:lang w:eastAsia="pl-PL"/>
        </w:rPr>
        <w:t xml:space="preserve"> </w:t>
      </w:r>
      <w:r w:rsidR="00CE456F" w:rsidRPr="00BE264C">
        <w:rPr>
          <w:rFonts w:ascii="Times New Roman" w:hAnsi="Times New Roman" w:cs="Times New Roman"/>
          <w:sz w:val="24"/>
          <w:szCs w:val="24"/>
        </w:rPr>
        <w:t xml:space="preserve">oraz określono, że </w:t>
      </w:r>
      <w:r w:rsidR="00EF2838" w:rsidRPr="00BE264C">
        <w:rPr>
          <w:rFonts w:ascii="Times New Roman" w:hAnsi="Times New Roman" w:cs="Times New Roman"/>
          <w:bCs/>
          <w:sz w:val="24"/>
          <w:szCs w:val="24"/>
        </w:rPr>
        <w:t xml:space="preserve">kara pieniężna </w:t>
      </w:r>
      <w:r w:rsidR="00BE73FD" w:rsidRPr="00BE264C">
        <w:rPr>
          <w:rFonts w:ascii="Times New Roman" w:hAnsi="Times New Roman" w:cs="Times New Roman"/>
          <w:sz w:val="24"/>
          <w:szCs w:val="24"/>
        </w:rPr>
        <w:t xml:space="preserve">nakładana przez KNF </w:t>
      </w:r>
      <w:r w:rsidR="00EF2838" w:rsidRPr="00BE264C">
        <w:rPr>
          <w:rFonts w:ascii="Times New Roman" w:hAnsi="Times New Roman" w:cs="Times New Roman"/>
          <w:sz w:val="24"/>
          <w:szCs w:val="24"/>
        </w:rPr>
        <w:t>w przypadku nie dochowania zobowiąza</w:t>
      </w:r>
      <w:r w:rsidR="00DA3503" w:rsidRPr="00BE264C">
        <w:rPr>
          <w:rFonts w:ascii="Times New Roman" w:hAnsi="Times New Roman" w:cs="Times New Roman"/>
          <w:sz w:val="24"/>
          <w:szCs w:val="24"/>
        </w:rPr>
        <w:t>ń</w:t>
      </w:r>
      <w:r w:rsidR="00BE73FD" w:rsidRPr="00BE264C">
        <w:rPr>
          <w:rFonts w:ascii="Times New Roman" w:hAnsi="Times New Roman" w:cs="Times New Roman"/>
          <w:sz w:val="24"/>
          <w:szCs w:val="24"/>
        </w:rPr>
        <w:t xml:space="preserve"> inwestorskich</w:t>
      </w:r>
      <w:r w:rsidR="00EF2838" w:rsidRPr="00BE264C">
        <w:rPr>
          <w:rFonts w:ascii="Times New Roman" w:hAnsi="Times New Roman" w:cs="Times New Roman"/>
          <w:sz w:val="24"/>
          <w:szCs w:val="24"/>
        </w:rPr>
        <w:t>, o który</w:t>
      </w:r>
      <w:r w:rsidR="00BE73FD" w:rsidRPr="00BE264C">
        <w:rPr>
          <w:rFonts w:ascii="Times New Roman" w:hAnsi="Times New Roman" w:cs="Times New Roman"/>
          <w:sz w:val="24"/>
          <w:szCs w:val="24"/>
        </w:rPr>
        <w:t>ch</w:t>
      </w:r>
      <w:r w:rsidR="00EF2838" w:rsidRPr="00BE264C">
        <w:rPr>
          <w:rFonts w:ascii="Times New Roman" w:hAnsi="Times New Roman" w:cs="Times New Roman"/>
          <w:sz w:val="24"/>
          <w:szCs w:val="24"/>
        </w:rPr>
        <w:t xml:space="preserve"> mowa w art. 25h ust. 3 lub art. 30 ust. 1b ustawy</w:t>
      </w:r>
      <w:r w:rsidR="00A555F1" w:rsidRPr="00BE264C">
        <w:rPr>
          <w:rFonts w:ascii="Times New Roman" w:hAnsi="Times New Roman" w:cs="Times New Roman"/>
          <w:sz w:val="24"/>
          <w:szCs w:val="24"/>
        </w:rPr>
        <w:t xml:space="preserve"> – Prawo bankowe</w:t>
      </w:r>
      <w:r w:rsidR="00EF2838" w:rsidRPr="00BE264C">
        <w:rPr>
          <w:rFonts w:ascii="Times New Roman" w:hAnsi="Times New Roman" w:cs="Times New Roman"/>
          <w:sz w:val="24"/>
          <w:szCs w:val="24"/>
        </w:rPr>
        <w:t xml:space="preserve">, </w:t>
      </w:r>
      <w:r w:rsidR="00BE73FD" w:rsidRPr="00BE264C">
        <w:rPr>
          <w:rFonts w:ascii="Times New Roman" w:hAnsi="Times New Roman" w:cs="Times New Roman"/>
          <w:sz w:val="24"/>
          <w:szCs w:val="24"/>
        </w:rPr>
        <w:t xml:space="preserve">będzie kalkulowana na podstawie </w:t>
      </w:r>
      <w:r w:rsidR="0030797C" w:rsidRPr="00BE264C">
        <w:rPr>
          <w:rFonts w:ascii="Times New Roman" w:hAnsi="Times New Roman" w:cs="Times New Roman"/>
          <w:sz w:val="24"/>
          <w:szCs w:val="24"/>
        </w:rPr>
        <w:t xml:space="preserve">całkowitego rocznego </w:t>
      </w:r>
      <w:r w:rsidR="00CF3A09" w:rsidRPr="00BE264C">
        <w:rPr>
          <w:rFonts w:ascii="Times New Roman" w:hAnsi="Times New Roman" w:cs="Times New Roman"/>
          <w:sz w:val="24"/>
          <w:szCs w:val="24"/>
        </w:rPr>
        <w:t xml:space="preserve">obrotu </w:t>
      </w:r>
      <w:r w:rsidR="0030797C" w:rsidRPr="00BE264C">
        <w:rPr>
          <w:rFonts w:ascii="Times New Roman" w:hAnsi="Times New Roman" w:cs="Times New Roman"/>
          <w:sz w:val="24"/>
          <w:szCs w:val="24"/>
        </w:rPr>
        <w:t xml:space="preserve">netto. Ponadto, KNF będzie mogła nakładać okresowe </w:t>
      </w:r>
      <w:r w:rsidR="00EF2838" w:rsidRPr="00BE264C">
        <w:rPr>
          <w:rFonts w:ascii="Times New Roman" w:hAnsi="Times New Roman" w:cs="Times New Roman"/>
          <w:bCs/>
          <w:sz w:val="24"/>
          <w:szCs w:val="24"/>
        </w:rPr>
        <w:t xml:space="preserve">kary pieniężnej </w:t>
      </w:r>
      <w:r w:rsidR="0030797C" w:rsidRPr="00BE264C">
        <w:rPr>
          <w:rFonts w:ascii="Times New Roman" w:hAnsi="Times New Roman" w:cs="Times New Roman"/>
          <w:bCs/>
          <w:sz w:val="24"/>
          <w:szCs w:val="24"/>
        </w:rPr>
        <w:t xml:space="preserve">za każdy dzień trwającego naruszenia </w:t>
      </w:r>
      <w:r w:rsidR="00EF2838" w:rsidRPr="00BE264C">
        <w:rPr>
          <w:rFonts w:ascii="Times New Roman" w:hAnsi="Times New Roman" w:cs="Times New Roman"/>
          <w:bCs/>
          <w:sz w:val="24"/>
          <w:szCs w:val="24"/>
        </w:rPr>
        <w:t>w wysokości:</w:t>
      </w:r>
    </w:p>
    <w:p w14:paraId="1ED66354" w14:textId="64001C23" w:rsidR="00EF2838" w:rsidRPr="00BE264C" w:rsidRDefault="00EF2838"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lastRenderedPageBreak/>
        <w:t>a) do kwoty stanowiącej równowartość 5</w:t>
      </w:r>
      <w:r w:rsidR="006B637B">
        <w:rPr>
          <w:rFonts w:ascii="Times New Roman" w:hAnsi="Times New Roman" w:cs="Times New Roman"/>
          <w:bCs/>
          <w:sz w:val="24"/>
          <w:szCs w:val="24"/>
        </w:rPr>
        <w:t xml:space="preserve"> </w:t>
      </w:r>
      <w:r w:rsidRPr="00BE264C">
        <w:rPr>
          <w:rFonts w:ascii="Times New Roman" w:hAnsi="Times New Roman" w:cs="Times New Roman"/>
          <w:bCs/>
          <w:sz w:val="24"/>
          <w:szCs w:val="24"/>
        </w:rPr>
        <w:t xml:space="preserve">% średniego dziennego </w:t>
      </w:r>
      <w:r w:rsidR="00AC66BA" w:rsidRPr="00BE264C">
        <w:rPr>
          <w:rFonts w:ascii="Times New Roman" w:hAnsi="Times New Roman" w:cs="Times New Roman"/>
          <w:bCs/>
          <w:sz w:val="24"/>
          <w:szCs w:val="24"/>
        </w:rPr>
        <w:t xml:space="preserve">obrotu </w:t>
      </w:r>
      <w:r w:rsidRPr="00BE264C">
        <w:rPr>
          <w:rFonts w:ascii="Times New Roman" w:hAnsi="Times New Roman" w:cs="Times New Roman"/>
          <w:bCs/>
          <w:sz w:val="24"/>
          <w:szCs w:val="24"/>
        </w:rPr>
        <w:t xml:space="preserve">netto do dnia przywrócenia </w:t>
      </w:r>
      <w:r w:rsidR="00110B6D" w:rsidRPr="00BE264C">
        <w:rPr>
          <w:rFonts w:ascii="Times New Roman" w:hAnsi="Times New Roman" w:cs="Times New Roman"/>
          <w:bCs/>
          <w:sz w:val="24"/>
          <w:szCs w:val="24"/>
        </w:rPr>
        <w:t xml:space="preserve">stanu </w:t>
      </w:r>
      <w:r w:rsidRPr="00BE264C">
        <w:rPr>
          <w:rFonts w:ascii="Times New Roman" w:hAnsi="Times New Roman" w:cs="Times New Roman"/>
          <w:bCs/>
          <w:sz w:val="24"/>
          <w:szCs w:val="24"/>
        </w:rPr>
        <w:t xml:space="preserve">zgodności z prawem, przez okres nie dłuższy niż </w:t>
      </w:r>
      <w:r w:rsidR="00C5250E" w:rsidRPr="00BE264C">
        <w:rPr>
          <w:rFonts w:ascii="Times New Roman" w:hAnsi="Times New Roman" w:cs="Times New Roman"/>
          <w:bCs/>
          <w:sz w:val="24"/>
          <w:szCs w:val="24"/>
        </w:rPr>
        <w:t>6</w:t>
      </w:r>
      <w:r w:rsidR="00C22E5F" w:rsidRPr="00BE264C">
        <w:rPr>
          <w:rFonts w:ascii="Times New Roman" w:hAnsi="Times New Roman" w:cs="Times New Roman"/>
          <w:bCs/>
          <w:sz w:val="24"/>
          <w:szCs w:val="24"/>
        </w:rPr>
        <w:t xml:space="preserve"> </w:t>
      </w:r>
      <w:r w:rsidRPr="00BE264C">
        <w:rPr>
          <w:rFonts w:ascii="Times New Roman" w:hAnsi="Times New Roman" w:cs="Times New Roman"/>
          <w:bCs/>
          <w:sz w:val="24"/>
          <w:szCs w:val="24"/>
        </w:rPr>
        <w:t>miesięcy od daty określonej w decyzji – w przypadku osób prawnych;</w:t>
      </w:r>
    </w:p>
    <w:p w14:paraId="4344517E" w14:textId="68389276" w:rsidR="0067069C" w:rsidRPr="00BE264C" w:rsidRDefault="00EF2838"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b) do 213 165 złotych </w:t>
      </w:r>
      <w:bookmarkStart w:id="4" w:name="_Hlk172290563"/>
      <w:r w:rsidRPr="00BE264C">
        <w:rPr>
          <w:rFonts w:ascii="Times New Roman" w:hAnsi="Times New Roman" w:cs="Times New Roman"/>
          <w:bCs/>
          <w:sz w:val="24"/>
          <w:szCs w:val="24"/>
        </w:rPr>
        <w:t xml:space="preserve">do dnia przywrócenia </w:t>
      </w:r>
      <w:r w:rsidR="00110B6D" w:rsidRPr="00BE264C">
        <w:rPr>
          <w:rFonts w:ascii="Times New Roman" w:hAnsi="Times New Roman" w:cs="Times New Roman"/>
          <w:bCs/>
          <w:sz w:val="24"/>
          <w:szCs w:val="24"/>
        </w:rPr>
        <w:t xml:space="preserve">stanu </w:t>
      </w:r>
      <w:r w:rsidRPr="00BE264C">
        <w:rPr>
          <w:rFonts w:ascii="Times New Roman" w:hAnsi="Times New Roman" w:cs="Times New Roman"/>
          <w:bCs/>
          <w:sz w:val="24"/>
          <w:szCs w:val="24"/>
        </w:rPr>
        <w:t xml:space="preserve">zgodności z prawem, przez okres nie dłuższy niż </w:t>
      </w:r>
      <w:r w:rsidR="00C5250E" w:rsidRPr="00BE264C">
        <w:rPr>
          <w:rFonts w:ascii="Times New Roman" w:hAnsi="Times New Roman" w:cs="Times New Roman"/>
          <w:bCs/>
          <w:sz w:val="24"/>
          <w:szCs w:val="24"/>
        </w:rPr>
        <w:t>6</w:t>
      </w:r>
      <w:r w:rsidR="00CE456F" w:rsidRPr="00BE264C">
        <w:rPr>
          <w:rFonts w:ascii="Times New Roman" w:hAnsi="Times New Roman" w:cs="Times New Roman"/>
          <w:bCs/>
          <w:sz w:val="24"/>
          <w:szCs w:val="24"/>
        </w:rPr>
        <w:t xml:space="preserve"> </w:t>
      </w:r>
      <w:r w:rsidRPr="00BE264C">
        <w:rPr>
          <w:rFonts w:ascii="Times New Roman" w:hAnsi="Times New Roman" w:cs="Times New Roman"/>
          <w:bCs/>
          <w:sz w:val="24"/>
          <w:szCs w:val="24"/>
        </w:rPr>
        <w:t xml:space="preserve">miesięcy od daty określonej w decyzji </w:t>
      </w:r>
      <w:bookmarkEnd w:id="4"/>
      <w:r w:rsidRPr="00BE264C">
        <w:rPr>
          <w:rFonts w:ascii="Times New Roman" w:hAnsi="Times New Roman" w:cs="Times New Roman"/>
          <w:bCs/>
          <w:sz w:val="24"/>
          <w:szCs w:val="24"/>
        </w:rPr>
        <w:t>– w przypadku osób fizycznych.</w:t>
      </w:r>
    </w:p>
    <w:p w14:paraId="5D579DDE" w14:textId="227720B7" w:rsidR="00CE456F" w:rsidRPr="00BE264C" w:rsidRDefault="00CE456F"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Doprecyzowano także, w celu zachowania zgodności z dyrektywą CRD VI, że w przypadku osób fizycznych KNF będzie mogła nakładać karę jednorazową do wysokości dwukrotności kwoty korzyści uzyskanych lub strat unikniętych w wyniku naruszenia – w przypadku gdy jest możliwe ich ustalenie.</w:t>
      </w:r>
    </w:p>
    <w:p w14:paraId="4553BA23" w14:textId="3E7BC9BB" w:rsidR="00FF0503" w:rsidRPr="00BE264C" w:rsidRDefault="00FF0503"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Zmiany wprowadzone w </w:t>
      </w:r>
      <w:r w:rsidRPr="00BE264C">
        <w:rPr>
          <w:rFonts w:ascii="Times New Roman" w:hAnsi="Times New Roman" w:cs="Times New Roman"/>
          <w:b/>
          <w:sz w:val="24"/>
          <w:szCs w:val="24"/>
        </w:rPr>
        <w:t xml:space="preserve">art. 1 pkt </w:t>
      </w:r>
      <w:r w:rsidR="00AC66BA" w:rsidRPr="00BE264C">
        <w:rPr>
          <w:rFonts w:ascii="Times New Roman" w:hAnsi="Times New Roman" w:cs="Times New Roman"/>
          <w:b/>
          <w:sz w:val="24"/>
          <w:szCs w:val="24"/>
        </w:rPr>
        <w:t>2</w:t>
      </w:r>
      <w:r w:rsidR="00390C01" w:rsidRPr="00BE264C">
        <w:rPr>
          <w:rFonts w:ascii="Times New Roman" w:hAnsi="Times New Roman" w:cs="Times New Roman"/>
          <w:b/>
          <w:sz w:val="24"/>
          <w:szCs w:val="24"/>
        </w:rPr>
        <w:t>4</w:t>
      </w:r>
      <w:r w:rsidR="00C22E5F" w:rsidRPr="00BE264C">
        <w:rPr>
          <w:rFonts w:ascii="Times New Roman" w:hAnsi="Times New Roman" w:cs="Times New Roman"/>
          <w:b/>
          <w:sz w:val="24"/>
          <w:szCs w:val="24"/>
        </w:rPr>
        <w:t xml:space="preserve"> </w:t>
      </w:r>
      <w:r w:rsidRPr="00BE264C">
        <w:rPr>
          <w:rFonts w:ascii="Times New Roman" w:hAnsi="Times New Roman" w:cs="Times New Roman"/>
          <w:b/>
          <w:sz w:val="24"/>
          <w:szCs w:val="24"/>
        </w:rPr>
        <w:t xml:space="preserve">lit. b </w:t>
      </w:r>
      <w:r w:rsidR="009A7A59" w:rsidRPr="00BE264C">
        <w:rPr>
          <w:rFonts w:ascii="Times New Roman" w:hAnsi="Times New Roman" w:cs="Times New Roman"/>
          <w:b/>
          <w:sz w:val="24"/>
          <w:szCs w:val="24"/>
        </w:rPr>
        <w:t>i c</w:t>
      </w:r>
      <w:r w:rsidR="009A7A59" w:rsidRPr="00BE264C">
        <w:rPr>
          <w:rFonts w:ascii="Times New Roman" w:hAnsi="Times New Roman" w:cs="Times New Roman"/>
          <w:bCs/>
          <w:sz w:val="24"/>
          <w:szCs w:val="24"/>
        </w:rPr>
        <w:t xml:space="preserve"> </w:t>
      </w:r>
      <w:r w:rsidRPr="00BE264C">
        <w:rPr>
          <w:rFonts w:ascii="Times New Roman" w:hAnsi="Times New Roman" w:cs="Times New Roman"/>
          <w:bCs/>
          <w:sz w:val="24"/>
          <w:szCs w:val="24"/>
        </w:rPr>
        <w:t>mają charakter dostosowujący i wynikają z</w:t>
      </w:r>
      <w:r w:rsidR="007762DB" w:rsidRPr="00BE264C">
        <w:rPr>
          <w:rFonts w:ascii="Times New Roman" w:hAnsi="Times New Roman" w:cs="Times New Roman"/>
          <w:bCs/>
          <w:sz w:val="24"/>
          <w:szCs w:val="24"/>
        </w:rPr>
        <w:t> </w:t>
      </w:r>
      <w:r w:rsidRPr="00BE264C">
        <w:rPr>
          <w:rFonts w:ascii="Times New Roman" w:hAnsi="Times New Roman" w:cs="Times New Roman"/>
          <w:bCs/>
          <w:sz w:val="24"/>
          <w:szCs w:val="24"/>
        </w:rPr>
        <w:t>wprowadzenia w projektowanym przepisie możliwości nakładania przez KNF kary pieniężnej za każdy dzień trwającego naruszenia.</w:t>
      </w:r>
    </w:p>
    <w:p w14:paraId="2E12A48D" w14:textId="72356FF2" w:rsidR="00390C01" w:rsidRPr="00BE264C" w:rsidRDefault="00390C01"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Zmiana wprowadzona w </w:t>
      </w:r>
      <w:r w:rsidRPr="00BE264C">
        <w:rPr>
          <w:rFonts w:ascii="Times New Roman" w:hAnsi="Times New Roman" w:cs="Times New Roman"/>
          <w:b/>
          <w:bCs/>
          <w:sz w:val="24"/>
          <w:szCs w:val="24"/>
        </w:rPr>
        <w:t>art. 1 pkt 25</w:t>
      </w:r>
      <w:r w:rsidRPr="00BE264C">
        <w:rPr>
          <w:rFonts w:ascii="Times New Roman" w:hAnsi="Times New Roman" w:cs="Times New Roman"/>
          <w:bCs/>
          <w:sz w:val="24"/>
          <w:szCs w:val="24"/>
        </w:rPr>
        <w:t xml:space="preserve"> ma charakter wynikowy.</w:t>
      </w:r>
    </w:p>
    <w:p w14:paraId="7113C0E7" w14:textId="718F6EFC" w:rsidR="00200131" w:rsidRPr="00BE264C" w:rsidRDefault="003475EE"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Zmian</w:t>
      </w:r>
      <w:r w:rsidR="00636198" w:rsidRPr="00BE264C">
        <w:rPr>
          <w:rFonts w:ascii="Times New Roman" w:hAnsi="Times New Roman" w:cs="Times New Roman"/>
          <w:sz w:val="24"/>
          <w:szCs w:val="24"/>
        </w:rPr>
        <w:t>a</w:t>
      </w:r>
      <w:r w:rsidRPr="00BE264C">
        <w:rPr>
          <w:rFonts w:ascii="Times New Roman" w:hAnsi="Times New Roman" w:cs="Times New Roman"/>
          <w:sz w:val="24"/>
          <w:szCs w:val="24"/>
        </w:rPr>
        <w:t xml:space="preserve"> wprowadzon</w:t>
      </w:r>
      <w:r w:rsidR="00636198" w:rsidRPr="00BE264C">
        <w:rPr>
          <w:rFonts w:ascii="Times New Roman" w:hAnsi="Times New Roman" w:cs="Times New Roman"/>
          <w:sz w:val="24"/>
          <w:szCs w:val="24"/>
        </w:rPr>
        <w:t>a</w:t>
      </w:r>
      <w:r w:rsidRPr="00BE264C">
        <w:rPr>
          <w:rFonts w:ascii="Times New Roman" w:hAnsi="Times New Roman" w:cs="Times New Roman"/>
          <w:sz w:val="24"/>
          <w:szCs w:val="24"/>
        </w:rPr>
        <w:t xml:space="preserve"> w </w:t>
      </w:r>
      <w:r w:rsidRPr="00BE264C">
        <w:rPr>
          <w:rFonts w:ascii="Times New Roman" w:hAnsi="Times New Roman" w:cs="Times New Roman"/>
          <w:b/>
          <w:bCs/>
          <w:sz w:val="24"/>
          <w:szCs w:val="24"/>
        </w:rPr>
        <w:t xml:space="preserve">art. 1 pkt </w:t>
      </w:r>
      <w:r w:rsidR="00C22E5F" w:rsidRPr="00BE264C">
        <w:rPr>
          <w:rFonts w:ascii="Times New Roman" w:hAnsi="Times New Roman" w:cs="Times New Roman"/>
          <w:b/>
          <w:bCs/>
          <w:sz w:val="24"/>
          <w:szCs w:val="24"/>
        </w:rPr>
        <w:t>2</w:t>
      </w:r>
      <w:r w:rsidR="00835F7D" w:rsidRPr="00BE264C">
        <w:rPr>
          <w:rFonts w:ascii="Times New Roman" w:hAnsi="Times New Roman" w:cs="Times New Roman"/>
          <w:b/>
          <w:bCs/>
          <w:sz w:val="24"/>
          <w:szCs w:val="24"/>
        </w:rPr>
        <w:t>6</w:t>
      </w:r>
      <w:r w:rsidR="00C22E5F"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ma charakter dostosowujący i wynika z</w:t>
      </w:r>
      <w:r w:rsidR="007762DB" w:rsidRPr="00BE264C">
        <w:rPr>
          <w:rFonts w:ascii="Times New Roman" w:hAnsi="Times New Roman" w:cs="Times New Roman"/>
          <w:sz w:val="24"/>
          <w:szCs w:val="24"/>
        </w:rPr>
        <w:t> </w:t>
      </w:r>
      <w:r w:rsidRPr="00BE264C">
        <w:rPr>
          <w:rFonts w:ascii="Times New Roman" w:hAnsi="Times New Roman" w:cs="Times New Roman"/>
          <w:sz w:val="24"/>
          <w:szCs w:val="24"/>
        </w:rPr>
        <w:t>wprowadzenia ust. 1a do art. 22b</w:t>
      </w:r>
      <w:r w:rsidR="00261FEE" w:rsidRPr="00BE264C">
        <w:rPr>
          <w:rFonts w:ascii="Times New Roman" w:hAnsi="Times New Roman" w:cs="Times New Roman"/>
          <w:sz w:val="24"/>
          <w:szCs w:val="24"/>
        </w:rPr>
        <w:t xml:space="preserve"> ustawy</w:t>
      </w:r>
      <w:r w:rsidR="006973E7" w:rsidRPr="00BE264C">
        <w:rPr>
          <w:rFonts w:ascii="Times New Roman" w:hAnsi="Times New Roman" w:cs="Times New Roman"/>
          <w:sz w:val="24"/>
          <w:szCs w:val="24"/>
        </w:rPr>
        <w:t xml:space="preserve"> – Prawo bankowe</w:t>
      </w:r>
      <w:r w:rsidRPr="00BE264C">
        <w:rPr>
          <w:rFonts w:ascii="Times New Roman" w:hAnsi="Times New Roman" w:cs="Times New Roman"/>
          <w:sz w:val="24"/>
          <w:szCs w:val="24"/>
        </w:rPr>
        <w:t xml:space="preserve">. </w:t>
      </w:r>
    </w:p>
    <w:p w14:paraId="1BF7F630" w14:textId="26A19CD4" w:rsidR="00D374F2" w:rsidRPr="00BE264C" w:rsidRDefault="00107409"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b/>
          <w:bCs/>
          <w:sz w:val="24"/>
          <w:szCs w:val="24"/>
        </w:rPr>
        <w:t>A</w:t>
      </w:r>
      <w:r w:rsidR="00636198" w:rsidRPr="00BE264C">
        <w:rPr>
          <w:rFonts w:ascii="Times New Roman" w:hAnsi="Times New Roman" w:cs="Times New Roman"/>
          <w:b/>
          <w:bCs/>
          <w:sz w:val="24"/>
          <w:szCs w:val="24"/>
        </w:rPr>
        <w:t>rt. 1 pkt 2</w:t>
      </w:r>
      <w:r w:rsidR="00835F7D" w:rsidRPr="00BE264C">
        <w:rPr>
          <w:rFonts w:ascii="Times New Roman" w:hAnsi="Times New Roman" w:cs="Times New Roman"/>
          <w:b/>
          <w:bCs/>
          <w:sz w:val="24"/>
          <w:szCs w:val="24"/>
        </w:rPr>
        <w:t>7</w:t>
      </w:r>
      <w:r w:rsidR="00636198" w:rsidRPr="00BE264C">
        <w:rPr>
          <w:rFonts w:ascii="Times New Roman" w:hAnsi="Times New Roman" w:cs="Times New Roman"/>
          <w:sz w:val="24"/>
          <w:szCs w:val="24"/>
        </w:rPr>
        <w:t xml:space="preserve"> </w:t>
      </w:r>
      <w:r w:rsidRPr="00BE264C">
        <w:rPr>
          <w:rFonts w:ascii="Times New Roman" w:hAnsi="Times New Roman" w:cs="Times New Roman"/>
          <w:sz w:val="24"/>
          <w:szCs w:val="24"/>
        </w:rPr>
        <w:t xml:space="preserve">nadaje </w:t>
      </w:r>
      <w:r w:rsidR="00636198" w:rsidRPr="00BE264C">
        <w:rPr>
          <w:rFonts w:ascii="Times New Roman" w:hAnsi="Times New Roman" w:cs="Times New Roman"/>
          <w:sz w:val="24"/>
          <w:szCs w:val="24"/>
        </w:rPr>
        <w:t>nowe brzmienie delegacji ustawowej, maj</w:t>
      </w:r>
      <w:r w:rsidR="00F10DB1" w:rsidRPr="00BE264C">
        <w:rPr>
          <w:rFonts w:ascii="Times New Roman" w:hAnsi="Times New Roman" w:cs="Times New Roman"/>
          <w:sz w:val="24"/>
          <w:szCs w:val="24"/>
        </w:rPr>
        <w:t>ą</w:t>
      </w:r>
      <w:r w:rsidR="00636198" w:rsidRPr="00BE264C">
        <w:rPr>
          <w:rFonts w:ascii="Times New Roman" w:hAnsi="Times New Roman" w:cs="Times New Roman"/>
          <w:sz w:val="24"/>
          <w:szCs w:val="24"/>
        </w:rPr>
        <w:t>ce charakter</w:t>
      </w:r>
      <w:r w:rsidR="0038166E" w:rsidRPr="00BE264C">
        <w:rPr>
          <w:rFonts w:ascii="Times New Roman" w:hAnsi="Times New Roman" w:cs="Times New Roman"/>
          <w:sz w:val="24"/>
          <w:szCs w:val="24"/>
        </w:rPr>
        <w:t xml:space="preserve"> dostosowujący</w:t>
      </w:r>
      <w:r w:rsidR="00636198" w:rsidRPr="00BE264C">
        <w:rPr>
          <w:rFonts w:ascii="Times New Roman" w:hAnsi="Times New Roman" w:cs="Times New Roman"/>
          <w:sz w:val="24"/>
          <w:szCs w:val="24"/>
        </w:rPr>
        <w:t>.</w:t>
      </w:r>
      <w:r w:rsidR="00081269" w:rsidRPr="00BE264C">
        <w:rPr>
          <w:rFonts w:ascii="Times New Roman" w:hAnsi="Times New Roman" w:cs="Times New Roman"/>
          <w:sz w:val="24"/>
          <w:szCs w:val="24"/>
        </w:rPr>
        <w:t xml:space="preserve"> Ponadto, uzupełniono </w:t>
      </w:r>
      <w:r w:rsidRPr="00BE264C">
        <w:rPr>
          <w:rFonts w:ascii="Times New Roman" w:hAnsi="Times New Roman" w:cs="Times New Roman"/>
          <w:sz w:val="24"/>
          <w:szCs w:val="24"/>
        </w:rPr>
        <w:t xml:space="preserve">zmieniany przepis </w:t>
      </w:r>
      <w:r w:rsidR="00081269" w:rsidRPr="00BE264C">
        <w:rPr>
          <w:rFonts w:ascii="Times New Roman" w:hAnsi="Times New Roman" w:cs="Times New Roman"/>
          <w:sz w:val="24"/>
          <w:szCs w:val="24"/>
        </w:rPr>
        <w:t>o obowiązek określenia formy i terminów przekazywania wskazanych informacji</w:t>
      </w:r>
      <w:r w:rsidR="00F10DB1" w:rsidRPr="00BE264C">
        <w:rPr>
          <w:rFonts w:ascii="Times New Roman" w:hAnsi="Times New Roman" w:cs="Times New Roman"/>
          <w:sz w:val="24"/>
          <w:szCs w:val="24"/>
        </w:rPr>
        <w:t xml:space="preserve"> oraz</w:t>
      </w:r>
      <w:r w:rsidR="00081269" w:rsidRPr="00BE264C">
        <w:rPr>
          <w:rFonts w:ascii="Times New Roman" w:hAnsi="Times New Roman" w:cs="Times New Roman"/>
          <w:sz w:val="24"/>
          <w:szCs w:val="24"/>
        </w:rPr>
        <w:t xml:space="preserve"> </w:t>
      </w:r>
      <w:r w:rsidR="00DA3503" w:rsidRPr="00BE264C">
        <w:rPr>
          <w:rFonts w:ascii="Times New Roman" w:hAnsi="Times New Roman" w:cs="Times New Roman"/>
          <w:sz w:val="24"/>
          <w:szCs w:val="24"/>
        </w:rPr>
        <w:t xml:space="preserve">określenia </w:t>
      </w:r>
      <w:r w:rsidR="00081269" w:rsidRPr="00BE264C">
        <w:rPr>
          <w:rFonts w:ascii="Times New Roman" w:hAnsi="Times New Roman" w:cs="Times New Roman"/>
          <w:sz w:val="24"/>
          <w:szCs w:val="24"/>
        </w:rPr>
        <w:t>form</w:t>
      </w:r>
      <w:r w:rsidR="00F10DB1" w:rsidRPr="00BE264C">
        <w:rPr>
          <w:rFonts w:ascii="Times New Roman" w:hAnsi="Times New Roman" w:cs="Times New Roman"/>
          <w:sz w:val="24"/>
          <w:szCs w:val="24"/>
        </w:rPr>
        <w:t>y</w:t>
      </w:r>
      <w:r w:rsidR="00081269" w:rsidRPr="00BE264C">
        <w:rPr>
          <w:rFonts w:ascii="Times New Roman" w:hAnsi="Times New Roman" w:cs="Times New Roman"/>
          <w:sz w:val="24"/>
          <w:szCs w:val="24"/>
        </w:rPr>
        <w:t xml:space="preserve"> wniosku</w:t>
      </w:r>
      <w:r w:rsidR="00F10DB1" w:rsidRPr="00BE264C">
        <w:rPr>
          <w:rFonts w:ascii="Times New Roman" w:hAnsi="Times New Roman" w:cs="Times New Roman"/>
          <w:sz w:val="24"/>
          <w:szCs w:val="24"/>
        </w:rPr>
        <w:t>.</w:t>
      </w:r>
    </w:p>
    <w:p w14:paraId="54F29FD4" w14:textId="77B03289" w:rsidR="00835F7D" w:rsidRPr="00BE264C" w:rsidRDefault="00835F7D"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28</w:t>
      </w:r>
      <w:r w:rsidRPr="00BE264C">
        <w:rPr>
          <w:rFonts w:ascii="Times New Roman" w:hAnsi="Times New Roman" w:cs="Times New Roman"/>
          <w:sz w:val="24"/>
          <w:szCs w:val="24"/>
        </w:rPr>
        <w:t xml:space="preserve"> uchyla się cały blok przepisów dotyczących oddziałów banków zagranicznych i w </w:t>
      </w:r>
      <w:r w:rsidR="001B6ED3" w:rsidRPr="00BE264C">
        <w:rPr>
          <w:rFonts w:ascii="Times New Roman" w:hAnsi="Times New Roman" w:cs="Times New Roman"/>
          <w:sz w:val="24"/>
          <w:szCs w:val="24"/>
        </w:rPr>
        <w:t xml:space="preserve">ich </w:t>
      </w:r>
      <w:r w:rsidRPr="00BE264C">
        <w:rPr>
          <w:rFonts w:ascii="Times New Roman" w:hAnsi="Times New Roman" w:cs="Times New Roman"/>
          <w:sz w:val="24"/>
          <w:szCs w:val="24"/>
        </w:rPr>
        <w:t>miejsce dodaje się art. 41a - 41x.</w:t>
      </w:r>
    </w:p>
    <w:p w14:paraId="6BAA10B5" w14:textId="210A3E6B" w:rsidR="004D1A62" w:rsidRPr="00BE264C" w:rsidRDefault="00D374F2"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art. 1 pkt 2</w:t>
      </w:r>
      <w:r w:rsidR="00B25FD5" w:rsidRPr="00BE264C">
        <w:rPr>
          <w:rFonts w:ascii="Times New Roman" w:hAnsi="Times New Roman" w:cs="Times New Roman"/>
          <w:b/>
          <w:bCs/>
          <w:sz w:val="24"/>
          <w:szCs w:val="24"/>
        </w:rPr>
        <w:t>9</w:t>
      </w:r>
      <w:r w:rsidRPr="00BE264C">
        <w:rPr>
          <w:rFonts w:ascii="Times New Roman" w:hAnsi="Times New Roman" w:cs="Times New Roman"/>
          <w:sz w:val="24"/>
          <w:szCs w:val="24"/>
        </w:rPr>
        <w:t xml:space="preserve"> </w:t>
      </w:r>
      <w:r w:rsidR="004D1A62" w:rsidRPr="00BE264C">
        <w:rPr>
          <w:rFonts w:ascii="Times New Roman" w:hAnsi="Times New Roman" w:cs="Times New Roman"/>
          <w:sz w:val="24"/>
          <w:szCs w:val="24"/>
        </w:rPr>
        <w:t xml:space="preserve">wprowadzono nowe przepisy dotyczące zasad tworzenia i funkcjonowania oddziałów z państw trzecich. </w:t>
      </w:r>
    </w:p>
    <w:p w14:paraId="6D366E71" w14:textId="11915530" w:rsidR="00D374F2" w:rsidRPr="00BE264C" w:rsidRDefault="00D53663"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W projektowanym art. </w:t>
      </w:r>
      <w:r w:rsidR="00DA38BA" w:rsidRPr="00BE264C">
        <w:rPr>
          <w:rFonts w:ascii="Times New Roman" w:hAnsi="Times New Roman" w:cs="Times New Roman"/>
          <w:bCs/>
          <w:sz w:val="24"/>
          <w:szCs w:val="24"/>
        </w:rPr>
        <w:t xml:space="preserve">41a </w:t>
      </w:r>
      <w:r w:rsidR="00D374F2" w:rsidRPr="00BE264C">
        <w:rPr>
          <w:rFonts w:ascii="Times New Roman" w:hAnsi="Times New Roman" w:cs="Times New Roman"/>
          <w:bCs/>
          <w:sz w:val="24"/>
          <w:szCs w:val="24"/>
        </w:rPr>
        <w:t>wprowadz</w:t>
      </w:r>
      <w:r w:rsidRPr="00BE264C">
        <w:rPr>
          <w:rFonts w:ascii="Times New Roman" w:hAnsi="Times New Roman" w:cs="Times New Roman"/>
          <w:bCs/>
          <w:sz w:val="24"/>
          <w:szCs w:val="24"/>
        </w:rPr>
        <w:t>ono</w:t>
      </w:r>
      <w:r w:rsidR="00D374F2" w:rsidRPr="00BE264C">
        <w:rPr>
          <w:rFonts w:ascii="Times New Roman" w:hAnsi="Times New Roman" w:cs="Times New Roman"/>
          <w:bCs/>
          <w:sz w:val="24"/>
          <w:szCs w:val="24"/>
        </w:rPr>
        <w:t xml:space="preserve"> wymóg utworzenia oddziału przez bank zagraniczny</w:t>
      </w:r>
      <w:r w:rsidR="00DA3503" w:rsidRPr="00BE264C">
        <w:rPr>
          <w:rFonts w:ascii="Times New Roman" w:hAnsi="Times New Roman" w:cs="Times New Roman"/>
          <w:bCs/>
          <w:sz w:val="24"/>
          <w:szCs w:val="24"/>
        </w:rPr>
        <w:t xml:space="preserve"> lub</w:t>
      </w:r>
      <w:r w:rsidR="00DA3503" w:rsidRPr="00BE264C">
        <w:rPr>
          <w:rFonts w:ascii="Times New Roman" w:eastAsiaTheme="minorEastAsia" w:hAnsi="Times New Roman" w:cs="Times New Roman"/>
          <w:sz w:val="24"/>
          <w:szCs w:val="24"/>
          <w:lang w:eastAsia="pl-PL"/>
        </w:rPr>
        <w:t xml:space="preserve"> </w:t>
      </w:r>
      <w:r w:rsidR="00DA3503" w:rsidRPr="00BE264C">
        <w:rPr>
          <w:rFonts w:ascii="Times New Roman" w:hAnsi="Times New Roman" w:cs="Times New Roman"/>
          <w:bCs/>
          <w:sz w:val="24"/>
          <w:szCs w:val="24"/>
        </w:rPr>
        <w:t>podmiot z państwa trzeciego niebędący bankiem zagranicznym</w:t>
      </w:r>
      <w:r w:rsidR="00D374F2" w:rsidRPr="00BE264C">
        <w:rPr>
          <w:rFonts w:ascii="Times New Roman" w:hAnsi="Times New Roman" w:cs="Times New Roman"/>
          <w:bCs/>
          <w:sz w:val="24"/>
          <w:szCs w:val="24"/>
        </w:rPr>
        <w:t>, przy czym wskazane zostały rodzaje świadczonych usług lub wykonywanych czynności, które nie skutkują obowiązkiem utworzenia oddziału.</w:t>
      </w:r>
    </w:p>
    <w:p w14:paraId="54BBC627" w14:textId="671AF11D" w:rsidR="007B4CFF" w:rsidRPr="00BE264C" w:rsidRDefault="007B4CFF"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Podmioty z państwa trzeciego niebędące bankiem zagranicznym i banki zagraniczne mające oddziały utworzone na terytorium Rzeczypospolitej Polskiej przekazują, na żądanie</w:t>
      </w:r>
      <w:r w:rsidR="007A74CC" w:rsidRPr="00BE264C">
        <w:rPr>
          <w:rFonts w:ascii="Times New Roman" w:hAnsi="Times New Roman" w:cs="Times New Roman"/>
          <w:bCs/>
          <w:sz w:val="24"/>
          <w:szCs w:val="24"/>
        </w:rPr>
        <w:t xml:space="preserve"> KNF</w:t>
      </w:r>
      <w:r w:rsidRPr="00BE264C">
        <w:rPr>
          <w:rFonts w:ascii="Times New Roman" w:hAnsi="Times New Roman" w:cs="Times New Roman"/>
          <w:bCs/>
          <w:sz w:val="24"/>
          <w:szCs w:val="24"/>
        </w:rPr>
        <w:t xml:space="preserve">, informacje niezbędne do monitorowania usług świadczonych z własnej, wyłącznej inicjatywy klienta lub kontrahenta mających siedzibę lub znajdujących się na terytorium Rzeczypospolitej </w:t>
      </w:r>
      <w:r w:rsidRPr="00BE264C">
        <w:rPr>
          <w:rFonts w:ascii="Times New Roman" w:hAnsi="Times New Roman" w:cs="Times New Roman"/>
          <w:bCs/>
          <w:sz w:val="24"/>
          <w:szCs w:val="24"/>
        </w:rPr>
        <w:lastRenderedPageBreak/>
        <w:t>Polskiej, w przypadku gdy takie usługi są świadczone przez podmioty z państwa trzeciego niebędące bankami zagranicznymi lub banki zagraniczne należące do tej samej grupy.</w:t>
      </w:r>
    </w:p>
    <w:p w14:paraId="45B177B8" w14:textId="2DF6E885" w:rsidR="00D23656" w:rsidRPr="00BE264C" w:rsidRDefault="007A74CC"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Pełne dookreślenie rodzaju przekazywanych dokumentów oraz informacji w treści projektowanego przepisu nie jest możliwe. Skutkowałoby to bowiem brakiem zgodności prawa krajowego z wdrażanymi przepisami dyrektywy CRD VI, które zawierają otwarty katalog dokumentów i informacji, których przekazania może żądać organ nadzoru.</w:t>
      </w:r>
    </w:p>
    <w:p w14:paraId="5CD50A03" w14:textId="1D41FAB9" w:rsidR="00D374F2" w:rsidRPr="00BE264C" w:rsidRDefault="00D374F2"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W</w:t>
      </w:r>
      <w:r w:rsidRPr="00BE264C">
        <w:rPr>
          <w:rFonts w:ascii="Times New Roman" w:hAnsi="Times New Roman" w:cs="Times New Roman"/>
          <w:b/>
          <w:sz w:val="24"/>
          <w:szCs w:val="24"/>
        </w:rPr>
        <w:t xml:space="preserve"> </w:t>
      </w:r>
      <w:r w:rsidR="009D056D" w:rsidRPr="00BE264C">
        <w:rPr>
          <w:rFonts w:ascii="Times New Roman" w:hAnsi="Times New Roman" w:cs="Times New Roman"/>
          <w:bCs/>
          <w:sz w:val="24"/>
          <w:szCs w:val="24"/>
        </w:rPr>
        <w:t>projektowanym art. 41b</w:t>
      </w:r>
      <w:r w:rsidR="009D056D" w:rsidRPr="00BE264C">
        <w:rPr>
          <w:rFonts w:ascii="Times New Roman" w:hAnsi="Times New Roman" w:cs="Times New Roman"/>
          <w:b/>
          <w:sz w:val="24"/>
          <w:szCs w:val="24"/>
        </w:rPr>
        <w:t xml:space="preserve"> </w:t>
      </w:r>
      <w:r w:rsidRPr="00BE264C">
        <w:rPr>
          <w:rFonts w:ascii="Times New Roman" w:hAnsi="Times New Roman" w:cs="Times New Roman"/>
          <w:bCs/>
          <w:sz w:val="24"/>
          <w:szCs w:val="24"/>
        </w:rPr>
        <w:t>wprowadz</w:t>
      </w:r>
      <w:r w:rsidR="009D056D" w:rsidRPr="00BE264C">
        <w:rPr>
          <w:rFonts w:ascii="Times New Roman" w:hAnsi="Times New Roman" w:cs="Times New Roman"/>
          <w:bCs/>
          <w:sz w:val="24"/>
          <w:szCs w:val="24"/>
        </w:rPr>
        <w:t>ono</w:t>
      </w:r>
      <w:r w:rsidRPr="00BE264C">
        <w:rPr>
          <w:rFonts w:ascii="Times New Roman" w:hAnsi="Times New Roman" w:cs="Times New Roman"/>
          <w:bCs/>
          <w:sz w:val="24"/>
          <w:szCs w:val="24"/>
        </w:rPr>
        <w:t xml:space="preserve"> wymóg stworzenia systemu klasyfikacji oddziałów</w:t>
      </w:r>
      <w:r w:rsidR="00DA3503" w:rsidRPr="00BE264C">
        <w:rPr>
          <w:rFonts w:ascii="Times New Roman" w:hAnsi="Times New Roman" w:cs="Times New Roman"/>
          <w:bCs/>
          <w:sz w:val="24"/>
          <w:szCs w:val="24"/>
        </w:rPr>
        <w:t xml:space="preserve"> z państw trzecich</w:t>
      </w:r>
      <w:r w:rsidRPr="00BE264C">
        <w:rPr>
          <w:rFonts w:ascii="Times New Roman" w:hAnsi="Times New Roman" w:cs="Times New Roman"/>
          <w:bCs/>
          <w:sz w:val="24"/>
          <w:szCs w:val="24"/>
        </w:rPr>
        <w:t>, w zależności od poziomu ryzyka jaki stanowią dla stabilności finansowej i integralności unijnego rynku finansowego.</w:t>
      </w:r>
    </w:p>
    <w:p w14:paraId="72818365" w14:textId="3EF1DB6E" w:rsidR="00D546CA" w:rsidRPr="00BE264C" w:rsidRDefault="00D546CA"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Celem stworzenia systemu klasyfikacji oddziałów z państw trzecich jest umożliwienie wzmocnienia harmonizacji regulacji nadzorczych w Unii Europejskiej poprzez utworzenie ram regulacyjnych obejmujących minimalne wspólne wymogi dotyczące zezwoleń, standardów ostrożnościowych, zarządzania wewnętrznego, nadzoru i sprawozdawczości.</w:t>
      </w:r>
    </w:p>
    <w:p w14:paraId="2E134402" w14:textId="62D4C9B4" w:rsidR="00015D95" w:rsidRPr="00BE264C" w:rsidRDefault="00D546CA"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Ze względu na proporcjonalność minimalne wymogi nakładane na oddziały z państw trzecich powinny być zależne od ryzyka, jakie oddziały te stwarzają dla stabilności finansowej i integralności rynku w Unii Europejskiej i państwach członkowskich.</w:t>
      </w:r>
      <w:r w:rsidR="0049546D" w:rsidRPr="00BE264C">
        <w:rPr>
          <w:rFonts w:ascii="Times New Roman" w:hAnsi="Times New Roman" w:cs="Times New Roman"/>
          <w:bCs/>
          <w:sz w:val="24"/>
          <w:szCs w:val="24"/>
        </w:rPr>
        <w:t xml:space="preserve"> W związku z czym oddziały z państw trzecich podzielono na dwie klasy.</w:t>
      </w:r>
      <w:r w:rsidRPr="00BE264C">
        <w:rPr>
          <w:rFonts w:ascii="Times New Roman" w:hAnsi="Times New Roman" w:cs="Times New Roman"/>
          <w:bCs/>
          <w:sz w:val="24"/>
          <w:szCs w:val="24"/>
        </w:rPr>
        <w:t xml:space="preserve"> </w:t>
      </w:r>
      <w:r w:rsidR="0049546D" w:rsidRPr="00BE264C">
        <w:rPr>
          <w:rFonts w:ascii="Times New Roman" w:hAnsi="Times New Roman" w:cs="Times New Roman"/>
          <w:bCs/>
          <w:sz w:val="24"/>
          <w:szCs w:val="24"/>
        </w:rPr>
        <w:t>D</w:t>
      </w:r>
      <w:r w:rsidRPr="00BE264C">
        <w:rPr>
          <w:rFonts w:ascii="Times New Roman" w:hAnsi="Times New Roman" w:cs="Times New Roman"/>
          <w:bCs/>
          <w:sz w:val="24"/>
          <w:szCs w:val="24"/>
        </w:rPr>
        <w:t>o klasy 1</w:t>
      </w:r>
      <w:r w:rsidR="0049546D" w:rsidRPr="00BE264C">
        <w:rPr>
          <w:rFonts w:ascii="Times New Roman" w:hAnsi="Times New Roman" w:cs="Times New Roman"/>
          <w:bCs/>
          <w:sz w:val="24"/>
          <w:szCs w:val="24"/>
        </w:rPr>
        <w:t xml:space="preserve"> zaliczane są oddziały z państw trzecich</w:t>
      </w:r>
      <w:r w:rsidRPr="00BE264C">
        <w:rPr>
          <w:rFonts w:ascii="Times New Roman" w:hAnsi="Times New Roman" w:cs="Times New Roman"/>
          <w:bCs/>
          <w:sz w:val="24"/>
          <w:szCs w:val="24"/>
        </w:rPr>
        <w:t xml:space="preserve"> stwarzające większe ryzyko</w:t>
      </w:r>
      <w:r w:rsidR="00015D95" w:rsidRPr="00BE264C">
        <w:rPr>
          <w:rFonts w:ascii="Times New Roman" w:hAnsi="Times New Roman" w:cs="Times New Roman"/>
          <w:bCs/>
          <w:sz w:val="24"/>
          <w:szCs w:val="24"/>
        </w:rPr>
        <w:t xml:space="preserve"> ze względu na ich większy rozmiar i złożoność, ponieważ ich upadłość mogłaby prowadzić do znacznego zakłócenia rynku usług bankowych lub systemu bankowego danego państwa członkowskiego. Oddziały z państw trzecich, którym to oddziałom udzielono zezwolenia na przyjmowanie depozytów detalicznych, również uznawane są za stwarzające większe ryzyko niezależnie od ich wielkości, w przypadku gdy kwota takich depozytów detalicznych przekracza określony próg, o ile upadłość takich oddziałów miałaby wpływ na deponentów znajdujących się w najtrudniejszej sytuacji i mogłaby doprowadzić do utraty zaufania do bezpieczeństwa i dobrej kondycji systemu bankowego danego państwa członkowskiego i jego zdolności do ochrony oszczędności obywateli</w:t>
      </w:r>
      <w:r w:rsidR="0049546D" w:rsidRPr="00BE264C">
        <w:rPr>
          <w:rFonts w:ascii="Times New Roman" w:hAnsi="Times New Roman" w:cs="Times New Roman"/>
          <w:bCs/>
          <w:sz w:val="24"/>
          <w:szCs w:val="24"/>
        </w:rPr>
        <w:t>.</w:t>
      </w:r>
      <w:r w:rsidR="00015D95" w:rsidRPr="00BE264C">
        <w:rPr>
          <w:rFonts w:ascii="Times New Roman" w:hAnsi="Times New Roman" w:cs="Times New Roman"/>
          <w:bCs/>
          <w:sz w:val="24"/>
          <w:szCs w:val="24"/>
        </w:rPr>
        <w:t xml:space="preserve"> Do klasy pierwszej należy także zakwalifikować oddział z państwa trzeciego w przypadku gdy przedsiębiorstwo macierzyste tego oddziału podlega regulacjom, a nadzoru i wdrażania takich regulacji nie uznano za co najmniej równoważne wymogom określonym w dyrektywie CRD i rozporządzeniu CRR, lub jeżeli dane państwo trzecie jest wymienione jako państwo trzecie wysokiego ryzyka.</w:t>
      </w:r>
      <w:r w:rsidRPr="00BE264C">
        <w:rPr>
          <w:rFonts w:ascii="Times New Roman" w:hAnsi="Times New Roman" w:cs="Times New Roman"/>
          <w:bCs/>
          <w:sz w:val="24"/>
          <w:szCs w:val="24"/>
        </w:rPr>
        <w:t xml:space="preserve"> </w:t>
      </w:r>
    </w:p>
    <w:p w14:paraId="18808215" w14:textId="5A104D34" w:rsidR="00015D95" w:rsidRPr="00BE264C" w:rsidRDefault="0049546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lastRenderedPageBreak/>
        <w:t>Pozostałe oddziały zaliczane są</w:t>
      </w:r>
      <w:r w:rsidR="00D546CA" w:rsidRPr="00BE264C">
        <w:rPr>
          <w:rFonts w:ascii="Times New Roman" w:hAnsi="Times New Roman" w:cs="Times New Roman"/>
          <w:bCs/>
          <w:sz w:val="24"/>
          <w:szCs w:val="24"/>
        </w:rPr>
        <w:t xml:space="preserve"> do klasy 2, </w:t>
      </w:r>
      <w:r w:rsidRPr="00BE264C">
        <w:rPr>
          <w:rFonts w:ascii="Times New Roman" w:hAnsi="Times New Roman" w:cs="Times New Roman"/>
          <w:bCs/>
          <w:sz w:val="24"/>
          <w:szCs w:val="24"/>
        </w:rPr>
        <w:t>gdyż</w:t>
      </w:r>
      <w:r w:rsidR="00D546CA" w:rsidRPr="00BE264C">
        <w:rPr>
          <w:rFonts w:ascii="Times New Roman" w:hAnsi="Times New Roman" w:cs="Times New Roman"/>
          <w:bCs/>
          <w:sz w:val="24"/>
          <w:szCs w:val="24"/>
        </w:rPr>
        <w:t xml:space="preserve"> uznaje się je za małe i niezłożone oraz niestwarzające znaczącego ryzyka dla stabilności finansowej, zgodnie z definicją „małej i niezłożonej instytucji” zawartą w rozporządzeniu </w:t>
      </w:r>
      <w:r w:rsidR="00015D95" w:rsidRPr="00BE264C">
        <w:rPr>
          <w:rFonts w:ascii="Times New Roman" w:hAnsi="Times New Roman" w:cs="Times New Roman"/>
          <w:bCs/>
          <w:sz w:val="24"/>
          <w:szCs w:val="24"/>
        </w:rPr>
        <w:t>CRR</w:t>
      </w:r>
      <w:r w:rsidR="00D546CA" w:rsidRPr="00BE264C">
        <w:rPr>
          <w:rFonts w:ascii="Times New Roman" w:hAnsi="Times New Roman" w:cs="Times New Roman"/>
          <w:bCs/>
          <w:sz w:val="24"/>
          <w:szCs w:val="24"/>
        </w:rPr>
        <w:t>.</w:t>
      </w:r>
    </w:p>
    <w:p w14:paraId="73EDFBBD" w14:textId="5EDB7FC9" w:rsidR="00D374F2" w:rsidRPr="00BE264C" w:rsidRDefault="00D374F2"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zostanie przyporządkowany do klasy 1, jeżeli spełni co najmniej jeden z warunków:</w:t>
      </w:r>
    </w:p>
    <w:p w14:paraId="0BDF7C06" w14:textId="442F8B96" w:rsidR="00D374F2" w:rsidRPr="00BE264C" w:rsidRDefault="00D374F2" w:rsidP="009858C9">
      <w:pPr>
        <w:numPr>
          <w:ilvl w:val="0"/>
          <w:numId w:val="4"/>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całkowita wartość aktywów wykazanych w zatwierdzonym sprawozdaniu z prowadzonej działalności za poprzedni rok obrotowy przez 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na terytorium Rzeczypospolitej Polskiej jest co najmniej równa 5 mld euro;</w:t>
      </w:r>
    </w:p>
    <w:p w14:paraId="17A5971F" w14:textId="68B9E0A0" w:rsidR="00D374F2" w:rsidRPr="00BE264C" w:rsidRDefault="00D374F2" w:rsidP="009858C9">
      <w:pPr>
        <w:numPr>
          <w:ilvl w:val="0"/>
          <w:numId w:val="4"/>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działalność oddziału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objęta zezwoleniem obejmuje przyjmowanie od klientów detalicznych depozytów lub innych środków podlegających zwrotowi, pod warunkiem że kwota takich depozytów i innych środków podlegających zwrotowi wynosi co najmniej 5</w:t>
      </w:r>
      <w:r w:rsidR="006B637B">
        <w:rPr>
          <w:rFonts w:ascii="Times New Roman" w:hAnsi="Times New Roman" w:cs="Times New Roman"/>
          <w:bCs/>
          <w:sz w:val="24"/>
          <w:szCs w:val="24"/>
        </w:rPr>
        <w:t xml:space="preserve"> </w:t>
      </w:r>
      <w:r w:rsidRPr="00BE264C">
        <w:rPr>
          <w:rFonts w:ascii="Times New Roman" w:hAnsi="Times New Roman" w:cs="Times New Roman"/>
          <w:bCs/>
          <w:sz w:val="24"/>
          <w:szCs w:val="24"/>
        </w:rPr>
        <w:t>% całkowitych zobowiązań tego oddziału lub przekracza 50 mln euro;</w:t>
      </w:r>
    </w:p>
    <w:p w14:paraId="46A348CB" w14:textId="0DAC37C9" w:rsidR="00D374F2" w:rsidRPr="00BE264C" w:rsidRDefault="00D374F2" w:rsidP="009858C9">
      <w:pPr>
        <w:numPr>
          <w:ilvl w:val="0"/>
          <w:numId w:val="4"/>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 xml:space="preserve">nie jest kwalifikującym się oddziałem banku zagranicznego, tzn. jeżeli w odniesieniu do tego oddziału nie są spełnione następujące warunki: </w:t>
      </w:r>
    </w:p>
    <w:p w14:paraId="012C66FF" w14:textId="77777777" w:rsidR="00D374F2" w:rsidRPr="00BE264C" w:rsidRDefault="00D374F2" w:rsidP="009858C9">
      <w:pPr>
        <w:numPr>
          <w:ilvl w:val="0"/>
          <w:numId w:val="3"/>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podmiot macierzysty ma siedzibę w państwie, które stosuje standardy ostrożnościowe i nadzór zgodnie z ramami regulacyjnymi sektora bankowego w danym państwie trzecim, które są co najmniej równoważne z ustawą – Prawo bankowe i rozporządzeniem CRR III;</w:t>
      </w:r>
    </w:p>
    <w:p w14:paraId="1F77F08C" w14:textId="77777777" w:rsidR="00D374F2" w:rsidRPr="00BE264C" w:rsidRDefault="00D374F2" w:rsidP="009858C9">
      <w:pPr>
        <w:numPr>
          <w:ilvl w:val="0"/>
          <w:numId w:val="3"/>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organy sprawujące nadzór nad podmiotem macierzystym podlegają wymogom zapewniającym ochronę informacji stanowiących tajemnicę zawodową właściwych władz nadzorczych państwa członkowskiego równoważnym do określonych w ustawie – Prawo bankowe;</w:t>
      </w:r>
    </w:p>
    <w:p w14:paraId="5753EF45" w14:textId="77777777" w:rsidR="00D374F2" w:rsidRPr="00BE264C" w:rsidRDefault="00D374F2" w:rsidP="009858C9">
      <w:pPr>
        <w:numPr>
          <w:ilvl w:val="0"/>
          <w:numId w:val="3"/>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podmiot macierzysty ma siedzibę w państwie, które nie jest państwem trzecim wysokiego ryzyka w rozumieniu ustawy z dnia 1 marca 2018 r. o przeciwdziałaniu praniu pieniędzy oraz finansowaniu terroryzmu.</w:t>
      </w:r>
    </w:p>
    <w:p w14:paraId="4A0F0930" w14:textId="4FADC15E" w:rsidR="00D374F2" w:rsidRPr="00BE264C" w:rsidRDefault="00D374F2"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Oddziały</w:t>
      </w:r>
      <w:r w:rsidR="00DA3503" w:rsidRPr="00BE264C">
        <w:rPr>
          <w:rFonts w:ascii="Times New Roman" w:hAnsi="Times New Roman" w:cs="Times New Roman"/>
          <w:bCs/>
          <w:sz w:val="24"/>
          <w:szCs w:val="24"/>
        </w:rPr>
        <w:t xml:space="preserve"> z państw trzecich</w:t>
      </w:r>
      <w:r w:rsidRPr="00BE264C">
        <w:rPr>
          <w:rFonts w:ascii="Times New Roman" w:hAnsi="Times New Roman" w:cs="Times New Roman"/>
          <w:bCs/>
          <w:sz w:val="24"/>
          <w:szCs w:val="24"/>
        </w:rPr>
        <w:t xml:space="preserve">, które nie spełniają żadnego z powyższych warunków, zostaną przyporządkowane do klasy 2. </w:t>
      </w:r>
    </w:p>
    <w:p w14:paraId="4565FDE0" w14:textId="05331E76" w:rsidR="00D374F2" w:rsidRPr="00BE264C" w:rsidRDefault="009D056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lastRenderedPageBreak/>
        <w:t>W projektowanym art. 41c</w:t>
      </w:r>
      <w:r w:rsidRPr="00BE264C">
        <w:rPr>
          <w:rFonts w:ascii="Times New Roman" w:hAnsi="Times New Roman" w:cs="Times New Roman"/>
          <w:b/>
          <w:sz w:val="24"/>
          <w:szCs w:val="24"/>
        </w:rPr>
        <w:t xml:space="preserve"> </w:t>
      </w:r>
      <w:r w:rsidR="00D374F2" w:rsidRPr="00BE264C">
        <w:rPr>
          <w:rFonts w:ascii="Times New Roman" w:hAnsi="Times New Roman" w:cs="Times New Roman"/>
          <w:bCs/>
          <w:sz w:val="24"/>
          <w:szCs w:val="24"/>
        </w:rPr>
        <w:t>określ</w:t>
      </w:r>
      <w:r w:rsidRPr="00BE264C">
        <w:rPr>
          <w:rFonts w:ascii="Times New Roman" w:hAnsi="Times New Roman" w:cs="Times New Roman"/>
          <w:bCs/>
          <w:sz w:val="24"/>
          <w:szCs w:val="24"/>
        </w:rPr>
        <w:t>ono</w:t>
      </w:r>
      <w:r w:rsidR="00D374F2" w:rsidRPr="00BE264C">
        <w:rPr>
          <w:rFonts w:ascii="Times New Roman" w:hAnsi="Times New Roman" w:cs="Times New Roman"/>
          <w:bCs/>
          <w:sz w:val="24"/>
          <w:szCs w:val="24"/>
        </w:rPr>
        <w:t xml:space="preserve"> warunki uznania oddziału z państwa trzeciego za kwalifikujący się oddział z państwa trzeciego, co jest niezbędne dla prawidłowego przyporządkowania przez KNF do określonej klasy danego oddziału.</w:t>
      </w:r>
    </w:p>
    <w:p w14:paraId="0E2FDFBC" w14:textId="1EFD6A27" w:rsidR="0096409C" w:rsidRPr="00BE264C" w:rsidRDefault="009D056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W projektowanym art. 41d</w:t>
      </w:r>
      <w:r w:rsidRPr="00BE264C">
        <w:rPr>
          <w:rFonts w:ascii="Times New Roman" w:hAnsi="Times New Roman" w:cs="Times New Roman"/>
          <w:b/>
          <w:sz w:val="24"/>
          <w:szCs w:val="24"/>
        </w:rPr>
        <w:t xml:space="preserve"> </w:t>
      </w:r>
      <w:r w:rsidR="0096409C" w:rsidRPr="00BE264C">
        <w:rPr>
          <w:rFonts w:ascii="Times New Roman" w:hAnsi="Times New Roman" w:cs="Times New Roman"/>
          <w:bCs/>
          <w:sz w:val="24"/>
          <w:szCs w:val="24"/>
        </w:rPr>
        <w:t>wprowadza się wymóg uzyskania zezwolenia KNF na prowadzenie działalności przez oddział</w:t>
      </w:r>
      <w:r w:rsidR="00DA3503" w:rsidRPr="00BE264C">
        <w:rPr>
          <w:rFonts w:ascii="Times New Roman" w:hAnsi="Times New Roman" w:cs="Times New Roman"/>
          <w:bCs/>
          <w:sz w:val="24"/>
          <w:szCs w:val="24"/>
        </w:rPr>
        <w:t xml:space="preserve"> z państwa trzeciego</w:t>
      </w:r>
      <w:r w:rsidR="0096409C" w:rsidRPr="00BE264C">
        <w:rPr>
          <w:rFonts w:ascii="Times New Roman" w:hAnsi="Times New Roman" w:cs="Times New Roman"/>
          <w:bCs/>
          <w:sz w:val="24"/>
          <w:szCs w:val="24"/>
        </w:rPr>
        <w:t>.</w:t>
      </w:r>
    </w:p>
    <w:p w14:paraId="7AE5B36A" w14:textId="2A8088B1"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Jednocześnie należy wskazać, że wraz z wejściem w życie przedmiotowych regulacji</w:t>
      </w:r>
      <w:r w:rsidR="00DA3503" w:rsidRPr="00BE264C">
        <w:rPr>
          <w:rFonts w:ascii="Times New Roman" w:hAnsi="Times New Roman" w:cs="Times New Roman"/>
          <w:bCs/>
          <w:sz w:val="24"/>
          <w:szCs w:val="24"/>
        </w:rPr>
        <w:t xml:space="preserve">, KNF, </w:t>
      </w:r>
      <w:r w:rsidRPr="00BE264C">
        <w:rPr>
          <w:rFonts w:ascii="Times New Roman" w:hAnsi="Times New Roman" w:cs="Times New Roman"/>
          <w:bCs/>
          <w:sz w:val="24"/>
          <w:szCs w:val="24"/>
        </w:rPr>
        <w:t xml:space="preserve">wydając zezwolenie na prowadzenie działalności przez 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będzie zobowiązana do przyporządkowania go do odpowiedniej klasy</w:t>
      </w:r>
      <w:r w:rsidR="00DA3503" w:rsidRPr="00BE264C">
        <w:rPr>
          <w:rFonts w:ascii="Times New Roman" w:hAnsi="Times New Roman" w:cs="Times New Roman"/>
          <w:bCs/>
          <w:sz w:val="24"/>
          <w:szCs w:val="24"/>
        </w:rPr>
        <w:t>,</w:t>
      </w:r>
      <w:r w:rsidRPr="00BE264C">
        <w:rPr>
          <w:rFonts w:ascii="Times New Roman" w:hAnsi="Times New Roman" w:cs="Times New Roman"/>
          <w:bCs/>
          <w:sz w:val="24"/>
          <w:szCs w:val="24"/>
        </w:rPr>
        <w:t xml:space="preserve"> w związku z czym w tym zakresie nie są wymagane przepisy dostosowujące.</w:t>
      </w:r>
    </w:p>
    <w:p w14:paraId="5920D135" w14:textId="528815BE"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Projektowane przepisy określają także zakres informacji, które muszą zostać wskazane we wniosku o wydanie zezwolenia na utworzenie oddziału. Do wniosku załącza się projekt regulaminu oddziału</w:t>
      </w:r>
      <w:r w:rsidR="00DA350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xml:space="preserve">, program działalności zawierający rodzaje czynności bankowych, do których wykonywania ma być upoważniony 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 xml:space="preserve">oraz zobowiązanie występującego z wnioskiem </w:t>
      </w:r>
      <w:r w:rsidR="00DA3503" w:rsidRPr="00BE264C">
        <w:rPr>
          <w:rFonts w:ascii="Times New Roman" w:hAnsi="Times New Roman" w:cs="Times New Roman"/>
          <w:bCs/>
          <w:sz w:val="24"/>
          <w:szCs w:val="24"/>
        </w:rPr>
        <w:t xml:space="preserve">podmiotu macierzystego </w:t>
      </w:r>
      <w:r w:rsidRPr="00BE264C">
        <w:rPr>
          <w:rFonts w:ascii="Times New Roman" w:hAnsi="Times New Roman" w:cs="Times New Roman"/>
          <w:bCs/>
          <w:sz w:val="24"/>
          <w:szCs w:val="24"/>
        </w:rPr>
        <w:t xml:space="preserve">o zaspokajaniu wszelkich roszczeń, jakie mogą powstać w stosunkach między </w:t>
      </w:r>
      <w:r w:rsidR="00DA3503" w:rsidRPr="00BE264C">
        <w:rPr>
          <w:rFonts w:ascii="Times New Roman" w:hAnsi="Times New Roman" w:cs="Times New Roman"/>
          <w:bCs/>
          <w:sz w:val="24"/>
          <w:szCs w:val="24"/>
        </w:rPr>
        <w:t xml:space="preserve">tym </w:t>
      </w:r>
      <w:r w:rsidRPr="00BE264C">
        <w:rPr>
          <w:rFonts w:ascii="Times New Roman" w:hAnsi="Times New Roman" w:cs="Times New Roman"/>
          <w:bCs/>
          <w:sz w:val="24"/>
          <w:szCs w:val="24"/>
        </w:rPr>
        <w:t>oddziałem i innymi podmiotami.</w:t>
      </w:r>
    </w:p>
    <w:p w14:paraId="5B06C714" w14:textId="77777777"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Projektowane przepisy określają warunki, które muszą zostać spełnione łącznie, aby zezwolenie mogło zostać udzielone.</w:t>
      </w:r>
    </w:p>
    <w:p w14:paraId="2E102887" w14:textId="4B0F08DE"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W zezwoleniu KNF określa w szczególności siedzibę oddziału</w:t>
      </w:r>
      <w:r w:rsidR="00DA350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xml:space="preserve">, rodzaj działalności, do wykonywania której 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jest upoważniony, minimalną wysokość funduszy niezbędnych do działalności oddziału</w:t>
      </w:r>
      <w:r w:rsidR="00DA350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xml:space="preserve">, </w:t>
      </w:r>
      <w:r w:rsidR="009D056D" w:rsidRPr="00BE264C">
        <w:rPr>
          <w:rFonts w:ascii="Times New Roman" w:hAnsi="Times New Roman" w:cs="Times New Roman"/>
          <w:bCs/>
          <w:sz w:val="24"/>
          <w:szCs w:val="24"/>
        </w:rPr>
        <w:t xml:space="preserve">oraz w przypadku podmiotu objętego systemem gwarantowania, o którym mowa w art. 2 pkt 41 lit. b ustawy z dnia z dnia 10 czerwca 2016 r. o Bankowym Funduszu Gwarancyjnym, systemie gwarantowania depozytów oraz przymusowej restrukturyzacji, </w:t>
      </w:r>
      <w:r w:rsidRPr="00BE264C">
        <w:rPr>
          <w:rFonts w:ascii="Times New Roman" w:hAnsi="Times New Roman" w:cs="Times New Roman"/>
          <w:bCs/>
          <w:sz w:val="24"/>
          <w:szCs w:val="24"/>
        </w:rPr>
        <w:t xml:space="preserve">warunki dostępu </w:t>
      </w:r>
      <w:r w:rsidR="009D056D" w:rsidRPr="00BE264C">
        <w:rPr>
          <w:rFonts w:ascii="Times New Roman" w:hAnsi="Times New Roman" w:cs="Times New Roman"/>
          <w:bCs/>
          <w:sz w:val="24"/>
          <w:szCs w:val="24"/>
        </w:rPr>
        <w:t>przez K</w:t>
      </w:r>
      <w:r w:rsidR="001B6ED3" w:rsidRPr="00BE264C">
        <w:rPr>
          <w:rFonts w:ascii="Times New Roman" w:hAnsi="Times New Roman" w:cs="Times New Roman"/>
          <w:bCs/>
          <w:sz w:val="24"/>
          <w:szCs w:val="24"/>
        </w:rPr>
        <w:t>NF</w:t>
      </w:r>
      <w:r w:rsidR="009D056D" w:rsidRPr="00BE264C">
        <w:rPr>
          <w:rFonts w:ascii="Times New Roman" w:hAnsi="Times New Roman" w:cs="Times New Roman"/>
          <w:bCs/>
          <w:sz w:val="24"/>
          <w:szCs w:val="24"/>
        </w:rPr>
        <w:t xml:space="preserve"> oraz Bankowy Fundusz Gwarancyjny </w:t>
      </w:r>
      <w:r w:rsidRPr="00BE264C">
        <w:rPr>
          <w:rFonts w:ascii="Times New Roman" w:hAnsi="Times New Roman" w:cs="Times New Roman"/>
          <w:bCs/>
          <w:sz w:val="24"/>
          <w:szCs w:val="24"/>
        </w:rPr>
        <w:t>do systemu wyliczania,</w:t>
      </w:r>
      <w:r w:rsidR="009D056D" w:rsidRPr="00BE264C">
        <w:rPr>
          <w:rFonts w:ascii="Times New Roman" w:eastAsiaTheme="minorEastAsia" w:hAnsi="Times New Roman" w:cs="Times New Roman"/>
          <w:sz w:val="24"/>
          <w:szCs w:val="24"/>
          <w:lang w:eastAsia="pl-PL"/>
        </w:rPr>
        <w:t xml:space="preserve"> </w:t>
      </w:r>
      <w:r w:rsidR="009D056D" w:rsidRPr="00BE264C">
        <w:rPr>
          <w:rFonts w:ascii="Times New Roman" w:hAnsi="Times New Roman" w:cs="Times New Roman"/>
          <w:bCs/>
          <w:sz w:val="24"/>
          <w:szCs w:val="24"/>
        </w:rPr>
        <w:t xml:space="preserve">o którym mowa w art. 2 pkt 64 tej ustawy, </w:t>
      </w:r>
      <w:r w:rsidRPr="00BE264C">
        <w:rPr>
          <w:rFonts w:ascii="Times New Roman" w:hAnsi="Times New Roman" w:cs="Times New Roman"/>
          <w:bCs/>
          <w:sz w:val="24"/>
          <w:szCs w:val="24"/>
        </w:rPr>
        <w:t xml:space="preserve">w szczególności na wypadek spełnienia warunku gwarancji, zakazuje oferowania lub prowadzenia działalności objętej zezwoleniem w innych państwach członkowskich na zasadzie transgranicznej, z wyjątkiem wewnątrzgrupowych transakcji finansowania zawieranych z innymi oddziałami </w:t>
      </w:r>
      <w:r w:rsidR="00DA3503" w:rsidRPr="00BE264C">
        <w:rPr>
          <w:rFonts w:ascii="Times New Roman" w:hAnsi="Times New Roman" w:cs="Times New Roman"/>
          <w:bCs/>
          <w:sz w:val="24"/>
          <w:szCs w:val="24"/>
        </w:rPr>
        <w:t xml:space="preserve">z państw trzecich </w:t>
      </w:r>
      <w:r w:rsidRPr="00BE264C">
        <w:rPr>
          <w:rFonts w:ascii="Times New Roman" w:hAnsi="Times New Roman" w:cs="Times New Roman"/>
          <w:bCs/>
          <w:sz w:val="24"/>
          <w:szCs w:val="24"/>
        </w:rPr>
        <w:t>mający</w:t>
      </w:r>
      <w:r w:rsidR="00DA3503" w:rsidRPr="00BE264C">
        <w:rPr>
          <w:rFonts w:ascii="Times New Roman" w:hAnsi="Times New Roman" w:cs="Times New Roman"/>
          <w:bCs/>
          <w:sz w:val="24"/>
          <w:szCs w:val="24"/>
        </w:rPr>
        <w:t>ch</w:t>
      </w:r>
      <w:r w:rsidRPr="00BE264C">
        <w:rPr>
          <w:rFonts w:ascii="Times New Roman" w:hAnsi="Times New Roman" w:cs="Times New Roman"/>
          <w:bCs/>
          <w:sz w:val="24"/>
          <w:szCs w:val="24"/>
        </w:rPr>
        <w:t xml:space="preserve"> ten sam podmiot macierzysty oraz transakcji zawieranych z wyłącznej inicjatywy klienta, a także zatwierdza projekt regulaminu oddziału</w:t>
      </w:r>
      <w:r w:rsidR="00DA350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xml:space="preserve">. </w:t>
      </w:r>
    </w:p>
    <w:p w14:paraId="3CEF89DA" w14:textId="61896DDC"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W celu ustalenia, czy nie istnieją uzasadnione podstawy, aby podejrzewać, że 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 xml:space="preserve">byłby wykorzystywany do dokonania lub ułatwienia dokonania prania pieniędzy lub </w:t>
      </w:r>
      <w:r w:rsidRPr="00BE264C">
        <w:rPr>
          <w:rFonts w:ascii="Times New Roman" w:hAnsi="Times New Roman" w:cs="Times New Roman"/>
          <w:bCs/>
          <w:sz w:val="24"/>
          <w:szCs w:val="24"/>
        </w:rPr>
        <w:lastRenderedPageBreak/>
        <w:t>finansowania terroryzmu w rozumieniu ustawy z dnia 1 marca 2018 r. o przeciwdziałaniu praniu pieniędzy oraz finansowaniu terroryzmu, KNF konsultuje się z Generalnym Inspektorem Informacji Finansowej.</w:t>
      </w:r>
    </w:p>
    <w:p w14:paraId="4229C056" w14:textId="4208C0EE"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W </w:t>
      </w:r>
      <w:r w:rsidR="0026361D" w:rsidRPr="00BE264C">
        <w:rPr>
          <w:rFonts w:ascii="Times New Roman" w:hAnsi="Times New Roman" w:cs="Times New Roman"/>
          <w:bCs/>
          <w:sz w:val="24"/>
          <w:szCs w:val="24"/>
        </w:rPr>
        <w:t xml:space="preserve">projektowanym art. 41d </w:t>
      </w:r>
      <w:r w:rsidRPr="00BE264C">
        <w:rPr>
          <w:rFonts w:ascii="Times New Roman" w:hAnsi="Times New Roman" w:cs="Times New Roman"/>
          <w:bCs/>
          <w:sz w:val="24"/>
          <w:szCs w:val="24"/>
        </w:rPr>
        <w:t xml:space="preserve">określono </w:t>
      </w:r>
      <w:r w:rsidR="007F55B4" w:rsidRPr="00BE264C">
        <w:rPr>
          <w:rFonts w:ascii="Times New Roman" w:hAnsi="Times New Roman" w:cs="Times New Roman"/>
          <w:bCs/>
          <w:sz w:val="24"/>
          <w:szCs w:val="24"/>
        </w:rPr>
        <w:t xml:space="preserve">następujące </w:t>
      </w:r>
      <w:r w:rsidRPr="00BE264C">
        <w:rPr>
          <w:rFonts w:ascii="Times New Roman" w:hAnsi="Times New Roman" w:cs="Times New Roman"/>
          <w:bCs/>
          <w:sz w:val="24"/>
          <w:szCs w:val="24"/>
        </w:rPr>
        <w:t xml:space="preserve">warunki </w:t>
      </w:r>
      <w:r w:rsidR="007F55B4" w:rsidRPr="00BE264C">
        <w:rPr>
          <w:rFonts w:ascii="Times New Roman" w:hAnsi="Times New Roman" w:cs="Times New Roman"/>
          <w:bCs/>
          <w:sz w:val="24"/>
          <w:szCs w:val="24"/>
        </w:rPr>
        <w:t xml:space="preserve">odmowy przez KNF </w:t>
      </w:r>
      <w:r w:rsidRPr="00BE264C">
        <w:rPr>
          <w:rFonts w:ascii="Times New Roman" w:hAnsi="Times New Roman" w:cs="Times New Roman"/>
          <w:bCs/>
          <w:sz w:val="24"/>
          <w:szCs w:val="24"/>
        </w:rPr>
        <w:t xml:space="preserve">wydania zezwolenia na utworzenie oddziału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 xml:space="preserve">albo uchyla zezwolenie na utworzenie oddziału banku zagranicznego, jeżeli: </w:t>
      </w:r>
    </w:p>
    <w:p w14:paraId="56C487F2" w14:textId="5BAA5FC6" w:rsidR="00B52840" w:rsidRPr="00BE264C" w:rsidRDefault="00B52840" w:rsidP="009858C9">
      <w:pPr>
        <w:numPr>
          <w:ilvl w:val="0"/>
          <w:numId w:val="10"/>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oddział </w:t>
      </w:r>
      <w:r w:rsidR="00DA350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nie spełnia wymogów dotyczących udzielenia zezwolenia;</w:t>
      </w:r>
    </w:p>
    <w:p w14:paraId="4CA02D8C" w14:textId="6E207FFB" w:rsidR="00B52840" w:rsidRPr="00BE264C" w:rsidRDefault="00DA3503" w:rsidP="009858C9">
      <w:pPr>
        <w:numPr>
          <w:ilvl w:val="0"/>
          <w:numId w:val="10"/>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oddział z państwa trzeciego</w:t>
      </w:r>
      <w:r w:rsidR="00511B63" w:rsidRPr="00BE264C">
        <w:rPr>
          <w:rFonts w:ascii="Times New Roman" w:hAnsi="Times New Roman" w:cs="Times New Roman"/>
          <w:bCs/>
          <w:sz w:val="24"/>
          <w:szCs w:val="24"/>
        </w:rPr>
        <w:t>,</w:t>
      </w:r>
      <w:r w:rsidR="00B52840" w:rsidRPr="00BE264C">
        <w:rPr>
          <w:rFonts w:ascii="Times New Roman" w:hAnsi="Times New Roman" w:cs="Times New Roman"/>
          <w:bCs/>
          <w:sz w:val="24"/>
          <w:szCs w:val="24"/>
        </w:rPr>
        <w:t xml:space="preserve"> </w:t>
      </w:r>
      <w:r w:rsidRPr="00BE264C">
        <w:rPr>
          <w:rFonts w:ascii="Times New Roman" w:hAnsi="Times New Roman" w:cs="Times New Roman"/>
          <w:bCs/>
          <w:sz w:val="24"/>
          <w:szCs w:val="24"/>
        </w:rPr>
        <w:t xml:space="preserve">jego </w:t>
      </w:r>
      <w:r w:rsidR="00B52840" w:rsidRPr="00BE264C">
        <w:rPr>
          <w:rFonts w:ascii="Times New Roman" w:hAnsi="Times New Roman" w:cs="Times New Roman"/>
          <w:bCs/>
          <w:sz w:val="24"/>
          <w:szCs w:val="24"/>
        </w:rPr>
        <w:t>podmiot macierzysty lub jego grupa nie spełniają wymogów ostrożnościowych, które mają do nich zastosowanie na mocy prawa państwa trzeciego, lub istnieją uzasadnione podstawy, aby podejrzewać, że nie spełniają one tych wymogów lub że naruszą je w ciągu najbliższych 12 miesięcy.</w:t>
      </w:r>
    </w:p>
    <w:p w14:paraId="38003D82" w14:textId="049CBD25"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Ponadto KNF może także uchylić zezwolenie na utworzenie oddziału</w:t>
      </w:r>
      <w:r w:rsidR="00511B6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jeżeli spełniony jest co najmniej jeden ze wskazanych w projektowanych przepisach warunków.</w:t>
      </w:r>
    </w:p>
    <w:p w14:paraId="7D4EF710" w14:textId="7E628215" w:rsidR="0026361D" w:rsidRPr="00BE264C" w:rsidRDefault="00A26928"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Na podstawie </w:t>
      </w:r>
      <w:r w:rsidR="0026361D" w:rsidRPr="00BE264C">
        <w:rPr>
          <w:rFonts w:ascii="Times New Roman" w:hAnsi="Times New Roman" w:cs="Times New Roman"/>
          <w:bCs/>
          <w:sz w:val="24"/>
          <w:szCs w:val="24"/>
        </w:rPr>
        <w:t>projektowan</w:t>
      </w:r>
      <w:r w:rsidRPr="00BE264C">
        <w:rPr>
          <w:rFonts w:ascii="Times New Roman" w:hAnsi="Times New Roman" w:cs="Times New Roman"/>
          <w:bCs/>
          <w:sz w:val="24"/>
          <w:szCs w:val="24"/>
        </w:rPr>
        <w:t>ego</w:t>
      </w:r>
      <w:r w:rsidR="0026361D" w:rsidRPr="00BE264C">
        <w:rPr>
          <w:rFonts w:ascii="Times New Roman" w:hAnsi="Times New Roman" w:cs="Times New Roman"/>
          <w:bCs/>
          <w:sz w:val="24"/>
          <w:szCs w:val="24"/>
        </w:rPr>
        <w:t xml:space="preserve"> art. 41f oddziały z państw trzecich podlegają wpisowi do rejestru przedsiębiorców. </w:t>
      </w:r>
    </w:p>
    <w:p w14:paraId="59691194" w14:textId="24256082" w:rsidR="0026361D" w:rsidRPr="00BE264C" w:rsidRDefault="0026361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Zgodnie z projektowanym art. 41g w zakresie nieuregulowanym w art. 41a–41f oraz art. 41h–41y do postępowania przy tworzeniu oddziału z państwa trzeciego w kraju stosuje się odpowiednio przepisy art. 32–38 ustawy – Prawo bankowe. </w:t>
      </w:r>
    </w:p>
    <w:p w14:paraId="4796BFF5" w14:textId="5851C520" w:rsidR="0026361D" w:rsidRPr="00BE264C" w:rsidRDefault="00A26928"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Zgodnie z </w:t>
      </w:r>
      <w:r w:rsidR="0026361D" w:rsidRPr="00BE264C">
        <w:rPr>
          <w:rFonts w:ascii="Times New Roman" w:hAnsi="Times New Roman" w:cs="Times New Roman"/>
          <w:bCs/>
          <w:sz w:val="24"/>
          <w:szCs w:val="24"/>
        </w:rPr>
        <w:t>projektowan</w:t>
      </w:r>
      <w:r w:rsidRPr="00BE264C">
        <w:rPr>
          <w:rFonts w:ascii="Times New Roman" w:hAnsi="Times New Roman" w:cs="Times New Roman"/>
          <w:bCs/>
          <w:sz w:val="24"/>
          <w:szCs w:val="24"/>
        </w:rPr>
        <w:t>ym</w:t>
      </w:r>
      <w:r w:rsidR="0026361D" w:rsidRPr="00BE264C">
        <w:rPr>
          <w:rFonts w:ascii="Times New Roman" w:hAnsi="Times New Roman" w:cs="Times New Roman"/>
          <w:bCs/>
          <w:sz w:val="24"/>
          <w:szCs w:val="24"/>
        </w:rPr>
        <w:t xml:space="preserve"> art. 41h oddział z państwa trzeciego działa na podstawie regulaminu nadanego przez podmiot macierzysty. Natomiast zmiana regulaminu następuje na podstawie zezwolenia Komisji Nadzoru Finansowego wydanego na wniosek podmiotu macierzystego. </w:t>
      </w:r>
    </w:p>
    <w:p w14:paraId="7C448268" w14:textId="64DE3ADC" w:rsidR="00B52840" w:rsidRPr="00BE264C" w:rsidRDefault="0026361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Na podstawie projektowanego art. 41i n</w:t>
      </w:r>
      <w:r w:rsidR="00B52840" w:rsidRPr="00BE264C">
        <w:rPr>
          <w:rFonts w:ascii="Times New Roman" w:hAnsi="Times New Roman" w:cs="Times New Roman"/>
          <w:bCs/>
          <w:sz w:val="24"/>
          <w:szCs w:val="24"/>
        </w:rPr>
        <w:t xml:space="preserve">a KNF nałożono również obowiązek corocznego informowania Europejskiego Urzędu Nadzoru Bankowego o wydanych zezwoleniach na utworzenie oddziału </w:t>
      </w:r>
      <w:r w:rsidR="00511B63" w:rsidRPr="00BE264C">
        <w:rPr>
          <w:rFonts w:ascii="Times New Roman" w:hAnsi="Times New Roman" w:cs="Times New Roman"/>
          <w:bCs/>
          <w:sz w:val="24"/>
          <w:szCs w:val="24"/>
        </w:rPr>
        <w:t xml:space="preserve">z państwa trzeciego </w:t>
      </w:r>
      <w:r w:rsidR="00B52840" w:rsidRPr="00BE264C">
        <w:rPr>
          <w:rFonts w:ascii="Times New Roman" w:hAnsi="Times New Roman" w:cs="Times New Roman"/>
          <w:bCs/>
          <w:sz w:val="24"/>
          <w:szCs w:val="24"/>
        </w:rPr>
        <w:t xml:space="preserve">oraz o zmianach tych zezwoleń, całkowitych aktywach i zobowiązaniach zaksięgowanych przez oddział </w:t>
      </w:r>
      <w:r w:rsidR="00511B63" w:rsidRPr="00BE264C">
        <w:rPr>
          <w:rFonts w:ascii="Times New Roman" w:hAnsi="Times New Roman" w:cs="Times New Roman"/>
          <w:bCs/>
          <w:sz w:val="24"/>
          <w:szCs w:val="24"/>
        </w:rPr>
        <w:t xml:space="preserve">z państwa trzeciego </w:t>
      </w:r>
      <w:r w:rsidR="00B52840" w:rsidRPr="00BE264C">
        <w:rPr>
          <w:rFonts w:ascii="Times New Roman" w:hAnsi="Times New Roman" w:cs="Times New Roman"/>
          <w:bCs/>
          <w:sz w:val="24"/>
          <w:szCs w:val="24"/>
        </w:rPr>
        <w:t xml:space="preserve">oraz nazwie grupy z państwa trzeciego, do której należy oddział banku zagranicznego. </w:t>
      </w:r>
    </w:p>
    <w:p w14:paraId="6B4BDC58" w14:textId="54045496" w:rsidR="00B52840" w:rsidRPr="00BE264C" w:rsidRDefault="00514568"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W projektowanym art. 41j </w:t>
      </w:r>
      <w:r w:rsidR="00B52840" w:rsidRPr="00BE264C">
        <w:rPr>
          <w:rFonts w:ascii="Times New Roman" w:hAnsi="Times New Roman" w:cs="Times New Roman"/>
          <w:bCs/>
          <w:sz w:val="24"/>
          <w:szCs w:val="24"/>
        </w:rPr>
        <w:t xml:space="preserve">KNF </w:t>
      </w:r>
      <w:r w:rsidRPr="00BE264C">
        <w:rPr>
          <w:rFonts w:ascii="Times New Roman" w:hAnsi="Times New Roman" w:cs="Times New Roman"/>
          <w:bCs/>
          <w:sz w:val="24"/>
          <w:szCs w:val="24"/>
        </w:rPr>
        <w:t xml:space="preserve">została </w:t>
      </w:r>
      <w:r w:rsidR="00B52840" w:rsidRPr="00BE264C">
        <w:rPr>
          <w:rFonts w:ascii="Times New Roman" w:hAnsi="Times New Roman" w:cs="Times New Roman"/>
          <w:bCs/>
          <w:sz w:val="24"/>
          <w:szCs w:val="24"/>
        </w:rPr>
        <w:t>zobowiązan</w:t>
      </w:r>
      <w:r w:rsidRPr="00BE264C">
        <w:rPr>
          <w:rFonts w:ascii="Times New Roman" w:hAnsi="Times New Roman" w:cs="Times New Roman"/>
          <w:bCs/>
          <w:sz w:val="24"/>
          <w:szCs w:val="24"/>
        </w:rPr>
        <w:t>a</w:t>
      </w:r>
      <w:r w:rsidR="00B52840" w:rsidRPr="00BE264C">
        <w:rPr>
          <w:rFonts w:ascii="Times New Roman" w:hAnsi="Times New Roman" w:cs="Times New Roman"/>
          <w:bCs/>
          <w:sz w:val="24"/>
          <w:szCs w:val="24"/>
        </w:rPr>
        <w:t>, przed rozpoczęciem działalności na terytorium Rzeczypospolitej Polskiej przez oddział</w:t>
      </w:r>
      <w:r w:rsidR="00511B63" w:rsidRPr="00BE264C">
        <w:rPr>
          <w:rFonts w:ascii="Times New Roman" w:hAnsi="Times New Roman" w:cs="Times New Roman"/>
          <w:bCs/>
          <w:sz w:val="24"/>
          <w:szCs w:val="24"/>
        </w:rPr>
        <w:t xml:space="preserve"> z państwa trzeciego</w:t>
      </w:r>
      <w:r w:rsidR="00B52840" w:rsidRPr="00BE264C">
        <w:rPr>
          <w:rFonts w:ascii="Times New Roman" w:hAnsi="Times New Roman" w:cs="Times New Roman"/>
          <w:bCs/>
          <w:sz w:val="24"/>
          <w:szCs w:val="24"/>
        </w:rPr>
        <w:t xml:space="preserve">, do zawarcia z odpowiednimi właściwymi organami państw trzecich umów administracyjnych lub innych porozumień, opartych na modelowych porozumieniach administracyjnych opracowanych przez Europejski Urząd Nadzoru Bankowego zgodnie z art. 33 ust. 5 rozporządzenia (UE) nr </w:t>
      </w:r>
      <w:r w:rsidR="00B52840" w:rsidRPr="00BE264C">
        <w:rPr>
          <w:rFonts w:ascii="Times New Roman" w:hAnsi="Times New Roman" w:cs="Times New Roman"/>
          <w:bCs/>
          <w:sz w:val="24"/>
          <w:szCs w:val="24"/>
        </w:rPr>
        <w:lastRenderedPageBreak/>
        <w:t>1093/2010, a także do niezwłocznego przekazania Europejskiemu Urzędowi Nadzoru Bankowego informacji o tych umowach lub porozumieniach.</w:t>
      </w:r>
    </w:p>
    <w:p w14:paraId="585112E1" w14:textId="1AD40DAF" w:rsidR="00B52840" w:rsidRPr="00BE264C" w:rsidRDefault="00AA528A"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W projektowanym art. 41k określono o</w:t>
      </w:r>
      <w:r w:rsidR="00B52840" w:rsidRPr="00BE264C">
        <w:rPr>
          <w:rFonts w:ascii="Times New Roman" w:hAnsi="Times New Roman" w:cs="Times New Roman"/>
          <w:bCs/>
          <w:sz w:val="24"/>
          <w:szCs w:val="24"/>
        </w:rPr>
        <w:t>bowiązki, jakim podlega oddział</w:t>
      </w:r>
      <w:r w:rsidR="00511B6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w:t>
      </w:r>
      <w:r w:rsidR="00B52840" w:rsidRPr="00BE264C">
        <w:rPr>
          <w:rFonts w:ascii="Times New Roman" w:hAnsi="Times New Roman" w:cs="Times New Roman"/>
          <w:bCs/>
          <w:sz w:val="24"/>
          <w:szCs w:val="24"/>
        </w:rPr>
        <w:t xml:space="preserve"> </w:t>
      </w:r>
      <w:r w:rsidRPr="00BE264C">
        <w:rPr>
          <w:rFonts w:ascii="Times New Roman" w:hAnsi="Times New Roman" w:cs="Times New Roman"/>
          <w:bCs/>
          <w:sz w:val="24"/>
          <w:szCs w:val="24"/>
        </w:rPr>
        <w:t xml:space="preserve">w tym </w:t>
      </w:r>
      <w:r w:rsidR="00B52840" w:rsidRPr="00BE264C">
        <w:rPr>
          <w:rFonts w:ascii="Times New Roman" w:hAnsi="Times New Roman" w:cs="Times New Roman"/>
          <w:bCs/>
          <w:sz w:val="24"/>
          <w:szCs w:val="24"/>
        </w:rPr>
        <w:t>m.in.</w:t>
      </w:r>
      <w:r w:rsidR="00B52840" w:rsidRPr="00BE264C">
        <w:rPr>
          <w:rFonts w:ascii="Times New Roman" w:hAnsi="Times New Roman" w:cs="Times New Roman"/>
          <w:b/>
          <w:bCs/>
          <w:sz w:val="24"/>
          <w:szCs w:val="24"/>
        </w:rPr>
        <w:t xml:space="preserve"> </w:t>
      </w:r>
      <w:r w:rsidR="00B52840" w:rsidRPr="00BE264C">
        <w:rPr>
          <w:rFonts w:ascii="Times New Roman" w:hAnsi="Times New Roman" w:cs="Times New Roman"/>
          <w:bCs/>
          <w:sz w:val="24"/>
          <w:szCs w:val="24"/>
        </w:rPr>
        <w:t xml:space="preserve">używanie firmy </w:t>
      </w:r>
      <w:r w:rsidR="00511B63" w:rsidRPr="00BE264C">
        <w:rPr>
          <w:rFonts w:ascii="Times New Roman" w:hAnsi="Times New Roman" w:cs="Times New Roman"/>
          <w:bCs/>
          <w:sz w:val="24"/>
          <w:szCs w:val="24"/>
        </w:rPr>
        <w:t xml:space="preserve">podmiotu macierzystego </w:t>
      </w:r>
      <w:r w:rsidR="00B52840" w:rsidRPr="00BE264C">
        <w:rPr>
          <w:rFonts w:ascii="Times New Roman" w:hAnsi="Times New Roman" w:cs="Times New Roman"/>
          <w:bCs/>
          <w:sz w:val="24"/>
          <w:szCs w:val="24"/>
        </w:rPr>
        <w:t>w języku państwa jego siedziby wraz z przetłumaczonym na język polski określeniem jego formy prawnej oraz dodaniem wyrazów „oddział w Polsce”, prowadzenie oddzielnej rachunkowości w języku polskim, zgodnie z przepisami obowiązującymi banki krajowe, działanie zgodnie z zatwierdzonym regulaminem oraz przechowywanie wszelkich dokumentów dotyczących jego działalności w siedzibie oddziału. Należy wskazać, że obowiązki te zawarte są również w aktualnie obowiązujących przepisach ustawy – Prawo bankowe.</w:t>
      </w:r>
    </w:p>
    <w:p w14:paraId="394E25C5" w14:textId="11C2A386"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Projektowan</w:t>
      </w:r>
      <w:r w:rsidR="00AA528A" w:rsidRPr="00BE264C">
        <w:rPr>
          <w:rFonts w:ascii="Times New Roman" w:hAnsi="Times New Roman" w:cs="Times New Roman"/>
          <w:bCs/>
          <w:sz w:val="24"/>
          <w:szCs w:val="24"/>
        </w:rPr>
        <w:t>y</w:t>
      </w:r>
      <w:r w:rsidRPr="00BE264C">
        <w:rPr>
          <w:rFonts w:ascii="Times New Roman" w:hAnsi="Times New Roman" w:cs="Times New Roman"/>
          <w:bCs/>
          <w:sz w:val="24"/>
          <w:szCs w:val="24"/>
        </w:rPr>
        <w:t xml:space="preserve"> przepis </w:t>
      </w:r>
      <w:r w:rsidR="00AA528A" w:rsidRPr="00BE264C">
        <w:rPr>
          <w:rFonts w:ascii="Times New Roman" w:hAnsi="Times New Roman" w:cs="Times New Roman"/>
          <w:bCs/>
          <w:sz w:val="24"/>
          <w:szCs w:val="24"/>
        </w:rPr>
        <w:t>art. 41l</w:t>
      </w:r>
      <w:r w:rsidR="00EB0800">
        <w:rPr>
          <w:rFonts w:ascii="Times New Roman" w:hAnsi="Times New Roman" w:cs="Times New Roman"/>
          <w:bCs/>
          <w:sz w:val="24"/>
          <w:szCs w:val="24"/>
        </w:rPr>
        <w:t>–</w:t>
      </w:r>
      <w:r w:rsidR="00AA528A" w:rsidRPr="00BE264C">
        <w:rPr>
          <w:rFonts w:ascii="Times New Roman" w:hAnsi="Times New Roman" w:cs="Times New Roman"/>
          <w:bCs/>
          <w:sz w:val="24"/>
          <w:szCs w:val="24"/>
        </w:rPr>
        <w:t xml:space="preserve">41s </w:t>
      </w:r>
      <w:r w:rsidRPr="00BE264C">
        <w:rPr>
          <w:rFonts w:ascii="Times New Roman" w:hAnsi="Times New Roman" w:cs="Times New Roman"/>
          <w:bCs/>
          <w:sz w:val="24"/>
          <w:szCs w:val="24"/>
        </w:rPr>
        <w:t>określają wymogi w zakresie poziomu wymaganego kapitału, płynności, zarządzania i polityki wynagrodzeń w odniesieniu do oddziałów</w:t>
      </w:r>
      <w:r w:rsidR="00511B63" w:rsidRPr="00BE264C">
        <w:rPr>
          <w:rFonts w:ascii="Times New Roman" w:hAnsi="Times New Roman" w:cs="Times New Roman"/>
          <w:bCs/>
          <w:sz w:val="24"/>
          <w:szCs w:val="24"/>
        </w:rPr>
        <w:t xml:space="preserve"> z państw trzecich</w:t>
      </w:r>
      <w:r w:rsidRPr="00BE264C">
        <w:rPr>
          <w:rFonts w:ascii="Times New Roman" w:hAnsi="Times New Roman" w:cs="Times New Roman"/>
          <w:bCs/>
          <w:sz w:val="24"/>
          <w:szCs w:val="24"/>
        </w:rPr>
        <w:t xml:space="preserve">, przy czym oddziały </w:t>
      </w:r>
      <w:r w:rsidR="00511B63" w:rsidRPr="00BE264C">
        <w:rPr>
          <w:rFonts w:ascii="Times New Roman" w:hAnsi="Times New Roman" w:cs="Times New Roman"/>
          <w:bCs/>
          <w:sz w:val="24"/>
          <w:szCs w:val="24"/>
        </w:rPr>
        <w:t xml:space="preserve">z państw trzecich </w:t>
      </w:r>
      <w:r w:rsidRPr="00BE264C">
        <w:rPr>
          <w:rFonts w:ascii="Times New Roman" w:hAnsi="Times New Roman" w:cs="Times New Roman"/>
          <w:bCs/>
          <w:sz w:val="24"/>
          <w:szCs w:val="24"/>
        </w:rPr>
        <w:t>przyporządkowane do klasy 1 są zobowiązane do spełniania bardziej restrykcyjnych wymogów w powyższych obszarach.</w:t>
      </w:r>
    </w:p>
    <w:p w14:paraId="060BBCDA" w14:textId="0FAC5741"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Istotnym rozwiązaniem jest wprowadzenie </w:t>
      </w:r>
      <w:r w:rsidR="00F80FCC" w:rsidRPr="00BE264C">
        <w:rPr>
          <w:rFonts w:ascii="Times New Roman" w:hAnsi="Times New Roman" w:cs="Times New Roman"/>
          <w:bCs/>
          <w:sz w:val="24"/>
          <w:szCs w:val="24"/>
        </w:rPr>
        <w:t xml:space="preserve">w projektowanym art. 41t </w:t>
      </w:r>
      <w:r w:rsidRPr="00BE264C">
        <w:rPr>
          <w:rFonts w:ascii="Times New Roman" w:hAnsi="Times New Roman" w:cs="Times New Roman"/>
          <w:bCs/>
          <w:sz w:val="24"/>
          <w:szCs w:val="24"/>
        </w:rPr>
        <w:t>możliwości zażądania przez KNF złożenia wniosku o udzielenie zezwolenia na utworzenie banku</w:t>
      </w:r>
      <w:r w:rsidR="00247D69" w:rsidRPr="00BE264C">
        <w:rPr>
          <w:rFonts w:ascii="Times New Roman" w:hAnsi="Times New Roman" w:cs="Times New Roman"/>
          <w:bCs/>
          <w:sz w:val="24"/>
          <w:szCs w:val="24"/>
        </w:rPr>
        <w:t xml:space="preserve"> krajowego</w:t>
      </w:r>
      <w:r w:rsidRPr="00BE264C">
        <w:rPr>
          <w:rFonts w:ascii="Times New Roman" w:hAnsi="Times New Roman" w:cs="Times New Roman"/>
          <w:bCs/>
          <w:sz w:val="24"/>
          <w:szCs w:val="24"/>
        </w:rPr>
        <w:t xml:space="preserve"> przez oddział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jeżeli:</w:t>
      </w:r>
    </w:p>
    <w:p w14:paraId="0B58B936" w14:textId="72D3C4B5" w:rsidR="00B52840" w:rsidRPr="00BE264C" w:rsidRDefault="00B52840" w:rsidP="009858C9">
      <w:pPr>
        <w:numPr>
          <w:ilvl w:val="0"/>
          <w:numId w:val="11"/>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oddział</w:t>
      </w:r>
      <w:r w:rsidR="00511B6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xml:space="preserve"> prowadził w przeszłości lub obecnie prowadzi działalność gospodarczą, której przedmiotem są czynności bankowe, bez uszczerbku dla wyłączenia dotyczącego zawierania transakcji z wyłącznej inicjatywy klienta, z klientami lub kontrahentami w innych państwach członkowskich lub</w:t>
      </w:r>
    </w:p>
    <w:p w14:paraId="65C60111" w14:textId="6693CB92" w:rsidR="00B52840" w:rsidRPr="00BE264C" w:rsidRDefault="00B52840" w:rsidP="009858C9">
      <w:pPr>
        <w:numPr>
          <w:ilvl w:val="0"/>
          <w:numId w:val="11"/>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oddział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spełnia wskaźniki znaczenia systemowego, o których mowa w art. 39 ust. 5 i 6 ustawy o nadzorze makroostrożnościowym, lub jest uznany za mający znaczenie systemowe oraz stwarza znaczące ryzyka dla stabilności finansowej w Unii Europejskiej lub na terytorium Rzeczypospolitej Polskiej, lub</w:t>
      </w:r>
    </w:p>
    <w:p w14:paraId="7823C8B5" w14:textId="7E102080" w:rsidR="00B52840" w:rsidRPr="00BE264C" w:rsidRDefault="00B52840" w:rsidP="009858C9">
      <w:pPr>
        <w:numPr>
          <w:ilvl w:val="0"/>
          <w:numId w:val="11"/>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łączna kwota aktywów wszystkich oddziałów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 xml:space="preserve">w Unii Europejskiej, które należą do tej samej grupy z państwa trzeciego, wynosi co najmniej 40 mld euro, lub kwota aktywów danego oddziału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na terytorium Rzeczypospolitej Polskiej, wynosi co najmniej 10 mld euro.</w:t>
      </w:r>
    </w:p>
    <w:p w14:paraId="2366584D" w14:textId="73081781" w:rsidR="00F8489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Na KNF został nałożony obowiązek dokonania oceny, czy nadzorowany przez niego oddział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 xml:space="preserve">ma znaczenie systemowe i stwarza znaczące ryzyka dla stabilności finansowej Unii Europejskiej lub Rzeczypospolitej Polskiej. W tym celu KNF uwzględnia </w:t>
      </w:r>
      <w:r w:rsidRPr="00BE264C">
        <w:rPr>
          <w:rFonts w:ascii="Times New Roman" w:hAnsi="Times New Roman" w:cs="Times New Roman"/>
          <w:bCs/>
          <w:sz w:val="24"/>
          <w:szCs w:val="24"/>
        </w:rPr>
        <w:lastRenderedPageBreak/>
        <w:t xml:space="preserve">w szczególności </w:t>
      </w:r>
      <w:r w:rsidR="00F84890" w:rsidRPr="00BE264C">
        <w:rPr>
          <w:rFonts w:ascii="Times New Roman" w:hAnsi="Times New Roman" w:cs="Times New Roman"/>
          <w:bCs/>
          <w:sz w:val="24"/>
          <w:szCs w:val="24"/>
        </w:rPr>
        <w:t>służące do oceny znaczenia systemowego oddziałów z państw trzecich wskaźniki, o których mowa w art. 41p ust. 4, kryteria, o których mowa wart. 39 ust. 5 ustawy o nadzorze makroostrożnościowym, oraz wytyczne i rekomendację, o których mowa w art. 39 ust. 6 ustawy o nadzorze makroostrożnościowym.</w:t>
      </w:r>
    </w:p>
    <w:p w14:paraId="618DD982" w14:textId="0F96FEA4" w:rsidR="00D933A1" w:rsidRPr="00BE264C" w:rsidRDefault="007A74CC"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T</w:t>
      </w:r>
      <w:r w:rsidR="00D933A1" w:rsidRPr="00BE264C">
        <w:rPr>
          <w:rFonts w:ascii="Times New Roman" w:hAnsi="Times New Roman" w:cs="Times New Roman"/>
          <w:bCs/>
          <w:sz w:val="24"/>
          <w:szCs w:val="24"/>
        </w:rPr>
        <w:t>reść projektowanego art. 41</w:t>
      </w:r>
      <w:r w:rsidR="007A6F68" w:rsidRPr="00BE264C">
        <w:rPr>
          <w:rFonts w:ascii="Times New Roman" w:hAnsi="Times New Roman" w:cs="Times New Roman"/>
          <w:bCs/>
          <w:sz w:val="24"/>
          <w:szCs w:val="24"/>
        </w:rPr>
        <w:t>t</w:t>
      </w:r>
      <w:r w:rsidR="00D933A1" w:rsidRPr="00BE264C">
        <w:rPr>
          <w:rFonts w:ascii="Times New Roman" w:hAnsi="Times New Roman" w:cs="Times New Roman"/>
          <w:bCs/>
          <w:sz w:val="24"/>
          <w:szCs w:val="24"/>
        </w:rPr>
        <w:t xml:space="preserve"> ust. 4 ustawy z dnia 29 sierpnia 1997 r. – Prawo bankowe jest zgodna z brzmieniem implementowanego art. 48i dyrektywy CRD VI, w którym także zastosowano sformułowanie „w szczególności”, wprowadzając otwarty katalog wskaźników, jakie organ nadzoru ma uwzględnić w celu dokonywania oceny znaczenia systemowego oddziału z państwa trzeciego.</w:t>
      </w:r>
    </w:p>
    <w:p w14:paraId="61C60EDA" w14:textId="452DD0EA" w:rsidR="00B52840" w:rsidRPr="00BE264C" w:rsidRDefault="007A6F68"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Zgodnie z projektowanym art. 41u o</w:t>
      </w:r>
      <w:r w:rsidR="00B52840" w:rsidRPr="00BE264C">
        <w:rPr>
          <w:rFonts w:ascii="Times New Roman" w:hAnsi="Times New Roman" w:cs="Times New Roman"/>
          <w:bCs/>
          <w:sz w:val="24"/>
          <w:szCs w:val="24"/>
        </w:rPr>
        <w:t xml:space="preserve">ddział </w:t>
      </w:r>
      <w:r w:rsidR="00511B63" w:rsidRPr="00BE264C">
        <w:rPr>
          <w:rFonts w:ascii="Times New Roman" w:hAnsi="Times New Roman" w:cs="Times New Roman"/>
          <w:bCs/>
          <w:sz w:val="24"/>
          <w:szCs w:val="24"/>
        </w:rPr>
        <w:t xml:space="preserve">z państwa trzeciego </w:t>
      </w:r>
      <w:r w:rsidR="00B52840" w:rsidRPr="00BE264C">
        <w:rPr>
          <w:rFonts w:ascii="Times New Roman" w:hAnsi="Times New Roman" w:cs="Times New Roman"/>
          <w:bCs/>
          <w:sz w:val="24"/>
          <w:szCs w:val="24"/>
        </w:rPr>
        <w:t>podlega ocenie znaczenia systemowego, jeżeli wszystkie oddziały banków zagranicznych</w:t>
      </w:r>
      <w:r w:rsidR="00B52840" w:rsidRPr="00BE264C" w:rsidDel="003E068C">
        <w:rPr>
          <w:rFonts w:ascii="Times New Roman" w:hAnsi="Times New Roman" w:cs="Times New Roman"/>
          <w:bCs/>
          <w:sz w:val="24"/>
          <w:szCs w:val="24"/>
        </w:rPr>
        <w:t xml:space="preserve"> </w:t>
      </w:r>
      <w:r w:rsidR="00B52840" w:rsidRPr="00BE264C">
        <w:rPr>
          <w:rFonts w:ascii="Times New Roman" w:hAnsi="Times New Roman" w:cs="Times New Roman"/>
          <w:bCs/>
          <w:sz w:val="24"/>
          <w:szCs w:val="24"/>
        </w:rPr>
        <w:t>należące do tej samej grupy z państwa trzeciego posiadają łączną kwotę aktywów w Unii Europejskiej w wysokości co najmniej 40 mld euro:</w:t>
      </w:r>
    </w:p>
    <w:p w14:paraId="0634B9D5" w14:textId="77777777" w:rsidR="00B52840" w:rsidRPr="00BE264C" w:rsidRDefault="00B52840" w:rsidP="009858C9">
      <w:pPr>
        <w:numPr>
          <w:ilvl w:val="0"/>
          <w:numId w:val="12"/>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w ujęciu średnim za trzy bezpośrednio poprzedzające roczne okresy sprawozdawcze; albo</w:t>
      </w:r>
    </w:p>
    <w:p w14:paraId="2FC9E4CA" w14:textId="77777777" w:rsidR="00B52840" w:rsidRPr="00BE264C" w:rsidRDefault="00B52840" w:rsidP="009858C9">
      <w:pPr>
        <w:numPr>
          <w:ilvl w:val="0"/>
          <w:numId w:val="12"/>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w ujęciu bezwzględnym za co najmniej trzy roczne okresy sprawozdawcze w ciągu pięciu bezpośrednio poprzedzających rocznych okresów sprawozdawczych.</w:t>
      </w:r>
    </w:p>
    <w:p w14:paraId="6F5AED00" w14:textId="3ED27F6F"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Próg aktywów nie obejmuje aktywów posiadanych przez oddział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w związku z operacjami rynkowymi banku centralnego zawieranymi z bankami centralnymi Europejskiego Systemu Banków Centralnych.</w:t>
      </w:r>
    </w:p>
    <w:p w14:paraId="0E430E1E" w14:textId="0558B7C8"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KNF przedstawia ocenę znaczenia systemowego Europejskiemu Urzędowi Nadzoru Bankowego oraz właściwym władzom nadzorczym, w których dana grupa z państwa trzeciego utworzyła inne oddziały lub instytucje będące jednostkami zależnymi. W przypadku gdy właściwa władza nadzorcza poinformowała KNF, że nie zgadza się z oceną znaczenia systemowego oddziału</w:t>
      </w:r>
      <w:r w:rsidR="00511B6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KNF podejmuje współpracę z tym organem, dążąc do osiągnięcia wspólnego stanowiska. Jeżeli w terminie 3 miesięcy od dnia otrzymania informacji o braku zgody na ocenę dokonaną przez KNF nie zostanie osiągnięte</w:t>
      </w:r>
      <w:r w:rsidR="00ED29C3" w:rsidRPr="00BE264C">
        <w:rPr>
          <w:rFonts w:ascii="Times New Roman" w:hAnsi="Times New Roman" w:cs="Times New Roman"/>
          <w:bCs/>
          <w:sz w:val="24"/>
          <w:szCs w:val="24"/>
        </w:rPr>
        <w:t xml:space="preserve"> wspólne stanowisko</w:t>
      </w:r>
      <w:r w:rsidRPr="00BE264C">
        <w:rPr>
          <w:rFonts w:ascii="Times New Roman" w:hAnsi="Times New Roman" w:cs="Times New Roman"/>
          <w:bCs/>
          <w:sz w:val="24"/>
          <w:szCs w:val="24"/>
        </w:rPr>
        <w:t xml:space="preserve">, KNF wydaje decyzję w przedmiocie uznania oddziału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za istotny.</w:t>
      </w:r>
    </w:p>
    <w:p w14:paraId="3D8144C7" w14:textId="378F28DB"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 </w:t>
      </w:r>
      <w:r w:rsidR="00ED29C3" w:rsidRPr="00BE264C">
        <w:rPr>
          <w:rFonts w:ascii="Times New Roman" w:hAnsi="Times New Roman" w:cs="Times New Roman"/>
          <w:bCs/>
          <w:sz w:val="24"/>
          <w:szCs w:val="24"/>
        </w:rPr>
        <w:t xml:space="preserve">W </w:t>
      </w:r>
      <w:r w:rsidRPr="00BE264C">
        <w:rPr>
          <w:rFonts w:ascii="Times New Roman" w:hAnsi="Times New Roman" w:cs="Times New Roman"/>
          <w:bCs/>
          <w:sz w:val="24"/>
          <w:szCs w:val="24"/>
        </w:rPr>
        <w:t>celu wyeliminowania stwierdzonych ryzyk, KNF może w decyzji w przedmiocie uznania oddziału</w:t>
      </w:r>
      <w:r w:rsidR="00511B6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 xml:space="preserve"> za istotny nakazać oddziałowi</w:t>
      </w:r>
      <w:r w:rsidR="00511B63" w:rsidRPr="00BE264C">
        <w:rPr>
          <w:rFonts w:ascii="Times New Roman" w:hAnsi="Times New Roman" w:cs="Times New Roman"/>
          <w:bCs/>
          <w:sz w:val="24"/>
          <w:szCs w:val="24"/>
        </w:rPr>
        <w:t xml:space="preserve"> z państwa trzeciego</w:t>
      </w:r>
      <w:r w:rsidRPr="00BE264C">
        <w:rPr>
          <w:rFonts w:ascii="Times New Roman" w:hAnsi="Times New Roman" w:cs="Times New Roman"/>
          <w:bCs/>
          <w:sz w:val="24"/>
          <w:szCs w:val="24"/>
        </w:rPr>
        <w:t>:</w:t>
      </w:r>
    </w:p>
    <w:p w14:paraId="233862C2" w14:textId="77777777" w:rsidR="00B52840" w:rsidRPr="00BE264C" w:rsidRDefault="00B52840" w:rsidP="009858C9">
      <w:pPr>
        <w:numPr>
          <w:ilvl w:val="0"/>
          <w:numId w:val="13"/>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lastRenderedPageBreak/>
        <w:t>przeprowadzenie restrukturyzacji jego aktywów lub działalności w taki sposób, aby oddział ten przestał kwalifikować się jako mający znaczenie systemowe lub stwarzać nadmierne ryzyko dla stabilności finansowej Unii Europejskiej lub państwa członkowskiego, w którym został utworzony; lub</w:t>
      </w:r>
    </w:p>
    <w:p w14:paraId="4531657F" w14:textId="77777777" w:rsidR="00B52840" w:rsidRPr="00BE264C" w:rsidRDefault="00B52840" w:rsidP="009858C9">
      <w:pPr>
        <w:numPr>
          <w:ilvl w:val="0"/>
          <w:numId w:val="13"/>
        </w:num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przestrzeganie dodatkowych wymogów ostrożnościowych.</w:t>
      </w:r>
    </w:p>
    <w:p w14:paraId="65DE2F0E" w14:textId="6ABA356F" w:rsidR="00ED29C3" w:rsidRPr="00BE264C" w:rsidRDefault="00ED29C3"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Zgodnie z projektowanym art. 41v w przypadku gdy KNF otrzymała od właściwej władzy nadzorczej ocenę znaczenia systemowego oddziału należącego do grupy z państwa trzeciego, do której należy oddział z państwa trzeciego podlegający KNF, i z którą się nie zgadza, KNF przekazuje swoją opinię do właściwej władzy nadzorczej w terminie 10 dni roboczych od dnia otrzymania tej oceny</w:t>
      </w:r>
      <w:r w:rsidR="001B6ED3" w:rsidRPr="00BE264C">
        <w:rPr>
          <w:rFonts w:ascii="Times New Roman" w:hAnsi="Times New Roman" w:cs="Times New Roman"/>
          <w:bCs/>
          <w:sz w:val="24"/>
          <w:szCs w:val="24"/>
        </w:rPr>
        <w:t>.</w:t>
      </w:r>
    </w:p>
    <w:p w14:paraId="130F9BBF" w14:textId="04A0D931" w:rsidR="00B52840" w:rsidRPr="00BE264C" w:rsidRDefault="00B52840"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Projektowane </w:t>
      </w:r>
      <w:r w:rsidR="00517F9D" w:rsidRPr="00BE264C">
        <w:rPr>
          <w:rFonts w:ascii="Times New Roman" w:hAnsi="Times New Roman" w:cs="Times New Roman"/>
          <w:bCs/>
          <w:sz w:val="24"/>
          <w:szCs w:val="24"/>
        </w:rPr>
        <w:t xml:space="preserve">art. 41w-41x </w:t>
      </w:r>
      <w:r w:rsidRPr="00BE264C">
        <w:rPr>
          <w:rFonts w:ascii="Times New Roman" w:hAnsi="Times New Roman" w:cs="Times New Roman"/>
          <w:bCs/>
          <w:sz w:val="24"/>
          <w:szCs w:val="24"/>
        </w:rPr>
        <w:t xml:space="preserve">nakładają także na oddział </w:t>
      </w:r>
      <w:r w:rsidR="00511B63" w:rsidRPr="00BE264C">
        <w:rPr>
          <w:rFonts w:ascii="Times New Roman" w:hAnsi="Times New Roman" w:cs="Times New Roman"/>
          <w:bCs/>
          <w:sz w:val="24"/>
          <w:szCs w:val="24"/>
        </w:rPr>
        <w:t xml:space="preserve">z państwa trzeciego </w:t>
      </w:r>
      <w:r w:rsidRPr="00BE264C">
        <w:rPr>
          <w:rFonts w:ascii="Times New Roman" w:hAnsi="Times New Roman" w:cs="Times New Roman"/>
          <w:bCs/>
          <w:sz w:val="24"/>
          <w:szCs w:val="24"/>
        </w:rPr>
        <w:t>określone obowiązki informacyjne wobec Narodowego Banku Polskiego i KNF.</w:t>
      </w:r>
    </w:p>
    <w:p w14:paraId="5E725CBE" w14:textId="29B8D590" w:rsidR="00517F9D" w:rsidRPr="00BE264C" w:rsidRDefault="00517F9D" w:rsidP="009858C9">
      <w:pPr>
        <w:spacing w:before="120" w:after="0" w:line="360" w:lineRule="auto"/>
        <w:jc w:val="both"/>
        <w:rPr>
          <w:rFonts w:ascii="Times New Roman" w:hAnsi="Times New Roman" w:cs="Times New Roman"/>
          <w:bCs/>
          <w:sz w:val="24"/>
          <w:szCs w:val="24"/>
        </w:rPr>
      </w:pPr>
      <w:r w:rsidRPr="00BE264C">
        <w:rPr>
          <w:rFonts w:ascii="Times New Roman" w:hAnsi="Times New Roman" w:cs="Times New Roman"/>
          <w:bCs/>
          <w:sz w:val="24"/>
          <w:szCs w:val="24"/>
        </w:rPr>
        <w:t xml:space="preserve">Natomiast zgodnie z projektowanym art. 41y, do oddziałów z państw trzecich nie stosuje się przepisów art. 19 pkt 3 i art. 20 ustawy z dnia 6 marca 2018 r. o zasadach uczestnictwa przedsiębiorców zagranicznych i innych osób zagranicznych w obrocie gospodarczym na terytorium Rzeczypospolitej Polskiej (Dz. U. z 2025 r. poz. 89, </w:t>
      </w:r>
      <w:r w:rsidR="003456A8" w:rsidRPr="00BE264C">
        <w:rPr>
          <w:rFonts w:ascii="Times New Roman" w:hAnsi="Times New Roman" w:cs="Times New Roman"/>
          <w:bCs/>
          <w:sz w:val="24"/>
          <w:szCs w:val="24"/>
        </w:rPr>
        <w:t>z późn. zm.</w:t>
      </w:r>
      <w:r w:rsidRPr="00BE264C">
        <w:rPr>
          <w:rFonts w:ascii="Times New Roman" w:hAnsi="Times New Roman" w:cs="Times New Roman"/>
          <w:bCs/>
          <w:sz w:val="24"/>
          <w:szCs w:val="24"/>
        </w:rPr>
        <w:t>).</w:t>
      </w:r>
    </w:p>
    <w:p w14:paraId="36BBC26A" w14:textId="572A6A6D" w:rsidR="00026052" w:rsidRPr="00BE264C" w:rsidRDefault="006769BD"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Pr="00BE264C">
        <w:rPr>
          <w:rFonts w:ascii="Times New Roman" w:hAnsi="Times New Roman" w:cs="Times New Roman"/>
          <w:b/>
          <w:bCs/>
          <w:sz w:val="24"/>
          <w:szCs w:val="24"/>
        </w:rPr>
        <w:t xml:space="preserve">art. 1 pkt </w:t>
      </w:r>
      <w:r w:rsidR="00595453" w:rsidRPr="00BE264C">
        <w:rPr>
          <w:rFonts w:ascii="Times New Roman" w:hAnsi="Times New Roman" w:cs="Times New Roman"/>
          <w:b/>
          <w:bCs/>
          <w:sz w:val="24"/>
          <w:szCs w:val="24"/>
        </w:rPr>
        <w:t>3</w:t>
      </w:r>
      <w:r w:rsidR="005F7126" w:rsidRPr="00BE264C">
        <w:rPr>
          <w:rFonts w:ascii="Times New Roman" w:hAnsi="Times New Roman" w:cs="Times New Roman"/>
          <w:b/>
          <w:bCs/>
          <w:sz w:val="24"/>
          <w:szCs w:val="24"/>
        </w:rPr>
        <w:t>0</w:t>
      </w:r>
      <w:r w:rsidR="00C22E5F" w:rsidRPr="00BE264C">
        <w:rPr>
          <w:rFonts w:ascii="Times New Roman" w:hAnsi="Times New Roman" w:cs="Times New Roman"/>
          <w:sz w:val="24"/>
          <w:szCs w:val="24"/>
        </w:rPr>
        <w:t xml:space="preserve"> </w:t>
      </w:r>
      <w:r w:rsidR="00972987" w:rsidRPr="00BE264C">
        <w:rPr>
          <w:rFonts w:ascii="Times New Roman" w:hAnsi="Times New Roman" w:cs="Times New Roman"/>
          <w:sz w:val="24"/>
          <w:szCs w:val="24"/>
        </w:rPr>
        <w:t xml:space="preserve">w przepisie określającym kryteria, których spełnienie generuje po stronie domu maklerskiego obowiązek przekształcenia się w bank, </w:t>
      </w:r>
      <w:r w:rsidR="00F63AEB" w:rsidRPr="00BE264C">
        <w:rPr>
          <w:rFonts w:ascii="Times New Roman" w:hAnsi="Times New Roman" w:cs="Times New Roman"/>
          <w:sz w:val="24"/>
          <w:szCs w:val="24"/>
        </w:rPr>
        <w:t xml:space="preserve">doprecyzowano, </w:t>
      </w:r>
      <w:r w:rsidR="00C373F7" w:rsidRPr="00BE264C">
        <w:rPr>
          <w:rFonts w:ascii="Times New Roman" w:hAnsi="Times New Roman" w:cs="Times New Roman"/>
          <w:sz w:val="24"/>
          <w:szCs w:val="24"/>
        </w:rPr>
        <w:t xml:space="preserve">że całkowita wartość skonsolidowanych aktywów wszystkich przedsiębiorstw wchodzących w skład grupy, do której należy dom maklerski, odnosi się do grupy mającej siedzibę w Unii Europejskiej, w tym wszelkich oddziałów i jednostek zależnych </w:t>
      </w:r>
      <w:r w:rsidR="00061D7A" w:rsidRPr="00BE264C">
        <w:rPr>
          <w:rFonts w:ascii="Times New Roman" w:hAnsi="Times New Roman" w:cs="Times New Roman"/>
          <w:sz w:val="24"/>
          <w:szCs w:val="24"/>
        </w:rPr>
        <w:t>przedsiębiorstw</w:t>
      </w:r>
      <w:r w:rsidR="00C373F7" w:rsidRPr="00BE264C">
        <w:rPr>
          <w:rFonts w:ascii="Times New Roman" w:hAnsi="Times New Roman" w:cs="Times New Roman"/>
          <w:sz w:val="24"/>
          <w:szCs w:val="24"/>
        </w:rPr>
        <w:t xml:space="preserve"> w rozumieniu ustawy o rachunkowości utworzonych w</w:t>
      </w:r>
      <w:r w:rsidR="007762DB" w:rsidRPr="00BE264C">
        <w:rPr>
          <w:rFonts w:ascii="Times New Roman" w:hAnsi="Times New Roman" w:cs="Times New Roman"/>
          <w:sz w:val="24"/>
          <w:szCs w:val="24"/>
        </w:rPr>
        <w:t> </w:t>
      </w:r>
      <w:r w:rsidR="00C373F7" w:rsidRPr="00BE264C">
        <w:rPr>
          <w:rFonts w:ascii="Times New Roman" w:hAnsi="Times New Roman" w:cs="Times New Roman"/>
          <w:sz w:val="24"/>
          <w:szCs w:val="24"/>
        </w:rPr>
        <w:t>państwie trzecim.</w:t>
      </w:r>
    </w:p>
    <w:p w14:paraId="202B8594" w14:textId="1141B629" w:rsidR="00836519" w:rsidRPr="00BE264C" w:rsidRDefault="007363F5"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W </w:t>
      </w:r>
      <w:r w:rsidR="00D814ED" w:rsidRPr="00BE264C">
        <w:rPr>
          <w:rFonts w:ascii="Times New Roman" w:hAnsi="Times New Roman" w:cs="Times New Roman"/>
          <w:b/>
          <w:bCs/>
          <w:sz w:val="24"/>
          <w:szCs w:val="24"/>
        </w:rPr>
        <w:t xml:space="preserve">art. 1 pkt </w:t>
      </w:r>
      <w:r w:rsidR="00595453" w:rsidRPr="00BE264C">
        <w:rPr>
          <w:rFonts w:ascii="Times New Roman" w:hAnsi="Times New Roman" w:cs="Times New Roman"/>
          <w:b/>
          <w:bCs/>
          <w:sz w:val="24"/>
          <w:szCs w:val="24"/>
        </w:rPr>
        <w:t>3</w:t>
      </w:r>
      <w:r w:rsidR="005F7126" w:rsidRPr="00BE264C">
        <w:rPr>
          <w:rFonts w:ascii="Times New Roman" w:hAnsi="Times New Roman" w:cs="Times New Roman"/>
          <w:b/>
          <w:bCs/>
          <w:sz w:val="24"/>
          <w:szCs w:val="24"/>
        </w:rPr>
        <w:t>1</w:t>
      </w:r>
      <w:r w:rsidR="00C22E5F" w:rsidRPr="00BE264C">
        <w:rPr>
          <w:rFonts w:ascii="Times New Roman" w:hAnsi="Times New Roman" w:cs="Times New Roman"/>
          <w:sz w:val="24"/>
          <w:szCs w:val="24"/>
        </w:rPr>
        <w:t xml:space="preserve"> </w:t>
      </w:r>
      <w:r w:rsidR="00836519" w:rsidRPr="00BE264C">
        <w:rPr>
          <w:rFonts w:ascii="Times New Roman" w:hAnsi="Times New Roman" w:cs="Times New Roman"/>
          <w:sz w:val="24"/>
          <w:szCs w:val="24"/>
        </w:rPr>
        <w:t>wprowadza</w:t>
      </w:r>
      <w:r w:rsidRPr="00BE264C">
        <w:rPr>
          <w:rFonts w:ascii="Times New Roman" w:hAnsi="Times New Roman" w:cs="Times New Roman"/>
          <w:sz w:val="24"/>
          <w:szCs w:val="24"/>
        </w:rPr>
        <w:t xml:space="preserve"> się do zmienianej ustawy nowy przepis </w:t>
      </w:r>
      <w:r w:rsidR="00162B9E" w:rsidRPr="00BE264C">
        <w:rPr>
          <w:rFonts w:ascii="Times New Roman" w:hAnsi="Times New Roman" w:cs="Times New Roman"/>
          <w:sz w:val="24"/>
          <w:szCs w:val="24"/>
        </w:rPr>
        <w:t xml:space="preserve">upoważniający </w:t>
      </w:r>
      <w:r w:rsidRPr="00BE264C">
        <w:rPr>
          <w:rFonts w:ascii="Times New Roman" w:hAnsi="Times New Roman" w:cs="Times New Roman"/>
          <w:sz w:val="24"/>
          <w:szCs w:val="24"/>
        </w:rPr>
        <w:t xml:space="preserve">KNF </w:t>
      </w:r>
      <w:r w:rsidR="00162B9E" w:rsidRPr="00BE264C">
        <w:rPr>
          <w:rFonts w:ascii="Times New Roman" w:hAnsi="Times New Roman" w:cs="Times New Roman"/>
          <w:sz w:val="24"/>
          <w:szCs w:val="24"/>
        </w:rPr>
        <w:t xml:space="preserve">do </w:t>
      </w:r>
      <w:r w:rsidRPr="00BE264C">
        <w:rPr>
          <w:rFonts w:ascii="Times New Roman" w:hAnsi="Times New Roman" w:cs="Times New Roman"/>
          <w:sz w:val="24"/>
          <w:szCs w:val="24"/>
        </w:rPr>
        <w:t>podjęci</w:t>
      </w:r>
      <w:r w:rsidR="00162B9E" w:rsidRPr="00BE264C">
        <w:rPr>
          <w:rFonts w:ascii="Times New Roman" w:hAnsi="Times New Roman" w:cs="Times New Roman"/>
          <w:sz w:val="24"/>
          <w:szCs w:val="24"/>
        </w:rPr>
        <w:t>a</w:t>
      </w:r>
      <w:r w:rsidRPr="00BE264C">
        <w:rPr>
          <w:rFonts w:ascii="Times New Roman" w:hAnsi="Times New Roman" w:cs="Times New Roman"/>
          <w:sz w:val="24"/>
          <w:szCs w:val="24"/>
        </w:rPr>
        <w:t xml:space="preserve"> decyzji o zwolnieniu domu maklerskiego z wymogu przekształcenia się w bank krajowy, </w:t>
      </w:r>
      <w:r w:rsidR="00836519" w:rsidRPr="00BE264C">
        <w:rPr>
          <w:rFonts w:ascii="Times New Roman" w:hAnsi="Times New Roman" w:cs="Times New Roman"/>
          <w:sz w:val="24"/>
          <w:szCs w:val="24"/>
        </w:rPr>
        <w:t>w ramach postępowania, o którym mowa w art. 42fc ust. 1.</w:t>
      </w:r>
      <w:r w:rsidR="00162B9E" w:rsidRPr="00BE264C">
        <w:rPr>
          <w:rFonts w:ascii="Times New Roman" w:hAnsi="Times New Roman" w:cs="Times New Roman"/>
          <w:sz w:val="24"/>
          <w:szCs w:val="24"/>
        </w:rPr>
        <w:t xml:space="preserve"> Przepis określa kryteria, jakie KNF musi wziąć pod uwagę w procesie decyzyjnym, a także stanowi o obowiązku poinformowaniu Europejskiego Urzędu Nadzoru Bankowego o wydanych zwolnieniach. KNF będzie zobowiązana do cyklicznego wykonywania przeglądu</w:t>
      </w:r>
      <w:r w:rsidR="00C8667A" w:rsidRPr="00BE264C">
        <w:rPr>
          <w:rFonts w:ascii="Times New Roman" w:hAnsi="Times New Roman" w:cs="Times New Roman"/>
          <w:sz w:val="24"/>
          <w:szCs w:val="24"/>
        </w:rPr>
        <w:t>,</w:t>
      </w:r>
      <w:r w:rsidR="00162B9E" w:rsidRPr="00BE264C">
        <w:rPr>
          <w:rFonts w:ascii="Times New Roman" w:hAnsi="Times New Roman" w:cs="Times New Roman"/>
          <w:sz w:val="24"/>
          <w:szCs w:val="24"/>
        </w:rPr>
        <w:t xml:space="preserve"> czy dom maklerki spełnia przesłanki pozwalające na jego zwolnienie z wymogu przekształcenia się w bank krajowy.</w:t>
      </w:r>
    </w:p>
    <w:p w14:paraId="2CE716A2" w14:textId="20F5FF37" w:rsidR="00795C42" w:rsidRPr="00BE264C" w:rsidRDefault="00795C42"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Zmiana wprowadzona w </w:t>
      </w:r>
      <w:r w:rsidRPr="00BE264C">
        <w:rPr>
          <w:rFonts w:ascii="Times New Roman" w:hAnsi="Times New Roman" w:cs="Times New Roman"/>
          <w:b/>
          <w:bCs/>
          <w:sz w:val="24"/>
          <w:szCs w:val="24"/>
        </w:rPr>
        <w:t xml:space="preserve">art. 1 pkt </w:t>
      </w:r>
      <w:r w:rsidR="00595453" w:rsidRPr="00BE264C">
        <w:rPr>
          <w:rFonts w:ascii="Times New Roman" w:hAnsi="Times New Roman" w:cs="Times New Roman"/>
          <w:b/>
          <w:bCs/>
          <w:sz w:val="24"/>
          <w:szCs w:val="24"/>
        </w:rPr>
        <w:t>3</w:t>
      </w:r>
      <w:r w:rsidR="004B18E8" w:rsidRPr="00BE264C">
        <w:rPr>
          <w:rFonts w:ascii="Times New Roman" w:hAnsi="Times New Roman" w:cs="Times New Roman"/>
          <w:b/>
          <w:bCs/>
          <w:sz w:val="24"/>
          <w:szCs w:val="24"/>
        </w:rPr>
        <w:t>2</w:t>
      </w:r>
      <w:r w:rsidR="00C22E5F" w:rsidRPr="00BE264C">
        <w:rPr>
          <w:rFonts w:ascii="Times New Roman" w:hAnsi="Times New Roman" w:cs="Times New Roman"/>
          <w:sz w:val="24"/>
          <w:szCs w:val="24"/>
        </w:rPr>
        <w:t xml:space="preserve"> </w:t>
      </w:r>
      <w:r w:rsidRPr="00BE264C">
        <w:rPr>
          <w:rFonts w:ascii="Times New Roman" w:hAnsi="Times New Roman" w:cs="Times New Roman"/>
          <w:sz w:val="24"/>
          <w:szCs w:val="24"/>
        </w:rPr>
        <w:t xml:space="preserve">ma charakter dostosowujący i wynika </w:t>
      </w:r>
      <w:r w:rsidR="00AE3824" w:rsidRPr="00BE264C">
        <w:rPr>
          <w:rFonts w:ascii="Times New Roman" w:hAnsi="Times New Roman" w:cs="Times New Roman"/>
          <w:sz w:val="24"/>
          <w:szCs w:val="24"/>
        </w:rPr>
        <w:t>z uchylenia art.</w:t>
      </w:r>
      <w:r w:rsidR="007762DB" w:rsidRPr="00BE264C">
        <w:rPr>
          <w:rFonts w:ascii="Times New Roman" w:hAnsi="Times New Roman" w:cs="Times New Roman"/>
          <w:sz w:val="24"/>
          <w:szCs w:val="24"/>
        </w:rPr>
        <w:t> </w:t>
      </w:r>
      <w:r w:rsidR="00AE3824" w:rsidRPr="00BE264C">
        <w:rPr>
          <w:rFonts w:ascii="Times New Roman" w:hAnsi="Times New Roman" w:cs="Times New Roman"/>
          <w:sz w:val="24"/>
          <w:szCs w:val="24"/>
        </w:rPr>
        <w:t>40a zmienianej ustawy.</w:t>
      </w:r>
    </w:p>
    <w:p w14:paraId="10C059A4" w14:textId="187AA92D" w:rsidR="00776CA6" w:rsidRPr="00BE264C" w:rsidRDefault="008560E5"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hAnsi="Times New Roman" w:cs="Times New Roman"/>
          <w:bCs/>
          <w:sz w:val="24"/>
          <w:szCs w:val="24"/>
        </w:rPr>
        <w:lastRenderedPageBreak/>
        <w:t xml:space="preserve">W </w:t>
      </w:r>
      <w:r w:rsidRPr="00BE264C">
        <w:rPr>
          <w:rFonts w:ascii="Times New Roman" w:hAnsi="Times New Roman" w:cs="Times New Roman"/>
          <w:b/>
          <w:sz w:val="24"/>
          <w:szCs w:val="24"/>
        </w:rPr>
        <w:t xml:space="preserve">art. 1 pkt </w:t>
      </w:r>
      <w:r w:rsidR="00C22E5F" w:rsidRPr="00BE264C">
        <w:rPr>
          <w:rFonts w:ascii="Times New Roman" w:hAnsi="Times New Roman" w:cs="Times New Roman"/>
          <w:b/>
          <w:sz w:val="24"/>
          <w:szCs w:val="24"/>
        </w:rPr>
        <w:t>3</w:t>
      </w:r>
      <w:r w:rsidR="004B18E8" w:rsidRPr="00BE264C">
        <w:rPr>
          <w:rFonts w:ascii="Times New Roman" w:hAnsi="Times New Roman" w:cs="Times New Roman"/>
          <w:b/>
          <w:sz w:val="24"/>
          <w:szCs w:val="24"/>
        </w:rPr>
        <w:t>3</w:t>
      </w:r>
      <w:r w:rsidR="00C22E5F" w:rsidRPr="00BE264C">
        <w:rPr>
          <w:rFonts w:ascii="Times New Roman" w:hAnsi="Times New Roman" w:cs="Times New Roman"/>
          <w:bCs/>
          <w:sz w:val="24"/>
          <w:szCs w:val="24"/>
        </w:rPr>
        <w:t xml:space="preserve"> </w:t>
      </w:r>
      <w:r w:rsidRPr="00BE264C">
        <w:rPr>
          <w:rFonts w:ascii="Times New Roman" w:hAnsi="Times New Roman" w:cs="Times New Roman"/>
          <w:bCs/>
          <w:sz w:val="24"/>
          <w:szCs w:val="24"/>
        </w:rPr>
        <w:t xml:space="preserve">wprowadzono doprecyzowanie, że prowadzenie działalności przez finansową spółkę holdingową i finansową spółkę holdingową o działalności mieszanej, inne niż określone w art. 48q ust. 1 zmienianej ustawy, wymaga zatwierdzenia prowadzenia działalności przez KNF także wtedy, </w:t>
      </w:r>
      <w:r w:rsidRPr="00BE264C">
        <w:rPr>
          <w:rFonts w:ascii="Times New Roman" w:eastAsia="Times New Roman" w:hAnsi="Times New Roman" w:cs="Times New Roman"/>
          <w:sz w:val="24"/>
          <w:szCs w:val="24"/>
          <w:lang w:eastAsia="pl-PL"/>
        </w:rPr>
        <w:t>gdy podmioty te zostały wyznaczone do zapewnienia spełniania przez grupę wymogów ostrożnościowych na zasadzie skonsolidowanej, udostępniono im wszystkie niezbędne środki i upoważniono je do wywiązania się z tego obowiązku.</w:t>
      </w:r>
    </w:p>
    <w:p w14:paraId="252B3803" w14:textId="4E2CEF90" w:rsidR="008560E5" w:rsidRPr="00BE264C" w:rsidRDefault="008560E5" w:rsidP="009858C9">
      <w:pPr>
        <w:spacing w:before="120" w:after="0" w:line="360" w:lineRule="auto"/>
        <w:jc w:val="both"/>
        <w:rPr>
          <w:rFonts w:ascii="Times New Roman" w:hAnsi="Times New Roman" w:cs="Times New Roman"/>
          <w:bCs/>
          <w:sz w:val="24"/>
          <w:szCs w:val="24"/>
        </w:rPr>
      </w:pPr>
      <w:r w:rsidRPr="00BE264C">
        <w:rPr>
          <w:rFonts w:ascii="Times New Roman" w:eastAsia="Times New Roman" w:hAnsi="Times New Roman" w:cs="Times New Roman"/>
          <w:b/>
          <w:bCs/>
          <w:sz w:val="24"/>
          <w:szCs w:val="24"/>
          <w:lang w:eastAsia="pl-PL"/>
        </w:rPr>
        <w:t xml:space="preserve">Art. 1 pkt </w:t>
      </w:r>
      <w:r w:rsidR="00C22E5F" w:rsidRPr="00BE264C">
        <w:rPr>
          <w:rFonts w:ascii="Times New Roman" w:eastAsia="Times New Roman" w:hAnsi="Times New Roman" w:cs="Times New Roman"/>
          <w:b/>
          <w:bCs/>
          <w:sz w:val="24"/>
          <w:szCs w:val="24"/>
          <w:lang w:eastAsia="pl-PL"/>
        </w:rPr>
        <w:t>3</w:t>
      </w:r>
      <w:r w:rsidR="004B18E8" w:rsidRPr="00BE264C">
        <w:rPr>
          <w:rFonts w:ascii="Times New Roman" w:eastAsia="Times New Roman" w:hAnsi="Times New Roman" w:cs="Times New Roman"/>
          <w:b/>
          <w:bCs/>
          <w:sz w:val="24"/>
          <w:szCs w:val="24"/>
          <w:lang w:eastAsia="pl-PL"/>
        </w:rPr>
        <w:t>4</w:t>
      </w:r>
      <w:r w:rsidR="00C22E5F" w:rsidRPr="00BE264C">
        <w:rPr>
          <w:rFonts w:ascii="Times New Roman" w:eastAsia="Times New Roman" w:hAnsi="Times New Roman" w:cs="Times New Roman"/>
          <w:sz w:val="24"/>
          <w:szCs w:val="24"/>
          <w:lang w:eastAsia="pl-PL"/>
        </w:rPr>
        <w:t xml:space="preserve"> </w:t>
      </w:r>
      <w:r w:rsidR="002115E9" w:rsidRPr="00BE264C">
        <w:rPr>
          <w:rFonts w:ascii="Times New Roman" w:eastAsia="Times New Roman" w:hAnsi="Times New Roman" w:cs="Times New Roman"/>
          <w:sz w:val="24"/>
          <w:szCs w:val="24"/>
          <w:lang w:eastAsia="pl-PL"/>
        </w:rPr>
        <w:t>wprowadza zmiany</w:t>
      </w:r>
      <w:r w:rsidRPr="00BE264C">
        <w:rPr>
          <w:rFonts w:ascii="Times New Roman" w:eastAsia="Times New Roman" w:hAnsi="Times New Roman" w:cs="Times New Roman"/>
          <w:sz w:val="24"/>
          <w:szCs w:val="24"/>
          <w:lang w:eastAsia="pl-PL"/>
        </w:rPr>
        <w:t xml:space="preserve"> w art. 48s ust. 1</w:t>
      </w:r>
      <w:r w:rsidR="00621F69" w:rsidRPr="00BE264C">
        <w:rPr>
          <w:rFonts w:ascii="Times New Roman" w:eastAsia="Times New Roman" w:hAnsi="Times New Roman" w:cs="Times New Roman"/>
          <w:sz w:val="24"/>
          <w:szCs w:val="24"/>
          <w:lang w:eastAsia="pl-PL"/>
        </w:rPr>
        <w:t xml:space="preserve"> pkt 3</w:t>
      </w:r>
      <w:r w:rsidRPr="00BE264C">
        <w:rPr>
          <w:rFonts w:ascii="Times New Roman" w:eastAsia="Times New Roman" w:hAnsi="Times New Roman" w:cs="Times New Roman"/>
          <w:sz w:val="24"/>
          <w:szCs w:val="24"/>
          <w:lang w:eastAsia="pl-PL"/>
        </w:rPr>
        <w:t xml:space="preserve"> ustawy</w:t>
      </w:r>
      <w:r w:rsidR="004D6A79" w:rsidRPr="00BE264C">
        <w:rPr>
          <w:rFonts w:ascii="Times New Roman" w:eastAsia="Times New Roman" w:hAnsi="Times New Roman" w:cs="Times New Roman"/>
          <w:sz w:val="24"/>
          <w:szCs w:val="24"/>
          <w:lang w:eastAsia="pl-PL"/>
        </w:rPr>
        <w:t xml:space="preserve"> – Prawo bankowe</w:t>
      </w:r>
      <w:r w:rsidR="002115E9" w:rsidRPr="00BE264C">
        <w:rPr>
          <w:rFonts w:ascii="Times New Roman" w:eastAsia="Times New Roman" w:hAnsi="Times New Roman" w:cs="Times New Roman"/>
          <w:sz w:val="24"/>
          <w:szCs w:val="24"/>
          <w:lang w:eastAsia="pl-PL"/>
        </w:rPr>
        <w:t xml:space="preserve"> dotyczącym warunków, które wymagane są do spełnienia w celu uzyskania przez podmiot zwolnienia z</w:t>
      </w:r>
      <w:r w:rsidR="007762DB" w:rsidRPr="00BE264C">
        <w:rPr>
          <w:rFonts w:ascii="Times New Roman" w:eastAsia="Times New Roman" w:hAnsi="Times New Roman" w:cs="Times New Roman"/>
          <w:sz w:val="24"/>
          <w:szCs w:val="24"/>
          <w:lang w:eastAsia="pl-PL"/>
        </w:rPr>
        <w:t> </w:t>
      </w:r>
      <w:r w:rsidR="002115E9" w:rsidRPr="00BE264C">
        <w:rPr>
          <w:rFonts w:ascii="Times New Roman" w:eastAsia="Times New Roman" w:hAnsi="Times New Roman" w:cs="Times New Roman"/>
          <w:sz w:val="24"/>
          <w:szCs w:val="24"/>
          <w:lang w:eastAsia="pl-PL"/>
        </w:rPr>
        <w:t>obowiązku zatwierdzenia działalności.</w:t>
      </w:r>
      <w:r w:rsidRPr="00BE264C">
        <w:rPr>
          <w:rFonts w:ascii="Times New Roman" w:eastAsia="Times New Roman" w:hAnsi="Times New Roman" w:cs="Times New Roman"/>
          <w:sz w:val="24"/>
          <w:szCs w:val="24"/>
          <w:lang w:eastAsia="pl-PL"/>
        </w:rPr>
        <w:t xml:space="preserve"> </w:t>
      </w:r>
      <w:r w:rsidR="002115E9" w:rsidRPr="00BE264C">
        <w:rPr>
          <w:rFonts w:ascii="Times New Roman" w:eastAsia="Times New Roman" w:hAnsi="Times New Roman" w:cs="Times New Roman"/>
          <w:sz w:val="24"/>
          <w:szCs w:val="24"/>
          <w:lang w:eastAsia="pl-PL"/>
        </w:rPr>
        <w:t xml:space="preserve">Zmiana zakresu podmiotowego w pkt 3 </w:t>
      </w:r>
      <w:r w:rsidRPr="00BE264C">
        <w:rPr>
          <w:rFonts w:ascii="Times New Roman" w:eastAsia="Times New Roman" w:hAnsi="Times New Roman" w:cs="Times New Roman"/>
          <w:sz w:val="24"/>
          <w:szCs w:val="24"/>
          <w:lang w:eastAsia="pl-PL"/>
        </w:rPr>
        <w:t>o finansową spółkę holdingową, będącą podmiotem zależnym podmiotu, o którym mowa w art. 48q ust. 2 zmienianej ustawy</w:t>
      </w:r>
      <w:r w:rsidR="00621F69" w:rsidRPr="00BE264C">
        <w:rPr>
          <w:rFonts w:ascii="Times New Roman" w:eastAsia="Times New Roman" w:hAnsi="Times New Roman" w:cs="Times New Roman"/>
          <w:sz w:val="24"/>
          <w:szCs w:val="24"/>
          <w:lang w:eastAsia="pl-PL"/>
        </w:rPr>
        <w:t xml:space="preserve"> oraz </w:t>
      </w:r>
      <w:r w:rsidRPr="00BE264C">
        <w:rPr>
          <w:rFonts w:ascii="Times New Roman" w:eastAsia="Times New Roman" w:hAnsi="Times New Roman" w:cs="Times New Roman"/>
          <w:sz w:val="24"/>
          <w:szCs w:val="24"/>
          <w:lang w:eastAsia="pl-PL"/>
        </w:rPr>
        <w:t>finansow</w:t>
      </w:r>
      <w:r w:rsidR="00621F69" w:rsidRPr="00BE264C">
        <w:rPr>
          <w:rFonts w:ascii="Times New Roman" w:eastAsia="Times New Roman" w:hAnsi="Times New Roman" w:cs="Times New Roman"/>
          <w:sz w:val="24"/>
          <w:szCs w:val="24"/>
          <w:lang w:eastAsia="pl-PL"/>
        </w:rPr>
        <w:t>ą</w:t>
      </w:r>
      <w:r w:rsidRPr="00BE264C">
        <w:rPr>
          <w:rFonts w:ascii="Times New Roman" w:eastAsia="Times New Roman" w:hAnsi="Times New Roman" w:cs="Times New Roman"/>
          <w:sz w:val="24"/>
          <w:szCs w:val="24"/>
          <w:lang w:eastAsia="pl-PL"/>
        </w:rPr>
        <w:t xml:space="preserve"> spółk</w:t>
      </w:r>
      <w:r w:rsidR="00621F69" w:rsidRPr="00BE264C">
        <w:rPr>
          <w:rFonts w:ascii="Times New Roman" w:eastAsia="Times New Roman" w:hAnsi="Times New Roman" w:cs="Times New Roman"/>
          <w:sz w:val="24"/>
          <w:szCs w:val="24"/>
          <w:lang w:eastAsia="pl-PL"/>
        </w:rPr>
        <w:t>ę</w:t>
      </w:r>
      <w:r w:rsidRPr="00BE264C">
        <w:rPr>
          <w:rFonts w:ascii="Times New Roman" w:eastAsia="Times New Roman" w:hAnsi="Times New Roman" w:cs="Times New Roman"/>
          <w:sz w:val="24"/>
          <w:szCs w:val="24"/>
          <w:lang w:eastAsia="pl-PL"/>
        </w:rPr>
        <w:t xml:space="preserve"> holdingow</w:t>
      </w:r>
      <w:r w:rsidR="00621F69" w:rsidRPr="00BE264C">
        <w:rPr>
          <w:rFonts w:ascii="Times New Roman" w:eastAsia="Times New Roman" w:hAnsi="Times New Roman" w:cs="Times New Roman"/>
          <w:sz w:val="24"/>
          <w:szCs w:val="24"/>
          <w:lang w:eastAsia="pl-PL"/>
        </w:rPr>
        <w:t>ą</w:t>
      </w:r>
      <w:r w:rsidRPr="00BE264C">
        <w:rPr>
          <w:rFonts w:ascii="Times New Roman" w:eastAsia="Times New Roman" w:hAnsi="Times New Roman" w:cs="Times New Roman"/>
          <w:sz w:val="24"/>
          <w:szCs w:val="24"/>
          <w:lang w:eastAsia="pl-PL"/>
        </w:rPr>
        <w:t xml:space="preserve"> o działalności mieszanej, zatwierdzone zgodnie z art. 48q ust. 3</w:t>
      </w:r>
      <w:r w:rsidR="00621F69" w:rsidRPr="00BE264C">
        <w:rPr>
          <w:rFonts w:ascii="Times New Roman" w:eastAsia="Times New Roman" w:hAnsi="Times New Roman" w:cs="Times New Roman"/>
          <w:sz w:val="24"/>
          <w:szCs w:val="24"/>
          <w:lang w:eastAsia="pl-PL"/>
        </w:rPr>
        <w:t xml:space="preserve"> zmienianej ustawy.</w:t>
      </w:r>
    </w:p>
    <w:p w14:paraId="46D69FCE" w14:textId="2CEF3B62" w:rsidR="001F41E9" w:rsidRPr="00BE264C" w:rsidRDefault="001F41E9"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hAnsi="Times New Roman" w:cs="Times New Roman"/>
          <w:b/>
          <w:bCs/>
          <w:sz w:val="24"/>
          <w:szCs w:val="24"/>
        </w:rPr>
        <w:t xml:space="preserve">Art. 1 pkt </w:t>
      </w:r>
      <w:r w:rsidR="00C22E5F" w:rsidRPr="00BE264C">
        <w:rPr>
          <w:rFonts w:ascii="Times New Roman" w:hAnsi="Times New Roman" w:cs="Times New Roman"/>
          <w:b/>
          <w:bCs/>
          <w:sz w:val="24"/>
          <w:szCs w:val="24"/>
        </w:rPr>
        <w:t>3</w:t>
      </w:r>
      <w:r w:rsidR="004B18E8" w:rsidRPr="00BE264C">
        <w:rPr>
          <w:rFonts w:ascii="Times New Roman" w:hAnsi="Times New Roman" w:cs="Times New Roman"/>
          <w:b/>
          <w:bCs/>
          <w:sz w:val="24"/>
          <w:szCs w:val="24"/>
        </w:rPr>
        <w:t>5</w:t>
      </w:r>
      <w:r w:rsidR="00C22E5F" w:rsidRPr="00BE264C">
        <w:rPr>
          <w:rFonts w:ascii="Times New Roman" w:hAnsi="Times New Roman" w:cs="Times New Roman"/>
          <w:b/>
          <w:bCs/>
          <w:sz w:val="24"/>
          <w:szCs w:val="24"/>
        </w:rPr>
        <w:t xml:space="preserve"> </w:t>
      </w:r>
      <w:r w:rsidRPr="00BE264C">
        <w:rPr>
          <w:rFonts w:ascii="Times New Roman" w:hAnsi="Times New Roman" w:cs="Times New Roman"/>
          <w:sz w:val="24"/>
          <w:szCs w:val="24"/>
        </w:rPr>
        <w:t>dodaje do zmienianej ustawy nowe przepisy, nadające KNF uprawnienie do wydania zezwolenia finansowym spółkom holdingowym lub finansowym spółkom holdingowym o działalności mieszanej zwolnionym z wymogu zatwierdzenia na podstawie art. 48s ustawy</w:t>
      </w:r>
      <w:r w:rsidR="00E9454A" w:rsidRPr="00BE264C">
        <w:rPr>
          <w:rFonts w:ascii="Times New Roman" w:hAnsi="Times New Roman" w:cs="Times New Roman"/>
          <w:sz w:val="24"/>
          <w:szCs w:val="24"/>
        </w:rPr>
        <w:t xml:space="preserve"> – Prawo bankowe</w:t>
      </w:r>
      <w:r w:rsidRPr="00BE264C">
        <w:rPr>
          <w:rFonts w:ascii="Times New Roman" w:hAnsi="Times New Roman" w:cs="Times New Roman"/>
          <w:sz w:val="24"/>
          <w:szCs w:val="24"/>
        </w:rPr>
        <w:t xml:space="preserve"> na wyłączenie z zakresu konsolidacji oraz nakładające na KNF obowiązek </w:t>
      </w:r>
      <w:r w:rsidRPr="00BE264C">
        <w:rPr>
          <w:rFonts w:ascii="Times New Roman" w:eastAsia="Times New Roman" w:hAnsi="Times New Roman" w:cs="Times New Roman"/>
          <w:sz w:val="24"/>
          <w:szCs w:val="24"/>
          <w:lang w:eastAsia="pl-PL"/>
        </w:rPr>
        <w:t>dokonania, co najmniej raz w roku, przeglądu jednostek dominujących instytucji, w</w:t>
      </w:r>
      <w:r w:rsidR="007762DB" w:rsidRPr="00BE264C">
        <w:rPr>
          <w:rFonts w:ascii="Times New Roman" w:eastAsia="Times New Roman" w:hAnsi="Times New Roman" w:cs="Times New Roman"/>
          <w:sz w:val="24"/>
          <w:szCs w:val="24"/>
          <w:lang w:eastAsia="pl-PL"/>
        </w:rPr>
        <w:t> </w:t>
      </w:r>
      <w:r w:rsidRPr="00BE264C">
        <w:rPr>
          <w:rFonts w:ascii="Times New Roman" w:eastAsia="Times New Roman" w:hAnsi="Times New Roman" w:cs="Times New Roman"/>
          <w:sz w:val="24"/>
          <w:szCs w:val="24"/>
          <w:lang w:eastAsia="pl-PL"/>
        </w:rPr>
        <w:t>celu weryfikacji prawidłowego określenia każdej jednostki spełniającej kryteria uznania za dominującą finansową spółkę holdingową z państwa członkowskiego, dominującą finansową spółkę holdingową o działalności mieszanej z państwa członkowskiego, unijną dominującą finansową spółkę holdingową lub unijną dominującą finansową spółkę holdingową o</w:t>
      </w:r>
      <w:r w:rsidR="001F09C1" w:rsidRPr="00BE264C">
        <w:rPr>
          <w:rFonts w:ascii="Times New Roman" w:eastAsia="Times New Roman" w:hAnsi="Times New Roman" w:cs="Times New Roman"/>
          <w:sz w:val="24"/>
          <w:szCs w:val="24"/>
          <w:lang w:eastAsia="pl-PL"/>
        </w:rPr>
        <w:t> </w:t>
      </w:r>
      <w:r w:rsidRPr="00BE264C">
        <w:rPr>
          <w:rFonts w:ascii="Times New Roman" w:eastAsia="Times New Roman" w:hAnsi="Times New Roman" w:cs="Times New Roman"/>
          <w:sz w:val="24"/>
          <w:szCs w:val="24"/>
          <w:lang w:eastAsia="pl-PL"/>
        </w:rPr>
        <w:t>działalności mieszanej.</w:t>
      </w:r>
    </w:p>
    <w:p w14:paraId="0CEF4DE1" w14:textId="70C5F0CC" w:rsidR="001F41E9" w:rsidRPr="00BE264C" w:rsidRDefault="00881863"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sz w:val="24"/>
          <w:szCs w:val="24"/>
          <w:lang w:eastAsia="pl-PL"/>
        </w:rPr>
        <w:t xml:space="preserve">Zmiana wprowadzona w </w:t>
      </w:r>
      <w:r w:rsidRPr="00BE264C">
        <w:rPr>
          <w:rFonts w:ascii="Times New Roman" w:eastAsia="Times New Roman" w:hAnsi="Times New Roman" w:cs="Times New Roman"/>
          <w:b/>
          <w:bCs/>
          <w:sz w:val="24"/>
          <w:szCs w:val="24"/>
          <w:lang w:eastAsia="pl-PL"/>
        </w:rPr>
        <w:t xml:space="preserve">art. 1 pkt </w:t>
      </w:r>
      <w:r w:rsidR="00C22E5F" w:rsidRPr="00BE264C">
        <w:rPr>
          <w:rFonts w:ascii="Times New Roman" w:eastAsia="Times New Roman" w:hAnsi="Times New Roman" w:cs="Times New Roman"/>
          <w:b/>
          <w:bCs/>
          <w:sz w:val="24"/>
          <w:szCs w:val="24"/>
          <w:lang w:eastAsia="pl-PL"/>
        </w:rPr>
        <w:t>3</w:t>
      </w:r>
      <w:r w:rsidR="004B18E8" w:rsidRPr="00BE264C">
        <w:rPr>
          <w:rFonts w:ascii="Times New Roman" w:eastAsia="Times New Roman" w:hAnsi="Times New Roman" w:cs="Times New Roman"/>
          <w:b/>
          <w:bCs/>
          <w:sz w:val="24"/>
          <w:szCs w:val="24"/>
          <w:lang w:eastAsia="pl-PL"/>
        </w:rPr>
        <w:t>6</w:t>
      </w:r>
      <w:r w:rsidR="00C22E5F" w:rsidRPr="00BE264C">
        <w:rPr>
          <w:rFonts w:ascii="Times New Roman" w:eastAsia="Times New Roman" w:hAnsi="Times New Roman" w:cs="Times New Roman"/>
          <w:sz w:val="24"/>
          <w:szCs w:val="24"/>
          <w:lang w:eastAsia="pl-PL"/>
        </w:rPr>
        <w:t xml:space="preserve"> </w:t>
      </w:r>
      <w:r w:rsidRPr="00BE264C">
        <w:rPr>
          <w:rFonts w:ascii="Times New Roman" w:eastAsia="Times New Roman" w:hAnsi="Times New Roman" w:cs="Times New Roman"/>
          <w:sz w:val="24"/>
          <w:szCs w:val="24"/>
          <w:lang w:eastAsia="pl-PL"/>
        </w:rPr>
        <w:t>ma charakter dostosowujący i wynika z</w:t>
      </w:r>
      <w:r w:rsidR="00A8694C" w:rsidRPr="00BE264C">
        <w:rPr>
          <w:rFonts w:ascii="Times New Roman" w:eastAsia="Times New Roman" w:hAnsi="Times New Roman" w:cs="Times New Roman"/>
          <w:sz w:val="24"/>
          <w:szCs w:val="24"/>
          <w:lang w:eastAsia="pl-PL"/>
        </w:rPr>
        <w:t>e zmiany definicji kadry kierowniczej wyższego szczebla.</w:t>
      </w:r>
      <w:r w:rsidRPr="00BE264C">
        <w:rPr>
          <w:rFonts w:ascii="Times New Roman" w:eastAsia="Times New Roman" w:hAnsi="Times New Roman" w:cs="Times New Roman"/>
          <w:sz w:val="24"/>
          <w:szCs w:val="24"/>
          <w:lang w:eastAsia="pl-PL"/>
        </w:rPr>
        <w:t xml:space="preserve"> </w:t>
      </w:r>
    </w:p>
    <w:p w14:paraId="1E64D602" w14:textId="4A6BB333" w:rsidR="003428AA" w:rsidRPr="00BE264C" w:rsidRDefault="00A8694C"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
          <w:bCs/>
          <w:sz w:val="24"/>
          <w:szCs w:val="24"/>
          <w:lang w:eastAsia="pl-PL"/>
        </w:rPr>
        <w:t xml:space="preserve">Art. 1 pkt </w:t>
      </w:r>
      <w:r w:rsidR="00382721" w:rsidRPr="00BE264C">
        <w:rPr>
          <w:rFonts w:ascii="Times New Roman" w:eastAsia="Times New Roman" w:hAnsi="Times New Roman" w:cs="Times New Roman"/>
          <w:b/>
          <w:bCs/>
          <w:sz w:val="24"/>
          <w:szCs w:val="24"/>
          <w:lang w:eastAsia="pl-PL"/>
        </w:rPr>
        <w:t>3</w:t>
      </w:r>
      <w:r w:rsidR="00D839CD" w:rsidRPr="00BE264C">
        <w:rPr>
          <w:rFonts w:ascii="Times New Roman" w:eastAsia="Times New Roman" w:hAnsi="Times New Roman" w:cs="Times New Roman"/>
          <w:b/>
          <w:bCs/>
          <w:sz w:val="24"/>
          <w:szCs w:val="24"/>
          <w:lang w:eastAsia="pl-PL"/>
        </w:rPr>
        <w:t>7</w:t>
      </w:r>
      <w:r w:rsidR="00C22E5F" w:rsidRPr="00BE264C">
        <w:rPr>
          <w:rFonts w:ascii="Times New Roman" w:eastAsia="Times New Roman" w:hAnsi="Times New Roman" w:cs="Times New Roman"/>
          <w:sz w:val="24"/>
          <w:szCs w:val="24"/>
          <w:lang w:eastAsia="pl-PL"/>
        </w:rPr>
        <w:t xml:space="preserve"> </w:t>
      </w:r>
      <w:r w:rsidR="003428AA" w:rsidRPr="00BE264C">
        <w:rPr>
          <w:rFonts w:ascii="Times New Roman" w:eastAsia="Times New Roman" w:hAnsi="Times New Roman" w:cs="Times New Roman"/>
          <w:sz w:val="24"/>
          <w:szCs w:val="24"/>
          <w:lang w:eastAsia="pl-PL"/>
        </w:rPr>
        <w:t xml:space="preserve">rozszerza zakres obecnego brzmienia przepisu poprzez wprowadzenie uprawnienia KNF do </w:t>
      </w:r>
      <w:r w:rsidR="003428AA" w:rsidRPr="00BE264C">
        <w:rPr>
          <w:rFonts w:ascii="Times New Roman" w:eastAsia="Times New Roman" w:hAnsi="Times New Roman" w:cs="Times New Roman"/>
          <w:bCs/>
          <w:sz w:val="24"/>
          <w:szCs w:val="24"/>
          <w:lang w:eastAsia="pl-PL"/>
        </w:rPr>
        <w:t>określenia terminów, w których instytucje inne niż małe i niezłożone instytucje przekazują Europejskiemu Urzędowi Nadzoru Bankowego informacje do celów ich publikacji na stronie internetowej Europejskiego Urzędu Nadzoru Bankowego w odniesieniu do scentralizowanych ujawnień oraz uprawnienia KNF do nałożenia na bank wymogu stosowania określonych nośników i miejsc publikacji informacji innych niż strona internetowa Europejskiego Urzędu Nadzoru Bankowego do scentralizowanych ujawnień lub do publikowania sprawozdań finansowych banku.</w:t>
      </w:r>
    </w:p>
    <w:p w14:paraId="7B4EC6B3" w14:textId="1028304C"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
          <w:bCs/>
          <w:sz w:val="24"/>
          <w:szCs w:val="24"/>
          <w:lang w:eastAsia="pl-PL"/>
        </w:rPr>
        <w:lastRenderedPageBreak/>
        <w:t xml:space="preserve">Art. 1 pkt </w:t>
      </w:r>
      <w:r w:rsidR="00D839CD" w:rsidRPr="00BE264C">
        <w:rPr>
          <w:rFonts w:ascii="Times New Roman" w:eastAsia="Times New Roman" w:hAnsi="Times New Roman" w:cs="Times New Roman"/>
          <w:b/>
          <w:bCs/>
          <w:sz w:val="24"/>
          <w:szCs w:val="24"/>
          <w:lang w:eastAsia="pl-PL"/>
        </w:rPr>
        <w:t>38</w:t>
      </w:r>
      <w:r w:rsidRPr="00BE264C">
        <w:rPr>
          <w:rFonts w:ascii="Times New Roman" w:eastAsia="Times New Roman" w:hAnsi="Times New Roman" w:cs="Times New Roman"/>
          <w:b/>
          <w:bCs/>
          <w:sz w:val="24"/>
          <w:szCs w:val="24"/>
          <w:lang w:eastAsia="pl-PL"/>
        </w:rPr>
        <w:t xml:space="preserve"> </w:t>
      </w:r>
      <w:r w:rsidRPr="00BE264C">
        <w:rPr>
          <w:rFonts w:ascii="Times New Roman" w:eastAsia="Times New Roman" w:hAnsi="Times New Roman" w:cs="Times New Roman"/>
          <w:bCs/>
          <w:sz w:val="24"/>
          <w:szCs w:val="24"/>
          <w:lang w:eastAsia="pl-PL"/>
        </w:rPr>
        <w:t>dodaje</w:t>
      </w:r>
      <w:r w:rsidRPr="00BE264C">
        <w:rPr>
          <w:rFonts w:ascii="Times New Roman" w:eastAsia="Times New Roman" w:hAnsi="Times New Roman" w:cs="Times New Roman"/>
          <w:b/>
          <w:bCs/>
          <w:sz w:val="24"/>
          <w:szCs w:val="24"/>
          <w:lang w:eastAsia="pl-PL"/>
        </w:rPr>
        <w:t xml:space="preserve"> </w:t>
      </w:r>
      <w:r w:rsidRPr="00BE264C">
        <w:rPr>
          <w:rFonts w:ascii="Times New Roman" w:eastAsia="Times New Roman" w:hAnsi="Times New Roman" w:cs="Times New Roman"/>
          <w:bCs/>
          <w:sz w:val="24"/>
          <w:szCs w:val="24"/>
          <w:lang w:eastAsia="pl-PL"/>
        </w:rPr>
        <w:t>do zmienianej ustawy nowy</w:t>
      </w:r>
      <w:r w:rsidR="00A21407"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rozdział, regulujący zasady nabywania akcji</w:t>
      </w:r>
      <w:r w:rsidR="00D839CD" w:rsidRPr="00BE264C">
        <w:rPr>
          <w:rFonts w:ascii="Times New Roman" w:eastAsia="Times New Roman" w:hAnsi="Times New Roman" w:cs="Times New Roman"/>
          <w:bCs/>
          <w:sz w:val="24"/>
          <w:szCs w:val="24"/>
          <w:lang w:eastAsia="pl-PL"/>
        </w:rPr>
        <w:t>,</w:t>
      </w:r>
      <w:r w:rsidR="00A21407"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praw z akcji</w:t>
      </w:r>
      <w:r w:rsidR="00D839CD" w:rsidRPr="00BE264C">
        <w:rPr>
          <w:rFonts w:ascii="Times New Roman" w:eastAsia="Times New Roman" w:hAnsi="Times New Roman" w:cs="Times New Roman"/>
          <w:bCs/>
          <w:sz w:val="24"/>
          <w:szCs w:val="24"/>
          <w:lang w:eastAsia="pl-PL"/>
        </w:rPr>
        <w:t>, udziałów</w:t>
      </w:r>
      <w:r w:rsidRPr="00BE264C">
        <w:rPr>
          <w:rFonts w:ascii="Times New Roman" w:eastAsia="Times New Roman" w:hAnsi="Times New Roman" w:cs="Times New Roman"/>
          <w:bCs/>
          <w:sz w:val="24"/>
          <w:szCs w:val="24"/>
          <w:lang w:eastAsia="pl-PL"/>
        </w:rPr>
        <w:t xml:space="preserve"> lub </w:t>
      </w:r>
      <w:r w:rsidR="00D839CD" w:rsidRPr="00BE264C">
        <w:rPr>
          <w:rFonts w:ascii="Times New Roman" w:eastAsia="Times New Roman" w:hAnsi="Times New Roman" w:cs="Times New Roman"/>
          <w:bCs/>
          <w:sz w:val="24"/>
          <w:szCs w:val="24"/>
          <w:lang w:eastAsia="pl-PL"/>
        </w:rPr>
        <w:t xml:space="preserve">praw z </w:t>
      </w:r>
      <w:r w:rsidRPr="00BE264C">
        <w:rPr>
          <w:rFonts w:ascii="Times New Roman" w:eastAsia="Times New Roman" w:hAnsi="Times New Roman" w:cs="Times New Roman"/>
          <w:bCs/>
          <w:sz w:val="24"/>
          <w:szCs w:val="24"/>
          <w:lang w:eastAsia="pl-PL"/>
        </w:rPr>
        <w:t xml:space="preserve">udziałów podmiotu sektora finansowego, o którym mowa w art. 4 ust. 1 pkt 27 rozporządzenia CRR lub podmiotu niebędącego podmiotem sektora finansowego, </w:t>
      </w:r>
      <w:r w:rsidR="008145DD" w:rsidRPr="00BE264C">
        <w:rPr>
          <w:rFonts w:ascii="Times New Roman" w:eastAsia="Times New Roman" w:hAnsi="Times New Roman" w:cs="Times New Roman"/>
          <w:bCs/>
          <w:sz w:val="24"/>
          <w:szCs w:val="24"/>
          <w:lang w:eastAsia="pl-PL"/>
        </w:rPr>
        <w:t xml:space="preserve">zasady </w:t>
      </w:r>
      <w:r w:rsidRPr="00BE264C">
        <w:rPr>
          <w:rFonts w:ascii="Times New Roman" w:eastAsia="Times New Roman" w:hAnsi="Times New Roman" w:cs="Times New Roman"/>
          <w:bCs/>
          <w:sz w:val="24"/>
          <w:szCs w:val="24"/>
          <w:lang w:eastAsia="pl-PL"/>
        </w:rPr>
        <w:t xml:space="preserve">zbywania </w:t>
      </w:r>
      <w:r w:rsidR="00CF351D" w:rsidRPr="00BE264C">
        <w:rPr>
          <w:rFonts w:ascii="Times New Roman" w:eastAsia="Times New Roman" w:hAnsi="Times New Roman" w:cs="Times New Roman"/>
          <w:bCs/>
          <w:sz w:val="24"/>
          <w:szCs w:val="24"/>
          <w:lang w:eastAsia="pl-PL"/>
        </w:rPr>
        <w:t xml:space="preserve">akcji, praw z akcji, udziałów lub praw z udziałów </w:t>
      </w:r>
      <w:r w:rsidRPr="00BE264C">
        <w:rPr>
          <w:rFonts w:ascii="Times New Roman" w:eastAsia="Times New Roman" w:hAnsi="Times New Roman" w:cs="Times New Roman"/>
          <w:bCs/>
          <w:sz w:val="24"/>
          <w:szCs w:val="24"/>
          <w:lang w:eastAsia="pl-PL"/>
        </w:rPr>
        <w:t xml:space="preserve">oraz </w:t>
      </w:r>
      <w:r w:rsidR="008145DD" w:rsidRPr="00BE264C">
        <w:rPr>
          <w:rFonts w:ascii="Times New Roman" w:eastAsia="Times New Roman" w:hAnsi="Times New Roman" w:cs="Times New Roman"/>
          <w:bCs/>
          <w:sz w:val="24"/>
          <w:szCs w:val="24"/>
          <w:lang w:eastAsia="pl-PL"/>
        </w:rPr>
        <w:t xml:space="preserve">zasady </w:t>
      </w:r>
      <w:r w:rsidRPr="00BE264C">
        <w:rPr>
          <w:rFonts w:ascii="Times New Roman" w:eastAsia="Times New Roman" w:hAnsi="Times New Roman" w:cs="Times New Roman"/>
          <w:bCs/>
          <w:sz w:val="24"/>
          <w:szCs w:val="24"/>
          <w:lang w:eastAsia="pl-PL"/>
        </w:rPr>
        <w:t xml:space="preserve">przenoszenia aktywów lub zobowiązań przez bank krajowy, zatwierdzoną finansową spółkę holdingową lub finansową spółkę holdingową o działalności mieszanej. </w:t>
      </w:r>
    </w:p>
    <w:p w14:paraId="1829BF36" w14:textId="23ED42E4"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Zawiadomienie KNF jest wymagane, jeżeli planowana transakcja prowadzi do osiągnięcia albo przekroczenia 15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xml:space="preserve">% uznanego kapitału potencjalnego nabywcy. </w:t>
      </w:r>
    </w:p>
    <w:p w14:paraId="1499299A" w14:textId="4F24CBD0"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Wobec banku krajowego, próg 15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stosuje się zarówno na zasadzie indywidualnej, jak i skonsolidowanej. W przypadku możliwości przekroczenia progu 15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na zasadzie indywidualnej i skonsolidowanej, bank krajowy powiadamia o zamiarze nabycia lub objęcia</w:t>
      </w:r>
      <w:r w:rsidR="00CF351D" w:rsidRPr="00BE264C">
        <w:rPr>
          <w:rFonts w:ascii="Times New Roman" w:eastAsia="Times New Roman" w:hAnsi="Times New Roman" w:cs="Times New Roman"/>
          <w:bCs/>
          <w:sz w:val="24"/>
          <w:szCs w:val="24"/>
          <w:lang w:eastAsia="pl-PL"/>
        </w:rPr>
        <w:t xml:space="preserve"> akcji, praw z akcji, udziałów lub praw z udziałów</w:t>
      </w:r>
      <w:r w:rsidRPr="00BE264C">
        <w:rPr>
          <w:rFonts w:ascii="Times New Roman" w:eastAsia="Times New Roman" w:hAnsi="Times New Roman" w:cs="Times New Roman"/>
          <w:bCs/>
          <w:sz w:val="24"/>
          <w:szCs w:val="24"/>
          <w:lang w:eastAsia="pl-PL"/>
        </w:rPr>
        <w:t xml:space="preserve"> KNF oraz właściwą władzę nadzorczą sprawującą nadzór skonsolidowany.</w:t>
      </w:r>
    </w:p>
    <w:p w14:paraId="52DDA826" w14:textId="58A87C4B"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Natomiast wobec zatwierdzonej finansowej spółki holdingowej lub finansowej spółki holdingowej o działalności mieszanej, próg 15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stosuje się na poziomie skonsolidowanym. Podmioty te powiadamiają KNF oraz właściwą władzę nadzorczą sprawującą nadzór skonsolidowany.</w:t>
      </w:r>
    </w:p>
    <w:p w14:paraId="6C899088" w14:textId="41D4B5CE" w:rsidR="006F42DF" w:rsidRPr="00BE264C" w:rsidRDefault="006F42DF" w:rsidP="009858C9">
      <w:pPr>
        <w:spacing w:before="120" w:after="0" w:line="360" w:lineRule="auto"/>
        <w:jc w:val="both"/>
        <w:rPr>
          <w:rFonts w:ascii="Times New Roman" w:eastAsia="Times New Roman" w:hAnsi="Times New Roman" w:cs="Times New Roman"/>
          <w:bCs/>
          <w:iCs/>
          <w:sz w:val="24"/>
          <w:szCs w:val="24"/>
          <w:lang w:eastAsia="pl-PL"/>
        </w:rPr>
      </w:pPr>
      <w:r w:rsidRPr="00BE264C">
        <w:rPr>
          <w:rFonts w:ascii="Times New Roman" w:eastAsia="Times New Roman" w:hAnsi="Times New Roman" w:cs="Times New Roman"/>
          <w:bCs/>
          <w:sz w:val="24"/>
          <w:szCs w:val="24"/>
          <w:lang w:eastAsia="pl-PL"/>
        </w:rPr>
        <w:t>W przypadku gdy planowane nabycie albo objęcie akcji, praw z akcji, udziałów lub praw z udziałów odbywa się między podmiotami spełniającymi wymogi określone w art. 113 ust. 6 lub 7 rozporządzenia nr 575/2013, KNF może nie przeprowadzać oceny, o której mowa w art. 112g ust. 2.</w:t>
      </w:r>
      <w:r w:rsidRPr="009858C9">
        <w:rPr>
          <w:rFonts w:ascii="Times New Roman" w:eastAsia="Times New Roman" w:hAnsi="Times New Roman" w:cs="Times New Roman"/>
          <w:i/>
          <w:sz w:val="24"/>
          <w:szCs w:val="24"/>
          <w:lang w:eastAsia="pl-PL"/>
        </w:rPr>
        <w:t xml:space="preserve"> </w:t>
      </w:r>
      <w:r w:rsidRPr="009858C9">
        <w:rPr>
          <w:rFonts w:ascii="Times New Roman" w:eastAsia="Times New Roman" w:hAnsi="Times New Roman" w:cs="Times New Roman"/>
          <w:iCs/>
          <w:sz w:val="24"/>
          <w:szCs w:val="24"/>
          <w:lang w:eastAsia="pl-PL"/>
        </w:rPr>
        <w:t xml:space="preserve">Obowiązek powiadomienia </w:t>
      </w:r>
      <w:r w:rsidRPr="00BE264C">
        <w:rPr>
          <w:rFonts w:ascii="Times New Roman" w:eastAsia="Times New Roman" w:hAnsi="Times New Roman" w:cs="Times New Roman"/>
          <w:bCs/>
          <w:iCs/>
          <w:sz w:val="24"/>
          <w:szCs w:val="24"/>
          <w:lang w:eastAsia="pl-PL"/>
        </w:rPr>
        <w:t>podmiotu przez KNF o tym, czy zostanie przeprowadzona ocena planowanej transakcji</w:t>
      </w:r>
      <w:r w:rsidR="005B0312" w:rsidRPr="00BE264C">
        <w:rPr>
          <w:rFonts w:ascii="Times New Roman" w:eastAsia="Times New Roman" w:hAnsi="Times New Roman" w:cs="Times New Roman"/>
          <w:bCs/>
          <w:iCs/>
          <w:sz w:val="24"/>
          <w:szCs w:val="24"/>
          <w:lang w:eastAsia="pl-PL"/>
        </w:rPr>
        <w:t xml:space="preserve"> będzie wynikał bezpośrednio z regulacyjnych standardów technicznych wydanych na podstawie dyrektywy CRD VI.</w:t>
      </w:r>
    </w:p>
    <w:p w14:paraId="1C88A448" w14:textId="053565A8"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Projekt określa elementy treści zawiadomienia o planowanej transakcji oraz pozostałe informacje, które podmioty są zobowiązane przekazać wraz z zawiadomieniem.</w:t>
      </w:r>
    </w:p>
    <w:p w14:paraId="411315E7" w14:textId="3251DBFE"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KNF może, przed upływem 50 dnia roboczego terminu na dokonanie oceny, wezwać</w:t>
      </w:r>
      <w:r w:rsidR="00DB398A" w:rsidRPr="00BE264C">
        <w:rPr>
          <w:rFonts w:ascii="Times New Roman" w:eastAsia="Times New Roman" w:hAnsi="Times New Roman" w:cs="Times New Roman"/>
          <w:bCs/>
          <w:sz w:val="24"/>
          <w:szCs w:val="24"/>
          <w:lang w:eastAsia="pl-PL"/>
        </w:rPr>
        <w:t xml:space="preserve"> na piśmie</w:t>
      </w:r>
      <w:r w:rsidRPr="00BE264C">
        <w:rPr>
          <w:rFonts w:ascii="Times New Roman" w:eastAsia="Times New Roman" w:hAnsi="Times New Roman" w:cs="Times New Roman"/>
          <w:bCs/>
          <w:sz w:val="24"/>
          <w:szCs w:val="24"/>
          <w:lang w:eastAsia="pl-PL"/>
        </w:rPr>
        <w:t xml:space="preserve"> podmiot składający zawiadomienie do przekazania informacji lub dokumentów</w:t>
      </w:r>
      <w:r w:rsidR="00661D29" w:rsidRPr="00BE264C">
        <w:rPr>
          <w:rFonts w:ascii="Times New Roman" w:eastAsia="Times New Roman" w:hAnsi="Times New Roman" w:cs="Times New Roman"/>
          <w:bCs/>
          <w:sz w:val="24"/>
          <w:szCs w:val="24"/>
          <w:lang w:eastAsia="pl-PL"/>
        </w:rPr>
        <w:t xml:space="preserve"> niezbędnych do dokonania oceny</w:t>
      </w:r>
      <w:r w:rsidRPr="00BE264C">
        <w:rPr>
          <w:rFonts w:ascii="Times New Roman" w:eastAsia="Times New Roman" w:hAnsi="Times New Roman" w:cs="Times New Roman"/>
          <w:bCs/>
          <w:sz w:val="24"/>
          <w:szCs w:val="24"/>
          <w:lang w:eastAsia="pl-PL"/>
        </w:rPr>
        <w:t>, wyszczególnionych w wezwaniu.</w:t>
      </w:r>
    </w:p>
    <w:p w14:paraId="143C1E28" w14:textId="77777777"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Zgodnie z projektem, bieg okresu oceny ulega zawieszeniu na czas trwania postępowania w przedmiocie zatwierdzenia działalności finansowej spółki holdingowej lub finansowej spółki holdingowej o działalności mieszanej. KNF koordynuje wówczas swoje działania z organem sprawującym nadzór skonsolidowany oraz, jeżeli nie jest to ten sam organ, z właściwymi </w:t>
      </w:r>
      <w:r w:rsidRPr="00BE264C">
        <w:rPr>
          <w:rFonts w:ascii="Times New Roman" w:eastAsia="Times New Roman" w:hAnsi="Times New Roman" w:cs="Times New Roman"/>
          <w:bCs/>
          <w:sz w:val="24"/>
          <w:szCs w:val="24"/>
          <w:lang w:eastAsia="pl-PL"/>
        </w:rPr>
        <w:lastRenderedPageBreak/>
        <w:t>władzami nadzorczymi w państwie członkowskim, w którym ma siedzibę finansowa spółka holdingowa lub finansowa spółka holdingowa o działalności mieszanej.</w:t>
      </w:r>
    </w:p>
    <w:p w14:paraId="615D92D6" w14:textId="77777777"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projekcie określono także zasady współpracy KNF z właściwą władzą nadzorczą w związku z przygotowaniem oceny planowanego nabycia lub objęcia akcji lub praw z akcji. </w:t>
      </w:r>
    </w:p>
    <w:p w14:paraId="5DD6FF52" w14:textId="5E26C2E6"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KNF może, w określonych sytuacjach, zgłosić sprzeciw co do nabycia albo objęcia</w:t>
      </w:r>
      <w:r w:rsidR="00CF351D" w:rsidRPr="00BE264C">
        <w:rPr>
          <w:rFonts w:ascii="Times New Roman" w:eastAsia="Times New Roman" w:hAnsi="Times New Roman" w:cs="Times New Roman"/>
          <w:bCs/>
          <w:sz w:val="24"/>
          <w:szCs w:val="24"/>
          <w:lang w:eastAsia="pl-PL"/>
        </w:rPr>
        <w:t xml:space="preserve"> akcji, praw z akcji, udziałów lub praw z udziałów</w:t>
      </w:r>
      <w:r w:rsidRPr="00BE264C">
        <w:rPr>
          <w:rFonts w:ascii="Times New Roman" w:eastAsia="Times New Roman" w:hAnsi="Times New Roman" w:cs="Times New Roman"/>
          <w:bCs/>
          <w:sz w:val="24"/>
          <w:szCs w:val="24"/>
          <w:lang w:eastAsia="pl-PL"/>
        </w:rPr>
        <w:t>, a także, w przypadku przeprowadzenia transakcji z naruszeniem przepisów ustawy, nałożyć sankcje na podmiot dokonujący transakcji.</w:t>
      </w:r>
    </w:p>
    <w:p w14:paraId="1C0DD5FE" w14:textId="2221CEF9"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przypadku zbycia akcji lub udziałów, zawiadomienie KNF jest wymagane, jeżeli planowana transakcja zbycia prowadzi do osiągnięcia albo przekroczenia 15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uznanego kapitału podmiotu dokonującego zbycia.</w:t>
      </w:r>
    </w:p>
    <w:p w14:paraId="59D725A6" w14:textId="100FE3D3"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sytuacji naruszenia przez podmiot obowiązku zawiadomienia o planowanym zbyciu</w:t>
      </w:r>
      <w:r w:rsidR="00CF351D" w:rsidRPr="00BE264C">
        <w:rPr>
          <w:rFonts w:ascii="Times New Roman" w:eastAsia="Times New Roman" w:hAnsi="Times New Roman" w:cs="Times New Roman"/>
          <w:bCs/>
          <w:sz w:val="24"/>
          <w:szCs w:val="24"/>
          <w:lang w:eastAsia="pl-PL"/>
        </w:rPr>
        <w:t xml:space="preserve"> akcji, praw z akcji, udziałów lub praw z udziałów</w:t>
      </w:r>
      <w:r w:rsidRPr="00BE264C">
        <w:rPr>
          <w:rFonts w:ascii="Times New Roman" w:eastAsia="Times New Roman" w:hAnsi="Times New Roman" w:cs="Times New Roman"/>
          <w:bCs/>
          <w:sz w:val="24"/>
          <w:szCs w:val="24"/>
          <w:lang w:eastAsia="pl-PL"/>
        </w:rPr>
        <w:t>, KNF może nałożyć sankcje na podmiot dokonujący zbycia lub na akcjonariusza tego podmiotu, będącego osobą fizyczną lub prawną.</w:t>
      </w:r>
    </w:p>
    <w:p w14:paraId="2DCC29DF" w14:textId="2E26620E"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przypadku przeniesienia aktywów lub zobowiązań o istotnej wartości, w drodze sprzedaży lub innego rodzaju transakcji, zawiadomienie KNF jest wymagane, jeżeli wartość tych aktywów lub zobowiązań odpowiada co najmniej 10</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całkowitych aktywów lub zobowiązań podmiotu dokonującego przeniesienia.</w:t>
      </w:r>
    </w:p>
    <w:p w14:paraId="0C6F1E51" w14:textId="1225CC5E"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Natomiast jeśli przeniesienie aktywów lub zobowiązań jest przeprowadzane między podmiotami należącymi do tej samej grupy, zawiadomienie jest wymagane, gdy wartość tego przeniesienia odpowiada co najmniej 15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całkowitych aktywów lub zobowiązań podmiotu dokonującego przeniesienia.</w:t>
      </w:r>
    </w:p>
    <w:p w14:paraId="1DEAB5C9" w14:textId="77777777"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projekcie zostały także określone zasady obliczania wartości procentowych transakcji podlegających obowiązkowi zgłoszenia.</w:t>
      </w:r>
    </w:p>
    <w:p w14:paraId="504CA7E0" w14:textId="4CA3C934"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przypadku naruszenia przez podmiot obowiązku zawiadomienia o planowanym przeniesieniu aktywów lub zobowiązań, KNF może nałożyć sankcje na podmiot dokonujący przeniesienia.</w:t>
      </w:r>
    </w:p>
    <w:p w14:paraId="27D11DA2" w14:textId="6B38A102"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
          <w:bCs/>
          <w:sz w:val="24"/>
          <w:szCs w:val="24"/>
          <w:lang w:eastAsia="pl-PL"/>
        </w:rPr>
        <w:t xml:space="preserve">Art. 1 pkt </w:t>
      </w:r>
      <w:r w:rsidR="00DB398A" w:rsidRPr="00BE264C">
        <w:rPr>
          <w:rFonts w:ascii="Times New Roman" w:eastAsia="Times New Roman" w:hAnsi="Times New Roman" w:cs="Times New Roman"/>
          <w:b/>
          <w:bCs/>
          <w:sz w:val="24"/>
          <w:szCs w:val="24"/>
          <w:lang w:eastAsia="pl-PL"/>
        </w:rPr>
        <w:t>39</w:t>
      </w:r>
      <w:r w:rsidRPr="00BE264C">
        <w:rPr>
          <w:rFonts w:ascii="Times New Roman" w:eastAsia="Times New Roman" w:hAnsi="Times New Roman" w:cs="Times New Roman"/>
          <w:b/>
          <w:bCs/>
          <w:sz w:val="24"/>
          <w:szCs w:val="24"/>
          <w:lang w:eastAsia="pl-PL"/>
        </w:rPr>
        <w:t>-4</w:t>
      </w:r>
      <w:r w:rsidR="00DB398A" w:rsidRPr="00BE264C">
        <w:rPr>
          <w:rFonts w:ascii="Times New Roman" w:eastAsia="Times New Roman" w:hAnsi="Times New Roman" w:cs="Times New Roman"/>
          <w:b/>
          <w:bCs/>
          <w:sz w:val="24"/>
          <w:szCs w:val="24"/>
          <w:lang w:eastAsia="pl-PL"/>
        </w:rPr>
        <w:t>1</w:t>
      </w:r>
      <w:r w:rsidRPr="00BE264C">
        <w:rPr>
          <w:rFonts w:ascii="Times New Roman" w:eastAsia="Times New Roman" w:hAnsi="Times New Roman" w:cs="Times New Roman"/>
          <w:bCs/>
          <w:sz w:val="24"/>
          <w:szCs w:val="24"/>
          <w:lang w:eastAsia="pl-PL"/>
        </w:rPr>
        <w:t xml:space="preserve"> wprowadzają do zmienianej ustawy przepisy regulujące zasady przeprowadzenia połączenia </w:t>
      </w:r>
      <w:r w:rsidR="00DB398A"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podziału przez bank krajowy, zatwierdzoną finansową spółkę holdingową lub finansową spółkę holdingową o działalności mieszanej.</w:t>
      </w:r>
    </w:p>
    <w:p w14:paraId="1C6AA0DA" w14:textId="00763CB4"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lastRenderedPageBreak/>
        <w:t xml:space="preserve">Podmioty uczestniczące w połączeniu </w:t>
      </w:r>
      <w:r w:rsidR="00DB398A"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podziale są zobowiązane do zawiadomienia KNF o planowanej transakcji po przyjęciu projektu warunków planowanego połączenia </w:t>
      </w:r>
      <w:r w:rsidR="00DB398A"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podziału i przed jego przeprowadzeniem.</w:t>
      </w:r>
    </w:p>
    <w:p w14:paraId="41A98C3C" w14:textId="530368FB"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Projekt wskazuje elementy treści zawiadomienia o planowanej transakcji połączenia </w:t>
      </w:r>
      <w:r w:rsidR="00DB398A"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podziału oraz pozostałe informacje, które podmioty są zobowiązane przekazać wraz z zawiadomieniem.</w:t>
      </w:r>
    </w:p>
    <w:p w14:paraId="2075A6C0" w14:textId="451CB3D2"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Zgodnie z projektem, KNF może przed upływem 50 dnia roboczego terminu na dokonanie oceny wezwać</w:t>
      </w:r>
      <w:r w:rsidR="00DB398A" w:rsidRPr="00BE264C">
        <w:rPr>
          <w:rFonts w:ascii="Times New Roman" w:eastAsia="Times New Roman" w:hAnsi="Times New Roman" w:cs="Times New Roman"/>
          <w:bCs/>
          <w:sz w:val="24"/>
          <w:szCs w:val="24"/>
          <w:lang w:eastAsia="pl-PL"/>
        </w:rPr>
        <w:t xml:space="preserve"> na piśmie </w:t>
      </w:r>
      <w:r w:rsidRPr="00BE264C">
        <w:rPr>
          <w:rFonts w:ascii="Times New Roman" w:eastAsia="Times New Roman" w:hAnsi="Times New Roman" w:cs="Times New Roman"/>
          <w:bCs/>
          <w:sz w:val="24"/>
          <w:szCs w:val="24"/>
          <w:lang w:eastAsia="pl-PL"/>
        </w:rPr>
        <w:t>podmiot składający zawiadomienie do przekazania dodatkowych niezbędnych informacji lub dokumentów, wyszczególnionych w wezwaniu.</w:t>
      </w:r>
    </w:p>
    <w:p w14:paraId="5C8ADC21" w14:textId="792B6929"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Projekt precyzuje także zakres i zasady badania dokonywanego przez KNF w ramach oceny ostrożności i stabilności zarządzania podmiotem, który powstanie w wyniku połączenia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podmiotów, które powstaną w wyniku podziału, oraz w ramach oceny sytuacji finansowej tego podmiotu lub podmiotów.</w:t>
      </w:r>
    </w:p>
    <w:p w14:paraId="562BC9A9" w14:textId="3D73CDD5"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terminie 2 dni roboczych od zakończenia badania KNF wydaje decyzję w przedmiocie planowanego połączenia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podziału. Decyzja może określać termin, w którym połączenie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podział mają zostać przeprowadzone. Połączenie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podział nie mogą nastąpić przed wydaniem przez KNF decyzji </w:t>
      </w:r>
      <w:r w:rsidR="002855A1" w:rsidRPr="00BE264C">
        <w:rPr>
          <w:rFonts w:ascii="Times New Roman" w:eastAsia="Times New Roman" w:hAnsi="Times New Roman" w:cs="Times New Roman"/>
          <w:bCs/>
          <w:sz w:val="24"/>
          <w:szCs w:val="24"/>
          <w:lang w:eastAsia="pl-PL"/>
        </w:rPr>
        <w:t xml:space="preserve">zezwalającej na </w:t>
      </w:r>
      <w:r w:rsidRPr="00BE264C">
        <w:rPr>
          <w:rFonts w:ascii="Times New Roman" w:eastAsia="Times New Roman" w:hAnsi="Times New Roman" w:cs="Times New Roman"/>
          <w:bCs/>
          <w:sz w:val="24"/>
          <w:szCs w:val="24"/>
          <w:lang w:eastAsia="pl-PL"/>
        </w:rPr>
        <w:t xml:space="preserve">planowane </w:t>
      </w:r>
      <w:r w:rsidR="00AD0CA8" w:rsidRPr="00BE264C">
        <w:rPr>
          <w:rFonts w:ascii="Times New Roman" w:eastAsia="Times New Roman" w:hAnsi="Times New Roman" w:cs="Times New Roman"/>
          <w:bCs/>
          <w:sz w:val="24"/>
          <w:szCs w:val="24"/>
          <w:lang w:eastAsia="pl-PL"/>
        </w:rPr>
        <w:t>połączen</w:t>
      </w:r>
      <w:r w:rsidR="00AD0CA8">
        <w:rPr>
          <w:rFonts w:ascii="Times New Roman" w:eastAsia="Times New Roman" w:hAnsi="Times New Roman" w:cs="Times New Roman"/>
          <w:bCs/>
          <w:sz w:val="24"/>
          <w:szCs w:val="24"/>
          <w:lang w:eastAsia="pl-PL"/>
        </w:rPr>
        <w:t>ie</w:t>
      </w:r>
      <w:r w:rsidRPr="00BE264C">
        <w:rPr>
          <w:rFonts w:ascii="Times New Roman" w:eastAsia="Times New Roman" w:hAnsi="Times New Roman" w:cs="Times New Roman"/>
          <w:bCs/>
          <w:sz w:val="24"/>
          <w:szCs w:val="24"/>
          <w:lang w:eastAsia="pl-PL"/>
        </w:rPr>
        <w:t xml:space="preserve">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podział.</w:t>
      </w:r>
    </w:p>
    <w:p w14:paraId="68E432E8" w14:textId="1EAC3CB9"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Podmioty uczestniczące w połączeniu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podziale przekazują decyzję KNF wraz z uzasadnieniem i planem połączenia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podziału, o którym mowa w art. 498 i art. 533 § 1 ustawy z dnia 15 września 2000 r. </w:t>
      </w:r>
      <w:r w:rsidR="00EB0800">
        <w:rPr>
          <w:rFonts w:ascii="Times New Roman" w:eastAsia="Times New Roman" w:hAnsi="Times New Roman" w:cs="Times New Roman"/>
          <w:bCs/>
          <w:sz w:val="24"/>
          <w:szCs w:val="24"/>
          <w:lang w:eastAsia="pl-PL"/>
        </w:rPr>
        <w:t>–</w:t>
      </w:r>
      <w:r w:rsidRPr="00BE264C">
        <w:rPr>
          <w:rFonts w:ascii="Times New Roman" w:eastAsia="Times New Roman" w:hAnsi="Times New Roman" w:cs="Times New Roman"/>
          <w:bCs/>
          <w:sz w:val="24"/>
          <w:szCs w:val="24"/>
          <w:lang w:eastAsia="pl-PL"/>
        </w:rPr>
        <w:t xml:space="preserve"> Kodeks spółek handlowych (Dz. U. z 2024 r. poz. 18, z późn. zm.), właściwemu sądowi rejestrowemu.</w:t>
      </w:r>
    </w:p>
    <w:p w14:paraId="213EA50E" w14:textId="4F357D97" w:rsidR="00CF3A09" w:rsidRPr="00BE264C" w:rsidRDefault="00CF3A0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KNF może, w określonych sytuacjach, zgłosić sprzeciw co do połączenia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 xml:space="preserve">podziału, a także, w przypadku przeprowadzenia transakcji z naruszeniem przepisów ustawy, nałożyć sankcje na podmiot dokonujący połączenia </w:t>
      </w:r>
      <w:r w:rsidR="002855A1" w:rsidRPr="00BE264C">
        <w:rPr>
          <w:rFonts w:ascii="Times New Roman" w:eastAsia="Times New Roman" w:hAnsi="Times New Roman" w:cs="Times New Roman"/>
          <w:bCs/>
          <w:sz w:val="24"/>
          <w:szCs w:val="24"/>
          <w:lang w:eastAsia="pl-PL"/>
        </w:rPr>
        <w:t xml:space="preserve">albo </w:t>
      </w:r>
      <w:r w:rsidRPr="00BE264C">
        <w:rPr>
          <w:rFonts w:ascii="Times New Roman" w:eastAsia="Times New Roman" w:hAnsi="Times New Roman" w:cs="Times New Roman"/>
          <w:bCs/>
          <w:sz w:val="24"/>
          <w:szCs w:val="24"/>
          <w:lang w:eastAsia="pl-PL"/>
        </w:rPr>
        <w:t>podziału.</w:t>
      </w:r>
    </w:p>
    <w:p w14:paraId="314E9874" w14:textId="07110CA2" w:rsidR="00390C01" w:rsidRPr="00BE264C" w:rsidRDefault="002855A1"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Projektowanych p</w:t>
      </w:r>
      <w:r w:rsidR="00390C01" w:rsidRPr="00BE264C">
        <w:rPr>
          <w:rFonts w:ascii="Times New Roman" w:eastAsia="Times New Roman" w:hAnsi="Times New Roman" w:cs="Times New Roman"/>
          <w:bCs/>
          <w:sz w:val="24"/>
          <w:szCs w:val="24"/>
          <w:lang w:eastAsia="pl-PL"/>
        </w:rPr>
        <w:t>rzepisów art. 124e–124j nie stosuje się w przymusowej restrukturyzacji, o której mowa w ustawie z dnia 10 czerwca 2016 r. o Bankowym Funduszu Gwarancyjnym, systemie gwarantowania depozytów oraz przymusowej restrukturyzacji.</w:t>
      </w:r>
    </w:p>
    <w:p w14:paraId="3FFE3311" w14:textId="73C8FCB8" w:rsidR="0034128E" w:rsidRPr="00BE264C" w:rsidRDefault="0034128E"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Pr="00BE264C">
        <w:rPr>
          <w:rFonts w:ascii="Times New Roman" w:eastAsia="Times New Roman" w:hAnsi="Times New Roman" w:cs="Times New Roman"/>
          <w:b/>
          <w:sz w:val="24"/>
          <w:szCs w:val="24"/>
          <w:lang w:eastAsia="pl-PL"/>
        </w:rPr>
        <w:t>a</w:t>
      </w:r>
      <w:r w:rsidR="003428AA" w:rsidRPr="00BE264C">
        <w:rPr>
          <w:rFonts w:ascii="Times New Roman" w:eastAsia="Times New Roman" w:hAnsi="Times New Roman" w:cs="Times New Roman"/>
          <w:b/>
          <w:sz w:val="24"/>
          <w:szCs w:val="24"/>
          <w:lang w:eastAsia="pl-PL"/>
        </w:rPr>
        <w:t xml:space="preserve">rt. 1 pkt </w:t>
      </w:r>
      <w:r w:rsidR="004F6941" w:rsidRPr="00BE264C">
        <w:rPr>
          <w:rFonts w:ascii="Times New Roman" w:eastAsia="Times New Roman" w:hAnsi="Times New Roman" w:cs="Times New Roman"/>
          <w:b/>
          <w:sz w:val="24"/>
          <w:szCs w:val="24"/>
          <w:lang w:eastAsia="pl-PL"/>
        </w:rPr>
        <w:t>4</w:t>
      </w:r>
      <w:r w:rsidR="00D462A6" w:rsidRPr="00BE264C">
        <w:rPr>
          <w:rFonts w:ascii="Times New Roman" w:eastAsia="Times New Roman" w:hAnsi="Times New Roman" w:cs="Times New Roman"/>
          <w:b/>
          <w:sz w:val="24"/>
          <w:szCs w:val="24"/>
          <w:lang w:eastAsia="pl-PL"/>
        </w:rPr>
        <w:t>2</w:t>
      </w:r>
      <w:r w:rsidR="00C22E5F"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wprowadzono następujące zmiany:</w:t>
      </w:r>
    </w:p>
    <w:p w14:paraId="42469394" w14:textId="50A23E9A" w:rsidR="0034128E" w:rsidRPr="00BE264C" w:rsidRDefault="0034128E" w:rsidP="009858C9">
      <w:pPr>
        <w:pStyle w:val="Akapitzlist"/>
        <w:numPr>
          <w:ilvl w:val="0"/>
          <w:numId w:val="14"/>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0059101F" w:rsidRPr="00BE264C">
        <w:rPr>
          <w:rFonts w:ascii="Times New Roman" w:eastAsia="Times New Roman" w:hAnsi="Times New Roman" w:cs="Times New Roman"/>
          <w:bCs/>
          <w:sz w:val="24"/>
          <w:szCs w:val="24"/>
          <w:lang w:eastAsia="pl-PL"/>
        </w:rPr>
        <w:t>lit.</w:t>
      </w:r>
      <w:r w:rsidRPr="00BE264C">
        <w:rPr>
          <w:rFonts w:ascii="Times New Roman" w:eastAsia="Times New Roman" w:hAnsi="Times New Roman" w:cs="Times New Roman"/>
          <w:bCs/>
          <w:sz w:val="24"/>
          <w:szCs w:val="24"/>
          <w:lang w:eastAsia="pl-PL"/>
        </w:rPr>
        <w:t xml:space="preserve"> </w:t>
      </w:r>
      <w:r w:rsidR="004F6941" w:rsidRPr="00BE264C">
        <w:rPr>
          <w:rFonts w:ascii="Times New Roman" w:eastAsia="Times New Roman" w:hAnsi="Times New Roman" w:cs="Times New Roman"/>
          <w:bCs/>
          <w:sz w:val="24"/>
          <w:szCs w:val="24"/>
          <w:lang w:eastAsia="pl-PL"/>
        </w:rPr>
        <w:t xml:space="preserve">a doprecyzowano zmieniany przepis poprzez wskazanie, że bank, który uzyskał zezwolenie na stosowanie metody wewnętrznej do obliczania kwot ekspozycji ważonych ryzykiem lub wymogów w zakresie funduszy własnych, przekazuje KNF i </w:t>
      </w:r>
      <w:r w:rsidR="004F6941" w:rsidRPr="00BE264C">
        <w:rPr>
          <w:rFonts w:ascii="Times New Roman" w:eastAsia="Times New Roman" w:hAnsi="Times New Roman" w:cs="Times New Roman"/>
          <w:bCs/>
          <w:sz w:val="24"/>
          <w:szCs w:val="24"/>
          <w:lang w:eastAsia="pl-PL"/>
        </w:rPr>
        <w:lastRenderedPageBreak/>
        <w:t xml:space="preserve">Europejskiemu Urzędowi Nadzoru Bankowego, co najmniej raz w roku, wyniki obliczeń, które dotyczą ich ekspozycji lub pozycji objętych portfelami odniesienia; </w:t>
      </w:r>
    </w:p>
    <w:p w14:paraId="213D34C3" w14:textId="5505FA96" w:rsidR="0034128E" w:rsidRPr="00BE264C" w:rsidRDefault="0034128E" w:rsidP="009858C9">
      <w:pPr>
        <w:pStyle w:val="Akapitzlist"/>
        <w:numPr>
          <w:ilvl w:val="0"/>
          <w:numId w:val="14"/>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0059101F" w:rsidRPr="00BE264C">
        <w:rPr>
          <w:rFonts w:ascii="Times New Roman" w:eastAsia="Times New Roman" w:hAnsi="Times New Roman" w:cs="Times New Roman"/>
          <w:bCs/>
          <w:sz w:val="24"/>
          <w:szCs w:val="24"/>
          <w:lang w:eastAsia="pl-PL"/>
        </w:rPr>
        <w:t>lit.</w:t>
      </w:r>
      <w:r w:rsidRPr="00BE264C">
        <w:rPr>
          <w:rFonts w:ascii="Times New Roman" w:eastAsia="Times New Roman" w:hAnsi="Times New Roman" w:cs="Times New Roman"/>
          <w:bCs/>
          <w:sz w:val="24"/>
          <w:szCs w:val="24"/>
          <w:lang w:eastAsia="pl-PL"/>
        </w:rPr>
        <w:t xml:space="preserve"> </w:t>
      </w:r>
      <w:r w:rsidR="004F6941" w:rsidRPr="00BE264C">
        <w:rPr>
          <w:rFonts w:ascii="Times New Roman" w:eastAsia="Times New Roman" w:hAnsi="Times New Roman" w:cs="Times New Roman"/>
          <w:bCs/>
          <w:sz w:val="24"/>
          <w:szCs w:val="24"/>
          <w:lang w:eastAsia="pl-PL"/>
        </w:rPr>
        <w:t>b</w:t>
      </w:r>
      <w:r w:rsidRPr="00BE264C">
        <w:rPr>
          <w:rFonts w:ascii="Times New Roman" w:eastAsia="Times New Roman" w:hAnsi="Times New Roman" w:cs="Times New Roman"/>
          <w:bCs/>
          <w:sz w:val="24"/>
          <w:szCs w:val="24"/>
          <w:lang w:eastAsia="pl-PL"/>
        </w:rPr>
        <w:t xml:space="preserve"> </w:t>
      </w:r>
      <w:r w:rsidR="00210F64" w:rsidRPr="00BE264C">
        <w:rPr>
          <w:rFonts w:ascii="Times New Roman" w:eastAsia="Times New Roman" w:hAnsi="Times New Roman" w:cs="Times New Roman"/>
          <w:bCs/>
          <w:sz w:val="24"/>
          <w:szCs w:val="24"/>
          <w:lang w:eastAsia="pl-PL"/>
        </w:rPr>
        <w:t xml:space="preserve">dodane zostały nowe przepisy, regulujące zasady przekazywania KNF przez banki wyników obliczeń, o których mowa w rozporządzeniu wykonawczym Komisji (UE) 2016/2070 z dnia 14 września 2016 r. ustanawiającym wykonawcze standardy techniczne dotyczące wzorów, definicji i rozwiązań informatycznych stosowanych przez instytucje przy dokonywaniu zgłoszeń do Europejskiego Urzędu Nadzoru Bankowego i właściwych organów zgodnie z art. 78 ust. 2 </w:t>
      </w:r>
      <w:r w:rsidR="00932814" w:rsidRPr="00BE264C">
        <w:rPr>
          <w:rFonts w:ascii="Times New Roman" w:eastAsia="Times New Roman" w:hAnsi="Times New Roman" w:cs="Times New Roman"/>
          <w:bCs/>
          <w:sz w:val="24"/>
          <w:szCs w:val="24"/>
          <w:lang w:eastAsia="pl-PL"/>
        </w:rPr>
        <w:t>d</w:t>
      </w:r>
      <w:r w:rsidR="00210F64" w:rsidRPr="00BE264C">
        <w:rPr>
          <w:rFonts w:ascii="Times New Roman" w:eastAsia="Times New Roman" w:hAnsi="Times New Roman" w:cs="Times New Roman"/>
          <w:bCs/>
          <w:sz w:val="24"/>
          <w:szCs w:val="24"/>
          <w:lang w:eastAsia="pl-PL"/>
        </w:rPr>
        <w:t>yrektywy</w:t>
      </w:r>
      <w:r w:rsidR="0042276B" w:rsidRPr="00BE264C">
        <w:rPr>
          <w:rFonts w:ascii="Times New Roman" w:eastAsia="Times New Roman" w:hAnsi="Times New Roman" w:cs="Times New Roman"/>
          <w:bCs/>
          <w:sz w:val="24"/>
          <w:szCs w:val="24"/>
          <w:lang w:eastAsia="pl-PL"/>
        </w:rPr>
        <w:t xml:space="preserve"> CRD</w:t>
      </w:r>
      <w:r w:rsidR="00210F64" w:rsidRPr="00BE264C">
        <w:rPr>
          <w:rFonts w:ascii="Times New Roman" w:eastAsia="Times New Roman" w:hAnsi="Times New Roman" w:cs="Times New Roman"/>
          <w:bCs/>
          <w:sz w:val="24"/>
          <w:szCs w:val="24"/>
          <w:lang w:eastAsia="pl-PL"/>
        </w:rPr>
        <w:t>;</w:t>
      </w:r>
    </w:p>
    <w:p w14:paraId="227AF87C" w14:textId="332EC58C" w:rsidR="00210F64" w:rsidRPr="00BE264C" w:rsidRDefault="00D462A6" w:rsidP="009858C9">
      <w:pPr>
        <w:pStyle w:val="Akapitzlist"/>
        <w:numPr>
          <w:ilvl w:val="0"/>
          <w:numId w:val="14"/>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0059101F" w:rsidRPr="00BE264C">
        <w:rPr>
          <w:rFonts w:ascii="Times New Roman" w:eastAsia="Times New Roman" w:hAnsi="Times New Roman" w:cs="Times New Roman"/>
          <w:bCs/>
          <w:sz w:val="24"/>
          <w:szCs w:val="24"/>
          <w:lang w:eastAsia="pl-PL"/>
        </w:rPr>
        <w:t>lit.</w:t>
      </w:r>
      <w:r w:rsidR="00210F64" w:rsidRPr="00BE264C">
        <w:rPr>
          <w:rFonts w:ascii="Times New Roman" w:eastAsia="Times New Roman" w:hAnsi="Times New Roman" w:cs="Times New Roman"/>
          <w:bCs/>
          <w:sz w:val="24"/>
          <w:szCs w:val="24"/>
          <w:lang w:eastAsia="pl-PL"/>
        </w:rPr>
        <w:t xml:space="preserve"> </w:t>
      </w:r>
      <w:r w:rsidR="004F6941" w:rsidRPr="00BE264C">
        <w:rPr>
          <w:rFonts w:ascii="Times New Roman" w:eastAsia="Times New Roman" w:hAnsi="Times New Roman" w:cs="Times New Roman"/>
          <w:bCs/>
          <w:sz w:val="24"/>
          <w:szCs w:val="24"/>
          <w:lang w:eastAsia="pl-PL"/>
        </w:rPr>
        <w:t>c</w:t>
      </w:r>
      <w:r w:rsidRPr="00BE264C">
        <w:rPr>
          <w:rFonts w:ascii="Times New Roman" w:eastAsia="Times New Roman" w:hAnsi="Times New Roman" w:cs="Times New Roman"/>
          <w:bCs/>
          <w:sz w:val="24"/>
          <w:szCs w:val="24"/>
          <w:lang w:eastAsia="pl-PL"/>
        </w:rPr>
        <w:t xml:space="preserve"> nadano nowe brzmienie zmienian</w:t>
      </w:r>
      <w:r w:rsidR="00362022" w:rsidRPr="00BE264C">
        <w:rPr>
          <w:rFonts w:ascii="Times New Roman" w:eastAsia="Times New Roman" w:hAnsi="Times New Roman" w:cs="Times New Roman"/>
          <w:bCs/>
          <w:sz w:val="24"/>
          <w:szCs w:val="24"/>
          <w:lang w:eastAsia="pl-PL"/>
        </w:rPr>
        <w:t>ym</w:t>
      </w:r>
      <w:r w:rsidRPr="00BE264C">
        <w:rPr>
          <w:rFonts w:ascii="Times New Roman" w:eastAsia="Times New Roman" w:hAnsi="Times New Roman" w:cs="Times New Roman"/>
          <w:bCs/>
          <w:sz w:val="24"/>
          <w:szCs w:val="24"/>
          <w:lang w:eastAsia="pl-PL"/>
        </w:rPr>
        <w:t xml:space="preserve"> przepiso</w:t>
      </w:r>
      <w:r w:rsidR="00362022" w:rsidRPr="00BE264C">
        <w:rPr>
          <w:rFonts w:ascii="Times New Roman" w:eastAsia="Times New Roman" w:hAnsi="Times New Roman" w:cs="Times New Roman"/>
          <w:bCs/>
          <w:sz w:val="24"/>
          <w:szCs w:val="24"/>
          <w:lang w:eastAsia="pl-PL"/>
        </w:rPr>
        <w:t>m</w:t>
      </w:r>
      <w:r w:rsidRPr="00BE264C">
        <w:rPr>
          <w:rFonts w:ascii="Times New Roman" w:eastAsia="Times New Roman" w:hAnsi="Times New Roman" w:cs="Times New Roman"/>
          <w:bCs/>
          <w:sz w:val="24"/>
          <w:szCs w:val="24"/>
          <w:lang w:eastAsia="pl-PL"/>
        </w:rPr>
        <w:t xml:space="preserve"> w związku z wprowadzonym </w:t>
      </w:r>
      <w:r w:rsidR="00362022" w:rsidRPr="00BE264C">
        <w:rPr>
          <w:rFonts w:ascii="Times New Roman" w:eastAsia="Times New Roman" w:hAnsi="Times New Roman" w:cs="Times New Roman"/>
          <w:bCs/>
          <w:sz w:val="24"/>
          <w:szCs w:val="24"/>
          <w:lang w:eastAsia="pl-PL"/>
        </w:rPr>
        <w:t xml:space="preserve">w ustawie – Prawo bankowe </w:t>
      </w:r>
      <w:r w:rsidRPr="00BE264C">
        <w:rPr>
          <w:rFonts w:ascii="Times New Roman" w:eastAsia="Times New Roman" w:hAnsi="Times New Roman" w:cs="Times New Roman"/>
          <w:bCs/>
          <w:sz w:val="24"/>
          <w:szCs w:val="24"/>
          <w:lang w:eastAsia="pl-PL"/>
        </w:rPr>
        <w:t>skrótem rozporządzenia UE 1093/2010</w:t>
      </w:r>
      <w:r w:rsidR="00362022" w:rsidRPr="00BE264C">
        <w:rPr>
          <w:rFonts w:ascii="Times New Roman" w:eastAsia="Times New Roman" w:hAnsi="Times New Roman" w:cs="Times New Roman"/>
          <w:bCs/>
          <w:sz w:val="24"/>
          <w:szCs w:val="24"/>
          <w:lang w:eastAsia="pl-PL"/>
        </w:rPr>
        <w:t xml:space="preserve"> oraz w związku </w:t>
      </w:r>
      <w:r w:rsidR="00DC5844" w:rsidRPr="00BE264C">
        <w:rPr>
          <w:rFonts w:ascii="Times New Roman" w:eastAsia="Times New Roman" w:hAnsi="Times New Roman" w:cs="Times New Roman"/>
          <w:bCs/>
          <w:sz w:val="24"/>
          <w:szCs w:val="24"/>
          <w:lang w:eastAsia="pl-PL"/>
        </w:rPr>
        <w:t>z</w:t>
      </w:r>
      <w:r w:rsidR="00744D4E" w:rsidRPr="00BE264C">
        <w:rPr>
          <w:rFonts w:ascii="Times New Roman" w:eastAsia="Times New Roman" w:hAnsi="Times New Roman" w:cs="Times New Roman"/>
          <w:bCs/>
          <w:sz w:val="24"/>
          <w:szCs w:val="24"/>
          <w:lang w:eastAsia="pl-PL"/>
        </w:rPr>
        <w:t xml:space="preserve"> now</w:t>
      </w:r>
      <w:r w:rsidR="00362022" w:rsidRPr="00BE264C">
        <w:rPr>
          <w:rFonts w:ascii="Times New Roman" w:eastAsia="Times New Roman" w:hAnsi="Times New Roman" w:cs="Times New Roman"/>
          <w:bCs/>
          <w:sz w:val="24"/>
          <w:szCs w:val="24"/>
          <w:lang w:eastAsia="pl-PL"/>
        </w:rPr>
        <w:t>ym</w:t>
      </w:r>
      <w:r w:rsidR="00744D4E" w:rsidRPr="00BE264C">
        <w:rPr>
          <w:rFonts w:ascii="Times New Roman" w:eastAsia="Times New Roman" w:hAnsi="Times New Roman" w:cs="Times New Roman"/>
          <w:bCs/>
          <w:sz w:val="24"/>
          <w:szCs w:val="24"/>
          <w:lang w:eastAsia="pl-PL"/>
        </w:rPr>
        <w:t xml:space="preserve"> </w:t>
      </w:r>
      <w:r w:rsidR="00DC5844" w:rsidRPr="00BE264C">
        <w:rPr>
          <w:rFonts w:ascii="Times New Roman" w:eastAsia="Times New Roman" w:hAnsi="Times New Roman" w:cs="Times New Roman"/>
          <w:bCs/>
          <w:sz w:val="24"/>
          <w:szCs w:val="24"/>
          <w:lang w:eastAsia="pl-PL"/>
        </w:rPr>
        <w:t>brzmieni</w:t>
      </w:r>
      <w:r w:rsidR="00362022" w:rsidRPr="00BE264C">
        <w:rPr>
          <w:rFonts w:ascii="Times New Roman" w:eastAsia="Times New Roman" w:hAnsi="Times New Roman" w:cs="Times New Roman"/>
          <w:bCs/>
          <w:sz w:val="24"/>
          <w:szCs w:val="24"/>
          <w:lang w:eastAsia="pl-PL"/>
        </w:rPr>
        <w:t>em</w:t>
      </w:r>
      <w:r w:rsidR="00DC5844" w:rsidRPr="00BE264C">
        <w:rPr>
          <w:rFonts w:ascii="Times New Roman" w:eastAsia="Times New Roman" w:hAnsi="Times New Roman" w:cs="Times New Roman"/>
          <w:bCs/>
          <w:sz w:val="24"/>
          <w:szCs w:val="24"/>
          <w:lang w:eastAsia="pl-PL"/>
        </w:rPr>
        <w:t xml:space="preserve"> przepisu </w:t>
      </w:r>
      <w:r w:rsidR="00744D4E" w:rsidRPr="00BE264C">
        <w:rPr>
          <w:rFonts w:ascii="Times New Roman" w:eastAsia="Times New Roman" w:hAnsi="Times New Roman" w:cs="Times New Roman"/>
          <w:bCs/>
          <w:sz w:val="24"/>
          <w:szCs w:val="24"/>
          <w:lang w:eastAsia="pl-PL"/>
        </w:rPr>
        <w:t xml:space="preserve">implementowanej </w:t>
      </w:r>
      <w:r w:rsidR="00932814" w:rsidRPr="00BE264C">
        <w:rPr>
          <w:rFonts w:ascii="Times New Roman" w:eastAsia="Times New Roman" w:hAnsi="Times New Roman" w:cs="Times New Roman"/>
          <w:bCs/>
          <w:sz w:val="24"/>
          <w:szCs w:val="24"/>
          <w:lang w:eastAsia="pl-PL"/>
        </w:rPr>
        <w:t>d</w:t>
      </w:r>
      <w:r w:rsidR="00DC5844" w:rsidRPr="00BE264C">
        <w:rPr>
          <w:rFonts w:ascii="Times New Roman" w:eastAsia="Times New Roman" w:hAnsi="Times New Roman" w:cs="Times New Roman"/>
          <w:bCs/>
          <w:sz w:val="24"/>
          <w:szCs w:val="24"/>
          <w:lang w:eastAsia="pl-PL"/>
        </w:rPr>
        <w:t>yrektyw</w:t>
      </w:r>
      <w:r w:rsidR="00744D4E" w:rsidRPr="00BE264C">
        <w:rPr>
          <w:rFonts w:ascii="Times New Roman" w:eastAsia="Times New Roman" w:hAnsi="Times New Roman" w:cs="Times New Roman"/>
          <w:bCs/>
          <w:sz w:val="24"/>
          <w:szCs w:val="24"/>
          <w:lang w:eastAsia="pl-PL"/>
        </w:rPr>
        <w:t>y</w:t>
      </w:r>
      <w:r w:rsidR="00DC5844" w:rsidRPr="00BE264C">
        <w:rPr>
          <w:rFonts w:ascii="Times New Roman" w:eastAsia="Times New Roman" w:hAnsi="Times New Roman" w:cs="Times New Roman"/>
          <w:bCs/>
          <w:sz w:val="24"/>
          <w:szCs w:val="24"/>
          <w:lang w:eastAsia="pl-PL"/>
        </w:rPr>
        <w:t xml:space="preserve">; </w:t>
      </w:r>
    </w:p>
    <w:p w14:paraId="57332D24" w14:textId="1B117E72" w:rsidR="00362022" w:rsidRPr="00BE264C" w:rsidRDefault="00362022" w:rsidP="009858C9">
      <w:pPr>
        <w:pStyle w:val="Akapitzlist"/>
        <w:numPr>
          <w:ilvl w:val="0"/>
          <w:numId w:val="14"/>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lit. d doprecyzowano przepis dotyczący dokonywania przez KNF oceny jakości metod wewnętrznych stosowanych przez bank</w:t>
      </w:r>
      <w:r w:rsidR="00F2284C" w:rsidRPr="00BE264C">
        <w:rPr>
          <w:rFonts w:ascii="Times New Roman" w:eastAsia="Times New Roman" w:hAnsi="Times New Roman" w:cs="Times New Roman"/>
          <w:bCs/>
          <w:sz w:val="24"/>
          <w:szCs w:val="24"/>
          <w:lang w:eastAsia="pl-PL"/>
        </w:rPr>
        <w:t>;</w:t>
      </w:r>
    </w:p>
    <w:p w14:paraId="560F9739" w14:textId="245D6C38" w:rsidR="00DC5844" w:rsidRPr="00BE264C" w:rsidRDefault="007E2A32" w:rsidP="009858C9">
      <w:pPr>
        <w:pStyle w:val="Akapitzlist"/>
        <w:numPr>
          <w:ilvl w:val="0"/>
          <w:numId w:val="14"/>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0059101F" w:rsidRPr="00BE264C">
        <w:rPr>
          <w:rFonts w:ascii="Times New Roman" w:eastAsia="Times New Roman" w:hAnsi="Times New Roman" w:cs="Times New Roman"/>
          <w:bCs/>
          <w:sz w:val="24"/>
          <w:szCs w:val="24"/>
          <w:lang w:eastAsia="pl-PL"/>
        </w:rPr>
        <w:t>lit.</w:t>
      </w:r>
      <w:r w:rsidR="00DC5844" w:rsidRPr="00BE264C">
        <w:rPr>
          <w:rFonts w:ascii="Times New Roman" w:eastAsia="Times New Roman" w:hAnsi="Times New Roman" w:cs="Times New Roman"/>
          <w:bCs/>
          <w:sz w:val="24"/>
          <w:szCs w:val="24"/>
          <w:lang w:eastAsia="pl-PL"/>
        </w:rPr>
        <w:t xml:space="preserve"> </w:t>
      </w:r>
      <w:r w:rsidR="00362022" w:rsidRPr="00BE264C">
        <w:rPr>
          <w:rFonts w:ascii="Times New Roman" w:eastAsia="Times New Roman" w:hAnsi="Times New Roman" w:cs="Times New Roman"/>
          <w:bCs/>
          <w:sz w:val="24"/>
          <w:szCs w:val="24"/>
          <w:lang w:eastAsia="pl-PL"/>
        </w:rPr>
        <w:t>e</w:t>
      </w:r>
      <w:r w:rsidR="00DC5844"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wprowadzono uzupełnienie zakresu wyników oceny jakości metod wewnętrznych stosowanych przez bank, o sytuację, gdy metody wewnętrzne stosowane przez bank wykazują niewiele cech wspólnych z metodami wewnętrznymi stosowanymi przez grupę banków charakteryzujących się podobnym profilem ryzyka portfela w zakresie ryzyka kredytowego lub grupę banków charakteryzujących się podobnym poziomem ryzyka bazowego portfela w</w:t>
      </w:r>
      <w:r w:rsidR="001F09C1" w:rsidRPr="00BE264C">
        <w:rPr>
          <w:rFonts w:ascii="Times New Roman" w:eastAsia="Times New Roman" w:hAnsi="Times New Roman" w:cs="Times New Roman"/>
          <w:bCs/>
          <w:sz w:val="24"/>
          <w:szCs w:val="24"/>
          <w:lang w:eastAsia="pl-PL"/>
        </w:rPr>
        <w:t> </w:t>
      </w:r>
      <w:r w:rsidRPr="00BE264C">
        <w:rPr>
          <w:rFonts w:ascii="Times New Roman" w:eastAsia="Times New Roman" w:hAnsi="Times New Roman" w:cs="Times New Roman"/>
          <w:bCs/>
          <w:sz w:val="24"/>
          <w:szCs w:val="24"/>
          <w:lang w:eastAsia="pl-PL"/>
        </w:rPr>
        <w:t>zakresie ryzyka rynkowego</w:t>
      </w:r>
      <w:r w:rsidR="00AE7FC5" w:rsidRPr="00BE264C">
        <w:rPr>
          <w:rFonts w:ascii="Times New Roman" w:eastAsia="Times New Roman" w:hAnsi="Times New Roman" w:cs="Times New Roman"/>
          <w:bCs/>
          <w:sz w:val="24"/>
          <w:szCs w:val="24"/>
          <w:lang w:eastAsia="pl-PL"/>
        </w:rPr>
        <w:t>;</w:t>
      </w:r>
    </w:p>
    <w:p w14:paraId="262E59D9" w14:textId="7B487907" w:rsidR="001D589D" w:rsidRPr="009858C9" w:rsidRDefault="001D589D" w:rsidP="009858C9">
      <w:pPr>
        <w:pStyle w:val="Akapitzlist"/>
        <w:numPr>
          <w:ilvl w:val="0"/>
          <w:numId w:val="14"/>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0059101F" w:rsidRPr="00BE264C">
        <w:rPr>
          <w:rFonts w:ascii="Times New Roman" w:eastAsia="Times New Roman" w:hAnsi="Times New Roman" w:cs="Times New Roman"/>
          <w:bCs/>
          <w:sz w:val="24"/>
          <w:szCs w:val="24"/>
          <w:lang w:eastAsia="pl-PL"/>
        </w:rPr>
        <w:t>lit.</w:t>
      </w:r>
      <w:r w:rsidRPr="00BE264C">
        <w:rPr>
          <w:rFonts w:ascii="Times New Roman" w:eastAsia="Times New Roman" w:hAnsi="Times New Roman" w:cs="Times New Roman"/>
          <w:bCs/>
          <w:sz w:val="24"/>
          <w:szCs w:val="24"/>
          <w:lang w:eastAsia="pl-PL"/>
        </w:rPr>
        <w:t xml:space="preserve"> </w:t>
      </w:r>
      <w:r w:rsidR="006362E0" w:rsidRPr="00BE264C">
        <w:rPr>
          <w:rFonts w:ascii="Times New Roman" w:eastAsia="Times New Roman" w:hAnsi="Times New Roman" w:cs="Times New Roman"/>
          <w:bCs/>
          <w:sz w:val="24"/>
          <w:szCs w:val="24"/>
          <w:lang w:eastAsia="pl-PL"/>
        </w:rPr>
        <w:t>f</w:t>
      </w:r>
      <w:r w:rsidR="00724B7A">
        <w:rPr>
          <w:rFonts w:ascii="Times New Roman" w:eastAsia="Times New Roman" w:hAnsi="Times New Roman" w:cs="Times New Roman"/>
          <w:bCs/>
          <w:sz w:val="24"/>
          <w:szCs w:val="24"/>
          <w:lang w:eastAsia="pl-PL"/>
        </w:rPr>
        <w:t>–</w:t>
      </w:r>
      <w:r w:rsidR="00362022" w:rsidRPr="009858C9">
        <w:rPr>
          <w:rFonts w:ascii="Times New Roman" w:eastAsia="Times New Roman" w:hAnsi="Times New Roman" w:cs="Times New Roman"/>
          <w:bCs/>
          <w:sz w:val="24"/>
          <w:szCs w:val="24"/>
          <w:lang w:eastAsia="pl-PL"/>
        </w:rPr>
        <w:t>g</w:t>
      </w:r>
      <w:r w:rsidRPr="009858C9">
        <w:rPr>
          <w:rFonts w:ascii="Times New Roman" w:eastAsia="Times New Roman" w:hAnsi="Times New Roman" w:cs="Times New Roman"/>
          <w:bCs/>
          <w:sz w:val="24"/>
          <w:szCs w:val="24"/>
          <w:lang w:eastAsia="pl-PL"/>
        </w:rPr>
        <w:t xml:space="preserve"> projektowane zmiany maj</w:t>
      </w:r>
      <w:r w:rsidR="00FC0219" w:rsidRPr="009858C9">
        <w:rPr>
          <w:rFonts w:ascii="Times New Roman" w:eastAsia="Times New Roman" w:hAnsi="Times New Roman" w:cs="Times New Roman"/>
          <w:bCs/>
          <w:sz w:val="24"/>
          <w:szCs w:val="24"/>
          <w:lang w:eastAsia="pl-PL"/>
        </w:rPr>
        <w:t>ą</w:t>
      </w:r>
      <w:r w:rsidRPr="009858C9">
        <w:rPr>
          <w:rFonts w:ascii="Times New Roman" w:eastAsia="Times New Roman" w:hAnsi="Times New Roman" w:cs="Times New Roman"/>
          <w:bCs/>
          <w:sz w:val="24"/>
          <w:szCs w:val="24"/>
          <w:lang w:eastAsia="pl-PL"/>
        </w:rPr>
        <w:t xml:space="preserve"> charakter dostosowujący i wynikają</w:t>
      </w:r>
      <w:r w:rsidRPr="009858C9">
        <w:rPr>
          <w:rFonts w:ascii="Times New Roman" w:eastAsia="Times New Roman" w:hAnsi="Times New Roman" w:cs="Times New Roman"/>
          <w:sz w:val="24"/>
          <w:szCs w:val="24"/>
          <w:lang w:eastAsia="pl-PL"/>
        </w:rPr>
        <w:t xml:space="preserve"> </w:t>
      </w:r>
      <w:r w:rsidRPr="009858C9">
        <w:rPr>
          <w:rFonts w:ascii="Times New Roman" w:eastAsia="Times New Roman" w:hAnsi="Times New Roman" w:cs="Times New Roman"/>
          <w:bCs/>
          <w:sz w:val="24"/>
          <w:szCs w:val="24"/>
          <w:lang w:eastAsia="pl-PL"/>
        </w:rPr>
        <w:t xml:space="preserve">ze zmian wprowadzonych w </w:t>
      </w:r>
      <w:r w:rsidR="00932814" w:rsidRPr="009858C9">
        <w:rPr>
          <w:rFonts w:ascii="Times New Roman" w:eastAsia="Times New Roman" w:hAnsi="Times New Roman" w:cs="Times New Roman"/>
          <w:bCs/>
          <w:sz w:val="24"/>
          <w:szCs w:val="24"/>
          <w:lang w:eastAsia="pl-PL"/>
        </w:rPr>
        <w:t>r</w:t>
      </w:r>
      <w:r w:rsidRPr="009858C9">
        <w:rPr>
          <w:rFonts w:ascii="Times New Roman" w:eastAsia="Times New Roman" w:hAnsi="Times New Roman" w:cs="Times New Roman"/>
          <w:bCs/>
          <w:sz w:val="24"/>
          <w:szCs w:val="24"/>
          <w:lang w:eastAsia="pl-PL"/>
        </w:rPr>
        <w:t>ozporządzeniu CRR III</w:t>
      </w:r>
      <w:r w:rsidR="008011E6" w:rsidRPr="009858C9">
        <w:rPr>
          <w:rFonts w:ascii="Times New Roman" w:eastAsia="Times New Roman" w:hAnsi="Times New Roman" w:cs="Times New Roman"/>
          <w:bCs/>
          <w:sz w:val="24"/>
          <w:szCs w:val="24"/>
          <w:lang w:eastAsia="pl-PL"/>
        </w:rPr>
        <w:t>.</w:t>
      </w:r>
    </w:p>
    <w:p w14:paraId="06B0966E" w14:textId="30B989E8" w:rsidR="00996CA2" w:rsidRPr="00BE264C" w:rsidRDefault="00F7373C"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Zmiana w </w:t>
      </w:r>
      <w:r w:rsidRPr="00BE264C">
        <w:rPr>
          <w:rFonts w:ascii="Times New Roman" w:eastAsia="Times New Roman" w:hAnsi="Times New Roman" w:cs="Times New Roman"/>
          <w:b/>
          <w:sz w:val="24"/>
          <w:szCs w:val="24"/>
          <w:lang w:eastAsia="pl-PL"/>
        </w:rPr>
        <w:t>art. 1 pkt 4</w:t>
      </w:r>
      <w:r w:rsidR="00834EF1" w:rsidRPr="00BE264C">
        <w:rPr>
          <w:rFonts w:ascii="Times New Roman" w:eastAsia="Times New Roman" w:hAnsi="Times New Roman" w:cs="Times New Roman"/>
          <w:b/>
          <w:sz w:val="24"/>
          <w:szCs w:val="24"/>
          <w:lang w:eastAsia="pl-PL"/>
        </w:rPr>
        <w:t>3</w:t>
      </w:r>
      <w:r w:rsidRPr="00BE264C">
        <w:rPr>
          <w:rFonts w:ascii="Times New Roman" w:eastAsia="Times New Roman" w:hAnsi="Times New Roman" w:cs="Times New Roman"/>
          <w:bCs/>
          <w:sz w:val="24"/>
          <w:szCs w:val="24"/>
          <w:lang w:eastAsia="pl-PL"/>
        </w:rPr>
        <w:t xml:space="preserve"> ma charakter redakcyjny, wynikający z nowego brzmienia przepisu rozporządzenia CRR, wprowadzonego przez CRR III.</w:t>
      </w:r>
      <w:r w:rsidR="00996CA2" w:rsidRPr="00BE264C">
        <w:rPr>
          <w:rFonts w:ascii="Times New Roman" w:eastAsia="Times New Roman" w:hAnsi="Times New Roman" w:cs="Times New Roman"/>
          <w:bCs/>
          <w:sz w:val="24"/>
          <w:szCs w:val="24"/>
          <w:lang w:eastAsia="pl-PL"/>
        </w:rPr>
        <w:t xml:space="preserve"> </w:t>
      </w:r>
    </w:p>
    <w:p w14:paraId="271E16DB" w14:textId="58EC51BC" w:rsidR="00996CA2" w:rsidRPr="00BE264C" w:rsidRDefault="00996CA2" w:rsidP="009858C9">
      <w:pPr>
        <w:spacing w:before="120" w:after="0" w:line="360" w:lineRule="auto"/>
        <w:jc w:val="both"/>
        <w:rPr>
          <w:rFonts w:ascii="Times New Roman" w:eastAsia="Times New Roman" w:hAnsi="Times New Roman" w:cs="Times New Roman"/>
          <w:sz w:val="24"/>
          <w:szCs w:val="24"/>
          <w:lang w:eastAsia="pl-PL"/>
        </w:rPr>
      </w:pPr>
      <w:r w:rsidRPr="00BE264C">
        <w:rPr>
          <w:rFonts w:ascii="Times New Roman" w:eastAsia="Times New Roman" w:hAnsi="Times New Roman" w:cs="Times New Roman"/>
          <w:bCs/>
          <w:sz w:val="24"/>
          <w:szCs w:val="24"/>
          <w:lang w:eastAsia="pl-PL"/>
        </w:rPr>
        <w:t>Zmiana wprowadzona w</w:t>
      </w:r>
      <w:r w:rsidR="001E1513" w:rsidRPr="00BE264C">
        <w:rPr>
          <w:rFonts w:ascii="Times New Roman" w:eastAsia="Times New Roman" w:hAnsi="Times New Roman" w:cs="Times New Roman"/>
          <w:bCs/>
          <w:sz w:val="24"/>
          <w:szCs w:val="24"/>
          <w:lang w:eastAsia="pl-PL"/>
        </w:rPr>
        <w:t xml:space="preserve"> </w:t>
      </w:r>
      <w:r w:rsidR="001E1513" w:rsidRPr="00BE264C">
        <w:rPr>
          <w:rFonts w:ascii="Times New Roman" w:eastAsia="Times New Roman" w:hAnsi="Times New Roman" w:cs="Times New Roman"/>
          <w:b/>
          <w:sz w:val="24"/>
          <w:szCs w:val="24"/>
          <w:lang w:eastAsia="pl-PL"/>
        </w:rPr>
        <w:t xml:space="preserve">art. 1 pkt </w:t>
      </w:r>
      <w:r w:rsidR="00F7373C" w:rsidRPr="00BE264C">
        <w:rPr>
          <w:rFonts w:ascii="Times New Roman" w:eastAsia="Times New Roman" w:hAnsi="Times New Roman" w:cs="Times New Roman"/>
          <w:b/>
          <w:sz w:val="24"/>
          <w:szCs w:val="24"/>
          <w:lang w:eastAsia="pl-PL"/>
        </w:rPr>
        <w:t>4</w:t>
      </w:r>
      <w:r w:rsidR="00834EF1" w:rsidRPr="00BE264C">
        <w:rPr>
          <w:rFonts w:ascii="Times New Roman" w:eastAsia="Times New Roman" w:hAnsi="Times New Roman" w:cs="Times New Roman"/>
          <w:b/>
          <w:sz w:val="24"/>
          <w:szCs w:val="24"/>
          <w:lang w:eastAsia="pl-PL"/>
        </w:rPr>
        <w:t>4</w:t>
      </w:r>
      <w:r w:rsidRPr="00BE264C">
        <w:rPr>
          <w:rFonts w:ascii="Times New Roman" w:eastAsia="Times New Roman" w:hAnsi="Times New Roman" w:cs="Times New Roman"/>
          <w:b/>
          <w:sz w:val="24"/>
          <w:szCs w:val="24"/>
          <w:lang w:eastAsia="pl-PL"/>
        </w:rPr>
        <w:t xml:space="preserve"> </w:t>
      </w:r>
      <w:r w:rsidRPr="00BE264C">
        <w:rPr>
          <w:rFonts w:ascii="Times New Roman" w:eastAsia="Times New Roman" w:hAnsi="Times New Roman" w:cs="Times New Roman"/>
          <w:sz w:val="24"/>
          <w:szCs w:val="24"/>
          <w:lang w:eastAsia="pl-PL"/>
        </w:rPr>
        <w:t>ma charakter dostosowujący i wynika z uchylenia w ustawie – Prawo bankowe definicji oddziału banku zagranicznego oraz z wprowadzenia definicji oddziału z państwa trzeciego.</w:t>
      </w:r>
    </w:p>
    <w:p w14:paraId="4C5E3138" w14:textId="4BED4C94" w:rsidR="00834EF1" w:rsidRPr="00BE264C" w:rsidRDefault="00834EF1"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Zmiana wprowadzona w</w:t>
      </w:r>
      <w:r w:rsidR="00996CA2" w:rsidRPr="00BE264C">
        <w:rPr>
          <w:rFonts w:ascii="Times New Roman" w:eastAsia="Times New Roman" w:hAnsi="Times New Roman" w:cs="Times New Roman"/>
          <w:b/>
          <w:sz w:val="24"/>
          <w:szCs w:val="24"/>
          <w:lang w:eastAsia="pl-PL"/>
        </w:rPr>
        <w:t xml:space="preserve"> art. 1 pkt 4</w:t>
      </w:r>
      <w:r w:rsidRPr="00BE264C">
        <w:rPr>
          <w:rFonts w:ascii="Times New Roman" w:eastAsia="Times New Roman" w:hAnsi="Times New Roman" w:cs="Times New Roman"/>
          <w:b/>
          <w:sz w:val="24"/>
          <w:szCs w:val="24"/>
          <w:lang w:eastAsia="pl-PL"/>
        </w:rPr>
        <w:t xml:space="preserve">5 lit. a </w:t>
      </w:r>
      <w:r w:rsidRPr="00BE264C">
        <w:rPr>
          <w:rFonts w:ascii="Times New Roman" w:eastAsia="Times New Roman" w:hAnsi="Times New Roman" w:cs="Times New Roman"/>
          <w:bCs/>
          <w:sz w:val="24"/>
          <w:szCs w:val="24"/>
          <w:lang w:eastAsia="pl-PL"/>
        </w:rPr>
        <w:t>ma charakter dostosowujący i wynika z uchylenia w ustawie – Prawo bankowe definicji oddziału banku zagranicznego oraz z wprowadzenia definicji oddziału z państwa trzeciego.</w:t>
      </w:r>
    </w:p>
    <w:p w14:paraId="3C00D0C5" w14:textId="2921D502" w:rsidR="008145DD" w:rsidRPr="00BE264C" w:rsidRDefault="00834EF1"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Natomiast w</w:t>
      </w:r>
      <w:r w:rsidRPr="00BE264C">
        <w:rPr>
          <w:rFonts w:ascii="Times New Roman" w:eastAsia="Times New Roman" w:hAnsi="Times New Roman" w:cs="Times New Roman"/>
          <w:b/>
          <w:sz w:val="24"/>
          <w:szCs w:val="24"/>
          <w:lang w:eastAsia="pl-PL"/>
        </w:rPr>
        <w:t xml:space="preserve"> art. 1 pkt 45 lit. b </w:t>
      </w:r>
      <w:r w:rsidR="008145DD" w:rsidRPr="00BE264C">
        <w:rPr>
          <w:rFonts w:ascii="Times New Roman" w:eastAsia="Times New Roman" w:hAnsi="Times New Roman" w:cs="Times New Roman"/>
          <w:bCs/>
          <w:sz w:val="24"/>
          <w:szCs w:val="24"/>
          <w:lang w:eastAsia="pl-PL"/>
        </w:rPr>
        <w:t>wprowadzono delegację ustawową, na podstawie której minister właściwy do spraw instytucji finansowych, po zasięgnięciu opinii KNF</w:t>
      </w:r>
      <w:r w:rsidR="008D7B5D">
        <w:rPr>
          <w:rFonts w:ascii="Times New Roman" w:eastAsia="Times New Roman" w:hAnsi="Times New Roman" w:cs="Times New Roman"/>
          <w:bCs/>
          <w:sz w:val="24"/>
          <w:szCs w:val="24"/>
          <w:lang w:eastAsia="pl-PL"/>
        </w:rPr>
        <w:t>,</w:t>
      </w:r>
      <w:r w:rsidR="008145DD" w:rsidRPr="00BE264C">
        <w:rPr>
          <w:rFonts w:ascii="Times New Roman" w:eastAsia="Times New Roman" w:hAnsi="Times New Roman" w:cs="Times New Roman"/>
          <w:bCs/>
          <w:sz w:val="24"/>
          <w:szCs w:val="24"/>
          <w:lang w:eastAsia="pl-PL"/>
        </w:rPr>
        <w:t xml:space="preserve"> określi, w drodze rozporządzenia, szczegółową organizację i tryb wykonywania czynności kontrolnych w </w:t>
      </w:r>
      <w:r w:rsidR="008145DD" w:rsidRPr="00BE264C">
        <w:rPr>
          <w:rFonts w:ascii="Times New Roman" w:eastAsia="Times New Roman" w:hAnsi="Times New Roman" w:cs="Times New Roman"/>
          <w:bCs/>
          <w:sz w:val="24"/>
          <w:szCs w:val="24"/>
          <w:lang w:eastAsia="pl-PL"/>
        </w:rPr>
        <w:lastRenderedPageBreak/>
        <w:t>bankach, oddziałach i przedstawicielstwach instytucji kredytowych, oddziałach z państw trzecich oraz przedstawicielstwach banków zagranicznych, kierując się potrzebą zapewnienia sprawnego i efektywnego przeprowadzenia kontroli prawidłowości wypełniania przez podmioty kontrolowane obowiązków, oraz transparentności przebiegu i dokumentowania czynności kontrolnych.</w:t>
      </w:r>
    </w:p>
    <w:p w14:paraId="03B30B0C" w14:textId="2ED26645" w:rsidR="00C7048D" w:rsidRPr="00BE264C" w:rsidRDefault="008145DD"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Pr="00BE264C">
        <w:rPr>
          <w:rFonts w:ascii="Times New Roman" w:eastAsia="Times New Roman" w:hAnsi="Times New Roman" w:cs="Times New Roman"/>
          <w:b/>
          <w:sz w:val="24"/>
          <w:szCs w:val="24"/>
          <w:lang w:eastAsia="pl-PL"/>
        </w:rPr>
        <w:t>art. 1 pkt 4</w:t>
      </w:r>
      <w:r w:rsidR="001F508F" w:rsidRPr="00BE264C">
        <w:rPr>
          <w:rFonts w:ascii="Times New Roman" w:eastAsia="Times New Roman" w:hAnsi="Times New Roman" w:cs="Times New Roman"/>
          <w:b/>
          <w:sz w:val="24"/>
          <w:szCs w:val="24"/>
          <w:lang w:eastAsia="pl-PL"/>
        </w:rPr>
        <w:t>6</w:t>
      </w:r>
      <w:r w:rsidRPr="00BE264C">
        <w:rPr>
          <w:rFonts w:ascii="Times New Roman" w:eastAsia="Times New Roman" w:hAnsi="Times New Roman" w:cs="Times New Roman"/>
          <w:bCs/>
          <w:sz w:val="24"/>
          <w:szCs w:val="24"/>
          <w:lang w:eastAsia="pl-PL"/>
        </w:rPr>
        <w:t xml:space="preserve"> </w:t>
      </w:r>
      <w:r w:rsidR="00C7048D" w:rsidRPr="00BE264C">
        <w:rPr>
          <w:rFonts w:ascii="Times New Roman" w:eastAsia="Times New Roman" w:hAnsi="Times New Roman" w:cs="Times New Roman"/>
          <w:bCs/>
          <w:sz w:val="24"/>
          <w:szCs w:val="24"/>
          <w:lang w:eastAsia="pl-PL"/>
        </w:rPr>
        <w:t>dodany został przepis, zgodnie z którym, w przypadku gdy bank został związany minimalnym progiem kapitałowym, KNF może dokonać przeglądu przekazanych temu bankowi zaleceń dotyczących dodatkowych funduszy własnych w celu zapewnienia, aby ich kalibracja pozostała odpowiednia.</w:t>
      </w:r>
    </w:p>
    <w:p w14:paraId="48AD4E6A" w14:textId="58AA444D" w:rsidR="00C7048D" w:rsidRPr="00BE264C" w:rsidRDefault="00C7048D"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Pr="00BE264C">
        <w:rPr>
          <w:rFonts w:ascii="Times New Roman" w:eastAsia="Times New Roman" w:hAnsi="Times New Roman" w:cs="Times New Roman"/>
          <w:b/>
          <w:sz w:val="24"/>
          <w:szCs w:val="24"/>
          <w:lang w:eastAsia="pl-PL"/>
        </w:rPr>
        <w:t xml:space="preserve">art. 1 pkt </w:t>
      </w:r>
      <w:r w:rsidR="00382721" w:rsidRPr="00BE264C">
        <w:rPr>
          <w:rFonts w:ascii="Times New Roman" w:eastAsia="Times New Roman" w:hAnsi="Times New Roman" w:cs="Times New Roman"/>
          <w:b/>
          <w:sz w:val="24"/>
          <w:szCs w:val="24"/>
          <w:lang w:eastAsia="pl-PL"/>
        </w:rPr>
        <w:t>4</w:t>
      </w:r>
      <w:r w:rsidR="001F508F" w:rsidRPr="00BE264C">
        <w:rPr>
          <w:rFonts w:ascii="Times New Roman" w:eastAsia="Times New Roman" w:hAnsi="Times New Roman" w:cs="Times New Roman"/>
          <w:b/>
          <w:sz w:val="24"/>
          <w:szCs w:val="24"/>
          <w:lang w:eastAsia="pl-PL"/>
        </w:rPr>
        <w:t>7</w:t>
      </w:r>
      <w:r w:rsidR="00C22E5F"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xml:space="preserve">wprowadzono przepis, nakładający na KNF </w:t>
      </w:r>
      <w:r w:rsidR="00A207FE" w:rsidRPr="00BE264C">
        <w:rPr>
          <w:rFonts w:ascii="Times New Roman" w:eastAsia="Times New Roman" w:hAnsi="Times New Roman" w:cs="Times New Roman"/>
          <w:bCs/>
          <w:sz w:val="24"/>
          <w:szCs w:val="24"/>
          <w:lang w:eastAsia="pl-PL"/>
        </w:rPr>
        <w:t>obowiązek podjęcia</w:t>
      </w:r>
      <w:r w:rsidRPr="00BE264C">
        <w:rPr>
          <w:rFonts w:ascii="Times New Roman" w:eastAsia="Times New Roman" w:hAnsi="Times New Roman" w:cs="Times New Roman"/>
          <w:bCs/>
          <w:sz w:val="24"/>
          <w:szCs w:val="24"/>
          <w:lang w:eastAsia="pl-PL"/>
        </w:rPr>
        <w:t xml:space="preserve"> niezbędn</w:t>
      </w:r>
      <w:r w:rsidR="00A207FE" w:rsidRPr="00BE264C">
        <w:rPr>
          <w:rFonts w:ascii="Times New Roman" w:eastAsia="Times New Roman" w:hAnsi="Times New Roman" w:cs="Times New Roman"/>
          <w:bCs/>
          <w:sz w:val="24"/>
          <w:szCs w:val="24"/>
          <w:lang w:eastAsia="pl-PL"/>
        </w:rPr>
        <w:t>ych</w:t>
      </w:r>
      <w:r w:rsidRPr="00BE264C">
        <w:rPr>
          <w:rFonts w:ascii="Times New Roman" w:eastAsia="Times New Roman" w:hAnsi="Times New Roman" w:cs="Times New Roman"/>
          <w:bCs/>
          <w:sz w:val="24"/>
          <w:szCs w:val="24"/>
          <w:lang w:eastAsia="pl-PL"/>
        </w:rPr>
        <w:t xml:space="preserve"> środk</w:t>
      </w:r>
      <w:r w:rsidR="00A207FE" w:rsidRPr="00BE264C">
        <w:rPr>
          <w:rFonts w:ascii="Times New Roman" w:eastAsia="Times New Roman" w:hAnsi="Times New Roman" w:cs="Times New Roman"/>
          <w:bCs/>
          <w:sz w:val="24"/>
          <w:szCs w:val="24"/>
          <w:lang w:eastAsia="pl-PL"/>
        </w:rPr>
        <w:t>ów</w:t>
      </w:r>
      <w:r w:rsidRPr="00BE264C">
        <w:rPr>
          <w:rFonts w:ascii="Times New Roman" w:eastAsia="Times New Roman" w:hAnsi="Times New Roman" w:cs="Times New Roman"/>
          <w:bCs/>
          <w:sz w:val="24"/>
          <w:szCs w:val="24"/>
          <w:lang w:eastAsia="pl-PL"/>
        </w:rPr>
        <w:t xml:space="preserve"> pozwalając</w:t>
      </w:r>
      <w:r w:rsidR="00A207FE" w:rsidRPr="00BE264C">
        <w:rPr>
          <w:rFonts w:ascii="Times New Roman" w:eastAsia="Times New Roman" w:hAnsi="Times New Roman" w:cs="Times New Roman"/>
          <w:bCs/>
          <w:sz w:val="24"/>
          <w:szCs w:val="24"/>
          <w:lang w:eastAsia="pl-PL"/>
        </w:rPr>
        <w:t>ych</w:t>
      </w:r>
      <w:r w:rsidRPr="00BE264C">
        <w:rPr>
          <w:rFonts w:ascii="Times New Roman" w:eastAsia="Times New Roman" w:hAnsi="Times New Roman" w:cs="Times New Roman"/>
          <w:bCs/>
          <w:sz w:val="24"/>
          <w:szCs w:val="24"/>
          <w:lang w:eastAsia="pl-PL"/>
        </w:rPr>
        <w:t xml:space="preserve"> na wykrycie potencjalnych działań podmiotów i osób trzecich </w:t>
      </w:r>
      <w:r w:rsidR="008E023D" w:rsidRPr="00BE264C">
        <w:rPr>
          <w:rFonts w:ascii="Times New Roman" w:eastAsia="Times New Roman" w:hAnsi="Times New Roman" w:cs="Times New Roman"/>
          <w:bCs/>
          <w:sz w:val="24"/>
          <w:szCs w:val="24"/>
          <w:lang w:eastAsia="pl-PL"/>
        </w:rPr>
        <w:t>świadczących na rzecz banku usługi doradcze w zakresie testów warunków skrajnych</w:t>
      </w:r>
      <w:r w:rsidRPr="00BE264C">
        <w:rPr>
          <w:rFonts w:ascii="Times New Roman" w:eastAsia="Times New Roman" w:hAnsi="Times New Roman" w:cs="Times New Roman"/>
          <w:bCs/>
          <w:sz w:val="24"/>
          <w:szCs w:val="24"/>
          <w:lang w:eastAsia="pl-PL"/>
        </w:rPr>
        <w:t>, mogących negatywnie wpłynąć na testy warunków skrajnych.</w:t>
      </w:r>
    </w:p>
    <w:p w14:paraId="0AB80215" w14:textId="1AD44CBD" w:rsidR="00B4221C" w:rsidRPr="00BE264C" w:rsidRDefault="000603E6"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Pr="00BE264C">
        <w:rPr>
          <w:rFonts w:ascii="Times New Roman" w:eastAsia="Times New Roman" w:hAnsi="Times New Roman" w:cs="Times New Roman"/>
          <w:b/>
          <w:sz w:val="24"/>
          <w:szCs w:val="24"/>
          <w:lang w:eastAsia="pl-PL"/>
        </w:rPr>
        <w:t xml:space="preserve">art. 1 pkt </w:t>
      </w:r>
      <w:r w:rsidR="001F508F" w:rsidRPr="00BE264C">
        <w:rPr>
          <w:rFonts w:ascii="Times New Roman" w:eastAsia="Times New Roman" w:hAnsi="Times New Roman" w:cs="Times New Roman"/>
          <w:b/>
          <w:sz w:val="24"/>
          <w:szCs w:val="24"/>
          <w:lang w:eastAsia="pl-PL"/>
        </w:rPr>
        <w:t>48</w:t>
      </w:r>
      <w:r w:rsidR="00C22E5F" w:rsidRPr="00BE264C">
        <w:rPr>
          <w:rFonts w:ascii="Times New Roman" w:eastAsia="Times New Roman" w:hAnsi="Times New Roman" w:cs="Times New Roman"/>
          <w:bCs/>
          <w:sz w:val="24"/>
          <w:szCs w:val="24"/>
          <w:lang w:eastAsia="pl-PL"/>
        </w:rPr>
        <w:t xml:space="preserve"> </w:t>
      </w:r>
      <w:r w:rsidR="0059101F" w:rsidRPr="00BE264C">
        <w:rPr>
          <w:rFonts w:ascii="Times New Roman" w:eastAsia="Times New Roman" w:hAnsi="Times New Roman" w:cs="Times New Roman"/>
          <w:bCs/>
          <w:sz w:val="24"/>
          <w:szCs w:val="24"/>
          <w:lang w:eastAsia="pl-PL"/>
        </w:rPr>
        <w:t>wprowadzono następujące zmiany:</w:t>
      </w:r>
    </w:p>
    <w:p w14:paraId="1EC0D0FB" w14:textId="4E273924" w:rsidR="0059101F" w:rsidRPr="00BE264C" w:rsidRDefault="0059101F"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a </w:t>
      </w:r>
      <w:r w:rsidR="008E023D" w:rsidRPr="00BE264C">
        <w:rPr>
          <w:rFonts w:ascii="Times New Roman" w:eastAsia="Times New Roman" w:hAnsi="Times New Roman" w:cs="Times New Roman"/>
          <w:bCs/>
          <w:sz w:val="24"/>
          <w:szCs w:val="24"/>
          <w:lang w:eastAsia="pl-PL"/>
        </w:rPr>
        <w:t>w tiret pierws</w:t>
      </w:r>
      <w:r w:rsidR="006577EB" w:rsidRPr="00BE264C">
        <w:rPr>
          <w:rFonts w:ascii="Times New Roman" w:eastAsia="Times New Roman" w:hAnsi="Times New Roman" w:cs="Times New Roman"/>
          <w:bCs/>
          <w:sz w:val="24"/>
          <w:szCs w:val="24"/>
          <w:lang w:eastAsia="pl-PL"/>
        </w:rPr>
        <w:t>ze</w:t>
      </w:r>
      <w:r w:rsidR="008E023D"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poszerzono zakres działań, które</w:t>
      </w:r>
      <w:r w:rsidRPr="009858C9">
        <w:rPr>
          <w:rFonts w:ascii="Times New Roman" w:hAnsi="Times New Roman" w:cs="Times New Roman"/>
          <w:sz w:val="24"/>
          <w:szCs w:val="24"/>
        </w:rPr>
        <w:t xml:space="preserve"> </w:t>
      </w:r>
      <w:r w:rsidRPr="00BE264C">
        <w:rPr>
          <w:rFonts w:ascii="Times New Roman" w:eastAsia="Times New Roman" w:hAnsi="Times New Roman" w:cs="Times New Roman"/>
          <w:bCs/>
          <w:sz w:val="24"/>
          <w:szCs w:val="24"/>
          <w:lang w:eastAsia="pl-PL"/>
        </w:rPr>
        <w:t>KNF może w ramach nadzoru zalecić bankowi, o</w:t>
      </w:r>
      <w:r w:rsidR="001F09C1" w:rsidRPr="00BE264C">
        <w:rPr>
          <w:rFonts w:ascii="Times New Roman" w:eastAsia="Times New Roman" w:hAnsi="Times New Roman" w:cs="Times New Roman"/>
          <w:bCs/>
          <w:sz w:val="24"/>
          <w:szCs w:val="24"/>
          <w:lang w:eastAsia="pl-PL"/>
        </w:rPr>
        <w:t> </w:t>
      </w:r>
      <w:r w:rsidRPr="00BE264C">
        <w:rPr>
          <w:rFonts w:ascii="Times New Roman" w:eastAsia="Times New Roman" w:hAnsi="Times New Roman" w:cs="Times New Roman"/>
          <w:bCs/>
          <w:sz w:val="24"/>
          <w:szCs w:val="24"/>
          <w:lang w:eastAsia="pl-PL"/>
        </w:rPr>
        <w:t>ograniczenie ryzyk</w:t>
      </w:r>
      <w:r w:rsidR="008E023D" w:rsidRPr="00BE264C">
        <w:rPr>
          <w:rFonts w:ascii="Times New Roman" w:eastAsia="Times New Roman" w:hAnsi="Times New Roman" w:cs="Times New Roman"/>
          <w:bCs/>
          <w:sz w:val="24"/>
          <w:szCs w:val="24"/>
          <w:lang w:eastAsia="pl-PL"/>
        </w:rPr>
        <w:t>a</w:t>
      </w:r>
      <w:r w:rsidRPr="00BE264C">
        <w:rPr>
          <w:rFonts w:ascii="Times New Roman" w:eastAsia="Times New Roman" w:hAnsi="Times New Roman" w:cs="Times New Roman"/>
          <w:bCs/>
          <w:sz w:val="24"/>
          <w:szCs w:val="24"/>
          <w:lang w:eastAsia="pl-PL"/>
        </w:rPr>
        <w:t xml:space="preserve"> </w:t>
      </w:r>
      <w:r w:rsidR="008E023D" w:rsidRPr="00BE264C">
        <w:rPr>
          <w:rFonts w:ascii="Times New Roman" w:eastAsia="Times New Roman" w:hAnsi="Times New Roman" w:cs="Times New Roman"/>
          <w:bCs/>
          <w:sz w:val="24"/>
          <w:szCs w:val="24"/>
          <w:lang w:eastAsia="pl-PL"/>
        </w:rPr>
        <w:t>ESG</w:t>
      </w:r>
      <w:r w:rsidR="00224641"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w</w:t>
      </w:r>
      <w:r w:rsidR="001F09C1" w:rsidRPr="00BE264C">
        <w:rPr>
          <w:rFonts w:ascii="Times New Roman" w:eastAsia="Times New Roman" w:hAnsi="Times New Roman" w:cs="Times New Roman"/>
          <w:bCs/>
          <w:sz w:val="24"/>
          <w:szCs w:val="24"/>
          <w:lang w:eastAsia="pl-PL"/>
        </w:rPr>
        <w:t> </w:t>
      </w:r>
      <w:r w:rsidRPr="00BE264C">
        <w:rPr>
          <w:rFonts w:ascii="Times New Roman" w:eastAsia="Times New Roman" w:hAnsi="Times New Roman" w:cs="Times New Roman"/>
          <w:bCs/>
          <w:sz w:val="24"/>
          <w:szCs w:val="24"/>
          <w:lang w:eastAsia="pl-PL"/>
        </w:rPr>
        <w:t>perspektywie krótko-, średnio- i długoterminowej, poprzez dostosowanie strategii biznesowych, zarządzania i zarządzania ryzykiem, w odniesieniu do których można się zwrócić o wzmocnienie celów, środków i działań ujętych w planach dotyczących ryzyk</w:t>
      </w:r>
      <w:r w:rsidR="008E023D" w:rsidRPr="00BE264C">
        <w:rPr>
          <w:rFonts w:ascii="Times New Roman" w:eastAsia="Times New Roman" w:hAnsi="Times New Roman" w:cs="Times New Roman"/>
          <w:bCs/>
          <w:sz w:val="24"/>
          <w:szCs w:val="24"/>
          <w:lang w:eastAsia="pl-PL"/>
        </w:rPr>
        <w:t>a</w:t>
      </w:r>
      <w:r w:rsidRPr="00BE264C">
        <w:rPr>
          <w:rFonts w:ascii="Times New Roman" w:eastAsia="Times New Roman" w:hAnsi="Times New Roman" w:cs="Times New Roman"/>
          <w:bCs/>
          <w:sz w:val="24"/>
          <w:szCs w:val="24"/>
          <w:lang w:eastAsia="pl-PL"/>
        </w:rPr>
        <w:t xml:space="preserve"> </w:t>
      </w:r>
      <w:r w:rsidR="008E023D" w:rsidRPr="00BE264C">
        <w:rPr>
          <w:rFonts w:ascii="Times New Roman" w:eastAsia="Times New Roman" w:hAnsi="Times New Roman" w:cs="Times New Roman"/>
          <w:bCs/>
          <w:sz w:val="24"/>
          <w:szCs w:val="24"/>
          <w:lang w:eastAsia="pl-PL"/>
        </w:rPr>
        <w:t>ESG</w:t>
      </w:r>
      <w:r w:rsidR="00224641" w:rsidRPr="00BE264C">
        <w:rPr>
          <w:rFonts w:ascii="Times New Roman" w:eastAsia="Times New Roman" w:hAnsi="Times New Roman" w:cs="Times New Roman"/>
          <w:bCs/>
          <w:sz w:val="24"/>
          <w:szCs w:val="24"/>
          <w:lang w:eastAsia="pl-PL"/>
        </w:rPr>
        <w:t xml:space="preserve"> </w:t>
      </w:r>
      <w:r w:rsidR="00CC3A6F" w:rsidRPr="00BE264C">
        <w:rPr>
          <w:rFonts w:ascii="Times New Roman" w:eastAsia="Times New Roman" w:hAnsi="Times New Roman" w:cs="Times New Roman"/>
          <w:bCs/>
          <w:sz w:val="24"/>
          <w:szCs w:val="24"/>
          <w:lang w:eastAsia="pl-PL"/>
        </w:rPr>
        <w:t xml:space="preserve">oraz o </w:t>
      </w:r>
      <w:r w:rsidRPr="00BE264C">
        <w:rPr>
          <w:rFonts w:ascii="Times New Roman" w:eastAsia="Times New Roman" w:hAnsi="Times New Roman" w:cs="Times New Roman"/>
          <w:bCs/>
          <w:sz w:val="24"/>
          <w:szCs w:val="24"/>
          <w:lang w:eastAsia="pl-PL"/>
        </w:rPr>
        <w:t>przeprowadzenie testów warunków skrajnych lub analizy scenariuszowej w celu oceny ryzyk wynikających z</w:t>
      </w:r>
      <w:r w:rsidR="001F09C1" w:rsidRPr="00BE264C">
        <w:rPr>
          <w:rFonts w:ascii="Times New Roman" w:eastAsia="Times New Roman" w:hAnsi="Times New Roman" w:cs="Times New Roman"/>
          <w:bCs/>
          <w:sz w:val="24"/>
          <w:szCs w:val="24"/>
          <w:lang w:eastAsia="pl-PL"/>
        </w:rPr>
        <w:t> </w:t>
      </w:r>
      <w:r w:rsidRPr="00BE264C">
        <w:rPr>
          <w:rFonts w:ascii="Times New Roman" w:eastAsia="Times New Roman" w:hAnsi="Times New Roman" w:cs="Times New Roman"/>
          <w:bCs/>
          <w:sz w:val="24"/>
          <w:szCs w:val="24"/>
          <w:lang w:eastAsia="pl-PL"/>
        </w:rPr>
        <w:t>ekspozycji na kryptoaktywa i świadczenia usług w zakresie kryptoaktywów</w:t>
      </w:r>
      <w:r w:rsidR="008E023D" w:rsidRPr="00BE264C">
        <w:rPr>
          <w:rFonts w:ascii="Times New Roman" w:eastAsia="Times New Roman" w:hAnsi="Times New Roman" w:cs="Times New Roman"/>
          <w:bCs/>
          <w:sz w:val="24"/>
          <w:szCs w:val="24"/>
          <w:lang w:eastAsia="pl-PL"/>
        </w:rPr>
        <w:t>; zmiany wprowadzone w tiret drugim mają charakter redakcyjny, wynikający z nowego brzmienia przepisu rozporządzenia CRR, wprowadzonego przez CRR III,</w:t>
      </w:r>
    </w:p>
    <w:p w14:paraId="05AEC2D8" w14:textId="3434E942" w:rsidR="00314987" w:rsidRPr="00BE264C" w:rsidRDefault="00314987"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lit. b</w:t>
      </w:r>
      <w:r w:rsidR="006273E9" w:rsidRPr="00BE264C">
        <w:rPr>
          <w:rFonts w:ascii="Times New Roman" w:eastAsia="Times New Roman" w:hAnsi="Times New Roman" w:cs="Times New Roman"/>
          <w:bCs/>
          <w:sz w:val="24"/>
          <w:szCs w:val="24"/>
          <w:lang w:eastAsia="pl-PL"/>
        </w:rPr>
        <w:t xml:space="preserve"> poszerzono zakres działań nadzorczych KNF o ograniczenie ekspozycji wobec kontrahenta centralnego lub wyrównanie ekspozycji w ramach rachunków rozliczeniowych zgodnie z art. 7a rozporządzenia 648/2012</w:t>
      </w:r>
      <w:r w:rsidR="00BD5787" w:rsidRPr="00BE264C">
        <w:rPr>
          <w:rFonts w:ascii="Times New Roman" w:eastAsia="Times New Roman" w:hAnsi="Times New Roman" w:cs="Times New Roman"/>
          <w:bCs/>
          <w:sz w:val="24"/>
          <w:szCs w:val="24"/>
          <w:lang w:eastAsia="pl-PL"/>
        </w:rPr>
        <w:t>,</w:t>
      </w:r>
    </w:p>
    <w:p w14:paraId="03F1130E" w14:textId="7BE4BDAD" w:rsidR="00CC3A6F" w:rsidRPr="00BE264C" w:rsidRDefault="00CC3A6F"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314987" w:rsidRPr="00BE264C">
        <w:rPr>
          <w:rFonts w:ascii="Times New Roman" w:eastAsia="Times New Roman" w:hAnsi="Times New Roman" w:cs="Times New Roman"/>
          <w:bCs/>
          <w:sz w:val="24"/>
          <w:szCs w:val="24"/>
          <w:lang w:eastAsia="pl-PL"/>
        </w:rPr>
        <w:t>c</w:t>
      </w:r>
      <w:r w:rsidR="00A13AD2" w:rsidRPr="00BE264C">
        <w:rPr>
          <w:rFonts w:ascii="Times New Roman" w:eastAsia="Times New Roman" w:hAnsi="Times New Roman" w:cs="Times New Roman"/>
          <w:bCs/>
          <w:sz w:val="24"/>
          <w:szCs w:val="24"/>
          <w:lang w:eastAsia="pl-PL"/>
        </w:rPr>
        <w:t xml:space="preserve"> dookreślono, że w kalkulacji dodatkowej kwoty kapitału utrzymywanej w celu spełniania dodatkowego wymogu w zakresie funduszy własnych, nie uwzględnia się kwoty niezbędnej do pokrycia ryzyka, o którym mowa w art. 138 ust. 2i ustawy</w:t>
      </w:r>
      <w:r w:rsidR="00A204C7" w:rsidRPr="00BE264C">
        <w:rPr>
          <w:rFonts w:ascii="Times New Roman" w:eastAsia="Times New Roman" w:hAnsi="Times New Roman" w:cs="Times New Roman"/>
          <w:bCs/>
          <w:sz w:val="24"/>
          <w:szCs w:val="24"/>
          <w:lang w:eastAsia="pl-PL"/>
        </w:rPr>
        <w:t xml:space="preserve"> – Prawo bankowe</w:t>
      </w:r>
      <w:r w:rsidR="00BD5787" w:rsidRPr="00BE264C">
        <w:rPr>
          <w:rFonts w:ascii="Times New Roman" w:eastAsia="Times New Roman" w:hAnsi="Times New Roman" w:cs="Times New Roman"/>
          <w:bCs/>
          <w:sz w:val="24"/>
          <w:szCs w:val="24"/>
          <w:lang w:eastAsia="pl-PL"/>
        </w:rPr>
        <w:t>,</w:t>
      </w:r>
    </w:p>
    <w:p w14:paraId="23150A9F" w14:textId="6840255E" w:rsidR="00E92DA5" w:rsidRPr="00BE264C" w:rsidRDefault="00E92DA5"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lastRenderedPageBreak/>
        <w:t xml:space="preserve">w lit. </w:t>
      </w:r>
      <w:r w:rsidR="00314987" w:rsidRPr="00BE264C">
        <w:rPr>
          <w:rFonts w:ascii="Times New Roman" w:eastAsia="Times New Roman" w:hAnsi="Times New Roman" w:cs="Times New Roman"/>
          <w:bCs/>
          <w:sz w:val="24"/>
          <w:szCs w:val="24"/>
          <w:lang w:eastAsia="pl-PL"/>
        </w:rPr>
        <w:t>d</w:t>
      </w:r>
      <w:r w:rsidRPr="00BE264C">
        <w:rPr>
          <w:rFonts w:ascii="Times New Roman" w:eastAsia="Times New Roman" w:hAnsi="Times New Roman" w:cs="Times New Roman"/>
          <w:bCs/>
          <w:sz w:val="24"/>
          <w:szCs w:val="24"/>
          <w:lang w:eastAsia="pl-PL"/>
        </w:rPr>
        <w:t xml:space="preserve"> </w:t>
      </w:r>
      <w:r w:rsidR="00D85A7A" w:rsidRPr="00BE264C">
        <w:rPr>
          <w:rFonts w:ascii="Times New Roman" w:eastAsia="Times New Roman" w:hAnsi="Times New Roman" w:cs="Times New Roman"/>
          <w:bCs/>
          <w:sz w:val="24"/>
          <w:szCs w:val="24"/>
          <w:lang w:eastAsia="pl-PL"/>
        </w:rPr>
        <w:t>wprowadzono regulacje określające zasady kalkulacji funduszy własnych w</w:t>
      </w:r>
      <w:r w:rsidR="001F09C1" w:rsidRPr="00BE264C">
        <w:rPr>
          <w:rFonts w:ascii="Times New Roman" w:eastAsia="Times New Roman" w:hAnsi="Times New Roman" w:cs="Times New Roman"/>
          <w:bCs/>
          <w:sz w:val="24"/>
          <w:szCs w:val="24"/>
          <w:lang w:eastAsia="pl-PL"/>
        </w:rPr>
        <w:t> </w:t>
      </w:r>
      <w:r w:rsidR="00D85A7A" w:rsidRPr="00BE264C">
        <w:rPr>
          <w:rFonts w:ascii="Times New Roman" w:eastAsia="Times New Roman" w:hAnsi="Times New Roman" w:cs="Times New Roman"/>
          <w:bCs/>
          <w:sz w:val="24"/>
          <w:szCs w:val="24"/>
          <w:lang w:eastAsia="pl-PL"/>
        </w:rPr>
        <w:t>przypadku nałożenia na bank minimalnego progu kapitałowego, o którym mowa w</w:t>
      </w:r>
      <w:r w:rsidR="001F09C1" w:rsidRPr="00BE264C">
        <w:rPr>
          <w:rFonts w:ascii="Times New Roman" w:eastAsia="Times New Roman" w:hAnsi="Times New Roman" w:cs="Times New Roman"/>
          <w:bCs/>
          <w:sz w:val="24"/>
          <w:szCs w:val="24"/>
          <w:lang w:eastAsia="pl-PL"/>
        </w:rPr>
        <w:t> </w:t>
      </w:r>
      <w:r w:rsidR="00D85A7A" w:rsidRPr="00BE264C">
        <w:rPr>
          <w:rFonts w:ascii="Times New Roman" w:eastAsia="Times New Roman" w:hAnsi="Times New Roman" w:cs="Times New Roman"/>
          <w:bCs/>
          <w:sz w:val="24"/>
          <w:szCs w:val="24"/>
          <w:lang w:eastAsia="pl-PL"/>
        </w:rPr>
        <w:t>art. 92 ust. 3 rozporządzenia</w:t>
      </w:r>
      <w:r w:rsidR="0042276B" w:rsidRPr="00BE264C">
        <w:rPr>
          <w:rFonts w:ascii="Times New Roman" w:eastAsia="Times New Roman" w:hAnsi="Times New Roman" w:cs="Times New Roman"/>
          <w:bCs/>
          <w:sz w:val="24"/>
          <w:szCs w:val="24"/>
          <w:lang w:eastAsia="pl-PL"/>
        </w:rPr>
        <w:t xml:space="preserve"> CRR</w:t>
      </w:r>
      <w:r w:rsidR="00D85A7A" w:rsidRPr="00BE264C">
        <w:rPr>
          <w:rFonts w:ascii="Times New Roman" w:eastAsia="Times New Roman" w:hAnsi="Times New Roman" w:cs="Times New Roman"/>
          <w:bCs/>
          <w:sz w:val="24"/>
          <w:szCs w:val="24"/>
          <w:lang w:eastAsia="pl-PL"/>
        </w:rPr>
        <w:t>, a także zapobiegające podwójnemu uwzględnieniu ryzyk, które są już w</w:t>
      </w:r>
      <w:r w:rsidR="001F09C1" w:rsidRPr="00BE264C">
        <w:rPr>
          <w:rFonts w:ascii="Times New Roman" w:eastAsia="Times New Roman" w:hAnsi="Times New Roman" w:cs="Times New Roman"/>
          <w:bCs/>
          <w:sz w:val="24"/>
          <w:szCs w:val="24"/>
          <w:lang w:eastAsia="pl-PL"/>
        </w:rPr>
        <w:t> </w:t>
      </w:r>
      <w:r w:rsidR="00D85A7A" w:rsidRPr="00BE264C">
        <w:rPr>
          <w:rFonts w:ascii="Times New Roman" w:eastAsia="Times New Roman" w:hAnsi="Times New Roman" w:cs="Times New Roman"/>
          <w:bCs/>
          <w:sz w:val="24"/>
          <w:szCs w:val="24"/>
          <w:lang w:eastAsia="pl-PL"/>
        </w:rPr>
        <w:t>pełni pokryte z uwagi na fakt, że bank jest związany minimalnym progiem kapitałowym</w:t>
      </w:r>
      <w:r w:rsidR="00BD5787" w:rsidRPr="00BE264C">
        <w:rPr>
          <w:rFonts w:ascii="Times New Roman" w:eastAsia="Times New Roman" w:hAnsi="Times New Roman" w:cs="Times New Roman"/>
          <w:bCs/>
          <w:sz w:val="24"/>
          <w:szCs w:val="24"/>
          <w:lang w:eastAsia="pl-PL"/>
        </w:rPr>
        <w:t>,</w:t>
      </w:r>
    </w:p>
    <w:p w14:paraId="2EC19B88" w14:textId="46C71D31" w:rsidR="00156021" w:rsidRPr="00BE264C" w:rsidRDefault="00D85A7A"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314987" w:rsidRPr="00BE264C">
        <w:rPr>
          <w:rFonts w:ascii="Times New Roman" w:eastAsia="Times New Roman" w:hAnsi="Times New Roman" w:cs="Times New Roman"/>
          <w:bCs/>
          <w:sz w:val="24"/>
          <w:szCs w:val="24"/>
          <w:lang w:eastAsia="pl-PL"/>
        </w:rPr>
        <w:t>e</w:t>
      </w:r>
      <w:r w:rsidR="00156021" w:rsidRPr="00BE264C">
        <w:rPr>
          <w:rFonts w:ascii="Times New Roman" w:eastAsia="Times New Roman" w:hAnsi="Times New Roman" w:cs="Times New Roman"/>
          <w:bCs/>
          <w:sz w:val="24"/>
          <w:szCs w:val="24"/>
          <w:lang w:eastAsia="pl-PL"/>
        </w:rPr>
        <w:t xml:space="preserve"> wprowadzono zasadę, że kara pieniężna jest kalkulowana na podstawie całkowitego rocznego </w:t>
      </w:r>
      <w:r w:rsidR="00CF3A09" w:rsidRPr="00BE264C">
        <w:rPr>
          <w:rFonts w:ascii="Times New Roman" w:eastAsia="Times New Roman" w:hAnsi="Times New Roman" w:cs="Times New Roman"/>
          <w:bCs/>
          <w:sz w:val="24"/>
          <w:szCs w:val="24"/>
          <w:lang w:eastAsia="pl-PL"/>
        </w:rPr>
        <w:t xml:space="preserve">obrotu </w:t>
      </w:r>
      <w:r w:rsidR="00156021" w:rsidRPr="00BE264C">
        <w:rPr>
          <w:rFonts w:ascii="Times New Roman" w:eastAsia="Times New Roman" w:hAnsi="Times New Roman" w:cs="Times New Roman"/>
          <w:bCs/>
          <w:sz w:val="24"/>
          <w:szCs w:val="24"/>
          <w:lang w:eastAsia="pl-PL"/>
        </w:rPr>
        <w:t>netto. Ponadto, projektowana zmiana ma na celu wprowadzenie możliwości nałożenia przez KNF, na osobę fizyczną</w:t>
      </w:r>
      <w:r w:rsidR="00190A4D" w:rsidRPr="00BE264C">
        <w:rPr>
          <w:rFonts w:ascii="Times New Roman" w:eastAsia="Times New Roman" w:hAnsi="Times New Roman" w:cs="Times New Roman"/>
          <w:bCs/>
          <w:sz w:val="24"/>
          <w:szCs w:val="24"/>
          <w:lang w:eastAsia="pl-PL"/>
        </w:rPr>
        <w:t xml:space="preserve"> lub bank</w:t>
      </w:r>
      <w:r w:rsidR="00156021" w:rsidRPr="00BE264C">
        <w:rPr>
          <w:rFonts w:ascii="Times New Roman" w:eastAsia="Times New Roman" w:hAnsi="Times New Roman" w:cs="Times New Roman"/>
          <w:bCs/>
          <w:sz w:val="24"/>
          <w:szCs w:val="24"/>
          <w:lang w:eastAsia="pl-PL"/>
        </w:rPr>
        <w:t xml:space="preserve"> odpowiedzialn</w:t>
      </w:r>
      <w:r w:rsidR="00190A4D" w:rsidRPr="00BE264C">
        <w:rPr>
          <w:rFonts w:ascii="Times New Roman" w:eastAsia="Times New Roman" w:hAnsi="Times New Roman" w:cs="Times New Roman"/>
          <w:bCs/>
          <w:sz w:val="24"/>
          <w:szCs w:val="24"/>
          <w:lang w:eastAsia="pl-PL"/>
        </w:rPr>
        <w:t>ych</w:t>
      </w:r>
      <w:r w:rsidR="00156021" w:rsidRPr="00BE264C">
        <w:rPr>
          <w:rFonts w:ascii="Times New Roman" w:eastAsia="Times New Roman" w:hAnsi="Times New Roman" w:cs="Times New Roman"/>
          <w:bCs/>
          <w:sz w:val="24"/>
          <w:szCs w:val="24"/>
          <w:lang w:eastAsia="pl-PL"/>
        </w:rPr>
        <w:t xml:space="preserve"> za zaistniałe naruszenie, </w:t>
      </w:r>
      <w:r w:rsidR="00AE43FB" w:rsidRPr="00BE264C">
        <w:rPr>
          <w:rFonts w:ascii="Times New Roman" w:eastAsia="Times New Roman" w:hAnsi="Times New Roman" w:cs="Times New Roman"/>
          <w:bCs/>
          <w:sz w:val="24"/>
          <w:szCs w:val="24"/>
          <w:lang w:eastAsia="pl-PL"/>
        </w:rPr>
        <w:t xml:space="preserve">jednorazowej kary pieniężnej do wysokości dwukrotności kwoty korzyści uzyskanych lub strat unikniętych w wyniku naruszenia – w przypadku gdy jest możliwe ich ustalenie lub </w:t>
      </w:r>
      <w:r w:rsidR="00156021" w:rsidRPr="00BE264C">
        <w:rPr>
          <w:rFonts w:ascii="Times New Roman" w:eastAsia="Times New Roman" w:hAnsi="Times New Roman" w:cs="Times New Roman"/>
          <w:bCs/>
          <w:sz w:val="24"/>
          <w:szCs w:val="24"/>
          <w:lang w:eastAsia="pl-PL"/>
        </w:rPr>
        <w:t xml:space="preserve">kary pieniężnej do wysokości 213 165 złotych za każdy dzień trwającego naruszenia do dnia przywrócenia </w:t>
      </w:r>
      <w:r w:rsidR="008E023D" w:rsidRPr="00BE264C">
        <w:rPr>
          <w:rFonts w:ascii="Times New Roman" w:eastAsia="Times New Roman" w:hAnsi="Times New Roman" w:cs="Times New Roman"/>
          <w:bCs/>
          <w:sz w:val="24"/>
          <w:szCs w:val="24"/>
          <w:lang w:eastAsia="pl-PL"/>
        </w:rPr>
        <w:t xml:space="preserve">stanu </w:t>
      </w:r>
      <w:r w:rsidR="00156021" w:rsidRPr="00BE264C">
        <w:rPr>
          <w:rFonts w:ascii="Times New Roman" w:eastAsia="Times New Roman" w:hAnsi="Times New Roman" w:cs="Times New Roman"/>
          <w:bCs/>
          <w:sz w:val="24"/>
          <w:szCs w:val="24"/>
          <w:lang w:eastAsia="pl-PL"/>
        </w:rPr>
        <w:t>zgodności z</w:t>
      </w:r>
      <w:r w:rsidR="001F09C1" w:rsidRPr="00BE264C">
        <w:rPr>
          <w:rFonts w:ascii="Times New Roman" w:eastAsia="Times New Roman" w:hAnsi="Times New Roman" w:cs="Times New Roman"/>
          <w:bCs/>
          <w:sz w:val="24"/>
          <w:szCs w:val="24"/>
          <w:lang w:eastAsia="pl-PL"/>
        </w:rPr>
        <w:t> </w:t>
      </w:r>
      <w:r w:rsidR="00156021" w:rsidRPr="00BE264C">
        <w:rPr>
          <w:rFonts w:ascii="Times New Roman" w:eastAsia="Times New Roman" w:hAnsi="Times New Roman" w:cs="Times New Roman"/>
          <w:bCs/>
          <w:sz w:val="24"/>
          <w:szCs w:val="24"/>
          <w:lang w:eastAsia="pl-PL"/>
        </w:rPr>
        <w:t>prawem, przez okres niedłuższy niż sześć miesięcy od daty określonej w decyzji;</w:t>
      </w:r>
      <w:r w:rsidR="00190A4D" w:rsidRPr="00BE264C">
        <w:rPr>
          <w:rFonts w:ascii="Times New Roman" w:eastAsia="Times New Roman" w:hAnsi="Times New Roman" w:cs="Times New Roman"/>
          <w:bCs/>
          <w:sz w:val="24"/>
          <w:szCs w:val="24"/>
          <w:lang w:eastAsia="pl-PL"/>
        </w:rPr>
        <w:t xml:space="preserve"> ponadto, </w:t>
      </w:r>
      <w:r w:rsidR="00634BC8" w:rsidRPr="00BE264C">
        <w:rPr>
          <w:rFonts w:ascii="Times New Roman" w:eastAsia="Times New Roman" w:hAnsi="Times New Roman" w:cs="Times New Roman"/>
          <w:bCs/>
          <w:sz w:val="24"/>
          <w:szCs w:val="24"/>
          <w:lang w:eastAsia="pl-PL"/>
        </w:rPr>
        <w:t xml:space="preserve">poszerzono zakres dopuszczalnej sankcji </w:t>
      </w:r>
      <w:r w:rsidR="00CA5BF3" w:rsidRPr="00BE264C">
        <w:rPr>
          <w:rFonts w:ascii="Times New Roman" w:eastAsia="Times New Roman" w:hAnsi="Times New Roman" w:cs="Times New Roman"/>
          <w:bCs/>
          <w:sz w:val="24"/>
          <w:szCs w:val="24"/>
          <w:lang w:eastAsia="pl-PL"/>
        </w:rPr>
        <w:t xml:space="preserve">poprzez </w:t>
      </w:r>
      <w:r w:rsidR="00634BC8" w:rsidRPr="00BE264C">
        <w:rPr>
          <w:rFonts w:ascii="Times New Roman" w:eastAsia="Times New Roman" w:hAnsi="Times New Roman" w:cs="Times New Roman"/>
          <w:bCs/>
          <w:sz w:val="24"/>
          <w:szCs w:val="24"/>
          <w:lang w:eastAsia="pl-PL"/>
        </w:rPr>
        <w:t xml:space="preserve">wprowadzenie możliwości zawężenia </w:t>
      </w:r>
      <w:r w:rsidR="00CA5BF3" w:rsidRPr="00BE264C">
        <w:rPr>
          <w:rFonts w:ascii="Times New Roman" w:eastAsia="Times New Roman" w:hAnsi="Times New Roman" w:cs="Times New Roman"/>
          <w:bCs/>
          <w:sz w:val="24"/>
          <w:szCs w:val="24"/>
          <w:lang w:eastAsia="pl-PL"/>
        </w:rPr>
        <w:t>zakresu działalności banku lub jego jednostek organizacyjnych</w:t>
      </w:r>
      <w:r w:rsidR="00BD5787" w:rsidRPr="00BE264C">
        <w:rPr>
          <w:rFonts w:ascii="Times New Roman" w:eastAsia="Times New Roman" w:hAnsi="Times New Roman" w:cs="Times New Roman"/>
          <w:bCs/>
          <w:sz w:val="24"/>
          <w:szCs w:val="24"/>
          <w:lang w:eastAsia="pl-PL"/>
        </w:rPr>
        <w:t>,</w:t>
      </w:r>
    </w:p>
    <w:p w14:paraId="3A9B45E7" w14:textId="5019C0B1" w:rsidR="00AE43FB" w:rsidRPr="00BE264C" w:rsidRDefault="00AE43FB"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lit. f projektowana zmiana ma ch</w:t>
      </w:r>
      <w:r w:rsidR="00632EA4" w:rsidRPr="00BE264C">
        <w:rPr>
          <w:rFonts w:ascii="Times New Roman" w:eastAsia="Times New Roman" w:hAnsi="Times New Roman" w:cs="Times New Roman"/>
          <w:bCs/>
          <w:sz w:val="24"/>
          <w:szCs w:val="24"/>
          <w:lang w:eastAsia="pl-PL"/>
        </w:rPr>
        <w:t>a</w:t>
      </w:r>
      <w:r w:rsidRPr="00BE264C">
        <w:rPr>
          <w:rFonts w:ascii="Times New Roman" w:eastAsia="Times New Roman" w:hAnsi="Times New Roman" w:cs="Times New Roman"/>
          <w:bCs/>
          <w:sz w:val="24"/>
          <w:szCs w:val="24"/>
          <w:lang w:eastAsia="pl-PL"/>
        </w:rPr>
        <w:t>rakter wynikowy i jest konsekwencj</w:t>
      </w:r>
      <w:r w:rsidR="00632EA4" w:rsidRPr="00BE264C">
        <w:rPr>
          <w:rFonts w:ascii="Times New Roman" w:eastAsia="Times New Roman" w:hAnsi="Times New Roman" w:cs="Times New Roman"/>
          <w:bCs/>
          <w:sz w:val="24"/>
          <w:szCs w:val="24"/>
          <w:lang w:eastAsia="pl-PL"/>
        </w:rPr>
        <w:t>ą</w:t>
      </w:r>
      <w:r w:rsidRPr="00BE264C">
        <w:rPr>
          <w:rFonts w:ascii="Times New Roman" w:eastAsia="Times New Roman" w:hAnsi="Times New Roman" w:cs="Times New Roman"/>
          <w:bCs/>
          <w:sz w:val="24"/>
          <w:szCs w:val="24"/>
          <w:lang w:eastAsia="pl-PL"/>
        </w:rPr>
        <w:t xml:space="preserve"> zmian wprowadzonych w lit. e;</w:t>
      </w:r>
    </w:p>
    <w:p w14:paraId="206817AF" w14:textId="07022517" w:rsidR="0089117E" w:rsidRPr="00BE264C" w:rsidRDefault="0089117E"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AE43FB" w:rsidRPr="00BE264C">
        <w:rPr>
          <w:rFonts w:ascii="Times New Roman" w:eastAsia="Times New Roman" w:hAnsi="Times New Roman" w:cs="Times New Roman"/>
          <w:bCs/>
          <w:sz w:val="24"/>
          <w:szCs w:val="24"/>
          <w:lang w:eastAsia="pl-PL"/>
        </w:rPr>
        <w:t>g</w:t>
      </w:r>
      <w:r w:rsidR="006D0947" w:rsidRPr="00BE264C">
        <w:rPr>
          <w:rFonts w:ascii="Times New Roman" w:eastAsia="Times New Roman" w:hAnsi="Times New Roman" w:cs="Times New Roman"/>
          <w:bCs/>
          <w:sz w:val="24"/>
          <w:szCs w:val="24"/>
          <w:lang w:eastAsia="pl-PL"/>
        </w:rPr>
        <w:t xml:space="preserve"> projektowana zmiana</w:t>
      </w:r>
      <w:r w:rsidR="00190A4D" w:rsidRPr="00BE264C">
        <w:rPr>
          <w:rFonts w:ascii="Times New Roman" w:eastAsia="Times New Roman" w:hAnsi="Times New Roman" w:cs="Times New Roman"/>
          <w:bCs/>
          <w:sz w:val="24"/>
          <w:szCs w:val="24"/>
          <w:lang w:eastAsia="pl-PL"/>
        </w:rPr>
        <w:t xml:space="preserve"> </w:t>
      </w:r>
      <w:r w:rsidR="006D0947" w:rsidRPr="00BE264C">
        <w:rPr>
          <w:rFonts w:ascii="Times New Roman" w:eastAsia="Times New Roman" w:hAnsi="Times New Roman" w:cs="Times New Roman"/>
          <w:bCs/>
          <w:sz w:val="24"/>
          <w:szCs w:val="24"/>
          <w:lang w:eastAsia="pl-PL"/>
        </w:rPr>
        <w:t xml:space="preserve">ma charakter dostosowujący i wynika z wprowadzenia do projektowanej ustawy </w:t>
      </w:r>
      <w:r w:rsidR="00A03DC4" w:rsidRPr="00BE264C">
        <w:rPr>
          <w:rFonts w:ascii="Times New Roman" w:eastAsia="Times New Roman" w:hAnsi="Times New Roman" w:cs="Times New Roman"/>
          <w:bCs/>
          <w:sz w:val="24"/>
          <w:szCs w:val="24"/>
          <w:lang w:eastAsia="pl-PL"/>
        </w:rPr>
        <w:t xml:space="preserve">przepisów </w:t>
      </w:r>
      <w:r w:rsidR="006D0947" w:rsidRPr="00BE264C">
        <w:rPr>
          <w:rFonts w:ascii="Times New Roman" w:eastAsia="Times New Roman" w:hAnsi="Times New Roman" w:cs="Times New Roman"/>
          <w:bCs/>
          <w:sz w:val="24"/>
          <w:szCs w:val="24"/>
          <w:lang w:eastAsia="pl-PL"/>
        </w:rPr>
        <w:t>dotycząc</w:t>
      </w:r>
      <w:r w:rsidR="00A03DC4" w:rsidRPr="00BE264C">
        <w:rPr>
          <w:rFonts w:ascii="Times New Roman" w:eastAsia="Times New Roman" w:hAnsi="Times New Roman" w:cs="Times New Roman"/>
          <w:bCs/>
          <w:sz w:val="24"/>
          <w:szCs w:val="24"/>
          <w:lang w:eastAsia="pl-PL"/>
        </w:rPr>
        <w:t>ych</w:t>
      </w:r>
      <w:r w:rsidR="006D0947" w:rsidRPr="00BE264C">
        <w:rPr>
          <w:rFonts w:ascii="Times New Roman" w:eastAsia="Times New Roman" w:hAnsi="Times New Roman" w:cs="Times New Roman"/>
          <w:bCs/>
          <w:sz w:val="24"/>
          <w:szCs w:val="24"/>
          <w:lang w:eastAsia="pl-PL"/>
        </w:rPr>
        <w:t xml:space="preserve"> zasad podejmowania i prowadzenia działalności przez oddziały </w:t>
      </w:r>
      <w:r w:rsidR="00A03DC4" w:rsidRPr="00BE264C">
        <w:rPr>
          <w:rFonts w:ascii="Times New Roman" w:eastAsia="Times New Roman" w:hAnsi="Times New Roman" w:cs="Times New Roman"/>
          <w:bCs/>
          <w:sz w:val="24"/>
          <w:szCs w:val="24"/>
          <w:lang w:eastAsia="pl-PL"/>
        </w:rPr>
        <w:t>z państw trzecich</w:t>
      </w:r>
      <w:r w:rsidR="00224641" w:rsidRPr="00BE264C">
        <w:rPr>
          <w:rFonts w:ascii="Times New Roman" w:eastAsia="Times New Roman" w:hAnsi="Times New Roman" w:cs="Times New Roman"/>
          <w:bCs/>
          <w:sz w:val="24"/>
          <w:szCs w:val="24"/>
          <w:lang w:eastAsia="pl-PL"/>
        </w:rPr>
        <w:t xml:space="preserve"> </w:t>
      </w:r>
      <w:r w:rsidR="006D0947" w:rsidRPr="00BE264C">
        <w:rPr>
          <w:rFonts w:ascii="Times New Roman" w:eastAsia="Times New Roman" w:hAnsi="Times New Roman" w:cs="Times New Roman"/>
          <w:bCs/>
          <w:sz w:val="24"/>
          <w:szCs w:val="24"/>
          <w:lang w:eastAsia="pl-PL"/>
        </w:rPr>
        <w:t>na terytorium Rzeczypospolitej Polskiej</w:t>
      </w:r>
      <w:r w:rsidR="00BD5787" w:rsidRPr="00BE264C">
        <w:rPr>
          <w:rFonts w:ascii="Times New Roman" w:eastAsia="Times New Roman" w:hAnsi="Times New Roman" w:cs="Times New Roman"/>
          <w:bCs/>
          <w:sz w:val="24"/>
          <w:szCs w:val="24"/>
          <w:lang w:eastAsia="pl-PL"/>
        </w:rPr>
        <w:t>,</w:t>
      </w:r>
    </w:p>
    <w:p w14:paraId="770B6986" w14:textId="3887016A" w:rsidR="003D357A" w:rsidRPr="00BE264C" w:rsidRDefault="006D0947"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AE43FB" w:rsidRPr="00BE264C">
        <w:rPr>
          <w:rFonts w:ascii="Times New Roman" w:eastAsia="Times New Roman" w:hAnsi="Times New Roman" w:cs="Times New Roman"/>
          <w:bCs/>
          <w:sz w:val="24"/>
          <w:szCs w:val="24"/>
          <w:lang w:eastAsia="pl-PL"/>
        </w:rPr>
        <w:t>h</w:t>
      </w:r>
      <w:r w:rsidRPr="00BE264C">
        <w:rPr>
          <w:rFonts w:ascii="Times New Roman" w:eastAsia="Times New Roman" w:hAnsi="Times New Roman" w:cs="Times New Roman"/>
          <w:bCs/>
          <w:sz w:val="24"/>
          <w:szCs w:val="24"/>
          <w:lang w:eastAsia="pl-PL"/>
        </w:rPr>
        <w:t xml:space="preserve"> </w:t>
      </w:r>
      <w:r w:rsidR="003D357A" w:rsidRPr="00BE264C">
        <w:rPr>
          <w:rFonts w:ascii="Times New Roman" w:eastAsia="Times New Roman" w:hAnsi="Times New Roman" w:cs="Times New Roman"/>
          <w:bCs/>
          <w:sz w:val="24"/>
          <w:szCs w:val="24"/>
          <w:lang w:eastAsia="pl-PL"/>
        </w:rPr>
        <w:t>wprowadzono możliwość nałożenia na bank,</w:t>
      </w:r>
      <w:r w:rsidR="002C005B" w:rsidRPr="009858C9">
        <w:rPr>
          <w:rFonts w:ascii="Times New Roman" w:hAnsi="Times New Roman" w:cs="Times New Roman"/>
          <w:sz w:val="24"/>
          <w:szCs w:val="24"/>
        </w:rPr>
        <w:t xml:space="preserve"> </w:t>
      </w:r>
      <w:r w:rsidR="002C005B" w:rsidRPr="00BE264C">
        <w:rPr>
          <w:rFonts w:ascii="Times New Roman" w:eastAsia="Times New Roman" w:hAnsi="Times New Roman" w:cs="Times New Roman"/>
          <w:bCs/>
          <w:sz w:val="24"/>
          <w:szCs w:val="24"/>
          <w:lang w:eastAsia="pl-PL"/>
        </w:rPr>
        <w:t>o którym mowa w art. 111 ustawy z dnia 29 lipca 2005 r. o obrocie instrumentami finansowymi,</w:t>
      </w:r>
      <w:r w:rsidR="003D357A" w:rsidRPr="00BE264C">
        <w:rPr>
          <w:rFonts w:ascii="Times New Roman" w:eastAsia="Times New Roman" w:hAnsi="Times New Roman" w:cs="Times New Roman"/>
          <w:bCs/>
          <w:sz w:val="24"/>
          <w:szCs w:val="24"/>
          <w:lang w:eastAsia="pl-PL"/>
        </w:rPr>
        <w:t xml:space="preserve"> dokonującego naruszeń</w:t>
      </w:r>
      <w:r w:rsidR="002C005B" w:rsidRPr="00BE264C">
        <w:rPr>
          <w:rFonts w:ascii="Times New Roman" w:eastAsia="Times New Roman" w:hAnsi="Times New Roman" w:cs="Times New Roman"/>
          <w:bCs/>
          <w:sz w:val="24"/>
          <w:szCs w:val="24"/>
          <w:lang w:eastAsia="pl-PL"/>
        </w:rPr>
        <w:t xml:space="preserve"> określonych przepisów tej ustawy</w:t>
      </w:r>
      <w:r w:rsidR="003D357A" w:rsidRPr="00BE264C">
        <w:rPr>
          <w:rFonts w:ascii="Times New Roman" w:eastAsia="Times New Roman" w:hAnsi="Times New Roman" w:cs="Times New Roman"/>
          <w:bCs/>
          <w:sz w:val="24"/>
          <w:szCs w:val="24"/>
          <w:lang w:eastAsia="pl-PL"/>
        </w:rPr>
        <w:t>, karę pieniężną do wysokości kwoty stanowiącej równowartość 10</w:t>
      </w:r>
      <w:r w:rsidR="006B637B">
        <w:rPr>
          <w:rFonts w:ascii="Times New Roman" w:eastAsia="Times New Roman" w:hAnsi="Times New Roman" w:cs="Times New Roman"/>
          <w:bCs/>
          <w:sz w:val="24"/>
          <w:szCs w:val="24"/>
          <w:lang w:eastAsia="pl-PL"/>
        </w:rPr>
        <w:t xml:space="preserve"> </w:t>
      </w:r>
      <w:r w:rsidR="003D357A" w:rsidRPr="00BE264C">
        <w:rPr>
          <w:rFonts w:ascii="Times New Roman" w:eastAsia="Times New Roman" w:hAnsi="Times New Roman" w:cs="Times New Roman"/>
          <w:bCs/>
          <w:sz w:val="24"/>
          <w:szCs w:val="24"/>
          <w:lang w:eastAsia="pl-PL"/>
        </w:rPr>
        <w:t xml:space="preserve">% całkowitego rocznego </w:t>
      </w:r>
      <w:r w:rsidR="00CF3A09" w:rsidRPr="00BE264C">
        <w:rPr>
          <w:rFonts w:ascii="Times New Roman" w:eastAsia="Times New Roman" w:hAnsi="Times New Roman" w:cs="Times New Roman"/>
          <w:bCs/>
          <w:sz w:val="24"/>
          <w:szCs w:val="24"/>
          <w:lang w:eastAsia="pl-PL"/>
        </w:rPr>
        <w:t xml:space="preserve">obrotu </w:t>
      </w:r>
      <w:r w:rsidR="003D357A" w:rsidRPr="00BE264C">
        <w:rPr>
          <w:rFonts w:ascii="Times New Roman" w:eastAsia="Times New Roman" w:hAnsi="Times New Roman" w:cs="Times New Roman"/>
          <w:bCs/>
          <w:sz w:val="24"/>
          <w:szCs w:val="24"/>
          <w:lang w:eastAsia="pl-PL"/>
        </w:rPr>
        <w:t xml:space="preserve">netto </w:t>
      </w:r>
      <w:r w:rsidR="00BD5787" w:rsidRPr="00BE264C">
        <w:rPr>
          <w:rFonts w:ascii="Times New Roman" w:eastAsia="Times New Roman" w:hAnsi="Times New Roman" w:cs="Times New Roman"/>
          <w:bCs/>
          <w:sz w:val="24"/>
          <w:szCs w:val="24"/>
          <w:lang w:eastAsia="pl-PL"/>
        </w:rPr>
        <w:t>albo</w:t>
      </w:r>
      <w:r w:rsidR="003D357A" w:rsidRPr="00BE264C">
        <w:rPr>
          <w:rFonts w:ascii="Times New Roman" w:eastAsia="Times New Roman" w:hAnsi="Times New Roman" w:cs="Times New Roman"/>
          <w:bCs/>
          <w:sz w:val="24"/>
          <w:szCs w:val="24"/>
          <w:lang w:eastAsia="pl-PL"/>
        </w:rPr>
        <w:t xml:space="preserve"> karę pieniężną do wysokości kwoty stanowiącej równowartość 5</w:t>
      </w:r>
      <w:r w:rsidR="006B637B">
        <w:rPr>
          <w:rFonts w:ascii="Times New Roman" w:eastAsia="Times New Roman" w:hAnsi="Times New Roman" w:cs="Times New Roman"/>
          <w:bCs/>
          <w:sz w:val="24"/>
          <w:szCs w:val="24"/>
          <w:lang w:eastAsia="pl-PL"/>
        </w:rPr>
        <w:t xml:space="preserve"> </w:t>
      </w:r>
      <w:r w:rsidR="003D357A" w:rsidRPr="00BE264C">
        <w:rPr>
          <w:rFonts w:ascii="Times New Roman" w:eastAsia="Times New Roman" w:hAnsi="Times New Roman" w:cs="Times New Roman"/>
          <w:bCs/>
          <w:sz w:val="24"/>
          <w:szCs w:val="24"/>
          <w:lang w:eastAsia="pl-PL"/>
        </w:rPr>
        <w:t xml:space="preserve">% średniego dziennego </w:t>
      </w:r>
      <w:r w:rsidR="00CF3A09" w:rsidRPr="00BE264C">
        <w:rPr>
          <w:rFonts w:ascii="Times New Roman" w:eastAsia="Times New Roman" w:hAnsi="Times New Roman" w:cs="Times New Roman"/>
          <w:bCs/>
          <w:sz w:val="24"/>
          <w:szCs w:val="24"/>
          <w:lang w:eastAsia="pl-PL"/>
        </w:rPr>
        <w:t xml:space="preserve">obrotu </w:t>
      </w:r>
      <w:r w:rsidR="003D357A" w:rsidRPr="00BE264C">
        <w:rPr>
          <w:rFonts w:ascii="Times New Roman" w:eastAsia="Times New Roman" w:hAnsi="Times New Roman" w:cs="Times New Roman"/>
          <w:bCs/>
          <w:sz w:val="24"/>
          <w:szCs w:val="24"/>
          <w:lang w:eastAsia="pl-PL"/>
        </w:rPr>
        <w:t>netto, przez okres nie dłuższy niż sześć miesięcy od daty określonej w decyzji</w:t>
      </w:r>
      <w:r w:rsidR="00665AD7" w:rsidRPr="00BE264C">
        <w:rPr>
          <w:rFonts w:ascii="Times New Roman" w:eastAsia="Times New Roman" w:hAnsi="Times New Roman" w:cs="Times New Roman"/>
          <w:bCs/>
          <w:sz w:val="24"/>
          <w:szCs w:val="24"/>
          <w:lang w:eastAsia="pl-PL"/>
        </w:rPr>
        <w:t>;</w:t>
      </w:r>
      <w:r w:rsidR="00AE43FB" w:rsidRPr="00BE264C">
        <w:rPr>
          <w:rFonts w:ascii="Times New Roman" w:eastAsia="Times New Roman" w:hAnsi="Times New Roman" w:cs="Times New Roman"/>
          <w:bCs/>
          <w:sz w:val="24"/>
          <w:szCs w:val="24"/>
          <w:lang w:eastAsia="pl-PL"/>
        </w:rPr>
        <w:t xml:space="preserve"> uzupełniono także zakres zmienianego przepisu poprzez wprowadzenie możliwości nałożenia</w:t>
      </w:r>
      <w:r w:rsidR="00AE43FB" w:rsidRPr="00BE264C">
        <w:rPr>
          <w:rFonts w:ascii="Times New Roman" w:eastAsiaTheme="minorEastAsia" w:hAnsi="Times New Roman" w:cs="Times New Roman"/>
          <w:sz w:val="24"/>
          <w:szCs w:val="24"/>
          <w:lang w:eastAsia="pl-PL"/>
        </w:rPr>
        <w:t xml:space="preserve"> </w:t>
      </w:r>
      <w:r w:rsidR="00AE43FB" w:rsidRPr="00BE264C">
        <w:rPr>
          <w:rFonts w:ascii="Times New Roman" w:eastAsia="Times New Roman" w:hAnsi="Times New Roman" w:cs="Times New Roman"/>
          <w:bCs/>
          <w:sz w:val="24"/>
          <w:szCs w:val="24"/>
          <w:lang w:eastAsia="pl-PL"/>
        </w:rPr>
        <w:t>na osoby odpowiedzialne za zaistniałe naruszenie</w:t>
      </w:r>
      <w:r w:rsidR="00665AD7" w:rsidRPr="00BE264C">
        <w:rPr>
          <w:rFonts w:ascii="Times New Roman" w:eastAsia="Times New Roman" w:hAnsi="Times New Roman" w:cs="Times New Roman"/>
          <w:bCs/>
          <w:sz w:val="24"/>
          <w:szCs w:val="24"/>
          <w:lang w:eastAsia="pl-PL"/>
        </w:rPr>
        <w:t xml:space="preserve"> </w:t>
      </w:r>
      <w:r w:rsidR="00AE43FB" w:rsidRPr="00BE264C">
        <w:rPr>
          <w:rFonts w:ascii="Times New Roman" w:eastAsia="Times New Roman" w:hAnsi="Times New Roman" w:cs="Times New Roman"/>
          <w:bCs/>
          <w:sz w:val="24"/>
          <w:szCs w:val="24"/>
          <w:lang w:eastAsia="pl-PL"/>
        </w:rPr>
        <w:t xml:space="preserve">jednorazowej kary pieniężnej do wysokości dwukrotności kwoty korzyści uzyskanych lub strat unikniętych w wyniku naruszenia – w przypadku gdy jest możliwe ich ustalenie (analogicznie do zmiany wprowadzonej w lit. e); </w:t>
      </w:r>
      <w:r w:rsidR="00665AD7" w:rsidRPr="00BE264C">
        <w:rPr>
          <w:rFonts w:ascii="Times New Roman" w:eastAsia="Times New Roman" w:hAnsi="Times New Roman" w:cs="Times New Roman"/>
          <w:bCs/>
          <w:sz w:val="24"/>
          <w:szCs w:val="24"/>
          <w:lang w:eastAsia="pl-PL"/>
        </w:rPr>
        <w:t>ponadto, w</w:t>
      </w:r>
      <w:r w:rsidR="001F09C1" w:rsidRPr="00BE264C">
        <w:rPr>
          <w:rFonts w:ascii="Times New Roman" w:eastAsia="Times New Roman" w:hAnsi="Times New Roman" w:cs="Times New Roman"/>
          <w:bCs/>
          <w:sz w:val="24"/>
          <w:szCs w:val="24"/>
          <w:lang w:eastAsia="pl-PL"/>
        </w:rPr>
        <w:t> </w:t>
      </w:r>
      <w:r w:rsidR="00665AD7" w:rsidRPr="00BE264C">
        <w:rPr>
          <w:rFonts w:ascii="Times New Roman" w:eastAsia="Times New Roman" w:hAnsi="Times New Roman" w:cs="Times New Roman"/>
          <w:bCs/>
          <w:sz w:val="24"/>
          <w:szCs w:val="24"/>
          <w:lang w:eastAsia="pl-PL"/>
        </w:rPr>
        <w:t xml:space="preserve">związku ze </w:t>
      </w:r>
      <w:bookmarkStart w:id="5" w:name="_Hlk191282108"/>
      <w:r w:rsidR="00665AD7" w:rsidRPr="00BE264C">
        <w:rPr>
          <w:rFonts w:ascii="Times New Roman" w:eastAsia="Times New Roman" w:hAnsi="Times New Roman" w:cs="Times New Roman"/>
          <w:bCs/>
          <w:sz w:val="24"/>
          <w:szCs w:val="24"/>
          <w:lang w:eastAsia="pl-PL"/>
        </w:rPr>
        <w:t>zmianą definicji osób pełniących kluczowe funkcje i definicji kadry kierowniczej wyższego szczebla</w:t>
      </w:r>
      <w:bookmarkEnd w:id="5"/>
      <w:r w:rsidR="00665AD7" w:rsidRPr="00BE264C">
        <w:rPr>
          <w:rFonts w:ascii="Times New Roman" w:eastAsia="Times New Roman" w:hAnsi="Times New Roman" w:cs="Times New Roman"/>
          <w:bCs/>
          <w:sz w:val="24"/>
          <w:szCs w:val="24"/>
          <w:lang w:eastAsia="pl-PL"/>
        </w:rPr>
        <w:t>, poszerzono zakres osób</w:t>
      </w:r>
      <w:r w:rsidR="002058BB" w:rsidRPr="00BE264C">
        <w:rPr>
          <w:rFonts w:ascii="Times New Roman" w:eastAsia="Times New Roman" w:hAnsi="Times New Roman" w:cs="Times New Roman"/>
          <w:bCs/>
          <w:sz w:val="24"/>
          <w:szCs w:val="24"/>
          <w:lang w:eastAsia="pl-PL"/>
        </w:rPr>
        <w:t xml:space="preserve">, na które może zostać nałożona kara zawieszenia w </w:t>
      </w:r>
      <w:r w:rsidR="00C57625" w:rsidRPr="00BE264C">
        <w:rPr>
          <w:rFonts w:ascii="Times New Roman" w:eastAsia="Times New Roman" w:hAnsi="Times New Roman" w:cs="Times New Roman"/>
          <w:bCs/>
          <w:sz w:val="24"/>
          <w:szCs w:val="24"/>
          <w:lang w:eastAsia="pl-PL"/>
        </w:rPr>
        <w:t>czynnościach</w:t>
      </w:r>
      <w:r w:rsidR="00BD5787" w:rsidRPr="00BE264C">
        <w:rPr>
          <w:rFonts w:ascii="Times New Roman" w:eastAsia="Times New Roman" w:hAnsi="Times New Roman" w:cs="Times New Roman"/>
          <w:bCs/>
          <w:sz w:val="24"/>
          <w:szCs w:val="24"/>
          <w:lang w:eastAsia="pl-PL"/>
        </w:rPr>
        <w:t>,</w:t>
      </w:r>
    </w:p>
    <w:p w14:paraId="3B8B7153" w14:textId="3C052B1A" w:rsidR="002C005B" w:rsidRPr="00BE264C" w:rsidRDefault="00C57625"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lastRenderedPageBreak/>
        <w:t>w lit</w:t>
      </w:r>
      <w:r w:rsidR="001F09C1" w:rsidRPr="00BE264C">
        <w:rPr>
          <w:rFonts w:ascii="Times New Roman" w:eastAsia="Times New Roman" w:hAnsi="Times New Roman" w:cs="Times New Roman"/>
          <w:bCs/>
          <w:sz w:val="24"/>
          <w:szCs w:val="24"/>
          <w:lang w:eastAsia="pl-PL"/>
        </w:rPr>
        <w:t>.</w:t>
      </w:r>
      <w:r w:rsidRPr="00BE264C">
        <w:rPr>
          <w:rFonts w:ascii="Times New Roman" w:eastAsia="Times New Roman" w:hAnsi="Times New Roman" w:cs="Times New Roman"/>
          <w:bCs/>
          <w:sz w:val="24"/>
          <w:szCs w:val="24"/>
          <w:lang w:eastAsia="pl-PL"/>
        </w:rPr>
        <w:t xml:space="preserve"> </w:t>
      </w:r>
      <w:r w:rsidR="00AE43FB" w:rsidRPr="00BE264C">
        <w:rPr>
          <w:rFonts w:ascii="Times New Roman" w:eastAsia="Times New Roman" w:hAnsi="Times New Roman" w:cs="Times New Roman"/>
          <w:bCs/>
          <w:sz w:val="24"/>
          <w:szCs w:val="24"/>
          <w:lang w:eastAsia="pl-PL"/>
        </w:rPr>
        <w:t>i</w:t>
      </w:r>
      <w:r w:rsidRPr="00BE264C">
        <w:rPr>
          <w:rFonts w:ascii="Times New Roman" w:eastAsia="Times New Roman" w:hAnsi="Times New Roman" w:cs="Times New Roman"/>
          <w:bCs/>
          <w:sz w:val="24"/>
          <w:szCs w:val="24"/>
          <w:lang w:eastAsia="pl-PL"/>
        </w:rPr>
        <w:t xml:space="preserve"> </w:t>
      </w:r>
      <w:r w:rsidR="002C005B" w:rsidRPr="00BE264C">
        <w:rPr>
          <w:rFonts w:ascii="Times New Roman" w:eastAsia="Times New Roman" w:hAnsi="Times New Roman" w:cs="Times New Roman"/>
          <w:bCs/>
          <w:sz w:val="24"/>
          <w:szCs w:val="24"/>
          <w:lang w:eastAsia="pl-PL"/>
        </w:rPr>
        <w:t>wprowadzono możliwość nałożenia na bank, w przypadku naruszenia art. 127b ust. 1 ustawy</w:t>
      </w:r>
      <w:r w:rsidR="00A03DC4" w:rsidRPr="00BE264C">
        <w:rPr>
          <w:rFonts w:ascii="Times New Roman" w:eastAsia="Times New Roman" w:hAnsi="Times New Roman" w:cs="Times New Roman"/>
          <w:bCs/>
          <w:sz w:val="24"/>
          <w:szCs w:val="24"/>
          <w:lang w:eastAsia="pl-PL"/>
        </w:rPr>
        <w:t xml:space="preserve"> – Prawo bankowe</w:t>
      </w:r>
      <w:r w:rsidR="002C005B" w:rsidRPr="00BE264C">
        <w:rPr>
          <w:rFonts w:ascii="Times New Roman" w:eastAsia="Times New Roman" w:hAnsi="Times New Roman" w:cs="Times New Roman"/>
          <w:bCs/>
          <w:sz w:val="24"/>
          <w:szCs w:val="24"/>
          <w:lang w:eastAsia="pl-PL"/>
        </w:rPr>
        <w:t>, karę pieniężną do wysokości kwoty stanowiącej równowartość 10</w:t>
      </w:r>
      <w:r w:rsidR="006B637B">
        <w:rPr>
          <w:rFonts w:ascii="Times New Roman" w:eastAsia="Times New Roman" w:hAnsi="Times New Roman" w:cs="Times New Roman"/>
          <w:bCs/>
          <w:sz w:val="24"/>
          <w:szCs w:val="24"/>
          <w:lang w:eastAsia="pl-PL"/>
        </w:rPr>
        <w:t xml:space="preserve"> </w:t>
      </w:r>
      <w:r w:rsidR="002C005B" w:rsidRPr="00BE264C">
        <w:rPr>
          <w:rFonts w:ascii="Times New Roman" w:eastAsia="Times New Roman" w:hAnsi="Times New Roman" w:cs="Times New Roman"/>
          <w:bCs/>
          <w:sz w:val="24"/>
          <w:szCs w:val="24"/>
          <w:lang w:eastAsia="pl-PL"/>
        </w:rPr>
        <w:t xml:space="preserve">% całkowitego rocznego </w:t>
      </w:r>
      <w:r w:rsidR="00CF3A09" w:rsidRPr="00BE264C">
        <w:rPr>
          <w:rFonts w:ascii="Times New Roman" w:eastAsia="Times New Roman" w:hAnsi="Times New Roman" w:cs="Times New Roman"/>
          <w:bCs/>
          <w:sz w:val="24"/>
          <w:szCs w:val="24"/>
          <w:lang w:eastAsia="pl-PL"/>
        </w:rPr>
        <w:t xml:space="preserve">obrotu </w:t>
      </w:r>
      <w:r w:rsidR="002C005B" w:rsidRPr="00BE264C">
        <w:rPr>
          <w:rFonts w:ascii="Times New Roman" w:eastAsia="Times New Roman" w:hAnsi="Times New Roman" w:cs="Times New Roman"/>
          <w:bCs/>
          <w:sz w:val="24"/>
          <w:szCs w:val="24"/>
          <w:lang w:eastAsia="pl-PL"/>
        </w:rPr>
        <w:t xml:space="preserve">netto </w:t>
      </w:r>
      <w:r w:rsidR="00BD5787" w:rsidRPr="00BE264C">
        <w:rPr>
          <w:rFonts w:ascii="Times New Roman" w:eastAsia="Times New Roman" w:hAnsi="Times New Roman" w:cs="Times New Roman"/>
          <w:bCs/>
          <w:sz w:val="24"/>
          <w:szCs w:val="24"/>
          <w:lang w:eastAsia="pl-PL"/>
        </w:rPr>
        <w:t>albo</w:t>
      </w:r>
      <w:r w:rsidR="002C005B" w:rsidRPr="00BE264C">
        <w:rPr>
          <w:rFonts w:ascii="Times New Roman" w:eastAsia="Times New Roman" w:hAnsi="Times New Roman" w:cs="Times New Roman"/>
          <w:bCs/>
          <w:sz w:val="24"/>
          <w:szCs w:val="24"/>
          <w:lang w:eastAsia="pl-PL"/>
        </w:rPr>
        <w:t xml:space="preserve"> karę pieniężną do wysokości kwoty stanowiącej równowartość 5</w:t>
      </w:r>
      <w:r w:rsidR="006B637B">
        <w:rPr>
          <w:rFonts w:ascii="Times New Roman" w:eastAsia="Times New Roman" w:hAnsi="Times New Roman" w:cs="Times New Roman"/>
          <w:bCs/>
          <w:sz w:val="24"/>
          <w:szCs w:val="24"/>
          <w:lang w:eastAsia="pl-PL"/>
        </w:rPr>
        <w:t xml:space="preserve"> </w:t>
      </w:r>
      <w:r w:rsidR="002C005B" w:rsidRPr="00BE264C">
        <w:rPr>
          <w:rFonts w:ascii="Times New Roman" w:eastAsia="Times New Roman" w:hAnsi="Times New Roman" w:cs="Times New Roman"/>
          <w:bCs/>
          <w:sz w:val="24"/>
          <w:szCs w:val="24"/>
          <w:lang w:eastAsia="pl-PL"/>
        </w:rPr>
        <w:t xml:space="preserve">% średniego dziennego </w:t>
      </w:r>
      <w:r w:rsidR="00CF3A09" w:rsidRPr="00BE264C">
        <w:rPr>
          <w:rFonts w:ascii="Times New Roman" w:eastAsia="Times New Roman" w:hAnsi="Times New Roman" w:cs="Times New Roman"/>
          <w:bCs/>
          <w:sz w:val="24"/>
          <w:szCs w:val="24"/>
          <w:lang w:eastAsia="pl-PL"/>
        </w:rPr>
        <w:t xml:space="preserve">obrotu </w:t>
      </w:r>
      <w:r w:rsidR="002C005B" w:rsidRPr="00BE264C">
        <w:rPr>
          <w:rFonts w:ascii="Times New Roman" w:eastAsia="Times New Roman" w:hAnsi="Times New Roman" w:cs="Times New Roman"/>
          <w:bCs/>
          <w:sz w:val="24"/>
          <w:szCs w:val="24"/>
          <w:lang w:eastAsia="pl-PL"/>
        </w:rPr>
        <w:t xml:space="preserve">netto, przez okres nie dłuższy niż sześć miesięcy od daty określonej w decyzji; ponadto, wprowadzono możliwość nałożenia na osobę odpowiedzialną za zaistniałe naruszenie kary pieniężnej do wysokości 21 312 000 zł </w:t>
      </w:r>
      <w:r w:rsidR="00BD5787" w:rsidRPr="00BE264C">
        <w:rPr>
          <w:rFonts w:ascii="Times New Roman" w:eastAsia="Times New Roman" w:hAnsi="Times New Roman" w:cs="Times New Roman"/>
          <w:bCs/>
          <w:sz w:val="24"/>
          <w:szCs w:val="24"/>
          <w:lang w:eastAsia="pl-PL"/>
        </w:rPr>
        <w:t>albo</w:t>
      </w:r>
      <w:r w:rsidR="002C005B" w:rsidRPr="00BE264C">
        <w:rPr>
          <w:rFonts w:ascii="Times New Roman" w:eastAsia="Times New Roman" w:hAnsi="Times New Roman" w:cs="Times New Roman"/>
          <w:bCs/>
          <w:sz w:val="24"/>
          <w:szCs w:val="24"/>
          <w:lang w:eastAsia="pl-PL"/>
        </w:rPr>
        <w:t xml:space="preserve"> kary pieniężnej do wysokości 213 165 zł za każdy dzień trwającego naruszenia do dnia przywrócenia </w:t>
      </w:r>
      <w:r w:rsidR="00110B6D" w:rsidRPr="00BE264C">
        <w:rPr>
          <w:rFonts w:ascii="Times New Roman" w:eastAsia="Times New Roman" w:hAnsi="Times New Roman" w:cs="Times New Roman"/>
          <w:bCs/>
          <w:sz w:val="24"/>
          <w:szCs w:val="24"/>
          <w:lang w:eastAsia="pl-PL"/>
        </w:rPr>
        <w:t xml:space="preserve">stanu </w:t>
      </w:r>
      <w:r w:rsidR="002C005B" w:rsidRPr="00BE264C">
        <w:rPr>
          <w:rFonts w:ascii="Times New Roman" w:eastAsia="Times New Roman" w:hAnsi="Times New Roman" w:cs="Times New Roman"/>
          <w:bCs/>
          <w:sz w:val="24"/>
          <w:szCs w:val="24"/>
          <w:lang w:eastAsia="pl-PL"/>
        </w:rPr>
        <w:t>zgodności z prawem, przez okres nie dłuższy niż sześć miesięcy od daty określonej w decyzji</w:t>
      </w:r>
      <w:r w:rsidR="00BD5787" w:rsidRPr="00BE264C">
        <w:rPr>
          <w:rFonts w:ascii="Times New Roman" w:eastAsia="Times New Roman" w:hAnsi="Times New Roman" w:cs="Times New Roman"/>
          <w:bCs/>
          <w:sz w:val="24"/>
          <w:szCs w:val="24"/>
          <w:lang w:eastAsia="pl-PL"/>
        </w:rPr>
        <w:t>,</w:t>
      </w:r>
    </w:p>
    <w:p w14:paraId="5DA89CDB" w14:textId="053DA9ED" w:rsidR="002C005B" w:rsidRPr="00BE264C" w:rsidRDefault="002C005B"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lit</w:t>
      </w:r>
      <w:r w:rsidR="001F09C1" w:rsidRPr="00BE264C">
        <w:rPr>
          <w:rFonts w:ascii="Times New Roman" w:eastAsia="Times New Roman" w:hAnsi="Times New Roman" w:cs="Times New Roman"/>
          <w:bCs/>
          <w:sz w:val="24"/>
          <w:szCs w:val="24"/>
          <w:lang w:eastAsia="pl-PL"/>
        </w:rPr>
        <w:t>.</w:t>
      </w:r>
      <w:r w:rsidRPr="00BE264C">
        <w:rPr>
          <w:rFonts w:ascii="Times New Roman" w:eastAsia="Times New Roman" w:hAnsi="Times New Roman" w:cs="Times New Roman"/>
          <w:bCs/>
          <w:sz w:val="24"/>
          <w:szCs w:val="24"/>
          <w:lang w:eastAsia="pl-PL"/>
        </w:rPr>
        <w:t xml:space="preserve"> </w:t>
      </w:r>
      <w:r w:rsidR="00820F77" w:rsidRPr="00BE264C">
        <w:rPr>
          <w:rFonts w:ascii="Times New Roman" w:eastAsia="Times New Roman" w:hAnsi="Times New Roman" w:cs="Times New Roman"/>
          <w:bCs/>
          <w:sz w:val="24"/>
          <w:szCs w:val="24"/>
          <w:lang w:eastAsia="pl-PL"/>
        </w:rPr>
        <w:t>j</w:t>
      </w:r>
      <w:r w:rsidRPr="00BE264C">
        <w:rPr>
          <w:rFonts w:ascii="Times New Roman" w:eastAsia="Times New Roman" w:hAnsi="Times New Roman" w:cs="Times New Roman"/>
          <w:bCs/>
          <w:sz w:val="24"/>
          <w:szCs w:val="24"/>
          <w:lang w:eastAsia="pl-PL"/>
        </w:rPr>
        <w:t xml:space="preserve"> </w:t>
      </w:r>
      <w:r w:rsidR="00064B68" w:rsidRPr="00BE264C">
        <w:rPr>
          <w:rFonts w:ascii="Times New Roman" w:eastAsia="Times New Roman" w:hAnsi="Times New Roman" w:cs="Times New Roman"/>
          <w:bCs/>
          <w:sz w:val="24"/>
          <w:szCs w:val="24"/>
          <w:lang w:eastAsia="pl-PL"/>
        </w:rPr>
        <w:t>projektowana</w:t>
      </w:r>
      <w:r w:rsidRPr="00BE264C">
        <w:rPr>
          <w:rFonts w:ascii="Times New Roman" w:eastAsia="Times New Roman" w:hAnsi="Times New Roman" w:cs="Times New Roman"/>
          <w:bCs/>
          <w:sz w:val="24"/>
          <w:szCs w:val="24"/>
          <w:lang w:eastAsia="pl-PL"/>
        </w:rPr>
        <w:t xml:space="preserve"> zmiana ma charakter </w:t>
      </w:r>
      <w:r w:rsidR="00064B68" w:rsidRPr="00BE264C">
        <w:rPr>
          <w:rFonts w:ascii="Times New Roman" w:eastAsia="Times New Roman" w:hAnsi="Times New Roman" w:cs="Times New Roman"/>
          <w:bCs/>
          <w:sz w:val="24"/>
          <w:szCs w:val="24"/>
          <w:lang w:eastAsia="pl-PL"/>
        </w:rPr>
        <w:t xml:space="preserve">dostosowujący i wynika z wprowadzenia definicji całkowitego rocznego </w:t>
      </w:r>
      <w:r w:rsidR="00CF3A09" w:rsidRPr="00BE264C">
        <w:rPr>
          <w:rFonts w:ascii="Times New Roman" w:eastAsia="Times New Roman" w:hAnsi="Times New Roman" w:cs="Times New Roman"/>
          <w:bCs/>
          <w:sz w:val="24"/>
          <w:szCs w:val="24"/>
          <w:lang w:eastAsia="pl-PL"/>
        </w:rPr>
        <w:t xml:space="preserve">obrotu </w:t>
      </w:r>
      <w:r w:rsidR="00064B68" w:rsidRPr="00BE264C">
        <w:rPr>
          <w:rFonts w:ascii="Times New Roman" w:eastAsia="Times New Roman" w:hAnsi="Times New Roman" w:cs="Times New Roman"/>
          <w:bCs/>
          <w:sz w:val="24"/>
          <w:szCs w:val="24"/>
          <w:lang w:eastAsia="pl-PL"/>
        </w:rPr>
        <w:t>netto</w:t>
      </w:r>
      <w:r w:rsidR="00BD5787" w:rsidRPr="00BE264C">
        <w:rPr>
          <w:rFonts w:ascii="Times New Roman" w:eastAsia="Times New Roman" w:hAnsi="Times New Roman" w:cs="Times New Roman"/>
          <w:bCs/>
          <w:sz w:val="24"/>
          <w:szCs w:val="24"/>
          <w:lang w:eastAsia="pl-PL"/>
        </w:rPr>
        <w:t>,</w:t>
      </w:r>
    </w:p>
    <w:p w14:paraId="60AA47C1" w14:textId="150025C4" w:rsidR="002C005B" w:rsidRPr="00BE264C" w:rsidRDefault="00064B68"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820F77" w:rsidRPr="00BE264C">
        <w:rPr>
          <w:rFonts w:ascii="Times New Roman" w:eastAsia="Times New Roman" w:hAnsi="Times New Roman" w:cs="Times New Roman"/>
          <w:bCs/>
          <w:sz w:val="24"/>
          <w:szCs w:val="24"/>
          <w:lang w:eastAsia="pl-PL"/>
        </w:rPr>
        <w:t>k</w:t>
      </w:r>
      <w:r w:rsidRPr="00BE264C">
        <w:rPr>
          <w:rFonts w:ascii="Times New Roman" w:eastAsia="Times New Roman" w:hAnsi="Times New Roman" w:cs="Times New Roman"/>
          <w:bCs/>
          <w:sz w:val="24"/>
          <w:szCs w:val="24"/>
          <w:lang w:eastAsia="pl-PL"/>
        </w:rPr>
        <w:t xml:space="preserve"> wprowadzona zmiana ma na celu zapewnienie uwzględniania przez KNF,</w:t>
      </w:r>
      <w:r w:rsidRPr="009858C9">
        <w:rPr>
          <w:rFonts w:ascii="Times New Roman" w:eastAsia="Times New Roman" w:hAnsi="Times New Roman" w:cs="Times New Roman"/>
          <w:sz w:val="24"/>
          <w:szCs w:val="24"/>
          <w:lang w:eastAsia="pl-PL"/>
        </w:rPr>
        <w:t xml:space="preserve"> </w:t>
      </w:r>
      <w:r w:rsidRPr="00BE264C">
        <w:rPr>
          <w:rFonts w:ascii="Times New Roman" w:eastAsia="Times New Roman" w:hAnsi="Times New Roman" w:cs="Times New Roman"/>
          <w:bCs/>
          <w:sz w:val="24"/>
          <w:szCs w:val="24"/>
          <w:lang w:eastAsia="pl-PL"/>
        </w:rPr>
        <w:t>przy podejmowaniu decyzji o nakładaniu kar administracyjnych, sankcji karnych uprzednio nałożonych na dany podmiot za t</w:t>
      </w:r>
      <w:r w:rsidR="00680E28" w:rsidRPr="00BE264C">
        <w:rPr>
          <w:rFonts w:ascii="Times New Roman" w:eastAsia="Times New Roman" w:hAnsi="Times New Roman" w:cs="Times New Roman"/>
          <w:bCs/>
          <w:sz w:val="24"/>
          <w:szCs w:val="24"/>
          <w:lang w:eastAsia="pl-PL"/>
        </w:rPr>
        <w:t>o</w:t>
      </w:r>
      <w:r w:rsidRPr="00BE264C">
        <w:rPr>
          <w:rFonts w:ascii="Times New Roman" w:eastAsia="Times New Roman" w:hAnsi="Times New Roman" w:cs="Times New Roman"/>
          <w:bCs/>
          <w:sz w:val="24"/>
          <w:szCs w:val="24"/>
          <w:lang w:eastAsia="pl-PL"/>
        </w:rPr>
        <w:t xml:space="preserve"> samo naruszenie</w:t>
      </w:r>
      <w:r w:rsidR="00BD5787" w:rsidRPr="00BE264C">
        <w:rPr>
          <w:rFonts w:ascii="Times New Roman" w:eastAsia="Times New Roman" w:hAnsi="Times New Roman" w:cs="Times New Roman"/>
          <w:bCs/>
          <w:sz w:val="24"/>
          <w:szCs w:val="24"/>
          <w:lang w:eastAsia="pl-PL"/>
        </w:rPr>
        <w:t>,</w:t>
      </w:r>
    </w:p>
    <w:p w14:paraId="35ADBAB6" w14:textId="5FF96E50" w:rsidR="007D3C64" w:rsidRPr="00BE264C" w:rsidRDefault="007D3C64" w:rsidP="009858C9">
      <w:pPr>
        <w:pStyle w:val="Akapitzlist"/>
        <w:numPr>
          <w:ilvl w:val="0"/>
          <w:numId w:val="16"/>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820F77" w:rsidRPr="00BE264C">
        <w:rPr>
          <w:rFonts w:ascii="Times New Roman" w:eastAsia="Times New Roman" w:hAnsi="Times New Roman" w:cs="Times New Roman"/>
          <w:bCs/>
          <w:sz w:val="24"/>
          <w:szCs w:val="24"/>
          <w:lang w:eastAsia="pl-PL"/>
        </w:rPr>
        <w:t>l</w:t>
      </w:r>
      <w:r w:rsidRPr="00BE264C">
        <w:rPr>
          <w:rFonts w:ascii="Times New Roman" w:eastAsia="Times New Roman" w:hAnsi="Times New Roman" w:cs="Times New Roman"/>
          <w:bCs/>
          <w:sz w:val="24"/>
          <w:szCs w:val="24"/>
          <w:lang w:eastAsia="pl-PL"/>
        </w:rPr>
        <w:t xml:space="preserve"> wprowadzona zmiana nadaje KNF uprawnienie do uchylenia zezwolenia na utworzenie banku i podjęcia decyzji o likwidacji banku</w:t>
      </w:r>
      <w:r w:rsidRPr="009858C9">
        <w:rPr>
          <w:rFonts w:ascii="Times New Roman" w:hAnsi="Times New Roman" w:cs="Times New Roman"/>
          <w:color w:val="000000"/>
          <w:sz w:val="24"/>
          <w:szCs w:val="24"/>
        </w:rPr>
        <w:t xml:space="preserve">, </w:t>
      </w:r>
      <w:r w:rsidRPr="00BE264C">
        <w:rPr>
          <w:rFonts w:ascii="Times New Roman" w:eastAsia="Times New Roman" w:hAnsi="Times New Roman" w:cs="Times New Roman"/>
          <w:bCs/>
          <w:sz w:val="24"/>
          <w:szCs w:val="24"/>
          <w:lang w:eastAsia="pl-PL"/>
        </w:rPr>
        <w:t xml:space="preserve">w przypadku gdy </w:t>
      </w:r>
      <w:r w:rsidR="007A36EF" w:rsidRPr="00BE264C">
        <w:rPr>
          <w:rFonts w:ascii="Times New Roman" w:eastAsia="Times New Roman" w:hAnsi="Times New Roman" w:cs="Times New Roman"/>
          <w:bCs/>
          <w:sz w:val="24"/>
          <w:szCs w:val="24"/>
          <w:lang w:eastAsia="pl-PL"/>
        </w:rPr>
        <w:t xml:space="preserve">bank ten </w:t>
      </w:r>
      <w:r w:rsidRPr="00BE264C">
        <w:rPr>
          <w:rFonts w:ascii="Times New Roman" w:eastAsia="Times New Roman" w:hAnsi="Times New Roman" w:cs="Times New Roman"/>
          <w:bCs/>
          <w:sz w:val="24"/>
          <w:szCs w:val="24"/>
          <w:lang w:eastAsia="pl-PL"/>
        </w:rPr>
        <w:t>zostani</w:t>
      </w:r>
      <w:r w:rsidR="007A36EF" w:rsidRPr="00BE264C">
        <w:rPr>
          <w:rFonts w:ascii="Times New Roman" w:eastAsia="Times New Roman" w:hAnsi="Times New Roman" w:cs="Times New Roman"/>
          <w:bCs/>
          <w:sz w:val="24"/>
          <w:szCs w:val="24"/>
          <w:lang w:eastAsia="pl-PL"/>
        </w:rPr>
        <w:t>e</w:t>
      </w:r>
      <w:r w:rsidRPr="00BE264C">
        <w:rPr>
          <w:rFonts w:ascii="Times New Roman" w:eastAsia="Times New Roman" w:hAnsi="Times New Roman" w:cs="Times New Roman"/>
          <w:bCs/>
          <w:sz w:val="24"/>
          <w:szCs w:val="24"/>
          <w:lang w:eastAsia="pl-PL"/>
        </w:rPr>
        <w:t xml:space="preserve"> uznan</w:t>
      </w:r>
      <w:r w:rsidR="007A36EF" w:rsidRPr="00BE264C">
        <w:rPr>
          <w:rFonts w:ascii="Times New Roman" w:eastAsia="Times New Roman" w:hAnsi="Times New Roman" w:cs="Times New Roman"/>
          <w:bCs/>
          <w:sz w:val="24"/>
          <w:szCs w:val="24"/>
          <w:lang w:eastAsia="pl-PL"/>
        </w:rPr>
        <w:t>y</w:t>
      </w:r>
      <w:r w:rsidRPr="00BE264C">
        <w:rPr>
          <w:rFonts w:ascii="Times New Roman" w:eastAsia="Times New Roman" w:hAnsi="Times New Roman" w:cs="Times New Roman"/>
          <w:bCs/>
          <w:sz w:val="24"/>
          <w:szCs w:val="24"/>
          <w:lang w:eastAsia="pl-PL"/>
        </w:rPr>
        <w:t xml:space="preserve"> za będąc</w:t>
      </w:r>
      <w:r w:rsidR="007A36EF" w:rsidRPr="00BE264C">
        <w:rPr>
          <w:rFonts w:ascii="Times New Roman" w:eastAsia="Times New Roman" w:hAnsi="Times New Roman" w:cs="Times New Roman"/>
          <w:bCs/>
          <w:sz w:val="24"/>
          <w:szCs w:val="24"/>
          <w:lang w:eastAsia="pl-PL"/>
        </w:rPr>
        <w:t>y</w:t>
      </w:r>
      <w:r w:rsidRPr="00BE264C">
        <w:rPr>
          <w:rFonts w:ascii="Times New Roman" w:eastAsia="Times New Roman" w:hAnsi="Times New Roman" w:cs="Times New Roman"/>
          <w:bCs/>
          <w:sz w:val="24"/>
          <w:szCs w:val="24"/>
          <w:lang w:eastAsia="pl-PL"/>
        </w:rPr>
        <w:t xml:space="preserve"> na progu upadłości lub zagrożon</w:t>
      </w:r>
      <w:r w:rsidR="007A36EF" w:rsidRPr="00BE264C">
        <w:rPr>
          <w:rFonts w:ascii="Times New Roman" w:eastAsia="Times New Roman" w:hAnsi="Times New Roman" w:cs="Times New Roman"/>
          <w:bCs/>
          <w:sz w:val="24"/>
          <w:szCs w:val="24"/>
          <w:lang w:eastAsia="pl-PL"/>
        </w:rPr>
        <w:t>y</w:t>
      </w:r>
      <w:r w:rsidRPr="00BE264C">
        <w:rPr>
          <w:rFonts w:ascii="Times New Roman" w:eastAsia="Times New Roman" w:hAnsi="Times New Roman" w:cs="Times New Roman"/>
          <w:bCs/>
          <w:sz w:val="24"/>
          <w:szCs w:val="24"/>
          <w:lang w:eastAsia="pl-PL"/>
        </w:rPr>
        <w:t xml:space="preserve"> upadłością</w:t>
      </w:r>
      <w:r w:rsidR="007A36EF" w:rsidRPr="00BE264C">
        <w:rPr>
          <w:rFonts w:ascii="Times New Roman" w:eastAsia="Times New Roman" w:hAnsi="Times New Roman" w:cs="Times New Roman"/>
          <w:bCs/>
          <w:sz w:val="24"/>
          <w:szCs w:val="24"/>
          <w:lang w:eastAsia="pl-PL"/>
        </w:rPr>
        <w:t>.</w:t>
      </w:r>
    </w:p>
    <w:p w14:paraId="17DCFF9C" w14:textId="17E24507" w:rsidR="002072DC" w:rsidRPr="00BE264C" w:rsidRDefault="007A36EF"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Pr="00BE264C">
        <w:rPr>
          <w:rFonts w:ascii="Times New Roman" w:eastAsia="Times New Roman" w:hAnsi="Times New Roman" w:cs="Times New Roman"/>
          <w:b/>
          <w:sz w:val="24"/>
          <w:szCs w:val="24"/>
          <w:lang w:eastAsia="pl-PL"/>
        </w:rPr>
        <w:t xml:space="preserve">art. </w:t>
      </w:r>
      <w:r w:rsidR="0004425B" w:rsidRPr="00BE264C">
        <w:rPr>
          <w:rFonts w:ascii="Times New Roman" w:eastAsia="Times New Roman" w:hAnsi="Times New Roman" w:cs="Times New Roman"/>
          <w:b/>
          <w:sz w:val="24"/>
          <w:szCs w:val="24"/>
          <w:lang w:eastAsia="pl-PL"/>
        </w:rPr>
        <w:t xml:space="preserve">1 pkt </w:t>
      </w:r>
      <w:r w:rsidR="00A844CE" w:rsidRPr="00BE264C">
        <w:rPr>
          <w:rFonts w:ascii="Times New Roman" w:eastAsia="Times New Roman" w:hAnsi="Times New Roman" w:cs="Times New Roman"/>
          <w:b/>
          <w:sz w:val="24"/>
          <w:szCs w:val="24"/>
          <w:lang w:eastAsia="pl-PL"/>
        </w:rPr>
        <w:t>49</w:t>
      </w:r>
      <w:r w:rsidR="00C22E5F" w:rsidRPr="00BE264C">
        <w:rPr>
          <w:rFonts w:ascii="Times New Roman" w:eastAsia="Times New Roman" w:hAnsi="Times New Roman" w:cs="Times New Roman"/>
          <w:b/>
          <w:sz w:val="24"/>
          <w:szCs w:val="24"/>
          <w:lang w:eastAsia="pl-PL"/>
        </w:rPr>
        <w:t xml:space="preserve"> </w:t>
      </w:r>
      <w:r w:rsidR="002072DC" w:rsidRPr="00BE264C">
        <w:rPr>
          <w:rFonts w:ascii="Times New Roman" w:eastAsia="Times New Roman" w:hAnsi="Times New Roman" w:cs="Times New Roman"/>
          <w:bCs/>
          <w:sz w:val="24"/>
          <w:szCs w:val="24"/>
          <w:lang w:eastAsia="pl-PL"/>
        </w:rPr>
        <w:t>nadan</w:t>
      </w:r>
      <w:r w:rsidR="00C004F5" w:rsidRPr="00BE264C">
        <w:rPr>
          <w:rFonts w:ascii="Times New Roman" w:eastAsia="Times New Roman" w:hAnsi="Times New Roman" w:cs="Times New Roman"/>
          <w:bCs/>
          <w:sz w:val="24"/>
          <w:szCs w:val="24"/>
          <w:lang w:eastAsia="pl-PL"/>
        </w:rPr>
        <w:t>e</w:t>
      </w:r>
      <w:r w:rsidR="002072DC" w:rsidRPr="00BE264C">
        <w:rPr>
          <w:rFonts w:ascii="Times New Roman" w:eastAsia="Times New Roman" w:hAnsi="Times New Roman" w:cs="Times New Roman"/>
          <w:bCs/>
          <w:sz w:val="24"/>
          <w:szCs w:val="24"/>
          <w:lang w:eastAsia="pl-PL"/>
        </w:rPr>
        <w:t xml:space="preserve"> nowe brzmienie</w:t>
      </w:r>
      <w:r w:rsidR="00C004F5" w:rsidRPr="00BE264C">
        <w:rPr>
          <w:rFonts w:ascii="Times New Roman" w:eastAsia="Times New Roman" w:hAnsi="Times New Roman" w:cs="Times New Roman"/>
          <w:bCs/>
          <w:sz w:val="24"/>
          <w:szCs w:val="24"/>
          <w:lang w:eastAsia="pl-PL"/>
        </w:rPr>
        <w:t xml:space="preserve"> przepisu precyzuje, że </w:t>
      </w:r>
      <w:r w:rsidR="002072DC" w:rsidRPr="00BE264C">
        <w:rPr>
          <w:rFonts w:ascii="Times New Roman" w:eastAsia="Times New Roman" w:hAnsi="Times New Roman" w:cs="Times New Roman"/>
          <w:bCs/>
          <w:sz w:val="24"/>
          <w:szCs w:val="24"/>
          <w:lang w:eastAsia="pl-PL"/>
        </w:rPr>
        <w:t xml:space="preserve">w przypadku jednostki odpowiadającej za handel, o której mowa w art. </w:t>
      </w:r>
      <w:r w:rsidR="00A03DC4" w:rsidRPr="00BE264C">
        <w:rPr>
          <w:rFonts w:ascii="Times New Roman" w:eastAsia="Times New Roman" w:hAnsi="Times New Roman" w:cs="Times New Roman"/>
          <w:bCs/>
          <w:sz w:val="24"/>
          <w:szCs w:val="24"/>
          <w:lang w:eastAsia="pl-PL"/>
        </w:rPr>
        <w:t>4 ust. 1</w:t>
      </w:r>
      <w:r w:rsidR="002072DC" w:rsidRPr="00BE264C">
        <w:rPr>
          <w:rFonts w:ascii="Times New Roman" w:eastAsia="Times New Roman" w:hAnsi="Times New Roman" w:cs="Times New Roman"/>
          <w:bCs/>
          <w:sz w:val="24"/>
          <w:szCs w:val="24"/>
          <w:lang w:eastAsia="pl-PL"/>
        </w:rPr>
        <w:t xml:space="preserve"> pkt 144 rozporządzenia </w:t>
      </w:r>
      <w:r w:rsidR="00A204C7" w:rsidRPr="00BE264C">
        <w:rPr>
          <w:rFonts w:ascii="Times New Roman" w:eastAsia="Times New Roman" w:hAnsi="Times New Roman" w:cs="Times New Roman"/>
          <w:bCs/>
          <w:sz w:val="24"/>
          <w:szCs w:val="24"/>
          <w:lang w:eastAsia="pl-PL"/>
        </w:rPr>
        <w:t>CRR</w:t>
      </w:r>
      <w:r w:rsidR="002072DC" w:rsidRPr="00BE264C">
        <w:rPr>
          <w:rFonts w:ascii="Times New Roman" w:eastAsia="Times New Roman" w:hAnsi="Times New Roman" w:cs="Times New Roman"/>
          <w:bCs/>
          <w:sz w:val="24"/>
          <w:szCs w:val="24"/>
          <w:lang w:eastAsia="pl-PL"/>
        </w:rPr>
        <w:t xml:space="preserve">, wykorzystującej model wewnętrzny dotyczący ryzyka rynkowego, wyniki weryfikacji historycznej lub testu przypisywania zysków i strat wskazują, że dany model przestał być wystarczająco dokładny, </w:t>
      </w:r>
      <w:r w:rsidR="0042276B" w:rsidRPr="00BE264C">
        <w:rPr>
          <w:rFonts w:ascii="Times New Roman" w:eastAsia="Times New Roman" w:hAnsi="Times New Roman" w:cs="Times New Roman"/>
          <w:bCs/>
          <w:sz w:val="24"/>
          <w:szCs w:val="24"/>
          <w:lang w:eastAsia="pl-PL"/>
        </w:rPr>
        <w:t xml:space="preserve">KNF </w:t>
      </w:r>
      <w:r w:rsidR="002072DC" w:rsidRPr="00BE264C">
        <w:rPr>
          <w:rFonts w:ascii="Times New Roman" w:eastAsia="Times New Roman" w:hAnsi="Times New Roman" w:cs="Times New Roman"/>
          <w:bCs/>
          <w:sz w:val="24"/>
          <w:szCs w:val="24"/>
          <w:lang w:eastAsia="pl-PL"/>
        </w:rPr>
        <w:t>dokonuje przeglądu warunków zezwolenia na stosowanie modelu wewnętrznego lub nakazuje podjęcie odpowiednich środków w celu zapewnienia szybkiej poprawy działania modelu</w:t>
      </w:r>
      <w:r w:rsidR="00C004F5" w:rsidRPr="00BE264C">
        <w:rPr>
          <w:rFonts w:ascii="Times New Roman" w:eastAsia="Times New Roman" w:hAnsi="Times New Roman" w:cs="Times New Roman"/>
          <w:bCs/>
          <w:sz w:val="24"/>
          <w:szCs w:val="24"/>
          <w:lang w:eastAsia="pl-PL"/>
        </w:rPr>
        <w:t>.</w:t>
      </w:r>
    </w:p>
    <w:p w14:paraId="62F99C75" w14:textId="761AD346" w:rsidR="00A03DC4" w:rsidRPr="00BE264C" w:rsidRDefault="00A03DC4"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Zmian</w:t>
      </w:r>
      <w:r w:rsidR="00A844CE" w:rsidRPr="00BE264C">
        <w:rPr>
          <w:rFonts w:ascii="Times New Roman" w:eastAsia="Times New Roman" w:hAnsi="Times New Roman" w:cs="Times New Roman"/>
          <w:bCs/>
          <w:sz w:val="24"/>
          <w:szCs w:val="24"/>
          <w:lang w:eastAsia="pl-PL"/>
        </w:rPr>
        <w:t>a</w:t>
      </w:r>
      <w:r w:rsidRPr="00BE264C">
        <w:rPr>
          <w:rFonts w:ascii="Times New Roman" w:eastAsia="Times New Roman" w:hAnsi="Times New Roman" w:cs="Times New Roman"/>
          <w:bCs/>
          <w:sz w:val="24"/>
          <w:szCs w:val="24"/>
          <w:lang w:eastAsia="pl-PL"/>
        </w:rPr>
        <w:t xml:space="preserve"> wprowadzon</w:t>
      </w:r>
      <w:r w:rsidR="00A844CE" w:rsidRPr="00BE264C">
        <w:rPr>
          <w:rFonts w:ascii="Times New Roman" w:eastAsia="Times New Roman" w:hAnsi="Times New Roman" w:cs="Times New Roman"/>
          <w:bCs/>
          <w:sz w:val="24"/>
          <w:szCs w:val="24"/>
          <w:lang w:eastAsia="pl-PL"/>
        </w:rPr>
        <w:t>a</w:t>
      </w:r>
      <w:r w:rsidRPr="00BE264C">
        <w:rPr>
          <w:rFonts w:ascii="Times New Roman" w:eastAsia="Times New Roman" w:hAnsi="Times New Roman" w:cs="Times New Roman"/>
          <w:bCs/>
          <w:sz w:val="24"/>
          <w:szCs w:val="24"/>
          <w:lang w:eastAsia="pl-PL"/>
        </w:rPr>
        <w:t xml:space="preserve"> w </w:t>
      </w:r>
      <w:r w:rsidRPr="00BE264C">
        <w:rPr>
          <w:rFonts w:ascii="Times New Roman" w:eastAsia="Times New Roman" w:hAnsi="Times New Roman" w:cs="Times New Roman"/>
          <w:b/>
          <w:bCs/>
          <w:sz w:val="24"/>
          <w:szCs w:val="24"/>
          <w:lang w:eastAsia="pl-PL"/>
        </w:rPr>
        <w:t>art. 1 pkt 5</w:t>
      </w:r>
      <w:r w:rsidR="00A844CE" w:rsidRPr="00BE264C">
        <w:rPr>
          <w:rFonts w:ascii="Times New Roman" w:eastAsia="Times New Roman" w:hAnsi="Times New Roman" w:cs="Times New Roman"/>
          <w:b/>
          <w:bCs/>
          <w:sz w:val="24"/>
          <w:szCs w:val="24"/>
          <w:lang w:eastAsia="pl-PL"/>
        </w:rPr>
        <w:t>0</w:t>
      </w:r>
      <w:r w:rsidRPr="00BE264C">
        <w:rPr>
          <w:rFonts w:ascii="Times New Roman" w:eastAsia="Times New Roman" w:hAnsi="Times New Roman" w:cs="Times New Roman"/>
          <w:bCs/>
          <w:sz w:val="24"/>
          <w:szCs w:val="24"/>
          <w:lang w:eastAsia="pl-PL"/>
        </w:rPr>
        <w:t xml:space="preserve"> maj charakter dostosowujący i wynika z uchylenia w ustawie – Prawo bankowe definicji oddziału banku zagranicznego oraz z wprowadzenia definicji oddziału z państwa trzeciego.</w:t>
      </w:r>
    </w:p>
    <w:p w14:paraId="4C804036" w14:textId="7E280A7B" w:rsidR="007A36EF" w:rsidRPr="00BE264C" w:rsidRDefault="00FB3A91"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w:t>
      </w:r>
      <w:r w:rsidRPr="00BE264C">
        <w:rPr>
          <w:rFonts w:ascii="Times New Roman" w:eastAsia="Times New Roman" w:hAnsi="Times New Roman" w:cs="Times New Roman"/>
          <w:b/>
          <w:sz w:val="24"/>
          <w:szCs w:val="24"/>
          <w:lang w:eastAsia="pl-PL"/>
        </w:rPr>
        <w:t xml:space="preserve">art. 1 pkt </w:t>
      </w:r>
      <w:r w:rsidR="00A03DC4" w:rsidRPr="00BE264C">
        <w:rPr>
          <w:rFonts w:ascii="Times New Roman" w:eastAsia="Times New Roman" w:hAnsi="Times New Roman" w:cs="Times New Roman"/>
          <w:b/>
          <w:sz w:val="24"/>
          <w:szCs w:val="24"/>
          <w:lang w:eastAsia="pl-PL"/>
        </w:rPr>
        <w:t>5</w:t>
      </w:r>
      <w:r w:rsidR="00A844CE" w:rsidRPr="00BE264C">
        <w:rPr>
          <w:rFonts w:ascii="Times New Roman" w:eastAsia="Times New Roman" w:hAnsi="Times New Roman" w:cs="Times New Roman"/>
          <w:b/>
          <w:sz w:val="24"/>
          <w:szCs w:val="24"/>
          <w:lang w:eastAsia="pl-PL"/>
        </w:rPr>
        <w:t>1</w:t>
      </w:r>
      <w:r w:rsidR="00C22E5F" w:rsidRPr="00BE264C">
        <w:rPr>
          <w:rFonts w:ascii="Times New Roman" w:eastAsia="Times New Roman" w:hAnsi="Times New Roman" w:cs="Times New Roman"/>
          <w:b/>
          <w:sz w:val="24"/>
          <w:szCs w:val="24"/>
          <w:lang w:eastAsia="pl-PL"/>
        </w:rPr>
        <w:t xml:space="preserve"> </w:t>
      </w:r>
      <w:r w:rsidR="0026134E" w:rsidRPr="00BE264C">
        <w:rPr>
          <w:rFonts w:ascii="Times New Roman" w:eastAsia="Times New Roman" w:hAnsi="Times New Roman" w:cs="Times New Roman"/>
          <w:bCs/>
          <w:sz w:val="24"/>
          <w:szCs w:val="24"/>
          <w:lang w:eastAsia="pl-PL"/>
        </w:rPr>
        <w:t>wprowadzono następujące zmiany:</w:t>
      </w:r>
    </w:p>
    <w:p w14:paraId="33E7C1A0" w14:textId="2657EEA4" w:rsidR="0026134E" w:rsidRPr="00BE264C" w:rsidRDefault="0026134E" w:rsidP="009858C9">
      <w:pPr>
        <w:pStyle w:val="Akapitzlist"/>
        <w:numPr>
          <w:ilvl w:val="0"/>
          <w:numId w:val="17"/>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a </w:t>
      </w:r>
      <w:r w:rsidR="003021EE" w:rsidRPr="00BE264C">
        <w:rPr>
          <w:rFonts w:ascii="Times New Roman" w:eastAsia="Times New Roman" w:hAnsi="Times New Roman" w:cs="Times New Roman"/>
          <w:bCs/>
          <w:sz w:val="24"/>
          <w:szCs w:val="24"/>
          <w:lang w:eastAsia="pl-PL"/>
        </w:rPr>
        <w:t>projektowana zmiana ma charakter dostosowujący i wynika ze zmiany definicji osób pełniących kluczowe funkcje i definicji kadry kierowniczej wyższego szczebla; ponadto, zgodnie z projektowan</w:t>
      </w:r>
      <w:r w:rsidR="00125BC7" w:rsidRPr="00BE264C">
        <w:rPr>
          <w:rFonts w:ascii="Times New Roman" w:eastAsia="Times New Roman" w:hAnsi="Times New Roman" w:cs="Times New Roman"/>
          <w:bCs/>
          <w:sz w:val="24"/>
          <w:szCs w:val="24"/>
          <w:lang w:eastAsia="pl-PL"/>
        </w:rPr>
        <w:t>ą</w:t>
      </w:r>
      <w:r w:rsidR="003021EE" w:rsidRPr="00BE264C">
        <w:rPr>
          <w:rFonts w:ascii="Times New Roman" w:eastAsia="Times New Roman" w:hAnsi="Times New Roman" w:cs="Times New Roman"/>
          <w:bCs/>
          <w:sz w:val="24"/>
          <w:szCs w:val="24"/>
          <w:lang w:eastAsia="pl-PL"/>
        </w:rPr>
        <w:t xml:space="preserve"> zmianą wprowadzono możliwość nałożenia</w:t>
      </w:r>
      <w:r w:rsidR="003021EE" w:rsidRPr="009858C9">
        <w:rPr>
          <w:rFonts w:ascii="Times New Roman" w:hAnsi="Times New Roman" w:cs="Times New Roman"/>
          <w:sz w:val="24"/>
          <w:szCs w:val="24"/>
        </w:rPr>
        <w:t xml:space="preserve"> </w:t>
      </w:r>
      <w:r w:rsidR="00BD5787" w:rsidRPr="009858C9">
        <w:rPr>
          <w:rFonts w:ascii="Times New Roman" w:hAnsi="Times New Roman" w:cs="Times New Roman"/>
          <w:sz w:val="24"/>
          <w:szCs w:val="24"/>
        </w:rPr>
        <w:t xml:space="preserve">kary </w:t>
      </w:r>
      <w:r w:rsidR="003021EE" w:rsidRPr="00BE264C">
        <w:rPr>
          <w:rFonts w:ascii="Times New Roman" w:eastAsia="Times New Roman" w:hAnsi="Times New Roman" w:cs="Times New Roman"/>
          <w:bCs/>
          <w:sz w:val="24"/>
          <w:szCs w:val="24"/>
          <w:lang w:eastAsia="pl-PL"/>
        </w:rPr>
        <w:t>pieniężnej do wysokości 21 312 000 zł</w:t>
      </w:r>
      <w:r w:rsidR="00A844CE" w:rsidRPr="00BE264C">
        <w:rPr>
          <w:rFonts w:ascii="Times New Roman" w:eastAsia="Times New Roman" w:hAnsi="Times New Roman" w:cs="Times New Roman"/>
          <w:bCs/>
          <w:sz w:val="24"/>
          <w:szCs w:val="24"/>
          <w:lang w:eastAsia="pl-PL"/>
        </w:rPr>
        <w:t xml:space="preserve">, albo do wysokości dwukrotności kwoty </w:t>
      </w:r>
      <w:r w:rsidR="00A844CE" w:rsidRPr="00BE264C">
        <w:rPr>
          <w:rFonts w:ascii="Times New Roman" w:eastAsia="Times New Roman" w:hAnsi="Times New Roman" w:cs="Times New Roman"/>
          <w:bCs/>
          <w:sz w:val="24"/>
          <w:szCs w:val="24"/>
          <w:lang w:eastAsia="pl-PL"/>
        </w:rPr>
        <w:lastRenderedPageBreak/>
        <w:t xml:space="preserve">korzyści uzyskanych lub strat unikniętych w wyniku naruszenia – w przypadku gdy jest możliwe ich ustalenie, </w:t>
      </w:r>
      <w:r w:rsidR="00BD5787" w:rsidRPr="00BE264C">
        <w:rPr>
          <w:rFonts w:ascii="Times New Roman" w:eastAsia="Times New Roman" w:hAnsi="Times New Roman" w:cs="Times New Roman"/>
          <w:bCs/>
          <w:sz w:val="24"/>
          <w:szCs w:val="24"/>
          <w:lang w:eastAsia="pl-PL"/>
        </w:rPr>
        <w:t>albo</w:t>
      </w:r>
      <w:r w:rsidR="003021EE" w:rsidRPr="00BE264C">
        <w:rPr>
          <w:rFonts w:ascii="Times New Roman" w:eastAsia="Times New Roman" w:hAnsi="Times New Roman" w:cs="Times New Roman"/>
          <w:bCs/>
          <w:sz w:val="24"/>
          <w:szCs w:val="24"/>
          <w:lang w:eastAsia="pl-PL"/>
        </w:rPr>
        <w:t xml:space="preserve"> kary pieniężnej do wysokości 213 165 zł za każdy dzień trwającego naruszenia do dnia przywrócenia </w:t>
      </w:r>
      <w:r w:rsidR="00110B6D" w:rsidRPr="00BE264C">
        <w:rPr>
          <w:rFonts w:ascii="Times New Roman" w:eastAsia="Times New Roman" w:hAnsi="Times New Roman" w:cs="Times New Roman"/>
          <w:bCs/>
          <w:sz w:val="24"/>
          <w:szCs w:val="24"/>
          <w:lang w:eastAsia="pl-PL"/>
        </w:rPr>
        <w:t xml:space="preserve">stanu </w:t>
      </w:r>
      <w:r w:rsidR="003021EE" w:rsidRPr="00BE264C">
        <w:rPr>
          <w:rFonts w:ascii="Times New Roman" w:eastAsia="Times New Roman" w:hAnsi="Times New Roman" w:cs="Times New Roman"/>
          <w:bCs/>
          <w:sz w:val="24"/>
          <w:szCs w:val="24"/>
          <w:lang w:eastAsia="pl-PL"/>
        </w:rPr>
        <w:t>zgodności z prawem, przez okres nie dłuższy niż sześć miesięcy od daty określonej w decyzji</w:t>
      </w:r>
      <w:r w:rsidR="00BD5787" w:rsidRPr="00BE264C">
        <w:rPr>
          <w:rFonts w:ascii="Times New Roman" w:eastAsia="Times New Roman" w:hAnsi="Times New Roman" w:cs="Times New Roman"/>
          <w:bCs/>
          <w:sz w:val="24"/>
          <w:szCs w:val="24"/>
          <w:lang w:eastAsia="pl-PL"/>
        </w:rPr>
        <w:t>,</w:t>
      </w:r>
    </w:p>
    <w:p w14:paraId="00758C8E" w14:textId="5A7A5C12" w:rsidR="00AA1832" w:rsidRPr="00BE264C" w:rsidRDefault="00AA1832" w:rsidP="009858C9">
      <w:pPr>
        <w:pStyle w:val="Akapitzlist"/>
        <w:numPr>
          <w:ilvl w:val="0"/>
          <w:numId w:val="17"/>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b </w:t>
      </w:r>
      <w:r w:rsidR="00D7586E" w:rsidRPr="00BE264C">
        <w:rPr>
          <w:rFonts w:ascii="Times New Roman" w:eastAsia="Times New Roman" w:hAnsi="Times New Roman" w:cs="Times New Roman"/>
          <w:bCs/>
          <w:sz w:val="24"/>
          <w:szCs w:val="24"/>
          <w:lang w:eastAsia="pl-PL"/>
        </w:rPr>
        <w:t xml:space="preserve">wprowadzone zmiany </w:t>
      </w:r>
      <w:r w:rsidR="00A03DC4" w:rsidRPr="00BE264C">
        <w:rPr>
          <w:rFonts w:ascii="Times New Roman" w:eastAsia="Times New Roman" w:hAnsi="Times New Roman" w:cs="Times New Roman"/>
          <w:bCs/>
          <w:sz w:val="24"/>
          <w:szCs w:val="24"/>
          <w:lang w:eastAsia="pl-PL"/>
        </w:rPr>
        <w:t xml:space="preserve">mają na celu uporządkowanie kryteriów stosowanych przez KNF przy ustalaniu wysokości kary pieniężnej, a także </w:t>
      </w:r>
      <w:r w:rsidR="00D7586E" w:rsidRPr="00BE264C">
        <w:rPr>
          <w:rFonts w:ascii="Times New Roman" w:eastAsia="Times New Roman" w:hAnsi="Times New Roman" w:cs="Times New Roman"/>
          <w:bCs/>
          <w:sz w:val="24"/>
          <w:szCs w:val="24"/>
          <w:lang w:eastAsia="pl-PL"/>
        </w:rPr>
        <w:t xml:space="preserve">mają charakter dostosowujący </w:t>
      </w:r>
      <w:r w:rsidR="00A03DC4" w:rsidRPr="00BE264C">
        <w:rPr>
          <w:rFonts w:ascii="Times New Roman" w:eastAsia="Times New Roman" w:hAnsi="Times New Roman" w:cs="Times New Roman"/>
          <w:bCs/>
          <w:sz w:val="24"/>
          <w:szCs w:val="24"/>
          <w:lang w:eastAsia="pl-PL"/>
        </w:rPr>
        <w:t>i</w:t>
      </w:r>
      <w:r w:rsidR="00D7586E" w:rsidRPr="00BE264C">
        <w:rPr>
          <w:rFonts w:ascii="Times New Roman" w:eastAsia="Times New Roman" w:hAnsi="Times New Roman" w:cs="Times New Roman"/>
          <w:bCs/>
          <w:sz w:val="24"/>
          <w:szCs w:val="24"/>
          <w:lang w:eastAsia="pl-PL"/>
        </w:rPr>
        <w:t xml:space="preserve"> wynikają ze zmiany definicji osób pełniących kluczowe funkcje i definicji kadry kierowniczej wyższego szczebla.</w:t>
      </w:r>
    </w:p>
    <w:p w14:paraId="0F4C2EC3" w14:textId="2F4A4E0C" w:rsidR="00ED1EB7" w:rsidRPr="00BE264C" w:rsidRDefault="00EC295B"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
          <w:sz w:val="24"/>
          <w:szCs w:val="24"/>
          <w:lang w:eastAsia="pl-PL"/>
        </w:rPr>
        <w:t xml:space="preserve">Art. 1 pkt </w:t>
      </w:r>
      <w:r w:rsidR="004901D7" w:rsidRPr="00BE264C">
        <w:rPr>
          <w:rFonts w:ascii="Times New Roman" w:eastAsia="Times New Roman" w:hAnsi="Times New Roman" w:cs="Times New Roman"/>
          <w:b/>
          <w:sz w:val="24"/>
          <w:szCs w:val="24"/>
          <w:lang w:eastAsia="pl-PL"/>
        </w:rPr>
        <w:t>5</w:t>
      </w:r>
      <w:r w:rsidR="00A844CE" w:rsidRPr="00BE264C">
        <w:rPr>
          <w:rFonts w:ascii="Times New Roman" w:eastAsia="Times New Roman" w:hAnsi="Times New Roman" w:cs="Times New Roman"/>
          <w:b/>
          <w:sz w:val="24"/>
          <w:szCs w:val="24"/>
          <w:lang w:eastAsia="pl-PL"/>
        </w:rPr>
        <w:t>2</w:t>
      </w:r>
      <w:r w:rsidR="00C22E5F" w:rsidRPr="00BE264C">
        <w:rPr>
          <w:rFonts w:ascii="Times New Roman" w:eastAsia="Times New Roman" w:hAnsi="Times New Roman" w:cs="Times New Roman"/>
          <w:b/>
          <w:sz w:val="24"/>
          <w:szCs w:val="24"/>
          <w:lang w:eastAsia="pl-PL"/>
        </w:rPr>
        <w:t xml:space="preserve"> </w:t>
      </w:r>
      <w:r w:rsidRPr="00BE264C">
        <w:rPr>
          <w:rFonts w:ascii="Times New Roman" w:eastAsia="Times New Roman" w:hAnsi="Times New Roman" w:cs="Times New Roman"/>
          <w:bCs/>
          <w:sz w:val="24"/>
          <w:szCs w:val="24"/>
          <w:lang w:eastAsia="pl-PL"/>
        </w:rPr>
        <w:t xml:space="preserve">wprowadza do zmienianej </w:t>
      </w:r>
      <w:r w:rsidR="004067D3" w:rsidRPr="00BE264C">
        <w:rPr>
          <w:rFonts w:ascii="Times New Roman" w:eastAsia="Times New Roman" w:hAnsi="Times New Roman" w:cs="Times New Roman"/>
          <w:bCs/>
          <w:sz w:val="24"/>
          <w:szCs w:val="24"/>
          <w:lang w:eastAsia="pl-PL"/>
        </w:rPr>
        <w:t xml:space="preserve">w art. 1 </w:t>
      </w:r>
      <w:r w:rsidRPr="00BE264C">
        <w:rPr>
          <w:rFonts w:ascii="Times New Roman" w:eastAsia="Times New Roman" w:hAnsi="Times New Roman" w:cs="Times New Roman"/>
          <w:bCs/>
          <w:sz w:val="24"/>
          <w:szCs w:val="24"/>
          <w:lang w:eastAsia="pl-PL"/>
        </w:rPr>
        <w:t>ustawy nowe przepisy,</w:t>
      </w:r>
      <w:r w:rsidR="00C263AC" w:rsidRPr="00BE264C">
        <w:rPr>
          <w:rFonts w:ascii="Times New Roman" w:eastAsia="Times New Roman" w:hAnsi="Times New Roman" w:cs="Times New Roman"/>
          <w:bCs/>
          <w:sz w:val="24"/>
          <w:szCs w:val="24"/>
          <w:lang w:eastAsia="pl-PL"/>
        </w:rPr>
        <w:t xml:space="preserve"> ustanawiające zasady nadzoru nad oddziałami</w:t>
      </w:r>
      <w:r w:rsidR="004901D7" w:rsidRPr="00BE264C">
        <w:rPr>
          <w:rFonts w:ascii="Times New Roman" w:eastAsia="Times New Roman" w:hAnsi="Times New Roman" w:cs="Times New Roman"/>
          <w:bCs/>
          <w:sz w:val="24"/>
          <w:szCs w:val="24"/>
          <w:lang w:eastAsia="pl-PL"/>
        </w:rPr>
        <w:t xml:space="preserve"> z państw trzecich</w:t>
      </w:r>
      <w:r w:rsidR="00ED1EB7" w:rsidRPr="00BE264C">
        <w:rPr>
          <w:rFonts w:ascii="Times New Roman" w:eastAsia="Times New Roman" w:hAnsi="Times New Roman" w:cs="Times New Roman"/>
          <w:bCs/>
          <w:sz w:val="24"/>
          <w:szCs w:val="24"/>
          <w:lang w:eastAsia="pl-PL"/>
        </w:rPr>
        <w:t>. Zgodnie z projektowanymi przepisami, KNF</w:t>
      </w:r>
      <w:r w:rsidR="00ED1EB7" w:rsidRPr="009858C9">
        <w:rPr>
          <w:rFonts w:ascii="Times New Roman" w:eastAsiaTheme="minorEastAsia" w:hAnsi="Times New Roman" w:cs="Times New Roman"/>
          <w:sz w:val="24"/>
          <w:szCs w:val="24"/>
          <w:lang w:eastAsia="pl-PL"/>
        </w:rPr>
        <w:t xml:space="preserve"> </w:t>
      </w:r>
      <w:r w:rsidR="00ED1EB7" w:rsidRPr="00BE264C">
        <w:rPr>
          <w:rFonts w:ascii="Times New Roman" w:eastAsia="Times New Roman" w:hAnsi="Times New Roman" w:cs="Times New Roman"/>
          <w:bCs/>
          <w:sz w:val="24"/>
          <w:szCs w:val="24"/>
          <w:lang w:eastAsia="pl-PL"/>
        </w:rPr>
        <w:t xml:space="preserve">uwzględnia oddziały </w:t>
      </w:r>
      <w:r w:rsidR="004067D3" w:rsidRPr="00BE264C">
        <w:rPr>
          <w:rFonts w:ascii="Times New Roman" w:eastAsia="Times New Roman" w:hAnsi="Times New Roman" w:cs="Times New Roman"/>
          <w:bCs/>
          <w:sz w:val="24"/>
          <w:szCs w:val="24"/>
          <w:lang w:eastAsia="pl-PL"/>
        </w:rPr>
        <w:t xml:space="preserve">z państw trzecich </w:t>
      </w:r>
      <w:r w:rsidR="00ED1EB7" w:rsidRPr="00BE264C">
        <w:rPr>
          <w:rFonts w:ascii="Times New Roman" w:eastAsia="Times New Roman" w:hAnsi="Times New Roman" w:cs="Times New Roman"/>
          <w:bCs/>
          <w:sz w:val="24"/>
          <w:szCs w:val="24"/>
          <w:lang w:eastAsia="pl-PL"/>
        </w:rPr>
        <w:t>w programie oceny nadzorczej, o którym mowa w</w:t>
      </w:r>
      <w:r w:rsidR="001F09C1" w:rsidRPr="00BE264C">
        <w:rPr>
          <w:rFonts w:ascii="Times New Roman" w:eastAsia="Times New Roman" w:hAnsi="Times New Roman" w:cs="Times New Roman"/>
          <w:bCs/>
          <w:sz w:val="24"/>
          <w:szCs w:val="24"/>
          <w:lang w:eastAsia="pl-PL"/>
        </w:rPr>
        <w:t> </w:t>
      </w:r>
      <w:r w:rsidR="00ED1EB7" w:rsidRPr="00BE264C">
        <w:rPr>
          <w:rFonts w:ascii="Times New Roman" w:eastAsia="Times New Roman" w:hAnsi="Times New Roman" w:cs="Times New Roman"/>
          <w:bCs/>
          <w:sz w:val="24"/>
          <w:szCs w:val="24"/>
          <w:lang w:eastAsia="pl-PL"/>
        </w:rPr>
        <w:t xml:space="preserve">art. 133c zmienianej ustawy oraz co najmniej raz w roku przeprowadza badanie i ocenę nadzorczą oddziału </w:t>
      </w:r>
      <w:r w:rsidR="004067D3" w:rsidRPr="00BE264C">
        <w:rPr>
          <w:rFonts w:ascii="Times New Roman" w:eastAsia="Times New Roman" w:hAnsi="Times New Roman" w:cs="Times New Roman"/>
          <w:bCs/>
          <w:sz w:val="24"/>
          <w:szCs w:val="24"/>
          <w:lang w:eastAsia="pl-PL"/>
        </w:rPr>
        <w:t xml:space="preserve">z państwa trzeciego </w:t>
      </w:r>
      <w:r w:rsidR="00ED1EB7" w:rsidRPr="00BE264C">
        <w:rPr>
          <w:rFonts w:ascii="Times New Roman" w:eastAsia="Times New Roman" w:hAnsi="Times New Roman" w:cs="Times New Roman"/>
          <w:bCs/>
          <w:sz w:val="24"/>
          <w:szCs w:val="24"/>
          <w:lang w:eastAsia="pl-PL"/>
        </w:rPr>
        <w:t xml:space="preserve">albo przegląd i weryfikację wyników poprzedniego badania i oceny nadzorczej. </w:t>
      </w:r>
    </w:p>
    <w:p w14:paraId="493424C2" w14:textId="713A8788" w:rsidR="004029A5" w:rsidRPr="00BE264C" w:rsidRDefault="00ED1EB7"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celu zapewnienia, aby oddziały </w:t>
      </w:r>
      <w:r w:rsidR="004067D3" w:rsidRPr="00BE264C">
        <w:rPr>
          <w:rFonts w:ascii="Times New Roman" w:eastAsia="Times New Roman" w:hAnsi="Times New Roman" w:cs="Times New Roman"/>
          <w:bCs/>
          <w:sz w:val="24"/>
          <w:szCs w:val="24"/>
          <w:lang w:eastAsia="pl-PL"/>
        </w:rPr>
        <w:t xml:space="preserve">z państw trzecich </w:t>
      </w:r>
      <w:r w:rsidRPr="00BE264C">
        <w:rPr>
          <w:rFonts w:ascii="Times New Roman" w:eastAsia="Times New Roman" w:hAnsi="Times New Roman" w:cs="Times New Roman"/>
          <w:bCs/>
          <w:sz w:val="24"/>
          <w:szCs w:val="24"/>
          <w:lang w:eastAsia="pl-PL"/>
        </w:rPr>
        <w:t xml:space="preserve">spełniały wymogi, które mają do nich zastosowanie lub w celu przywrócenia zgodności z tymi wymogami oraz zapewnienia należytego i wystarczającego pokrycia istotnych ryzyk, a także należytego i wystarczającego zarządzania tymi ryzykami oraz zapewnienia utrzymania rentowności tych oddziałów, KNF może </w:t>
      </w:r>
      <w:r w:rsidR="004067D3" w:rsidRPr="00BE264C">
        <w:rPr>
          <w:rFonts w:ascii="Times New Roman" w:eastAsia="Times New Roman" w:hAnsi="Times New Roman" w:cs="Times New Roman"/>
          <w:bCs/>
          <w:sz w:val="24"/>
          <w:szCs w:val="24"/>
          <w:lang w:eastAsia="pl-PL"/>
        </w:rPr>
        <w:t xml:space="preserve">zalecić </w:t>
      </w:r>
      <w:r w:rsidRPr="00BE264C">
        <w:rPr>
          <w:rFonts w:ascii="Times New Roman" w:eastAsia="Times New Roman" w:hAnsi="Times New Roman" w:cs="Times New Roman"/>
          <w:bCs/>
          <w:sz w:val="24"/>
          <w:szCs w:val="24"/>
          <w:lang w:eastAsia="pl-PL"/>
        </w:rPr>
        <w:t>oddział</w:t>
      </w:r>
      <w:r w:rsidR="004067D3" w:rsidRPr="00BE264C">
        <w:rPr>
          <w:rFonts w:ascii="Times New Roman" w:eastAsia="Times New Roman" w:hAnsi="Times New Roman" w:cs="Times New Roman"/>
          <w:bCs/>
          <w:sz w:val="24"/>
          <w:szCs w:val="24"/>
          <w:lang w:eastAsia="pl-PL"/>
        </w:rPr>
        <w:t>owi z państwa trzeciego w szczególności</w:t>
      </w:r>
      <w:r w:rsidR="004029A5" w:rsidRPr="00BE264C">
        <w:rPr>
          <w:rFonts w:ascii="Times New Roman" w:eastAsia="Times New Roman" w:hAnsi="Times New Roman" w:cs="Times New Roman"/>
          <w:bCs/>
          <w:sz w:val="24"/>
          <w:szCs w:val="24"/>
          <w:lang w:eastAsia="pl-PL"/>
        </w:rPr>
        <w:t>:</w:t>
      </w:r>
    </w:p>
    <w:p w14:paraId="72615102" w14:textId="166ACF0A"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t>1)</w:t>
      </w:r>
      <w:r w:rsidRPr="009858C9">
        <w:rPr>
          <w:rFonts w:ascii="Times New Roman" w:eastAsia="Times New Roman" w:hAnsi="Times New Roman" w:cs="Times New Roman"/>
          <w:bCs/>
          <w:sz w:val="24"/>
          <w:szCs w:val="24"/>
          <w:lang w:eastAsia="pl-PL"/>
        </w:rPr>
        <w:tab/>
        <w:t>wzmocnienie zasad zarządzania, rozwiązań w zakresie zarządzania ryzykiem lub ustaleń dotyczących księgowania;</w:t>
      </w:r>
    </w:p>
    <w:p w14:paraId="1A6DAC5F" w14:textId="77777777"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t>2)</w:t>
      </w:r>
      <w:r w:rsidRPr="009858C9">
        <w:rPr>
          <w:rFonts w:ascii="Times New Roman" w:eastAsia="Times New Roman" w:hAnsi="Times New Roman" w:cs="Times New Roman"/>
          <w:bCs/>
          <w:sz w:val="24"/>
          <w:szCs w:val="24"/>
          <w:lang w:eastAsia="pl-PL"/>
        </w:rPr>
        <w:tab/>
        <w:t>ograniczenie lub zawężenie zakresu swojej działalności lub prowadzonych przez siebie operacji, jak również kontrahentów uczestniczących w tych operacjach;</w:t>
      </w:r>
    </w:p>
    <w:p w14:paraId="7C7A68B0" w14:textId="77777777"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t>3)</w:t>
      </w:r>
      <w:r w:rsidRPr="009858C9">
        <w:rPr>
          <w:rFonts w:ascii="Times New Roman" w:eastAsia="Times New Roman" w:hAnsi="Times New Roman" w:cs="Times New Roman"/>
          <w:bCs/>
          <w:sz w:val="24"/>
          <w:szCs w:val="24"/>
          <w:lang w:eastAsia="pl-PL"/>
        </w:rPr>
        <w:tab/>
        <w:t>ograniczenie ryzyka nieodłącznie związanego z jego działalnością, produktami i systemami, w tym działalnością zleconą na zasadzie outsourcingu, oraz zaprzestanie prowadzenia takiej działalności lub oferowania takich produktów;</w:t>
      </w:r>
    </w:p>
    <w:p w14:paraId="7F0F2045" w14:textId="69F8CA66"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t>4)</w:t>
      </w:r>
      <w:r w:rsidRPr="009858C9">
        <w:rPr>
          <w:rFonts w:ascii="Times New Roman" w:eastAsia="Times New Roman" w:hAnsi="Times New Roman" w:cs="Times New Roman"/>
          <w:bCs/>
          <w:sz w:val="24"/>
          <w:szCs w:val="24"/>
          <w:lang w:eastAsia="pl-PL"/>
        </w:rPr>
        <w:tab/>
        <w:t>spełnianie dodatkowych wymogów dotyczących sprawozdawczości, lub zwiększenie częstotliwości regularnej sprawozdawczości;</w:t>
      </w:r>
    </w:p>
    <w:p w14:paraId="0255EC7C" w14:textId="1A9574B9"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t>5)</w:t>
      </w:r>
      <w:r w:rsidRPr="009858C9">
        <w:rPr>
          <w:rFonts w:ascii="Times New Roman" w:eastAsia="Times New Roman" w:hAnsi="Times New Roman" w:cs="Times New Roman"/>
          <w:bCs/>
          <w:sz w:val="24"/>
          <w:szCs w:val="24"/>
          <w:lang w:eastAsia="pl-PL"/>
        </w:rPr>
        <w:tab/>
        <w:t>publikowanie wskazanych informacj</w:t>
      </w:r>
      <w:r w:rsidR="000C3485">
        <w:rPr>
          <w:rFonts w:ascii="Times New Roman" w:eastAsia="Times New Roman" w:hAnsi="Times New Roman" w:cs="Times New Roman"/>
          <w:bCs/>
          <w:sz w:val="24"/>
          <w:szCs w:val="24"/>
          <w:lang w:eastAsia="pl-PL"/>
        </w:rPr>
        <w:t>i</w:t>
      </w:r>
      <w:r w:rsidRPr="009858C9">
        <w:rPr>
          <w:rFonts w:ascii="Times New Roman" w:eastAsia="Times New Roman" w:hAnsi="Times New Roman" w:cs="Times New Roman"/>
          <w:bCs/>
          <w:sz w:val="24"/>
          <w:szCs w:val="24"/>
          <w:lang w:eastAsia="pl-PL"/>
        </w:rPr>
        <w:t xml:space="preserve"> na stronie internetowej.</w:t>
      </w:r>
    </w:p>
    <w:p w14:paraId="355DF670" w14:textId="598BC103" w:rsidR="004067D3" w:rsidRPr="009858C9" w:rsidRDefault="004067D3" w:rsidP="009858C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9858C9">
        <w:rPr>
          <w:rFonts w:ascii="Times New Roman" w:eastAsia="Times New Roman" w:hAnsi="Times New Roman" w:cs="Times New Roman"/>
          <w:sz w:val="24"/>
          <w:szCs w:val="24"/>
          <w:lang w:eastAsia="pl-PL"/>
        </w:rPr>
        <w:t>KNF może także nakazać oddziałowi z państwa trzeciego:</w:t>
      </w:r>
    </w:p>
    <w:p w14:paraId="70C3F2AA" w14:textId="72AB989F"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lastRenderedPageBreak/>
        <w:t>1)</w:t>
      </w:r>
      <w:r w:rsidRPr="009858C9">
        <w:rPr>
          <w:rFonts w:ascii="Times New Roman" w:eastAsia="Times New Roman" w:hAnsi="Times New Roman" w:cs="Times New Roman"/>
          <w:bCs/>
          <w:sz w:val="24"/>
          <w:szCs w:val="24"/>
          <w:lang w:eastAsia="pl-PL"/>
        </w:rPr>
        <w:tab/>
        <w:t>utrzymywanie poziomu wyposażenia kapitałowego powyżej minimalnych wymogów lub spełnianie innych dodatkowych wymogów kapitałowych</w:t>
      </w:r>
      <w:r w:rsidR="000C3485">
        <w:rPr>
          <w:rFonts w:ascii="Times New Roman" w:eastAsia="Times New Roman" w:hAnsi="Times New Roman" w:cs="Times New Roman"/>
          <w:bCs/>
          <w:sz w:val="24"/>
          <w:szCs w:val="24"/>
          <w:lang w:eastAsia="pl-PL"/>
        </w:rPr>
        <w:t>;</w:t>
      </w:r>
      <w:r w:rsidRPr="009858C9">
        <w:rPr>
          <w:rFonts w:ascii="Times New Roman" w:eastAsia="Times New Roman" w:hAnsi="Times New Roman" w:cs="Times New Roman"/>
          <w:bCs/>
          <w:sz w:val="24"/>
          <w:szCs w:val="24"/>
          <w:lang w:eastAsia="pl-PL"/>
        </w:rPr>
        <w:t xml:space="preserve"> </w:t>
      </w:r>
    </w:p>
    <w:p w14:paraId="0DE3AD79" w14:textId="573DE7FE" w:rsidR="004067D3" w:rsidRPr="009858C9" w:rsidRDefault="004067D3" w:rsidP="009858C9">
      <w:pPr>
        <w:spacing w:before="120" w:after="0" w:line="360" w:lineRule="auto"/>
        <w:ind w:left="1020" w:hanging="510"/>
        <w:jc w:val="both"/>
        <w:rPr>
          <w:rFonts w:ascii="Times New Roman" w:eastAsia="Times New Roman" w:hAnsi="Times New Roman" w:cs="Times New Roman"/>
          <w:bCs/>
          <w:sz w:val="24"/>
          <w:szCs w:val="24"/>
          <w:lang w:eastAsia="pl-PL"/>
        </w:rPr>
      </w:pPr>
      <w:r w:rsidRPr="009858C9">
        <w:rPr>
          <w:rFonts w:ascii="Times New Roman" w:eastAsia="Times New Roman" w:hAnsi="Times New Roman" w:cs="Times New Roman"/>
          <w:bCs/>
          <w:sz w:val="24"/>
          <w:szCs w:val="24"/>
          <w:lang w:eastAsia="pl-PL"/>
        </w:rPr>
        <w:t>2)</w:t>
      </w:r>
      <w:r w:rsidRPr="009858C9">
        <w:rPr>
          <w:rFonts w:ascii="Times New Roman" w:eastAsia="Times New Roman" w:hAnsi="Times New Roman" w:cs="Times New Roman"/>
          <w:bCs/>
          <w:sz w:val="24"/>
          <w:szCs w:val="24"/>
          <w:lang w:eastAsia="pl-PL"/>
        </w:rPr>
        <w:tab/>
        <w:t>spełnianie, oprócz wymogów określonych w projektowanym art. 41i, innych wymogów dotyczących płynności.</w:t>
      </w:r>
    </w:p>
    <w:p w14:paraId="7CF9E97D" w14:textId="2E89E735" w:rsidR="00D933A1" w:rsidRPr="00BE264C" w:rsidRDefault="007A74CC"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O</w:t>
      </w:r>
      <w:r w:rsidR="00D933A1" w:rsidRPr="00BE264C">
        <w:rPr>
          <w:rFonts w:ascii="Times New Roman" w:eastAsia="Times New Roman" w:hAnsi="Times New Roman" w:cs="Times New Roman"/>
          <w:bCs/>
          <w:sz w:val="24"/>
          <w:szCs w:val="24"/>
          <w:lang w:eastAsia="pl-PL"/>
        </w:rPr>
        <w:t>twarty katalog dodatkowych wymogów kapitałowych oraz innych wymogów dotyczących płynności pozostają w zgodności z brzmieniem implementowanego art. 48o ust. 2 dyrektywy CRD VI.</w:t>
      </w:r>
    </w:p>
    <w:p w14:paraId="5F0553B0" w14:textId="46B0D379" w:rsidR="00064B68" w:rsidRPr="00BE264C" w:rsidRDefault="00ED1EB7"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Projektowane przepisy nakładają też na KNF obowiązek współpracy z właściwymi </w:t>
      </w:r>
      <w:r w:rsidR="00A844CE" w:rsidRPr="00BE264C">
        <w:rPr>
          <w:rFonts w:ascii="Times New Roman" w:eastAsia="Times New Roman" w:hAnsi="Times New Roman" w:cs="Times New Roman"/>
          <w:bCs/>
          <w:sz w:val="24"/>
          <w:szCs w:val="24"/>
          <w:lang w:eastAsia="pl-PL"/>
        </w:rPr>
        <w:t xml:space="preserve">władzami nadzorczymi </w:t>
      </w:r>
      <w:r w:rsidRPr="00BE264C">
        <w:rPr>
          <w:rFonts w:ascii="Times New Roman" w:eastAsia="Times New Roman" w:hAnsi="Times New Roman" w:cs="Times New Roman"/>
          <w:bCs/>
          <w:sz w:val="24"/>
          <w:szCs w:val="24"/>
          <w:lang w:eastAsia="pl-PL"/>
        </w:rPr>
        <w:t xml:space="preserve">w zakresie sprawowanego nadzoru nad oddziałami </w:t>
      </w:r>
      <w:r w:rsidR="004067D3" w:rsidRPr="00BE264C">
        <w:rPr>
          <w:rFonts w:ascii="Times New Roman" w:eastAsia="Times New Roman" w:hAnsi="Times New Roman" w:cs="Times New Roman"/>
          <w:bCs/>
          <w:sz w:val="24"/>
          <w:szCs w:val="24"/>
          <w:lang w:eastAsia="pl-PL"/>
        </w:rPr>
        <w:t xml:space="preserve">z państw trzecich </w:t>
      </w:r>
      <w:r w:rsidRPr="00BE264C">
        <w:rPr>
          <w:rFonts w:ascii="Times New Roman" w:eastAsia="Times New Roman" w:hAnsi="Times New Roman" w:cs="Times New Roman"/>
          <w:bCs/>
          <w:sz w:val="24"/>
          <w:szCs w:val="24"/>
          <w:lang w:eastAsia="pl-PL"/>
        </w:rPr>
        <w:t xml:space="preserve">oraz instytucjami będącymi jednostkami zależnymi należącymi do tej samej grupy z państwa trzeciego, w szczególności </w:t>
      </w:r>
      <w:r w:rsidR="004F675E" w:rsidRPr="00BE264C">
        <w:rPr>
          <w:rFonts w:ascii="Times New Roman" w:eastAsia="Times New Roman" w:hAnsi="Times New Roman" w:cs="Times New Roman"/>
          <w:bCs/>
          <w:sz w:val="24"/>
          <w:szCs w:val="24"/>
          <w:lang w:eastAsia="pl-PL"/>
        </w:rPr>
        <w:t xml:space="preserve">co do </w:t>
      </w:r>
      <w:r w:rsidRPr="00BE264C">
        <w:rPr>
          <w:rFonts w:ascii="Times New Roman" w:eastAsia="Times New Roman" w:hAnsi="Times New Roman" w:cs="Times New Roman"/>
          <w:bCs/>
          <w:sz w:val="24"/>
          <w:szCs w:val="24"/>
          <w:lang w:eastAsia="pl-PL"/>
        </w:rPr>
        <w:t>przekaz</w:t>
      </w:r>
      <w:r w:rsidR="004F675E" w:rsidRPr="00BE264C">
        <w:rPr>
          <w:rFonts w:ascii="Times New Roman" w:eastAsia="Times New Roman" w:hAnsi="Times New Roman" w:cs="Times New Roman"/>
          <w:bCs/>
          <w:sz w:val="24"/>
          <w:szCs w:val="24"/>
          <w:lang w:eastAsia="pl-PL"/>
        </w:rPr>
        <w:t>ywania</w:t>
      </w:r>
      <w:r w:rsidRPr="00BE264C">
        <w:rPr>
          <w:rFonts w:ascii="Times New Roman" w:eastAsia="Times New Roman" w:hAnsi="Times New Roman" w:cs="Times New Roman"/>
          <w:bCs/>
          <w:sz w:val="24"/>
          <w:szCs w:val="24"/>
          <w:lang w:eastAsia="pl-PL"/>
        </w:rPr>
        <w:t xml:space="preserve"> im lub zwraca</w:t>
      </w:r>
      <w:r w:rsidR="004F675E" w:rsidRPr="00BE264C">
        <w:rPr>
          <w:rFonts w:ascii="Times New Roman" w:eastAsia="Times New Roman" w:hAnsi="Times New Roman" w:cs="Times New Roman"/>
          <w:bCs/>
          <w:sz w:val="24"/>
          <w:szCs w:val="24"/>
          <w:lang w:eastAsia="pl-PL"/>
        </w:rPr>
        <w:t>nia</w:t>
      </w:r>
      <w:r w:rsidRPr="00BE264C">
        <w:rPr>
          <w:rFonts w:ascii="Times New Roman" w:eastAsia="Times New Roman" w:hAnsi="Times New Roman" w:cs="Times New Roman"/>
          <w:bCs/>
          <w:sz w:val="24"/>
          <w:szCs w:val="24"/>
          <w:lang w:eastAsia="pl-PL"/>
        </w:rPr>
        <w:t xml:space="preserve"> się o informacje istotne dla wykonywania zadań nadzorczych.</w:t>
      </w:r>
    </w:p>
    <w:p w14:paraId="712DD5C8" w14:textId="55CC5DD4" w:rsidR="00ED1EB7" w:rsidRPr="00BE264C" w:rsidRDefault="00ED1EB7"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Do celów określonych w </w:t>
      </w:r>
      <w:r w:rsidR="004067D3" w:rsidRPr="00BE264C">
        <w:rPr>
          <w:rFonts w:ascii="Times New Roman" w:eastAsia="Times New Roman" w:hAnsi="Times New Roman" w:cs="Times New Roman"/>
          <w:bCs/>
          <w:sz w:val="24"/>
          <w:szCs w:val="24"/>
          <w:lang w:eastAsia="pl-PL"/>
        </w:rPr>
        <w:t xml:space="preserve">projektowanym </w:t>
      </w:r>
      <w:r w:rsidRPr="00BE264C">
        <w:rPr>
          <w:rFonts w:ascii="Times New Roman" w:eastAsia="Times New Roman" w:hAnsi="Times New Roman" w:cs="Times New Roman"/>
          <w:bCs/>
          <w:sz w:val="24"/>
          <w:szCs w:val="24"/>
          <w:lang w:eastAsia="pl-PL"/>
        </w:rPr>
        <w:t>art. 141ec ustawy</w:t>
      </w:r>
      <w:r w:rsidR="00A204C7" w:rsidRPr="00BE264C">
        <w:rPr>
          <w:rFonts w:ascii="Times New Roman" w:eastAsia="Times New Roman" w:hAnsi="Times New Roman" w:cs="Times New Roman"/>
          <w:bCs/>
          <w:sz w:val="24"/>
          <w:szCs w:val="24"/>
          <w:lang w:eastAsia="pl-PL"/>
        </w:rPr>
        <w:t xml:space="preserve"> – Prawo bankowe</w:t>
      </w:r>
      <w:r w:rsidRPr="00BE264C">
        <w:rPr>
          <w:rFonts w:ascii="Times New Roman" w:eastAsia="Times New Roman" w:hAnsi="Times New Roman" w:cs="Times New Roman"/>
          <w:bCs/>
          <w:sz w:val="24"/>
          <w:szCs w:val="24"/>
          <w:lang w:eastAsia="pl-PL"/>
        </w:rPr>
        <w:t xml:space="preserve">, oddziały </w:t>
      </w:r>
      <w:r w:rsidR="004067D3" w:rsidRPr="00BE264C">
        <w:rPr>
          <w:rFonts w:ascii="Times New Roman" w:eastAsia="Times New Roman" w:hAnsi="Times New Roman" w:cs="Times New Roman"/>
          <w:bCs/>
          <w:sz w:val="24"/>
          <w:szCs w:val="24"/>
          <w:lang w:eastAsia="pl-PL"/>
        </w:rPr>
        <w:t xml:space="preserve">z państw trzecich </w:t>
      </w:r>
      <w:r w:rsidRPr="00BE264C">
        <w:rPr>
          <w:rFonts w:ascii="Times New Roman" w:eastAsia="Times New Roman" w:hAnsi="Times New Roman" w:cs="Times New Roman"/>
          <w:bCs/>
          <w:sz w:val="24"/>
          <w:szCs w:val="24"/>
          <w:lang w:eastAsia="pl-PL"/>
        </w:rPr>
        <w:t>należące do klasy 1 podlegają nadzorowi kolegiów, o których mowa w art. 141f ust. 18 ustawy</w:t>
      </w:r>
      <w:r w:rsidR="00A204C7" w:rsidRPr="00BE264C">
        <w:rPr>
          <w:rFonts w:ascii="Times New Roman" w:eastAsia="Times New Roman" w:hAnsi="Times New Roman" w:cs="Times New Roman"/>
          <w:bCs/>
          <w:sz w:val="24"/>
          <w:szCs w:val="24"/>
          <w:lang w:eastAsia="pl-PL"/>
        </w:rPr>
        <w:t xml:space="preserve"> – Prawo bankowe</w:t>
      </w:r>
      <w:r w:rsidRPr="00BE264C">
        <w:rPr>
          <w:rFonts w:ascii="Times New Roman" w:eastAsia="Times New Roman" w:hAnsi="Times New Roman" w:cs="Times New Roman"/>
          <w:bCs/>
          <w:sz w:val="24"/>
          <w:szCs w:val="24"/>
          <w:lang w:eastAsia="pl-PL"/>
        </w:rPr>
        <w:t>.</w:t>
      </w:r>
    </w:p>
    <w:p w14:paraId="0CA48948" w14:textId="3EF19F06" w:rsidR="008276E9" w:rsidRPr="00BE264C" w:rsidRDefault="008276E9"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
          <w:sz w:val="24"/>
          <w:szCs w:val="24"/>
          <w:lang w:eastAsia="pl-PL"/>
        </w:rPr>
        <w:t xml:space="preserve">Art. 1 pkt </w:t>
      </w:r>
      <w:r w:rsidR="000B0F27" w:rsidRPr="00BE264C">
        <w:rPr>
          <w:rFonts w:ascii="Times New Roman" w:eastAsia="Times New Roman" w:hAnsi="Times New Roman" w:cs="Times New Roman"/>
          <w:b/>
          <w:sz w:val="24"/>
          <w:szCs w:val="24"/>
          <w:lang w:eastAsia="pl-PL"/>
        </w:rPr>
        <w:t>5</w:t>
      </w:r>
      <w:r w:rsidR="00A844CE" w:rsidRPr="00BE264C">
        <w:rPr>
          <w:rFonts w:ascii="Times New Roman" w:eastAsia="Times New Roman" w:hAnsi="Times New Roman" w:cs="Times New Roman"/>
          <w:b/>
          <w:sz w:val="24"/>
          <w:szCs w:val="24"/>
          <w:lang w:eastAsia="pl-PL"/>
        </w:rPr>
        <w:t>3</w:t>
      </w:r>
      <w:r w:rsidR="00C22E5F" w:rsidRPr="00BE264C">
        <w:rPr>
          <w:rFonts w:ascii="Times New Roman" w:eastAsia="Times New Roman" w:hAnsi="Times New Roman" w:cs="Times New Roman"/>
          <w:b/>
          <w:sz w:val="24"/>
          <w:szCs w:val="24"/>
          <w:lang w:eastAsia="pl-PL"/>
        </w:rPr>
        <w:t xml:space="preserve"> </w:t>
      </w:r>
      <w:r w:rsidR="001E3885" w:rsidRPr="00BE264C">
        <w:rPr>
          <w:rFonts w:ascii="Times New Roman" w:eastAsia="Times New Roman" w:hAnsi="Times New Roman" w:cs="Times New Roman"/>
          <w:bCs/>
          <w:sz w:val="24"/>
          <w:szCs w:val="24"/>
          <w:lang w:eastAsia="pl-PL"/>
        </w:rPr>
        <w:t>wprowadza możliwość</w:t>
      </w:r>
      <w:r w:rsidRPr="00BE264C">
        <w:rPr>
          <w:rFonts w:ascii="Times New Roman" w:eastAsia="Times New Roman" w:hAnsi="Times New Roman" w:cs="Times New Roman"/>
          <w:b/>
          <w:sz w:val="24"/>
          <w:szCs w:val="24"/>
          <w:lang w:eastAsia="pl-PL"/>
        </w:rPr>
        <w:t xml:space="preserve"> </w:t>
      </w:r>
      <w:r w:rsidR="001E3885" w:rsidRPr="00BE264C">
        <w:rPr>
          <w:rFonts w:ascii="Times New Roman" w:eastAsia="Times New Roman" w:hAnsi="Times New Roman" w:cs="Times New Roman"/>
          <w:bCs/>
          <w:sz w:val="24"/>
          <w:szCs w:val="24"/>
          <w:lang w:eastAsia="pl-PL"/>
        </w:rPr>
        <w:t>nałożenia na</w:t>
      </w:r>
      <w:r w:rsidR="001E3885" w:rsidRPr="00BE264C">
        <w:rPr>
          <w:rFonts w:ascii="Times New Roman" w:eastAsia="Times New Roman" w:hAnsi="Times New Roman" w:cs="Times New Roman"/>
          <w:b/>
          <w:sz w:val="24"/>
          <w:szCs w:val="24"/>
          <w:lang w:eastAsia="pl-PL"/>
        </w:rPr>
        <w:t xml:space="preserve"> </w:t>
      </w:r>
      <w:r w:rsidRPr="00BE264C">
        <w:rPr>
          <w:rFonts w:ascii="Times New Roman" w:eastAsia="Times New Roman" w:hAnsi="Times New Roman" w:cs="Times New Roman"/>
          <w:bCs/>
          <w:sz w:val="24"/>
          <w:szCs w:val="24"/>
          <w:lang w:eastAsia="pl-PL"/>
        </w:rPr>
        <w:t>finansow</w:t>
      </w:r>
      <w:r w:rsidR="00170B6E" w:rsidRPr="00BE264C">
        <w:rPr>
          <w:rFonts w:ascii="Times New Roman" w:eastAsia="Times New Roman" w:hAnsi="Times New Roman" w:cs="Times New Roman"/>
          <w:bCs/>
          <w:sz w:val="24"/>
          <w:szCs w:val="24"/>
          <w:lang w:eastAsia="pl-PL"/>
        </w:rPr>
        <w:t>ą</w:t>
      </w:r>
      <w:r w:rsidRPr="00BE264C">
        <w:rPr>
          <w:rFonts w:ascii="Times New Roman" w:eastAsia="Times New Roman" w:hAnsi="Times New Roman" w:cs="Times New Roman"/>
          <w:bCs/>
          <w:sz w:val="24"/>
          <w:szCs w:val="24"/>
          <w:lang w:eastAsia="pl-PL"/>
        </w:rPr>
        <w:t xml:space="preserve"> spółk</w:t>
      </w:r>
      <w:r w:rsidR="00170B6E" w:rsidRPr="00BE264C">
        <w:rPr>
          <w:rFonts w:ascii="Times New Roman" w:eastAsia="Times New Roman" w:hAnsi="Times New Roman" w:cs="Times New Roman"/>
          <w:bCs/>
          <w:sz w:val="24"/>
          <w:szCs w:val="24"/>
          <w:lang w:eastAsia="pl-PL"/>
        </w:rPr>
        <w:t>ę</w:t>
      </w:r>
      <w:r w:rsidRPr="00BE264C">
        <w:rPr>
          <w:rFonts w:ascii="Times New Roman" w:eastAsia="Times New Roman" w:hAnsi="Times New Roman" w:cs="Times New Roman"/>
          <w:bCs/>
          <w:sz w:val="24"/>
          <w:szCs w:val="24"/>
          <w:lang w:eastAsia="pl-PL"/>
        </w:rPr>
        <w:t xml:space="preserve"> holdingow</w:t>
      </w:r>
      <w:r w:rsidR="00170B6E" w:rsidRPr="00BE264C">
        <w:rPr>
          <w:rFonts w:ascii="Times New Roman" w:eastAsia="Times New Roman" w:hAnsi="Times New Roman" w:cs="Times New Roman"/>
          <w:bCs/>
          <w:sz w:val="24"/>
          <w:szCs w:val="24"/>
          <w:lang w:eastAsia="pl-PL"/>
        </w:rPr>
        <w:t>ą</w:t>
      </w:r>
      <w:r w:rsidRPr="00BE264C">
        <w:rPr>
          <w:rFonts w:ascii="Times New Roman" w:eastAsia="Times New Roman" w:hAnsi="Times New Roman" w:cs="Times New Roman"/>
          <w:bCs/>
          <w:sz w:val="24"/>
          <w:szCs w:val="24"/>
          <w:lang w:eastAsia="pl-PL"/>
        </w:rPr>
        <w:t xml:space="preserve"> albo finansow</w:t>
      </w:r>
      <w:r w:rsidR="00170B6E" w:rsidRPr="00BE264C">
        <w:rPr>
          <w:rFonts w:ascii="Times New Roman" w:eastAsia="Times New Roman" w:hAnsi="Times New Roman" w:cs="Times New Roman"/>
          <w:bCs/>
          <w:sz w:val="24"/>
          <w:szCs w:val="24"/>
          <w:lang w:eastAsia="pl-PL"/>
        </w:rPr>
        <w:t>ą</w:t>
      </w:r>
      <w:r w:rsidRPr="00BE264C">
        <w:rPr>
          <w:rFonts w:ascii="Times New Roman" w:eastAsia="Times New Roman" w:hAnsi="Times New Roman" w:cs="Times New Roman"/>
          <w:bCs/>
          <w:sz w:val="24"/>
          <w:szCs w:val="24"/>
          <w:lang w:eastAsia="pl-PL"/>
        </w:rPr>
        <w:t xml:space="preserve"> spółk</w:t>
      </w:r>
      <w:r w:rsidR="00170B6E" w:rsidRPr="00BE264C">
        <w:rPr>
          <w:rFonts w:ascii="Times New Roman" w:eastAsia="Times New Roman" w:hAnsi="Times New Roman" w:cs="Times New Roman"/>
          <w:bCs/>
          <w:sz w:val="24"/>
          <w:szCs w:val="24"/>
          <w:lang w:eastAsia="pl-PL"/>
        </w:rPr>
        <w:t>ę</w:t>
      </w:r>
      <w:r w:rsidRPr="00BE264C">
        <w:rPr>
          <w:rFonts w:ascii="Times New Roman" w:eastAsia="Times New Roman" w:hAnsi="Times New Roman" w:cs="Times New Roman"/>
          <w:bCs/>
          <w:sz w:val="24"/>
          <w:szCs w:val="24"/>
          <w:lang w:eastAsia="pl-PL"/>
        </w:rPr>
        <w:t xml:space="preserve"> holdingow</w:t>
      </w:r>
      <w:r w:rsidR="00170B6E" w:rsidRPr="00BE264C">
        <w:rPr>
          <w:rFonts w:ascii="Times New Roman" w:eastAsia="Times New Roman" w:hAnsi="Times New Roman" w:cs="Times New Roman"/>
          <w:bCs/>
          <w:sz w:val="24"/>
          <w:szCs w:val="24"/>
          <w:lang w:eastAsia="pl-PL"/>
        </w:rPr>
        <w:t>ą</w:t>
      </w:r>
      <w:r w:rsidRPr="00BE264C">
        <w:rPr>
          <w:rFonts w:ascii="Times New Roman" w:eastAsia="Times New Roman" w:hAnsi="Times New Roman" w:cs="Times New Roman"/>
          <w:bCs/>
          <w:sz w:val="24"/>
          <w:szCs w:val="24"/>
          <w:lang w:eastAsia="pl-PL"/>
        </w:rPr>
        <w:t xml:space="preserve"> o działalności mieszanej</w:t>
      </w:r>
      <w:r w:rsidR="00170B6E" w:rsidRPr="00BE264C">
        <w:rPr>
          <w:rFonts w:ascii="Times New Roman" w:eastAsia="Times New Roman" w:hAnsi="Times New Roman" w:cs="Times New Roman"/>
          <w:bCs/>
          <w:sz w:val="24"/>
          <w:szCs w:val="24"/>
          <w:lang w:eastAsia="pl-PL"/>
        </w:rPr>
        <w:t>, która</w:t>
      </w:r>
      <w:r w:rsidRPr="00BE264C">
        <w:rPr>
          <w:rFonts w:ascii="Times New Roman" w:eastAsia="Times New Roman" w:hAnsi="Times New Roman" w:cs="Times New Roman"/>
          <w:bCs/>
          <w:sz w:val="24"/>
          <w:szCs w:val="24"/>
          <w:lang w:eastAsia="pl-PL"/>
        </w:rPr>
        <w:t xml:space="preserve"> prowadzi działalność bez wymaganego zatwierdzenia</w:t>
      </w:r>
      <w:r w:rsidR="00170B6E"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xml:space="preserve">albo po uzyskaniu takiego zatwierdzenia przestanie spełniać warunki, o których mowa w </w:t>
      </w:r>
      <w:r w:rsidR="00170B6E" w:rsidRPr="00BE264C">
        <w:rPr>
          <w:rFonts w:ascii="Times New Roman" w:eastAsia="Times New Roman" w:hAnsi="Times New Roman" w:cs="Times New Roman"/>
          <w:bCs/>
          <w:sz w:val="24"/>
          <w:szCs w:val="24"/>
          <w:lang w:eastAsia="pl-PL"/>
        </w:rPr>
        <w:t xml:space="preserve">zmienianej ustawie, </w:t>
      </w:r>
      <w:r w:rsidRPr="00BE264C">
        <w:rPr>
          <w:rFonts w:ascii="Times New Roman" w:eastAsia="Times New Roman" w:hAnsi="Times New Roman" w:cs="Times New Roman"/>
          <w:bCs/>
          <w:sz w:val="24"/>
          <w:szCs w:val="24"/>
          <w:lang w:eastAsia="pl-PL"/>
        </w:rPr>
        <w:t>kar</w:t>
      </w:r>
      <w:r w:rsidR="00170B6E" w:rsidRPr="00BE264C">
        <w:rPr>
          <w:rFonts w:ascii="Times New Roman" w:eastAsia="Times New Roman" w:hAnsi="Times New Roman" w:cs="Times New Roman"/>
          <w:bCs/>
          <w:sz w:val="24"/>
          <w:szCs w:val="24"/>
          <w:lang w:eastAsia="pl-PL"/>
        </w:rPr>
        <w:t>y</w:t>
      </w:r>
      <w:r w:rsidRPr="00BE264C">
        <w:rPr>
          <w:rFonts w:ascii="Times New Roman" w:eastAsia="Times New Roman" w:hAnsi="Times New Roman" w:cs="Times New Roman"/>
          <w:bCs/>
          <w:sz w:val="24"/>
          <w:szCs w:val="24"/>
          <w:lang w:eastAsia="pl-PL"/>
        </w:rPr>
        <w:t xml:space="preserve"> pieniężn</w:t>
      </w:r>
      <w:r w:rsidR="00170B6E" w:rsidRPr="00BE264C">
        <w:rPr>
          <w:rFonts w:ascii="Times New Roman" w:eastAsia="Times New Roman" w:hAnsi="Times New Roman" w:cs="Times New Roman"/>
          <w:bCs/>
          <w:sz w:val="24"/>
          <w:szCs w:val="24"/>
          <w:lang w:eastAsia="pl-PL"/>
        </w:rPr>
        <w:t>ej</w:t>
      </w:r>
      <w:r w:rsidRPr="00BE264C">
        <w:rPr>
          <w:rFonts w:ascii="Times New Roman" w:eastAsia="Times New Roman" w:hAnsi="Times New Roman" w:cs="Times New Roman"/>
          <w:bCs/>
          <w:sz w:val="24"/>
          <w:szCs w:val="24"/>
          <w:lang w:eastAsia="pl-PL"/>
        </w:rPr>
        <w:t xml:space="preserve"> do wysokości nieprzekraczającej</w:t>
      </w:r>
      <w:r w:rsidR="00170B6E"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kwoty stanowiącej równowartość 10</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xml:space="preserve">% całkowitego rocznego </w:t>
      </w:r>
      <w:r w:rsidR="00CF3A09" w:rsidRPr="00BE264C">
        <w:rPr>
          <w:rFonts w:ascii="Times New Roman" w:eastAsia="Times New Roman" w:hAnsi="Times New Roman" w:cs="Times New Roman"/>
          <w:bCs/>
          <w:sz w:val="24"/>
          <w:szCs w:val="24"/>
          <w:lang w:eastAsia="pl-PL"/>
        </w:rPr>
        <w:t xml:space="preserve">obrotu </w:t>
      </w:r>
      <w:r w:rsidRPr="00BE264C">
        <w:rPr>
          <w:rFonts w:ascii="Times New Roman" w:eastAsia="Times New Roman" w:hAnsi="Times New Roman" w:cs="Times New Roman"/>
          <w:bCs/>
          <w:sz w:val="24"/>
          <w:szCs w:val="24"/>
          <w:lang w:eastAsia="pl-PL"/>
        </w:rPr>
        <w:t>netto, alb</w:t>
      </w:r>
      <w:r w:rsidR="00170B6E" w:rsidRPr="00BE264C">
        <w:rPr>
          <w:rFonts w:ascii="Times New Roman" w:eastAsia="Times New Roman" w:hAnsi="Times New Roman" w:cs="Times New Roman"/>
          <w:bCs/>
          <w:sz w:val="24"/>
          <w:szCs w:val="24"/>
          <w:lang w:eastAsia="pl-PL"/>
        </w:rPr>
        <w:t xml:space="preserve">o kary pieniężnej do wysokości </w:t>
      </w:r>
      <w:r w:rsidRPr="00BE264C">
        <w:rPr>
          <w:rFonts w:ascii="Times New Roman" w:eastAsia="Times New Roman" w:hAnsi="Times New Roman" w:cs="Times New Roman"/>
          <w:bCs/>
          <w:sz w:val="24"/>
          <w:szCs w:val="24"/>
          <w:lang w:eastAsia="pl-PL"/>
        </w:rPr>
        <w:t>kwoty stanowiącej równowartość 5</w:t>
      </w:r>
      <w:r w:rsidR="006B637B">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 xml:space="preserve">% średniego dziennego obrotu netto, </w:t>
      </w:r>
      <w:r w:rsidR="00170B6E" w:rsidRPr="00BE264C">
        <w:rPr>
          <w:rFonts w:ascii="Times New Roman" w:eastAsia="Times New Roman" w:hAnsi="Times New Roman" w:cs="Times New Roman"/>
          <w:bCs/>
          <w:sz w:val="24"/>
          <w:szCs w:val="24"/>
          <w:lang w:eastAsia="pl-PL"/>
        </w:rPr>
        <w:t xml:space="preserve">za każdy dzień trwającego naruszenia, do dnia przywrócenia </w:t>
      </w:r>
      <w:r w:rsidR="00110B6D" w:rsidRPr="00BE264C">
        <w:rPr>
          <w:rFonts w:ascii="Times New Roman" w:eastAsia="Times New Roman" w:hAnsi="Times New Roman" w:cs="Times New Roman"/>
          <w:bCs/>
          <w:sz w:val="24"/>
          <w:szCs w:val="24"/>
          <w:lang w:eastAsia="pl-PL"/>
        </w:rPr>
        <w:t xml:space="preserve">stanu </w:t>
      </w:r>
      <w:r w:rsidR="00170B6E" w:rsidRPr="00BE264C">
        <w:rPr>
          <w:rFonts w:ascii="Times New Roman" w:eastAsia="Times New Roman" w:hAnsi="Times New Roman" w:cs="Times New Roman"/>
          <w:bCs/>
          <w:sz w:val="24"/>
          <w:szCs w:val="24"/>
          <w:lang w:eastAsia="pl-PL"/>
        </w:rPr>
        <w:t xml:space="preserve">zgodności </w:t>
      </w:r>
      <w:bookmarkStart w:id="6" w:name="_Hlk191287771"/>
      <w:r w:rsidR="00170B6E" w:rsidRPr="00BE264C">
        <w:rPr>
          <w:rFonts w:ascii="Times New Roman" w:eastAsia="Times New Roman" w:hAnsi="Times New Roman" w:cs="Times New Roman"/>
          <w:bCs/>
          <w:sz w:val="24"/>
          <w:szCs w:val="24"/>
          <w:lang w:eastAsia="pl-PL"/>
        </w:rPr>
        <w:t xml:space="preserve">z prawem, </w:t>
      </w:r>
      <w:r w:rsidRPr="00BE264C">
        <w:rPr>
          <w:rFonts w:ascii="Times New Roman" w:eastAsia="Times New Roman" w:hAnsi="Times New Roman" w:cs="Times New Roman"/>
          <w:bCs/>
          <w:sz w:val="24"/>
          <w:szCs w:val="24"/>
          <w:lang w:eastAsia="pl-PL"/>
        </w:rPr>
        <w:t xml:space="preserve">przez okres niedłuższy niż </w:t>
      </w:r>
      <w:r w:rsidR="00C05F9B" w:rsidRPr="00BE264C">
        <w:rPr>
          <w:rFonts w:ascii="Times New Roman" w:eastAsia="Times New Roman" w:hAnsi="Times New Roman" w:cs="Times New Roman"/>
          <w:bCs/>
          <w:sz w:val="24"/>
          <w:szCs w:val="24"/>
          <w:lang w:eastAsia="pl-PL"/>
        </w:rPr>
        <w:t xml:space="preserve">6 </w:t>
      </w:r>
      <w:r w:rsidRPr="00BE264C">
        <w:rPr>
          <w:rFonts w:ascii="Times New Roman" w:eastAsia="Times New Roman" w:hAnsi="Times New Roman" w:cs="Times New Roman"/>
          <w:bCs/>
          <w:sz w:val="24"/>
          <w:szCs w:val="24"/>
          <w:lang w:eastAsia="pl-PL"/>
        </w:rPr>
        <w:t>miesięcy od daty określonej w decyzji</w:t>
      </w:r>
      <w:r w:rsidR="00170B6E" w:rsidRPr="00BE264C">
        <w:rPr>
          <w:rFonts w:ascii="Times New Roman" w:eastAsia="Times New Roman" w:hAnsi="Times New Roman" w:cs="Times New Roman"/>
          <w:bCs/>
          <w:sz w:val="24"/>
          <w:szCs w:val="24"/>
          <w:lang w:eastAsia="pl-PL"/>
        </w:rPr>
        <w:t>.</w:t>
      </w:r>
    </w:p>
    <w:p w14:paraId="1F3356CA" w14:textId="108D6787" w:rsidR="008276E9" w:rsidRPr="00BE264C" w:rsidRDefault="00170B6E"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Projektowany przepis wprowadza także możliwość nałożenia na </w:t>
      </w:r>
      <w:r w:rsidR="008276E9" w:rsidRPr="00BE264C">
        <w:rPr>
          <w:rFonts w:ascii="Times New Roman" w:eastAsia="Times New Roman" w:hAnsi="Times New Roman" w:cs="Times New Roman"/>
          <w:bCs/>
          <w:sz w:val="24"/>
          <w:szCs w:val="24"/>
          <w:lang w:eastAsia="pl-PL"/>
        </w:rPr>
        <w:t>osob</w:t>
      </w:r>
      <w:r w:rsidRPr="00BE264C">
        <w:rPr>
          <w:rFonts w:ascii="Times New Roman" w:eastAsia="Times New Roman" w:hAnsi="Times New Roman" w:cs="Times New Roman"/>
          <w:bCs/>
          <w:sz w:val="24"/>
          <w:szCs w:val="24"/>
          <w:lang w:eastAsia="pl-PL"/>
        </w:rPr>
        <w:t>ę</w:t>
      </w:r>
      <w:r w:rsidR="008276E9" w:rsidRPr="00BE264C">
        <w:rPr>
          <w:rFonts w:ascii="Times New Roman" w:eastAsia="Times New Roman" w:hAnsi="Times New Roman" w:cs="Times New Roman"/>
          <w:bCs/>
          <w:sz w:val="24"/>
          <w:szCs w:val="24"/>
          <w:lang w:eastAsia="pl-PL"/>
        </w:rPr>
        <w:t xml:space="preserve"> odpowiedzialn</w:t>
      </w:r>
      <w:r w:rsidRPr="00BE264C">
        <w:rPr>
          <w:rFonts w:ascii="Times New Roman" w:eastAsia="Times New Roman" w:hAnsi="Times New Roman" w:cs="Times New Roman"/>
          <w:bCs/>
          <w:sz w:val="24"/>
          <w:szCs w:val="24"/>
          <w:lang w:eastAsia="pl-PL"/>
        </w:rPr>
        <w:t>ą</w:t>
      </w:r>
      <w:r w:rsidR="008276E9" w:rsidRPr="00BE264C">
        <w:rPr>
          <w:rFonts w:ascii="Times New Roman" w:eastAsia="Times New Roman" w:hAnsi="Times New Roman" w:cs="Times New Roman"/>
          <w:bCs/>
          <w:sz w:val="24"/>
          <w:szCs w:val="24"/>
          <w:lang w:eastAsia="pl-PL"/>
        </w:rPr>
        <w:t xml:space="preserve"> za </w:t>
      </w:r>
      <w:bookmarkEnd w:id="6"/>
      <w:r w:rsidR="008276E9" w:rsidRPr="00BE264C">
        <w:rPr>
          <w:rFonts w:ascii="Times New Roman" w:eastAsia="Times New Roman" w:hAnsi="Times New Roman" w:cs="Times New Roman"/>
          <w:bCs/>
          <w:sz w:val="24"/>
          <w:szCs w:val="24"/>
          <w:lang w:eastAsia="pl-PL"/>
        </w:rPr>
        <w:t>stwierdzone naruszenie</w:t>
      </w:r>
      <w:r w:rsidRPr="00BE264C">
        <w:rPr>
          <w:rFonts w:ascii="Times New Roman" w:eastAsia="Times New Roman" w:hAnsi="Times New Roman" w:cs="Times New Roman"/>
          <w:bCs/>
          <w:sz w:val="24"/>
          <w:szCs w:val="24"/>
          <w:lang w:eastAsia="pl-PL"/>
        </w:rPr>
        <w:t>,</w:t>
      </w:r>
      <w:r w:rsidR="008276E9"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kary pieniężnej do wysokości nieprzekraczającej</w:t>
      </w:r>
      <w:r w:rsidR="008276E9" w:rsidRPr="00BE264C">
        <w:rPr>
          <w:rFonts w:ascii="Times New Roman" w:eastAsia="Times New Roman" w:hAnsi="Times New Roman" w:cs="Times New Roman"/>
          <w:bCs/>
          <w:sz w:val="24"/>
          <w:szCs w:val="24"/>
          <w:lang w:eastAsia="pl-PL"/>
        </w:rPr>
        <w:t xml:space="preserve"> kwoty 213 165 zł za każdy dzień trwającego naruszenia do dnia przywrócenia </w:t>
      </w:r>
      <w:r w:rsidR="00110B6D" w:rsidRPr="00BE264C">
        <w:rPr>
          <w:rFonts w:ascii="Times New Roman" w:eastAsia="Times New Roman" w:hAnsi="Times New Roman" w:cs="Times New Roman"/>
          <w:bCs/>
          <w:sz w:val="24"/>
          <w:szCs w:val="24"/>
          <w:lang w:eastAsia="pl-PL"/>
        </w:rPr>
        <w:t xml:space="preserve">stanu </w:t>
      </w:r>
      <w:r w:rsidR="008276E9" w:rsidRPr="00BE264C">
        <w:rPr>
          <w:rFonts w:ascii="Times New Roman" w:eastAsia="Times New Roman" w:hAnsi="Times New Roman" w:cs="Times New Roman"/>
          <w:bCs/>
          <w:sz w:val="24"/>
          <w:szCs w:val="24"/>
          <w:lang w:eastAsia="pl-PL"/>
        </w:rPr>
        <w:t xml:space="preserve">zgodności z prawem, przez okres niedłuższy niż </w:t>
      </w:r>
      <w:r w:rsidR="00C05F9B" w:rsidRPr="00BE264C">
        <w:rPr>
          <w:rFonts w:ascii="Times New Roman" w:eastAsia="Times New Roman" w:hAnsi="Times New Roman" w:cs="Times New Roman"/>
          <w:bCs/>
          <w:sz w:val="24"/>
          <w:szCs w:val="24"/>
          <w:lang w:eastAsia="pl-PL"/>
        </w:rPr>
        <w:t>6</w:t>
      </w:r>
      <w:r w:rsidR="008276E9" w:rsidRPr="00BE264C">
        <w:rPr>
          <w:rFonts w:ascii="Times New Roman" w:eastAsia="Times New Roman" w:hAnsi="Times New Roman" w:cs="Times New Roman"/>
          <w:bCs/>
          <w:sz w:val="24"/>
          <w:szCs w:val="24"/>
          <w:lang w:eastAsia="pl-PL"/>
        </w:rPr>
        <w:t xml:space="preserve"> miesięcy od daty określonej w decyzji</w:t>
      </w:r>
      <w:r w:rsidRPr="00BE264C">
        <w:rPr>
          <w:rFonts w:ascii="Times New Roman" w:eastAsia="Times New Roman" w:hAnsi="Times New Roman" w:cs="Times New Roman"/>
          <w:bCs/>
          <w:sz w:val="24"/>
          <w:szCs w:val="24"/>
          <w:lang w:eastAsia="pl-PL"/>
        </w:rPr>
        <w:t>.</w:t>
      </w:r>
    </w:p>
    <w:p w14:paraId="19A17AAC" w14:textId="1BC97073" w:rsidR="00D125DC" w:rsidRPr="00BE264C" w:rsidRDefault="00D125DC" w:rsidP="009858C9">
      <w:p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w:t>
      </w:r>
      <w:r w:rsidR="00170B6E" w:rsidRPr="00BE264C">
        <w:rPr>
          <w:rFonts w:ascii="Times New Roman" w:eastAsia="Times New Roman" w:hAnsi="Times New Roman" w:cs="Times New Roman"/>
          <w:bCs/>
          <w:sz w:val="24"/>
          <w:szCs w:val="24"/>
          <w:lang w:eastAsia="pl-PL"/>
        </w:rPr>
        <w:t xml:space="preserve"> </w:t>
      </w:r>
      <w:r w:rsidR="00170B6E" w:rsidRPr="00BE264C">
        <w:rPr>
          <w:rFonts w:ascii="Times New Roman" w:eastAsia="Times New Roman" w:hAnsi="Times New Roman" w:cs="Times New Roman"/>
          <w:b/>
          <w:sz w:val="24"/>
          <w:szCs w:val="24"/>
          <w:lang w:eastAsia="pl-PL"/>
        </w:rPr>
        <w:t xml:space="preserve">art. 1 pkt </w:t>
      </w:r>
      <w:r w:rsidR="000B0F27" w:rsidRPr="00BE264C">
        <w:rPr>
          <w:rFonts w:ascii="Times New Roman" w:eastAsia="Times New Roman" w:hAnsi="Times New Roman" w:cs="Times New Roman"/>
          <w:b/>
          <w:sz w:val="24"/>
          <w:szCs w:val="24"/>
          <w:lang w:eastAsia="pl-PL"/>
        </w:rPr>
        <w:t>5</w:t>
      </w:r>
      <w:r w:rsidR="004128DA" w:rsidRPr="00BE264C">
        <w:rPr>
          <w:rFonts w:ascii="Times New Roman" w:eastAsia="Times New Roman" w:hAnsi="Times New Roman" w:cs="Times New Roman"/>
          <w:b/>
          <w:sz w:val="24"/>
          <w:szCs w:val="24"/>
          <w:lang w:eastAsia="pl-PL"/>
        </w:rPr>
        <w:t>4</w:t>
      </w:r>
      <w:r w:rsidR="00C22E5F" w:rsidRPr="00BE264C">
        <w:rPr>
          <w:rFonts w:ascii="Times New Roman" w:eastAsia="Times New Roman" w:hAnsi="Times New Roman" w:cs="Times New Roman"/>
          <w:bCs/>
          <w:sz w:val="24"/>
          <w:szCs w:val="24"/>
          <w:lang w:eastAsia="pl-PL"/>
        </w:rPr>
        <w:t xml:space="preserve"> </w:t>
      </w:r>
      <w:r w:rsidRPr="00BE264C">
        <w:rPr>
          <w:rFonts w:ascii="Times New Roman" w:eastAsia="Times New Roman" w:hAnsi="Times New Roman" w:cs="Times New Roman"/>
          <w:bCs/>
          <w:sz w:val="24"/>
          <w:szCs w:val="24"/>
          <w:lang w:eastAsia="pl-PL"/>
        </w:rPr>
        <w:t>wprowadzono następujące zmiany:</w:t>
      </w:r>
    </w:p>
    <w:p w14:paraId="7C41EE1F" w14:textId="7F09D00C" w:rsidR="00170B6E" w:rsidRPr="00BE264C" w:rsidRDefault="00D125DC" w:rsidP="009858C9">
      <w:pPr>
        <w:pStyle w:val="Akapitzlist"/>
        <w:numPr>
          <w:ilvl w:val="0"/>
          <w:numId w:val="19"/>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w lit. a projektowana zmian</w:t>
      </w:r>
      <w:r w:rsidR="000B0F27" w:rsidRPr="00BE264C">
        <w:rPr>
          <w:rFonts w:ascii="Times New Roman" w:eastAsia="Times New Roman" w:hAnsi="Times New Roman" w:cs="Times New Roman"/>
          <w:bCs/>
          <w:sz w:val="24"/>
          <w:szCs w:val="24"/>
          <w:lang w:eastAsia="pl-PL"/>
        </w:rPr>
        <w:t>a</w:t>
      </w:r>
      <w:r w:rsidRPr="00BE264C">
        <w:rPr>
          <w:rFonts w:ascii="Times New Roman" w:eastAsia="Times New Roman" w:hAnsi="Times New Roman" w:cs="Times New Roman"/>
          <w:bCs/>
          <w:sz w:val="24"/>
          <w:szCs w:val="24"/>
          <w:lang w:eastAsia="pl-PL"/>
        </w:rPr>
        <w:t xml:space="preserve"> stanowi uzupełnienie zakresu przedmiotowego decyzji KNF o</w:t>
      </w:r>
      <w:r w:rsidR="00D27990" w:rsidRPr="00BE264C">
        <w:rPr>
          <w:rFonts w:ascii="Times New Roman" w:eastAsia="Times New Roman" w:hAnsi="Times New Roman" w:cs="Times New Roman"/>
          <w:bCs/>
          <w:sz w:val="24"/>
          <w:szCs w:val="24"/>
          <w:lang w:eastAsia="pl-PL"/>
        </w:rPr>
        <w:t> </w:t>
      </w:r>
      <w:r w:rsidRPr="00BE264C">
        <w:rPr>
          <w:rFonts w:ascii="Times New Roman" w:eastAsia="Times New Roman" w:hAnsi="Times New Roman" w:cs="Times New Roman"/>
          <w:bCs/>
          <w:sz w:val="24"/>
          <w:szCs w:val="24"/>
          <w:lang w:eastAsia="pl-PL"/>
        </w:rPr>
        <w:t>odmowę zwolnienia z wymogu zatwierdzenia działalności finansowej spółki holdingowej lub finansowej spółki holdingowej o działalności mieszanej;</w:t>
      </w:r>
    </w:p>
    <w:p w14:paraId="42401CF0" w14:textId="6CE547FD" w:rsidR="00C40C54" w:rsidRPr="00BE264C" w:rsidRDefault="00552BE6" w:rsidP="009858C9">
      <w:pPr>
        <w:pStyle w:val="Akapitzlist"/>
        <w:numPr>
          <w:ilvl w:val="0"/>
          <w:numId w:val="19"/>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lastRenderedPageBreak/>
        <w:t xml:space="preserve">w lit. b </w:t>
      </w:r>
      <w:r w:rsidR="00C40C54" w:rsidRPr="00BE264C">
        <w:rPr>
          <w:rFonts w:ascii="Times New Roman" w:eastAsia="Times New Roman" w:hAnsi="Times New Roman" w:cs="Times New Roman"/>
          <w:bCs/>
          <w:sz w:val="24"/>
          <w:szCs w:val="24"/>
          <w:lang w:eastAsia="pl-PL"/>
        </w:rPr>
        <w:t>zgodnie ze zmianą w przypadku gdy finansowa spółka holdingowa o działalności mieszanej podlega przepisom ustawy o nadzorze uzupełniającym, w szczególności w odniesieniu do nadzoru opartego na ryzyku, Komisja Nadzoru Finansowego, w przypadku gdy sprawuje nadzór skonsolidowany, może, po zasięgnięciu opinii pozostałych właściwych organów nadzoru odpowiedzialnych za nadzór nad podmiotami zależnymi, stosować do tej finansowej spółki holdingowej o działalności mieszanej wyłącznie przepisy ustawy o nadzorze uzupełniającym; projektowana zmiana służy uzupełnieniu implementacji dyrektywy CRD IV;</w:t>
      </w:r>
    </w:p>
    <w:p w14:paraId="260307ED" w14:textId="0F1331B1" w:rsidR="00D125DC" w:rsidRPr="009858C9" w:rsidRDefault="00D125DC" w:rsidP="009858C9">
      <w:pPr>
        <w:pStyle w:val="Akapitzlist"/>
        <w:numPr>
          <w:ilvl w:val="0"/>
          <w:numId w:val="19"/>
        </w:numPr>
        <w:spacing w:before="120" w:after="0" w:line="360" w:lineRule="auto"/>
        <w:jc w:val="both"/>
        <w:rPr>
          <w:rFonts w:ascii="Times New Roman" w:eastAsia="Times New Roman" w:hAnsi="Times New Roman" w:cs="Times New Roman"/>
          <w:bCs/>
          <w:sz w:val="24"/>
          <w:szCs w:val="24"/>
          <w:lang w:eastAsia="pl-PL"/>
        </w:rPr>
      </w:pPr>
      <w:r w:rsidRPr="00BE264C">
        <w:rPr>
          <w:rFonts w:ascii="Times New Roman" w:eastAsia="Times New Roman" w:hAnsi="Times New Roman" w:cs="Times New Roman"/>
          <w:bCs/>
          <w:sz w:val="24"/>
          <w:szCs w:val="24"/>
          <w:lang w:eastAsia="pl-PL"/>
        </w:rPr>
        <w:t xml:space="preserve">w lit. </w:t>
      </w:r>
      <w:r w:rsidR="004128DA" w:rsidRPr="00BE264C">
        <w:rPr>
          <w:rFonts w:ascii="Times New Roman" w:eastAsia="Times New Roman" w:hAnsi="Times New Roman" w:cs="Times New Roman"/>
          <w:bCs/>
          <w:sz w:val="24"/>
          <w:szCs w:val="24"/>
          <w:lang w:eastAsia="pl-PL"/>
        </w:rPr>
        <w:t>c</w:t>
      </w:r>
      <w:r w:rsidRPr="00BE264C">
        <w:rPr>
          <w:rFonts w:ascii="Times New Roman" w:eastAsia="Times New Roman" w:hAnsi="Times New Roman" w:cs="Times New Roman"/>
          <w:bCs/>
          <w:sz w:val="24"/>
          <w:szCs w:val="24"/>
          <w:lang w:eastAsia="pl-PL"/>
        </w:rPr>
        <w:t xml:space="preserve"> </w:t>
      </w:r>
      <w:r w:rsidR="00E912A6" w:rsidRPr="00BE264C">
        <w:rPr>
          <w:rFonts w:ascii="Times New Roman" w:eastAsia="Times New Roman" w:hAnsi="Times New Roman" w:cs="Times New Roman"/>
          <w:bCs/>
          <w:sz w:val="24"/>
          <w:szCs w:val="24"/>
          <w:lang w:eastAsia="pl-PL"/>
        </w:rPr>
        <w:t>projektowana zmiana ma na celu wskazanie, że przepisy art. 141fb ust. 1</w:t>
      </w:r>
      <w:r w:rsidR="00724B7A">
        <w:rPr>
          <w:rFonts w:ascii="Times New Roman" w:eastAsia="Times New Roman" w:hAnsi="Times New Roman" w:cs="Times New Roman"/>
          <w:bCs/>
          <w:sz w:val="24"/>
          <w:szCs w:val="24"/>
          <w:lang w:eastAsia="pl-PL"/>
        </w:rPr>
        <w:t>–</w:t>
      </w:r>
      <w:r w:rsidR="00E912A6" w:rsidRPr="009858C9">
        <w:rPr>
          <w:rFonts w:ascii="Times New Roman" w:eastAsia="Times New Roman" w:hAnsi="Times New Roman" w:cs="Times New Roman"/>
          <w:bCs/>
          <w:sz w:val="24"/>
          <w:szCs w:val="24"/>
          <w:lang w:eastAsia="pl-PL"/>
        </w:rPr>
        <w:t>9 stosuje się odpowiednio także do post</w:t>
      </w:r>
      <w:r w:rsidR="000C3485">
        <w:rPr>
          <w:rFonts w:ascii="Times New Roman" w:eastAsia="Times New Roman" w:hAnsi="Times New Roman" w:cs="Times New Roman"/>
          <w:bCs/>
          <w:sz w:val="24"/>
          <w:szCs w:val="24"/>
          <w:lang w:eastAsia="pl-PL"/>
        </w:rPr>
        <w:t>ę</w:t>
      </w:r>
      <w:r w:rsidR="00E912A6" w:rsidRPr="009858C9">
        <w:rPr>
          <w:rFonts w:ascii="Times New Roman" w:eastAsia="Times New Roman" w:hAnsi="Times New Roman" w:cs="Times New Roman"/>
          <w:bCs/>
          <w:sz w:val="24"/>
          <w:szCs w:val="24"/>
          <w:lang w:eastAsia="pl-PL"/>
        </w:rPr>
        <w:t>powań, o których mowa w dodawanym art. 48</w:t>
      </w:r>
      <w:r w:rsidR="008F0811" w:rsidRPr="009858C9">
        <w:rPr>
          <w:rFonts w:ascii="Times New Roman" w:eastAsia="Times New Roman" w:hAnsi="Times New Roman" w:cs="Times New Roman"/>
          <w:bCs/>
          <w:sz w:val="24"/>
          <w:szCs w:val="24"/>
          <w:lang w:eastAsia="pl-PL"/>
        </w:rPr>
        <w:t>t</w:t>
      </w:r>
      <w:r w:rsidR="00E912A6" w:rsidRPr="009858C9">
        <w:rPr>
          <w:rFonts w:ascii="Times New Roman" w:eastAsia="Times New Roman" w:hAnsi="Times New Roman" w:cs="Times New Roman"/>
          <w:bCs/>
          <w:sz w:val="24"/>
          <w:szCs w:val="24"/>
          <w:lang w:eastAsia="pl-PL"/>
        </w:rPr>
        <w:t>.</w:t>
      </w:r>
    </w:p>
    <w:p w14:paraId="451C73EA" w14:textId="6E65FC82" w:rsidR="000E766A" w:rsidRPr="009858C9" w:rsidRDefault="000E766A" w:rsidP="009858C9">
      <w:pPr>
        <w:pStyle w:val="PKTpunkt"/>
        <w:spacing w:before="120"/>
        <w:ind w:left="0" w:firstLine="0"/>
        <w:rPr>
          <w:rFonts w:ascii="Times New Roman" w:hAnsi="Times New Roman" w:cs="Times New Roman"/>
          <w:szCs w:val="24"/>
        </w:rPr>
      </w:pPr>
      <w:bookmarkStart w:id="7" w:name="_Hlk191287667"/>
      <w:r w:rsidRPr="009858C9">
        <w:rPr>
          <w:rFonts w:ascii="Times New Roman" w:hAnsi="Times New Roman" w:cs="Times New Roman"/>
          <w:szCs w:val="24"/>
        </w:rPr>
        <w:t>Zmian</w:t>
      </w:r>
      <w:r w:rsidR="00C40C54" w:rsidRPr="009858C9">
        <w:rPr>
          <w:rFonts w:ascii="Times New Roman" w:hAnsi="Times New Roman" w:cs="Times New Roman"/>
          <w:szCs w:val="24"/>
        </w:rPr>
        <w:t>a</w:t>
      </w:r>
      <w:r w:rsidRPr="009858C9">
        <w:rPr>
          <w:rFonts w:ascii="Times New Roman" w:hAnsi="Times New Roman" w:cs="Times New Roman"/>
          <w:szCs w:val="24"/>
        </w:rPr>
        <w:t xml:space="preserve"> wprowadzon</w:t>
      </w:r>
      <w:r w:rsidR="000C3485">
        <w:rPr>
          <w:rFonts w:ascii="Times New Roman" w:hAnsi="Times New Roman" w:cs="Times New Roman"/>
          <w:szCs w:val="24"/>
        </w:rPr>
        <w:t>a</w:t>
      </w:r>
      <w:r w:rsidRPr="009858C9">
        <w:rPr>
          <w:rFonts w:ascii="Times New Roman" w:hAnsi="Times New Roman" w:cs="Times New Roman"/>
          <w:szCs w:val="24"/>
        </w:rPr>
        <w:t xml:space="preserve"> w </w:t>
      </w:r>
      <w:r w:rsidRPr="009858C9">
        <w:rPr>
          <w:rFonts w:ascii="Times New Roman" w:hAnsi="Times New Roman" w:cs="Times New Roman"/>
          <w:b/>
          <w:szCs w:val="24"/>
        </w:rPr>
        <w:t>art. 1 pkt</w:t>
      </w:r>
      <w:r w:rsidR="00C40C54" w:rsidRPr="009858C9">
        <w:rPr>
          <w:rFonts w:ascii="Times New Roman" w:hAnsi="Times New Roman" w:cs="Times New Roman"/>
          <w:b/>
          <w:szCs w:val="24"/>
        </w:rPr>
        <w:t xml:space="preserve"> 55</w:t>
      </w:r>
      <w:r w:rsidRPr="009858C9">
        <w:rPr>
          <w:rFonts w:ascii="Times New Roman" w:hAnsi="Times New Roman" w:cs="Times New Roman"/>
          <w:b/>
          <w:szCs w:val="24"/>
        </w:rPr>
        <w:t xml:space="preserve"> </w:t>
      </w:r>
      <w:r w:rsidRPr="009858C9">
        <w:rPr>
          <w:rFonts w:ascii="Times New Roman" w:hAnsi="Times New Roman" w:cs="Times New Roman"/>
          <w:szCs w:val="24"/>
        </w:rPr>
        <w:t>ma charakter dostosowujący i wynika z uchylenia w ustawie – Prawo bankowe definicji oddziału banku zagranicznego oraz z wprowadzenia definicji oddziału z państwa trzeciego.</w:t>
      </w:r>
    </w:p>
    <w:p w14:paraId="2F48DA9A" w14:textId="77777777" w:rsidR="0085698B" w:rsidRPr="009858C9" w:rsidRDefault="0085698B" w:rsidP="009858C9">
      <w:pPr>
        <w:pStyle w:val="PKTpunkt"/>
        <w:spacing w:before="120"/>
        <w:ind w:left="0" w:firstLine="0"/>
        <w:rPr>
          <w:rFonts w:ascii="Times New Roman" w:hAnsi="Times New Roman" w:cs="Times New Roman"/>
          <w:szCs w:val="24"/>
        </w:rPr>
      </w:pPr>
    </w:p>
    <w:p w14:paraId="6F5D19F7" w14:textId="3AF709EA" w:rsidR="0085698B" w:rsidRPr="009858C9" w:rsidRDefault="0085698B"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t>Zmiany w ustawie o rachunkowości</w:t>
      </w:r>
      <w:r w:rsidR="00A87B38" w:rsidRPr="009858C9">
        <w:rPr>
          <w:rFonts w:ascii="Times New Roman" w:hAnsi="Times New Roman" w:cs="Times New Roman"/>
          <w:b/>
          <w:bCs w:val="0"/>
          <w:szCs w:val="24"/>
        </w:rPr>
        <w:t xml:space="preserve"> oraz </w:t>
      </w:r>
      <w:r w:rsidRPr="009858C9">
        <w:rPr>
          <w:rFonts w:ascii="Times New Roman" w:hAnsi="Times New Roman" w:cs="Times New Roman"/>
          <w:b/>
          <w:bCs w:val="0"/>
          <w:szCs w:val="24"/>
        </w:rPr>
        <w:t>w ustawie – Ordynacja podatkowa</w:t>
      </w:r>
    </w:p>
    <w:p w14:paraId="37B0FF31" w14:textId="44BB1F2D" w:rsidR="00192A5C" w:rsidRPr="009858C9" w:rsidRDefault="00192A5C" w:rsidP="009858C9">
      <w:pPr>
        <w:pStyle w:val="PKTpunkt"/>
        <w:spacing w:before="120"/>
        <w:ind w:left="0" w:firstLine="0"/>
        <w:rPr>
          <w:rFonts w:ascii="Times New Roman" w:hAnsi="Times New Roman" w:cs="Times New Roman"/>
          <w:bCs w:val="0"/>
          <w:szCs w:val="24"/>
        </w:rPr>
      </w:pPr>
      <w:r w:rsidRPr="009858C9">
        <w:rPr>
          <w:rFonts w:ascii="Times New Roman" w:hAnsi="Times New Roman" w:cs="Times New Roman"/>
          <w:bCs w:val="0"/>
          <w:szCs w:val="24"/>
        </w:rPr>
        <w:t>Zmiany wprowadzone w art. 2</w:t>
      </w:r>
      <w:r w:rsidR="000C3485">
        <w:rPr>
          <w:rFonts w:ascii="Times New Roman" w:hAnsi="Times New Roman" w:cs="Times New Roman"/>
          <w:bCs w:val="0"/>
          <w:szCs w:val="24"/>
        </w:rPr>
        <w:t xml:space="preserve"> i </w:t>
      </w:r>
      <w:r w:rsidRPr="009858C9">
        <w:rPr>
          <w:rFonts w:ascii="Times New Roman" w:hAnsi="Times New Roman" w:cs="Times New Roman"/>
          <w:bCs w:val="0"/>
          <w:szCs w:val="24"/>
        </w:rPr>
        <w:t>3 mają charakter dostosowujący i wynikają z uchylenia w ustawie – Prawo bankowe definicji oddziału banku zagranicznego oraz z wprowadzenia definicji oddziału z państwa trzeciego.</w:t>
      </w:r>
    </w:p>
    <w:p w14:paraId="2E62F04E" w14:textId="0FC23F95" w:rsidR="00603C31" w:rsidRPr="009858C9" w:rsidRDefault="00603C31" w:rsidP="009858C9">
      <w:pPr>
        <w:pStyle w:val="PKTpunkt"/>
        <w:spacing w:before="120"/>
        <w:ind w:left="0" w:firstLine="0"/>
        <w:rPr>
          <w:rFonts w:ascii="Times New Roman" w:hAnsi="Times New Roman" w:cs="Times New Roman"/>
          <w:bCs w:val="0"/>
          <w:szCs w:val="24"/>
        </w:rPr>
      </w:pPr>
      <w:r w:rsidRPr="009858C9">
        <w:rPr>
          <w:rFonts w:ascii="Times New Roman" w:hAnsi="Times New Roman" w:cs="Times New Roman"/>
          <w:bCs w:val="0"/>
          <w:szCs w:val="24"/>
        </w:rPr>
        <w:t xml:space="preserve">Ponadto, </w:t>
      </w:r>
      <w:r w:rsidRPr="009858C9">
        <w:rPr>
          <w:rFonts w:ascii="Times New Roman" w:hAnsi="Times New Roman" w:cs="Times New Roman"/>
          <w:szCs w:val="24"/>
        </w:rPr>
        <w:t>w art. 2</w:t>
      </w:r>
      <w:r w:rsidR="00576224" w:rsidRPr="009858C9">
        <w:rPr>
          <w:rFonts w:ascii="Times New Roman" w:hAnsi="Times New Roman" w:cs="Times New Roman"/>
          <w:szCs w:val="24"/>
        </w:rPr>
        <w:t xml:space="preserve"> pkt 3</w:t>
      </w:r>
      <w:r w:rsidRPr="009858C9">
        <w:rPr>
          <w:rFonts w:ascii="Times New Roman" w:hAnsi="Times New Roman" w:cs="Times New Roman"/>
          <w:szCs w:val="24"/>
        </w:rPr>
        <w:t xml:space="preserve"> </w:t>
      </w:r>
      <w:r w:rsidRPr="009858C9">
        <w:rPr>
          <w:rFonts w:ascii="Times New Roman" w:hAnsi="Times New Roman" w:cs="Times New Roman"/>
          <w:bCs w:val="0"/>
          <w:szCs w:val="24"/>
        </w:rPr>
        <w:t>przewidziane zostały poniżej przedstawione zmiany, w związku z</w:t>
      </w:r>
      <w:r w:rsidRPr="009858C9">
        <w:rPr>
          <w:rFonts w:ascii="Times New Roman" w:hAnsi="Times New Roman" w:cs="Times New Roman"/>
          <w:szCs w:val="24"/>
        </w:rPr>
        <w:t xml:space="preserve"> </w:t>
      </w:r>
      <w:r w:rsidRPr="009858C9">
        <w:rPr>
          <w:rFonts w:ascii="Times New Roman" w:hAnsi="Times New Roman" w:cs="Times New Roman"/>
          <w:bCs w:val="0"/>
          <w:szCs w:val="24"/>
        </w:rPr>
        <w:t>koniecznością dostosowania przepisów ustawy o rachunkowości do zmian wprowadzonych w procedowanym równolegle projekcie UD257.</w:t>
      </w:r>
    </w:p>
    <w:p w14:paraId="63E14B24" w14:textId="59A7C994" w:rsidR="00603C31" w:rsidRPr="009858C9" w:rsidRDefault="00603C31"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W art. art. 69 ust. 1c, 1e i 1f ustawy o rachunkowości proponuje się rezygnację ze skrótu „instytucja kredytowa lub finansowa”. W zamian proponuje się wykorzystanie pojęcia „przedsiębiorca zagraniczny”.</w:t>
      </w:r>
    </w:p>
    <w:p w14:paraId="550C8795" w14:textId="2499F134" w:rsidR="00603C31" w:rsidRPr="009858C9" w:rsidRDefault="00603C31"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Biorąc pod uwagę zgłaszane postulaty proponuje się modyfikację obowiązków wynikających z art. 69 ust. 1c ustawy o rachunkowości w zakresie w jakim pozwala na to prawo Unii Europejskiej. Projekt przewiduje więc wydłużenie terminu na złożenie sprawozdań finansowych jednostki macierzystej z 15 do 60 dni od dnia zatwierdzenia rocznego sprawozdania finansowego jednostki macierzystej, a także rezygnację z wymogu tłumaczenia przysięgłego. W takim przypadku odpowiedzialnym za rzetelne i poprawne tłumaczenia sprawozdania finansowego jednostki macierzystej będzie kierownik oddziału, który w myśl art. 4 ust</w:t>
      </w:r>
      <w:r w:rsidR="000C3485">
        <w:rPr>
          <w:rFonts w:ascii="Times New Roman" w:hAnsi="Times New Roman" w:cs="Times New Roman"/>
          <w:szCs w:val="24"/>
        </w:rPr>
        <w:t>.</w:t>
      </w:r>
      <w:r w:rsidRPr="009858C9">
        <w:rPr>
          <w:rFonts w:ascii="Times New Roman" w:hAnsi="Times New Roman" w:cs="Times New Roman"/>
          <w:szCs w:val="24"/>
        </w:rPr>
        <w:t xml:space="preserve"> 5 ustawy</w:t>
      </w:r>
      <w:r w:rsidR="005E121B">
        <w:rPr>
          <w:rFonts w:ascii="Times New Roman" w:hAnsi="Times New Roman" w:cs="Times New Roman"/>
          <w:szCs w:val="24"/>
        </w:rPr>
        <w:t xml:space="preserve"> o</w:t>
      </w:r>
      <w:r w:rsidRPr="009858C9">
        <w:rPr>
          <w:rFonts w:ascii="Times New Roman" w:hAnsi="Times New Roman" w:cs="Times New Roman"/>
          <w:szCs w:val="24"/>
        </w:rPr>
        <w:t xml:space="preserve"> rachunkowości ponosi odpowiedzialność za wykonywanie obowiązków w </w:t>
      </w:r>
      <w:r w:rsidRPr="009858C9">
        <w:rPr>
          <w:rFonts w:ascii="Times New Roman" w:hAnsi="Times New Roman" w:cs="Times New Roman"/>
          <w:szCs w:val="24"/>
        </w:rPr>
        <w:lastRenderedPageBreak/>
        <w:t>zakresie rachunkowości określonych ustawą. Dodatkowo w nowelizacji ust</w:t>
      </w:r>
      <w:r w:rsidR="000C3485">
        <w:rPr>
          <w:rFonts w:ascii="Times New Roman" w:hAnsi="Times New Roman" w:cs="Times New Roman"/>
          <w:szCs w:val="24"/>
        </w:rPr>
        <w:t>.</w:t>
      </w:r>
      <w:r w:rsidRPr="009858C9">
        <w:rPr>
          <w:rFonts w:ascii="Times New Roman" w:hAnsi="Times New Roman" w:cs="Times New Roman"/>
          <w:szCs w:val="24"/>
        </w:rPr>
        <w:t xml:space="preserve"> 1c wskazano, że w przypadku gdy tłumaczenie nie zostało wykonane przez tłumacza przysięgłego, należało będzie ujawnić taką informację.</w:t>
      </w:r>
    </w:p>
    <w:p w14:paraId="5CBA415C" w14:textId="06877651" w:rsidR="00603C31" w:rsidRPr="009858C9" w:rsidRDefault="00603C31"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W art. 69 ustawy o rachunkowości proponuje się odstąpienie od wymogu tłumaczenia przysięgłego. W takim przypadku odpowiedzialnym za rzetelne i poprawne tłumaczenia skonsolidowanego sprawozdania finansowego będzie kierownik jednostki, który w myśl art. 4 ust</w:t>
      </w:r>
      <w:r w:rsidR="000C3485">
        <w:rPr>
          <w:rFonts w:ascii="Times New Roman" w:hAnsi="Times New Roman" w:cs="Times New Roman"/>
          <w:szCs w:val="24"/>
        </w:rPr>
        <w:t>.</w:t>
      </w:r>
      <w:r w:rsidRPr="009858C9">
        <w:rPr>
          <w:rFonts w:ascii="Times New Roman" w:hAnsi="Times New Roman" w:cs="Times New Roman"/>
          <w:szCs w:val="24"/>
        </w:rPr>
        <w:t xml:space="preserve"> 5 ustawy </w:t>
      </w:r>
      <w:r w:rsidR="00576224" w:rsidRPr="009858C9">
        <w:rPr>
          <w:rFonts w:ascii="Times New Roman" w:hAnsi="Times New Roman" w:cs="Times New Roman"/>
          <w:szCs w:val="24"/>
        </w:rPr>
        <w:t xml:space="preserve">o </w:t>
      </w:r>
      <w:r w:rsidRPr="009858C9">
        <w:rPr>
          <w:rFonts w:ascii="Times New Roman" w:hAnsi="Times New Roman" w:cs="Times New Roman"/>
          <w:szCs w:val="24"/>
        </w:rPr>
        <w:t>rachunkowości ponosi odpowiedzialność za wykonywanie obowiązków w zakresie rachunkowości określonych ustawą. Dodatkowo w nowelizacji ust. 4 analogicznie jak w ust</w:t>
      </w:r>
      <w:r w:rsidR="000C3485">
        <w:rPr>
          <w:rFonts w:ascii="Times New Roman" w:hAnsi="Times New Roman" w:cs="Times New Roman"/>
          <w:szCs w:val="24"/>
        </w:rPr>
        <w:t>.</w:t>
      </w:r>
      <w:r w:rsidRPr="009858C9">
        <w:rPr>
          <w:rFonts w:ascii="Times New Roman" w:hAnsi="Times New Roman" w:cs="Times New Roman"/>
          <w:szCs w:val="24"/>
        </w:rPr>
        <w:t xml:space="preserve"> 1c wskazano, że w przypadku gdy tłumaczenie nie zostało wykonane przez tłumacza przysięgłego, należało będzie ujawnić taką informację. Projekt przewiduje również wydłużenie terminu na złożenie sprawozdania finansowego jednostki dominującej wyższego szczebla z 30 do 60 dni od dnia jego zatwierdzenia. Zmiana ma charakter analogiczny do zmiany w art. 69 ust. 1c projektu (dotyczy czynności analogicznej, tj. terminu złożenia sprawozdana finansowego we właściwym rejestrze sądowym) i pozwoli na zachowanie spójności w nowelizowanych przepisach w zakresie oddziałów przedsiębiorców zagranicznych oraz jednostek dominujących wyższego szczebla.</w:t>
      </w:r>
    </w:p>
    <w:p w14:paraId="159607AC" w14:textId="77777777" w:rsidR="00192A5C" w:rsidRPr="009858C9" w:rsidRDefault="00192A5C" w:rsidP="009858C9">
      <w:pPr>
        <w:pStyle w:val="PKTpunkt"/>
        <w:spacing w:before="120"/>
        <w:ind w:left="0" w:firstLine="0"/>
        <w:jc w:val="center"/>
        <w:rPr>
          <w:rFonts w:ascii="Times New Roman" w:hAnsi="Times New Roman" w:cs="Times New Roman"/>
          <w:b/>
          <w:bCs w:val="0"/>
          <w:szCs w:val="24"/>
        </w:rPr>
      </w:pPr>
    </w:p>
    <w:p w14:paraId="1660A826" w14:textId="647BD18D" w:rsidR="00A87B38" w:rsidRPr="009858C9" w:rsidRDefault="00A87B38"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t>Zmiana w ustawie o funkcjonowaniu banków spółdzielczych</w:t>
      </w:r>
    </w:p>
    <w:p w14:paraId="76142242" w14:textId="680EE439" w:rsidR="00A87B38" w:rsidRPr="009858C9" w:rsidRDefault="00787938" w:rsidP="009858C9">
      <w:pPr>
        <w:pStyle w:val="PKTpunkt"/>
        <w:spacing w:before="120"/>
        <w:ind w:left="0" w:firstLine="0"/>
        <w:rPr>
          <w:rFonts w:ascii="Times New Roman" w:hAnsi="Times New Roman" w:cs="Times New Roman"/>
          <w:szCs w:val="24"/>
        </w:rPr>
      </w:pPr>
      <w:bookmarkStart w:id="8" w:name="_Hlk227152343"/>
      <w:r w:rsidRPr="009858C9">
        <w:rPr>
          <w:rFonts w:ascii="Times New Roman" w:hAnsi="Times New Roman" w:cs="Times New Roman"/>
          <w:szCs w:val="24"/>
        </w:rPr>
        <w:t xml:space="preserve">Projektowana </w:t>
      </w:r>
      <w:r w:rsidR="00A74B3A" w:rsidRPr="009858C9">
        <w:rPr>
          <w:rFonts w:ascii="Times New Roman" w:hAnsi="Times New Roman" w:cs="Times New Roman"/>
          <w:szCs w:val="24"/>
        </w:rPr>
        <w:t xml:space="preserve">w art. 4 </w:t>
      </w:r>
      <w:r w:rsidRPr="009858C9">
        <w:rPr>
          <w:rFonts w:ascii="Times New Roman" w:hAnsi="Times New Roman" w:cs="Times New Roman"/>
          <w:szCs w:val="24"/>
        </w:rPr>
        <w:t xml:space="preserve">zmiana wynika z wprowadzonej w </w:t>
      </w:r>
      <w:r w:rsidRPr="009858C9">
        <w:rPr>
          <w:rFonts w:ascii="Times New Roman" w:hAnsi="Times New Roman" w:cs="Times New Roman"/>
          <w:bCs w:val="0"/>
          <w:szCs w:val="24"/>
        </w:rPr>
        <w:t>art. 1 pkt 45 lit. b</w:t>
      </w:r>
      <w:r w:rsidRPr="009858C9">
        <w:rPr>
          <w:rFonts w:ascii="Times New Roman" w:hAnsi="Times New Roman" w:cs="Times New Roman"/>
          <w:b/>
          <w:szCs w:val="24"/>
        </w:rPr>
        <w:t xml:space="preserve"> </w:t>
      </w:r>
      <w:r w:rsidRPr="009858C9">
        <w:rPr>
          <w:rFonts w:ascii="Times New Roman" w:hAnsi="Times New Roman" w:cs="Times New Roman"/>
          <w:szCs w:val="24"/>
        </w:rPr>
        <w:t>nowej delegacji ustawowej</w:t>
      </w:r>
      <w:r w:rsidR="00B96B17" w:rsidRPr="009858C9">
        <w:rPr>
          <w:rFonts w:ascii="Times New Roman" w:hAnsi="Times New Roman" w:cs="Times New Roman"/>
          <w:szCs w:val="24"/>
        </w:rPr>
        <w:t xml:space="preserve"> do wydania rozporządzenia</w:t>
      </w:r>
      <w:r w:rsidRPr="009858C9">
        <w:rPr>
          <w:rFonts w:ascii="Times New Roman" w:hAnsi="Times New Roman" w:cs="Times New Roman"/>
          <w:szCs w:val="24"/>
        </w:rPr>
        <w:t xml:space="preserve">, </w:t>
      </w:r>
      <w:r w:rsidR="00B96B17" w:rsidRPr="009858C9">
        <w:rPr>
          <w:rFonts w:ascii="Times New Roman" w:hAnsi="Times New Roman" w:cs="Times New Roman"/>
          <w:szCs w:val="24"/>
        </w:rPr>
        <w:t xml:space="preserve">czego skutkiem </w:t>
      </w:r>
      <w:r w:rsidRPr="009858C9">
        <w:rPr>
          <w:rFonts w:ascii="Times New Roman" w:hAnsi="Times New Roman" w:cs="Times New Roman"/>
          <w:szCs w:val="24"/>
        </w:rPr>
        <w:t xml:space="preserve">jest konieczność </w:t>
      </w:r>
      <w:r w:rsidR="00B96B17" w:rsidRPr="009858C9">
        <w:rPr>
          <w:rFonts w:ascii="Times New Roman" w:hAnsi="Times New Roman" w:cs="Times New Roman"/>
          <w:szCs w:val="24"/>
        </w:rPr>
        <w:t xml:space="preserve">stosowania nowego rozporządzenia w określonym zakresie </w:t>
      </w:r>
      <w:r w:rsidRPr="009858C9">
        <w:rPr>
          <w:rFonts w:ascii="Times New Roman" w:hAnsi="Times New Roman" w:cs="Times New Roman"/>
          <w:szCs w:val="24"/>
        </w:rPr>
        <w:t xml:space="preserve">także </w:t>
      </w:r>
      <w:r w:rsidR="00B96B17" w:rsidRPr="009858C9">
        <w:rPr>
          <w:rFonts w:ascii="Times New Roman" w:hAnsi="Times New Roman" w:cs="Times New Roman"/>
          <w:szCs w:val="24"/>
        </w:rPr>
        <w:t xml:space="preserve">do </w:t>
      </w:r>
      <w:r w:rsidRPr="009858C9">
        <w:rPr>
          <w:rFonts w:ascii="Times New Roman" w:hAnsi="Times New Roman" w:cs="Times New Roman"/>
          <w:szCs w:val="24"/>
        </w:rPr>
        <w:t>banków spółdzielczych.</w:t>
      </w:r>
    </w:p>
    <w:p w14:paraId="4FB31AA8" w14:textId="77777777" w:rsidR="00A36D0B" w:rsidRPr="009858C9" w:rsidRDefault="00A36D0B" w:rsidP="009858C9">
      <w:pPr>
        <w:pStyle w:val="PKTpunkt"/>
        <w:spacing w:before="120"/>
        <w:ind w:left="0" w:firstLine="0"/>
        <w:jc w:val="center"/>
        <w:rPr>
          <w:rFonts w:ascii="Times New Roman" w:hAnsi="Times New Roman" w:cs="Times New Roman"/>
          <w:szCs w:val="24"/>
        </w:rPr>
      </w:pPr>
    </w:p>
    <w:bookmarkEnd w:id="8"/>
    <w:p w14:paraId="438DACD7" w14:textId="2D2C9A29" w:rsidR="00C66E8C" w:rsidRPr="009858C9" w:rsidRDefault="00A87B38"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t>Zmiany w ustawie o skutkach wprowadzenia w niektórych państwach członkowskich Unii Europejskiej wspólnej waluty euro, w ustawie o ostateczności rozrachunku w systemach płatności i systemach rozrachunku papierów wartościowych, w ustawie – Prawo dewizowe oraz w ustawie – Prawo upadłościowe</w:t>
      </w:r>
    </w:p>
    <w:p w14:paraId="71ED15A1" w14:textId="14ED1081" w:rsidR="00B176E2" w:rsidRPr="009858C9" w:rsidRDefault="000E766A"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Zmiany wprowadzone w art. </w:t>
      </w:r>
      <w:r w:rsidR="00A74B3A" w:rsidRPr="009858C9">
        <w:rPr>
          <w:rFonts w:ascii="Times New Roman" w:hAnsi="Times New Roman" w:cs="Times New Roman"/>
          <w:szCs w:val="24"/>
        </w:rPr>
        <w:t>5</w:t>
      </w:r>
      <w:r w:rsidR="00724B7A">
        <w:rPr>
          <w:rFonts w:ascii="Times New Roman" w:hAnsi="Times New Roman" w:cs="Times New Roman"/>
          <w:szCs w:val="24"/>
        </w:rPr>
        <w:t>–</w:t>
      </w:r>
      <w:r w:rsidR="00A74B3A" w:rsidRPr="009858C9">
        <w:rPr>
          <w:rFonts w:ascii="Times New Roman" w:hAnsi="Times New Roman" w:cs="Times New Roman"/>
          <w:szCs w:val="24"/>
        </w:rPr>
        <w:t>8</w:t>
      </w:r>
      <w:r w:rsidRPr="009858C9">
        <w:rPr>
          <w:rFonts w:ascii="Times New Roman" w:hAnsi="Times New Roman" w:cs="Times New Roman"/>
          <w:szCs w:val="24"/>
        </w:rPr>
        <w:t xml:space="preserve"> mają charakter dostosowujący i wynikają z uchylenia w ustawie – Prawo bankowe definicji oddziału banku zagranicznego oraz z wprowadzenia definicji oddziału z państwa trzeciego.</w:t>
      </w:r>
    </w:p>
    <w:p w14:paraId="67421438" w14:textId="77777777" w:rsidR="00A36D0B" w:rsidRPr="009858C9" w:rsidRDefault="00A36D0B" w:rsidP="009858C9">
      <w:pPr>
        <w:pStyle w:val="PKTpunkt"/>
        <w:spacing w:before="120"/>
        <w:ind w:left="0" w:firstLine="0"/>
        <w:jc w:val="center"/>
        <w:rPr>
          <w:rFonts w:ascii="Times New Roman" w:hAnsi="Times New Roman" w:cs="Times New Roman"/>
          <w:szCs w:val="24"/>
        </w:rPr>
      </w:pPr>
    </w:p>
    <w:p w14:paraId="0F59C23A" w14:textId="6EC68B17" w:rsidR="00F67D90" w:rsidRPr="009858C9" w:rsidRDefault="00F67D90"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t>Zmiany w ustawie o funduszach inwestycyjnych</w:t>
      </w:r>
    </w:p>
    <w:p w14:paraId="299A86B5" w14:textId="78FEF180" w:rsidR="000E766A" w:rsidRPr="009858C9" w:rsidRDefault="000E766A"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lastRenderedPageBreak/>
        <w:t xml:space="preserve">W </w:t>
      </w:r>
      <w:r w:rsidRPr="009858C9">
        <w:rPr>
          <w:rFonts w:ascii="Times New Roman" w:hAnsi="Times New Roman" w:cs="Times New Roman"/>
          <w:b/>
          <w:bCs w:val="0"/>
          <w:szCs w:val="24"/>
        </w:rPr>
        <w:t xml:space="preserve">art. </w:t>
      </w:r>
      <w:r w:rsidR="00A74B3A" w:rsidRPr="009858C9">
        <w:rPr>
          <w:rFonts w:ascii="Times New Roman" w:hAnsi="Times New Roman" w:cs="Times New Roman"/>
          <w:b/>
          <w:bCs w:val="0"/>
          <w:szCs w:val="24"/>
        </w:rPr>
        <w:t>9</w:t>
      </w:r>
      <w:r w:rsidR="00973D5B" w:rsidRPr="009858C9">
        <w:rPr>
          <w:rFonts w:ascii="Times New Roman" w:hAnsi="Times New Roman" w:cs="Times New Roman"/>
          <w:b/>
          <w:bCs w:val="0"/>
          <w:szCs w:val="24"/>
        </w:rPr>
        <w:t xml:space="preserve"> pkt 1 i </w:t>
      </w:r>
      <w:r w:rsidR="00B176E2" w:rsidRPr="009858C9">
        <w:rPr>
          <w:rFonts w:ascii="Times New Roman" w:hAnsi="Times New Roman" w:cs="Times New Roman"/>
          <w:b/>
          <w:bCs w:val="0"/>
          <w:szCs w:val="24"/>
        </w:rPr>
        <w:t xml:space="preserve">pkt </w:t>
      </w:r>
      <w:r w:rsidR="00973D5B" w:rsidRPr="009858C9">
        <w:rPr>
          <w:rFonts w:ascii="Times New Roman" w:hAnsi="Times New Roman" w:cs="Times New Roman"/>
          <w:b/>
          <w:bCs w:val="0"/>
          <w:szCs w:val="24"/>
        </w:rPr>
        <w:t>2</w:t>
      </w:r>
      <w:r w:rsidR="00B176E2" w:rsidRPr="009858C9">
        <w:rPr>
          <w:rFonts w:ascii="Times New Roman" w:hAnsi="Times New Roman" w:cs="Times New Roman"/>
          <w:b/>
          <w:bCs w:val="0"/>
          <w:szCs w:val="24"/>
        </w:rPr>
        <w:t xml:space="preserve"> </w:t>
      </w:r>
      <w:r w:rsidR="00B10E7F" w:rsidRPr="009858C9">
        <w:rPr>
          <w:rFonts w:ascii="Times New Roman" w:hAnsi="Times New Roman" w:cs="Times New Roman"/>
          <w:b/>
          <w:bCs w:val="0"/>
          <w:szCs w:val="24"/>
        </w:rPr>
        <w:t xml:space="preserve">w </w:t>
      </w:r>
      <w:r w:rsidR="00B176E2" w:rsidRPr="009858C9">
        <w:rPr>
          <w:rFonts w:ascii="Times New Roman" w:hAnsi="Times New Roman" w:cs="Times New Roman"/>
          <w:b/>
          <w:bCs w:val="0"/>
          <w:szCs w:val="24"/>
        </w:rPr>
        <w:t>lit. a</w:t>
      </w:r>
      <w:r w:rsidR="00973D5B" w:rsidRPr="009858C9">
        <w:rPr>
          <w:rFonts w:ascii="Times New Roman" w:hAnsi="Times New Roman" w:cs="Times New Roman"/>
          <w:b/>
          <w:bCs w:val="0"/>
          <w:szCs w:val="24"/>
        </w:rPr>
        <w:t xml:space="preserve"> </w:t>
      </w:r>
      <w:r w:rsidR="00973D5B" w:rsidRPr="009858C9">
        <w:rPr>
          <w:rFonts w:ascii="Times New Roman" w:hAnsi="Times New Roman" w:cs="Times New Roman"/>
          <w:szCs w:val="24"/>
        </w:rPr>
        <w:t xml:space="preserve">wprowadzono zmiany mające charakter porządkujący. </w:t>
      </w:r>
      <w:r w:rsidR="00B176E2" w:rsidRPr="009858C9">
        <w:rPr>
          <w:rFonts w:ascii="Times New Roman" w:hAnsi="Times New Roman" w:cs="Times New Roman"/>
          <w:szCs w:val="24"/>
        </w:rPr>
        <w:t xml:space="preserve">W </w:t>
      </w:r>
      <w:r w:rsidR="00B176E2" w:rsidRPr="009858C9">
        <w:rPr>
          <w:rFonts w:ascii="Times New Roman" w:hAnsi="Times New Roman" w:cs="Times New Roman"/>
          <w:b/>
          <w:bCs w:val="0"/>
          <w:szCs w:val="24"/>
        </w:rPr>
        <w:t>pkt 2 w lit. a</w:t>
      </w:r>
      <w:r w:rsidR="00B176E2" w:rsidRPr="009858C9">
        <w:rPr>
          <w:rFonts w:ascii="Times New Roman" w:hAnsi="Times New Roman" w:cs="Times New Roman"/>
          <w:szCs w:val="24"/>
        </w:rPr>
        <w:t xml:space="preserve"> zamieszczono definicję rozporządzenia Parlamentu Europejskiego i Rady (UE) nr 648/2012 z dnia 4 lipca 2012 r. w sprawie instrumentów pochodnych będących przedmiotem obrotu poza rynkiem regulowanym, kontrahentów centralnych i repozytoriów transakcji. Dodanie tej definicji jest konieczne w związku ze zmianami wprowadzanymi dla potrzeby implementacji dyrektywy, które wymagają posługiwania się pojęciem instrumentów pochodnych nierozliczanych przez CCP. Modyfikacja redakcji brzmienia przepisu </w:t>
      </w:r>
      <w:r w:rsidR="00B176E2" w:rsidRPr="009858C9">
        <w:rPr>
          <w:rFonts w:ascii="Times New Roman" w:hAnsi="Times New Roman" w:cs="Times New Roman"/>
          <w:b/>
          <w:bCs w:val="0"/>
          <w:szCs w:val="24"/>
        </w:rPr>
        <w:t>w pkt 1</w:t>
      </w:r>
      <w:r w:rsidR="00B176E2" w:rsidRPr="009858C9">
        <w:rPr>
          <w:rFonts w:ascii="Times New Roman" w:hAnsi="Times New Roman" w:cs="Times New Roman"/>
          <w:szCs w:val="24"/>
        </w:rPr>
        <w:t xml:space="preserve"> polega natomiast na zastąpieniu dotychczasowej, pełnej nazwy wskazanego rozporządzenia nowo zdefiniowaną, skróconą nazwą.</w:t>
      </w:r>
    </w:p>
    <w:p w14:paraId="7D67DE31" w14:textId="659EE141" w:rsidR="00B176E2" w:rsidRPr="009858C9" w:rsidRDefault="00B176E2"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W </w:t>
      </w:r>
      <w:r w:rsidRPr="009858C9">
        <w:rPr>
          <w:rFonts w:ascii="Times New Roman" w:hAnsi="Times New Roman" w:cs="Times New Roman"/>
          <w:b/>
          <w:bCs w:val="0"/>
          <w:szCs w:val="24"/>
        </w:rPr>
        <w:t xml:space="preserve">art. </w:t>
      </w:r>
      <w:r w:rsidR="00A74B3A" w:rsidRPr="009858C9">
        <w:rPr>
          <w:rFonts w:ascii="Times New Roman" w:hAnsi="Times New Roman" w:cs="Times New Roman"/>
          <w:b/>
          <w:bCs w:val="0"/>
          <w:szCs w:val="24"/>
        </w:rPr>
        <w:t>9</w:t>
      </w:r>
      <w:r w:rsidRPr="009858C9">
        <w:rPr>
          <w:rFonts w:ascii="Times New Roman" w:hAnsi="Times New Roman" w:cs="Times New Roman"/>
          <w:b/>
          <w:bCs w:val="0"/>
          <w:szCs w:val="24"/>
        </w:rPr>
        <w:t xml:space="preserve"> w pkt 2 w lit. b</w:t>
      </w:r>
      <w:r w:rsidRPr="009858C9">
        <w:rPr>
          <w:rFonts w:ascii="Times New Roman" w:hAnsi="Times New Roman" w:cs="Times New Roman"/>
          <w:szCs w:val="24"/>
        </w:rPr>
        <w:t xml:space="preserve"> </w:t>
      </w:r>
      <w:r w:rsidR="00973D5B" w:rsidRPr="009858C9">
        <w:rPr>
          <w:rFonts w:ascii="Times New Roman" w:hAnsi="Times New Roman" w:cs="Times New Roman"/>
          <w:szCs w:val="24"/>
        </w:rPr>
        <w:t>dodana została definicja CCP. Zgodnie z</w:t>
      </w:r>
      <w:r w:rsidRPr="009858C9">
        <w:rPr>
          <w:rFonts w:ascii="Times New Roman" w:hAnsi="Times New Roman" w:cs="Times New Roman"/>
          <w:szCs w:val="24"/>
        </w:rPr>
        <w:t xml:space="preserve"> </w:t>
      </w:r>
      <w:r w:rsidR="00973D5B" w:rsidRPr="009858C9">
        <w:rPr>
          <w:rFonts w:ascii="Times New Roman" w:hAnsi="Times New Roman" w:cs="Times New Roman"/>
          <w:szCs w:val="24"/>
        </w:rPr>
        <w:t>przepisami dyrektywy 2024/2994</w:t>
      </w:r>
      <w:r w:rsidRPr="009858C9">
        <w:rPr>
          <w:rFonts w:ascii="Times New Roman" w:hAnsi="Times New Roman" w:cs="Times New Roman"/>
          <w:szCs w:val="24"/>
        </w:rPr>
        <w:t>,</w:t>
      </w:r>
      <w:r w:rsidR="00973D5B" w:rsidRPr="009858C9">
        <w:rPr>
          <w:rFonts w:ascii="Times New Roman" w:hAnsi="Times New Roman" w:cs="Times New Roman"/>
          <w:szCs w:val="24"/>
        </w:rPr>
        <w:t xml:space="preserve"> wagi ryzyka kontrahenta przypisywane poszczególnym</w:t>
      </w:r>
      <w:r w:rsidRPr="009858C9">
        <w:rPr>
          <w:rFonts w:ascii="Times New Roman" w:hAnsi="Times New Roman" w:cs="Times New Roman"/>
          <w:szCs w:val="24"/>
        </w:rPr>
        <w:t xml:space="preserve"> </w:t>
      </w:r>
      <w:r w:rsidR="00973D5B" w:rsidRPr="009858C9">
        <w:rPr>
          <w:rFonts w:ascii="Times New Roman" w:hAnsi="Times New Roman" w:cs="Times New Roman"/>
          <w:szCs w:val="24"/>
        </w:rPr>
        <w:t>instrumentom pochodnym będą zróżnicowane w zależności od tego, czy podlegają one</w:t>
      </w:r>
      <w:r w:rsidRPr="009858C9">
        <w:rPr>
          <w:rFonts w:ascii="Times New Roman" w:hAnsi="Times New Roman" w:cs="Times New Roman"/>
          <w:szCs w:val="24"/>
        </w:rPr>
        <w:t xml:space="preserve"> rozliczaniu przez CCP, czy też nie. W związku z tym, w celu prawidłowej transpozycji tych przepisów konieczne było wprowadzenie do ustawy definicji CCP. Zmiana ta stanowi implementację art. 1 pkt 1 dyrektywy 2024/2994, który wprowadza nową lit. v w art. 2 ust. 1</w:t>
      </w:r>
      <w:r w:rsidR="00806B47" w:rsidRPr="009858C9">
        <w:rPr>
          <w:rFonts w:ascii="Times New Roman" w:eastAsiaTheme="minorHAnsi" w:hAnsi="Times New Roman" w:cs="Times New Roman"/>
          <w:bCs w:val="0"/>
          <w:szCs w:val="24"/>
          <w:lang w:eastAsia="en-US"/>
        </w:rPr>
        <w:t xml:space="preserve"> </w:t>
      </w:r>
      <w:r w:rsidR="00806B47" w:rsidRPr="009858C9">
        <w:rPr>
          <w:rFonts w:ascii="Times New Roman" w:hAnsi="Times New Roman" w:cs="Times New Roman"/>
          <w:szCs w:val="24"/>
        </w:rPr>
        <w:t xml:space="preserve">dyrektywy Parlamentu Europejskiego i Rady 2009/65/WE z dnia 13 lipca 2009 r. w sprawie koordynacji przepisów ustawowych, wykonawczych i administracyjnych odnoszących się do przedsiębiorstw zbiorowego inwestowania w zbywalne papiery wartościowe (UCITS) (Dz. Urz. UE L 302 z 17.11.2009, z późn. zm.), dalej: „dyrektywa 2009/65”. </w:t>
      </w:r>
    </w:p>
    <w:p w14:paraId="20F2B5AE" w14:textId="65F7C100" w:rsidR="00B176E2" w:rsidRPr="009858C9" w:rsidRDefault="00B176E2"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Celem modyfikacji definicji „niewystandaryzowanych instrumentów pochodnych”, zawartej w </w:t>
      </w:r>
      <w:r w:rsidRPr="009858C9">
        <w:rPr>
          <w:rFonts w:ascii="Times New Roman" w:hAnsi="Times New Roman" w:cs="Times New Roman"/>
          <w:b/>
          <w:bCs w:val="0"/>
          <w:szCs w:val="24"/>
        </w:rPr>
        <w:t xml:space="preserve">art. </w:t>
      </w:r>
      <w:r w:rsidR="00A74B3A" w:rsidRPr="009858C9">
        <w:rPr>
          <w:rFonts w:ascii="Times New Roman" w:hAnsi="Times New Roman" w:cs="Times New Roman"/>
          <w:b/>
          <w:bCs w:val="0"/>
          <w:szCs w:val="24"/>
        </w:rPr>
        <w:t>9</w:t>
      </w:r>
      <w:r w:rsidRPr="009858C9">
        <w:rPr>
          <w:rFonts w:ascii="Times New Roman" w:hAnsi="Times New Roman" w:cs="Times New Roman"/>
          <w:b/>
          <w:bCs w:val="0"/>
          <w:szCs w:val="24"/>
        </w:rPr>
        <w:t xml:space="preserve"> w pkt 2 w lit. c</w:t>
      </w:r>
      <w:r w:rsidRPr="009858C9">
        <w:rPr>
          <w:rFonts w:ascii="Times New Roman" w:hAnsi="Times New Roman" w:cs="Times New Roman"/>
          <w:szCs w:val="24"/>
        </w:rPr>
        <w:t xml:space="preserve"> jest ujednolicenie siatki pojęciowej wykorzystywanej w ustawie o funduszach inwestycyjnych i w dyrektywie 2009/65. Dyrektywa ta, w ślad za rozporządzeniem EMIR, posługuje się pojęciami „giełdowych” i „pozagiełdowych” instrumentów pochodnych. W ustawie natomiast jest mowa o instrumentach „wystandaryzowanych” i „niewystandaryzowanych”, a cechą wyróżniającą instrumenty „niewystandaryzowane” jest możliwość negocjacji ich treści. Przez długi czas pojęcie „niewystandaryzowanych” instrumentów pochodnych odpowiadało pojęciu instrumentów pozagiełdowych, ale podział ustawowy stał się nieadekwatny wraz z wejściem w życie rozporządzenia EMIR. Pojawiła się wtedy w praktyce obrotu kategoria instrumentów pochodnych pozagiełdowych, ale wystandaryzowanych w stopniu umożliwiającym ich centralne rozliczenie.</w:t>
      </w:r>
    </w:p>
    <w:p w14:paraId="331903C0" w14:textId="51926AF0" w:rsidR="003820FC" w:rsidRPr="009858C9" w:rsidRDefault="003820FC"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Zmiany </w:t>
      </w:r>
      <w:r w:rsidR="00806B47" w:rsidRPr="009858C9">
        <w:rPr>
          <w:rFonts w:ascii="Times New Roman" w:hAnsi="Times New Roman" w:cs="Times New Roman"/>
          <w:szCs w:val="24"/>
        </w:rPr>
        <w:t>zawarte</w:t>
      </w:r>
      <w:r w:rsidRPr="009858C9">
        <w:rPr>
          <w:rFonts w:ascii="Times New Roman" w:hAnsi="Times New Roman" w:cs="Times New Roman"/>
          <w:szCs w:val="24"/>
        </w:rPr>
        <w:t xml:space="preserve"> w </w:t>
      </w:r>
      <w:r w:rsidRPr="009858C9">
        <w:rPr>
          <w:rFonts w:ascii="Times New Roman" w:hAnsi="Times New Roman" w:cs="Times New Roman"/>
          <w:b/>
          <w:szCs w:val="24"/>
        </w:rPr>
        <w:t xml:space="preserve">art. </w:t>
      </w:r>
      <w:r w:rsidR="00A74B3A" w:rsidRPr="009858C9">
        <w:rPr>
          <w:rFonts w:ascii="Times New Roman" w:hAnsi="Times New Roman" w:cs="Times New Roman"/>
          <w:b/>
          <w:szCs w:val="24"/>
        </w:rPr>
        <w:t>9</w:t>
      </w:r>
      <w:r w:rsidRPr="009858C9">
        <w:rPr>
          <w:rFonts w:ascii="Times New Roman" w:hAnsi="Times New Roman" w:cs="Times New Roman"/>
          <w:b/>
          <w:szCs w:val="24"/>
        </w:rPr>
        <w:t xml:space="preserve"> pkt 3 </w:t>
      </w:r>
      <w:r w:rsidRPr="009858C9">
        <w:rPr>
          <w:rFonts w:ascii="Times New Roman" w:hAnsi="Times New Roman" w:cs="Times New Roman"/>
          <w:szCs w:val="24"/>
        </w:rPr>
        <w:t>mają charakter dostosowujący i wynikają z uchylenia w ustawie – Prawo bankowe definicji oddziału banku zagranicznego oraz z wprowadzenia definicji oddziału z państwa trzeciego.</w:t>
      </w:r>
    </w:p>
    <w:p w14:paraId="70DA7D89" w14:textId="1B3463E4" w:rsidR="00973D5B" w:rsidRPr="009858C9" w:rsidRDefault="00806B47" w:rsidP="009858C9">
      <w:pPr>
        <w:pStyle w:val="PKTpunkt"/>
        <w:spacing w:before="120"/>
        <w:rPr>
          <w:rFonts w:ascii="Times New Roman" w:hAnsi="Times New Roman" w:cs="Times New Roman"/>
          <w:szCs w:val="24"/>
        </w:rPr>
      </w:pPr>
      <w:r w:rsidRPr="009858C9">
        <w:rPr>
          <w:rFonts w:ascii="Times New Roman" w:hAnsi="Times New Roman" w:cs="Times New Roman"/>
          <w:b/>
          <w:szCs w:val="24"/>
        </w:rPr>
        <w:lastRenderedPageBreak/>
        <w:t>Zmiany zawarte w art. 9 pkt 4</w:t>
      </w:r>
      <w:r w:rsidR="00B96B17" w:rsidRPr="009858C9">
        <w:rPr>
          <w:rFonts w:ascii="Times New Roman" w:hAnsi="Times New Roman" w:cs="Times New Roman"/>
          <w:b/>
          <w:szCs w:val="24"/>
        </w:rPr>
        <w:t xml:space="preserve"> - </w:t>
      </w:r>
      <w:r w:rsidR="00B96B17" w:rsidRPr="009858C9">
        <w:rPr>
          <w:rFonts w:ascii="Times New Roman" w:hAnsi="Times New Roman" w:cs="Times New Roman"/>
          <w:szCs w:val="24"/>
        </w:rPr>
        <w:t>p</w:t>
      </w:r>
      <w:r w:rsidR="00973D5B" w:rsidRPr="009858C9">
        <w:rPr>
          <w:rFonts w:ascii="Times New Roman" w:hAnsi="Times New Roman" w:cs="Times New Roman"/>
          <w:szCs w:val="24"/>
        </w:rPr>
        <w:t>rzepis art. 52 ust. 1 akapit drugi dyrektywy</w:t>
      </w:r>
      <w:r w:rsidR="000458FD" w:rsidRPr="009858C9">
        <w:rPr>
          <w:rFonts w:ascii="Times New Roman" w:eastAsiaTheme="minorHAnsi" w:hAnsi="Times New Roman" w:cs="Times New Roman"/>
          <w:b/>
          <w:color w:val="333333"/>
          <w:szCs w:val="24"/>
          <w:shd w:val="clear" w:color="auto" w:fill="FFFFFF"/>
          <w:lang w:eastAsia="en-US"/>
        </w:rPr>
        <w:t xml:space="preserve"> </w:t>
      </w:r>
      <w:r w:rsidR="000458FD" w:rsidRPr="009858C9">
        <w:rPr>
          <w:rFonts w:ascii="Times New Roman" w:hAnsi="Times New Roman" w:cs="Times New Roman"/>
          <w:bCs w:val="0"/>
          <w:szCs w:val="24"/>
        </w:rPr>
        <w:t>Parlamentu Europejskiego i Rady 2009/65/WE z dnia 13 lipca 2009 r. w sprawie koordynacji przepisów ustawowych, wykonawczych i administracyjnych odnoszących się do przedsiębiorstw zbiorowego inwestowania w zbywalne papiery wartościowe (UCITS) (Dz. Urz. UE L 302 z 17.11.2009), dalej: „dyrektywa</w:t>
      </w:r>
      <w:r w:rsidR="000458FD" w:rsidRPr="009858C9">
        <w:rPr>
          <w:rFonts w:ascii="Times New Roman" w:hAnsi="Times New Roman" w:cs="Times New Roman"/>
          <w:b/>
          <w:szCs w:val="24"/>
        </w:rPr>
        <w:t> </w:t>
      </w:r>
      <w:r w:rsidR="00973D5B" w:rsidRPr="009858C9">
        <w:rPr>
          <w:rFonts w:ascii="Times New Roman" w:hAnsi="Times New Roman" w:cs="Times New Roman"/>
          <w:szCs w:val="24"/>
        </w:rPr>
        <w:t>2009/65</w:t>
      </w:r>
      <w:r w:rsidR="000458FD" w:rsidRPr="009858C9">
        <w:rPr>
          <w:rFonts w:ascii="Times New Roman" w:hAnsi="Times New Roman" w:cs="Times New Roman"/>
          <w:szCs w:val="24"/>
        </w:rPr>
        <w:t>”,</w:t>
      </w:r>
      <w:r w:rsidR="00973D5B" w:rsidRPr="009858C9">
        <w:rPr>
          <w:rFonts w:ascii="Times New Roman" w:hAnsi="Times New Roman" w:cs="Times New Roman"/>
          <w:szCs w:val="24"/>
        </w:rPr>
        <w:t xml:space="preserve"> ustanawia limity dotyczące ryzyka kontrahenta, na które narażone są fundusze UCITS w związku z transakcjami instrumentami pochodnymi. Limity te, odnoszące się do wszystkich transakcji pozagiełdowymi instrumentami pochodnymi, w wyniku zmiany wprowadzonej art. 1 pkt 2 lit. a dyrektywy 2024/2994 zostały ograniczone do transakcji instrumentami pochodnymi nierozliczanymi centralnie. Zmiana ta wynika z upowszechnienia się pozagiełdowych instrumentów pochodnych podlegających centralnemu rozliczaniu oraz związanego z tym istotnego ograniczenia ryzyka kontrahenta w przypadku takich kontraktów. W krajowym porządku prawnym przepis art. 52 ust. 1 akapit drugi dyrektywy 2009/65 został transponowany w § 6 ust. 1 rozporządzenia w sprawie zawierania przez fundusz inwestycyjny otwarty umów, których przedmiotem są instrumenty pochodne, w tym niewystandaryzowane instrumenty pochodne. W związku z czym, w celu prawidłowego odzwierciedlenia zmian wprowadzonych dyrektywą 2024/2994 konieczna jest modyfikacja treści upoważnienia ustawowego zawartego w art.</w:t>
      </w:r>
      <w:r w:rsidRPr="009858C9">
        <w:rPr>
          <w:rFonts w:ascii="Times New Roman" w:eastAsiaTheme="minorHAnsi" w:hAnsi="Times New Roman" w:cs="Times New Roman"/>
          <w:szCs w:val="24"/>
          <w:lang w:eastAsia="en-US"/>
        </w:rPr>
        <w:t xml:space="preserve"> </w:t>
      </w:r>
      <w:r w:rsidRPr="009858C9">
        <w:rPr>
          <w:rFonts w:ascii="Times New Roman" w:hAnsi="Times New Roman" w:cs="Times New Roman"/>
          <w:szCs w:val="24"/>
        </w:rPr>
        <w:t>94 ust. 7 pkt 5 ustawy o funduszach inwestycyjnych.</w:t>
      </w:r>
      <w:r w:rsidRPr="009858C9">
        <w:rPr>
          <w:rFonts w:ascii="Times New Roman" w:hAnsi="Times New Roman" w:cs="Times New Roman"/>
          <w:b/>
          <w:bCs w:val="0"/>
          <w:szCs w:val="24"/>
        </w:rPr>
        <w:t xml:space="preserve"> </w:t>
      </w:r>
    </w:p>
    <w:p w14:paraId="613C4628" w14:textId="77777777" w:rsidR="00806B47" w:rsidRPr="009858C9" w:rsidRDefault="00806B47" w:rsidP="009858C9">
      <w:pPr>
        <w:pStyle w:val="PKTpunkt"/>
        <w:spacing w:before="120"/>
        <w:ind w:left="0" w:firstLine="0"/>
        <w:rPr>
          <w:rFonts w:ascii="Times New Roman" w:hAnsi="Times New Roman" w:cs="Times New Roman"/>
          <w:bCs w:val="0"/>
          <w:szCs w:val="24"/>
        </w:rPr>
      </w:pPr>
      <w:r w:rsidRPr="009858C9">
        <w:rPr>
          <w:rFonts w:ascii="Times New Roman" w:hAnsi="Times New Roman" w:cs="Times New Roman"/>
          <w:szCs w:val="24"/>
        </w:rPr>
        <w:t xml:space="preserve">Co prawda powyższe zmiany przewidziane dyrektywą 2024/2994 dotyczą wyłącznie funduszy inwestycyjnych otwartych (są to jedyne krajowe fundusze klasyfikujące się do unijnej kategorii UCITS), niemniej z uwagi na ich charakter, dostosowujący podejście do ustalania ryzyka kontrahenta do coraz powszechniejszej praktyki rozliczania instrumentów pochodnych przez CCP, projektem ustawy objęto również specjalistyczne fundusze inwestycyjne otwarte (zmiana upoważnienia zawartego w </w:t>
      </w:r>
      <w:r w:rsidRPr="009858C9">
        <w:rPr>
          <w:rFonts w:ascii="Times New Roman" w:hAnsi="Times New Roman" w:cs="Times New Roman"/>
          <w:bCs w:val="0"/>
          <w:szCs w:val="24"/>
        </w:rPr>
        <w:t>art. 116d pkt 6 ustawy o funduszach inwestycyjnych</w:t>
      </w:r>
      <w:r w:rsidRPr="009858C9">
        <w:rPr>
          <w:rFonts w:ascii="Times New Roman" w:hAnsi="Times New Roman" w:cs="Times New Roman"/>
          <w:szCs w:val="24"/>
        </w:rPr>
        <w:t xml:space="preserve">) oraz fundusze inwestycyjne zamknięte (zmian upoważnienia zawartego w </w:t>
      </w:r>
      <w:r w:rsidRPr="009858C9">
        <w:rPr>
          <w:rFonts w:ascii="Times New Roman" w:hAnsi="Times New Roman" w:cs="Times New Roman"/>
          <w:bCs w:val="0"/>
          <w:szCs w:val="24"/>
        </w:rPr>
        <w:t>art. 156 ust. 6 pkt 3 ustawy o funduszach inwestycyjnych).</w:t>
      </w:r>
    </w:p>
    <w:p w14:paraId="605C5355" w14:textId="291012F9" w:rsidR="00806B47" w:rsidRPr="009858C9" w:rsidRDefault="00806B47"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bCs w:val="0"/>
          <w:szCs w:val="24"/>
        </w:rPr>
        <w:t>Przepisy art. 96 ust. 5 ustawy o funduszach inwestycyjnych</w:t>
      </w:r>
      <w:r w:rsidRPr="009858C9">
        <w:rPr>
          <w:rFonts w:ascii="Times New Roman" w:hAnsi="Times New Roman" w:cs="Times New Roman"/>
          <w:szCs w:val="24"/>
        </w:rPr>
        <w:t xml:space="preserve"> przewidują zakaz łączenia przez fundusze inwestycyjne otwarte określonych kategorii inwestycji, jeżeli w konsekwencji ponad 20</w:t>
      </w:r>
      <w:r w:rsidR="006B637B">
        <w:rPr>
          <w:rFonts w:ascii="Times New Roman" w:hAnsi="Times New Roman" w:cs="Times New Roman"/>
          <w:szCs w:val="24"/>
        </w:rPr>
        <w:t xml:space="preserve"> </w:t>
      </w:r>
      <w:r w:rsidRPr="009858C9">
        <w:rPr>
          <w:rFonts w:ascii="Times New Roman" w:hAnsi="Times New Roman" w:cs="Times New Roman"/>
          <w:szCs w:val="24"/>
        </w:rPr>
        <w:t xml:space="preserve">% aktywów funduszu zostałoby ulokowanych w jednym podmiocie. Jedną z objętych zakazem kategorii są transakcje niewystandaryzowanymi instrumentami pochodnymi, które co do zasady wiążą się z podwyższonym ryzykiem kontrahenta. W przypadku jednak, gdy instrument pochodny jest rozliczany centralnie, kontrahentem funduszu UCITS staje się CCP, </w:t>
      </w:r>
      <w:r w:rsidRPr="009858C9">
        <w:rPr>
          <w:rFonts w:ascii="Times New Roman" w:hAnsi="Times New Roman" w:cs="Times New Roman"/>
          <w:szCs w:val="24"/>
        </w:rPr>
        <w:lastRenderedPageBreak/>
        <w:t xml:space="preserve">niezależnie od charakteru danego instrumentu. Z uwagi na bardzo wysokie wymagania regulacyjne nakładane na CCP, a także na ich stabilną sytuację finansową, ryzyko kontrahenta związane z takimi transakcjami należy uznać za nieistotne. Po wejściu w życie rozporządzenia EMIR stopniowo upowszechniły się pozagiełdowe instrumenty pochodne podlegające centralnemu rozliczaniu. W konsekwencji przepis art. 96 ust. 5 stał się nieadekwatny do obecnych realiów, co uzasadnia wyłączenie z jego zakresu instrumentów rozliczanych centralnie. Projektowana zmiana ma na celu ograniczenie zakazu określonego w art. 96 ust. 5 wyłącznie do instrumentów pochodnych nierozliczanych przez CCP. Przepis ten stanowi implementację art. 1 pkt 2 lit. b ppkt (ii) dyrektywy 2024/2994, wprowadzającego zmiany w art. 52 ust. 2 akapit drugi lit. c dyrektywy 2009/65. </w:t>
      </w:r>
    </w:p>
    <w:p w14:paraId="5A30411C" w14:textId="77777777" w:rsidR="00806B47" w:rsidRPr="009858C9" w:rsidRDefault="00806B47" w:rsidP="009858C9">
      <w:pPr>
        <w:pStyle w:val="PKTpunkt"/>
        <w:spacing w:before="120"/>
        <w:ind w:left="0" w:firstLine="0"/>
        <w:jc w:val="center"/>
        <w:rPr>
          <w:rFonts w:ascii="Times New Roman" w:hAnsi="Times New Roman" w:cs="Times New Roman"/>
          <w:szCs w:val="24"/>
        </w:rPr>
      </w:pPr>
    </w:p>
    <w:p w14:paraId="1967AAC8" w14:textId="5879FFA1" w:rsidR="00973D5B" w:rsidRPr="009858C9" w:rsidRDefault="00806B47"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Przepis </w:t>
      </w:r>
      <w:r w:rsidR="00973D5B" w:rsidRPr="009858C9">
        <w:rPr>
          <w:rFonts w:ascii="Times New Roman" w:hAnsi="Times New Roman" w:cs="Times New Roman"/>
          <w:szCs w:val="24"/>
        </w:rPr>
        <w:t>w art. 97 ust. 3</w:t>
      </w:r>
      <w:r w:rsidR="00F67D90" w:rsidRPr="009858C9">
        <w:rPr>
          <w:rFonts w:ascii="Times New Roman" w:eastAsiaTheme="minorHAnsi" w:hAnsi="Times New Roman" w:cs="Times New Roman"/>
          <w:bCs w:val="0"/>
          <w:szCs w:val="24"/>
          <w:lang w:eastAsia="en-US"/>
        </w:rPr>
        <w:t xml:space="preserve"> </w:t>
      </w:r>
      <w:r w:rsidR="00F67D90" w:rsidRPr="009858C9">
        <w:rPr>
          <w:rFonts w:ascii="Times New Roman" w:hAnsi="Times New Roman" w:cs="Times New Roman"/>
          <w:szCs w:val="24"/>
        </w:rPr>
        <w:t>ustawy o funduszach inwestycyjnych</w:t>
      </w:r>
      <w:r w:rsidR="00973D5B" w:rsidRPr="009858C9">
        <w:rPr>
          <w:rFonts w:ascii="Times New Roman" w:hAnsi="Times New Roman" w:cs="Times New Roman"/>
          <w:szCs w:val="24"/>
        </w:rPr>
        <w:t xml:space="preserve"> określa limit łącznej wartości lokat funduszu inwestycyjnego otwartego w instrumenty wyemitowane przez bank hipoteczny i depozyty w tym podmiocie oraz wartości ryzyka kontrahenta wynikającego z transakcji niewystandaryzowanymi instrumentami pochodnymi zawieranych z takim bankiem. W związku z ograniczeniem zakazu, o którym mowa w art. 96 ust. 5, wyłącznie do instrumentów pochodnych nierozliczanych przez CCP, zasadne stało się zmodyfikowanie limitu określonego w art. 97 ust. 3</w:t>
      </w:r>
      <w:r w:rsidRPr="009858C9">
        <w:rPr>
          <w:rFonts w:ascii="Times New Roman" w:eastAsiaTheme="minorHAnsi" w:hAnsi="Times New Roman" w:cs="Times New Roman"/>
          <w:bCs w:val="0"/>
          <w:szCs w:val="24"/>
          <w:lang w:eastAsia="en-US"/>
        </w:rPr>
        <w:t xml:space="preserve"> </w:t>
      </w:r>
      <w:r w:rsidRPr="009858C9">
        <w:rPr>
          <w:rFonts w:ascii="Times New Roman" w:hAnsi="Times New Roman" w:cs="Times New Roman"/>
          <w:szCs w:val="24"/>
        </w:rPr>
        <w:t>ustawy o funduszach inwestycyjnych</w:t>
      </w:r>
      <w:r w:rsidR="00973D5B" w:rsidRPr="009858C9">
        <w:rPr>
          <w:rFonts w:ascii="Times New Roman" w:hAnsi="Times New Roman" w:cs="Times New Roman"/>
          <w:szCs w:val="24"/>
        </w:rPr>
        <w:t xml:space="preserve">, odnoszącego się do ryzyka związanego z transakcjami z bankiem hipotecznym. Mając na uwadze, że podwyższone ryzyko kontrahenta dotyczy, co do zasady, jedynie transakcji instrumentami pochodnymi nierozliczanymi przez CCP – nie obejmuje natomiast instrumentów pochodnych rozliczanych centralnie, nawet jeśli mają charakter niewystandaryzowany — limit ten powinien odnosić się wyłącznie do transakcji instrumentami pochodnymi nierozliczanymi centralnie. </w:t>
      </w:r>
    </w:p>
    <w:p w14:paraId="00F13E40" w14:textId="625342FE" w:rsidR="00973D5B" w:rsidRPr="009858C9" w:rsidRDefault="00806B47"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Przepis </w:t>
      </w:r>
      <w:r w:rsidR="00973D5B" w:rsidRPr="009858C9">
        <w:rPr>
          <w:rFonts w:ascii="Times New Roman" w:hAnsi="Times New Roman" w:cs="Times New Roman"/>
          <w:b/>
          <w:szCs w:val="24"/>
        </w:rPr>
        <w:t>art. 100 ust. 2</w:t>
      </w:r>
      <w:r w:rsidR="00973D5B" w:rsidRPr="009858C9">
        <w:rPr>
          <w:rFonts w:ascii="Times New Roman" w:hAnsi="Times New Roman" w:cs="Times New Roman"/>
          <w:szCs w:val="24"/>
        </w:rPr>
        <w:t xml:space="preserve"> </w:t>
      </w:r>
      <w:r w:rsidR="00F67D90" w:rsidRPr="009858C9">
        <w:rPr>
          <w:rFonts w:ascii="Times New Roman" w:hAnsi="Times New Roman" w:cs="Times New Roman"/>
          <w:szCs w:val="24"/>
        </w:rPr>
        <w:t>ustawy o funduszach inwestycyjnych</w:t>
      </w:r>
      <w:r w:rsidR="00973D5B" w:rsidRPr="009858C9">
        <w:rPr>
          <w:rFonts w:ascii="Times New Roman" w:hAnsi="Times New Roman" w:cs="Times New Roman"/>
          <w:szCs w:val="24"/>
        </w:rPr>
        <w:t xml:space="preserve"> określa limit łącznej wartości lokat funduszu inwestycyjnego otwartego w instrumenty poręczone lub gwarantowane przez Skarb Państwa, Narodowy Bank Polski, jednostkę samorządu terytorialnego, państwo członkowskie, jednostkę samorządu terytorialnego państwa członkowskiego, państwo należące do OECD lub międzynarodową instytucję finansową, której członkiem jest Rzeczpospolita Polska lub co najmniej jedno państwo członkowskie. Jednym z elementów ekspozycji na ryzyko jest ryzyko kontrahenta wynikające z transakcji, których przedmiotem są niewystandaryzowane instrumenty pochodne. Analogicznie jak w przypadku transakcji zawieranych z bankami hipotecznymi, w związku ze zmianami wprowadzanymi projektem zasadne stało się zmodyfikowanie</w:t>
      </w:r>
      <w:r w:rsidR="00642F71" w:rsidRPr="009858C9">
        <w:rPr>
          <w:rFonts w:ascii="Times New Roman" w:hAnsi="Times New Roman" w:cs="Times New Roman"/>
          <w:szCs w:val="24"/>
        </w:rPr>
        <w:t xml:space="preserve"> </w:t>
      </w:r>
      <w:r w:rsidR="00973D5B" w:rsidRPr="009858C9">
        <w:rPr>
          <w:rFonts w:ascii="Times New Roman" w:hAnsi="Times New Roman" w:cs="Times New Roman"/>
          <w:szCs w:val="24"/>
        </w:rPr>
        <w:t xml:space="preserve">limitu związanego z tymi instrumentami. Mając na uwadze, że podwyższone </w:t>
      </w:r>
      <w:r w:rsidR="00973D5B" w:rsidRPr="009858C9">
        <w:rPr>
          <w:rFonts w:ascii="Times New Roman" w:hAnsi="Times New Roman" w:cs="Times New Roman"/>
          <w:szCs w:val="24"/>
        </w:rPr>
        <w:lastRenderedPageBreak/>
        <w:t xml:space="preserve">ryzyko kontrahenta nie dotyczy instrumentów pochodnych rozliczanych przez CCP, limit przewidziany w </w:t>
      </w:r>
      <w:r w:rsidRPr="009858C9">
        <w:rPr>
          <w:rFonts w:ascii="Times New Roman" w:hAnsi="Times New Roman" w:cs="Times New Roman"/>
          <w:szCs w:val="24"/>
        </w:rPr>
        <w:t xml:space="preserve">art. 100 ust. 2 ustawy o funduszach inwestycyjnych </w:t>
      </w:r>
      <w:r w:rsidR="00973D5B" w:rsidRPr="009858C9">
        <w:rPr>
          <w:rFonts w:ascii="Times New Roman" w:hAnsi="Times New Roman" w:cs="Times New Roman"/>
          <w:szCs w:val="24"/>
        </w:rPr>
        <w:t>powinien odnosić się wyłącznie do transakcji instrumentami pochodnymi nierozliczanych centralnie.</w:t>
      </w:r>
    </w:p>
    <w:p w14:paraId="4475F8F3" w14:textId="7DB86515" w:rsidR="00806B47" w:rsidRPr="009858C9" w:rsidRDefault="00806B47"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b/>
          <w:szCs w:val="24"/>
        </w:rPr>
        <w:t>Zmiana w art. 9 pkt 5.</w:t>
      </w:r>
      <w:r w:rsidRPr="009858C9">
        <w:rPr>
          <w:rFonts w:ascii="Times New Roman" w:hAnsi="Times New Roman" w:cs="Times New Roman"/>
          <w:szCs w:val="24"/>
        </w:rPr>
        <w:t xml:space="preserve"> Przepis art. 96 ust. 1 ustawy o funduszach inwestycyjnych ustanawia limity inwestycyjne, które mogą zostać podwyższone zgodnie z ust. 2. W aktualnym stanie prawnym limitów tych nie stosuje się do depozytów oraz transakcji, których przedmiotem są niewystandaryzowane instrumenty pochodne zawierane z podmiotami podlegającymi nadzorowi ostrożnościowemu. Wyłączenie to ma na celu uwzględnienie bezpiecznego charakteru wszelkich transakcji zawieranych z instytucjami podlegającymi nadzorowi ostrożnościowemu. Wyłączenie obejmuje jednak wyłącznie transakcje niewystandaryzowanymi instrumentami pochodnymi. Tymczasem, wraz z upowszechnieniem pozagiełdowych instrumentów pochodnych podlegających obowiązkowi centralnego rozliczania, ryzyko związane z wykorzystaniem instrumentów pochodnych przez fundusze inwestycyjne otwarte zostało istotnie ograniczone. Z tego względu konieczne jest dostosowanie art. 96 ust. 4 ustawy o funduszach inwestycyjnych poprzez rozszerzenie wyłączenia przewidzianego w ust. 1 i 3 tej jednostki redakcyjnej na wszystkie transakcje instrumentami pochodnymi, niezależnie od charakteru tych instrumentów, o ile są one zawierane z podmiotami nadzorowanymi. Celem projektowanej zmiany jest zatem urealnienie treści zmienianego przepisu w świetle aktualnych realiów regulacyjnych i sytuacji rynkowej. Zmiana ta stanowi transpozycję art. 52 ust. 2 akapit pierwszy dyrektywy 2009/65 w brzmieniu nadanym przez art. 1 pkt 2 lit. b ppkt (i) dyrektywy 2024/2994. </w:t>
      </w:r>
    </w:p>
    <w:p w14:paraId="7D4DA4EE" w14:textId="77777777" w:rsidR="00806B47" w:rsidRPr="009858C9" w:rsidRDefault="00806B47" w:rsidP="009858C9">
      <w:pPr>
        <w:pStyle w:val="PKTpunkt"/>
        <w:spacing w:before="120"/>
        <w:ind w:left="0" w:firstLine="0"/>
        <w:jc w:val="center"/>
        <w:rPr>
          <w:rFonts w:ascii="Times New Roman" w:hAnsi="Times New Roman" w:cs="Times New Roman"/>
          <w:szCs w:val="24"/>
        </w:rPr>
      </w:pPr>
    </w:p>
    <w:p w14:paraId="47B4CCB0" w14:textId="51A04588" w:rsidR="00986C15" w:rsidRPr="009858C9" w:rsidRDefault="00986C15" w:rsidP="009858C9">
      <w:pPr>
        <w:pStyle w:val="PKTpunkt"/>
        <w:spacing w:before="120"/>
        <w:ind w:left="0" w:firstLine="0"/>
        <w:jc w:val="center"/>
        <w:rPr>
          <w:rFonts w:ascii="Times New Roman" w:hAnsi="Times New Roman" w:cs="Times New Roman"/>
          <w:b/>
          <w:szCs w:val="24"/>
        </w:rPr>
      </w:pPr>
      <w:r w:rsidRPr="009858C9">
        <w:rPr>
          <w:rFonts w:ascii="Times New Roman" w:hAnsi="Times New Roman" w:cs="Times New Roman"/>
          <w:b/>
          <w:szCs w:val="24"/>
        </w:rPr>
        <w:t xml:space="preserve">Zmiany w ustawie o nadzorze nad rynkiem kapitałowym </w:t>
      </w:r>
    </w:p>
    <w:p w14:paraId="5B17D2A3" w14:textId="0C984595" w:rsidR="00986C15" w:rsidRPr="009858C9" w:rsidRDefault="00986C15" w:rsidP="009858C9">
      <w:pPr>
        <w:pStyle w:val="PKTpunkt"/>
        <w:spacing w:before="120"/>
        <w:ind w:left="0" w:firstLine="0"/>
        <w:rPr>
          <w:rFonts w:ascii="Times New Roman" w:hAnsi="Times New Roman" w:cs="Times New Roman"/>
          <w:b/>
          <w:bCs w:val="0"/>
          <w:szCs w:val="24"/>
        </w:rPr>
      </w:pPr>
      <w:r w:rsidRPr="009858C9">
        <w:rPr>
          <w:rFonts w:ascii="Times New Roman" w:hAnsi="Times New Roman" w:cs="Times New Roman"/>
          <w:bCs w:val="0"/>
          <w:szCs w:val="24"/>
        </w:rPr>
        <w:t xml:space="preserve">Zgodnie z art. 21 ust. 3 akapit drugi rozporządzenia EMIR, CCP podlegają kontrolom w miejscu prowadzenia działalności, przeprowadzanym przez organ nadzoru co najmniej raz w roku. Organ nadzoru jest zobowiązany do informowania ESMA o planowanych kontrolach, a ESMA ma prawo wystąpić o udział w takiej kontroli. Mając na uwadze, że sposób i zakres kontroli podmiotów rynku kapitałowego, w tym CCP, regulują przepisy ustawy z dnia 29 lipca 2005 r. o nadzorze nad rynkiem kapitałowym, dopuszczenie przedstawicieli ESMA do udziału w kontrolach w miejscu prowadzenia działalności CCP wymaga zapewnienia tym przedstawicielom odpowiedniego umocowania w prawie krajowym. W tym celu wprowadzane są </w:t>
      </w:r>
      <w:r w:rsidRPr="009858C9">
        <w:rPr>
          <w:rFonts w:ascii="Times New Roman" w:hAnsi="Times New Roman" w:cs="Times New Roman"/>
          <w:szCs w:val="24"/>
        </w:rPr>
        <w:t>w</w:t>
      </w:r>
      <w:r w:rsidRPr="009858C9">
        <w:rPr>
          <w:rFonts w:ascii="Times New Roman" w:hAnsi="Times New Roman" w:cs="Times New Roman"/>
          <w:b/>
          <w:szCs w:val="24"/>
        </w:rPr>
        <w:t xml:space="preserve"> art. 10</w:t>
      </w:r>
      <w:r w:rsidRPr="009858C9">
        <w:rPr>
          <w:rFonts w:ascii="Times New Roman" w:hAnsi="Times New Roman" w:cs="Times New Roman"/>
          <w:bCs w:val="0"/>
          <w:szCs w:val="24"/>
        </w:rPr>
        <w:t xml:space="preserve"> </w:t>
      </w:r>
      <w:r w:rsidRPr="009858C9">
        <w:rPr>
          <w:rFonts w:ascii="Times New Roman" w:hAnsi="Times New Roman" w:cs="Times New Roman"/>
          <w:b/>
          <w:szCs w:val="24"/>
        </w:rPr>
        <w:t>pkt 1 lit. b i pkt 2</w:t>
      </w:r>
      <w:r w:rsidRPr="009858C9">
        <w:rPr>
          <w:rFonts w:ascii="Times New Roman" w:hAnsi="Times New Roman" w:cs="Times New Roman"/>
          <w:bCs w:val="0"/>
          <w:szCs w:val="24"/>
        </w:rPr>
        <w:t xml:space="preserve"> zmiany brzmienia art. 26 ust. 1 i art. 28 ust. 1a ustawy o nadzorze </w:t>
      </w:r>
      <w:r w:rsidRPr="009858C9">
        <w:rPr>
          <w:rFonts w:ascii="Times New Roman" w:hAnsi="Times New Roman" w:cs="Times New Roman"/>
          <w:bCs w:val="0"/>
          <w:szCs w:val="24"/>
        </w:rPr>
        <w:lastRenderedPageBreak/>
        <w:t xml:space="preserve">nad rynkiem kapitałowym, a także dodaje się w </w:t>
      </w:r>
      <w:r w:rsidRPr="009858C9">
        <w:rPr>
          <w:rFonts w:ascii="Times New Roman" w:hAnsi="Times New Roman" w:cs="Times New Roman"/>
          <w:b/>
          <w:szCs w:val="24"/>
        </w:rPr>
        <w:t>art. 10 pkt 1 lit. b</w:t>
      </w:r>
      <w:r w:rsidRPr="009858C9">
        <w:rPr>
          <w:rFonts w:ascii="Times New Roman" w:hAnsi="Times New Roman" w:cs="Times New Roman"/>
          <w:bCs w:val="0"/>
          <w:szCs w:val="24"/>
        </w:rPr>
        <w:t xml:space="preserve"> nowy ust. 7a w art. 26 tej ustawy.</w:t>
      </w:r>
    </w:p>
    <w:p w14:paraId="5F788E8D" w14:textId="62895EDF" w:rsidR="00D83AAE" w:rsidRPr="009858C9" w:rsidRDefault="00D83AAE"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t>Zmiany w ustawie o obrocie instrumentami finansowymi</w:t>
      </w:r>
      <w:r w:rsidR="00A36D0B" w:rsidRPr="009858C9">
        <w:rPr>
          <w:rFonts w:ascii="Times New Roman" w:hAnsi="Times New Roman" w:cs="Times New Roman"/>
          <w:b/>
          <w:bCs w:val="0"/>
          <w:szCs w:val="24"/>
        </w:rPr>
        <w:t xml:space="preserve"> </w:t>
      </w:r>
    </w:p>
    <w:p w14:paraId="5A708F69" w14:textId="71391D11" w:rsidR="000E766A" w:rsidRPr="009858C9" w:rsidRDefault="00642F71"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Zmiana wprowadzona w</w:t>
      </w:r>
      <w:r w:rsidR="000E766A" w:rsidRPr="009858C9">
        <w:rPr>
          <w:rFonts w:ascii="Times New Roman" w:hAnsi="Times New Roman" w:cs="Times New Roman"/>
          <w:szCs w:val="24"/>
        </w:rPr>
        <w:t xml:space="preserve"> </w:t>
      </w:r>
      <w:r w:rsidR="000E766A" w:rsidRPr="009858C9">
        <w:rPr>
          <w:rFonts w:ascii="Times New Roman" w:hAnsi="Times New Roman" w:cs="Times New Roman"/>
          <w:b/>
          <w:bCs w:val="0"/>
          <w:szCs w:val="24"/>
        </w:rPr>
        <w:t xml:space="preserve">art. </w:t>
      </w:r>
      <w:r w:rsidR="00986C15" w:rsidRPr="009858C9">
        <w:rPr>
          <w:rFonts w:ascii="Times New Roman" w:hAnsi="Times New Roman" w:cs="Times New Roman"/>
          <w:b/>
          <w:bCs w:val="0"/>
          <w:szCs w:val="24"/>
        </w:rPr>
        <w:t>11</w:t>
      </w:r>
      <w:r w:rsidR="000E766A" w:rsidRPr="009858C9">
        <w:rPr>
          <w:rFonts w:ascii="Times New Roman" w:hAnsi="Times New Roman" w:cs="Times New Roman"/>
          <w:b/>
          <w:bCs w:val="0"/>
          <w:szCs w:val="24"/>
        </w:rPr>
        <w:t xml:space="preserve"> pkt 1</w:t>
      </w:r>
      <w:r w:rsidRPr="009858C9">
        <w:rPr>
          <w:rFonts w:ascii="Times New Roman" w:eastAsia="Times New Roman" w:hAnsi="Times New Roman" w:cs="Times New Roman"/>
          <w:bCs w:val="0"/>
          <w:szCs w:val="24"/>
          <w:lang w:eastAsia="en-US"/>
        </w:rPr>
        <w:t xml:space="preserve"> wynika </w:t>
      </w:r>
      <w:r w:rsidRPr="009858C9">
        <w:rPr>
          <w:rFonts w:ascii="Times New Roman" w:hAnsi="Times New Roman" w:cs="Times New Roman"/>
          <w:szCs w:val="24"/>
        </w:rPr>
        <w:t xml:space="preserve">z nowego brzmienia art. 17c ust. 2 rozporządzenia EMIR, nadanego rozporządzeniem 2024/2987. Zgodnie z ww. przepisem, CCP składa wnioski – o zezwolenie na prowadzenie działalności, o rozszerzenie zakresu działalności i usług, a także o walidację zmian w modelach – elektronicznie, za pośrednictwem centralnej bazy danych. Baza ta zostanie utworzona i będzie prowadzona przez ESMA, a dostęp do niej będą mieć właściwe organy nadzoru, ESMA oraz członkowie kolegium nadzorczego. Co więcej, za pośrednictwem tej centralnej bazy danych odbywać się będzie również wymiana korespondencji pomiędzy CCP, właściwym organem nadzoru, ESMA oraz członkami kolegium, a także przekazywanie decyzji kończących postępowanie. Mając na uwadze, że w przypadku decyzji, od których CCP przysługuje wniosek o ponowne rozpatrzenie sprawy oraz ewentualna skarga do sądu administracyjnego, konieczne jest jednoznaczne określenie dnia doręczenia takich decyzji. Z uwagi na wykorzystanie centralnej bazy danych, za doręczenie należy uznać dzień opublikowania danego dokumentu w tej bazie. W celu umożliwienia funkcjonowania takiego rozwiązania niezbędne jest dodanie art. 47j w </w:t>
      </w:r>
      <w:r w:rsidR="00F67D90" w:rsidRPr="009858C9">
        <w:rPr>
          <w:rFonts w:ascii="Times New Roman" w:hAnsi="Times New Roman" w:cs="Times New Roman"/>
          <w:szCs w:val="24"/>
        </w:rPr>
        <w:t xml:space="preserve">ustawie o </w:t>
      </w:r>
      <w:r w:rsidR="00986C15" w:rsidRPr="009858C9">
        <w:rPr>
          <w:rFonts w:ascii="Times New Roman" w:hAnsi="Times New Roman" w:cs="Times New Roman"/>
          <w:szCs w:val="24"/>
        </w:rPr>
        <w:t xml:space="preserve">obrocie instrumentami finansowymi. </w:t>
      </w:r>
    </w:p>
    <w:p w14:paraId="4DA9402F" w14:textId="371D0EC9" w:rsidR="000E766A" w:rsidRPr="009858C9" w:rsidRDefault="000E766A"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 xml:space="preserve">W </w:t>
      </w:r>
      <w:r w:rsidRPr="009858C9">
        <w:rPr>
          <w:rFonts w:ascii="Times New Roman" w:hAnsi="Times New Roman" w:cs="Times New Roman"/>
          <w:b/>
          <w:bCs w:val="0"/>
          <w:szCs w:val="24"/>
        </w:rPr>
        <w:t xml:space="preserve">art. </w:t>
      </w:r>
      <w:r w:rsidR="00986C15" w:rsidRPr="009858C9">
        <w:rPr>
          <w:rFonts w:ascii="Times New Roman" w:hAnsi="Times New Roman" w:cs="Times New Roman"/>
          <w:b/>
          <w:bCs w:val="0"/>
          <w:szCs w:val="24"/>
        </w:rPr>
        <w:t>11</w:t>
      </w:r>
      <w:r w:rsidRPr="009858C9">
        <w:rPr>
          <w:rFonts w:ascii="Times New Roman" w:hAnsi="Times New Roman" w:cs="Times New Roman"/>
          <w:b/>
          <w:bCs w:val="0"/>
          <w:szCs w:val="24"/>
        </w:rPr>
        <w:t xml:space="preserve"> pkt 2</w:t>
      </w:r>
      <w:r w:rsidR="00DF571D" w:rsidRPr="009858C9">
        <w:rPr>
          <w:rFonts w:ascii="Times New Roman" w:hAnsi="Times New Roman" w:cs="Times New Roman"/>
          <w:b/>
          <w:bCs w:val="0"/>
          <w:szCs w:val="24"/>
        </w:rPr>
        <w:t xml:space="preserve"> </w:t>
      </w:r>
      <w:r w:rsidR="00DF571D" w:rsidRPr="009858C9">
        <w:rPr>
          <w:rFonts w:ascii="Times New Roman" w:hAnsi="Times New Roman" w:cs="Times New Roman"/>
          <w:szCs w:val="24"/>
        </w:rPr>
        <w:t>wprowadzone zmiany mają charakter dostosowujący i wynikają z uchylenia w ustawie – Prawo bankowe definicji oddziału banku zagranicznego oraz z wprowadzenia definicji oddziału z państwa trzeciego.</w:t>
      </w:r>
    </w:p>
    <w:p w14:paraId="43AA6045" w14:textId="04A06C88" w:rsidR="00DF571D" w:rsidRPr="009858C9" w:rsidRDefault="006273E9"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Zmiany wprowadzone w</w:t>
      </w:r>
      <w:r w:rsidR="007D1DF1" w:rsidRPr="009858C9">
        <w:rPr>
          <w:rFonts w:ascii="Times New Roman" w:hAnsi="Times New Roman" w:cs="Times New Roman"/>
          <w:szCs w:val="24"/>
        </w:rPr>
        <w:t xml:space="preserve"> </w:t>
      </w:r>
      <w:r w:rsidR="007D1DF1" w:rsidRPr="009858C9">
        <w:rPr>
          <w:rFonts w:ascii="Times New Roman" w:hAnsi="Times New Roman" w:cs="Times New Roman"/>
          <w:b/>
          <w:bCs w:val="0"/>
          <w:szCs w:val="24"/>
        </w:rPr>
        <w:t xml:space="preserve">art. </w:t>
      </w:r>
      <w:r w:rsidR="00986C15" w:rsidRPr="009858C9">
        <w:rPr>
          <w:rFonts w:ascii="Times New Roman" w:hAnsi="Times New Roman" w:cs="Times New Roman"/>
          <w:b/>
          <w:bCs w:val="0"/>
          <w:szCs w:val="24"/>
        </w:rPr>
        <w:t>11</w:t>
      </w:r>
      <w:r w:rsidR="007D1DF1" w:rsidRPr="009858C9">
        <w:rPr>
          <w:rFonts w:ascii="Times New Roman" w:hAnsi="Times New Roman" w:cs="Times New Roman"/>
          <w:b/>
          <w:bCs w:val="0"/>
          <w:szCs w:val="24"/>
        </w:rPr>
        <w:t xml:space="preserve"> pkt </w:t>
      </w:r>
      <w:r w:rsidR="000E766A" w:rsidRPr="009858C9">
        <w:rPr>
          <w:rFonts w:ascii="Times New Roman" w:hAnsi="Times New Roman" w:cs="Times New Roman"/>
          <w:b/>
          <w:bCs w:val="0"/>
          <w:szCs w:val="24"/>
        </w:rPr>
        <w:t xml:space="preserve">3 </w:t>
      </w:r>
      <w:r w:rsidRPr="009858C9">
        <w:rPr>
          <w:rFonts w:ascii="Times New Roman" w:hAnsi="Times New Roman" w:cs="Times New Roman"/>
          <w:szCs w:val="24"/>
        </w:rPr>
        <w:t>mają charakter dostosowujący</w:t>
      </w:r>
      <w:r w:rsidR="00866995" w:rsidRPr="009858C9">
        <w:rPr>
          <w:rFonts w:ascii="Times New Roman" w:hAnsi="Times New Roman" w:cs="Times New Roman"/>
          <w:szCs w:val="24"/>
        </w:rPr>
        <w:t xml:space="preserve"> i wynikają </w:t>
      </w:r>
      <w:r w:rsidR="000B3034" w:rsidRPr="009858C9">
        <w:rPr>
          <w:rFonts w:ascii="Times New Roman" w:hAnsi="Times New Roman" w:cs="Times New Roman"/>
          <w:szCs w:val="24"/>
        </w:rPr>
        <w:t>ze zmiany definicji kwalifikującego się kontrahenta centralnego.</w:t>
      </w:r>
      <w:r w:rsidR="00DF571D" w:rsidRPr="009858C9">
        <w:rPr>
          <w:rFonts w:ascii="Times New Roman" w:hAnsi="Times New Roman" w:cs="Times New Roman"/>
          <w:szCs w:val="24"/>
        </w:rPr>
        <w:t xml:space="preserve"> W </w:t>
      </w:r>
      <w:r w:rsidR="00DF571D" w:rsidRPr="009858C9">
        <w:rPr>
          <w:rFonts w:ascii="Times New Roman" w:hAnsi="Times New Roman" w:cs="Times New Roman"/>
          <w:b/>
          <w:szCs w:val="24"/>
        </w:rPr>
        <w:t xml:space="preserve">art. </w:t>
      </w:r>
      <w:r w:rsidR="00986C15" w:rsidRPr="009858C9">
        <w:rPr>
          <w:rFonts w:ascii="Times New Roman" w:hAnsi="Times New Roman" w:cs="Times New Roman"/>
          <w:b/>
          <w:szCs w:val="24"/>
        </w:rPr>
        <w:t>11</w:t>
      </w:r>
      <w:r w:rsidR="00DF571D" w:rsidRPr="009858C9">
        <w:rPr>
          <w:rFonts w:ascii="Times New Roman" w:hAnsi="Times New Roman" w:cs="Times New Roman"/>
          <w:b/>
          <w:szCs w:val="24"/>
        </w:rPr>
        <w:t xml:space="preserve"> pkt 4</w:t>
      </w:r>
      <w:r w:rsidR="00DF571D" w:rsidRPr="009858C9">
        <w:rPr>
          <w:rFonts w:ascii="Times New Roman" w:hAnsi="Times New Roman" w:cs="Times New Roman"/>
          <w:szCs w:val="24"/>
        </w:rPr>
        <w:t xml:space="preserve"> zakres działań nadzorczych KNF wobec domu maklerskiego został poszerzony o możliwość nakazania domowi maklerskiemu ograniczenia ekspozycji wobec kontrahenta centralnego lub wyrównanie ekspozycji w ramach rachunków domu maklerskiego zgodnie z art. 7a rozporządzenia 648/2012.</w:t>
      </w:r>
    </w:p>
    <w:p w14:paraId="2113CE3B" w14:textId="197046B2" w:rsidR="00DF571D" w:rsidRPr="009858C9" w:rsidRDefault="000E766A" w:rsidP="009858C9">
      <w:pPr>
        <w:pStyle w:val="PKTpunkt"/>
        <w:spacing w:before="120"/>
        <w:ind w:left="0" w:firstLine="0"/>
        <w:rPr>
          <w:rFonts w:ascii="Times New Roman" w:hAnsi="Times New Roman" w:cs="Times New Roman"/>
          <w:szCs w:val="24"/>
        </w:rPr>
      </w:pPr>
      <w:r w:rsidRPr="009858C9">
        <w:rPr>
          <w:rFonts w:ascii="Times New Roman" w:hAnsi="Times New Roman" w:cs="Times New Roman"/>
          <w:szCs w:val="24"/>
        </w:rPr>
        <w:t>W</w:t>
      </w:r>
      <w:r w:rsidR="00DF571D" w:rsidRPr="009858C9">
        <w:rPr>
          <w:rFonts w:ascii="Times New Roman" w:hAnsi="Times New Roman" w:cs="Times New Roman"/>
          <w:szCs w:val="24"/>
        </w:rPr>
        <w:t xml:space="preserve"> </w:t>
      </w:r>
      <w:r w:rsidRPr="009858C9">
        <w:rPr>
          <w:rFonts w:ascii="Times New Roman" w:hAnsi="Times New Roman" w:cs="Times New Roman"/>
          <w:b/>
          <w:bCs w:val="0"/>
          <w:szCs w:val="24"/>
        </w:rPr>
        <w:t xml:space="preserve">art. </w:t>
      </w:r>
      <w:r w:rsidR="00986C15" w:rsidRPr="009858C9">
        <w:rPr>
          <w:rFonts w:ascii="Times New Roman" w:hAnsi="Times New Roman" w:cs="Times New Roman"/>
          <w:b/>
          <w:bCs w:val="0"/>
          <w:szCs w:val="24"/>
        </w:rPr>
        <w:t>11</w:t>
      </w:r>
      <w:r w:rsidRPr="009858C9">
        <w:rPr>
          <w:rFonts w:ascii="Times New Roman" w:hAnsi="Times New Roman" w:cs="Times New Roman"/>
          <w:b/>
          <w:bCs w:val="0"/>
          <w:szCs w:val="24"/>
        </w:rPr>
        <w:t xml:space="preserve"> pkt 5-6</w:t>
      </w:r>
      <w:r w:rsidR="00642F71" w:rsidRPr="009858C9">
        <w:rPr>
          <w:rFonts w:ascii="Times New Roman" w:hAnsi="Times New Roman" w:cs="Times New Roman"/>
          <w:b/>
          <w:bCs w:val="0"/>
          <w:szCs w:val="24"/>
        </w:rPr>
        <w:t xml:space="preserve"> </w:t>
      </w:r>
      <w:r w:rsidR="00642F71" w:rsidRPr="009858C9">
        <w:rPr>
          <w:rFonts w:ascii="Times New Roman" w:hAnsi="Times New Roman" w:cs="Times New Roman"/>
          <w:szCs w:val="24"/>
        </w:rPr>
        <w:t>wprowadzono</w:t>
      </w:r>
      <w:r w:rsidR="00986C15" w:rsidRPr="009858C9">
        <w:rPr>
          <w:rFonts w:ascii="Times New Roman" w:hAnsi="Times New Roman" w:cs="Times New Roman"/>
          <w:szCs w:val="24"/>
        </w:rPr>
        <w:t xml:space="preserve"> przepisy</w:t>
      </w:r>
      <w:r w:rsidR="00642F71" w:rsidRPr="009858C9">
        <w:rPr>
          <w:rFonts w:ascii="Times New Roman" w:hAnsi="Times New Roman" w:cs="Times New Roman"/>
          <w:szCs w:val="24"/>
        </w:rPr>
        <w:t xml:space="preserve"> umożliwiające nakładanie okresowych kar pieniężnych. W związku z wprowadzeniem instytucji aktywnych rachunków w art. 7a rozporządzenia EMIR pojawiła się potrzeba ustanowienia kar, które można nakładać w przypadku opóźnień w wykonywaniu nowych obowiązków, w celu skłonieni</w:t>
      </w:r>
      <w:r w:rsidR="00F954F8" w:rsidRPr="009858C9">
        <w:rPr>
          <w:rFonts w:ascii="Times New Roman" w:hAnsi="Times New Roman" w:cs="Times New Roman"/>
          <w:szCs w:val="24"/>
        </w:rPr>
        <w:t>a</w:t>
      </w:r>
      <w:r w:rsidR="00642F71" w:rsidRPr="009858C9">
        <w:rPr>
          <w:rFonts w:ascii="Times New Roman" w:hAnsi="Times New Roman" w:cs="Times New Roman"/>
          <w:szCs w:val="24"/>
        </w:rPr>
        <w:t xml:space="preserve"> podmiotów zobowiązanych do zaprzestania naruszeń. </w:t>
      </w:r>
    </w:p>
    <w:p w14:paraId="7F812B27" w14:textId="069AC412" w:rsidR="00D83AAE" w:rsidRPr="009858C9" w:rsidRDefault="00D83AAE"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lastRenderedPageBreak/>
        <w:t>Zmiany w ustawie o ofercie publicznej i ustawie o ochronie roszczeń pracowniczych</w:t>
      </w:r>
    </w:p>
    <w:p w14:paraId="715F0C94" w14:textId="43E8DD2C" w:rsidR="00DF571D" w:rsidRPr="009858C9" w:rsidRDefault="00DF571D" w:rsidP="009858C9">
      <w:pPr>
        <w:pStyle w:val="PKTpunkt"/>
        <w:spacing w:before="120"/>
        <w:ind w:left="0" w:firstLine="0"/>
        <w:rPr>
          <w:rFonts w:ascii="Times New Roman" w:hAnsi="Times New Roman" w:cs="Times New Roman"/>
          <w:b/>
          <w:szCs w:val="24"/>
        </w:rPr>
      </w:pPr>
      <w:r w:rsidRPr="009858C9">
        <w:rPr>
          <w:rFonts w:ascii="Times New Roman" w:hAnsi="Times New Roman" w:cs="Times New Roman"/>
          <w:szCs w:val="24"/>
        </w:rPr>
        <w:t xml:space="preserve">Zmiany wprowadzone w </w:t>
      </w:r>
      <w:r w:rsidRPr="009858C9">
        <w:rPr>
          <w:rFonts w:ascii="Times New Roman" w:hAnsi="Times New Roman" w:cs="Times New Roman"/>
          <w:b/>
          <w:szCs w:val="24"/>
        </w:rPr>
        <w:t>art. 1</w:t>
      </w:r>
      <w:r w:rsidR="00D02BFA" w:rsidRPr="009858C9">
        <w:rPr>
          <w:rFonts w:ascii="Times New Roman" w:hAnsi="Times New Roman" w:cs="Times New Roman"/>
          <w:b/>
          <w:szCs w:val="24"/>
        </w:rPr>
        <w:t>2</w:t>
      </w:r>
      <w:r w:rsidR="00DD1F97">
        <w:rPr>
          <w:rFonts w:ascii="Times New Roman" w:hAnsi="Times New Roman" w:cs="Times New Roman"/>
          <w:b/>
          <w:szCs w:val="24"/>
        </w:rPr>
        <w:t xml:space="preserve"> i</w:t>
      </w:r>
      <w:r w:rsidR="00724B7A">
        <w:rPr>
          <w:rFonts w:ascii="Times New Roman" w:hAnsi="Times New Roman" w:cs="Times New Roman"/>
          <w:b/>
          <w:szCs w:val="24"/>
        </w:rPr>
        <w:t>–</w:t>
      </w:r>
      <w:r w:rsidRPr="009858C9">
        <w:rPr>
          <w:rFonts w:ascii="Times New Roman" w:hAnsi="Times New Roman" w:cs="Times New Roman"/>
          <w:b/>
          <w:szCs w:val="24"/>
        </w:rPr>
        <w:t>1</w:t>
      </w:r>
      <w:r w:rsidR="00D02BFA" w:rsidRPr="009858C9">
        <w:rPr>
          <w:rFonts w:ascii="Times New Roman" w:hAnsi="Times New Roman" w:cs="Times New Roman"/>
          <w:b/>
          <w:szCs w:val="24"/>
        </w:rPr>
        <w:t>3</w:t>
      </w:r>
      <w:r w:rsidRPr="009858C9">
        <w:rPr>
          <w:rFonts w:ascii="Times New Roman" w:hAnsi="Times New Roman" w:cs="Times New Roman"/>
          <w:b/>
          <w:szCs w:val="24"/>
        </w:rPr>
        <w:t xml:space="preserve"> </w:t>
      </w:r>
      <w:r w:rsidRPr="009858C9">
        <w:rPr>
          <w:rFonts w:ascii="Times New Roman" w:hAnsi="Times New Roman" w:cs="Times New Roman"/>
          <w:szCs w:val="24"/>
        </w:rPr>
        <w:t>mają charakter dostosowujący i wynikają z uchylenia w ustawie – Prawo bankowe definicji oddziału banku zagranicznego oraz z wprowadzenia definicji oddziału z państwa trzeciego.</w:t>
      </w:r>
    </w:p>
    <w:p w14:paraId="089DC2A4" w14:textId="1365E255" w:rsidR="000B0F27" w:rsidRPr="009858C9" w:rsidRDefault="00D83AAE" w:rsidP="009858C9">
      <w:pPr>
        <w:pStyle w:val="PKTpunkt"/>
        <w:spacing w:before="120"/>
        <w:ind w:left="0" w:firstLine="0"/>
        <w:jc w:val="center"/>
        <w:rPr>
          <w:rFonts w:ascii="Times New Roman" w:hAnsi="Times New Roman" w:cs="Times New Roman"/>
          <w:b/>
          <w:bCs w:val="0"/>
          <w:szCs w:val="24"/>
        </w:rPr>
      </w:pPr>
      <w:r w:rsidRPr="009858C9">
        <w:rPr>
          <w:rFonts w:ascii="Times New Roman" w:hAnsi="Times New Roman" w:cs="Times New Roman"/>
          <w:b/>
          <w:bCs w:val="0"/>
          <w:szCs w:val="24"/>
        </w:rPr>
        <w:t>Zmiany w ustawie o nadzorze nad rynkiem finansowym</w:t>
      </w:r>
    </w:p>
    <w:p w14:paraId="6CBA1BC7" w14:textId="5779B56D" w:rsidR="00933025" w:rsidRPr="009858C9" w:rsidRDefault="00001B5D" w:rsidP="009858C9">
      <w:pPr>
        <w:pStyle w:val="PKTpunkt"/>
        <w:spacing w:before="120"/>
        <w:ind w:left="0" w:firstLine="0"/>
        <w:rPr>
          <w:rFonts w:ascii="Times New Roman" w:hAnsi="Times New Roman" w:cs="Times New Roman"/>
          <w:bCs w:val="0"/>
          <w:szCs w:val="24"/>
        </w:rPr>
      </w:pPr>
      <w:r w:rsidRPr="009858C9">
        <w:rPr>
          <w:rFonts w:ascii="Times New Roman" w:hAnsi="Times New Roman" w:cs="Times New Roman"/>
          <w:bCs w:val="0"/>
          <w:szCs w:val="24"/>
        </w:rPr>
        <w:t xml:space="preserve">W </w:t>
      </w:r>
      <w:r w:rsidRPr="009858C9">
        <w:rPr>
          <w:rFonts w:ascii="Times New Roman" w:hAnsi="Times New Roman" w:cs="Times New Roman"/>
          <w:b/>
          <w:szCs w:val="24"/>
        </w:rPr>
        <w:t xml:space="preserve">art. </w:t>
      </w:r>
      <w:r w:rsidR="00DF571D" w:rsidRPr="009858C9">
        <w:rPr>
          <w:rFonts w:ascii="Times New Roman" w:hAnsi="Times New Roman" w:cs="Times New Roman"/>
          <w:b/>
          <w:szCs w:val="24"/>
        </w:rPr>
        <w:t>1</w:t>
      </w:r>
      <w:r w:rsidR="00D02BFA" w:rsidRPr="009858C9">
        <w:rPr>
          <w:rFonts w:ascii="Times New Roman" w:hAnsi="Times New Roman" w:cs="Times New Roman"/>
          <w:b/>
          <w:szCs w:val="24"/>
        </w:rPr>
        <w:t>4</w:t>
      </w:r>
      <w:r w:rsidRPr="009858C9">
        <w:rPr>
          <w:rFonts w:ascii="Times New Roman" w:hAnsi="Times New Roman" w:cs="Times New Roman"/>
          <w:b/>
          <w:szCs w:val="24"/>
        </w:rPr>
        <w:t xml:space="preserve"> pkt 1</w:t>
      </w:r>
      <w:r w:rsidRPr="009858C9">
        <w:rPr>
          <w:rFonts w:ascii="Times New Roman" w:hAnsi="Times New Roman" w:cs="Times New Roman"/>
          <w:bCs w:val="0"/>
          <w:szCs w:val="24"/>
        </w:rPr>
        <w:t xml:space="preserve"> dodany został przepis, zgodnie z którym zawiadomienia, o których mowa wart.</w:t>
      </w:r>
      <w:r w:rsidR="00C16E2D" w:rsidRPr="009858C9">
        <w:rPr>
          <w:rFonts w:ascii="Times New Roman" w:hAnsi="Times New Roman" w:cs="Times New Roman"/>
          <w:bCs w:val="0"/>
          <w:szCs w:val="24"/>
        </w:rPr>
        <w:t xml:space="preserve"> 6b ust. 5 i 6 zmienianej ustawy, prokurator przekazuje KNF także w przypadku przestępstw</w:t>
      </w:r>
      <w:r w:rsidR="00D27990" w:rsidRPr="009858C9">
        <w:rPr>
          <w:rFonts w:ascii="Times New Roman" w:hAnsi="Times New Roman" w:cs="Times New Roman"/>
          <w:bCs w:val="0"/>
          <w:szCs w:val="24"/>
        </w:rPr>
        <w:t xml:space="preserve"> </w:t>
      </w:r>
      <w:r w:rsidR="00C16E2D" w:rsidRPr="009858C9">
        <w:rPr>
          <w:rFonts w:ascii="Times New Roman" w:hAnsi="Times New Roman" w:cs="Times New Roman"/>
          <w:bCs w:val="0"/>
          <w:szCs w:val="24"/>
        </w:rPr>
        <w:t>określonych w art. 171 ust. 4</w:t>
      </w:r>
      <w:r w:rsidR="00724B7A">
        <w:rPr>
          <w:rFonts w:ascii="Times New Roman" w:hAnsi="Times New Roman" w:cs="Times New Roman"/>
          <w:bCs w:val="0"/>
          <w:szCs w:val="24"/>
        </w:rPr>
        <w:t>–</w:t>
      </w:r>
      <w:r w:rsidR="00C16E2D" w:rsidRPr="009858C9">
        <w:rPr>
          <w:rFonts w:ascii="Times New Roman" w:hAnsi="Times New Roman" w:cs="Times New Roman"/>
          <w:bCs w:val="0"/>
          <w:szCs w:val="24"/>
        </w:rPr>
        <w:t>10 ustawy – Prawo bankowe.</w:t>
      </w:r>
      <w:bookmarkEnd w:id="7"/>
      <w:r w:rsidR="0014089A" w:rsidRPr="009858C9">
        <w:rPr>
          <w:rFonts w:ascii="Times New Roman" w:hAnsi="Times New Roman" w:cs="Times New Roman"/>
          <w:bCs w:val="0"/>
          <w:szCs w:val="24"/>
        </w:rPr>
        <w:t xml:space="preserve"> </w:t>
      </w:r>
      <w:r w:rsidR="0014089A" w:rsidRPr="009858C9">
        <w:rPr>
          <w:rFonts w:ascii="Times New Roman" w:hAnsi="Times New Roman" w:cs="Times New Roman"/>
          <w:szCs w:val="24"/>
        </w:rPr>
        <w:t>Celem projektowanego przepisu jest zapewnienie skutecznej wymiany informacji pomiędzy organem nadzoru oraz właściwymi organami i organami sądowymi, zgodnie z implementowanym przepisem dyrektywy CRD VI. Projektowany przepis nie ma natomiast na celu zapewnieni</w:t>
      </w:r>
      <w:r w:rsidR="000D225E" w:rsidRPr="009858C9">
        <w:rPr>
          <w:rFonts w:ascii="Times New Roman" w:hAnsi="Times New Roman" w:cs="Times New Roman"/>
          <w:szCs w:val="24"/>
        </w:rPr>
        <w:t>a</w:t>
      </w:r>
      <w:r w:rsidR="0014089A" w:rsidRPr="009858C9">
        <w:rPr>
          <w:rFonts w:ascii="Times New Roman" w:hAnsi="Times New Roman" w:cs="Times New Roman"/>
          <w:szCs w:val="24"/>
        </w:rPr>
        <w:t xml:space="preserve"> możliwości podania przez Komisję Nadzoru Finansowego do publicznej wiadomości na „Liście ostrzeżeń publicznych” informacji przekazanych przez prokuratora na podstawie projektowanego przepisu ustawy o nadzorze nad rynkiem finansowym.</w:t>
      </w:r>
    </w:p>
    <w:p w14:paraId="6E7A6F99" w14:textId="30068456" w:rsidR="00DF571D" w:rsidRPr="009858C9" w:rsidRDefault="00DF571D" w:rsidP="009858C9">
      <w:pPr>
        <w:pStyle w:val="ZUSTzmustartykuempunktem"/>
        <w:spacing w:before="120"/>
        <w:ind w:left="0" w:firstLine="0"/>
        <w:rPr>
          <w:rFonts w:ascii="Times New Roman" w:hAnsi="Times New Roman" w:cs="Times New Roman"/>
          <w:b/>
          <w:bCs/>
          <w:szCs w:val="24"/>
        </w:rPr>
      </w:pPr>
      <w:r w:rsidRPr="009858C9">
        <w:rPr>
          <w:rFonts w:ascii="Times New Roman" w:hAnsi="Times New Roman" w:cs="Times New Roman"/>
          <w:szCs w:val="24"/>
        </w:rPr>
        <w:t>W</w:t>
      </w:r>
      <w:r w:rsidR="00F1386A" w:rsidRPr="009858C9">
        <w:rPr>
          <w:rFonts w:ascii="Times New Roman" w:hAnsi="Times New Roman" w:cs="Times New Roman"/>
          <w:szCs w:val="24"/>
        </w:rPr>
        <w:t xml:space="preserve"> </w:t>
      </w:r>
      <w:r w:rsidR="00E74AF4" w:rsidRPr="009858C9">
        <w:rPr>
          <w:rFonts w:ascii="Times New Roman" w:hAnsi="Times New Roman" w:cs="Times New Roman"/>
          <w:b/>
          <w:bCs/>
          <w:szCs w:val="24"/>
        </w:rPr>
        <w:t xml:space="preserve">art. </w:t>
      </w:r>
      <w:r w:rsidRPr="009858C9">
        <w:rPr>
          <w:rFonts w:ascii="Times New Roman" w:hAnsi="Times New Roman" w:cs="Times New Roman"/>
          <w:b/>
          <w:bCs/>
          <w:szCs w:val="24"/>
        </w:rPr>
        <w:t>1</w:t>
      </w:r>
      <w:r w:rsidR="00D02BFA" w:rsidRPr="009858C9">
        <w:rPr>
          <w:rFonts w:ascii="Times New Roman" w:hAnsi="Times New Roman" w:cs="Times New Roman"/>
          <w:b/>
          <w:bCs/>
          <w:szCs w:val="24"/>
        </w:rPr>
        <w:t>4</w:t>
      </w:r>
      <w:r w:rsidR="00E74AF4" w:rsidRPr="009858C9">
        <w:rPr>
          <w:rFonts w:ascii="Times New Roman" w:hAnsi="Times New Roman" w:cs="Times New Roman"/>
          <w:b/>
          <w:bCs/>
          <w:szCs w:val="24"/>
        </w:rPr>
        <w:t xml:space="preserve"> pkt 2</w:t>
      </w:r>
      <w:r w:rsidRPr="009858C9">
        <w:rPr>
          <w:rFonts w:ascii="Times New Roman" w:hAnsi="Times New Roman" w:cs="Times New Roman"/>
          <w:b/>
          <w:bCs/>
          <w:szCs w:val="24"/>
        </w:rPr>
        <w:t>:</w:t>
      </w:r>
    </w:p>
    <w:p w14:paraId="456BBBC2" w14:textId="73320BA2" w:rsidR="00DF571D" w:rsidRPr="009858C9" w:rsidRDefault="00DF571D"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b/>
          <w:bCs/>
          <w:szCs w:val="24"/>
        </w:rPr>
        <w:t xml:space="preserve">- </w:t>
      </w:r>
      <w:r w:rsidRPr="009858C9">
        <w:rPr>
          <w:rFonts w:ascii="Times New Roman" w:hAnsi="Times New Roman" w:cs="Times New Roman"/>
          <w:szCs w:val="24"/>
        </w:rPr>
        <w:t>w lit. a</w:t>
      </w:r>
      <w:r w:rsidR="00E74AF4" w:rsidRPr="009858C9">
        <w:rPr>
          <w:rFonts w:ascii="Times New Roman" w:hAnsi="Times New Roman" w:cs="Times New Roman"/>
          <w:szCs w:val="24"/>
        </w:rPr>
        <w:t xml:space="preserve"> </w:t>
      </w:r>
      <w:r w:rsidRPr="009858C9">
        <w:rPr>
          <w:rFonts w:ascii="Times New Roman" w:hAnsi="Times New Roman" w:cs="Times New Roman"/>
          <w:szCs w:val="24"/>
        </w:rPr>
        <w:t xml:space="preserve">wprowadzona zmiana </w:t>
      </w:r>
      <w:r w:rsidR="00E74AF4" w:rsidRPr="009858C9">
        <w:rPr>
          <w:rFonts w:ascii="Times New Roman" w:hAnsi="Times New Roman" w:cs="Times New Roman"/>
          <w:szCs w:val="24"/>
        </w:rPr>
        <w:t xml:space="preserve">polega na </w:t>
      </w:r>
      <w:r w:rsidRPr="009858C9">
        <w:rPr>
          <w:rFonts w:ascii="Times New Roman" w:hAnsi="Times New Roman" w:cs="Times New Roman"/>
          <w:szCs w:val="24"/>
        </w:rPr>
        <w:t>poszerzeniu katalogu przesłanek odwołania Przewodniczącego KNF o przesłankę niezłożenia oświadczenia o braku konfliktu interesów</w:t>
      </w:r>
      <w:r w:rsidR="00DD1F97">
        <w:rPr>
          <w:rFonts w:ascii="Times New Roman" w:hAnsi="Times New Roman" w:cs="Times New Roman"/>
          <w:szCs w:val="24"/>
        </w:rPr>
        <w:t>,</w:t>
      </w:r>
      <w:r w:rsidRPr="009858C9">
        <w:rPr>
          <w:rFonts w:ascii="Times New Roman" w:hAnsi="Times New Roman" w:cs="Times New Roman"/>
          <w:szCs w:val="24"/>
        </w:rPr>
        <w:t xml:space="preserve"> </w:t>
      </w:r>
    </w:p>
    <w:p w14:paraId="2765E816" w14:textId="56373CC3" w:rsidR="00E74AF4" w:rsidRPr="009858C9" w:rsidRDefault="00DF571D"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 w lit. b wprowadzono ograniczenie </w:t>
      </w:r>
      <w:r w:rsidR="00E74AF4" w:rsidRPr="009858C9">
        <w:rPr>
          <w:rFonts w:ascii="Times New Roman" w:hAnsi="Times New Roman" w:cs="Times New Roman"/>
          <w:szCs w:val="24"/>
        </w:rPr>
        <w:t>do 14 lat czasu pełnienia funkcji w organie nadzoru przez Przewodniczącego KNF i Zastępców Przewodniczącego. Jednocześnie nie ulegnie zmianie 5-letnia kadencyjność pełnienia funkcji przez Przewodniczącego KNF.</w:t>
      </w:r>
    </w:p>
    <w:p w14:paraId="59C3B89E" w14:textId="1C228E62" w:rsidR="00475FB3" w:rsidRPr="009858C9" w:rsidRDefault="00FA28E8"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W </w:t>
      </w:r>
      <w:r w:rsidRPr="009858C9">
        <w:rPr>
          <w:rFonts w:ascii="Times New Roman" w:hAnsi="Times New Roman" w:cs="Times New Roman"/>
          <w:b/>
          <w:bCs/>
          <w:szCs w:val="24"/>
        </w:rPr>
        <w:t xml:space="preserve">art. </w:t>
      </w:r>
      <w:r w:rsidR="00A94418" w:rsidRPr="009858C9">
        <w:rPr>
          <w:rFonts w:ascii="Times New Roman" w:hAnsi="Times New Roman" w:cs="Times New Roman"/>
          <w:b/>
          <w:bCs/>
          <w:szCs w:val="24"/>
        </w:rPr>
        <w:t>1</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pkt 3</w:t>
      </w:r>
      <w:r w:rsidRPr="009858C9">
        <w:rPr>
          <w:rFonts w:ascii="Times New Roman" w:hAnsi="Times New Roman" w:cs="Times New Roman"/>
          <w:szCs w:val="24"/>
        </w:rPr>
        <w:t xml:space="preserve"> projektowana zmiana</w:t>
      </w:r>
      <w:r w:rsidR="00561A06" w:rsidRPr="009858C9">
        <w:rPr>
          <w:rFonts w:ascii="Times New Roman" w:hAnsi="Times New Roman" w:cs="Times New Roman"/>
          <w:szCs w:val="24"/>
        </w:rPr>
        <w:t xml:space="preserve"> </w:t>
      </w:r>
      <w:r w:rsidRPr="009858C9">
        <w:rPr>
          <w:rFonts w:ascii="Times New Roman" w:hAnsi="Times New Roman" w:cs="Times New Roman"/>
          <w:szCs w:val="24"/>
        </w:rPr>
        <w:t>przewiduje, że odwołanie Zastępcy Przewodniczącego będzie mogło nastąpić</w:t>
      </w:r>
      <w:r w:rsidR="00851883">
        <w:rPr>
          <w:rFonts w:ascii="Times New Roman" w:hAnsi="Times New Roman" w:cs="Times New Roman"/>
          <w:szCs w:val="24"/>
        </w:rPr>
        <w:t>,</w:t>
      </w:r>
      <w:r w:rsidRPr="009858C9">
        <w:rPr>
          <w:rFonts w:ascii="Times New Roman" w:hAnsi="Times New Roman" w:cs="Times New Roman"/>
          <w:szCs w:val="24"/>
        </w:rPr>
        <w:t xml:space="preserve"> jeśli zostanie spełniona przesłanka do odwołania (np. utrata obywatelstwa, skazanie prawomocnym wyrokiem) albo na wniosek Przewodniczącego KNF wraz z uzasadnieniem (obecnie nie jest wymagane uzasadnienie). Dotychczas Zastępca przewodniczącego KNF mógł zostać odwołany przez Prezesa Rady Ministrów na wniosek Przewodniczącego KNF</w:t>
      </w:r>
      <w:r w:rsidR="00475FB3" w:rsidRPr="009858C9">
        <w:rPr>
          <w:rFonts w:ascii="Times New Roman" w:hAnsi="Times New Roman" w:cs="Times New Roman"/>
          <w:szCs w:val="24"/>
        </w:rPr>
        <w:t>.</w:t>
      </w:r>
    </w:p>
    <w:p w14:paraId="0753E977" w14:textId="4346241D" w:rsidR="00475FB3" w:rsidRPr="00BE264C" w:rsidRDefault="00933025" w:rsidP="009858C9">
      <w:pPr>
        <w:pStyle w:val="ZUSTzmustartykuempunktem"/>
        <w:spacing w:before="120"/>
        <w:ind w:left="0" w:firstLine="0"/>
        <w:rPr>
          <w:rFonts w:ascii="Times New Roman" w:hAnsi="Times New Roman" w:cs="Times New Roman"/>
          <w:szCs w:val="24"/>
        </w:rPr>
      </w:pPr>
      <w:r w:rsidRPr="00BE264C">
        <w:rPr>
          <w:rFonts w:ascii="Times New Roman" w:hAnsi="Times New Roman" w:cs="Times New Roman"/>
          <w:bCs/>
          <w:szCs w:val="24"/>
        </w:rPr>
        <w:t xml:space="preserve">Zgodnie ze zmianą wprowadzoną w </w:t>
      </w:r>
      <w:r w:rsidRPr="00BE264C">
        <w:rPr>
          <w:rFonts w:ascii="Times New Roman" w:hAnsi="Times New Roman" w:cs="Times New Roman"/>
          <w:b/>
          <w:szCs w:val="24"/>
        </w:rPr>
        <w:t xml:space="preserve">art. </w:t>
      </w:r>
      <w:r w:rsidR="00A94418" w:rsidRPr="00BE264C">
        <w:rPr>
          <w:rFonts w:ascii="Times New Roman" w:hAnsi="Times New Roman" w:cs="Times New Roman"/>
          <w:b/>
          <w:szCs w:val="24"/>
        </w:rPr>
        <w:t>1</w:t>
      </w:r>
      <w:r w:rsidR="00D02BFA" w:rsidRPr="00BE264C">
        <w:rPr>
          <w:rFonts w:ascii="Times New Roman" w:hAnsi="Times New Roman" w:cs="Times New Roman"/>
          <w:b/>
          <w:szCs w:val="24"/>
        </w:rPr>
        <w:t>4</w:t>
      </w:r>
      <w:r w:rsidRPr="00BE264C">
        <w:rPr>
          <w:rFonts w:ascii="Times New Roman" w:hAnsi="Times New Roman" w:cs="Times New Roman"/>
          <w:b/>
          <w:szCs w:val="24"/>
        </w:rPr>
        <w:t xml:space="preserve"> pkt 4</w:t>
      </w:r>
      <w:r w:rsidRPr="00BE264C">
        <w:rPr>
          <w:rFonts w:ascii="Times New Roman" w:hAnsi="Times New Roman" w:cs="Times New Roman"/>
          <w:bCs/>
          <w:szCs w:val="24"/>
        </w:rPr>
        <w:t xml:space="preserve">, </w:t>
      </w:r>
      <w:r w:rsidR="00475FB3" w:rsidRPr="00BE264C">
        <w:rPr>
          <w:rFonts w:ascii="Times New Roman" w:hAnsi="Times New Roman" w:cs="Times New Roman"/>
          <w:szCs w:val="24"/>
        </w:rPr>
        <w:t>Prezes Rady Ministrów będzie zobowiązany do podania do wiadomości publicznej powodu odwołania Przewodniczącego KNF lub Zastępcy</w:t>
      </w:r>
      <w:r w:rsidR="009C650E" w:rsidRPr="00BE264C">
        <w:rPr>
          <w:rFonts w:ascii="Times New Roman" w:hAnsi="Times New Roman" w:cs="Times New Roman"/>
          <w:szCs w:val="24"/>
        </w:rPr>
        <w:t xml:space="preserve"> Przewodniczącego KNF</w:t>
      </w:r>
      <w:r w:rsidR="00475FB3" w:rsidRPr="00BE264C">
        <w:rPr>
          <w:rFonts w:ascii="Times New Roman" w:hAnsi="Times New Roman" w:cs="Times New Roman"/>
          <w:szCs w:val="24"/>
        </w:rPr>
        <w:t>, chyba że odwołana osoba wyrazi sprzeciw wobec publikacji.</w:t>
      </w:r>
    </w:p>
    <w:p w14:paraId="59CB873A" w14:textId="74E45642" w:rsidR="007A41C3" w:rsidRPr="009858C9" w:rsidRDefault="007A41C3" w:rsidP="009858C9">
      <w:pPr>
        <w:pStyle w:val="ZUSTzmustartykuempunktem"/>
        <w:spacing w:before="120"/>
        <w:ind w:left="0" w:firstLine="0"/>
        <w:rPr>
          <w:rFonts w:ascii="Times New Roman" w:hAnsi="Times New Roman" w:cs="Times New Roman"/>
          <w:szCs w:val="24"/>
        </w:rPr>
      </w:pPr>
      <w:r w:rsidRPr="00BE264C">
        <w:rPr>
          <w:rFonts w:ascii="Times New Roman" w:hAnsi="Times New Roman" w:cs="Times New Roman"/>
          <w:szCs w:val="24"/>
        </w:rPr>
        <w:lastRenderedPageBreak/>
        <w:t>W</w:t>
      </w:r>
      <w:r w:rsidRPr="00BE264C">
        <w:rPr>
          <w:rFonts w:ascii="Times New Roman" w:hAnsi="Times New Roman" w:cs="Times New Roman"/>
          <w:b/>
          <w:bCs/>
          <w:szCs w:val="24"/>
        </w:rPr>
        <w:t xml:space="preserve"> art. </w:t>
      </w:r>
      <w:r w:rsidR="00A94418" w:rsidRPr="00BE264C">
        <w:rPr>
          <w:rFonts w:ascii="Times New Roman" w:hAnsi="Times New Roman" w:cs="Times New Roman"/>
          <w:b/>
          <w:bCs/>
          <w:szCs w:val="24"/>
        </w:rPr>
        <w:t>1</w:t>
      </w:r>
      <w:r w:rsidR="00D02BFA" w:rsidRPr="00BE264C">
        <w:rPr>
          <w:rFonts w:ascii="Times New Roman" w:hAnsi="Times New Roman" w:cs="Times New Roman"/>
          <w:b/>
          <w:bCs/>
          <w:szCs w:val="24"/>
        </w:rPr>
        <w:t>4</w:t>
      </w:r>
      <w:r w:rsidRPr="00BE264C">
        <w:rPr>
          <w:rFonts w:ascii="Times New Roman" w:hAnsi="Times New Roman" w:cs="Times New Roman"/>
          <w:b/>
          <w:bCs/>
          <w:szCs w:val="24"/>
        </w:rPr>
        <w:t xml:space="preserve"> pkt 5 </w:t>
      </w:r>
      <w:r w:rsidRPr="00BE264C">
        <w:rPr>
          <w:rFonts w:ascii="Times New Roman" w:hAnsi="Times New Roman" w:cs="Times New Roman"/>
          <w:szCs w:val="24"/>
        </w:rPr>
        <w:t>dodane przepisy przewidują obj</w:t>
      </w:r>
      <w:r w:rsidR="0089395E" w:rsidRPr="00BE264C">
        <w:rPr>
          <w:rFonts w:ascii="Times New Roman" w:hAnsi="Times New Roman" w:cs="Times New Roman"/>
          <w:szCs w:val="24"/>
        </w:rPr>
        <w:t>ę</w:t>
      </w:r>
      <w:r w:rsidRPr="00BE264C">
        <w:rPr>
          <w:rFonts w:ascii="Times New Roman" w:hAnsi="Times New Roman" w:cs="Times New Roman"/>
          <w:szCs w:val="24"/>
        </w:rPr>
        <w:t>cie zakazem świadczenia pracy</w:t>
      </w:r>
      <w:r w:rsidRPr="009858C9">
        <w:rPr>
          <w:rFonts w:ascii="Times New Roman" w:hAnsi="Times New Roman" w:cs="Times New Roman"/>
          <w:szCs w:val="24"/>
        </w:rPr>
        <w:t xml:space="preserve"> </w:t>
      </w:r>
      <w:r w:rsidR="00561A06" w:rsidRPr="009858C9">
        <w:rPr>
          <w:rFonts w:ascii="Times New Roman" w:hAnsi="Times New Roman" w:cs="Times New Roman"/>
          <w:szCs w:val="24"/>
        </w:rPr>
        <w:t>pracowni</w:t>
      </w:r>
      <w:r w:rsidRPr="009858C9">
        <w:rPr>
          <w:rFonts w:ascii="Times New Roman" w:hAnsi="Times New Roman" w:cs="Times New Roman"/>
          <w:szCs w:val="24"/>
        </w:rPr>
        <w:t>ków</w:t>
      </w:r>
      <w:r w:rsidR="00E50CA5" w:rsidRPr="009858C9">
        <w:rPr>
          <w:rFonts w:ascii="Times New Roman" w:hAnsi="Times New Roman" w:cs="Times New Roman"/>
          <w:szCs w:val="24"/>
        </w:rPr>
        <w:t xml:space="preserve"> </w:t>
      </w:r>
      <w:r w:rsidR="00487236" w:rsidRPr="009858C9">
        <w:rPr>
          <w:rFonts w:ascii="Times New Roman" w:hAnsi="Times New Roman" w:cs="Times New Roman"/>
          <w:szCs w:val="24"/>
        </w:rPr>
        <w:t>UKNF</w:t>
      </w:r>
      <w:r w:rsidR="00561A06" w:rsidRPr="009858C9">
        <w:rPr>
          <w:rFonts w:ascii="Times New Roman" w:hAnsi="Times New Roman" w:cs="Times New Roman"/>
          <w:szCs w:val="24"/>
        </w:rPr>
        <w:t xml:space="preserve"> </w:t>
      </w:r>
      <w:r w:rsidR="00E50CA5" w:rsidRPr="009858C9">
        <w:rPr>
          <w:rFonts w:ascii="Times New Roman" w:hAnsi="Times New Roman" w:cs="Times New Roman"/>
          <w:szCs w:val="24"/>
        </w:rPr>
        <w:t xml:space="preserve">bezpośrednio </w:t>
      </w:r>
      <w:r w:rsidR="00561A06" w:rsidRPr="009858C9">
        <w:rPr>
          <w:rFonts w:ascii="Times New Roman" w:hAnsi="Times New Roman" w:cs="Times New Roman"/>
          <w:szCs w:val="24"/>
        </w:rPr>
        <w:t>zaangażowan</w:t>
      </w:r>
      <w:r w:rsidRPr="009858C9">
        <w:rPr>
          <w:rFonts w:ascii="Times New Roman" w:hAnsi="Times New Roman" w:cs="Times New Roman"/>
          <w:szCs w:val="24"/>
        </w:rPr>
        <w:t>ych</w:t>
      </w:r>
      <w:r w:rsidR="00561A06" w:rsidRPr="009858C9">
        <w:rPr>
          <w:rFonts w:ascii="Times New Roman" w:hAnsi="Times New Roman" w:cs="Times New Roman"/>
          <w:szCs w:val="24"/>
        </w:rPr>
        <w:t xml:space="preserve"> w nadzór</w:t>
      </w:r>
      <w:r w:rsidRPr="009858C9">
        <w:rPr>
          <w:rFonts w:ascii="Times New Roman" w:hAnsi="Times New Roman" w:cs="Times New Roman"/>
          <w:szCs w:val="24"/>
        </w:rPr>
        <w:t xml:space="preserve"> </w:t>
      </w:r>
      <w:r w:rsidR="00561A06" w:rsidRPr="009858C9">
        <w:rPr>
          <w:rFonts w:ascii="Times New Roman" w:hAnsi="Times New Roman" w:cs="Times New Roman"/>
          <w:szCs w:val="24"/>
        </w:rPr>
        <w:t xml:space="preserve">w podmiotach nadzorowanych, podmiotach świadczących usługi na rzecz podmiotów nadzorowanych oraz w podmiotach prowadzących działalność lobbingową w zakresie rynku finansowego w sprawach, którymi zajmowała się dana osoba. </w:t>
      </w:r>
    </w:p>
    <w:p w14:paraId="72243DFE" w14:textId="6CDBB8F2" w:rsidR="0033458A" w:rsidRPr="009858C9" w:rsidRDefault="0033458A"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Zakaz świadczenia pracy będzie wynosił w przypadku:</w:t>
      </w:r>
    </w:p>
    <w:p w14:paraId="36F3F8F3" w14:textId="2022D71D" w:rsidR="0033458A" w:rsidRPr="009858C9" w:rsidRDefault="0033458A" w:rsidP="009858C9">
      <w:pPr>
        <w:pStyle w:val="ZUSTzmustartykuempunktem"/>
        <w:numPr>
          <w:ilvl w:val="0"/>
          <w:numId w:val="20"/>
        </w:numPr>
        <w:spacing w:before="120"/>
        <w:rPr>
          <w:rFonts w:ascii="Times New Roman" w:hAnsi="Times New Roman" w:cs="Times New Roman"/>
          <w:szCs w:val="24"/>
        </w:rPr>
      </w:pPr>
      <w:r w:rsidRPr="009858C9">
        <w:rPr>
          <w:rFonts w:ascii="Times New Roman" w:hAnsi="Times New Roman" w:cs="Times New Roman"/>
          <w:szCs w:val="24"/>
        </w:rPr>
        <w:t>podmiotów, w odniesieniu do których pracownicy byli bezpośrednio zaangażowani w</w:t>
      </w:r>
      <w:r w:rsidR="00D27990" w:rsidRPr="009858C9">
        <w:rPr>
          <w:rFonts w:ascii="Times New Roman" w:hAnsi="Times New Roman" w:cs="Times New Roman"/>
          <w:szCs w:val="24"/>
        </w:rPr>
        <w:t> </w:t>
      </w:r>
      <w:r w:rsidRPr="009858C9">
        <w:rPr>
          <w:rFonts w:ascii="Times New Roman" w:hAnsi="Times New Roman" w:cs="Times New Roman"/>
          <w:szCs w:val="24"/>
        </w:rPr>
        <w:t xml:space="preserve">nadzór lub podejmowanie decyzji, w tym bezpośrednie lub pośrednie podmioty dominujące, podmioty zależne lub podmioty z nimi powiązane – przez okres 6 miesięcy od dnia zakończenia świadczenia pracy </w:t>
      </w:r>
      <w:r w:rsidR="006A68E8" w:rsidRPr="009858C9">
        <w:rPr>
          <w:rFonts w:ascii="Times New Roman" w:hAnsi="Times New Roman" w:cs="Times New Roman"/>
          <w:szCs w:val="24"/>
        </w:rPr>
        <w:t xml:space="preserve">w </w:t>
      </w:r>
      <w:r w:rsidR="00487236" w:rsidRPr="009858C9">
        <w:rPr>
          <w:rFonts w:ascii="Times New Roman" w:hAnsi="Times New Roman" w:cs="Times New Roman"/>
          <w:szCs w:val="24"/>
        </w:rPr>
        <w:t>U</w:t>
      </w:r>
      <w:r w:rsidRPr="009858C9">
        <w:rPr>
          <w:rFonts w:ascii="Times New Roman" w:hAnsi="Times New Roman" w:cs="Times New Roman"/>
          <w:szCs w:val="24"/>
        </w:rPr>
        <w:t>KNF;</w:t>
      </w:r>
    </w:p>
    <w:p w14:paraId="48A2408B" w14:textId="73A337F1" w:rsidR="0033458A" w:rsidRPr="009858C9" w:rsidRDefault="0033458A" w:rsidP="009858C9">
      <w:pPr>
        <w:pStyle w:val="ZUSTzmustartykuempunktem"/>
        <w:numPr>
          <w:ilvl w:val="0"/>
          <w:numId w:val="20"/>
        </w:numPr>
        <w:spacing w:before="120"/>
        <w:rPr>
          <w:rFonts w:ascii="Times New Roman" w:hAnsi="Times New Roman" w:cs="Times New Roman"/>
          <w:szCs w:val="24"/>
        </w:rPr>
      </w:pPr>
      <w:r w:rsidRPr="009858C9">
        <w:rPr>
          <w:rFonts w:ascii="Times New Roman" w:hAnsi="Times New Roman" w:cs="Times New Roman"/>
          <w:szCs w:val="24"/>
        </w:rPr>
        <w:t>podmiotów świadczących usługi na rzecz któregokolwiek z podmiotów, o których mowa w pkt 1, chyba że obowiązuje ich ścisłe wykluczenie z uczestnictwa w</w:t>
      </w:r>
      <w:r w:rsidR="00D27990" w:rsidRPr="009858C9">
        <w:rPr>
          <w:rFonts w:ascii="Times New Roman" w:hAnsi="Times New Roman" w:cs="Times New Roman"/>
          <w:szCs w:val="24"/>
        </w:rPr>
        <w:t> </w:t>
      </w:r>
      <w:r w:rsidRPr="009858C9">
        <w:rPr>
          <w:rFonts w:ascii="Times New Roman" w:hAnsi="Times New Roman" w:cs="Times New Roman"/>
          <w:szCs w:val="24"/>
        </w:rPr>
        <w:t>świadczeniu tych usług w okresie zakazu zatrudnienia – przez okres 6 miesięcy od dnia zakończenia świadczenia pracy w UKNF;</w:t>
      </w:r>
    </w:p>
    <w:p w14:paraId="7C170272" w14:textId="0F235AEB" w:rsidR="00101BEF" w:rsidRPr="009858C9" w:rsidRDefault="0033458A" w:rsidP="009858C9">
      <w:pPr>
        <w:pStyle w:val="ZUSTzmustartykuempunktem"/>
        <w:numPr>
          <w:ilvl w:val="0"/>
          <w:numId w:val="20"/>
        </w:numPr>
        <w:spacing w:before="120"/>
        <w:rPr>
          <w:rFonts w:ascii="Times New Roman" w:hAnsi="Times New Roman" w:cs="Times New Roman"/>
          <w:szCs w:val="24"/>
        </w:rPr>
      </w:pPr>
      <w:r w:rsidRPr="009858C9">
        <w:rPr>
          <w:rFonts w:ascii="Times New Roman" w:hAnsi="Times New Roman" w:cs="Times New Roman"/>
          <w:szCs w:val="24"/>
        </w:rPr>
        <w:t>podmiotów prowadzących działalność lobbingową w rozumieniu ustawy z dnia 7 lipca 2005 r. o działalności lobbingowej w procesie stanowienia prawa (Dz. U. z 20</w:t>
      </w:r>
      <w:r w:rsidR="004F675E" w:rsidRPr="009858C9">
        <w:rPr>
          <w:rFonts w:ascii="Times New Roman" w:hAnsi="Times New Roman" w:cs="Times New Roman"/>
          <w:szCs w:val="24"/>
        </w:rPr>
        <w:t>25</w:t>
      </w:r>
      <w:r w:rsidRPr="009858C9">
        <w:rPr>
          <w:rFonts w:ascii="Times New Roman" w:hAnsi="Times New Roman" w:cs="Times New Roman"/>
          <w:szCs w:val="24"/>
        </w:rPr>
        <w:t xml:space="preserve"> r. poz. </w:t>
      </w:r>
      <w:r w:rsidR="004F675E" w:rsidRPr="009858C9">
        <w:rPr>
          <w:rFonts w:ascii="Times New Roman" w:hAnsi="Times New Roman" w:cs="Times New Roman"/>
          <w:szCs w:val="24"/>
        </w:rPr>
        <w:t>677</w:t>
      </w:r>
      <w:r w:rsidR="003456A8" w:rsidRPr="009858C9">
        <w:rPr>
          <w:rFonts w:ascii="Times New Roman" w:hAnsi="Times New Roman" w:cs="Times New Roman"/>
          <w:szCs w:val="24"/>
        </w:rPr>
        <w:t>, z późn. zm.</w:t>
      </w:r>
      <w:r w:rsidRPr="009858C9">
        <w:rPr>
          <w:rFonts w:ascii="Times New Roman" w:hAnsi="Times New Roman" w:cs="Times New Roman"/>
          <w:szCs w:val="24"/>
        </w:rPr>
        <w:t>), które brały udział w pracach nad projektami aktów prawnych w zakresie rynku finansowego, w sprawach, za które pracownik odpowiadał w okresie swojego zatrudnienia – przez okres 3 miesięcy od dnia zakończenia świadczenia pracy w UKNF.</w:t>
      </w:r>
    </w:p>
    <w:p w14:paraId="4B20BC65" w14:textId="56B0D08E" w:rsidR="00101BEF" w:rsidRPr="009858C9" w:rsidRDefault="00101BEF"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Zgodnie z </w:t>
      </w:r>
      <w:r w:rsidR="000F6699" w:rsidRPr="009858C9">
        <w:rPr>
          <w:rFonts w:ascii="Times New Roman" w:hAnsi="Times New Roman" w:cs="Times New Roman"/>
          <w:szCs w:val="24"/>
        </w:rPr>
        <w:t xml:space="preserve">projektowanym </w:t>
      </w:r>
      <w:r w:rsidRPr="009858C9">
        <w:rPr>
          <w:rFonts w:ascii="Times New Roman" w:hAnsi="Times New Roman" w:cs="Times New Roman"/>
          <w:szCs w:val="24"/>
        </w:rPr>
        <w:t>art. 15</w:t>
      </w:r>
      <w:r w:rsidR="000F6699" w:rsidRPr="009858C9">
        <w:rPr>
          <w:rFonts w:ascii="Times New Roman" w:hAnsi="Times New Roman" w:cs="Times New Roman"/>
          <w:szCs w:val="24"/>
        </w:rPr>
        <w:t xml:space="preserve"> ust. 1</w:t>
      </w:r>
      <w:r w:rsidRPr="009858C9">
        <w:rPr>
          <w:rFonts w:ascii="Times New Roman" w:hAnsi="Times New Roman" w:cs="Times New Roman"/>
          <w:szCs w:val="24"/>
        </w:rPr>
        <w:t xml:space="preserve"> ustawy o nadzorze nad rynkiem finansowym, „</w:t>
      </w:r>
      <w:bookmarkStart w:id="9" w:name="_Hlk220309380"/>
      <w:r w:rsidR="000F6699" w:rsidRPr="009858C9">
        <w:rPr>
          <w:rFonts w:ascii="Times New Roman" w:hAnsi="Times New Roman" w:cs="Times New Roman"/>
          <w:szCs w:val="24"/>
        </w:rPr>
        <w:t xml:space="preserve">Przewodniczący Komisji, jego Zastępcy, członkowie Komisji </w:t>
      </w:r>
      <w:bookmarkEnd w:id="9"/>
      <w:r w:rsidR="000F6699" w:rsidRPr="009858C9">
        <w:rPr>
          <w:rFonts w:ascii="Times New Roman" w:hAnsi="Times New Roman" w:cs="Times New Roman"/>
          <w:szCs w:val="24"/>
        </w:rPr>
        <w:t>oraz pracownicy Urzędu Komisji nie mogą być członkami organów podmiotów podlegających nadzorowi Komisji, ani podejmować w nich zatrudnienia na podstawie umowy o pracę, umowy zlecenia, umowy o dzieło, umowy agencyjnej albo na podstawie innej umowy o podobnym charakterze, ani wykonywać innych czynności, które pozostawałyby w sprzeczności z ich obowiązkami albo mogłyby wywołać podejrzenie o stronniczość lub interesowność.</w:t>
      </w:r>
      <w:r w:rsidRPr="009858C9">
        <w:rPr>
          <w:rFonts w:ascii="Times New Roman" w:hAnsi="Times New Roman" w:cs="Times New Roman"/>
          <w:szCs w:val="24"/>
        </w:rPr>
        <w:t>”.</w:t>
      </w:r>
    </w:p>
    <w:p w14:paraId="28A82B3D" w14:textId="76458D20" w:rsidR="00101BEF" w:rsidRPr="009858C9" w:rsidRDefault="00101BEF"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W związku z powyższym należy wskazać, że</w:t>
      </w:r>
      <w:r w:rsidR="000F6699" w:rsidRPr="009858C9">
        <w:rPr>
          <w:rFonts w:ascii="Times New Roman" w:hAnsi="Times New Roman" w:cs="Times New Roman"/>
          <w:szCs w:val="24"/>
        </w:rPr>
        <w:t xml:space="preserve"> Przewodniczący</w:t>
      </w:r>
      <w:r w:rsidR="009D7FFA" w:rsidRPr="009858C9">
        <w:rPr>
          <w:rFonts w:ascii="Times New Roman" w:hAnsi="Times New Roman" w:cs="Times New Roman"/>
          <w:szCs w:val="24"/>
        </w:rPr>
        <w:t xml:space="preserve"> KNF</w:t>
      </w:r>
      <w:r w:rsidR="000F6699" w:rsidRPr="009858C9">
        <w:rPr>
          <w:rFonts w:ascii="Times New Roman" w:hAnsi="Times New Roman" w:cs="Times New Roman"/>
          <w:szCs w:val="24"/>
        </w:rPr>
        <w:t>, jego Zastępcy, członkowie Komisji oraz</w:t>
      </w:r>
      <w:r w:rsidRPr="009858C9">
        <w:rPr>
          <w:rFonts w:ascii="Times New Roman" w:hAnsi="Times New Roman" w:cs="Times New Roman"/>
          <w:szCs w:val="24"/>
        </w:rPr>
        <w:t xml:space="preserve"> pracownicy pozostający w stosunku pracy w UKNF są </w:t>
      </w:r>
      <w:r w:rsidR="000F6699" w:rsidRPr="009858C9">
        <w:rPr>
          <w:rFonts w:ascii="Times New Roman" w:hAnsi="Times New Roman" w:cs="Times New Roman"/>
          <w:szCs w:val="24"/>
        </w:rPr>
        <w:t xml:space="preserve">także </w:t>
      </w:r>
      <w:r w:rsidRPr="009858C9">
        <w:rPr>
          <w:rFonts w:ascii="Times New Roman" w:hAnsi="Times New Roman" w:cs="Times New Roman"/>
          <w:szCs w:val="24"/>
        </w:rPr>
        <w:t>objęci zakazem pracy na rzecz podmiotów nadzorowanych przez KNF. Jednak projektowany art. 10 ust. 3a</w:t>
      </w:r>
      <w:r w:rsidR="000F6699" w:rsidRPr="009858C9">
        <w:rPr>
          <w:rFonts w:ascii="Times New Roman" w:hAnsi="Times New Roman" w:cs="Times New Roman"/>
          <w:szCs w:val="24"/>
        </w:rPr>
        <w:t xml:space="preserve"> oraz art. 15a ust. 1</w:t>
      </w:r>
      <w:r w:rsidRPr="009858C9">
        <w:rPr>
          <w:rFonts w:ascii="Times New Roman" w:hAnsi="Times New Roman" w:cs="Times New Roman"/>
          <w:szCs w:val="24"/>
        </w:rPr>
        <w:t xml:space="preserve"> ustawy o nadzorze nad rynkiem finansowym wprowadza zakaz o węższym zakresie przedmiotowym, ponieważ wprowadzenie zakazu pracy na rzecz podmiotów </w:t>
      </w:r>
      <w:r w:rsidRPr="009858C9">
        <w:rPr>
          <w:rFonts w:ascii="Times New Roman" w:hAnsi="Times New Roman" w:cs="Times New Roman"/>
          <w:szCs w:val="24"/>
        </w:rPr>
        <w:lastRenderedPageBreak/>
        <w:t>nadzorowanych</w:t>
      </w:r>
      <w:r w:rsidR="00C318BC" w:rsidRPr="009858C9">
        <w:rPr>
          <w:rFonts w:ascii="Times New Roman" w:hAnsi="Times New Roman" w:cs="Times New Roman"/>
          <w:szCs w:val="24"/>
        </w:rPr>
        <w:t>, niezależnie od faktycznego zaangażowania w nadzór</w:t>
      </w:r>
      <w:r w:rsidR="000F6699" w:rsidRPr="009858C9">
        <w:rPr>
          <w:rFonts w:ascii="Times New Roman" w:hAnsi="Times New Roman" w:cs="Times New Roman"/>
          <w:szCs w:val="24"/>
        </w:rPr>
        <w:t xml:space="preserve"> osób objętych tym zakazem</w:t>
      </w:r>
      <w:r w:rsidR="00C318BC" w:rsidRPr="009858C9">
        <w:rPr>
          <w:rFonts w:ascii="Times New Roman" w:hAnsi="Times New Roman" w:cs="Times New Roman"/>
          <w:szCs w:val="24"/>
        </w:rPr>
        <w:t>, byłoby rozwiązaniem niewspółmiernym do celu regulacji.</w:t>
      </w:r>
      <w:r w:rsidR="00CB5827" w:rsidRPr="009858C9">
        <w:rPr>
          <w:rFonts w:ascii="Times New Roman" w:hAnsi="Times New Roman" w:cs="Times New Roman"/>
          <w:szCs w:val="24"/>
        </w:rPr>
        <w:t xml:space="preserve"> Określenie w projektowanych przepisach okresu obowiązywania zakazu pracy oraz doprecyzowanie</w:t>
      </w:r>
      <w:r w:rsidR="00A70C1C" w:rsidRPr="009858C9">
        <w:rPr>
          <w:rFonts w:ascii="Times New Roman" w:hAnsi="Times New Roman" w:cs="Times New Roman"/>
          <w:szCs w:val="24"/>
        </w:rPr>
        <w:t>,</w:t>
      </w:r>
      <w:r w:rsidR="00CB5827" w:rsidRPr="009858C9">
        <w:rPr>
          <w:rFonts w:ascii="Times New Roman" w:hAnsi="Times New Roman" w:cs="Times New Roman"/>
          <w:szCs w:val="24"/>
        </w:rPr>
        <w:t xml:space="preserve"> jaki rodzaj podmiotów nadzorowanych jest objęty zakazem</w:t>
      </w:r>
      <w:r w:rsidR="00A70C1C" w:rsidRPr="009858C9">
        <w:rPr>
          <w:rFonts w:ascii="Times New Roman" w:hAnsi="Times New Roman" w:cs="Times New Roman"/>
          <w:szCs w:val="24"/>
        </w:rPr>
        <w:t>,</w:t>
      </w:r>
      <w:r w:rsidR="00CB5827" w:rsidRPr="009858C9">
        <w:rPr>
          <w:rFonts w:ascii="Times New Roman" w:hAnsi="Times New Roman" w:cs="Times New Roman"/>
          <w:szCs w:val="24"/>
        </w:rPr>
        <w:t xml:space="preserve"> służy zachowaniu proporcjonalności</w:t>
      </w:r>
      <w:r w:rsidR="00A70C1C" w:rsidRPr="009858C9">
        <w:rPr>
          <w:rFonts w:ascii="Times New Roman" w:hAnsi="Times New Roman" w:cs="Times New Roman"/>
          <w:szCs w:val="24"/>
        </w:rPr>
        <w:t xml:space="preserve"> projektowanych przepisów, zgodnie z wprowadzoną w implementowanej dyrektywie CRD VI zasadą minimalnych zharmonizowanych wymogów w zakresie niezależności organów nadzoru.</w:t>
      </w:r>
    </w:p>
    <w:p w14:paraId="28779418" w14:textId="513CE849" w:rsidR="006A68E8" w:rsidRPr="009858C9" w:rsidRDefault="006A68E8"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Należy podkreślić, że zakończenie świadczenia pracy nie jest pojęciem tożsamym z rozwiązaniem umowy.</w:t>
      </w:r>
      <w:r w:rsidR="003C45AE" w:rsidRPr="009858C9">
        <w:rPr>
          <w:rFonts w:ascii="Times New Roman" w:hAnsi="Times New Roman" w:cs="Times New Roman"/>
          <w:szCs w:val="24"/>
        </w:rPr>
        <w:t xml:space="preserve"> </w:t>
      </w:r>
      <w:r w:rsidRPr="009858C9">
        <w:rPr>
          <w:rFonts w:ascii="Times New Roman" w:hAnsi="Times New Roman" w:cs="Times New Roman"/>
          <w:szCs w:val="24"/>
        </w:rPr>
        <w:t>Zgodnie z art. 30 § 1 ustawy</w:t>
      </w:r>
      <w:r w:rsidR="003C45AE" w:rsidRPr="009858C9">
        <w:rPr>
          <w:rFonts w:ascii="Times New Roman" w:eastAsiaTheme="minorHAnsi" w:hAnsi="Times New Roman" w:cs="Times New Roman"/>
          <w:szCs w:val="24"/>
          <w:lang w:eastAsia="en-US"/>
        </w:rPr>
        <w:t xml:space="preserve"> </w:t>
      </w:r>
      <w:r w:rsidR="003C45AE" w:rsidRPr="009858C9">
        <w:rPr>
          <w:rFonts w:ascii="Times New Roman" w:hAnsi="Times New Roman" w:cs="Times New Roman"/>
          <w:szCs w:val="24"/>
        </w:rPr>
        <w:t xml:space="preserve">z dnia 26 czerwca 1974 r. – Kodeks pracy (Dz. U. z 2025 r. poz. 277, </w:t>
      </w:r>
      <w:r w:rsidR="004C2FF7" w:rsidRPr="009858C9">
        <w:rPr>
          <w:rFonts w:ascii="Times New Roman" w:hAnsi="Times New Roman" w:cs="Times New Roman"/>
          <w:szCs w:val="24"/>
        </w:rPr>
        <w:t>z późn. zm.</w:t>
      </w:r>
      <w:r w:rsidR="003C45AE" w:rsidRPr="009858C9">
        <w:rPr>
          <w:rFonts w:ascii="Times New Roman" w:hAnsi="Times New Roman" w:cs="Times New Roman"/>
          <w:szCs w:val="24"/>
        </w:rPr>
        <w:t>), dalej: „ustawa – Kodeks pracy”</w:t>
      </w:r>
      <w:r w:rsidRPr="009858C9">
        <w:rPr>
          <w:rFonts w:ascii="Times New Roman" w:hAnsi="Times New Roman" w:cs="Times New Roman"/>
          <w:szCs w:val="24"/>
        </w:rPr>
        <w:t>, umowę o pracę rozwiązuje się na mocy porozumienia stron, przez oświadczenie jednej ze stron z zachowaniem okresu wypowiedzenia, przez oświadczenie jednej ze stron bez zachowania okresu wypowiedzenia lub z upływem czasu, na który umowa była zawarta. W okresie</w:t>
      </w:r>
      <w:r w:rsidR="003C45AE" w:rsidRPr="009858C9">
        <w:rPr>
          <w:rFonts w:ascii="Times New Roman" w:hAnsi="Times New Roman" w:cs="Times New Roman"/>
          <w:szCs w:val="24"/>
        </w:rPr>
        <w:t xml:space="preserve"> wypowiedzenia pracownik jest jednak wciąż zobowiązany do świadczenia pracy. Pracodawca może zwolnić pracownika z obowiązku świadczenia pracy do upływu okresu wypowiedzenia na podstawie art. 36</w:t>
      </w:r>
      <w:r w:rsidR="003C45AE" w:rsidRPr="009858C9">
        <w:rPr>
          <w:rFonts w:ascii="Times New Roman" w:hAnsi="Times New Roman" w:cs="Times New Roman"/>
          <w:szCs w:val="24"/>
          <w:vertAlign w:val="superscript"/>
        </w:rPr>
        <w:t>2</w:t>
      </w:r>
      <w:r w:rsidR="003C45AE" w:rsidRPr="009858C9">
        <w:rPr>
          <w:rFonts w:ascii="Times New Roman" w:hAnsi="Times New Roman" w:cs="Times New Roman"/>
          <w:szCs w:val="24"/>
        </w:rPr>
        <w:t xml:space="preserve"> ustawy – Kodeks pracy. W okresie tego zwolnienia pracownik zachowuje prawo do wynagrodzenia.</w:t>
      </w:r>
    </w:p>
    <w:p w14:paraId="5718A9D4" w14:textId="61F53B6A" w:rsidR="00A94418" w:rsidRPr="009858C9" w:rsidRDefault="00E50CA5"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W okresie obowiązywania zakazu osobie objętej tym zakazem przysługuje rekompensata w</w:t>
      </w:r>
      <w:r w:rsidR="00D27990" w:rsidRPr="009858C9">
        <w:rPr>
          <w:rFonts w:ascii="Times New Roman" w:hAnsi="Times New Roman" w:cs="Times New Roman"/>
          <w:szCs w:val="24"/>
        </w:rPr>
        <w:t> </w:t>
      </w:r>
      <w:r w:rsidRPr="009858C9">
        <w:rPr>
          <w:rFonts w:ascii="Times New Roman" w:hAnsi="Times New Roman" w:cs="Times New Roman"/>
          <w:szCs w:val="24"/>
        </w:rPr>
        <w:t>wysokości</w:t>
      </w:r>
      <w:r w:rsidR="00A94418" w:rsidRPr="009858C9">
        <w:rPr>
          <w:rFonts w:ascii="Times New Roman" w:hAnsi="Times New Roman" w:cs="Times New Roman"/>
          <w:szCs w:val="24"/>
        </w:rPr>
        <w:t xml:space="preserve"> do 100</w:t>
      </w:r>
      <w:r w:rsidR="006B637B">
        <w:rPr>
          <w:rFonts w:ascii="Times New Roman" w:hAnsi="Times New Roman" w:cs="Times New Roman"/>
          <w:szCs w:val="24"/>
        </w:rPr>
        <w:t xml:space="preserve"> </w:t>
      </w:r>
      <w:r w:rsidR="00A94418" w:rsidRPr="009858C9">
        <w:rPr>
          <w:rFonts w:ascii="Times New Roman" w:hAnsi="Times New Roman" w:cs="Times New Roman"/>
          <w:szCs w:val="24"/>
        </w:rPr>
        <w:t>% miesięcznego wynagrodzenia otrzymywanego z tytułu ostatniego wynagrodzenia za pracę za każdy miesiąc obowiązywania zakazu, przy czym rekompensata, o której mowa w ust. 3b, nie przysługuje za okres, za jaki osoba objęta zakazem otrzymuje wynagrodzenie za pracę w okresie wypowiedzenia.</w:t>
      </w:r>
    </w:p>
    <w:p w14:paraId="02500836" w14:textId="17F52B33" w:rsidR="007A41C3" w:rsidRPr="009858C9" w:rsidRDefault="007A41C3" w:rsidP="009858C9">
      <w:pPr>
        <w:pStyle w:val="ZUSTzmustartykuempunktem"/>
        <w:spacing w:before="120"/>
        <w:ind w:left="0" w:firstLine="0"/>
        <w:rPr>
          <w:rFonts w:ascii="Times New Roman" w:hAnsi="Times New Roman" w:cs="Times New Roman"/>
          <w:szCs w:val="24"/>
        </w:rPr>
      </w:pPr>
      <w:bookmarkStart w:id="10" w:name="_Hlk191291080"/>
      <w:r w:rsidRPr="009858C9">
        <w:rPr>
          <w:rFonts w:ascii="Times New Roman" w:hAnsi="Times New Roman" w:cs="Times New Roman"/>
          <w:szCs w:val="24"/>
        </w:rPr>
        <w:t>Wprowadzony został także przepis uprawniający UKNF do skrócenia zakazu świadczenia pracy do 3 miesięcy.</w:t>
      </w:r>
    </w:p>
    <w:bookmarkEnd w:id="10"/>
    <w:p w14:paraId="5357C1B4" w14:textId="58186B08" w:rsidR="007A41C3" w:rsidRPr="009858C9" w:rsidRDefault="007A41C3"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Okres zakazu będzie liczony od momentu ustania bezpośredniego zaangażowania w nadzór.</w:t>
      </w:r>
    </w:p>
    <w:p w14:paraId="7E4E1C1F" w14:textId="33870743" w:rsidR="00E50CA5" w:rsidRPr="009858C9" w:rsidRDefault="00E50CA5"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Ponadto, Przewodniczący KNF może, w drodze zarządzenia, </w:t>
      </w:r>
      <w:r w:rsidR="00BC55D3" w:rsidRPr="009858C9">
        <w:rPr>
          <w:rFonts w:ascii="Times New Roman" w:hAnsi="Times New Roman" w:cs="Times New Roman"/>
          <w:szCs w:val="24"/>
        </w:rPr>
        <w:t xml:space="preserve">określić stanowiska w Urzędzie Komisji, na których zatrudnieni pracownicy </w:t>
      </w:r>
      <w:r w:rsidR="00851883" w:rsidRPr="00C855B5">
        <w:rPr>
          <w:rFonts w:ascii="Times New Roman" w:hAnsi="Times New Roman" w:cs="Times New Roman"/>
          <w:szCs w:val="24"/>
        </w:rPr>
        <w:t xml:space="preserve">są </w:t>
      </w:r>
      <w:r w:rsidR="00BC55D3" w:rsidRPr="009858C9">
        <w:rPr>
          <w:rFonts w:ascii="Times New Roman" w:hAnsi="Times New Roman" w:cs="Times New Roman"/>
          <w:szCs w:val="24"/>
        </w:rPr>
        <w:t>objęci zakazem, o którym mowa w ust. 3a, związane z bezpośrednim zaangażowaniem w czynności nadzorcze lub z podejmowaniem decyzji związanych z tymi czynnościami</w:t>
      </w:r>
      <w:r w:rsidR="00851883">
        <w:rPr>
          <w:rFonts w:ascii="Times New Roman" w:hAnsi="Times New Roman" w:cs="Times New Roman"/>
          <w:szCs w:val="24"/>
        </w:rPr>
        <w:t>.</w:t>
      </w:r>
    </w:p>
    <w:p w14:paraId="17BDD2C3" w14:textId="572E0E57" w:rsidR="00BC55D3" w:rsidRPr="009858C9" w:rsidRDefault="00A94418"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bCs/>
          <w:szCs w:val="24"/>
        </w:rPr>
        <w:t xml:space="preserve">Zmiany wprowadzone w </w:t>
      </w:r>
      <w:r w:rsidRPr="009858C9">
        <w:rPr>
          <w:rFonts w:ascii="Times New Roman" w:hAnsi="Times New Roman" w:cs="Times New Roman"/>
          <w:b/>
          <w:bCs/>
          <w:szCs w:val="24"/>
        </w:rPr>
        <w:t>art. 1</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pkt 6</w:t>
      </w:r>
      <w:r w:rsidR="00BC55D3" w:rsidRPr="009858C9">
        <w:rPr>
          <w:rFonts w:ascii="Times New Roman" w:hAnsi="Times New Roman" w:cs="Times New Roman"/>
          <w:b/>
          <w:bCs/>
          <w:szCs w:val="24"/>
        </w:rPr>
        <w:t xml:space="preserve"> lit. a oraz d</w:t>
      </w:r>
      <w:r w:rsidRPr="009858C9">
        <w:rPr>
          <w:rFonts w:ascii="Times New Roman" w:hAnsi="Times New Roman" w:cs="Times New Roman"/>
          <w:b/>
          <w:bCs/>
          <w:szCs w:val="24"/>
        </w:rPr>
        <w:t xml:space="preserve"> </w:t>
      </w:r>
      <w:r w:rsidR="00BC55D3" w:rsidRPr="009858C9">
        <w:rPr>
          <w:rFonts w:ascii="Times New Roman" w:hAnsi="Times New Roman" w:cs="Times New Roman"/>
          <w:szCs w:val="24"/>
        </w:rPr>
        <w:t>mają charakter dostosowujący i wynikają z uchylenia w ustawie – Prawo bankowe definicji oddziału banku zagranicznego oraz z wprowadzenia definicji oddziału z państwa trzeciego.</w:t>
      </w:r>
    </w:p>
    <w:p w14:paraId="63016155" w14:textId="2BB2EE45" w:rsidR="00BC55D3" w:rsidRPr="009858C9" w:rsidRDefault="00BC55D3"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lastRenderedPageBreak/>
        <w:t xml:space="preserve">Natomiast zmiana wprowadzona w </w:t>
      </w:r>
      <w:r w:rsidRPr="009858C9">
        <w:rPr>
          <w:rFonts w:ascii="Times New Roman" w:hAnsi="Times New Roman" w:cs="Times New Roman"/>
          <w:b/>
          <w:bCs/>
          <w:szCs w:val="24"/>
        </w:rPr>
        <w:t>art. 13 pkt 6 lit. b</w:t>
      </w:r>
      <w:r w:rsidRPr="009858C9">
        <w:rPr>
          <w:rFonts w:ascii="Times New Roman" w:hAnsi="Times New Roman" w:cs="Times New Roman"/>
          <w:szCs w:val="24"/>
        </w:rPr>
        <w:t xml:space="preserve"> ma na celu dookreślenie zakresu upoważnienia do podejmowania działań w zakresie właściwości KNF w odniesieniu do członków zarządu, w związku ze zmianami wprowadzonymi w art. 22b ustawy – Prawo bankowe.</w:t>
      </w:r>
    </w:p>
    <w:p w14:paraId="0A6B8F9B" w14:textId="364BD29F" w:rsidR="00BC55D3" w:rsidRPr="009858C9" w:rsidRDefault="00BC55D3"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Zmiana w </w:t>
      </w:r>
      <w:r w:rsidRPr="009858C9">
        <w:rPr>
          <w:rFonts w:ascii="Times New Roman" w:hAnsi="Times New Roman" w:cs="Times New Roman"/>
          <w:b/>
          <w:bCs/>
          <w:szCs w:val="24"/>
        </w:rPr>
        <w:t xml:space="preserve">art. 13 pkt 6 lit. c </w:t>
      </w:r>
      <w:r w:rsidRPr="009858C9">
        <w:rPr>
          <w:rFonts w:ascii="Times New Roman" w:hAnsi="Times New Roman" w:cs="Times New Roman"/>
          <w:szCs w:val="24"/>
        </w:rPr>
        <w:t>ma charakter wynikowy i jest związana ze zmian</w:t>
      </w:r>
      <w:r w:rsidR="00851883">
        <w:rPr>
          <w:rFonts w:ascii="Times New Roman" w:hAnsi="Times New Roman" w:cs="Times New Roman"/>
          <w:szCs w:val="24"/>
        </w:rPr>
        <w:t>ą</w:t>
      </w:r>
      <w:r w:rsidRPr="009858C9">
        <w:rPr>
          <w:rFonts w:ascii="Times New Roman" w:hAnsi="Times New Roman" w:cs="Times New Roman"/>
          <w:szCs w:val="24"/>
        </w:rPr>
        <w:t xml:space="preserve"> </w:t>
      </w:r>
      <w:r w:rsidR="00851883">
        <w:rPr>
          <w:rFonts w:ascii="Times New Roman" w:hAnsi="Times New Roman" w:cs="Times New Roman"/>
          <w:szCs w:val="24"/>
        </w:rPr>
        <w:t>wp</w:t>
      </w:r>
      <w:r w:rsidRPr="009858C9">
        <w:rPr>
          <w:rFonts w:ascii="Times New Roman" w:hAnsi="Times New Roman" w:cs="Times New Roman"/>
          <w:szCs w:val="24"/>
        </w:rPr>
        <w:t>rowadzoną w lit. b.</w:t>
      </w:r>
    </w:p>
    <w:p w14:paraId="67E00794" w14:textId="0FDA1728" w:rsidR="00075BAB" w:rsidRPr="009858C9" w:rsidRDefault="00F159F1"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Cs/>
          <w:szCs w:val="24"/>
        </w:rPr>
        <w:t xml:space="preserve">W </w:t>
      </w:r>
      <w:r w:rsidRPr="009858C9">
        <w:rPr>
          <w:rFonts w:ascii="Times New Roman" w:hAnsi="Times New Roman" w:cs="Times New Roman"/>
          <w:b/>
          <w:szCs w:val="24"/>
        </w:rPr>
        <w:t>art. 1</w:t>
      </w:r>
      <w:r w:rsidR="00D02BFA" w:rsidRPr="009858C9">
        <w:rPr>
          <w:rFonts w:ascii="Times New Roman" w:hAnsi="Times New Roman" w:cs="Times New Roman"/>
          <w:b/>
          <w:szCs w:val="24"/>
        </w:rPr>
        <w:t>4</w:t>
      </w:r>
      <w:r w:rsidRPr="009858C9">
        <w:rPr>
          <w:rFonts w:ascii="Times New Roman" w:hAnsi="Times New Roman" w:cs="Times New Roman"/>
          <w:b/>
          <w:szCs w:val="24"/>
        </w:rPr>
        <w:t xml:space="preserve"> pkt 7</w:t>
      </w:r>
      <w:r w:rsidRPr="009858C9">
        <w:rPr>
          <w:rFonts w:ascii="Times New Roman" w:hAnsi="Times New Roman" w:cs="Times New Roman"/>
          <w:bCs/>
          <w:szCs w:val="24"/>
        </w:rPr>
        <w:t xml:space="preserve"> wprowadzono przepis mający na celu </w:t>
      </w:r>
      <w:r w:rsidR="004C2FF7" w:rsidRPr="009858C9">
        <w:rPr>
          <w:rFonts w:ascii="Times New Roman" w:hAnsi="Times New Roman" w:cs="Times New Roman"/>
          <w:bCs/>
          <w:szCs w:val="24"/>
        </w:rPr>
        <w:t>wzmocnienie</w:t>
      </w:r>
      <w:r w:rsidRPr="009858C9">
        <w:rPr>
          <w:rFonts w:ascii="Times New Roman" w:hAnsi="Times New Roman" w:cs="Times New Roman"/>
          <w:bCs/>
          <w:szCs w:val="24"/>
        </w:rPr>
        <w:t xml:space="preserve"> niezależności Przewodniczącego Komisji, jego Zastępców oraz pracowników Urzędu Komisji, w odniesieniu do wykonywania ich obowiązków i uprawnień, co stanowi realizację wymogu określonego w art. 4a dyrektywy CRD</w:t>
      </w:r>
      <w:r w:rsidR="0081134A" w:rsidRPr="009858C9">
        <w:rPr>
          <w:rFonts w:ascii="Times New Roman" w:hAnsi="Times New Roman" w:cs="Times New Roman"/>
          <w:bCs/>
          <w:szCs w:val="24"/>
        </w:rPr>
        <w:t>, wprowadzonego w dyrektywie CRD VI</w:t>
      </w:r>
      <w:r w:rsidRPr="009858C9">
        <w:rPr>
          <w:rFonts w:ascii="Times New Roman" w:hAnsi="Times New Roman" w:cs="Times New Roman"/>
          <w:bCs/>
          <w:szCs w:val="24"/>
        </w:rPr>
        <w:t>.</w:t>
      </w:r>
      <w:r w:rsidR="006B7526" w:rsidRPr="009858C9">
        <w:rPr>
          <w:rFonts w:ascii="Times New Roman" w:hAnsi="Times New Roman" w:cs="Times New Roman"/>
          <w:bCs/>
          <w:szCs w:val="24"/>
        </w:rPr>
        <w:t xml:space="preserve"> </w:t>
      </w:r>
      <w:r w:rsidR="00075BAB" w:rsidRPr="009858C9">
        <w:rPr>
          <w:rFonts w:ascii="Times New Roman" w:hAnsi="Times New Roman" w:cs="Times New Roman"/>
          <w:bCs/>
          <w:szCs w:val="24"/>
        </w:rPr>
        <w:t>Należy wskazać, że tożsame gwarancje w zakresie niezależności zawiera art. 34a ustawy z dnia 16 lutego 2007 r. o ochronie konkurencji i konsumentów (Dz. U. z 2025 r. poz. 1714), zgodnie z którym Prezes Urzędu Ochrony Konkurencji i Konsumentów, wiceprezesi Urzędu oraz pracownicy wykonują swoje obowiązki i uprawnienia niezależnie od wpływów politycznych i innych wpływów zewnętrznych; nie mogą zwracać się o instrukcje do organów administracji rządowej, innego podmiotu publicznego lub prywatnego oraz przyjmować od tych organów i podmiotów instrukcji podczas wykonywania obowiązków i uprawnień; a także powstrzymują się od działań, które mogłyby skutkować konfliktem interesów.</w:t>
      </w:r>
    </w:p>
    <w:p w14:paraId="587384E9" w14:textId="6E7B374D" w:rsidR="00075BAB" w:rsidRPr="009858C9" w:rsidRDefault="00075BAB"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Cs/>
          <w:szCs w:val="24"/>
        </w:rPr>
        <w:t>Zarówno dyrektywa CRD VI, jak i ustawa z dnia 16 lutego 2007 r. o ochronie konkurencji i konsumentów</w:t>
      </w:r>
      <w:r w:rsidRPr="009858C9">
        <w:rPr>
          <w:rFonts w:ascii="Times New Roman" w:hAnsi="Times New Roman" w:cs="Times New Roman"/>
          <w:szCs w:val="24"/>
        </w:rPr>
        <w:t xml:space="preserve"> </w:t>
      </w:r>
      <w:r w:rsidRPr="009858C9">
        <w:rPr>
          <w:rFonts w:ascii="Times New Roman" w:hAnsi="Times New Roman" w:cs="Times New Roman"/>
          <w:bCs/>
          <w:szCs w:val="24"/>
        </w:rPr>
        <w:t>nie przewidują konsekwencji czy sankcji za złamanie nakazów, o których mowa odpowiednio w projektowanym art. 14a ustawy o nadzorze nad rynkiem finansowym i art. 34a ustawy z dnia 16 lutego 2007 r. o ochronie konkurencji i konsumentów.</w:t>
      </w:r>
    </w:p>
    <w:p w14:paraId="7C66EE88" w14:textId="391AD2CD" w:rsidR="00C66E8C" w:rsidRPr="009858C9" w:rsidRDefault="00075BAB"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bCs/>
          <w:szCs w:val="24"/>
        </w:rPr>
        <w:t>Jednocześnie należy zaznaczyć, że n</w:t>
      </w:r>
      <w:r w:rsidR="0013183A" w:rsidRPr="009858C9">
        <w:rPr>
          <w:rFonts w:ascii="Times New Roman" w:hAnsi="Times New Roman" w:cs="Times New Roman"/>
          <w:bCs/>
          <w:szCs w:val="24"/>
        </w:rPr>
        <w:t>ieprzestrzeganie przez Przewodniczącego Komisji Nadzoru Finansowego, jego Zastępców oraz pracowników Urzędu Komisji Nadzoru Finansowego normy prawnej</w:t>
      </w:r>
      <w:r w:rsidRPr="009858C9">
        <w:rPr>
          <w:rFonts w:ascii="Times New Roman" w:hAnsi="Times New Roman" w:cs="Times New Roman"/>
          <w:bCs/>
          <w:szCs w:val="24"/>
        </w:rPr>
        <w:t xml:space="preserve"> zawartej w art. 14a</w:t>
      </w:r>
      <w:r w:rsidR="0013183A" w:rsidRPr="009858C9">
        <w:rPr>
          <w:rFonts w:ascii="Times New Roman" w:hAnsi="Times New Roman" w:cs="Times New Roman"/>
          <w:bCs/>
          <w:szCs w:val="24"/>
        </w:rPr>
        <w:t xml:space="preserve">, w tym działanie na podstawie zewnętrznych wskazówek lub instrukcji, może skutkować odpowiedzialnością karną na podstawie art. 231 ustawy z dnia 6 czerwca 1997 r. – Kodeks karny, który sankcjonuje nadużycie uprawnień przez funkcjonariusza publicznego. Katalog kar przewidzianych w ww. przepisie obejmuje karę grzywny, karę ograniczenia wolności oraz karę pozbawienia wolności do lat 10. Natomiast skazanie prawomocnym wyrokiem stanowi przesłankę odwołania Przewodniczącego Komisji Nadzoru Finansowego z pełnionej funkcji, </w:t>
      </w:r>
      <w:r w:rsidR="0013183A" w:rsidRPr="009858C9">
        <w:rPr>
          <w:rFonts w:ascii="Times New Roman" w:hAnsi="Times New Roman" w:cs="Times New Roman"/>
          <w:szCs w:val="24"/>
        </w:rPr>
        <w:t>zgodnie z art. 8 ust. 1 pkt 1 ustawy o nadzorze nad rynkiem finansowym.</w:t>
      </w:r>
    </w:p>
    <w:p w14:paraId="5ECB42AC" w14:textId="31D6295E" w:rsidR="00DB483A" w:rsidRPr="009858C9" w:rsidRDefault="00D7569D"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szCs w:val="24"/>
        </w:rPr>
        <w:lastRenderedPageBreak/>
        <w:t xml:space="preserve">W </w:t>
      </w:r>
      <w:r w:rsidRPr="009858C9">
        <w:rPr>
          <w:rFonts w:ascii="Times New Roman" w:hAnsi="Times New Roman" w:cs="Times New Roman"/>
          <w:b/>
          <w:bCs/>
          <w:szCs w:val="24"/>
        </w:rPr>
        <w:t xml:space="preserve">art. </w:t>
      </w:r>
      <w:r w:rsidR="00DB483A" w:rsidRPr="009858C9">
        <w:rPr>
          <w:rFonts w:ascii="Times New Roman" w:hAnsi="Times New Roman" w:cs="Times New Roman"/>
          <w:b/>
          <w:bCs/>
          <w:szCs w:val="24"/>
        </w:rPr>
        <w:t>1</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pkt </w:t>
      </w:r>
      <w:r w:rsidR="00DB483A" w:rsidRPr="009858C9">
        <w:rPr>
          <w:rFonts w:ascii="Times New Roman" w:hAnsi="Times New Roman" w:cs="Times New Roman"/>
          <w:b/>
          <w:bCs/>
          <w:szCs w:val="24"/>
        </w:rPr>
        <w:t>8</w:t>
      </w:r>
      <w:r w:rsidRPr="009858C9">
        <w:rPr>
          <w:rFonts w:ascii="Times New Roman" w:hAnsi="Times New Roman" w:cs="Times New Roman"/>
          <w:szCs w:val="24"/>
        </w:rPr>
        <w:t xml:space="preserve"> nadane nowe brzmienie przepisu dookreśla </w:t>
      </w:r>
      <w:r w:rsidR="00FF63DF" w:rsidRPr="009858C9">
        <w:rPr>
          <w:rFonts w:ascii="Times New Roman" w:hAnsi="Times New Roman" w:cs="Times New Roman"/>
          <w:szCs w:val="24"/>
        </w:rPr>
        <w:t>członkami jakich podmiotów nie mogą być Przewodniczący Komisji, jego Zastępcy, członkowie K</w:t>
      </w:r>
      <w:r w:rsidR="004C5B71" w:rsidRPr="009858C9">
        <w:rPr>
          <w:rFonts w:ascii="Times New Roman" w:hAnsi="Times New Roman" w:cs="Times New Roman"/>
          <w:szCs w:val="24"/>
        </w:rPr>
        <w:t>NF</w:t>
      </w:r>
      <w:r w:rsidR="00FF63DF" w:rsidRPr="009858C9">
        <w:rPr>
          <w:rFonts w:ascii="Times New Roman" w:hAnsi="Times New Roman" w:cs="Times New Roman"/>
          <w:szCs w:val="24"/>
        </w:rPr>
        <w:t xml:space="preserve"> oraz pracownicy UKNF </w:t>
      </w:r>
      <w:r w:rsidR="004C5B71" w:rsidRPr="009858C9">
        <w:rPr>
          <w:rFonts w:ascii="Times New Roman" w:hAnsi="Times New Roman" w:cs="Times New Roman"/>
          <w:szCs w:val="24"/>
        </w:rPr>
        <w:t xml:space="preserve">i statuuje, analogicznie jak obecna regulacja, zakaz podejmowania w tych podmiotach zatrudnienia na podstawie umowy o pracę, umowy zlecenia, umowy o dzieło, umowy agencyjnej albo na podstawie innej umowy o podobnym charakterze oraz wykonywania innych czynności, które pozostawałyby w sprzeczności z ich obowiązkami albo mogłyby wywołać podejrzenie o stronniczość lub interesowność </w:t>
      </w:r>
      <w:r w:rsidR="00FF63DF" w:rsidRPr="009858C9">
        <w:rPr>
          <w:rFonts w:ascii="Times New Roman" w:hAnsi="Times New Roman" w:cs="Times New Roman"/>
          <w:szCs w:val="24"/>
        </w:rPr>
        <w:t>oraz</w:t>
      </w:r>
      <w:r w:rsidR="004C5B71" w:rsidRPr="009858C9">
        <w:rPr>
          <w:rFonts w:ascii="Times New Roman" w:hAnsi="Times New Roman" w:cs="Times New Roman"/>
          <w:szCs w:val="24"/>
        </w:rPr>
        <w:t xml:space="preserve"> określa </w:t>
      </w:r>
      <w:r w:rsidRPr="009858C9">
        <w:rPr>
          <w:rFonts w:ascii="Times New Roman" w:hAnsi="Times New Roman" w:cs="Times New Roman"/>
          <w:szCs w:val="24"/>
        </w:rPr>
        <w:t xml:space="preserve">zasady </w:t>
      </w:r>
      <w:r w:rsidR="00DB483A" w:rsidRPr="009858C9">
        <w:rPr>
          <w:rFonts w:ascii="Times New Roman" w:hAnsi="Times New Roman" w:cs="Times New Roman"/>
          <w:szCs w:val="24"/>
        </w:rPr>
        <w:t>dokonywania obrotu instrumentami finansowymi</w:t>
      </w:r>
      <w:r w:rsidR="00DB483A" w:rsidRPr="009858C9">
        <w:rPr>
          <w:rFonts w:ascii="Times New Roman" w:eastAsiaTheme="minorHAnsi" w:hAnsi="Times New Roman" w:cs="Times New Roman"/>
          <w:szCs w:val="24"/>
          <w:lang w:eastAsia="en-US"/>
        </w:rPr>
        <w:t xml:space="preserve"> </w:t>
      </w:r>
      <w:r w:rsidR="00DB483A" w:rsidRPr="009858C9">
        <w:rPr>
          <w:rFonts w:ascii="Times New Roman" w:hAnsi="Times New Roman" w:cs="Times New Roman"/>
          <w:szCs w:val="24"/>
        </w:rPr>
        <w:t xml:space="preserve">emitowanymi przez podmioty nadzorowane </w:t>
      </w:r>
      <w:r w:rsidRPr="009858C9">
        <w:rPr>
          <w:rFonts w:ascii="Times New Roman" w:hAnsi="Times New Roman" w:cs="Times New Roman"/>
          <w:szCs w:val="24"/>
        </w:rPr>
        <w:t xml:space="preserve">przez </w:t>
      </w:r>
      <w:bookmarkStart w:id="11" w:name="_Hlk219883350"/>
      <w:r w:rsidRPr="009858C9">
        <w:rPr>
          <w:rFonts w:ascii="Times New Roman" w:hAnsi="Times New Roman" w:cs="Times New Roman"/>
          <w:szCs w:val="24"/>
        </w:rPr>
        <w:t>Przewodniczącego KNF, jego Zastępców</w:t>
      </w:r>
      <w:r w:rsidR="004C5B71" w:rsidRPr="009858C9">
        <w:rPr>
          <w:rFonts w:ascii="Times New Roman" w:hAnsi="Times New Roman" w:cs="Times New Roman"/>
          <w:szCs w:val="24"/>
        </w:rPr>
        <w:t>, członków KNF</w:t>
      </w:r>
      <w:r w:rsidRPr="009858C9">
        <w:rPr>
          <w:rFonts w:ascii="Times New Roman" w:hAnsi="Times New Roman" w:cs="Times New Roman"/>
          <w:szCs w:val="24"/>
        </w:rPr>
        <w:t xml:space="preserve"> i pracowników</w:t>
      </w:r>
      <w:r w:rsidR="00166ED5" w:rsidRPr="009858C9">
        <w:rPr>
          <w:rFonts w:ascii="Times New Roman" w:hAnsi="Times New Roman" w:cs="Times New Roman"/>
          <w:szCs w:val="24"/>
        </w:rPr>
        <w:t xml:space="preserve"> UKNF</w:t>
      </w:r>
      <w:r w:rsidRPr="009858C9">
        <w:rPr>
          <w:rFonts w:ascii="Times New Roman" w:hAnsi="Times New Roman" w:cs="Times New Roman"/>
          <w:szCs w:val="24"/>
        </w:rPr>
        <w:t xml:space="preserve"> </w:t>
      </w:r>
      <w:bookmarkEnd w:id="11"/>
      <w:r w:rsidRPr="009858C9">
        <w:rPr>
          <w:rFonts w:ascii="Times New Roman" w:hAnsi="Times New Roman" w:cs="Times New Roman"/>
          <w:szCs w:val="24"/>
        </w:rPr>
        <w:t>instrumentów finansowych.</w:t>
      </w:r>
      <w:r w:rsidR="001A62A8" w:rsidRPr="009858C9">
        <w:rPr>
          <w:rFonts w:ascii="Times New Roman" w:hAnsi="Times New Roman" w:cs="Times New Roman"/>
          <w:szCs w:val="24"/>
        </w:rPr>
        <w:t xml:space="preserve"> </w:t>
      </w:r>
      <w:r w:rsidR="00B27E77" w:rsidRPr="009858C9">
        <w:rPr>
          <w:rFonts w:ascii="Times New Roman" w:hAnsi="Times New Roman" w:cs="Times New Roman"/>
          <w:szCs w:val="24"/>
        </w:rPr>
        <w:t>O</w:t>
      </w:r>
      <w:r w:rsidR="00DB483A" w:rsidRPr="009858C9">
        <w:rPr>
          <w:rFonts w:ascii="Times New Roman" w:hAnsi="Times New Roman" w:cs="Times New Roman"/>
          <w:szCs w:val="24"/>
        </w:rPr>
        <w:t>granicze</w:t>
      </w:r>
      <w:r w:rsidR="00B27E77" w:rsidRPr="009858C9">
        <w:rPr>
          <w:rFonts w:ascii="Times New Roman" w:hAnsi="Times New Roman" w:cs="Times New Roman"/>
          <w:szCs w:val="24"/>
        </w:rPr>
        <w:t>nia</w:t>
      </w:r>
      <w:r w:rsidR="00DB483A" w:rsidRPr="009858C9">
        <w:rPr>
          <w:rFonts w:ascii="Times New Roman" w:hAnsi="Times New Roman" w:cs="Times New Roman"/>
          <w:szCs w:val="24"/>
        </w:rPr>
        <w:t xml:space="preserve"> </w:t>
      </w:r>
      <w:r w:rsidR="00B27E77" w:rsidRPr="009858C9">
        <w:rPr>
          <w:rFonts w:ascii="Times New Roman" w:hAnsi="Times New Roman" w:cs="Times New Roman"/>
          <w:szCs w:val="24"/>
        </w:rPr>
        <w:t xml:space="preserve">dotyczące </w:t>
      </w:r>
      <w:r w:rsidR="00DB483A" w:rsidRPr="009858C9">
        <w:rPr>
          <w:rFonts w:ascii="Times New Roman" w:hAnsi="Times New Roman" w:cs="Times New Roman"/>
          <w:szCs w:val="24"/>
        </w:rPr>
        <w:t xml:space="preserve">obrotu instrumentami finansowymi </w:t>
      </w:r>
      <w:r w:rsidR="00DB483A" w:rsidRPr="009858C9">
        <w:rPr>
          <w:rFonts w:ascii="Times New Roman" w:hAnsi="Times New Roman" w:cs="Times New Roman"/>
          <w:bCs/>
          <w:szCs w:val="24"/>
        </w:rPr>
        <w:t>nie dotycz</w:t>
      </w:r>
      <w:r w:rsidR="00B27E77" w:rsidRPr="009858C9">
        <w:rPr>
          <w:rFonts w:ascii="Times New Roman" w:hAnsi="Times New Roman" w:cs="Times New Roman"/>
          <w:bCs/>
          <w:szCs w:val="24"/>
        </w:rPr>
        <w:t>ą</w:t>
      </w:r>
      <w:r w:rsidR="00DB483A" w:rsidRPr="009858C9">
        <w:rPr>
          <w:rFonts w:ascii="Times New Roman" w:hAnsi="Times New Roman" w:cs="Times New Roman"/>
          <w:bCs/>
          <w:szCs w:val="24"/>
        </w:rPr>
        <w:t xml:space="preserve"> gromadzenia środków na indywidualnych kontach emerytalnych oraz na indywidualnych kontach zabezpieczenia emerytalnego, w rozumieniu ustawy z dnia 20 kwietnia 2004 r. o indywidualnych kontach emerytalnych </w:t>
      </w:r>
      <w:r w:rsidR="00DB483A" w:rsidRPr="009858C9">
        <w:rPr>
          <w:rFonts w:ascii="Times New Roman" w:hAnsi="Times New Roman" w:cs="Times New Roman"/>
          <w:szCs w:val="24"/>
        </w:rPr>
        <w:t>oraz indywidualnych kontach zabezpieczenia emerytalnego (Dz. U. z 202</w:t>
      </w:r>
      <w:r w:rsidR="003456A8" w:rsidRPr="009858C9">
        <w:rPr>
          <w:rFonts w:ascii="Times New Roman" w:hAnsi="Times New Roman" w:cs="Times New Roman"/>
          <w:szCs w:val="24"/>
        </w:rPr>
        <w:t>6</w:t>
      </w:r>
      <w:r w:rsidR="00DB483A" w:rsidRPr="009858C9">
        <w:rPr>
          <w:rFonts w:ascii="Times New Roman" w:hAnsi="Times New Roman" w:cs="Times New Roman"/>
          <w:szCs w:val="24"/>
        </w:rPr>
        <w:t xml:space="preserve"> r. poz. </w:t>
      </w:r>
      <w:r w:rsidR="003456A8" w:rsidRPr="009858C9">
        <w:rPr>
          <w:rFonts w:ascii="Times New Roman" w:hAnsi="Times New Roman" w:cs="Times New Roman"/>
          <w:szCs w:val="24"/>
        </w:rPr>
        <w:t>91</w:t>
      </w:r>
      <w:r w:rsidR="00DB483A" w:rsidRPr="009858C9">
        <w:rPr>
          <w:rFonts w:ascii="Times New Roman" w:hAnsi="Times New Roman" w:cs="Times New Roman"/>
          <w:szCs w:val="24"/>
        </w:rPr>
        <w:t>)</w:t>
      </w:r>
      <w:r w:rsidR="00735D19" w:rsidRPr="009858C9">
        <w:rPr>
          <w:rFonts w:ascii="Times New Roman" w:hAnsi="Times New Roman" w:cs="Times New Roman"/>
          <w:szCs w:val="24"/>
        </w:rPr>
        <w:t xml:space="preserve"> </w:t>
      </w:r>
      <w:r w:rsidR="00735D19" w:rsidRPr="009858C9">
        <w:rPr>
          <w:rFonts w:ascii="Times New Roman" w:hAnsi="Times New Roman" w:cs="Times New Roman"/>
          <w:bCs/>
          <w:szCs w:val="24"/>
        </w:rPr>
        <w:t xml:space="preserve">dalej: „ustawa o IKE”, </w:t>
      </w:r>
      <w:r w:rsidR="00DB483A" w:rsidRPr="009858C9">
        <w:rPr>
          <w:rFonts w:ascii="Times New Roman" w:hAnsi="Times New Roman" w:cs="Times New Roman"/>
          <w:szCs w:val="24"/>
        </w:rPr>
        <w:t>w rozumieniu ustawy o pracowniczych planach emerytalnych z dnia 20 kwietnia 2004 r. (Dz. U. z 2024 r. poz. 556, z</w:t>
      </w:r>
      <w:r w:rsidR="00F27CF6" w:rsidRPr="009858C9">
        <w:rPr>
          <w:rFonts w:ascii="Times New Roman" w:hAnsi="Times New Roman" w:cs="Times New Roman"/>
          <w:szCs w:val="24"/>
        </w:rPr>
        <w:t xml:space="preserve"> późn. zm.</w:t>
      </w:r>
      <w:r w:rsidR="00DB483A" w:rsidRPr="009858C9">
        <w:rPr>
          <w:rFonts w:ascii="Times New Roman" w:hAnsi="Times New Roman" w:cs="Times New Roman"/>
          <w:szCs w:val="24"/>
        </w:rPr>
        <w:t>)</w:t>
      </w:r>
      <w:r w:rsidR="00735D19" w:rsidRPr="009858C9">
        <w:rPr>
          <w:rFonts w:ascii="Times New Roman" w:hAnsi="Times New Roman" w:cs="Times New Roman"/>
          <w:szCs w:val="24"/>
        </w:rPr>
        <w:t xml:space="preserve"> </w:t>
      </w:r>
      <w:r w:rsidR="00735D19" w:rsidRPr="009858C9">
        <w:rPr>
          <w:rFonts w:ascii="Times New Roman" w:hAnsi="Times New Roman" w:cs="Times New Roman"/>
          <w:bCs/>
          <w:szCs w:val="24"/>
        </w:rPr>
        <w:t>dalej: „ustawa o PPE”</w:t>
      </w:r>
      <w:r w:rsidR="00DB483A" w:rsidRPr="009858C9">
        <w:rPr>
          <w:rFonts w:ascii="Times New Roman" w:hAnsi="Times New Roman" w:cs="Times New Roman"/>
          <w:szCs w:val="24"/>
        </w:rPr>
        <w:t>,</w:t>
      </w:r>
      <w:r w:rsidR="0057351B" w:rsidRPr="009858C9">
        <w:rPr>
          <w:rFonts w:ascii="Times New Roman" w:hAnsi="Times New Roman" w:cs="Times New Roman"/>
          <w:szCs w:val="24"/>
        </w:rPr>
        <w:t xml:space="preserve"> w rozumieniu ustawy z dnia 7 lipca 2023 r. o ogólnoeuropejskim indywidualnym produkcie emerytalnym (Dz.</w:t>
      </w:r>
      <w:r w:rsidR="000B0232">
        <w:rPr>
          <w:rFonts w:ascii="Times New Roman" w:hAnsi="Times New Roman" w:cs="Times New Roman"/>
          <w:szCs w:val="24"/>
        </w:rPr>
        <w:t xml:space="preserve"> </w:t>
      </w:r>
      <w:r w:rsidR="0057351B" w:rsidRPr="009858C9">
        <w:rPr>
          <w:rFonts w:ascii="Times New Roman" w:hAnsi="Times New Roman" w:cs="Times New Roman"/>
          <w:szCs w:val="24"/>
        </w:rPr>
        <w:t>U. poz. 1843) dalej: „ustawa o OIPE”,</w:t>
      </w:r>
      <w:r w:rsidR="00DB483A" w:rsidRPr="009858C9">
        <w:rPr>
          <w:rFonts w:ascii="Times New Roman" w:hAnsi="Times New Roman" w:cs="Times New Roman"/>
          <w:szCs w:val="24"/>
        </w:rPr>
        <w:t xml:space="preserve"> </w:t>
      </w:r>
      <w:r w:rsidR="00B27E77" w:rsidRPr="009858C9">
        <w:rPr>
          <w:rFonts w:ascii="Times New Roman" w:hAnsi="Times New Roman" w:cs="Times New Roman"/>
          <w:szCs w:val="24"/>
        </w:rPr>
        <w:t xml:space="preserve">a także </w:t>
      </w:r>
      <w:r w:rsidR="00DB483A" w:rsidRPr="009858C9">
        <w:rPr>
          <w:rFonts w:ascii="Times New Roman" w:hAnsi="Times New Roman" w:cs="Times New Roman"/>
          <w:szCs w:val="24"/>
        </w:rPr>
        <w:t>uczestnictwa w pracowniczych planach kapitałowych w rozumieniu ustawy z dnia 4 października 2018 r. o pracowniczych planach kapitałowych (Dz. U. z 202</w:t>
      </w:r>
      <w:r w:rsidR="003456A8" w:rsidRPr="009858C9">
        <w:rPr>
          <w:rFonts w:ascii="Times New Roman" w:hAnsi="Times New Roman" w:cs="Times New Roman"/>
          <w:szCs w:val="24"/>
        </w:rPr>
        <w:t>6</w:t>
      </w:r>
      <w:r w:rsidR="00DB483A" w:rsidRPr="009858C9">
        <w:rPr>
          <w:rFonts w:ascii="Times New Roman" w:hAnsi="Times New Roman" w:cs="Times New Roman"/>
          <w:szCs w:val="24"/>
        </w:rPr>
        <w:t xml:space="preserve"> r. poz. </w:t>
      </w:r>
      <w:r w:rsidR="003456A8" w:rsidRPr="009858C9">
        <w:rPr>
          <w:rFonts w:ascii="Times New Roman" w:hAnsi="Times New Roman" w:cs="Times New Roman"/>
          <w:szCs w:val="24"/>
        </w:rPr>
        <w:t>192</w:t>
      </w:r>
      <w:r w:rsidR="00DB483A" w:rsidRPr="009858C9">
        <w:rPr>
          <w:rFonts w:ascii="Times New Roman" w:hAnsi="Times New Roman" w:cs="Times New Roman"/>
          <w:szCs w:val="24"/>
        </w:rPr>
        <w:t>)</w:t>
      </w:r>
      <w:r w:rsidR="004C2FF7" w:rsidRPr="009858C9">
        <w:rPr>
          <w:rFonts w:ascii="Times New Roman" w:hAnsi="Times New Roman" w:cs="Times New Roman"/>
          <w:szCs w:val="24"/>
        </w:rPr>
        <w:t>,</w:t>
      </w:r>
      <w:r w:rsidR="00735D19" w:rsidRPr="009858C9">
        <w:rPr>
          <w:rFonts w:ascii="Times New Roman" w:eastAsiaTheme="minorHAnsi" w:hAnsi="Times New Roman" w:cs="Times New Roman"/>
          <w:bCs/>
          <w:szCs w:val="24"/>
          <w:lang w:eastAsia="en-US"/>
        </w:rPr>
        <w:t xml:space="preserve"> </w:t>
      </w:r>
      <w:r w:rsidR="00735D19" w:rsidRPr="009858C9">
        <w:rPr>
          <w:rFonts w:ascii="Times New Roman" w:hAnsi="Times New Roman" w:cs="Times New Roman"/>
          <w:bCs/>
          <w:szCs w:val="24"/>
        </w:rPr>
        <w:t>dalej: „ustawa o PPK”</w:t>
      </w:r>
      <w:r w:rsidR="00DB483A" w:rsidRPr="009858C9">
        <w:rPr>
          <w:rFonts w:ascii="Times New Roman" w:hAnsi="Times New Roman" w:cs="Times New Roman"/>
          <w:szCs w:val="24"/>
        </w:rPr>
        <w:t>.</w:t>
      </w:r>
    </w:p>
    <w:p w14:paraId="6F4D83C4" w14:textId="0A8B83BE" w:rsidR="00DB483A" w:rsidRPr="009858C9" w:rsidRDefault="00DB483A"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bCs/>
          <w:szCs w:val="24"/>
        </w:rPr>
        <w:t>Celem</w:t>
      </w:r>
      <w:r w:rsidR="00735D19" w:rsidRPr="009858C9">
        <w:rPr>
          <w:rFonts w:ascii="Times New Roman" w:hAnsi="Times New Roman" w:cs="Times New Roman"/>
          <w:bCs/>
          <w:szCs w:val="24"/>
        </w:rPr>
        <w:t xml:space="preserve"> regulacji wprowadzonych w</w:t>
      </w:r>
      <w:r w:rsidRPr="009858C9">
        <w:rPr>
          <w:rFonts w:ascii="Times New Roman" w:hAnsi="Times New Roman" w:cs="Times New Roman"/>
          <w:bCs/>
          <w:szCs w:val="24"/>
        </w:rPr>
        <w:t xml:space="preserve"> dyrektyw</w:t>
      </w:r>
      <w:r w:rsidR="00735D19" w:rsidRPr="009858C9">
        <w:rPr>
          <w:rFonts w:ascii="Times New Roman" w:hAnsi="Times New Roman" w:cs="Times New Roman"/>
          <w:bCs/>
          <w:szCs w:val="24"/>
        </w:rPr>
        <w:t>ie CRD VI</w:t>
      </w:r>
      <w:r w:rsidRPr="009858C9">
        <w:rPr>
          <w:rFonts w:ascii="Times New Roman" w:hAnsi="Times New Roman" w:cs="Times New Roman"/>
          <w:bCs/>
          <w:szCs w:val="24"/>
        </w:rPr>
        <w:t xml:space="preserve"> jest zapobieganie ryzyku konfliktu interesów, które zachodzi w razie podejmowania przez pracowników i członków KNF czynności inwestycyjnych odnoszących się do instrumentów finansowych emitowanych przez podmioty nadzorowane. Jednak produkty takie, jak </w:t>
      </w:r>
      <w:r w:rsidRPr="009858C9">
        <w:rPr>
          <w:rFonts w:ascii="Times New Roman" w:hAnsi="Times New Roman" w:cs="Times New Roman"/>
          <w:szCs w:val="24"/>
        </w:rPr>
        <w:t>IKE, IKZE, PPK</w:t>
      </w:r>
      <w:r w:rsidR="0057351B" w:rsidRPr="009858C9">
        <w:rPr>
          <w:rFonts w:ascii="Times New Roman" w:hAnsi="Times New Roman" w:cs="Times New Roman"/>
          <w:szCs w:val="24"/>
        </w:rPr>
        <w:t xml:space="preserve">, </w:t>
      </w:r>
      <w:r w:rsidRPr="009858C9">
        <w:rPr>
          <w:rFonts w:ascii="Times New Roman" w:hAnsi="Times New Roman" w:cs="Times New Roman"/>
          <w:szCs w:val="24"/>
        </w:rPr>
        <w:t>PPE</w:t>
      </w:r>
      <w:r w:rsidR="0057351B" w:rsidRPr="009858C9">
        <w:rPr>
          <w:rFonts w:ascii="Times New Roman" w:hAnsi="Times New Roman" w:cs="Times New Roman"/>
          <w:szCs w:val="24"/>
        </w:rPr>
        <w:t xml:space="preserve"> i OIPE</w:t>
      </w:r>
      <w:r w:rsidRPr="009858C9">
        <w:rPr>
          <w:rFonts w:ascii="Times New Roman" w:hAnsi="Times New Roman" w:cs="Times New Roman"/>
          <w:szCs w:val="24"/>
        </w:rPr>
        <w:t xml:space="preserve"> mają zasadniczo odmienny cel, mimo że mogą obejmować nabywanie instrumentów finansowych. </w:t>
      </w:r>
    </w:p>
    <w:p w14:paraId="2A3C232A" w14:textId="50CDD8DC" w:rsidR="00727020" w:rsidRPr="009858C9" w:rsidRDefault="00DB483A"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bCs/>
          <w:szCs w:val="24"/>
        </w:rPr>
        <w:t>Mając na uwadze brzmienie ustaw</w:t>
      </w:r>
      <w:r w:rsidR="00735D19" w:rsidRPr="009858C9">
        <w:rPr>
          <w:rFonts w:ascii="Times New Roman" w:hAnsi="Times New Roman" w:cs="Times New Roman"/>
          <w:bCs/>
          <w:szCs w:val="24"/>
        </w:rPr>
        <w:t>y</w:t>
      </w:r>
      <w:r w:rsidRPr="009858C9">
        <w:rPr>
          <w:rFonts w:ascii="Times New Roman" w:hAnsi="Times New Roman" w:cs="Times New Roman"/>
          <w:bCs/>
          <w:szCs w:val="24"/>
        </w:rPr>
        <w:t xml:space="preserve"> o IKE,</w:t>
      </w:r>
      <w:bookmarkStart w:id="12" w:name="_Hlk215225968"/>
      <w:r w:rsidR="00735D19" w:rsidRPr="009858C9">
        <w:rPr>
          <w:rFonts w:ascii="Times New Roman" w:hAnsi="Times New Roman" w:cs="Times New Roman"/>
          <w:bCs/>
          <w:szCs w:val="24"/>
        </w:rPr>
        <w:t xml:space="preserve"> </w:t>
      </w:r>
      <w:r w:rsidRPr="009858C9">
        <w:rPr>
          <w:rFonts w:ascii="Times New Roman" w:hAnsi="Times New Roman" w:cs="Times New Roman"/>
          <w:bCs/>
          <w:szCs w:val="24"/>
        </w:rPr>
        <w:t>ustaw</w:t>
      </w:r>
      <w:r w:rsidR="00851883">
        <w:rPr>
          <w:rFonts w:ascii="Times New Roman" w:hAnsi="Times New Roman" w:cs="Times New Roman"/>
          <w:bCs/>
          <w:szCs w:val="24"/>
        </w:rPr>
        <w:t>y</w:t>
      </w:r>
      <w:r w:rsidRPr="009858C9">
        <w:rPr>
          <w:rFonts w:ascii="Times New Roman" w:hAnsi="Times New Roman" w:cs="Times New Roman"/>
          <w:bCs/>
          <w:szCs w:val="24"/>
        </w:rPr>
        <w:t xml:space="preserve"> o PP</w:t>
      </w:r>
      <w:r w:rsidR="00735D19" w:rsidRPr="009858C9">
        <w:rPr>
          <w:rFonts w:ascii="Times New Roman" w:hAnsi="Times New Roman" w:cs="Times New Roman"/>
          <w:bCs/>
          <w:szCs w:val="24"/>
        </w:rPr>
        <w:t>E</w:t>
      </w:r>
      <w:r w:rsidR="0057351B" w:rsidRPr="009858C9">
        <w:rPr>
          <w:rFonts w:ascii="Times New Roman" w:hAnsi="Times New Roman" w:cs="Times New Roman"/>
          <w:bCs/>
          <w:szCs w:val="24"/>
        </w:rPr>
        <w:t xml:space="preserve">, </w:t>
      </w:r>
      <w:bookmarkEnd w:id="12"/>
      <w:r w:rsidR="00735D19" w:rsidRPr="009858C9">
        <w:rPr>
          <w:rFonts w:ascii="Times New Roman" w:hAnsi="Times New Roman" w:cs="Times New Roman"/>
          <w:bCs/>
          <w:szCs w:val="24"/>
        </w:rPr>
        <w:t>ustawy o PPK</w:t>
      </w:r>
      <w:r w:rsidR="0057351B" w:rsidRPr="009858C9">
        <w:rPr>
          <w:rFonts w:ascii="Times New Roman" w:hAnsi="Times New Roman" w:cs="Times New Roman"/>
          <w:bCs/>
          <w:szCs w:val="24"/>
        </w:rPr>
        <w:t xml:space="preserve"> oraz ustawy o OIPE</w:t>
      </w:r>
      <w:r w:rsidR="00735D19" w:rsidRPr="009858C9">
        <w:rPr>
          <w:rFonts w:ascii="Times New Roman" w:hAnsi="Times New Roman" w:cs="Times New Roman"/>
          <w:bCs/>
          <w:szCs w:val="24"/>
        </w:rPr>
        <w:t xml:space="preserve"> </w:t>
      </w:r>
      <w:r w:rsidRPr="009858C9">
        <w:rPr>
          <w:rFonts w:ascii="Times New Roman" w:hAnsi="Times New Roman" w:cs="Times New Roman"/>
          <w:bCs/>
          <w:szCs w:val="24"/>
        </w:rPr>
        <w:t xml:space="preserve">należy przyjąć, że </w:t>
      </w:r>
      <w:r w:rsidRPr="009858C9">
        <w:rPr>
          <w:rFonts w:ascii="Times New Roman" w:hAnsi="Times New Roman" w:cs="Times New Roman"/>
          <w:szCs w:val="24"/>
        </w:rPr>
        <w:t xml:space="preserve">głównym celem tych produktów jest stworzenie systemu alternatywnego zabezpieczenia emerytalnego dla obywateli państwa polskiego, a nie propagowanie i umożliwianie inwestowania w instrumenty finansowe. </w:t>
      </w:r>
      <w:r w:rsidR="00727020" w:rsidRPr="009858C9">
        <w:rPr>
          <w:rFonts w:ascii="Times New Roman" w:hAnsi="Times New Roman" w:cs="Times New Roman"/>
          <w:szCs w:val="24"/>
        </w:rPr>
        <w:t>Wskazuje także na to odmienna terminologia zastosowana w ustawach regulujących te produkty, w której mówi się o uczestniku programu, a nie inwestorze, oraz o gromadzeniu środków, a nie inwestowaniu, czy tym bardziej obrocie.</w:t>
      </w:r>
    </w:p>
    <w:p w14:paraId="4D49AC88" w14:textId="601DC9BD" w:rsidR="0099299E" w:rsidRPr="009858C9" w:rsidRDefault="00DB483A"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lastRenderedPageBreak/>
        <w:t>Dlatego</w:t>
      </w:r>
      <w:r w:rsidR="00B27E77" w:rsidRPr="009858C9">
        <w:rPr>
          <w:rFonts w:ascii="Times New Roman" w:hAnsi="Times New Roman" w:cs="Times New Roman"/>
          <w:szCs w:val="24"/>
        </w:rPr>
        <w:t>,</w:t>
      </w:r>
      <w:r w:rsidRPr="009858C9">
        <w:rPr>
          <w:rFonts w:ascii="Times New Roman" w:hAnsi="Times New Roman" w:cs="Times New Roman"/>
          <w:szCs w:val="24"/>
        </w:rPr>
        <w:t xml:space="preserve"> mimo iż produkty te mogą być skonstruowane w sposób wyczerpujący definicję instrumentu finansowego</w:t>
      </w:r>
      <w:r w:rsidR="00B27E77" w:rsidRPr="009858C9">
        <w:rPr>
          <w:rFonts w:ascii="Times New Roman" w:hAnsi="Times New Roman" w:cs="Times New Roman"/>
          <w:szCs w:val="24"/>
        </w:rPr>
        <w:t>,</w:t>
      </w:r>
      <w:r w:rsidRPr="009858C9">
        <w:rPr>
          <w:rFonts w:ascii="Times New Roman" w:hAnsi="Times New Roman" w:cs="Times New Roman"/>
          <w:szCs w:val="24"/>
        </w:rPr>
        <w:t xml:space="preserve"> nie powinny być</w:t>
      </w:r>
      <w:r w:rsidR="00B27E77" w:rsidRPr="009858C9">
        <w:rPr>
          <w:rFonts w:ascii="Times New Roman" w:hAnsi="Times New Roman" w:cs="Times New Roman"/>
          <w:szCs w:val="24"/>
        </w:rPr>
        <w:t xml:space="preserve"> one</w:t>
      </w:r>
      <w:r w:rsidRPr="009858C9">
        <w:rPr>
          <w:rFonts w:ascii="Times New Roman" w:hAnsi="Times New Roman" w:cs="Times New Roman"/>
          <w:szCs w:val="24"/>
        </w:rPr>
        <w:t xml:space="preserve"> traktowane jako forma inwestowania, której ograniczenie wprowadza CRD</w:t>
      </w:r>
      <w:r w:rsidR="00B27E77" w:rsidRPr="009858C9">
        <w:rPr>
          <w:rFonts w:ascii="Times New Roman" w:hAnsi="Times New Roman" w:cs="Times New Roman"/>
          <w:szCs w:val="24"/>
        </w:rPr>
        <w:t xml:space="preserve"> </w:t>
      </w:r>
      <w:r w:rsidRPr="009858C9">
        <w:rPr>
          <w:rFonts w:ascii="Times New Roman" w:hAnsi="Times New Roman" w:cs="Times New Roman"/>
          <w:szCs w:val="24"/>
        </w:rPr>
        <w:t>VI.</w:t>
      </w:r>
    </w:p>
    <w:p w14:paraId="02244220" w14:textId="407701B3" w:rsidR="00727020" w:rsidRPr="009858C9" w:rsidRDefault="00727020"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Należy także podkreślić, że CRD VI w art. 4a ust. 3 lit. a formułuje zakaz obrotu instrumentami finansowymi, a nie zakaz inwestowania. Obrót jest pojęciem odmiennym, odnosi się do nabywania i sprzedawania instrumentów finansowych, zwykle w krótkim odstępie czasu, w celu osiągnięcia zysku. Inwestowanie jest pojęciem dotyczącym kupowania instrumentów z zamiarem ich posiadania w dłuższym okresie czasu. Nie ma uzasadnienia prawnego dla utożsamiania tych pojęć i przyjmowania, że zakaz obrotu instrumentami finansowymi oznacza również zakaz ich nabywania w celach gromadzenia środków w celu zabezpieczenia emerytalnego.</w:t>
      </w:r>
    </w:p>
    <w:p w14:paraId="3088F9AF" w14:textId="5B6CBE2E" w:rsidR="00727020" w:rsidRPr="009858C9" w:rsidRDefault="00727020"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Ponadto, należy wskazać,</w:t>
      </w:r>
      <w:r w:rsidR="00851883">
        <w:rPr>
          <w:rFonts w:ascii="Times New Roman" w:hAnsi="Times New Roman" w:cs="Times New Roman"/>
          <w:szCs w:val="24"/>
        </w:rPr>
        <w:t xml:space="preserve"> </w:t>
      </w:r>
      <w:r w:rsidRPr="009858C9">
        <w:rPr>
          <w:rFonts w:ascii="Times New Roman" w:hAnsi="Times New Roman" w:cs="Times New Roman"/>
          <w:szCs w:val="24"/>
        </w:rPr>
        <w:t xml:space="preserve">że zgodnie z projektowanymi </w:t>
      </w:r>
      <w:r w:rsidR="00523D35" w:rsidRPr="009858C9">
        <w:rPr>
          <w:rFonts w:ascii="Times New Roman" w:hAnsi="Times New Roman" w:cs="Times New Roman"/>
          <w:szCs w:val="24"/>
        </w:rPr>
        <w:t xml:space="preserve">regulacjami zawartymi </w:t>
      </w:r>
      <w:r w:rsidRPr="009858C9">
        <w:rPr>
          <w:rFonts w:ascii="Times New Roman" w:hAnsi="Times New Roman" w:cs="Times New Roman"/>
          <w:szCs w:val="24"/>
        </w:rPr>
        <w:t>w art. 13 pkt 9, Przewodniczący Komisji, jego Zastępcy</w:t>
      </w:r>
      <w:r w:rsidRPr="009858C9" w:rsidDel="008D57B9">
        <w:rPr>
          <w:rFonts w:ascii="Times New Roman" w:hAnsi="Times New Roman" w:cs="Times New Roman"/>
          <w:szCs w:val="24"/>
        </w:rPr>
        <w:t xml:space="preserve"> </w:t>
      </w:r>
      <w:r w:rsidRPr="009858C9">
        <w:rPr>
          <w:rFonts w:ascii="Times New Roman" w:hAnsi="Times New Roman" w:cs="Times New Roman"/>
          <w:szCs w:val="24"/>
        </w:rPr>
        <w:t xml:space="preserve">oraz pracownicy Urzędu Komisji są zobowiązani do złożenia oświadczenia o braku konfliktu interesów, które zawiera informacje na temat posiadanych akcji, obligacji, tytułów uczestnictwa funduszy zagranicznych lub instytucji wspólnego inwestowania oraz jednostek uczestnictwa i certyfikatów inwestycyjnych funduszy, w tym funduszy o polityce inwestycyjnej zakładającej równoczesne lokowanie aktywów zarówno w instrumenty dłużne i instrumenty kapitałowe, funduszy o hedgingowej polityce inwestycyjnej albo polityce zakładającej odzwierciedlanie składu uznanego indeksu akcji lub dłużnych papierów wartościowych, w tym przy zastosowaniu instrumentów pochodnych, które mogą budzić obawy co do konfliktu interesów. </w:t>
      </w:r>
    </w:p>
    <w:p w14:paraId="4B782EF5" w14:textId="079CF53D" w:rsidR="0089395E" w:rsidRPr="009858C9" w:rsidRDefault="00E50CA5"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W </w:t>
      </w:r>
      <w:r w:rsidRPr="009858C9">
        <w:rPr>
          <w:rFonts w:ascii="Times New Roman" w:hAnsi="Times New Roman" w:cs="Times New Roman"/>
          <w:b/>
          <w:bCs/>
          <w:szCs w:val="24"/>
        </w:rPr>
        <w:t xml:space="preserve">art. </w:t>
      </w:r>
      <w:r w:rsidR="00DB483A" w:rsidRPr="009858C9">
        <w:rPr>
          <w:rFonts w:ascii="Times New Roman" w:hAnsi="Times New Roman" w:cs="Times New Roman"/>
          <w:b/>
          <w:bCs/>
          <w:szCs w:val="24"/>
        </w:rPr>
        <w:t>1</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pkt </w:t>
      </w:r>
      <w:r w:rsidR="00DB483A" w:rsidRPr="009858C9">
        <w:rPr>
          <w:rFonts w:ascii="Times New Roman" w:hAnsi="Times New Roman" w:cs="Times New Roman"/>
          <w:b/>
          <w:bCs/>
          <w:szCs w:val="24"/>
        </w:rPr>
        <w:t>9</w:t>
      </w:r>
      <w:r w:rsidRPr="009858C9">
        <w:rPr>
          <w:rFonts w:ascii="Times New Roman" w:hAnsi="Times New Roman" w:cs="Times New Roman"/>
          <w:szCs w:val="24"/>
        </w:rPr>
        <w:t xml:space="preserve"> dodan</w:t>
      </w:r>
      <w:r w:rsidR="0089395E" w:rsidRPr="009858C9">
        <w:rPr>
          <w:rFonts w:ascii="Times New Roman" w:hAnsi="Times New Roman" w:cs="Times New Roman"/>
          <w:szCs w:val="24"/>
        </w:rPr>
        <w:t>e</w:t>
      </w:r>
      <w:r w:rsidRPr="009858C9">
        <w:rPr>
          <w:rFonts w:ascii="Times New Roman" w:hAnsi="Times New Roman" w:cs="Times New Roman"/>
          <w:szCs w:val="24"/>
        </w:rPr>
        <w:t xml:space="preserve"> przepisy </w:t>
      </w:r>
      <w:r w:rsidR="0089395E" w:rsidRPr="009858C9">
        <w:rPr>
          <w:rFonts w:ascii="Times New Roman" w:hAnsi="Times New Roman" w:cs="Times New Roman"/>
          <w:szCs w:val="24"/>
        </w:rPr>
        <w:t xml:space="preserve">wprowadzają objęcie zakazem świadczenia pracy Przewodniczącego </w:t>
      </w:r>
      <w:r w:rsidR="00432EC4" w:rsidRPr="009858C9">
        <w:rPr>
          <w:rFonts w:ascii="Times New Roman" w:hAnsi="Times New Roman" w:cs="Times New Roman"/>
          <w:szCs w:val="24"/>
        </w:rPr>
        <w:t xml:space="preserve">KNF </w:t>
      </w:r>
      <w:r w:rsidR="0089395E" w:rsidRPr="009858C9">
        <w:rPr>
          <w:rFonts w:ascii="Times New Roman" w:hAnsi="Times New Roman" w:cs="Times New Roman"/>
          <w:szCs w:val="24"/>
        </w:rPr>
        <w:t>i jego Zastępców</w:t>
      </w:r>
      <w:r w:rsidR="0089395E" w:rsidRPr="009858C9" w:rsidDel="008D57B9">
        <w:rPr>
          <w:rFonts w:ascii="Times New Roman" w:hAnsi="Times New Roman" w:cs="Times New Roman"/>
          <w:szCs w:val="24"/>
        </w:rPr>
        <w:t xml:space="preserve"> </w:t>
      </w:r>
      <w:r w:rsidR="0089395E" w:rsidRPr="009858C9">
        <w:rPr>
          <w:rFonts w:ascii="Times New Roman" w:hAnsi="Times New Roman" w:cs="Times New Roman"/>
          <w:szCs w:val="24"/>
        </w:rPr>
        <w:t>prze</w:t>
      </w:r>
      <w:r w:rsidR="003B5BC2" w:rsidRPr="009858C9">
        <w:rPr>
          <w:rFonts w:ascii="Times New Roman" w:hAnsi="Times New Roman" w:cs="Times New Roman"/>
          <w:szCs w:val="24"/>
        </w:rPr>
        <w:t>z okres</w:t>
      </w:r>
      <w:r w:rsidR="0089395E" w:rsidRPr="009858C9">
        <w:rPr>
          <w:rFonts w:ascii="Times New Roman" w:hAnsi="Times New Roman" w:cs="Times New Roman"/>
          <w:szCs w:val="24"/>
        </w:rPr>
        <w:t>:</w:t>
      </w:r>
    </w:p>
    <w:p w14:paraId="5CAE4BC9" w14:textId="2B78E0F4" w:rsidR="0089395E" w:rsidRPr="009858C9" w:rsidRDefault="0089395E" w:rsidP="009858C9">
      <w:pPr>
        <w:pStyle w:val="ZUSTzmustartykuempunktem"/>
        <w:numPr>
          <w:ilvl w:val="0"/>
          <w:numId w:val="21"/>
        </w:numPr>
        <w:spacing w:before="120"/>
        <w:rPr>
          <w:rFonts w:ascii="Times New Roman" w:hAnsi="Times New Roman" w:cs="Times New Roman"/>
          <w:bCs/>
          <w:szCs w:val="24"/>
        </w:rPr>
      </w:pPr>
      <w:r w:rsidRPr="009858C9">
        <w:rPr>
          <w:rFonts w:ascii="Times New Roman" w:hAnsi="Times New Roman" w:cs="Times New Roman"/>
          <w:bCs/>
          <w:szCs w:val="24"/>
        </w:rPr>
        <w:t>12 miesięcy od dnia zakończenia świadczenia pracy z U</w:t>
      </w:r>
      <w:r w:rsidR="00094170" w:rsidRPr="009858C9">
        <w:rPr>
          <w:rFonts w:ascii="Times New Roman" w:hAnsi="Times New Roman" w:cs="Times New Roman"/>
          <w:bCs/>
          <w:szCs w:val="24"/>
        </w:rPr>
        <w:t xml:space="preserve">KNF </w:t>
      </w:r>
      <w:r w:rsidRPr="009858C9">
        <w:rPr>
          <w:rFonts w:ascii="Times New Roman" w:hAnsi="Times New Roman" w:cs="Times New Roman"/>
          <w:bCs/>
          <w:szCs w:val="24"/>
        </w:rPr>
        <w:t>– na rzecz podmiotów, w odniesieniu do których byli bezpośrednio zaangażowani w</w:t>
      </w:r>
      <w:r w:rsidR="00D27990" w:rsidRPr="009858C9">
        <w:rPr>
          <w:rFonts w:ascii="Times New Roman" w:hAnsi="Times New Roman" w:cs="Times New Roman"/>
          <w:bCs/>
          <w:szCs w:val="24"/>
        </w:rPr>
        <w:t> </w:t>
      </w:r>
      <w:r w:rsidRPr="009858C9">
        <w:rPr>
          <w:rFonts w:ascii="Times New Roman" w:hAnsi="Times New Roman" w:cs="Times New Roman"/>
          <w:bCs/>
          <w:szCs w:val="24"/>
        </w:rPr>
        <w:t>nadzór lub podejmowanie decyzji, w tym bezpośrednie lub pośrednie podmioty dominujące, podmioty zależne lub podmioty z nimi powiązane;</w:t>
      </w:r>
    </w:p>
    <w:p w14:paraId="259E559B" w14:textId="575AC888" w:rsidR="0089395E" w:rsidRPr="009858C9" w:rsidRDefault="0089395E" w:rsidP="009858C9">
      <w:pPr>
        <w:pStyle w:val="ZUSTzmustartykuempunktem"/>
        <w:numPr>
          <w:ilvl w:val="0"/>
          <w:numId w:val="21"/>
        </w:numPr>
        <w:spacing w:before="120"/>
        <w:rPr>
          <w:rFonts w:ascii="Times New Roman" w:hAnsi="Times New Roman" w:cs="Times New Roman"/>
          <w:bCs/>
          <w:szCs w:val="24"/>
        </w:rPr>
      </w:pPr>
      <w:r w:rsidRPr="009858C9">
        <w:rPr>
          <w:rFonts w:ascii="Times New Roman" w:hAnsi="Times New Roman" w:cs="Times New Roman"/>
          <w:bCs/>
          <w:szCs w:val="24"/>
        </w:rPr>
        <w:t xml:space="preserve">12 miesięcy od dnia zakończenia świadczenia pracy z </w:t>
      </w:r>
      <w:r w:rsidR="00094170" w:rsidRPr="009858C9">
        <w:rPr>
          <w:rFonts w:ascii="Times New Roman" w:hAnsi="Times New Roman" w:cs="Times New Roman"/>
          <w:bCs/>
          <w:szCs w:val="24"/>
        </w:rPr>
        <w:t xml:space="preserve">UKNF </w:t>
      </w:r>
      <w:r w:rsidRPr="009858C9">
        <w:rPr>
          <w:rFonts w:ascii="Times New Roman" w:hAnsi="Times New Roman" w:cs="Times New Roman"/>
          <w:bCs/>
          <w:szCs w:val="24"/>
        </w:rPr>
        <w:t>– na rzecz podmiotów świadczących usługi na rzecz któregokolwiek z podmiotów, o</w:t>
      </w:r>
      <w:r w:rsidR="00D27990" w:rsidRPr="009858C9">
        <w:rPr>
          <w:rFonts w:ascii="Times New Roman" w:hAnsi="Times New Roman" w:cs="Times New Roman"/>
          <w:bCs/>
          <w:szCs w:val="24"/>
        </w:rPr>
        <w:t> </w:t>
      </w:r>
      <w:r w:rsidRPr="009858C9">
        <w:rPr>
          <w:rFonts w:ascii="Times New Roman" w:hAnsi="Times New Roman" w:cs="Times New Roman"/>
          <w:bCs/>
          <w:szCs w:val="24"/>
        </w:rPr>
        <w:t xml:space="preserve">których mowa w pkt 1, chyba że Przewodniczącego </w:t>
      </w:r>
      <w:r w:rsidR="00432EC4" w:rsidRPr="009858C9">
        <w:rPr>
          <w:rFonts w:ascii="Times New Roman" w:hAnsi="Times New Roman" w:cs="Times New Roman"/>
          <w:bCs/>
          <w:szCs w:val="24"/>
        </w:rPr>
        <w:t xml:space="preserve">KNF </w:t>
      </w:r>
      <w:r w:rsidRPr="009858C9">
        <w:rPr>
          <w:rFonts w:ascii="Times New Roman" w:hAnsi="Times New Roman" w:cs="Times New Roman"/>
          <w:bCs/>
          <w:szCs w:val="24"/>
        </w:rPr>
        <w:t>lub Zastępcę Przewodniczącego obowiązuje ścisłe wykluczenie z uczestnictwa w świadczeniu tych usług w okresie zakazu zatrudnienia;</w:t>
      </w:r>
    </w:p>
    <w:p w14:paraId="4646F140" w14:textId="50CBE5B8" w:rsidR="0089395E" w:rsidRPr="009858C9" w:rsidRDefault="0089395E" w:rsidP="009858C9">
      <w:pPr>
        <w:pStyle w:val="ZUSTzmustartykuempunktem"/>
        <w:numPr>
          <w:ilvl w:val="0"/>
          <w:numId w:val="21"/>
        </w:numPr>
        <w:spacing w:before="120"/>
        <w:rPr>
          <w:rFonts w:ascii="Times New Roman" w:hAnsi="Times New Roman" w:cs="Times New Roman"/>
          <w:bCs/>
          <w:szCs w:val="24"/>
        </w:rPr>
      </w:pPr>
      <w:r w:rsidRPr="009858C9">
        <w:rPr>
          <w:rFonts w:ascii="Times New Roman" w:hAnsi="Times New Roman" w:cs="Times New Roman"/>
          <w:bCs/>
          <w:szCs w:val="24"/>
        </w:rPr>
        <w:lastRenderedPageBreak/>
        <w:t>3 miesi</w:t>
      </w:r>
      <w:r w:rsidR="004C5B71" w:rsidRPr="009858C9">
        <w:rPr>
          <w:rFonts w:ascii="Times New Roman" w:hAnsi="Times New Roman" w:cs="Times New Roman"/>
          <w:bCs/>
          <w:szCs w:val="24"/>
        </w:rPr>
        <w:t>ęcy</w:t>
      </w:r>
      <w:r w:rsidRPr="009858C9">
        <w:rPr>
          <w:rFonts w:ascii="Times New Roman" w:hAnsi="Times New Roman" w:cs="Times New Roman"/>
          <w:bCs/>
          <w:szCs w:val="24"/>
        </w:rPr>
        <w:t xml:space="preserve"> od dnia zakończenia świadczenia pracy </w:t>
      </w:r>
      <w:r w:rsidR="004C5B71" w:rsidRPr="009858C9">
        <w:rPr>
          <w:rFonts w:ascii="Times New Roman" w:hAnsi="Times New Roman" w:cs="Times New Roman"/>
          <w:bCs/>
          <w:szCs w:val="24"/>
        </w:rPr>
        <w:t>w</w:t>
      </w:r>
      <w:r w:rsidRPr="009858C9">
        <w:rPr>
          <w:rFonts w:ascii="Times New Roman" w:hAnsi="Times New Roman" w:cs="Times New Roman"/>
          <w:bCs/>
          <w:szCs w:val="24"/>
        </w:rPr>
        <w:t xml:space="preserve"> </w:t>
      </w:r>
      <w:r w:rsidR="00094170" w:rsidRPr="009858C9">
        <w:rPr>
          <w:rFonts w:ascii="Times New Roman" w:hAnsi="Times New Roman" w:cs="Times New Roman"/>
          <w:bCs/>
          <w:szCs w:val="24"/>
        </w:rPr>
        <w:t xml:space="preserve">UKNF </w:t>
      </w:r>
      <w:r w:rsidRPr="009858C9">
        <w:rPr>
          <w:rFonts w:ascii="Times New Roman" w:hAnsi="Times New Roman" w:cs="Times New Roman"/>
          <w:bCs/>
          <w:szCs w:val="24"/>
        </w:rPr>
        <w:t>– na rzecz podmiotów prowadzących działalność lobbingową w rozumieniu ustawy z</w:t>
      </w:r>
      <w:r w:rsidR="00D27990" w:rsidRPr="009858C9">
        <w:rPr>
          <w:rFonts w:ascii="Times New Roman" w:hAnsi="Times New Roman" w:cs="Times New Roman"/>
          <w:bCs/>
          <w:szCs w:val="24"/>
        </w:rPr>
        <w:t> </w:t>
      </w:r>
      <w:r w:rsidRPr="009858C9">
        <w:rPr>
          <w:rFonts w:ascii="Times New Roman" w:hAnsi="Times New Roman" w:cs="Times New Roman"/>
          <w:bCs/>
          <w:szCs w:val="24"/>
        </w:rPr>
        <w:t xml:space="preserve">dnia 7 lipca 2005 r. o działalności lobbingowej w procesie stanowienia prawa, skierowaną do </w:t>
      </w:r>
      <w:r w:rsidR="00BC3B6B" w:rsidRPr="009858C9">
        <w:rPr>
          <w:rFonts w:ascii="Times New Roman" w:hAnsi="Times New Roman" w:cs="Times New Roman"/>
          <w:bCs/>
          <w:szCs w:val="24"/>
        </w:rPr>
        <w:t>KNF</w:t>
      </w:r>
      <w:r w:rsidR="00C27509" w:rsidRPr="009858C9">
        <w:rPr>
          <w:rFonts w:ascii="Times New Roman" w:hAnsi="Times New Roman" w:cs="Times New Roman"/>
          <w:bCs/>
          <w:szCs w:val="24"/>
        </w:rPr>
        <w:t xml:space="preserve"> </w:t>
      </w:r>
      <w:r w:rsidRPr="009858C9">
        <w:rPr>
          <w:rFonts w:ascii="Times New Roman" w:hAnsi="Times New Roman" w:cs="Times New Roman"/>
          <w:bCs/>
          <w:szCs w:val="24"/>
        </w:rPr>
        <w:t xml:space="preserve">w sprawach, za które odpowiadali w okresie pełnienia funkcji Przewodniczącego </w:t>
      </w:r>
      <w:r w:rsidR="00432EC4" w:rsidRPr="009858C9">
        <w:rPr>
          <w:rFonts w:ascii="Times New Roman" w:hAnsi="Times New Roman" w:cs="Times New Roman"/>
          <w:bCs/>
          <w:szCs w:val="24"/>
        </w:rPr>
        <w:t xml:space="preserve">KNF </w:t>
      </w:r>
      <w:r w:rsidRPr="009858C9">
        <w:rPr>
          <w:rFonts w:ascii="Times New Roman" w:hAnsi="Times New Roman" w:cs="Times New Roman"/>
          <w:bCs/>
          <w:szCs w:val="24"/>
        </w:rPr>
        <w:t xml:space="preserve">lub Zastępcy Przewodniczącego. </w:t>
      </w:r>
    </w:p>
    <w:p w14:paraId="7171F4D2" w14:textId="75C8DB53" w:rsidR="00DB483A" w:rsidRPr="009858C9" w:rsidRDefault="0089395E"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W okresie obowiązywania zakazu Przewodniczącemu </w:t>
      </w:r>
      <w:r w:rsidR="00432EC4" w:rsidRPr="009858C9">
        <w:rPr>
          <w:rFonts w:ascii="Times New Roman" w:hAnsi="Times New Roman" w:cs="Times New Roman"/>
          <w:szCs w:val="24"/>
        </w:rPr>
        <w:t xml:space="preserve">KNF </w:t>
      </w:r>
      <w:r w:rsidRPr="009858C9">
        <w:rPr>
          <w:rFonts w:ascii="Times New Roman" w:hAnsi="Times New Roman" w:cs="Times New Roman"/>
          <w:szCs w:val="24"/>
        </w:rPr>
        <w:t xml:space="preserve">lub </w:t>
      </w:r>
      <w:r w:rsidR="004C5B71" w:rsidRPr="009858C9">
        <w:rPr>
          <w:rFonts w:ascii="Times New Roman" w:hAnsi="Times New Roman" w:cs="Times New Roman"/>
          <w:szCs w:val="24"/>
        </w:rPr>
        <w:t xml:space="preserve">jego </w:t>
      </w:r>
      <w:r w:rsidRPr="009858C9">
        <w:rPr>
          <w:rFonts w:ascii="Times New Roman" w:hAnsi="Times New Roman" w:cs="Times New Roman"/>
          <w:szCs w:val="24"/>
        </w:rPr>
        <w:t xml:space="preserve">Zastępcy przysługuje rekompensata </w:t>
      </w:r>
      <w:r w:rsidR="00DB483A" w:rsidRPr="009858C9">
        <w:rPr>
          <w:rFonts w:ascii="Times New Roman" w:hAnsi="Times New Roman" w:cs="Times New Roman"/>
          <w:szCs w:val="24"/>
        </w:rPr>
        <w:t>w wysokości do 100</w:t>
      </w:r>
      <w:r w:rsidR="006B637B">
        <w:rPr>
          <w:rFonts w:ascii="Times New Roman" w:hAnsi="Times New Roman" w:cs="Times New Roman"/>
          <w:szCs w:val="24"/>
        </w:rPr>
        <w:t xml:space="preserve"> </w:t>
      </w:r>
      <w:r w:rsidR="00DB483A" w:rsidRPr="009858C9">
        <w:rPr>
          <w:rFonts w:ascii="Times New Roman" w:hAnsi="Times New Roman" w:cs="Times New Roman"/>
          <w:szCs w:val="24"/>
        </w:rPr>
        <w:t xml:space="preserve">% </w:t>
      </w:r>
      <w:r w:rsidR="001A62A8" w:rsidRPr="009858C9">
        <w:rPr>
          <w:rFonts w:ascii="Times New Roman" w:hAnsi="Times New Roman" w:cs="Times New Roman"/>
          <w:szCs w:val="24"/>
        </w:rPr>
        <w:t>ostatniego miesięcznego wynagrodzenia otrzymanego przed ustaniem pełnienia funkcji za każdy miesiąc obowiązywania tego zakazu.</w:t>
      </w:r>
    </w:p>
    <w:p w14:paraId="1C7F26D4" w14:textId="2A0C2A84" w:rsidR="002941BD" w:rsidRPr="009858C9" w:rsidRDefault="002941BD"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Analogicznie do regulacji dotyczącej pracowników UKNF, wprowadzony został także przepis uprawniający</w:t>
      </w:r>
      <w:r w:rsidR="00094170" w:rsidRPr="009858C9">
        <w:rPr>
          <w:rFonts w:ascii="Times New Roman" w:hAnsi="Times New Roman" w:cs="Times New Roman"/>
          <w:szCs w:val="24"/>
        </w:rPr>
        <w:t xml:space="preserve"> UKNF</w:t>
      </w:r>
      <w:r w:rsidRPr="009858C9">
        <w:rPr>
          <w:rFonts w:ascii="Times New Roman" w:hAnsi="Times New Roman" w:cs="Times New Roman"/>
          <w:szCs w:val="24"/>
        </w:rPr>
        <w:t>, na wniosek osoby objętej zakazem, do skrócenia zakazu świadczenia pracy do 3 miesięcy.</w:t>
      </w:r>
    </w:p>
    <w:p w14:paraId="461546A0" w14:textId="03FCCD82" w:rsidR="001523FE" w:rsidRPr="009858C9" w:rsidRDefault="001523FE"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Zgodnie z wprowadzonymi regulacjam</w:t>
      </w:r>
      <w:r w:rsidR="0091045E" w:rsidRPr="009858C9">
        <w:rPr>
          <w:rFonts w:ascii="Times New Roman" w:hAnsi="Times New Roman" w:cs="Times New Roman"/>
          <w:szCs w:val="24"/>
        </w:rPr>
        <w:t>i</w:t>
      </w:r>
      <w:r w:rsidRPr="009858C9">
        <w:rPr>
          <w:rFonts w:ascii="Times New Roman" w:hAnsi="Times New Roman" w:cs="Times New Roman"/>
          <w:szCs w:val="24"/>
        </w:rPr>
        <w:t>, Przewodniczący</w:t>
      </w:r>
      <w:r w:rsidR="00432EC4" w:rsidRPr="009858C9">
        <w:rPr>
          <w:rFonts w:ascii="Times New Roman" w:hAnsi="Times New Roman" w:cs="Times New Roman"/>
          <w:szCs w:val="24"/>
        </w:rPr>
        <w:t xml:space="preserve"> KNF</w:t>
      </w:r>
      <w:r w:rsidRPr="009858C9">
        <w:rPr>
          <w:rFonts w:ascii="Times New Roman" w:hAnsi="Times New Roman" w:cs="Times New Roman"/>
          <w:szCs w:val="24"/>
        </w:rPr>
        <w:t>, jego Zastępcy</w:t>
      </w:r>
      <w:r w:rsidRPr="009858C9" w:rsidDel="008D57B9">
        <w:rPr>
          <w:rFonts w:ascii="Times New Roman" w:hAnsi="Times New Roman" w:cs="Times New Roman"/>
          <w:szCs w:val="24"/>
        </w:rPr>
        <w:t xml:space="preserve"> </w:t>
      </w:r>
      <w:r w:rsidRPr="009858C9">
        <w:rPr>
          <w:rFonts w:ascii="Times New Roman" w:hAnsi="Times New Roman" w:cs="Times New Roman"/>
          <w:szCs w:val="24"/>
        </w:rPr>
        <w:t xml:space="preserve">oraz pracownicy UKNF są zobowiązani do złożenia oświadczenia o braku konfliktu interesów przed powołaniem lub nawiązaniem stosunku pracy, a następnie raz w roku, do dnia 31 stycznia. </w:t>
      </w:r>
      <w:r w:rsidR="00DB483A" w:rsidRPr="009858C9">
        <w:rPr>
          <w:rFonts w:ascii="Times New Roman" w:hAnsi="Times New Roman" w:cs="Times New Roman"/>
          <w:szCs w:val="24"/>
        </w:rPr>
        <w:t>Oświadczenie to jest składane pod rygorem odpowiedzialności karnej za składanie fałszywych</w:t>
      </w:r>
      <w:r w:rsidR="00D24E9F" w:rsidRPr="009858C9">
        <w:rPr>
          <w:rFonts w:ascii="Times New Roman" w:hAnsi="Times New Roman" w:cs="Times New Roman"/>
          <w:szCs w:val="24"/>
        </w:rPr>
        <w:t xml:space="preserve"> </w:t>
      </w:r>
      <w:r w:rsidR="001A62A8" w:rsidRPr="009858C9">
        <w:rPr>
          <w:rFonts w:ascii="Times New Roman" w:hAnsi="Times New Roman" w:cs="Times New Roman"/>
          <w:szCs w:val="24"/>
        </w:rPr>
        <w:t xml:space="preserve">oświadczeń wynikającej z art. 233 § 6 ustawy z dnia 6 czerwca 1997 r. – Kodeks karny (Dz. U. z 2025 r. poz. 383, </w:t>
      </w:r>
      <w:r w:rsidR="003456A8" w:rsidRPr="009858C9">
        <w:rPr>
          <w:rFonts w:ascii="Times New Roman" w:hAnsi="Times New Roman" w:cs="Times New Roman"/>
          <w:szCs w:val="24"/>
        </w:rPr>
        <w:t>z pó</w:t>
      </w:r>
      <w:r w:rsidR="00D24E9F" w:rsidRPr="009858C9">
        <w:rPr>
          <w:rFonts w:ascii="Times New Roman" w:hAnsi="Times New Roman" w:cs="Times New Roman"/>
          <w:szCs w:val="24"/>
        </w:rPr>
        <w:t>ź</w:t>
      </w:r>
      <w:r w:rsidR="003456A8" w:rsidRPr="009858C9">
        <w:rPr>
          <w:rFonts w:ascii="Times New Roman" w:hAnsi="Times New Roman" w:cs="Times New Roman"/>
          <w:szCs w:val="24"/>
        </w:rPr>
        <w:t>n. zm.</w:t>
      </w:r>
      <w:r w:rsidR="001A62A8" w:rsidRPr="009858C9">
        <w:rPr>
          <w:rFonts w:ascii="Times New Roman" w:hAnsi="Times New Roman" w:cs="Times New Roman"/>
          <w:szCs w:val="24"/>
        </w:rPr>
        <w:t>) oraz zawiera się w nim klauzulę o następującej treści: „Jestem świadomy odpowiedzialności karnej za złożenie fałszywego oświadczenia”, która zastępuje pouczenie organu o odpowiedzialności karnej za składanie fałszywych oświadczeń</w:t>
      </w:r>
      <w:r w:rsidR="00DB483A" w:rsidRPr="009858C9">
        <w:rPr>
          <w:rFonts w:ascii="Times New Roman" w:hAnsi="Times New Roman" w:cs="Times New Roman"/>
          <w:szCs w:val="24"/>
        </w:rPr>
        <w:t>.</w:t>
      </w:r>
    </w:p>
    <w:p w14:paraId="65E17FE8" w14:textId="64E4D8F7" w:rsidR="001523FE" w:rsidRPr="009858C9" w:rsidRDefault="001523FE"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Przewodniczący KNF składa oświadczenie na ręce Prezesa Rady Ministrów, natomiast Zastępcy Przewodniczącego i pracownicy UKNF składają oświadczenie na ręce Przewodniczego</w:t>
      </w:r>
      <w:r w:rsidR="00432EC4" w:rsidRPr="009858C9">
        <w:rPr>
          <w:rFonts w:ascii="Times New Roman" w:hAnsi="Times New Roman" w:cs="Times New Roman"/>
          <w:szCs w:val="24"/>
        </w:rPr>
        <w:t xml:space="preserve"> KNF</w:t>
      </w:r>
      <w:r w:rsidRPr="009858C9">
        <w:rPr>
          <w:rFonts w:ascii="Times New Roman" w:hAnsi="Times New Roman" w:cs="Times New Roman"/>
          <w:szCs w:val="24"/>
        </w:rPr>
        <w:t>.</w:t>
      </w:r>
    </w:p>
    <w:p w14:paraId="5CF86A30" w14:textId="6952F14E" w:rsidR="002C1E42" w:rsidRPr="009858C9" w:rsidRDefault="001523FE"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Projektowane przepisy zobowiązują także Przewodniczącego</w:t>
      </w:r>
      <w:r w:rsidR="00432EC4" w:rsidRPr="009858C9">
        <w:rPr>
          <w:rFonts w:ascii="Times New Roman" w:hAnsi="Times New Roman" w:cs="Times New Roman"/>
          <w:szCs w:val="24"/>
        </w:rPr>
        <w:t xml:space="preserve"> KNF</w:t>
      </w:r>
      <w:r w:rsidRPr="009858C9">
        <w:rPr>
          <w:rFonts w:ascii="Times New Roman" w:hAnsi="Times New Roman" w:cs="Times New Roman"/>
          <w:szCs w:val="24"/>
        </w:rPr>
        <w:t>, jego Zastępców oraz pracowników UKNF do zbycia w terminie 6 miesięcy od dnia nawiązania stosunku pracy z UKNF, wszystkich posiadanych w momencie powołania lub zatrudnienia instrumentów finansowych, których posiadanie może prowadzić do konfliktu interesów.</w:t>
      </w:r>
    </w:p>
    <w:p w14:paraId="16F4D92D" w14:textId="15A3545D" w:rsidR="001523FE" w:rsidRPr="009858C9" w:rsidRDefault="00936318"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Przewodniczący KNF, jego Zastępcy oraz pracownicy UKNF będą zobowiązani do z</w:t>
      </w:r>
      <w:r w:rsidR="002C1E42" w:rsidRPr="009858C9">
        <w:rPr>
          <w:rFonts w:ascii="Times New Roman" w:hAnsi="Times New Roman" w:cs="Times New Roman"/>
          <w:szCs w:val="24"/>
        </w:rPr>
        <w:t>łożeni</w:t>
      </w:r>
      <w:r w:rsidRPr="009858C9">
        <w:rPr>
          <w:rFonts w:ascii="Times New Roman" w:hAnsi="Times New Roman" w:cs="Times New Roman"/>
          <w:szCs w:val="24"/>
        </w:rPr>
        <w:t>a</w:t>
      </w:r>
      <w:r w:rsidR="002C1E42" w:rsidRPr="009858C9">
        <w:rPr>
          <w:rFonts w:ascii="Times New Roman" w:hAnsi="Times New Roman" w:cs="Times New Roman"/>
          <w:szCs w:val="24"/>
        </w:rPr>
        <w:t xml:space="preserve"> oświadczenia o braku konfliktu interesów </w:t>
      </w:r>
      <w:r w:rsidRPr="009858C9">
        <w:rPr>
          <w:rFonts w:ascii="Times New Roman" w:hAnsi="Times New Roman" w:cs="Times New Roman"/>
          <w:szCs w:val="24"/>
        </w:rPr>
        <w:t xml:space="preserve">odpowiednio </w:t>
      </w:r>
      <w:r w:rsidR="002C1E42" w:rsidRPr="009858C9">
        <w:rPr>
          <w:rFonts w:ascii="Times New Roman" w:hAnsi="Times New Roman" w:cs="Times New Roman"/>
          <w:szCs w:val="24"/>
        </w:rPr>
        <w:t>przed powołaniem lub nawiązaniem stosunku pracy, a następnie corocznie</w:t>
      </w:r>
      <w:r w:rsidRPr="009858C9">
        <w:rPr>
          <w:rFonts w:ascii="Times New Roman" w:hAnsi="Times New Roman" w:cs="Times New Roman"/>
          <w:szCs w:val="24"/>
        </w:rPr>
        <w:t xml:space="preserve"> – do 31 stycznia.</w:t>
      </w:r>
      <w:r w:rsidR="002C1E42" w:rsidRPr="009858C9">
        <w:rPr>
          <w:rFonts w:ascii="Times New Roman" w:hAnsi="Times New Roman" w:cs="Times New Roman"/>
          <w:szCs w:val="24"/>
        </w:rPr>
        <w:t xml:space="preserve"> </w:t>
      </w:r>
      <w:r w:rsidRPr="009858C9">
        <w:rPr>
          <w:rFonts w:ascii="Times New Roman" w:hAnsi="Times New Roman" w:cs="Times New Roman"/>
          <w:szCs w:val="24"/>
        </w:rPr>
        <w:t xml:space="preserve">Oświadczenie będzie składane pod rygorem odpowiedzialności karnej za składanie fałszywych zeznań. Rozwiązanie to </w:t>
      </w:r>
      <w:r w:rsidR="002C1E42" w:rsidRPr="009858C9">
        <w:rPr>
          <w:rFonts w:ascii="Times New Roman" w:hAnsi="Times New Roman" w:cs="Times New Roman"/>
          <w:szCs w:val="24"/>
        </w:rPr>
        <w:t>umożliwi egzekwowanie obowiązku zbycia instrumentów finansowych</w:t>
      </w:r>
      <w:r w:rsidR="00DC147A" w:rsidRPr="009858C9">
        <w:rPr>
          <w:rFonts w:ascii="Times New Roman" w:hAnsi="Times New Roman" w:cs="Times New Roman"/>
          <w:szCs w:val="24"/>
        </w:rPr>
        <w:t xml:space="preserve"> </w:t>
      </w:r>
      <w:r w:rsidR="002C1E42" w:rsidRPr="009858C9">
        <w:rPr>
          <w:rFonts w:ascii="Times New Roman" w:hAnsi="Times New Roman" w:cs="Times New Roman"/>
          <w:szCs w:val="24"/>
        </w:rPr>
        <w:t xml:space="preserve">oraz </w:t>
      </w:r>
      <w:r w:rsidR="002B61A2" w:rsidRPr="009858C9">
        <w:rPr>
          <w:rFonts w:ascii="Times New Roman" w:hAnsi="Times New Roman" w:cs="Times New Roman"/>
          <w:szCs w:val="24"/>
        </w:rPr>
        <w:t xml:space="preserve">egzekwowanie </w:t>
      </w:r>
      <w:r w:rsidR="002C1E42" w:rsidRPr="009858C9">
        <w:rPr>
          <w:rFonts w:ascii="Times New Roman" w:hAnsi="Times New Roman" w:cs="Times New Roman"/>
          <w:szCs w:val="24"/>
        </w:rPr>
        <w:t xml:space="preserve">zakazu obrotu instrumentami finansowymi </w:t>
      </w:r>
      <w:r w:rsidR="0085445E" w:rsidRPr="009858C9">
        <w:rPr>
          <w:rFonts w:ascii="Times New Roman" w:hAnsi="Times New Roman" w:cs="Times New Roman"/>
          <w:szCs w:val="24"/>
        </w:rPr>
        <w:t xml:space="preserve">przez </w:t>
      </w:r>
      <w:r w:rsidR="002C1E42" w:rsidRPr="009858C9">
        <w:rPr>
          <w:rFonts w:ascii="Times New Roman" w:hAnsi="Times New Roman" w:cs="Times New Roman"/>
          <w:szCs w:val="24"/>
        </w:rPr>
        <w:t xml:space="preserve">Przewodniczącego KNF, jego Zastępców oraz </w:t>
      </w:r>
      <w:r w:rsidR="002C1E42" w:rsidRPr="009858C9">
        <w:rPr>
          <w:rFonts w:ascii="Times New Roman" w:hAnsi="Times New Roman" w:cs="Times New Roman"/>
          <w:szCs w:val="24"/>
        </w:rPr>
        <w:lastRenderedPageBreak/>
        <w:t>pracowników UKNF</w:t>
      </w:r>
      <w:r w:rsidR="00243932" w:rsidRPr="009858C9">
        <w:rPr>
          <w:rFonts w:ascii="Times New Roman" w:hAnsi="Times New Roman" w:cs="Times New Roman"/>
          <w:szCs w:val="24"/>
        </w:rPr>
        <w:t xml:space="preserve">. </w:t>
      </w:r>
      <w:r w:rsidRPr="009858C9">
        <w:rPr>
          <w:rFonts w:ascii="Times New Roman" w:hAnsi="Times New Roman" w:cs="Times New Roman"/>
          <w:szCs w:val="24"/>
        </w:rPr>
        <w:t>Ponadto n</w:t>
      </w:r>
      <w:r w:rsidR="00243932" w:rsidRPr="009858C9">
        <w:rPr>
          <w:rFonts w:ascii="Times New Roman" w:hAnsi="Times New Roman" w:cs="Times New Roman"/>
          <w:szCs w:val="24"/>
        </w:rPr>
        <w:t xml:space="preserve">iezłożenie oświadczenia o braku konfliktu interesów w określonym ustawowo terminie </w:t>
      </w:r>
      <w:r w:rsidRPr="009858C9">
        <w:rPr>
          <w:rFonts w:ascii="Times New Roman" w:hAnsi="Times New Roman" w:cs="Times New Roman"/>
          <w:szCs w:val="24"/>
        </w:rPr>
        <w:t>będzie skutkowało</w:t>
      </w:r>
      <w:r w:rsidR="00243932" w:rsidRPr="009858C9">
        <w:rPr>
          <w:rFonts w:ascii="Times New Roman" w:hAnsi="Times New Roman" w:cs="Times New Roman"/>
          <w:szCs w:val="24"/>
        </w:rPr>
        <w:t xml:space="preserve"> także odpowiedzialnością dyscyplinarną</w:t>
      </w:r>
      <w:r w:rsidR="0008046C" w:rsidRPr="009858C9">
        <w:rPr>
          <w:rFonts w:ascii="Times New Roman" w:hAnsi="Times New Roman" w:cs="Times New Roman"/>
          <w:szCs w:val="24"/>
        </w:rPr>
        <w:t xml:space="preserve"> na podstawie ustawy – Kodeks pracy.</w:t>
      </w:r>
    </w:p>
    <w:p w14:paraId="27E4FC57" w14:textId="70F4F0F5" w:rsidR="00DA2E14" w:rsidRPr="009858C9" w:rsidRDefault="00DA2E14"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Ponadto, celem wprowadzanych przepisów jest zapewnienie ochrony prawnej przed powództwami przeciwko pracownikom organu nadzoru za działania, zaniechania i decyzje nadzorcze podjęte w dobrej wierze podczas wykonywania obowiązków oraz ochrony w</w:t>
      </w:r>
      <w:r w:rsidR="00D27990" w:rsidRPr="009858C9">
        <w:rPr>
          <w:rFonts w:ascii="Times New Roman" w:hAnsi="Times New Roman" w:cs="Times New Roman"/>
          <w:szCs w:val="24"/>
        </w:rPr>
        <w:t> </w:t>
      </w:r>
      <w:r w:rsidRPr="009858C9">
        <w:rPr>
          <w:rFonts w:ascii="Times New Roman" w:hAnsi="Times New Roman" w:cs="Times New Roman"/>
          <w:szCs w:val="24"/>
        </w:rPr>
        <w:t>zakresie ponoszenia przez nich kosztów związanych z obroną w związku z ich działaniami, jak również zwolnieni</w:t>
      </w:r>
      <w:r w:rsidR="00F00FE9" w:rsidRPr="009858C9">
        <w:rPr>
          <w:rFonts w:ascii="Times New Roman" w:hAnsi="Times New Roman" w:cs="Times New Roman"/>
          <w:szCs w:val="24"/>
        </w:rPr>
        <w:t>e</w:t>
      </w:r>
      <w:r w:rsidRPr="009858C9">
        <w:rPr>
          <w:rFonts w:ascii="Times New Roman" w:hAnsi="Times New Roman" w:cs="Times New Roman"/>
          <w:szCs w:val="24"/>
        </w:rPr>
        <w:t xml:space="preserve"> członków organu nadzoru i pracowników organu nadzoru z</w:t>
      </w:r>
      <w:r w:rsidR="00D27990" w:rsidRPr="009858C9">
        <w:rPr>
          <w:rFonts w:ascii="Times New Roman" w:hAnsi="Times New Roman" w:cs="Times New Roman"/>
          <w:szCs w:val="24"/>
        </w:rPr>
        <w:t> </w:t>
      </w:r>
      <w:r w:rsidRPr="009858C9">
        <w:rPr>
          <w:rFonts w:ascii="Times New Roman" w:hAnsi="Times New Roman" w:cs="Times New Roman"/>
          <w:szCs w:val="24"/>
        </w:rPr>
        <w:t>odpowiedzialności cywilnej za decyzje, działania lub zaniechania podjęte w dobrej wierze w trakcie wykonywania obowiązków nadzorczych.</w:t>
      </w:r>
    </w:p>
    <w:p w14:paraId="1FF8488C" w14:textId="168C778C" w:rsidR="00C12569" w:rsidRPr="009858C9" w:rsidRDefault="00C12569"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W zmienianym przez </w:t>
      </w:r>
      <w:r w:rsidR="000F1A90" w:rsidRPr="009858C9">
        <w:rPr>
          <w:rFonts w:ascii="Times New Roman" w:hAnsi="Times New Roman" w:cs="Times New Roman"/>
          <w:szCs w:val="24"/>
        </w:rPr>
        <w:t>d</w:t>
      </w:r>
      <w:r w:rsidRPr="009858C9">
        <w:rPr>
          <w:rFonts w:ascii="Times New Roman" w:hAnsi="Times New Roman" w:cs="Times New Roman"/>
          <w:szCs w:val="24"/>
        </w:rPr>
        <w:t>yrektywę CRD</w:t>
      </w:r>
      <w:r w:rsidR="000F1A90" w:rsidRPr="009858C9">
        <w:rPr>
          <w:rFonts w:ascii="Times New Roman" w:hAnsi="Times New Roman" w:cs="Times New Roman"/>
          <w:szCs w:val="24"/>
        </w:rPr>
        <w:t xml:space="preserve"> </w:t>
      </w:r>
      <w:r w:rsidRPr="009858C9">
        <w:rPr>
          <w:rFonts w:ascii="Times New Roman" w:hAnsi="Times New Roman" w:cs="Times New Roman"/>
          <w:szCs w:val="24"/>
        </w:rPr>
        <w:t xml:space="preserve">VI brzmieniu art. 4 ust. 4 </w:t>
      </w:r>
      <w:r w:rsidR="000F1A90" w:rsidRPr="009858C9">
        <w:rPr>
          <w:rFonts w:ascii="Times New Roman" w:hAnsi="Times New Roman" w:cs="Times New Roman"/>
          <w:szCs w:val="24"/>
        </w:rPr>
        <w:t>d</w:t>
      </w:r>
      <w:r w:rsidRPr="009858C9">
        <w:rPr>
          <w:rFonts w:ascii="Times New Roman" w:hAnsi="Times New Roman" w:cs="Times New Roman"/>
          <w:szCs w:val="24"/>
        </w:rPr>
        <w:t>yrektywy 2013/36/UE przewiduje się, że „</w:t>
      </w:r>
      <w:r w:rsidRPr="009858C9">
        <w:rPr>
          <w:rFonts w:ascii="Times New Roman" w:hAnsi="Times New Roman" w:cs="Times New Roman"/>
          <w:i/>
          <w:iCs/>
          <w:szCs w:val="24"/>
        </w:rPr>
        <w:t>Państwa członkowskie zapewniają posiadanie przez właściwe organy specjalistycznej wiedzy, zasobów, zdolności operacyjnej, uprawnień oraz niezależności, niezbędnych do wykonywania funkcji związanych z nadzorem ostrożnościowym, dochodzeniami, a także uprawnień niezbędnych do nakładania okresowych kar pieniężnych i</w:t>
      </w:r>
      <w:r w:rsidR="00D27990" w:rsidRPr="009858C9">
        <w:rPr>
          <w:rFonts w:ascii="Times New Roman" w:hAnsi="Times New Roman" w:cs="Times New Roman"/>
          <w:i/>
          <w:iCs/>
          <w:szCs w:val="24"/>
        </w:rPr>
        <w:t> </w:t>
      </w:r>
      <w:r w:rsidRPr="009858C9">
        <w:rPr>
          <w:rFonts w:ascii="Times New Roman" w:hAnsi="Times New Roman" w:cs="Times New Roman"/>
          <w:i/>
          <w:iCs/>
          <w:szCs w:val="24"/>
        </w:rPr>
        <w:t>sankcji określonych w niniejszej dyrektywie i w rozporządzeniu (UE) nr 575/2013</w:t>
      </w:r>
      <w:r w:rsidRPr="009858C9">
        <w:rPr>
          <w:rFonts w:ascii="Times New Roman" w:hAnsi="Times New Roman" w:cs="Times New Roman"/>
          <w:szCs w:val="24"/>
        </w:rPr>
        <w:t xml:space="preserve">.”. </w:t>
      </w:r>
    </w:p>
    <w:p w14:paraId="20B9D226" w14:textId="00C87866" w:rsidR="00C12569" w:rsidRPr="009858C9" w:rsidRDefault="000F1A90"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Zasady i cele </w:t>
      </w:r>
      <w:r w:rsidR="00C12569" w:rsidRPr="009858C9">
        <w:rPr>
          <w:rFonts w:ascii="Times New Roman" w:hAnsi="Times New Roman" w:cs="Times New Roman"/>
          <w:szCs w:val="24"/>
        </w:rPr>
        <w:t>tego rodzaju ochron</w:t>
      </w:r>
      <w:r w:rsidRPr="009858C9">
        <w:rPr>
          <w:rFonts w:ascii="Times New Roman" w:hAnsi="Times New Roman" w:cs="Times New Roman"/>
          <w:szCs w:val="24"/>
        </w:rPr>
        <w:t>y</w:t>
      </w:r>
      <w:r w:rsidR="00C12569" w:rsidRPr="009858C9">
        <w:rPr>
          <w:rFonts w:ascii="Times New Roman" w:hAnsi="Times New Roman" w:cs="Times New Roman"/>
          <w:szCs w:val="24"/>
        </w:rPr>
        <w:t xml:space="preserve"> został</w:t>
      </w:r>
      <w:r w:rsidRPr="009858C9">
        <w:rPr>
          <w:rFonts w:ascii="Times New Roman" w:hAnsi="Times New Roman" w:cs="Times New Roman"/>
          <w:szCs w:val="24"/>
        </w:rPr>
        <w:t>y</w:t>
      </w:r>
      <w:r w:rsidR="00C12569" w:rsidRPr="009858C9">
        <w:rPr>
          <w:rFonts w:ascii="Times New Roman" w:hAnsi="Times New Roman" w:cs="Times New Roman"/>
          <w:szCs w:val="24"/>
        </w:rPr>
        <w:t xml:space="preserve"> określone w dokumencie </w:t>
      </w:r>
      <w:r w:rsidR="00C12569" w:rsidRPr="009858C9">
        <w:rPr>
          <w:rFonts w:ascii="Times New Roman" w:hAnsi="Times New Roman" w:cs="Times New Roman"/>
          <w:i/>
          <w:iCs/>
          <w:szCs w:val="24"/>
        </w:rPr>
        <w:t>Joint European Supervisory Authorities’ criteria on the independence of supervisory authorities</w:t>
      </w:r>
      <w:r w:rsidRPr="009858C9">
        <w:rPr>
          <w:rFonts w:ascii="Times New Roman" w:hAnsi="Times New Roman" w:cs="Times New Roman"/>
          <w:i/>
          <w:iCs/>
          <w:szCs w:val="24"/>
        </w:rPr>
        <w:t xml:space="preserve"> </w:t>
      </w:r>
      <w:r w:rsidRPr="009858C9">
        <w:rPr>
          <w:rFonts w:ascii="Times New Roman" w:hAnsi="Times New Roman" w:cs="Times New Roman"/>
          <w:szCs w:val="24"/>
        </w:rPr>
        <w:t>z 25 października 2023 r. (</w:t>
      </w:r>
      <w:r w:rsidRPr="009858C9">
        <w:rPr>
          <w:rFonts w:ascii="Times New Roman" w:hAnsi="Times New Roman" w:cs="Times New Roman"/>
          <w:i/>
          <w:iCs/>
          <w:szCs w:val="24"/>
        </w:rPr>
        <w:t>JC 2023</w:t>
      </w:r>
      <w:r w:rsidRPr="009858C9">
        <w:rPr>
          <w:rFonts w:ascii="Times New Roman" w:hAnsi="Times New Roman" w:cs="Times New Roman"/>
          <w:szCs w:val="24"/>
        </w:rPr>
        <w:t>).</w:t>
      </w:r>
    </w:p>
    <w:p w14:paraId="1D6FF27B" w14:textId="0F64B4E4" w:rsidR="00C12569" w:rsidRPr="009858C9" w:rsidRDefault="00C12569"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Intencją kryteriów niezależności sformułowanych w </w:t>
      </w:r>
      <w:r w:rsidR="000F1A90" w:rsidRPr="009858C9">
        <w:rPr>
          <w:rFonts w:ascii="Times New Roman" w:hAnsi="Times New Roman" w:cs="Times New Roman"/>
          <w:szCs w:val="24"/>
        </w:rPr>
        <w:t xml:space="preserve">punktach 29 i 30 powyższego dokumentu </w:t>
      </w:r>
      <w:r w:rsidRPr="009858C9">
        <w:rPr>
          <w:rFonts w:ascii="Times New Roman" w:hAnsi="Times New Roman" w:cs="Times New Roman"/>
          <w:szCs w:val="24"/>
        </w:rPr>
        <w:t>jest zapewnienie ochrony prawnej przed powództwami przeciwko pracownikom organu nadzoru za działania, zaniechania i decyzje nadzorcze podjęte w dobrej wierze podczas wykonywania obowiązków, jak również postulat zwolnienia członków organu nadzoru i pracowników organu nadzoru z odpowiedzialności cywilnej za decyzje, działania lub zaniechania podjęte w dobrej wierze w trakcie wykonywania obowiązków nadzorczych.</w:t>
      </w:r>
    </w:p>
    <w:p w14:paraId="79647871" w14:textId="038337BE" w:rsidR="005C7CF3" w:rsidRPr="009858C9" w:rsidRDefault="00CB2744"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Analogiczne przepisy</w:t>
      </w:r>
      <w:r w:rsidR="00F00FE9" w:rsidRPr="009858C9">
        <w:rPr>
          <w:rFonts w:ascii="Times New Roman" w:hAnsi="Times New Roman" w:cs="Times New Roman"/>
          <w:szCs w:val="24"/>
        </w:rPr>
        <w:t xml:space="preserve"> znajdują się w art. 133 ust. 4 ustawy – Prawo bankowe, art. 64 ust. 2 ustawy z dnia 5 listopada 2009 r. o spółdzielczych kasach oszczędnościowo-kredytowych (Dz. U. z 202</w:t>
      </w:r>
      <w:r w:rsidR="000B0232">
        <w:rPr>
          <w:rFonts w:ascii="Times New Roman" w:hAnsi="Times New Roman" w:cs="Times New Roman"/>
          <w:szCs w:val="24"/>
        </w:rPr>
        <w:t>6</w:t>
      </w:r>
      <w:r w:rsidR="00F00FE9" w:rsidRPr="009858C9">
        <w:rPr>
          <w:rFonts w:ascii="Times New Roman" w:hAnsi="Times New Roman" w:cs="Times New Roman"/>
          <w:szCs w:val="24"/>
        </w:rPr>
        <w:t xml:space="preserve"> r. poz. </w:t>
      </w:r>
      <w:r w:rsidR="009C3201">
        <w:rPr>
          <w:rFonts w:ascii="Times New Roman" w:hAnsi="Times New Roman" w:cs="Times New Roman"/>
          <w:szCs w:val="24"/>
        </w:rPr>
        <w:t>595</w:t>
      </w:r>
      <w:r w:rsidR="00F00FE9" w:rsidRPr="009858C9">
        <w:rPr>
          <w:rFonts w:ascii="Times New Roman" w:hAnsi="Times New Roman" w:cs="Times New Roman"/>
          <w:szCs w:val="24"/>
        </w:rPr>
        <w:t>) oraz w art. 101 ustawy o</w:t>
      </w:r>
      <w:r w:rsidR="00D27990" w:rsidRPr="009858C9">
        <w:rPr>
          <w:rFonts w:ascii="Times New Roman" w:hAnsi="Times New Roman" w:cs="Times New Roman"/>
          <w:szCs w:val="24"/>
        </w:rPr>
        <w:t> </w:t>
      </w:r>
      <w:r w:rsidR="00F00FE9" w:rsidRPr="009858C9">
        <w:rPr>
          <w:rFonts w:ascii="Times New Roman" w:hAnsi="Times New Roman" w:cs="Times New Roman"/>
          <w:szCs w:val="24"/>
        </w:rPr>
        <w:t>usługach płatniczych.</w:t>
      </w:r>
      <w:r w:rsidR="00D27990" w:rsidRPr="009858C9">
        <w:rPr>
          <w:rFonts w:ascii="Times New Roman" w:hAnsi="Times New Roman" w:cs="Times New Roman"/>
          <w:szCs w:val="24"/>
        </w:rPr>
        <w:t xml:space="preserve"> </w:t>
      </w:r>
      <w:r w:rsidR="00F00FE9" w:rsidRPr="009858C9">
        <w:rPr>
          <w:rFonts w:ascii="Times New Roman" w:hAnsi="Times New Roman" w:cs="Times New Roman"/>
          <w:szCs w:val="24"/>
        </w:rPr>
        <w:t xml:space="preserve">W efekcie zasady ochrony przed odpowiedzialnością są istotnie zróżnicowane w poszczególnych sektorach rynku finansowego - potencjalnie te same osoby uzyskują ochronę prawną w pewnym zakresie czynności podejmowanych na podstawie ww. ustaw, a nie dysponują taką ochroną w przypadku </w:t>
      </w:r>
      <w:r w:rsidR="00F00FE9" w:rsidRPr="009858C9">
        <w:rPr>
          <w:rFonts w:ascii="Times New Roman" w:hAnsi="Times New Roman" w:cs="Times New Roman"/>
          <w:szCs w:val="24"/>
        </w:rPr>
        <w:lastRenderedPageBreak/>
        <w:t>analogicznych czynności podejmowanych w zakresie określonym innymi ustawami wymienionymi w art. 1 ust. 2 ustawy o nadzorze nad rynkiem finansowym.</w:t>
      </w:r>
    </w:p>
    <w:p w14:paraId="60ABC8F3" w14:textId="563A0076" w:rsidR="00F357E8" w:rsidRPr="009858C9" w:rsidRDefault="001D1EC8"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Ponadto, </w:t>
      </w:r>
      <w:r w:rsidR="00EF3A8D" w:rsidRPr="009858C9">
        <w:rPr>
          <w:rFonts w:ascii="Times New Roman" w:hAnsi="Times New Roman" w:cs="Times New Roman"/>
          <w:szCs w:val="24"/>
        </w:rPr>
        <w:t xml:space="preserve">projektowane </w:t>
      </w:r>
      <w:r w:rsidRPr="009858C9">
        <w:rPr>
          <w:rFonts w:ascii="Times New Roman" w:hAnsi="Times New Roman" w:cs="Times New Roman"/>
          <w:szCs w:val="24"/>
        </w:rPr>
        <w:t xml:space="preserve">regulacje zapewniają możliwość egzekwowania </w:t>
      </w:r>
      <w:r w:rsidR="00EF3A8D" w:rsidRPr="009858C9">
        <w:rPr>
          <w:rFonts w:ascii="Times New Roman" w:hAnsi="Times New Roman" w:cs="Times New Roman"/>
          <w:szCs w:val="24"/>
        </w:rPr>
        <w:t>zakazu świadczenia pracy na rzecz podmiotów nadzorowanych po zakończeniu stosunku pracy, poprzez wprowadzenie obowiązku poinformowania na piśmie Przewodniczącego KNF, jego Zastępców oraz pracowników UKNF o tym zakazie oraz obowiązku potwierdzenia przez te osoby w oświadczeniu składanym na piśmie zapoznanie się z tą informacją.</w:t>
      </w:r>
      <w:r w:rsidR="00692637" w:rsidRPr="009858C9">
        <w:rPr>
          <w:rFonts w:ascii="Times New Roman" w:hAnsi="Times New Roman" w:cs="Times New Roman"/>
          <w:szCs w:val="24"/>
        </w:rPr>
        <w:t xml:space="preserve"> </w:t>
      </w:r>
      <w:r w:rsidR="00F357E8" w:rsidRPr="009858C9">
        <w:rPr>
          <w:rFonts w:ascii="Times New Roman" w:hAnsi="Times New Roman" w:cs="Times New Roman"/>
          <w:szCs w:val="24"/>
        </w:rPr>
        <w:t xml:space="preserve">W przypadku niedostosowania się do zakazu świadczenia pracy, pomimo złożenia oświadczenia, UKNF </w:t>
      </w:r>
      <w:r w:rsidR="00692637" w:rsidRPr="009858C9">
        <w:rPr>
          <w:rFonts w:ascii="Times New Roman" w:hAnsi="Times New Roman" w:cs="Times New Roman"/>
          <w:szCs w:val="24"/>
        </w:rPr>
        <w:t>będzie miał możliwość m.in. wystąpić z</w:t>
      </w:r>
      <w:r w:rsidR="00F357E8" w:rsidRPr="009858C9">
        <w:rPr>
          <w:rFonts w:ascii="Times New Roman" w:hAnsi="Times New Roman" w:cs="Times New Roman"/>
          <w:szCs w:val="24"/>
        </w:rPr>
        <w:t xml:space="preserve"> roszczenie</w:t>
      </w:r>
      <w:r w:rsidR="00692637" w:rsidRPr="009858C9">
        <w:rPr>
          <w:rFonts w:ascii="Times New Roman" w:hAnsi="Times New Roman" w:cs="Times New Roman"/>
          <w:szCs w:val="24"/>
        </w:rPr>
        <w:t>m</w:t>
      </w:r>
      <w:r w:rsidR="00F357E8" w:rsidRPr="009858C9">
        <w:rPr>
          <w:rFonts w:ascii="Times New Roman" w:hAnsi="Times New Roman" w:cs="Times New Roman"/>
          <w:szCs w:val="24"/>
        </w:rPr>
        <w:t xml:space="preserve"> odszkodowawcz</w:t>
      </w:r>
      <w:r w:rsidR="00692637" w:rsidRPr="009858C9">
        <w:rPr>
          <w:rFonts w:ascii="Times New Roman" w:hAnsi="Times New Roman" w:cs="Times New Roman"/>
          <w:szCs w:val="24"/>
        </w:rPr>
        <w:t>ym</w:t>
      </w:r>
      <w:r w:rsidR="00F357E8" w:rsidRPr="009858C9">
        <w:rPr>
          <w:rFonts w:ascii="Times New Roman" w:hAnsi="Times New Roman" w:cs="Times New Roman"/>
          <w:szCs w:val="24"/>
        </w:rPr>
        <w:t xml:space="preserve"> wobec </w:t>
      </w:r>
      <w:r w:rsidR="00692637" w:rsidRPr="009858C9">
        <w:rPr>
          <w:rFonts w:ascii="Times New Roman" w:hAnsi="Times New Roman" w:cs="Times New Roman"/>
          <w:szCs w:val="24"/>
        </w:rPr>
        <w:t>osoby, która nie zastosowała się do ww. zakazu</w:t>
      </w:r>
      <w:r w:rsidR="00F357E8" w:rsidRPr="009858C9">
        <w:rPr>
          <w:rFonts w:ascii="Times New Roman" w:hAnsi="Times New Roman" w:cs="Times New Roman"/>
          <w:szCs w:val="24"/>
        </w:rPr>
        <w:t>.</w:t>
      </w:r>
    </w:p>
    <w:p w14:paraId="7FA741D3" w14:textId="2E003A3E" w:rsidR="00C258FD" w:rsidRPr="009858C9" w:rsidRDefault="002458FE"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W </w:t>
      </w:r>
      <w:r w:rsidRPr="009858C9">
        <w:rPr>
          <w:rFonts w:ascii="Times New Roman" w:hAnsi="Times New Roman" w:cs="Times New Roman"/>
          <w:b/>
          <w:bCs/>
          <w:szCs w:val="24"/>
        </w:rPr>
        <w:t xml:space="preserve">art. </w:t>
      </w:r>
      <w:r w:rsidR="00DD4175" w:rsidRPr="009858C9">
        <w:rPr>
          <w:rFonts w:ascii="Times New Roman" w:hAnsi="Times New Roman" w:cs="Times New Roman"/>
          <w:b/>
          <w:bCs/>
          <w:szCs w:val="24"/>
        </w:rPr>
        <w:t>1</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pkt </w:t>
      </w:r>
      <w:r w:rsidR="00DB483A" w:rsidRPr="009858C9">
        <w:rPr>
          <w:rFonts w:ascii="Times New Roman" w:hAnsi="Times New Roman" w:cs="Times New Roman"/>
          <w:b/>
          <w:bCs/>
          <w:szCs w:val="24"/>
        </w:rPr>
        <w:t>10</w:t>
      </w:r>
      <w:r w:rsidRPr="009858C9">
        <w:rPr>
          <w:rFonts w:ascii="Times New Roman" w:hAnsi="Times New Roman" w:cs="Times New Roman"/>
          <w:szCs w:val="24"/>
        </w:rPr>
        <w:t xml:space="preserve"> </w:t>
      </w:r>
      <w:r w:rsidR="00801D0F" w:rsidRPr="009858C9">
        <w:rPr>
          <w:rFonts w:ascii="Times New Roman" w:hAnsi="Times New Roman" w:cs="Times New Roman"/>
          <w:szCs w:val="24"/>
        </w:rPr>
        <w:t xml:space="preserve">dodany przepis nakłada na KNF obowiązek </w:t>
      </w:r>
      <w:r w:rsidRPr="009858C9">
        <w:rPr>
          <w:rFonts w:ascii="Times New Roman" w:hAnsi="Times New Roman" w:cs="Times New Roman"/>
          <w:szCs w:val="24"/>
        </w:rPr>
        <w:t>zawiera</w:t>
      </w:r>
      <w:r w:rsidR="00801D0F" w:rsidRPr="009858C9">
        <w:rPr>
          <w:rFonts w:ascii="Times New Roman" w:hAnsi="Times New Roman" w:cs="Times New Roman"/>
          <w:szCs w:val="24"/>
        </w:rPr>
        <w:t>nia</w:t>
      </w:r>
      <w:r w:rsidRPr="009858C9">
        <w:rPr>
          <w:rFonts w:ascii="Times New Roman" w:hAnsi="Times New Roman" w:cs="Times New Roman"/>
          <w:szCs w:val="24"/>
        </w:rPr>
        <w:t xml:space="preserve"> odpowiedni</w:t>
      </w:r>
      <w:r w:rsidR="00801D0F" w:rsidRPr="009858C9">
        <w:rPr>
          <w:rFonts w:ascii="Times New Roman" w:hAnsi="Times New Roman" w:cs="Times New Roman"/>
          <w:szCs w:val="24"/>
        </w:rPr>
        <w:t>ch</w:t>
      </w:r>
      <w:r w:rsidRPr="009858C9">
        <w:rPr>
          <w:rFonts w:ascii="Times New Roman" w:hAnsi="Times New Roman" w:cs="Times New Roman"/>
          <w:szCs w:val="24"/>
        </w:rPr>
        <w:t xml:space="preserve"> porozumie</w:t>
      </w:r>
      <w:r w:rsidR="00801D0F" w:rsidRPr="009858C9">
        <w:rPr>
          <w:rFonts w:ascii="Times New Roman" w:hAnsi="Times New Roman" w:cs="Times New Roman"/>
          <w:szCs w:val="24"/>
        </w:rPr>
        <w:t>ń</w:t>
      </w:r>
      <w:r w:rsidRPr="009858C9">
        <w:rPr>
          <w:rFonts w:ascii="Times New Roman" w:hAnsi="Times New Roman" w:cs="Times New Roman"/>
          <w:szCs w:val="24"/>
        </w:rPr>
        <w:t xml:space="preserve"> z właściwymi organami nadzoru, w celu zapewnienia odpowiedniego wykonywania nałożonych na podmioty środków nadzorczych oraz koordynacji działań w tym zakresie w celu uniknięcia zbiegu i nakładania się sankcji i środków nadzorczych stosowanych w sprawach transgranicznyc</w:t>
      </w:r>
      <w:r w:rsidR="00801D0F" w:rsidRPr="009858C9">
        <w:rPr>
          <w:rFonts w:ascii="Times New Roman" w:hAnsi="Times New Roman" w:cs="Times New Roman"/>
          <w:szCs w:val="24"/>
        </w:rPr>
        <w:t>h</w:t>
      </w:r>
      <w:r w:rsidRPr="009858C9">
        <w:rPr>
          <w:rFonts w:ascii="Times New Roman" w:hAnsi="Times New Roman" w:cs="Times New Roman"/>
          <w:szCs w:val="24"/>
        </w:rPr>
        <w:t>.</w:t>
      </w:r>
    </w:p>
    <w:p w14:paraId="64857859" w14:textId="68433A51" w:rsidR="00DB483A" w:rsidRPr="009858C9" w:rsidRDefault="00BD0978"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Cs/>
          <w:szCs w:val="24"/>
        </w:rPr>
        <w:t>Zmiana brzmienia przepisu wprowadzona w</w:t>
      </w:r>
      <w:r w:rsidR="00DB483A" w:rsidRPr="009858C9">
        <w:rPr>
          <w:rFonts w:ascii="Times New Roman" w:hAnsi="Times New Roman" w:cs="Times New Roman"/>
          <w:bCs/>
          <w:szCs w:val="24"/>
        </w:rPr>
        <w:t xml:space="preserve"> </w:t>
      </w:r>
      <w:r w:rsidR="00DB483A" w:rsidRPr="009858C9">
        <w:rPr>
          <w:rFonts w:ascii="Times New Roman" w:hAnsi="Times New Roman" w:cs="Times New Roman"/>
          <w:b/>
          <w:szCs w:val="24"/>
        </w:rPr>
        <w:t>art. 1</w:t>
      </w:r>
      <w:r w:rsidR="00D02BFA" w:rsidRPr="009858C9">
        <w:rPr>
          <w:rFonts w:ascii="Times New Roman" w:hAnsi="Times New Roman" w:cs="Times New Roman"/>
          <w:b/>
          <w:szCs w:val="24"/>
        </w:rPr>
        <w:t>4</w:t>
      </w:r>
      <w:r w:rsidR="00DB483A" w:rsidRPr="009858C9">
        <w:rPr>
          <w:rFonts w:ascii="Times New Roman" w:hAnsi="Times New Roman" w:cs="Times New Roman"/>
          <w:b/>
          <w:szCs w:val="24"/>
        </w:rPr>
        <w:t xml:space="preserve"> pkt 1</w:t>
      </w:r>
      <w:r w:rsidR="001A62A8" w:rsidRPr="009858C9">
        <w:rPr>
          <w:rFonts w:ascii="Times New Roman" w:hAnsi="Times New Roman" w:cs="Times New Roman"/>
          <w:b/>
          <w:szCs w:val="24"/>
        </w:rPr>
        <w:t>1</w:t>
      </w:r>
      <w:r w:rsidR="00DB483A" w:rsidRPr="009858C9">
        <w:rPr>
          <w:rFonts w:ascii="Times New Roman" w:hAnsi="Times New Roman" w:cs="Times New Roman"/>
          <w:bCs/>
          <w:szCs w:val="24"/>
        </w:rPr>
        <w:t xml:space="preserve"> </w:t>
      </w:r>
      <w:r w:rsidRPr="009858C9">
        <w:rPr>
          <w:rFonts w:ascii="Times New Roman" w:hAnsi="Times New Roman" w:cs="Times New Roman"/>
          <w:bCs/>
          <w:szCs w:val="24"/>
        </w:rPr>
        <w:t xml:space="preserve">doprecyzowuje, że zatwierdzone sprawozdanie finansowe UKNF, Przewodniczący KNF przekazuje ministrowi właściwemu do spraw instytucji finansowych w terminie 14 dni od dnia jego zatwierdzenia. </w:t>
      </w:r>
    </w:p>
    <w:p w14:paraId="3781E506" w14:textId="65A82ACB" w:rsidR="007909B9" w:rsidRPr="009858C9" w:rsidRDefault="007909B9"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Zmian</w:t>
      </w:r>
      <w:r w:rsidR="001A62A8" w:rsidRPr="009858C9">
        <w:rPr>
          <w:rFonts w:ascii="Times New Roman" w:hAnsi="Times New Roman" w:cs="Times New Roman"/>
          <w:szCs w:val="24"/>
        </w:rPr>
        <w:t>a</w:t>
      </w:r>
      <w:r w:rsidRPr="009858C9">
        <w:rPr>
          <w:rFonts w:ascii="Times New Roman" w:hAnsi="Times New Roman" w:cs="Times New Roman"/>
          <w:szCs w:val="24"/>
        </w:rPr>
        <w:t xml:space="preserve"> wprowadzon</w:t>
      </w:r>
      <w:r w:rsidR="001A62A8" w:rsidRPr="009858C9">
        <w:rPr>
          <w:rFonts w:ascii="Times New Roman" w:hAnsi="Times New Roman" w:cs="Times New Roman"/>
          <w:szCs w:val="24"/>
        </w:rPr>
        <w:t>a</w:t>
      </w:r>
      <w:r w:rsidRPr="009858C9">
        <w:rPr>
          <w:rFonts w:ascii="Times New Roman" w:hAnsi="Times New Roman" w:cs="Times New Roman"/>
          <w:szCs w:val="24"/>
        </w:rPr>
        <w:t xml:space="preserve"> w </w:t>
      </w:r>
      <w:r w:rsidRPr="009858C9">
        <w:rPr>
          <w:rFonts w:ascii="Times New Roman" w:hAnsi="Times New Roman" w:cs="Times New Roman"/>
          <w:b/>
          <w:bCs/>
          <w:szCs w:val="24"/>
        </w:rPr>
        <w:t xml:space="preserve">art. </w:t>
      </w:r>
      <w:r w:rsidR="00DB483A" w:rsidRPr="009858C9">
        <w:rPr>
          <w:rFonts w:ascii="Times New Roman" w:hAnsi="Times New Roman" w:cs="Times New Roman"/>
          <w:b/>
          <w:bCs/>
          <w:szCs w:val="24"/>
        </w:rPr>
        <w:t>1</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pkt </w:t>
      </w:r>
      <w:r w:rsidR="00DB483A" w:rsidRPr="009858C9">
        <w:rPr>
          <w:rFonts w:ascii="Times New Roman" w:hAnsi="Times New Roman" w:cs="Times New Roman"/>
          <w:b/>
          <w:bCs/>
          <w:szCs w:val="24"/>
        </w:rPr>
        <w:t>1</w:t>
      </w:r>
      <w:r w:rsidR="001A62A8" w:rsidRPr="009858C9">
        <w:rPr>
          <w:rFonts w:ascii="Times New Roman" w:hAnsi="Times New Roman" w:cs="Times New Roman"/>
          <w:b/>
          <w:bCs/>
          <w:szCs w:val="24"/>
        </w:rPr>
        <w:t>2</w:t>
      </w:r>
      <w:r w:rsidRPr="009858C9">
        <w:rPr>
          <w:rFonts w:ascii="Times New Roman" w:hAnsi="Times New Roman" w:cs="Times New Roman"/>
          <w:b/>
          <w:bCs/>
          <w:szCs w:val="24"/>
        </w:rPr>
        <w:t xml:space="preserve"> </w:t>
      </w:r>
      <w:r w:rsidR="00B67554" w:rsidRPr="009858C9">
        <w:rPr>
          <w:rFonts w:ascii="Times New Roman" w:hAnsi="Times New Roman" w:cs="Times New Roman"/>
          <w:szCs w:val="24"/>
        </w:rPr>
        <w:t>wynika z</w:t>
      </w:r>
      <w:r w:rsidR="00D27990" w:rsidRPr="009858C9">
        <w:rPr>
          <w:rFonts w:ascii="Times New Roman" w:hAnsi="Times New Roman" w:cs="Times New Roman"/>
          <w:szCs w:val="24"/>
        </w:rPr>
        <w:t> </w:t>
      </w:r>
      <w:r w:rsidR="00B67554" w:rsidRPr="009858C9">
        <w:rPr>
          <w:rFonts w:ascii="Times New Roman" w:hAnsi="Times New Roman" w:cs="Times New Roman"/>
          <w:szCs w:val="24"/>
        </w:rPr>
        <w:t xml:space="preserve">poszerzenia delegacji ustawowej </w:t>
      </w:r>
      <w:r w:rsidR="00207439" w:rsidRPr="009858C9">
        <w:rPr>
          <w:rFonts w:ascii="Times New Roman" w:hAnsi="Times New Roman" w:cs="Times New Roman"/>
          <w:szCs w:val="24"/>
        </w:rPr>
        <w:t>Prezesa Rady Ministrów</w:t>
      </w:r>
      <w:r w:rsidR="00B67554" w:rsidRPr="009858C9">
        <w:rPr>
          <w:rFonts w:ascii="Times New Roman" w:hAnsi="Times New Roman" w:cs="Times New Roman"/>
          <w:szCs w:val="24"/>
        </w:rPr>
        <w:t xml:space="preserve"> o sposób ustalania wysokości rekompensaty </w:t>
      </w:r>
      <w:r w:rsidR="0065430F" w:rsidRPr="009858C9">
        <w:rPr>
          <w:rFonts w:ascii="Times New Roman" w:hAnsi="Times New Roman" w:cs="Times New Roman"/>
          <w:szCs w:val="24"/>
        </w:rPr>
        <w:t>dla Przewodniczącego KNF</w:t>
      </w:r>
      <w:r w:rsidR="001A62A8" w:rsidRPr="009858C9">
        <w:rPr>
          <w:rFonts w:ascii="Times New Roman" w:hAnsi="Times New Roman" w:cs="Times New Roman"/>
          <w:szCs w:val="24"/>
        </w:rPr>
        <w:t xml:space="preserve"> oraz</w:t>
      </w:r>
      <w:r w:rsidR="0065430F" w:rsidRPr="009858C9">
        <w:rPr>
          <w:rFonts w:ascii="Times New Roman" w:hAnsi="Times New Roman" w:cs="Times New Roman"/>
          <w:szCs w:val="24"/>
        </w:rPr>
        <w:t xml:space="preserve"> jego Zastępców </w:t>
      </w:r>
      <w:r w:rsidR="00207439" w:rsidRPr="009858C9">
        <w:rPr>
          <w:rFonts w:ascii="Times New Roman" w:hAnsi="Times New Roman" w:cs="Times New Roman"/>
          <w:szCs w:val="24"/>
        </w:rPr>
        <w:t>w związku z czasowym zakazem świadczenia pracy</w:t>
      </w:r>
      <w:r w:rsidR="0065430F" w:rsidRPr="009858C9">
        <w:rPr>
          <w:rFonts w:ascii="Times New Roman" w:hAnsi="Times New Roman" w:cs="Times New Roman"/>
          <w:szCs w:val="24"/>
        </w:rPr>
        <w:t>.</w:t>
      </w:r>
    </w:p>
    <w:p w14:paraId="3C5B5487" w14:textId="1B5D54F9" w:rsidR="00DD4175" w:rsidRPr="009858C9" w:rsidRDefault="00DD4175" w:rsidP="009858C9">
      <w:pPr>
        <w:pStyle w:val="ZUSTzmustartykuempunktem"/>
        <w:spacing w:before="120"/>
        <w:ind w:left="0" w:firstLine="0"/>
        <w:jc w:val="center"/>
        <w:rPr>
          <w:rFonts w:ascii="Times New Roman" w:hAnsi="Times New Roman" w:cs="Times New Roman"/>
          <w:b/>
          <w:szCs w:val="24"/>
        </w:rPr>
      </w:pPr>
      <w:r w:rsidRPr="009858C9">
        <w:rPr>
          <w:rFonts w:ascii="Times New Roman" w:hAnsi="Times New Roman" w:cs="Times New Roman"/>
          <w:b/>
          <w:szCs w:val="24"/>
        </w:rPr>
        <w:t xml:space="preserve">Zmiany w ustawie o </w:t>
      </w:r>
      <w:r w:rsidR="001440AF" w:rsidRPr="009858C9">
        <w:rPr>
          <w:rFonts w:ascii="Times New Roman" w:hAnsi="Times New Roman" w:cs="Times New Roman"/>
          <w:b/>
          <w:szCs w:val="24"/>
        </w:rPr>
        <w:t>opłacie skarbowe</w:t>
      </w:r>
      <w:r w:rsidR="007B461B" w:rsidRPr="009858C9">
        <w:rPr>
          <w:rFonts w:ascii="Times New Roman" w:hAnsi="Times New Roman" w:cs="Times New Roman"/>
          <w:b/>
          <w:szCs w:val="24"/>
        </w:rPr>
        <w:t>j</w:t>
      </w:r>
      <w:r w:rsidR="001440AF" w:rsidRPr="009858C9">
        <w:rPr>
          <w:rFonts w:ascii="Times New Roman" w:hAnsi="Times New Roman" w:cs="Times New Roman"/>
          <w:b/>
          <w:szCs w:val="24"/>
        </w:rPr>
        <w:t xml:space="preserve">, w ustawie o </w:t>
      </w:r>
      <w:r w:rsidRPr="009858C9">
        <w:rPr>
          <w:rFonts w:ascii="Times New Roman" w:hAnsi="Times New Roman" w:cs="Times New Roman"/>
          <w:b/>
          <w:szCs w:val="24"/>
        </w:rPr>
        <w:t xml:space="preserve">podatku akcyzowym, </w:t>
      </w:r>
      <w:r w:rsidR="00566212" w:rsidRPr="009858C9">
        <w:rPr>
          <w:rFonts w:ascii="Times New Roman" w:hAnsi="Times New Roman" w:cs="Times New Roman"/>
          <w:b/>
          <w:szCs w:val="24"/>
        </w:rPr>
        <w:t xml:space="preserve">w ustawie o pomocy państwa w spłacie niektórych kredytów mieszkaniowych, w ustawie o grach hazardowych, w ustawie o dowodach osobistych, w ustawie o ewidencji ludności, </w:t>
      </w:r>
      <w:r w:rsidRPr="009858C9">
        <w:rPr>
          <w:rFonts w:ascii="Times New Roman" w:hAnsi="Times New Roman" w:cs="Times New Roman"/>
          <w:b/>
          <w:szCs w:val="24"/>
        </w:rPr>
        <w:t>w</w:t>
      </w:r>
      <w:r w:rsidR="00566212" w:rsidRPr="009858C9">
        <w:rPr>
          <w:rFonts w:ascii="Times New Roman" w:hAnsi="Times New Roman" w:cs="Times New Roman"/>
          <w:b/>
          <w:szCs w:val="24"/>
        </w:rPr>
        <w:t> </w:t>
      </w:r>
      <w:r w:rsidRPr="009858C9">
        <w:rPr>
          <w:rFonts w:ascii="Times New Roman" w:hAnsi="Times New Roman" w:cs="Times New Roman"/>
          <w:b/>
          <w:szCs w:val="24"/>
        </w:rPr>
        <w:t>ustawie o kredycie konsumenckim, w ustawie o usługach płatniczych, w ustawie o</w:t>
      </w:r>
      <w:r w:rsidR="00566212" w:rsidRPr="009858C9">
        <w:rPr>
          <w:rFonts w:ascii="Times New Roman" w:hAnsi="Times New Roman" w:cs="Times New Roman"/>
          <w:b/>
          <w:szCs w:val="24"/>
        </w:rPr>
        <w:t> </w:t>
      </w:r>
      <w:r w:rsidRPr="009858C9">
        <w:rPr>
          <w:rFonts w:ascii="Times New Roman" w:hAnsi="Times New Roman" w:cs="Times New Roman"/>
          <w:b/>
          <w:szCs w:val="24"/>
        </w:rPr>
        <w:t>odwróconym kredycie hipotecznym oraz w ustawie – Prawo restrukturyzacyjne</w:t>
      </w:r>
    </w:p>
    <w:p w14:paraId="65E6FF72" w14:textId="5BFE14C4" w:rsidR="00DA41DD" w:rsidRPr="009858C9" w:rsidRDefault="00DA41DD" w:rsidP="009858C9">
      <w:pPr>
        <w:pStyle w:val="ZUSTzmustartykuempunktem"/>
        <w:spacing w:before="120"/>
        <w:ind w:left="0" w:firstLine="0"/>
        <w:rPr>
          <w:rFonts w:ascii="Times New Roman" w:hAnsi="Times New Roman" w:cs="Times New Roman"/>
          <w:b/>
          <w:bCs/>
          <w:szCs w:val="24"/>
        </w:rPr>
      </w:pPr>
      <w:r w:rsidRPr="009858C9">
        <w:rPr>
          <w:rFonts w:ascii="Times New Roman" w:hAnsi="Times New Roman" w:cs="Times New Roman"/>
          <w:bCs/>
          <w:szCs w:val="24"/>
        </w:rPr>
        <w:t xml:space="preserve">Zmiany wprowadzone w </w:t>
      </w:r>
      <w:r w:rsidRPr="009858C9">
        <w:rPr>
          <w:rFonts w:ascii="Times New Roman" w:hAnsi="Times New Roman" w:cs="Times New Roman"/>
          <w:b/>
          <w:bCs/>
          <w:szCs w:val="24"/>
        </w:rPr>
        <w:t>art. 1</w:t>
      </w:r>
      <w:r w:rsidR="00D02BFA" w:rsidRPr="009858C9">
        <w:rPr>
          <w:rFonts w:ascii="Times New Roman" w:hAnsi="Times New Roman" w:cs="Times New Roman"/>
          <w:b/>
          <w:bCs/>
          <w:szCs w:val="24"/>
        </w:rPr>
        <w:t>5</w:t>
      </w:r>
      <w:r w:rsidR="007D3579">
        <w:rPr>
          <w:rFonts w:ascii="Times New Roman" w:hAnsi="Times New Roman" w:cs="Times New Roman"/>
          <w:b/>
          <w:bCs/>
          <w:szCs w:val="24"/>
        </w:rPr>
        <w:t>–</w:t>
      </w:r>
      <w:r w:rsidRPr="009858C9">
        <w:rPr>
          <w:rFonts w:ascii="Times New Roman" w:hAnsi="Times New Roman" w:cs="Times New Roman"/>
          <w:b/>
          <w:bCs/>
          <w:szCs w:val="24"/>
        </w:rPr>
        <w:t>2</w:t>
      </w:r>
      <w:r w:rsidR="00D02BFA" w:rsidRPr="009858C9">
        <w:rPr>
          <w:rFonts w:ascii="Times New Roman" w:hAnsi="Times New Roman" w:cs="Times New Roman"/>
          <w:b/>
          <w:bCs/>
          <w:szCs w:val="24"/>
        </w:rPr>
        <w:t>4</w:t>
      </w:r>
      <w:r w:rsidRPr="009858C9">
        <w:rPr>
          <w:rFonts w:ascii="Times New Roman" w:hAnsi="Times New Roman" w:cs="Times New Roman"/>
          <w:b/>
          <w:bCs/>
          <w:szCs w:val="24"/>
        </w:rPr>
        <w:t xml:space="preserve"> </w:t>
      </w:r>
      <w:r w:rsidRPr="009858C9">
        <w:rPr>
          <w:rFonts w:ascii="Times New Roman" w:hAnsi="Times New Roman" w:cs="Times New Roman"/>
          <w:bCs/>
          <w:szCs w:val="24"/>
        </w:rPr>
        <w:t>mają charakter dostosowujący i wynikają z uchylenia w ustawie – Prawo bankowe definicji oddziału banku zagranicznego oraz z wprowadzenia definicji oddziału z państwa trzeciego.</w:t>
      </w:r>
    </w:p>
    <w:p w14:paraId="44B567D3" w14:textId="33084A92" w:rsidR="00DD4175" w:rsidRPr="009858C9" w:rsidRDefault="00DD4175" w:rsidP="009858C9">
      <w:pPr>
        <w:pStyle w:val="ZUSTzmustartykuempunktem"/>
        <w:spacing w:before="120"/>
        <w:ind w:left="0" w:firstLine="0"/>
        <w:jc w:val="center"/>
        <w:rPr>
          <w:rFonts w:ascii="Times New Roman" w:hAnsi="Times New Roman" w:cs="Times New Roman"/>
          <w:b/>
          <w:bCs/>
          <w:szCs w:val="24"/>
        </w:rPr>
      </w:pPr>
      <w:r w:rsidRPr="009858C9">
        <w:rPr>
          <w:rFonts w:ascii="Times New Roman" w:hAnsi="Times New Roman" w:cs="Times New Roman"/>
          <w:b/>
          <w:bCs/>
          <w:szCs w:val="24"/>
        </w:rPr>
        <w:t>Zmiany w ustawie o nadzorze makroostrożnościowym</w:t>
      </w:r>
    </w:p>
    <w:p w14:paraId="3DEFCBCF" w14:textId="0679E3C0" w:rsidR="002458FE" w:rsidRPr="009858C9" w:rsidRDefault="00C258FD"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lastRenderedPageBreak/>
        <w:t xml:space="preserve">W </w:t>
      </w:r>
      <w:r w:rsidRPr="009858C9">
        <w:rPr>
          <w:rFonts w:ascii="Times New Roman" w:hAnsi="Times New Roman" w:cs="Times New Roman"/>
          <w:b/>
          <w:bCs/>
          <w:szCs w:val="24"/>
        </w:rPr>
        <w:t xml:space="preserve">art. </w:t>
      </w:r>
      <w:r w:rsidR="00036C43" w:rsidRPr="009858C9">
        <w:rPr>
          <w:rFonts w:ascii="Times New Roman" w:hAnsi="Times New Roman" w:cs="Times New Roman"/>
          <w:b/>
          <w:bCs/>
          <w:szCs w:val="24"/>
        </w:rPr>
        <w:t>2</w:t>
      </w:r>
      <w:r w:rsidR="00D02BFA" w:rsidRPr="009858C9">
        <w:rPr>
          <w:rFonts w:ascii="Times New Roman" w:hAnsi="Times New Roman" w:cs="Times New Roman"/>
          <w:b/>
          <w:bCs/>
          <w:szCs w:val="24"/>
        </w:rPr>
        <w:t>5</w:t>
      </w:r>
      <w:r w:rsidRPr="009858C9">
        <w:rPr>
          <w:rFonts w:ascii="Times New Roman" w:hAnsi="Times New Roman" w:cs="Times New Roman"/>
          <w:b/>
          <w:bCs/>
          <w:szCs w:val="24"/>
        </w:rPr>
        <w:t xml:space="preserve"> pkt 1</w:t>
      </w:r>
      <w:r w:rsidR="00A02A07" w:rsidRPr="009858C9">
        <w:rPr>
          <w:rFonts w:ascii="Times New Roman" w:hAnsi="Times New Roman" w:cs="Times New Roman"/>
          <w:b/>
          <w:bCs/>
          <w:szCs w:val="24"/>
        </w:rPr>
        <w:t xml:space="preserve"> </w:t>
      </w:r>
      <w:r w:rsidR="0033611A" w:rsidRPr="009858C9">
        <w:rPr>
          <w:rFonts w:ascii="Times New Roman" w:hAnsi="Times New Roman" w:cs="Times New Roman"/>
          <w:szCs w:val="24"/>
        </w:rPr>
        <w:t xml:space="preserve">projektowany przepis nakłada na KNF obowiązek dokonania przeglądu adekwatności wskaźnika bufora innej instytucji o znaczeniu systemowym, w przypadku gdy dana inna instytucja o znaczeniu systemowym została obowiązana do stosowania minimalnego progu kapitałowego, o którym mowa w art. 92 ust. 3 rozporządzenia </w:t>
      </w:r>
      <w:r w:rsidR="00F0162B" w:rsidRPr="009858C9">
        <w:rPr>
          <w:rFonts w:ascii="Times New Roman" w:hAnsi="Times New Roman" w:cs="Times New Roman"/>
          <w:szCs w:val="24"/>
        </w:rPr>
        <w:t>CRR</w:t>
      </w:r>
      <w:r w:rsidR="0033611A" w:rsidRPr="009858C9">
        <w:rPr>
          <w:rFonts w:ascii="Times New Roman" w:hAnsi="Times New Roman" w:cs="Times New Roman"/>
          <w:szCs w:val="24"/>
        </w:rPr>
        <w:t>.</w:t>
      </w:r>
    </w:p>
    <w:p w14:paraId="3EBDB431" w14:textId="0D22EA29" w:rsidR="00F0162B" w:rsidRPr="009858C9" w:rsidRDefault="0033611A"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W</w:t>
      </w:r>
      <w:r w:rsidRPr="009858C9">
        <w:rPr>
          <w:rFonts w:ascii="Times New Roman" w:hAnsi="Times New Roman" w:cs="Times New Roman"/>
          <w:b/>
          <w:bCs/>
          <w:szCs w:val="24"/>
        </w:rPr>
        <w:t xml:space="preserve"> art. </w:t>
      </w:r>
      <w:r w:rsidR="00036C43" w:rsidRPr="009858C9">
        <w:rPr>
          <w:rFonts w:ascii="Times New Roman" w:hAnsi="Times New Roman" w:cs="Times New Roman"/>
          <w:b/>
          <w:bCs/>
          <w:szCs w:val="24"/>
        </w:rPr>
        <w:t>2</w:t>
      </w:r>
      <w:r w:rsidR="00D02BFA" w:rsidRPr="009858C9">
        <w:rPr>
          <w:rFonts w:ascii="Times New Roman" w:hAnsi="Times New Roman" w:cs="Times New Roman"/>
          <w:b/>
          <w:bCs/>
          <w:szCs w:val="24"/>
        </w:rPr>
        <w:t>5</w:t>
      </w:r>
      <w:r w:rsidRPr="009858C9">
        <w:rPr>
          <w:rFonts w:ascii="Times New Roman" w:hAnsi="Times New Roman" w:cs="Times New Roman"/>
          <w:b/>
          <w:bCs/>
          <w:szCs w:val="24"/>
        </w:rPr>
        <w:t xml:space="preserve"> pkt 2 </w:t>
      </w:r>
      <w:r w:rsidR="00F0162B" w:rsidRPr="009858C9">
        <w:rPr>
          <w:rFonts w:ascii="Times New Roman" w:hAnsi="Times New Roman" w:cs="Times New Roman"/>
          <w:szCs w:val="24"/>
        </w:rPr>
        <w:t>wprowadzono zmianę, zgodnie z którą instytucja utrzymuje dodatkową kwotę kapitału podstawowego Tier I w stosunku do kapitału podstawowego Tier I utrzymywanego na potrzeby spełniania wymogu w zakresie funduszy własnych także w celu zapobiegania</w:t>
      </w:r>
      <w:r w:rsidRPr="009858C9">
        <w:rPr>
          <w:rFonts w:ascii="Times New Roman" w:hAnsi="Times New Roman" w:cs="Times New Roman"/>
          <w:szCs w:val="24"/>
        </w:rPr>
        <w:t xml:space="preserve"> ryzyku systemowemu wynikającemu ze zmiany klimatu</w:t>
      </w:r>
      <w:r w:rsidR="00F0162B" w:rsidRPr="009858C9">
        <w:rPr>
          <w:rFonts w:ascii="Times New Roman" w:hAnsi="Times New Roman" w:cs="Times New Roman"/>
          <w:szCs w:val="24"/>
        </w:rPr>
        <w:t>.</w:t>
      </w:r>
    </w:p>
    <w:p w14:paraId="402A216F" w14:textId="0F7DDD39" w:rsidR="00F0162B" w:rsidRPr="009858C9" w:rsidRDefault="00F0162B"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
          <w:bCs/>
          <w:szCs w:val="24"/>
        </w:rPr>
        <w:t xml:space="preserve">Art. </w:t>
      </w:r>
      <w:r w:rsidR="00036C43" w:rsidRPr="009858C9">
        <w:rPr>
          <w:rFonts w:ascii="Times New Roman" w:hAnsi="Times New Roman" w:cs="Times New Roman"/>
          <w:b/>
          <w:bCs/>
          <w:szCs w:val="24"/>
        </w:rPr>
        <w:t>2</w:t>
      </w:r>
      <w:r w:rsidR="00D02BFA" w:rsidRPr="009858C9">
        <w:rPr>
          <w:rFonts w:ascii="Times New Roman" w:hAnsi="Times New Roman" w:cs="Times New Roman"/>
          <w:b/>
          <w:bCs/>
          <w:szCs w:val="24"/>
        </w:rPr>
        <w:t>5</w:t>
      </w:r>
      <w:r w:rsidRPr="009858C9">
        <w:rPr>
          <w:rFonts w:ascii="Times New Roman" w:hAnsi="Times New Roman" w:cs="Times New Roman"/>
          <w:b/>
          <w:bCs/>
          <w:szCs w:val="24"/>
        </w:rPr>
        <w:t xml:space="preserve"> pkt 3</w:t>
      </w:r>
      <w:r w:rsidRPr="009858C9">
        <w:rPr>
          <w:rFonts w:ascii="Times New Roman" w:hAnsi="Times New Roman" w:cs="Times New Roman"/>
          <w:szCs w:val="24"/>
        </w:rPr>
        <w:t xml:space="preserve"> wprowadza przepis, zgodnie z którym dodatkowa kwota kapitału podstawowego Tier I, którą instytucja utrzymuje w celu spełnienia wymogów, o których mowa w art. 47 zmienianej ustawy, nie jest jednocześnie zaliczana na poczet spełniania przez tę instytucję </w:t>
      </w:r>
      <w:r w:rsidRPr="009858C9">
        <w:rPr>
          <w:rFonts w:ascii="Times New Roman" w:hAnsi="Times New Roman" w:cs="Times New Roman"/>
          <w:bCs/>
          <w:szCs w:val="24"/>
        </w:rPr>
        <w:t>wymogu minimalnego progu kapitałowego, o którym mowa w art. 92 ust. 3 rozporządzenia CRR.</w:t>
      </w:r>
    </w:p>
    <w:p w14:paraId="2152EA30" w14:textId="3D6F8B81" w:rsidR="00762919" w:rsidRPr="009858C9" w:rsidRDefault="0079504F"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Zgodnie z przepisem wprowadzonym w </w:t>
      </w:r>
      <w:r w:rsidRPr="009858C9">
        <w:rPr>
          <w:rFonts w:ascii="Times New Roman" w:hAnsi="Times New Roman" w:cs="Times New Roman"/>
          <w:b/>
          <w:bCs/>
          <w:szCs w:val="24"/>
        </w:rPr>
        <w:t xml:space="preserve">art. </w:t>
      </w:r>
      <w:r w:rsidR="00036C43" w:rsidRPr="009858C9">
        <w:rPr>
          <w:rFonts w:ascii="Times New Roman" w:hAnsi="Times New Roman" w:cs="Times New Roman"/>
          <w:b/>
          <w:bCs/>
          <w:szCs w:val="24"/>
        </w:rPr>
        <w:t>2</w:t>
      </w:r>
      <w:r w:rsidR="00D02BFA" w:rsidRPr="009858C9">
        <w:rPr>
          <w:rFonts w:ascii="Times New Roman" w:hAnsi="Times New Roman" w:cs="Times New Roman"/>
          <w:b/>
          <w:bCs/>
          <w:szCs w:val="24"/>
        </w:rPr>
        <w:t>5</w:t>
      </w:r>
      <w:r w:rsidRPr="009858C9">
        <w:rPr>
          <w:rFonts w:ascii="Times New Roman" w:hAnsi="Times New Roman" w:cs="Times New Roman"/>
          <w:b/>
          <w:bCs/>
          <w:szCs w:val="24"/>
        </w:rPr>
        <w:t xml:space="preserve"> pkt 4</w:t>
      </w:r>
      <w:r w:rsidRPr="009858C9">
        <w:rPr>
          <w:rFonts w:ascii="Times New Roman" w:hAnsi="Times New Roman" w:cs="Times New Roman"/>
          <w:szCs w:val="24"/>
        </w:rPr>
        <w:t xml:space="preserve">, KNF, </w:t>
      </w:r>
      <w:r w:rsidR="0033611A" w:rsidRPr="009858C9">
        <w:rPr>
          <w:rFonts w:ascii="Times New Roman" w:hAnsi="Times New Roman" w:cs="Times New Roman"/>
          <w:szCs w:val="24"/>
        </w:rPr>
        <w:t xml:space="preserve">niepóźniej niż przed upływem terminu przeglądu, o którym mowa w </w:t>
      </w:r>
      <w:r w:rsidRPr="009858C9">
        <w:rPr>
          <w:rFonts w:ascii="Times New Roman" w:hAnsi="Times New Roman" w:cs="Times New Roman"/>
          <w:szCs w:val="24"/>
        </w:rPr>
        <w:t xml:space="preserve">art. 50 </w:t>
      </w:r>
      <w:r w:rsidR="0033611A" w:rsidRPr="009858C9">
        <w:rPr>
          <w:rFonts w:ascii="Times New Roman" w:hAnsi="Times New Roman" w:cs="Times New Roman"/>
          <w:szCs w:val="24"/>
        </w:rPr>
        <w:t>ust. 7</w:t>
      </w:r>
      <w:r w:rsidRPr="009858C9">
        <w:rPr>
          <w:rFonts w:ascii="Times New Roman" w:hAnsi="Times New Roman" w:cs="Times New Roman"/>
          <w:szCs w:val="24"/>
        </w:rPr>
        <w:t xml:space="preserve"> zmienianej ustawy</w:t>
      </w:r>
      <w:r w:rsidR="0033611A" w:rsidRPr="009858C9">
        <w:rPr>
          <w:rFonts w:ascii="Times New Roman" w:hAnsi="Times New Roman" w:cs="Times New Roman"/>
          <w:szCs w:val="24"/>
        </w:rPr>
        <w:t xml:space="preserve">, dokonuje przeglądu adekwatności wskaźnika bufora ryzyka systemowego, w przypadku gdy dana instytucja została obowiązana do stosowania minimalnego progu kapitałowego o którym mowa w art. 92 ust. 3 rozporządzenia </w:t>
      </w:r>
      <w:r w:rsidRPr="009858C9">
        <w:rPr>
          <w:rFonts w:ascii="Times New Roman" w:hAnsi="Times New Roman" w:cs="Times New Roman"/>
          <w:szCs w:val="24"/>
        </w:rPr>
        <w:t>CRR.</w:t>
      </w:r>
    </w:p>
    <w:p w14:paraId="02B7AA7F" w14:textId="13DD9AB4" w:rsidR="00DD4175" w:rsidRPr="009858C9" w:rsidRDefault="00DD4175" w:rsidP="009858C9">
      <w:pPr>
        <w:pStyle w:val="ZUSTzmustartykuempunktem"/>
        <w:spacing w:before="120"/>
        <w:ind w:left="0" w:firstLine="0"/>
        <w:jc w:val="center"/>
        <w:rPr>
          <w:rFonts w:ascii="Times New Roman" w:hAnsi="Times New Roman" w:cs="Times New Roman"/>
          <w:b/>
          <w:szCs w:val="24"/>
        </w:rPr>
      </w:pPr>
      <w:r w:rsidRPr="009858C9">
        <w:rPr>
          <w:rFonts w:ascii="Times New Roman" w:hAnsi="Times New Roman" w:cs="Times New Roman"/>
          <w:b/>
          <w:szCs w:val="24"/>
        </w:rPr>
        <w:t>Zmiany w ustawie o rozpatrywaniu reklamacji przez podmioty rynku finansowego, w ustawie o wsparciu kredytobiorców, w ustawie o podatku od niektórych instytucji finansowych, w ustawie o Bankowym Funduszu Gwarancyjnym, w ustawie o wymianie informacji podatkowych z innymi państwami, w ustawie o kredycie hipotecznym</w:t>
      </w:r>
    </w:p>
    <w:p w14:paraId="59842376" w14:textId="7B47A7B4" w:rsidR="00036C43" w:rsidRPr="009858C9" w:rsidRDefault="00036C43"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Cs/>
          <w:szCs w:val="24"/>
        </w:rPr>
        <w:t xml:space="preserve">Zmiany wprowadzone w </w:t>
      </w:r>
      <w:r w:rsidRPr="009858C9">
        <w:rPr>
          <w:rFonts w:ascii="Times New Roman" w:hAnsi="Times New Roman" w:cs="Times New Roman"/>
          <w:b/>
          <w:bCs/>
          <w:szCs w:val="24"/>
        </w:rPr>
        <w:t>art. 2</w:t>
      </w:r>
      <w:r w:rsidR="00D02BFA" w:rsidRPr="009858C9">
        <w:rPr>
          <w:rFonts w:ascii="Times New Roman" w:hAnsi="Times New Roman" w:cs="Times New Roman"/>
          <w:b/>
          <w:bCs/>
          <w:szCs w:val="24"/>
        </w:rPr>
        <w:t>6</w:t>
      </w:r>
      <w:r w:rsidR="007D3579">
        <w:rPr>
          <w:rFonts w:ascii="Times New Roman" w:hAnsi="Times New Roman" w:cs="Times New Roman"/>
          <w:b/>
          <w:bCs/>
          <w:szCs w:val="24"/>
        </w:rPr>
        <w:t>–</w:t>
      </w:r>
      <w:r w:rsidR="00DA0627" w:rsidRPr="009858C9">
        <w:rPr>
          <w:rFonts w:ascii="Times New Roman" w:hAnsi="Times New Roman" w:cs="Times New Roman"/>
          <w:b/>
          <w:bCs/>
          <w:szCs w:val="24"/>
        </w:rPr>
        <w:t>31</w:t>
      </w:r>
      <w:r w:rsidRPr="009858C9">
        <w:rPr>
          <w:rFonts w:ascii="Times New Roman" w:hAnsi="Times New Roman" w:cs="Times New Roman"/>
          <w:b/>
          <w:bCs/>
          <w:szCs w:val="24"/>
        </w:rPr>
        <w:t xml:space="preserve"> </w:t>
      </w:r>
      <w:r w:rsidRPr="009858C9">
        <w:rPr>
          <w:rFonts w:ascii="Times New Roman" w:hAnsi="Times New Roman" w:cs="Times New Roman"/>
          <w:bCs/>
          <w:szCs w:val="24"/>
        </w:rPr>
        <w:t>mają charakter dostosowujący i wynikają z uchylenia w ustawie – Prawo bankowe definicji oddziału banku zagranicznego oraz z wprowadzenia definicji oddziału z państwa trzeciego.</w:t>
      </w:r>
    </w:p>
    <w:p w14:paraId="50D58F18" w14:textId="6DA91560" w:rsidR="00DA0627" w:rsidRPr="009858C9" w:rsidRDefault="00DA0627" w:rsidP="009858C9">
      <w:pPr>
        <w:pStyle w:val="ZUSTzmustartykuempunktem"/>
        <w:spacing w:before="120"/>
        <w:ind w:left="0" w:firstLine="0"/>
        <w:jc w:val="center"/>
        <w:rPr>
          <w:rFonts w:ascii="Times New Roman" w:hAnsi="Times New Roman" w:cs="Times New Roman"/>
          <w:b/>
          <w:szCs w:val="24"/>
        </w:rPr>
      </w:pPr>
      <w:r w:rsidRPr="009858C9">
        <w:rPr>
          <w:rFonts w:ascii="Times New Roman" w:hAnsi="Times New Roman" w:cs="Times New Roman"/>
          <w:b/>
          <w:szCs w:val="24"/>
        </w:rPr>
        <w:t>Zmiany w ustawie o biegłych rewidentach</w:t>
      </w:r>
    </w:p>
    <w:p w14:paraId="07FEC2FC" w14:textId="20FFF1E9" w:rsidR="00BF3145" w:rsidRPr="009858C9" w:rsidRDefault="00DA0627"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Cs/>
          <w:szCs w:val="24"/>
        </w:rPr>
        <w:t xml:space="preserve">W </w:t>
      </w:r>
      <w:r w:rsidR="00BF3145" w:rsidRPr="009858C9">
        <w:rPr>
          <w:rFonts w:ascii="Times New Roman" w:hAnsi="Times New Roman" w:cs="Times New Roman"/>
          <w:b/>
          <w:szCs w:val="24"/>
        </w:rPr>
        <w:t xml:space="preserve">art. 32 </w:t>
      </w:r>
      <w:r w:rsidR="00BF3145" w:rsidRPr="009858C9">
        <w:rPr>
          <w:rFonts w:ascii="Times New Roman" w:hAnsi="Times New Roman" w:cs="Times New Roman"/>
          <w:bCs/>
          <w:szCs w:val="24"/>
        </w:rPr>
        <w:t>wprowadzono zmiany o charakterze dostosowującym i wynikające z uchylenia w ustawie – Prawo bankowe definicji oddziału banku zagranicznego oraz z wprowadzenia definicji oddziału z państwa trzeciego. W</w:t>
      </w:r>
      <w:r w:rsidRPr="009858C9">
        <w:rPr>
          <w:rFonts w:ascii="Times New Roman" w:hAnsi="Times New Roman" w:cs="Times New Roman"/>
          <w:bCs/>
          <w:szCs w:val="24"/>
        </w:rPr>
        <w:t xml:space="preserve"> związku z</w:t>
      </w:r>
      <w:r w:rsidR="000101F9" w:rsidRPr="009858C9">
        <w:rPr>
          <w:rFonts w:ascii="Times New Roman" w:hAnsi="Times New Roman" w:cs="Times New Roman"/>
          <w:bCs/>
          <w:szCs w:val="24"/>
        </w:rPr>
        <w:t xml:space="preserve"> </w:t>
      </w:r>
      <w:r w:rsidRPr="009858C9">
        <w:rPr>
          <w:rFonts w:ascii="Times New Roman" w:hAnsi="Times New Roman" w:cs="Times New Roman"/>
          <w:bCs/>
          <w:szCs w:val="24"/>
        </w:rPr>
        <w:t>podziałem na klasę 1 i</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2 oddziałów</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z</w:t>
      </w:r>
      <w:r w:rsidR="001D2558" w:rsidRPr="009858C9">
        <w:rPr>
          <w:rFonts w:ascii="Times New Roman" w:hAnsi="Times New Roman" w:cs="Times New Roman"/>
          <w:bCs/>
          <w:szCs w:val="24"/>
        </w:rPr>
        <w:t> </w:t>
      </w:r>
      <w:r w:rsidRPr="009858C9">
        <w:rPr>
          <w:rFonts w:ascii="Times New Roman" w:hAnsi="Times New Roman" w:cs="Times New Roman"/>
          <w:bCs/>
          <w:szCs w:val="24"/>
        </w:rPr>
        <w:t>państw</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trzecich</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banków</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zagranicznych</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przewiduje</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się</w:t>
      </w:r>
      <w:r w:rsidR="00BF3145" w:rsidRPr="009858C9">
        <w:rPr>
          <w:rFonts w:ascii="Times New Roman" w:hAnsi="Times New Roman" w:cs="Times New Roman"/>
          <w:bCs/>
          <w:szCs w:val="24"/>
        </w:rPr>
        <w:t xml:space="preserve"> </w:t>
      </w:r>
      <w:r w:rsidRPr="009858C9">
        <w:rPr>
          <w:rFonts w:ascii="Times New Roman" w:hAnsi="Times New Roman" w:cs="Times New Roman"/>
          <w:bCs/>
          <w:szCs w:val="24"/>
        </w:rPr>
        <w:t xml:space="preserve">pozostawienie w katalogu jednostek zainteresowania publicznego jedynie </w:t>
      </w:r>
      <w:r w:rsidR="00E43D43" w:rsidRPr="009858C9">
        <w:rPr>
          <w:rFonts w:ascii="Times New Roman" w:hAnsi="Times New Roman" w:cs="Times New Roman"/>
          <w:bCs/>
          <w:szCs w:val="24"/>
        </w:rPr>
        <w:t xml:space="preserve">oddziały z </w:t>
      </w:r>
      <w:r w:rsidRPr="009858C9">
        <w:rPr>
          <w:rFonts w:ascii="Times New Roman" w:hAnsi="Times New Roman" w:cs="Times New Roman"/>
          <w:bCs/>
          <w:szCs w:val="24"/>
        </w:rPr>
        <w:t xml:space="preserve">klasy 1. Jednocześnie w projekcie przewiduje się, że z definicji jednostki zainteresowania publicznego zostaną usunięte oddziały instytucji </w:t>
      </w:r>
      <w:r w:rsidRPr="009858C9">
        <w:rPr>
          <w:rFonts w:ascii="Times New Roman" w:hAnsi="Times New Roman" w:cs="Times New Roman"/>
          <w:bCs/>
          <w:szCs w:val="24"/>
        </w:rPr>
        <w:lastRenderedPageBreak/>
        <w:t>kredytowych oraz oddziały zakładów ubezpieczeń i zakładów reasekuracji. Wynika to z</w:t>
      </w:r>
      <w:r w:rsidR="001D2558" w:rsidRPr="009858C9">
        <w:rPr>
          <w:rFonts w:ascii="Times New Roman" w:hAnsi="Times New Roman" w:cs="Times New Roman"/>
          <w:bCs/>
          <w:szCs w:val="24"/>
        </w:rPr>
        <w:t> </w:t>
      </w:r>
      <w:r w:rsidRPr="009858C9">
        <w:rPr>
          <w:rFonts w:ascii="Times New Roman" w:hAnsi="Times New Roman" w:cs="Times New Roman"/>
          <w:bCs/>
          <w:szCs w:val="24"/>
        </w:rPr>
        <w:t xml:space="preserve">kwestii, że jednostki te jako część jednostki macierzystej podlegają wszelkim przepisom odnośnie </w:t>
      </w:r>
      <w:r w:rsidR="00BF3145" w:rsidRPr="009858C9">
        <w:rPr>
          <w:rFonts w:ascii="Times New Roman" w:hAnsi="Times New Roman" w:cs="Times New Roman"/>
          <w:bCs/>
          <w:szCs w:val="24"/>
        </w:rPr>
        <w:t xml:space="preserve">jednostek zainteresowania publicznego </w:t>
      </w:r>
      <w:r w:rsidRPr="009858C9">
        <w:rPr>
          <w:rFonts w:ascii="Times New Roman" w:hAnsi="Times New Roman" w:cs="Times New Roman"/>
          <w:bCs/>
          <w:szCs w:val="24"/>
        </w:rPr>
        <w:t>na poziomie swojej jednostki macierzystej, a</w:t>
      </w:r>
      <w:r w:rsidR="001D2558" w:rsidRPr="009858C9">
        <w:rPr>
          <w:rFonts w:ascii="Times New Roman" w:hAnsi="Times New Roman" w:cs="Times New Roman"/>
          <w:bCs/>
          <w:szCs w:val="24"/>
        </w:rPr>
        <w:t> </w:t>
      </w:r>
      <w:r w:rsidRPr="009858C9">
        <w:rPr>
          <w:rFonts w:ascii="Times New Roman" w:hAnsi="Times New Roman" w:cs="Times New Roman"/>
          <w:bCs/>
          <w:szCs w:val="24"/>
        </w:rPr>
        <w:t xml:space="preserve">tym samym podlegają nadzorowi sprawowanemu przez nadzór macierzysty. </w:t>
      </w:r>
    </w:p>
    <w:p w14:paraId="73FF514E" w14:textId="77777777" w:rsidR="00DA0627" w:rsidRPr="009858C9" w:rsidRDefault="00DA0627" w:rsidP="009858C9">
      <w:pPr>
        <w:pStyle w:val="ZUSTzmustartykuempunktem"/>
        <w:spacing w:before="120"/>
        <w:ind w:left="0" w:firstLine="0"/>
        <w:rPr>
          <w:rFonts w:ascii="Times New Roman" w:hAnsi="Times New Roman" w:cs="Times New Roman"/>
          <w:b/>
          <w:bCs/>
          <w:szCs w:val="24"/>
        </w:rPr>
      </w:pPr>
    </w:p>
    <w:p w14:paraId="76AD862F" w14:textId="07EEECCE" w:rsidR="00DA0627" w:rsidRPr="009858C9" w:rsidRDefault="00DA0627" w:rsidP="009858C9">
      <w:pPr>
        <w:pStyle w:val="ZUSTzmustartykuempunktem"/>
        <w:spacing w:before="120"/>
        <w:jc w:val="center"/>
        <w:rPr>
          <w:rFonts w:ascii="Times New Roman" w:hAnsi="Times New Roman" w:cs="Times New Roman"/>
          <w:b/>
          <w:bCs/>
          <w:szCs w:val="24"/>
        </w:rPr>
      </w:pPr>
      <w:r w:rsidRPr="009858C9">
        <w:rPr>
          <w:rFonts w:ascii="Times New Roman" w:hAnsi="Times New Roman" w:cs="Times New Roman"/>
          <w:b/>
          <w:bCs/>
          <w:szCs w:val="24"/>
        </w:rPr>
        <w:t>Zmiany w ustawie o przeciwdziałaniu praniu pieniędzy oraz finansowaniu terroryzmu, w ustawie o zasadach pozyskiwania informacji o niekaralności osób ubiegających się o zatrudnienie i osób zatrudnionych w podmiotach sektora finansowego, w ustawie o krajowym systemie cyberbezpieczeństwa, w ustawie o dopłatach do oprocentowania kredytów bankowych udzielanych przedsiębiorcom dotkniętym skutkami COVID-19, w ustawie o Systemie Informacji Finansowej, w ustawie o konsumenckiej pożyczce lombardowej, w ustawie o ogólnoeuropejskim indywidualnym produkcie emerytalnym oraz w ustawie o zwalczaniu nadużyć w komunikacji elektronicznej</w:t>
      </w:r>
    </w:p>
    <w:p w14:paraId="7CC39810" w14:textId="6B1B271F" w:rsidR="00DA0627" w:rsidRPr="009858C9" w:rsidRDefault="00DA0627" w:rsidP="009858C9">
      <w:pPr>
        <w:pStyle w:val="ZUSTzmustartykuempunktem"/>
        <w:spacing w:before="120"/>
        <w:ind w:left="0" w:firstLine="0"/>
        <w:jc w:val="center"/>
        <w:rPr>
          <w:rFonts w:ascii="Times New Roman" w:hAnsi="Times New Roman" w:cs="Times New Roman"/>
          <w:bCs/>
          <w:szCs w:val="24"/>
        </w:rPr>
      </w:pPr>
    </w:p>
    <w:p w14:paraId="2C08DD36" w14:textId="06F9AE6A" w:rsidR="00DA0627" w:rsidRPr="009858C9" w:rsidRDefault="00DA0627"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bCs/>
          <w:szCs w:val="24"/>
        </w:rPr>
        <w:t xml:space="preserve">Zmiany wprowadzone w </w:t>
      </w:r>
      <w:r w:rsidRPr="009858C9">
        <w:rPr>
          <w:rFonts w:ascii="Times New Roman" w:hAnsi="Times New Roman" w:cs="Times New Roman"/>
          <w:b/>
          <w:bCs/>
          <w:szCs w:val="24"/>
        </w:rPr>
        <w:t>art. 33</w:t>
      </w:r>
      <w:r w:rsidR="007D3579">
        <w:rPr>
          <w:rFonts w:ascii="Times New Roman" w:hAnsi="Times New Roman" w:cs="Times New Roman"/>
          <w:b/>
          <w:bCs/>
          <w:szCs w:val="24"/>
        </w:rPr>
        <w:t>–</w:t>
      </w:r>
      <w:r w:rsidRPr="009858C9">
        <w:rPr>
          <w:rFonts w:ascii="Times New Roman" w:hAnsi="Times New Roman" w:cs="Times New Roman"/>
          <w:b/>
          <w:bCs/>
          <w:szCs w:val="24"/>
        </w:rPr>
        <w:t xml:space="preserve">40 </w:t>
      </w:r>
      <w:r w:rsidRPr="009858C9">
        <w:rPr>
          <w:rFonts w:ascii="Times New Roman" w:hAnsi="Times New Roman" w:cs="Times New Roman"/>
          <w:bCs/>
          <w:szCs w:val="24"/>
        </w:rPr>
        <w:t>mają charakter dostosowujący i wynikają z uchylenia w ustawie – Prawo bankowe definicji oddziału banku zagranicznego oraz z wprowadzenia definicji oddziału z państwa trzeciego.</w:t>
      </w:r>
    </w:p>
    <w:p w14:paraId="0ED0BB5F" w14:textId="77777777" w:rsidR="00C66E8C" w:rsidRPr="009858C9" w:rsidRDefault="00C66E8C" w:rsidP="009858C9">
      <w:pPr>
        <w:pStyle w:val="ZUSTzmustartykuempunktem"/>
        <w:spacing w:before="120"/>
        <w:ind w:left="0" w:firstLine="0"/>
        <w:jc w:val="center"/>
        <w:rPr>
          <w:rFonts w:ascii="Times New Roman" w:hAnsi="Times New Roman" w:cs="Times New Roman"/>
          <w:bCs/>
          <w:szCs w:val="24"/>
        </w:rPr>
      </w:pPr>
    </w:p>
    <w:p w14:paraId="4399F789" w14:textId="7A68D2AB" w:rsidR="00DD4175" w:rsidRPr="00BE264C" w:rsidRDefault="00DD4175" w:rsidP="009858C9">
      <w:pPr>
        <w:pStyle w:val="ZUSTzmustartykuempunktem"/>
        <w:spacing w:before="120"/>
        <w:ind w:left="0" w:firstLine="0"/>
        <w:jc w:val="center"/>
        <w:rPr>
          <w:rFonts w:ascii="Times New Roman" w:hAnsi="Times New Roman" w:cs="Times New Roman"/>
          <w:b/>
          <w:bCs/>
          <w:szCs w:val="24"/>
        </w:rPr>
      </w:pPr>
      <w:r w:rsidRPr="00BE264C">
        <w:rPr>
          <w:rFonts w:ascii="Times New Roman" w:hAnsi="Times New Roman" w:cs="Times New Roman"/>
          <w:b/>
          <w:bCs/>
          <w:szCs w:val="24"/>
        </w:rPr>
        <w:t>Przepisy dostosowujące, przejściowe i końcowe</w:t>
      </w:r>
    </w:p>
    <w:p w14:paraId="198E0B28" w14:textId="15C557D5" w:rsidR="001410E0" w:rsidRPr="00BE264C" w:rsidRDefault="001410E0" w:rsidP="009858C9">
      <w:pPr>
        <w:pStyle w:val="ZUSTzmustartykuempunktem"/>
        <w:spacing w:before="120"/>
        <w:ind w:left="0" w:firstLine="0"/>
        <w:rPr>
          <w:rFonts w:ascii="Times New Roman" w:hAnsi="Times New Roman" w:cs="Times New Roman"/>
          <w:szCs w:val="24"/>
        </w:rPr>
      </w:pPr>
      <w:r w:rsidRPr="00BE264C">
        <w:rPr>
          <w:rFonts w:ascii="Times New Roman" w:hAnsi="Times New Roman" w:cs="Times New Roman"/>
          <w:szCs w:val="24"/>
        </w:rPr>
        <w:t xml:space="preserve">W </w:t>
      </w:r>
      <w:r w:rsidRPr="00BE264C">
        <w:rPr>
          <w:rFonts w:ascii="Times New Roman" w:hAnsi="Times New Roman" w:cs="Times New Roman"/>
          <w:b/>
          <w:bCs/>
          <w:szCs w:val="24"/>
        </w:rPr>
        <w:t xml:space="preserve">art. </w:t>
      </w:r>
      <w:r w:rsidR="002500FA" w:rsidRPr="00BE264C">
        <w:rPr>
          <w:rFonts w:ascii="Times New Roman" w:hAnsi="Times New Roman" w:cs="Times New Roman"/>
          <w:b/>
          <w:bCs/>
          <w:szCs w:val="24"/>
        </w:rPr>
        <w:t>4</w:t>
      </w:r>
      <w:r w:rsidR="005D76D9" w:rsidRPr="00BE264C">
        <w:rPr>
          <w:rFonts w:ascii="Times New Roman" w:hAnsi="Times New Roman" w:cs="Times New Roman"/>
          <w:b/>
          <w:bCs/>
          <w:szCs w:val="24"/>
        </w:rPr>
        <w:t>1</w:t>
      </w:r>
      <w:r w:rsidRPr="00BE264C">
        <w:rPr>
          <w:rFonts w:ascii="Times New Roman" w:hAnsi="Times New Roman" w:cs="Times New Roman"/>
          <w:b/>
          <w:bCs/>
          <w:szCs w:val="24"/>
        </w:rPr>
        <w:t>-</w:t>
      </w:r>
      <w:r w:rsidR="00036C43" w:rsidRPr="00BE264C">
        <w:rPr>
          <w:rFonts w:ascii="Times New Roman" w:hAnsi="Times New Roman" w:cs="Times New Roman"/>
          <w:b/>
          <w:bCs/>
          <w:szCs w:val="24"/>
        </w:rPr>
        <w:t>4</w:t>
      </w:r>
      <w:r w:rsidR="00D02BFA" w:rsidRPr="00BE264C">
        <w:rPr>
          <w:rFonts w:ascii="Times New Roman" w:hAnsi="Times New Roman" w:cs="Times New Roman"/>
          <w:b/>
          <w:bCs/>
          <w:szCs w:val="24"/>
        </w:rPr>
        <w:t>7</w:t>
      </w:r>
      <w:r w:rsidR="001312CD" w:rsidRPr="00BE264C">
        <w:rPr>
          <w:rFonts w:ascii="Times New Roman" w:hAnsi="Times New Roman" w:cs="Times New Roman"/>
          <w:szCs w:val="24"/>
        </w:rPr>
        <w:t xml:space="preserve"> </w:t>
      </w:r>
      <w:r w:rsidRPr="00BE264C">
        <w:rPr>
          <w:rFonts w:ascii="Times New Roman" w:hAnsi="Times New Roman" w:cs="Times New Roman"/>
          <w:szCs w:val="24"/>
        </w:rPr>
        <w:t>zawarto przepisy dostosowujące umożliwiające odpowiednio przygotować adresatów regulacji do stosowania nowych przepisów.</w:t>
      </w:r>
    </w:p>
    <w:p w14:paraId="64D17B31" w14:textId="74827B70" w:rsidR="00BC6FA4" w:rsidRPr="009858C9" w:rsidRDefault="00022DFD" w:rsidP="009858C9">
      <w:pPr>
        <w:pStyle w:val="ZUSTzmustartykuempunktem"/>
        <w:spacing w:before="120"/>
        <w:ind w:left="0" w:firstLine="0"/>
        <w:rPr>
          <w:rFonts w:ascii="Times New Roman" w:hAnsi="Times New Roman" w:cs="Times New Roman"/>
          <w:szCs w:val="24"/>
        </w:rPr>
      </w:pPr>
      <w:r w:rsidRPr="00BE264C">
        <w:rPr>
          <w:rFonts w:ascii="Times New Roman" w:hAnsi="Times New Roman" w:cs="Times New Roman"/>
          <w:szCs w:val="24"/>
        </w:rPr>
        <w:t>W</w:t>
      </w:r>
      <w:r w:rsidRPr="00BE264C">
        <w:rPr>
          <w:rFonts w:ascii="Times New Roman" w:hAnsi="Times New Roman" w:cs="Times New Roman"/>
          <w:b/>
          <w:bCs/>
          <w:szCs w:val="24"/>
        </w:rPr>
        <w:t xml:space="preserve"> art. </w:t>
      </w:r>
      <w:r w:rsidR="00036C43" w:rsidRPr="00BE264C">
        <w:rPr>
          <w:rFonts w:ascii="Times New Roman" w:hAnsi="Times New Roman" w:cs="Times New Roman"/>
          <w:b/>
          <w:bCs/>
          <w:szCs w:val="24"/>
        </w:rPr>
        <w:t>4</w:t>
      </w:r>
      <w:r w:rsidR="00D02BFA" w:rsidRPr="00BE264C">
        <w:rPr>
          <w:rFonts w:ascii="Times New Roman" w:hAnsi="Times New Roman" w:cs="Times New Roman"/>
          <w:b/>
          <w:bCs/>
          <w:szCs w:val="24"/>
        </w:rPr>
        <w:t>8</w:t>
      </w:r>
      <w:r w:rsidR="001312CD" w:rsidRPr="00BE264C">
        <w:rPr>
          <w:rFonts w:ascii="Times New Roman" w:hAnsi="Times New Roman" w:cs="Times New Roman"/>
          <w:b/>
          <w:bCs/>
          <w:szCs w:val="24"/>
        </w:rPr>
        <w:t xml:space="preserve"> </w:t>
      </w:r>
      <w:r w:rsidRPr="00BE264C">
        <w:rPr>
          <w:rFonts w:ascii="Times New Roman" w:hAnsi="Times New Roman" w:cs="Times New Roman"/>
          <w:szCs w:val="24"/>
        </w:rPr>
        <w:t>wprowadza się przepis przejściow</w:t>
      </w:r>
      <w:r w:rsidR="00762919" w:rsidRPr="00BE264C">
        <w:rPr>
          <w:rFonts w:ascii="Times New Roman" w:hAnsi="Times New Roman" w:cs="Times New Roman"/>
          <w:szCs w:val="24"/>
        </w:rPr>
        <w:t>y</w:t>
      </w:r>
      <w:r w:rsidRPr="00BE264C">
        <w:rPr>
          <w:rFonts w:ascii="Times New Roman" w:hAnsi="Times New Roman" w:cs="Times New Roman"/>
          <w:szCs w:val="24"/>
        </w:rPr>
        <w:t>, zgodnie z którym</w:t>
      </w:r>
      <w:r w:rsidR="00762919" w:rsidRPr="00BE264C">
        <w:rPr>
          <w:rFonts w:ascii="Times New Roman" w:hAnsi="Times New Roman" w:cs="Times New Roman"/>
          <w:szCs w:val="24"/>
        </w:rPr>
        <w:t xml:space="preserve"> </w:t>
      </w:r>
      <w:r w:rsidRPr="009858C9">
        <w:rPr>
          <w:rFonts w:ascii="Times New Roman" w:hAnsi="Times New Roman" w:cs="Times New Roman"/>
          <w:szCs w:val="24"/>
        </w:rPr>
        <w:t>przepisu art. 4</w:t>
      </w:r>
      <w:r w:rsidR="00036C43" w:rsidRPr="009858C9">
        <w:rPr>
          <w:rFonts w:ascii="Times New Roman" w:hAnsi="Times New Roman" w:cs="Times New Roman"/>
          <w:szCs w:val="24"/>
        </w:rPr>
        <w:t>0</w:t>
      </w:r>
      <w:r w:rsidRPr="009858C9">
        <w:rPr>
          <w:rFonts w:ascii="Times New Roman" w:hAnsi="Times New Roman" w:cs="Times New Roman"/>
          <w:szCs w:val="24"/>
        </w:rPr>
        <w:t xml:space="preserve"> ust. </w:t>
      </w:r>
      <w:r w:rsidR="00036C43" w:rsidRPr="009858C9">
        <w:rPr>
          <w:rFonts w:ascii="Times New Roman" w:hAnsi="Times New Roman" w:cs="Times New Roman"/>
          <w:szCs w:val="24"/>
        </w:rPr>
        <w:t>1</w:t>
      </w:r>
      <w:r w:rsidR="00762919" w:rsidRPr="009858C9">
        <w:rPr>
          <w:rFonts w:ascii="Times New Roman" w:hAnsi="Times New Roman" w:cs="Times New Roman"/>
          <w:szCs w:val="24"/>
        </w:rPr>
        <w:t xml:space="preserve"> </w:t>
      </w:r>
      <w:r w:rsidRPr="009858C9">
        <w:rPr>
          <w:rFonts w:ascii="Times New Roman" w:hAnsi="Times New Roman" w:cs="Times New Roman"/>
          <w:szCs w:val="24"/>
        </w:rPr>
        <w:t>ustawy zmienianej w art. 1</w:t>
      </w:r>
      <w:r w:rsidR="005C7FC1" w:rsidRPr="009858C9">
        <w:rPr>
          <w:rFonts w:ascii="Times New Roman" w:hAnsi="Times New Roman" w:cs="Times New Roman"/>
          <w:szCs w:val="24"/>
        </w:rPr>
        <w:t xml:space="preserve">, </w:t>
      </w:r>
      <w:r w:rsidRPr="009858C9">
        <w:rPr>
          <w:rFonts w:ascii="Times New Roman" w:hAnsi="Times New Roman" w:cs="Times New Roman"/>
          <w:szCs w:val="24"/>
        </w:rPr>
        <w:t>nie stosuje się do umów zawartych przed dniem 11 lipca 2026 r.</w:t>
      </w:r>
      <w:r w:rsidR="00036C43" w:rsidRPr="00BE264C">
        <w:rPr>
          <w:rFonts w:ascii="Times New Roman" w:hAnsi="Times New Roman" w:cs="Times New Roman"/>
          <w:szCs w:val="24"/>
        </w:rPr>
        <w:t xml:space="preserve"> </w:t>
      </w:r>
      <w:r w:rsidR="00036C43" w:rsidRPr="009858C9">
        <w:rPr>
          <w:rFonts w:ascii="Times New Roman" w:hAnsi="Times New Roman" w:cs="Times New Roman"/>
          <w:szCs w:val="24"/>
        </w:rPr>
        <w:t>na podstawie których klienci podmiotów z państw trzecich nabyli skonkretyzowane prawa. Wyłączenie to nie ma zastosowania do umów ramowych, przedwstępnych, lub innych postanowień umownych zobowiązujących jedynie do zawarcia dalszych umów.</w:t>
      </w:r>
      <w:r w:rsidR="000D763D" w:rsidRPr="009858C9">
        <w:rPr>
          <w:rFonts w:ascii="Times New Roman" w:hAnsi="Times New Roman" w:cs="Times New Roman"/>
          <w:szCs w:val="24"/>
        </w:rPr>
        <w:t xml:space="preserve"> </w:t>
      </w:r>
      <w:r w:rsidR="00036C43" w:rsidRPr="009858C9">
        <w:rPr>
          <w:rFonts w:ascii="Times New Roman" w:hAnsi="Times New Roman" w:cs="Times New Roman"/>
          <w:szCs w:val="24"/>
        </w:rPr>
        <w:t>Natomiast t</w:t>
      </w:r>
      <w:r w:rsidR="00612B4F" w:rsidRPr="009858C9">
        <w:rPr>
          <w:rFonts w:ascii="Times New Roman" w:hAnsi="Times New Roman" w:cs="Times New Roman"/>
          <w:szCs w:val="24"/>
        </w:rPr>
        <w:t xml:space="preserve">ermin wynika z brzmienia </w:t>
      </w:r>
      <w:r w:rsidR="000D763D" w:rsidRPr="009858C9">
        <w:rPr>
          <w:rFonts w:ascii="Times New Roman" w:hAnsi="Times New Roman" w:cs="Times New Roman"/>
          <w:szCs w:val="24"/>
        </w:rPr>
        <w:t>art. 21c ust. 5 dyrektywy CRD VI</w:t>
      </w:r>
      <w:r w:rsidR="00612B4F" w:rsidRPr="009858C9">
        <w:rPr>
          <w:rFonts w:ascii="Times New Roman" w:hAnsi="Times New Roman" w:cs="Times New Roman"/>
          <w:szCs w:val="24"/>
        </w:rPr>
        <w:t>, zgodnie z którym, w celu zachowania praw nabytych klientów na mocy istniejących umów</w:t>
      </w:r>
      <w:r w:rsidR="00EF7849" w:rsidRPr="009858C9">
        <w:rPr>
          <w:rFonts w:ascii="Times New Roman" w:hAnsi="Times New Roman" w:cs="Times New Roman"/>
          <w:szCs w:val="24"/>
        </w:rPr>
        <w:t>,</w:t>
      </w:r>
      <w:r w:rsidR="00612B4F" w:rsidRPr="009858C9">
        <w:rPr>
          <w:rFonts w:ascii="Times New Roman" w:hAnsi="Times New Roman" w:cs="Times New Roman"/>
          <w:szCs w:val="24"/>
        </w:rPr>
        <w:t xml:space="preserve"> wymóg </w:t>
      </w:r>
      <w:r w:rsidR="00EF7849" w:rsidRPr="009858C9">
        <w:rPr>
          <w:rFonts w:ascii="Times New Roman" w:hAnsi="Times New Roman" w:cs="Times New Roman"/>
          <w:szCs w:val="24"/>
        </w:rPr>
        <w:t xml:space="preserve">utworzenia oddziału i złożenia wniosku o zezwolenie </w:t>
      </w:r>
      <w:r w:rsidR="00612B4F" w:rsidRPr="009858C9">
        <w:rPr>
          <w:rFonts w:ascii="Times New Roman" w:hAnsi="Times New Roman" w:cs="Times New Roman"/>
          <w:szCs w:val="24"/>
        </w:rPr>
        <w:t>pozostaje bez uszczerbku dla istniejących umów, które zostały zawarte przed dniem 11 lipca 2026 r.</w:t>
      </w:r>
    </w:p>
    <w:p w14:paraId="3EFBB0D4" w14:textId="33A4BC1A" w:rsidR="00036C43" w:rsidRPr="009858C9" w:rsidRDefault="00036C43"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lastRenderedPageBreak/>
        <w:t xml:space="preserve">W </w:t>
      </w:r>
      <w:r w:rsidRPr="009858C9">
        <w:rPr>
          <w:rFonts w:ascii="Times New Roman" w:hAnsi="Times New Roman" w:cs="Times New Roman"/>
          <w:b/>
          <w:bCs/>
          <w:szCs w:val="24"/>
        </w:rPr>
        <w:t>art. 4</w:t>
      </w:r>
      <w:r w:rsidR="00D02BFA" w:rsidRPr="009858C9">
        <w:rPr>
          <w:rFonts w:ascii="Times New Roman" w:hAnsi="Times New Roman" w:cs="Times New Roman"/>
          <w:b/>
          <w:bCs/>
          <w:szCs w:val="24"/>
        </w:rPr>
        <w:t>9</w:t>
      </w:r>
      <w:r w:rsidRPr="009858C9">
        <w:rPr>
          <w:rFonts w:ascii="Times New Roman" w:hAnsi="Times New Roman" w:cs="Times New Roman"/>
          <w:szCs w:val="24"/>
        </w:rPr>
        <w:t xml:space="preserve"> zawarto przepis przejściowy, dotyczący postępowań w sprawie połączeń lub podziałów banków, o których mowa w art. 124</w:t>
      </w:r>
      <w:r w:rsidR="007D3579">
        <w:rPr>
          <w:rFonts w:ascii="Times New Roman" w:hAnsi="Times New Roman" w:cs="Times New Roman"/>
          <w:b/>
          <w:bCs/>
          <w:szCs w:val="24"/>
        </w:rPr>
        <w:t>–</w:t>
      </w:r>
      <w:r w:rsidRPr="009858C9">
        <w:rPr>
          <w:rFonts w:ascii="Times New Roman" w:hAnsi="Times New Roman" w:cs="Times New Roman"/>
          <w:szCs w:val="24"/>
        </w:rPr>
        <w:t>124</w:t>
      </w:r>
      <w:r w:rsidR="00F6312B" w:rsidRPr="009858C9">
        <w:rPr>
          <w:rFonts w:ascii="Times New Roman" w:hAnsi="Times New Roman" w:cs="Times New Roman"/>
          <w:szCs w:val="24"/>
        </w:rPr>
        <w:t>d</w:t>
      </w:r>
      <w:r w:rsidRPr="009858C9">
        <w:rPr>
          <w:rFonts w:ascii="Times New Roman" w:hAnsi="Times New Roman" w:cs="Times New Roman"/>
          <w:szCs w:val="24"/>
        </w:rPr>
        <w:t xml:space="preserve"> ustawy zmienianej w art. 1.</w:t>
      </w:r>
    </w:p>
    <w:p w14:paraId="38BE979D" w14:textId="15F04DD1" w:rsidR="00773AA1" w:rsidRPr="009858C9" w:rsidRDefault="00773AA1"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Zgodnie z </w:t>
      </w:r>
      <w:r w:rsidRPr="009858C9">
        <w:rPr>
          <w:rFonts w:ascii="Times New Roman" w:hAnsi="Times New Roman" w:cs="Times New Roman"/>
          <w:b/>
          <w:bCs/>
          <w:szCs w:val="24"/>
        </w:rPr>
        <w:t xml:space="preserve">art. </w:t>
      </w:r>
      <w:r w:rsidR="00D02BFA" w:rsidRPr="009858C9">
        <w:rPr>
          <w:rFonts w:ascii="Times New Roman" w:hAnsi="Times New Roman" w:cs="Times New Roman"/>
          <w:b/>
          <w:bCs/>
          <w:szCs w:val="24"/>
        </w:rPr>
        <w:t>50</w:t>
      </w:r>
      <w:r w:rsidR="001312CD" w:rsidRPr="009858C9">
        <w:rPr>
          <w:rFonts w:ascii="Times New Roman" w:hAnsi="Times New Roman" w:cs="Times New Roman"/>
          <w:szCs w:val="24"/>
        </w:rPr>
        <w:t xml:space="preserve"> </w:t>
      </w:r>
      <w:r w:rsidRPr="009858C9">
        <w:rPr>
          <w:rFonts w:ascii="Times New Roman" w:hAnsi="Times New Roman" w:cs="Times New Roman"/>
          <w:szCs w:val="24"/>
        </w:rPr>
        <w:t xml:space="preserve">przepis art. 8 ust. </w:t>
      </w:r>
      <w:r w:rsidR="00036C43" w:rsidRPr="009858C9">
        <w:rPr>
          <w:rFonts w:ascii="Times New Roman" w:hAnsi="Times New Roman" w:cs="Times New Roman"/>
          <w:szCs w:val="24"/>
        </w:rPr>
        <w:t>2</w:t>
      </w:r>
      <w:r w:rsidRPr="009858C9">
        <w:rPr>
          <w:rFonts w:ascii="Times New Roman" w:hAnsi="Times New Roman" w:cs="Times New Roman"/>
          <w:szCs w:val="24"/>
        </w:rPr>
        <w:t xml:space="preserve"> ustawy zmienianej w art. </w:t>
      </w:r>
      <w:r w:rsidR="00036C43" w:rsidRPr="009858C9">
        <w:rPr>
          <w:rFonts w:ascii="Times New Roman" w:hAnsi="Times New Roman" w:cs="Times New Roman"/>
          <w:szCs w:val="24"/>
        </w:rPr>
        <w:t>1</w:t>
      </w:r>
      <w:r w:rsidR="00D02BFA" w:rsidRPr="009858C9">
        <w:rPr>
          <w:rFonts w:ascii="Times New Roman" w:hAnsi="Times New Roman" w:cs="Times New Roman"/>
          <w:szCs w:val="24"/>
        </w:rPr>
        <w:t>4</w:t>
      </w:r>
      <w:r w:rsidRPr="009858C9">
        <w:rPr>
          <w:rFonts w:ascii="Times New Roman" w:hAnsi="Times New Roman" w:cs="Times New Roman"/>
          <w:szCs w:val="24"/>
        </w:rPr>
        <w:t>, w brzmieniu nadanym niniejszą ustawą, będzie stosowany do Przewodniczącego Komisji Nadzoru Finansowego i Zastępców Przewodniczącego Komisji Nadzoru Finansowego powołanych po dniu 11 stycznia 2026 r</w:t>
      </w:r>
      <w:r w:rsidR="00FB64C1" w:rsidRPr="009858C9">
        <w:rPr>
          <w:rFonts w:ascii="Times New Roman" w:hAnsi="Times New Roman" w:cs="Times New Roman"/>
          <w:szCs w:val="24"/>
        </w:rPr>
        <w:t xml:space="preserve">. Regulacja ta uwzględnia art. 4a </w:t>
      </w:r>
      <w:r w:rsidR="00FB64C1" w:rsidRPr="00BE264C">
        <w:rPr>
          <w:rFonts w:ascii="Times New Roman" w:hAnsi="Times New Roman" w:cs="Times New Roman"/>
          <w:szCs w:val="24"/>
        </w:rPr>
        <w:t>dyrektywy CRD VI</w:t>
      </w:r>
      <w:r w:rsidR="00B9479E" w:rsidRPr="00BE264C">
        <w:rPr>
          <w:rFonts w:ascii="Times New Roman" w:hAnsi="Times New Roman" w:cs="Times New Roman"/>
          <w:szCs w:val="24"/>
        </w:rPr>
        <w:t>, zgodnie z którym</w:t>
      </w:r>
      <w:r w:rsidR="00B9479E" w:rsidRPr="009858C9">
        <w:rPr>
          <w:rFonts w:ascii="Times New Roman" w:eastAsia="Times New Roman" w:hAnsi="Times New Roman" w:cs="Times New Roman"/>
          <w:szCs w:val="24"/>
        </w:rPr>
        <w:t xml:space="preserve"> </w:t>
      </w:r>
      <w:r w:rsidR="00B9479E" w:rsidRPr="00BE264C">
        <w:rPr>
          <w:rFonts w:ascii="Times New Roman" w:hAnsi="Times New Roman" w:cs="Times New Roman"/>
          <w:szCs w:val="24"/>
        </w:rPr>
        <w:t>żaden członek jednostki zarządzającej właściwego organu nadzoru, który został powołany po dniu 11 stycznia 2026 r., nie może sprawować urzędu dłużej niż 14 lat.</w:t>
      </w:r>
    </w:p>
    <w:p w14:paraId="41365141" w14:textId="51D0EFA3" w:rsidR="00EF7849" w:rsidRPr="009858C9" w:rsidRDefault="00762919"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 xml:space="preserve">Zgodnie z przepisem przejściowym wyprowadzonym w </w:t>
      </w:r>
      <w:r w:rsidRPr="009858C9">
        <w:rPr>
          <w:rFonts w:ascii="Times New Roman" w:hAnsi="Times New Roman" w:cs="Times New Roman"/>
          <w:b/>
          <w:bCs/>
          <w:szCs w:val="24"/>
        </w:rPr>
        <w:t xml:space="preserve">art. </w:t>
      </w:r>
      <w:r w:rsidR="005D76D9" w:rsidRPr="009858C9">
        <w:rPr>
          <w:rFonts w:ascii="Times New Roman" w:hAnsi="Times New Roman" w:cs="Times New Roman"/>
          <w:b/>
          <w:bCs/>
          <w:szCs w:val="24"/>
        </w:rPr>
        <w:t>5</w:t>
      </w:r>
      <w:r w:rsidR="00D02BFA" w:rsidRPr="009858C9">
        <w:rPr>
          <w:rFonts w:ascii="Times New Roman" w:hAnsi="Times New Roman" w:cs="Times New Roman"/>
          <w:b/>
          <w:bCs/>
          <w:szCs w:val="24"/>
        </w:rPr>
        <w:t>1</w:t>
      </w:r>
      <w:r w:rsidR="001312CD" w:rsidRPr="009858C9">
        <w:rPr>
          <w:rFonts w:ascii="Times New Roman" w:hAnsi="Times New Roman" w:cs="Times New Roman"/>
          <w:szCs w:val="24"/>
        </w:rPr>
        <w:t xml:space="preserve"> </w:t>
      </w:r>
      <w:r w:rsidR="00D02BFA" w:rsidRPr="009858C9">
        <w:rPr>
          <w:rFonts w:ascii="Times New Roman" w:hAnsi="Times New Roman" w:cs="Times New Roman"/>
          <w:szCs w:val="24"/>
        </w:rPr>
        <w:t>oddział banku zagranicznego utworzony na podstawie art. 40 ust. 1 ustawy zmienianej w art. 1, w brzmieniu dotychczasowym, może prowadzić działalność na podstawie przepisów dotychczasowych, do czasu rozpatrzenia przez Komisję Nadzoru Finansowego wniosku, o którym mowa w art. 41d ustawy zmienianej w art. 1, pod warunkiem złożenia tego wniosku do dnia 10 lutego 2027 r.</w:t>
      </w:r>
      <w:r w:rsidR="00D02BFA" w:rsidRPr="009858C9" w:rsidDel="00D02BFA">
        <w:rPr>
          <w:rFonts w:ascii="Times New Roman" w:hAnsi="Times New Roman" w:cs="Times New Roman"/>
          <w:szCs w:val="24"/>
        </w:rPr>
        <w:t xml:space="preserve"> </w:t>
      </w:r>
    </w:p>
    <w:p w14:paraId="6543FD22" w14:textId="34CC7236" w:rsidR="00762919" w:rsidRPr="009858C9" w:rsidRDefault="00EF7849" w:rsidP="009858C9">
      <w:pPr>
        <w:pStyle w:val="ZUSTzmustartykuempunktem"/>
        <w:spacing w:before="120"/>
        <w:ind w:left="0" w:firstLine="0"/>
        <w:rPr>
          <w:rFonts w:ascii="Times New Roman" w:hAnsi="Times New Roman" w:cs="Times New Roman"/>
          <w:bCs/>
          <w:szCs w:val="24"/>
        </w:rPr>
      </w:pPr>
      <w:r w:rsidRPr="009858C9">
        <w:rPr>
          <w:rFonts w:ascii="Times New Roman" w:hAnsi="Times New Roman" w:cs="Times New Roman"/>
          <w:szCs w:val="24"/>
        </w:rPr>
        <w:t xml:space="preserve">Zgodnie ze stanem na </w:t>
      </w:r>
      <w:r w:rsidR="00247561" w:rsidRPr="009858C9">
        <w:rPr>
          <w:rFonts w:ascii="Times New Roman" w:hAnsi="Times New Roman" w:cs="Times New Roman"/>
          <w:szCs w:val="24"/>
        </w:rPr>
        <w:t>kwiecień</w:t>
      </w:r>
      <w:r w:rsidR="008212D9" w:rsidRPr="009858C9">
        <w:rPr>
          <w:rFonts w:ascii="Times New Roman" w:hAnsi="Times New Roman" w:cs="Times New Roman"/>
          <w:szCs w:val="24"/>
        </w:rPr>
        <w:t xml:space="preserve"> </w:t>
      </w:r>
      <w:r w:rsidRPr="009858C9">
        <w:rPr>
          <w:rFonts w:ascii="Times New Roman" w:hAnsi="Times New Roman" w:cs="Times New Roman"/>
          <w:szCs w:val="24"/>
        </w:rPr>
        <w:t>202</w:t>
      </w:r>
      <w:r w:rsidR="00247561" w:rsidRPr="009858C9">
        <w:rPr>
          <w:rFonts w:ascii="Times New Roman" w:hAnsi="Times New Roman" w:cs="Times New Roman"/>
          <w:szCs w:val="24"/>
        </w:rPr>
        <w:t>6</w:t>
      </w:r>
      <w:r w:rsidRPr="009858C9">
        <w:rPr>
          <w:rFonts w:ascii="Times New Roman" w:hAnsi="Times New Roman" w:cs="Times New Roman"/>
          <w:szCs w:val="24"/>
        </w:rPr>
        <w:t xml:space="preserve"> r., w Polsce nie istnieje żaden oddział banku zagranicznego. Projektowany przepis przejściowy ma na celu </w:t>
      </w:r>
      <w:r w:rsidR="00612B4F" w:rsidRPr="009858C9">
        <w:rPr>
          <w:rFonts w:ascii="Times New Roman" w:hAnsi="Times New Roman" w:cs="Times New Roman"/>
          <w:szCs w:val="24"/>
        </w:rPr>
        <w:t>zapewn</w:t>
      </w:r>
      <w:r w:rsidRPr="009858C9">
        <w:rPr>
          <w:rFonts w:ascii="Times New Roman" w:hAnsi="Times New Roman" w:cs="Times New Roman"/>
          <w:szCs w:val="24"/>
        </w:rPr>
        <w:t>ienie</w:t>
      </w:r>
      <w:r w:rsidR="00612B4F" w:rsidRPr="009858C9">
        <w:rPr>
          <w:rFonts w:ascii="Times New Roman" w:hAnsi="Times New Roman" w:cs="Times New Roman"/>
          <w:szCs w:val="24"/>
        </w:rPr>
        <w:t xml:space="preserve"> możliwoś</w:t>
      </w:r>
      <w:r w:rsidR="00D60874" w:rsidRPr="009858C9">
        <w:rPr>
          <w:rFonts w:ascii="Times New Roman" w:hAnsi="Times New Roman" w:cs="Times New Roman"/>
          <w:szCs w:val="24"/>
        </w:rPr>
        <w:t>ci</w:t>
      </w:r>
      <w:r w:rsidR="00612B4F" w:rsidRPr="009858C9">
        <w:rPr>
          <w:rFonts w:ascii="Times New Roman" w:hAnsi="Times New Roman" w:cs="Times New Roman"/>
          <w:szCs w:val="24"/>
        </w:rPr>
        <w:t xml:space="preserve"> kontynuowania działalności</w:t>
      </w:r>
      <w:r w:rsidR="00442D8A" w:rsidRPr="009858C9">
        <w:rPr>
          <w:rFonts w:ascii="Times New Roman" w:hAnsi="Times New Roman" w:cs="Times New Roman"/>
          <w:szCs w:val="24"/>
        </w:rPr>
        <w:t xml:space="preserve"> rozpoczętej przed wejściem w życie projektowanych przepisów</w:t>
      </w:r>
      <w:r w:rsidR="00D60874" w:rsidRPr="009858C9">
        <w:rPr>
          <w:rFonts w:ascii="Times New Roman" w:hAnsi="Times New Roman" w:cs="Times New Roman"/>
          <w:szCs w:val="24"/>
        </w:rPr>
        <w:t>, gdyby od</w:t>
      </w:r>
      <w:r w:rsidR="00F663BD" w:rsidRPr="009858C9">
        <w:rPr>
          <w:rFonts w:ascii="Times New Roman" w:hAnsi="Times New Roman" w:cs="Times New Roman"/>
          <w:szCs w:val="24"/>
        </w:rPr>
        <w:t>d</w:t>
      </w:r>
      <w:r w:rsidR="00D60874" w:rsidRPr="009858C9">
        <w:rPr>
          <w:rFonts w:ascii="Times New Roman" w:hAnsi="Times New Roman" w:cs="Times New Roman"/>
          <w:szCs w:val="24"/>
        </w:rPr>
        <w:t>ział banku zagranicznego uzyskał zezwolenie na prowadzenie działalności</w:t>
      </w:r>
      <w:r w:rsidR="00F663BD" w:rsidRPr="009858C9">
        <w:rPr>
          <w:rFonts w:ascii="Times New Roman" w:hAnsi="Times New Roman" w:cs="Times New Roman"/>
          <w:szCs w:val="24"/>
        </w:rPr>
        <w:t xml:space="preserve"> na podstawie dotychczas obowiązujących przepisów</w:t>
      </w:r>
      <w:r w:rsidR="00D60874" w:rsidRPr="009858C9">
        <w:rPr>
          <w:rFonts w:ascii="Times New Roman" w:hAnsi="Times New Roman" w:cs="Times New Roman"/>
          <w:szCs w:val="24"/>
        </w:rPr>
        <w:t>.</w:t>
      </w:r>
      <w:r w:rsidR="00612B4F" w:rsidRPr="009858C9">
        <w:rPr>
          <w:rFonts w:ascii="Times New Roman" w:hAnsi="Times New Roman" w:cs="Times New Roman"/>
          <w:szCs w:val="24"/>
        </w:rPr>
        <w:t xml:space="preserve"> </w:t>
      </w:r>
    </w:p>
    <w:p w14:paraId="2266BFE0" w14:textId="7E8BBC0E" w:rsidR="007C4E14" w:rsidRPr="009858C9" w:rsidRDefault="00762919" w:rsidP="009858C9">
      <w:pPr>
        <w:pStyle w:val="ZUSTzmustartykuempunktem"/>
        <w:spacing w:before="120"/>
        <w:ind w:left="0" w:firstLine="0"/>
        <w:rPr>
          <w:rFonts w:ascii="Times New Roman" w:hAnsi="Times New Roman" w:cs="Times New Roman"/>
          <w:szCs w:val="24"/>
        </w:rPr>
      </w:pPr>
      <w:r w:rsidRPr="009858C9">
        <w:rPr>
          <w:rFonts w:ascii="Times New Roman" w:hAnsi="Times New Roman" w:cs="Times New Roman"/>
          <w:szCs w:val="24"/>
        </w:rPr>
        <w:t>W</w:t>
      </w:r>
      <w:r w:rsidRPr="009858C9">
        <w:rPr>
          <w:rFonts w:ascii="Times New Roman" w:hAnsi="Times New Roman" w:cs="Times New Roman"/>
          <w:b/>
          <w:bCs/>
          <w:szCs w:val="24"/>
        </w:rPr>
        <w:t xml:space="preserve"> art. </w:t>
      </w:r>
      <w:r w:rsidR="002500FA" w:rsidRPr="009858C9">
        <w:rPr>
          <w:rFonts w:ascii="Times New Roman" w:hAnsi="Times New Roman" w:cs="Times New Roman"/>
          <w:b/>
          <w:bCs/>
          <w:szCs w:val="24"/>
        </w:rPr>
        <w:t>5</w:t>
      </w:r>
      <w:r w:rsidR="00D02BFA" w:rsidRPr="009858C9">
        <w:rPr>
          <w:rFonts w:ascii="Times New Roman" w:hAnsi="Times New Roman" w:cs="Times New Roman"/>
          <w:b/>
          <w:bCs/>
          <w:szCs w:val="24"/>
        </w:rPr>
        <w:t>2</w:t>
      </w:r>
      <w:r w:rsidR="001312CD" w:rsidRPr="009858C9">
        <w:rPr>
          <w:rFonts w:ascii="Times New Roman" w:hAnsi="Times New Roman" w:cs="Times New Roman"/>
          <w:b/>
          <w:bCs/>
          <w:szCs w:val="24"/>
        </w:rPr>
        <w:t xml:space="preserve"> </w:t>
      </w:r>
      <w:r w:rsidRPr="009858C9">
        <w:rPr>
          <w:rFonts w:ascii="Times New Roman" w:hAnsi="Times New Roman" w:cs="Times New Roman"/>
          <w:szCs w:val="24"/>
        </w:rPr>
        <w:t xml:space="preserve">wprowadza się przepis przejściowy, zgodnie z którym </w:t>
      </w:r>
      <w:r w:rsidR="007C4E14" w:rsidRPr="009858C9">
        <w:rPr>
          <w:rFonts w:ascii="Times New Roman" w:hAnsi="Times New Roman" w:cs="Times New Roman"/>
          <w:szCs w:val="24"/>
        </w:rPr>
        <w:t xml:space="preserve">zakaz, o którym mowa w art. 10 ust. 3a ustawy zmienianej w art. </w:t>
      </w:r>
      <w:r w:rsidR="002C0D69" w:rsidRPr="009858C9">
        <w:rPr>
          <w:rFonts w:ascii="Times New Roman" w:hAnsi="Times New Roman" w:cs="Times New Roman"/>
          <w:szCs w:val="24"/>
        </w:rPr>
        <w:t>1</w:t>
      </w:r>
      <w:r w:rsidR="00D02BFA" w:rsidRPr="009858C9">
        <w:rPr>
          <w:rFonts w:ascii="Times New Roman" w:hAnsi="Times New Roman" w:cs="Times New Roman"/>
          <w:szCs w:val="24"/>
        </w:rPr>
        <w:t>4</w:t>
      </w:r>
      <w:r w:rsidR="007C4E14" w:rsidRPr="009858C9">
        <w:rPr>
          <w:rFonts w:ascii="Times New Roman" w:hAnsi="Times New Roman" w:cs="Times New Roman"/>
          <w:szCs w:val="24"/>
        </w:rPr>
        <w:t>, nie dotyczy pracowników Urzędu Komisji:</w:t>
      </w:r>
    </w:p>
    <w:p w14:paraId="5ADBCA2B" w14:textId="74E9AF5A" w:rsidR="007C4E14" w:rsidRPr="009858C9" w:rsidRDefault="007C4E14" w:rsidP="009858C9">
      <w:pPr>
        <w:pStyle w:val="PKTpunkt"/>
        <w:spacing w:before="120"/>
        <w:rPr>
          <w:rFonts w:ascii="Times New Roman" w:hAnsi="Times New Roman" w:cs="Times New Roman"/>
          <w:szCs w:val="24"/>
        </w:rPr>
      </w:pPr>
      <w:r w:rsidRPr="009858C9">
        <w:rPr>
          <w:rFonts w:ascii="Times New Roman" w:hAnsi="Times New Roman" w:cs="Times New Roman"/>
          <w:szCs w:val="24"/>
        </w:rPr>
        <w:t>1)</w:t>
      </w:r>
      <w:r w:rsidR="004F247B" w:rsidRPr="009858C9">
        <w:rPr>
          <w:rFonts w:ascii="Times New Roman" w:hAnsi="Times New Roman" w:cs="Times New Roman"/>
          <w:szCs w:val="24"/>
        </w:rPr>
        <w:tab/>
      </w:r>
      <w:r w:rsidRPr="009858C9">
        <w:rPr>
          <w:rFonts w:ascii="Times New Roman" w:hAnsi="Times New Roman" w:cs="Times New Roman"/>
          <w:szCs w:val="24"/>
        </w:rPr>
        <w:t>z którymi został rozwiązany stosunek pracy przed dniem wejścia w życie niniejszej ustawy</w:t>
      </w:r>
      <w:r w:rsidR="001E06D2" w:rsidRPr="009858C9">
        <w:rPr>
          <w:rFonts w:ascii="Times New Roman" w:hAnsi="Times New Roman" w:cs="Times New Roman"/>
          <w:szCs w:val="24"/>
        </w:rPr>
        <w:t xml:space="preserve"> albo</w:t>
      </w:r>
    </w:p>
    <w:p w14:paraId="32DC359A" w14:textId="4622CE05" w:rsidR="007C4E14" w:rsidRPr="009858C9" w:rsidRDefault="007C4E14" w:rsidP="009858C9">
      <w:pPr>
        <w:pStyle w:val="PKTpunkt"/>
        <w:spacing w:before="120"/>
        <w:rPr>
          <w:rFonts w:ascii="Times New Roman" w:hAnsi="Times New Roman" w:cs="Times New Roman"/>
          <w:szCs w:val="24"/>
        </w:rPr>
      </w:pPr>
      <w:r w:rsidRPr="009858C9">
        <w:rPr>
          <w:rFonts w:ascii="Times New Roman" w:hAnsi="Times New Roman" w:cs="Times New Roman"/>
          <w:szCs w:val="24"/>
        </w:rPr>
        <w:t>2)</w:t>
      </w:r>
      <w:r w:rsidR="004F247B" w:rsidRPr="009858C9">
        <w:rPr>
          <w:rFonts w:ascii="Times New Roman" w:hAnsi="Times New Roman" w:cs="Times New Roman"/>
          <w:szCs w:val="24"/>
        </w:rPr>
        <w:tab/>
      </w:r>
      <w:r w:rsidRPr="009858C9">
        <w:rPr>
          <w:rFonts w:ascii="Times New Roman" w:hAnsi="Times New Roman" w:cs="Times New Roman"/>
          <w:szCs w:val="24"/>
        </w:rPr>
        <w:t>których okres wypowiedzenia stosunku pracy rozpoczął się przed dniem wejścia w życie niniejszej ustawy</w:t>
      </w:r>
      <w:r w:rsidR="00D02BFA" w:rsidRPr="00BE264C">
        <w:rPr>
          <w:rFonts w:ascii="Times New Roman" w:hAnsi="Times New Roman" w:cs="Times New Roman"/>
          <w:szCs w:val="24"/>
        </w:rPr>
        <w:t xml:space="preserve"> </w:t>
      </w:r>
      <w:r w:rsidR="00D02BFA" w:rsidRPr="009858C9">
        <w:rPr>
          <w:rFonts w:ascii="Times New Roman" w:hAnsi="Times New Roman" w:cs="Times New Roman"/>
          <w:szCs w:val="24"/>
        </w:rPr>
        <w:t>i nie zakończył się przed tym dniem</w:t>
      </w:r>
      <w:r w:rsidR="001E06D2" w:rsidRPr="009858C9">
        <w:rPr>
          <w:rFonts w:ascii="Times New Roman" w:hAnsi="Times New Roman" w:cs="Times New Roman"/>
          <w:szCs w:val="24"/>
        </w:rPr>
        <w:t>, albo</w:t>
      </w:r>
    </w:p>
    <w:p w14:paraId="20B87E77" w14:textId="40468011" w:rsidR="00022DFD" w:rsidRPr="009858C9" w:rsidRDefault="007C4E14" w:rsidP="009858C9">
      <w:pPr>
        <w:pStyle w:val="PKTpunkt"/>
        <w:spacing w:before="120"/>
        <w:rPr>
          <w:rFonts w:ascii="Times New Roman" w:hAnsi="Times New Roman" w:cs="Times New Roman"/>
          <w:szCs w:val="24"/>
        </w:rPr>
      </w:pPr>
      <w:r w:rsidRPr="009858C9">
        <w:rPr>
          <w:rFonts w:ascii="Times New Roman" w:hAnsi="Times New Roman" w:cs="Times New Roman"/>
          <w:szCs w:val="24"/>
        </w:rPr>
        <w:t>3)</w:t>
      </w:r>
      <w:r w:rsidR="004F247B" w:rsidRPr="009858C9">
        <w:rPr>
          <w:rFonts w:ascii="Times New Roman" w:hAnsi="Times New Roman" w:cs="Times New Roman"/>
          <w:szCs w:val="24"/>
        </w:rPr>
        <w:tab/>
      </w:r>
      <w:r w:rsidRPr="009858C9">
        <w:rPr>
          <w:rFonts w:ascii="Times New Roman" w:hAnsi="Times New Roman" w:cs="Times New Roman"/>
          <w:szCs w:val="24"/>
        </w:rPr>
        <w:t>którzy w terminie 30 dni od dnia wejścia w życie niniejszej ustawy wystąpią o rozwiązanie stosunku pracy.</w:t>
      </w:r>
    </w:p>
    <w:p w14:paraId="1FBE3640" w14:textId="6F843616" w:rsidR="007C4E14" w:rsidRPr="009858C9" w:rsidRDefault="007C4E14" w:rsidP="009858C9">
      <w:pPr>
        <w:pStyle w:val="ARTartustawynprozporzdzenia"/>
        <w:ind w:firstLine="0"/>
        <w:rPr>
          <w:rFonts w:ascii="Times New Roman" w:hAnsi="Times New Roman" w:cs="Times New Roman"/>
          <w:szCs w:val="24"/>
        </w:rPr>
      </w:pPr>
      <w:r w:rsidRPr="009858C9">
        <w:rPr>
          <w:rFonts w:ascii="Times New Roman" w:hAnsi="Times New Roman" w:cs="Times New Roman"/>
          <w:szCs w:val="24"/>
        </w:rPr>
        <w:t xml:space="preserve">Stosownie do </w:t>
      </w:r>
      <w:r w:rsidRPr="009858C9">
        <w:rPr>
          <w:rFonts w:ascii="Times New Roman" w:hAnsi="Times New Roman" w:cs="Times New Roman"/>
          <w:b/>
          <w:bCs/>
          <w:szCs w:val="24"/>
        </w:rPr>
        <w:t xml:space="preserve">art. </w:t>
      </w:r>
      <w:r w:rsidR="002C0D69" w:rsidRPr="009858C9">
        <w:rPr>
          <w:rFonts w:ascii="Times New Roman" w:hAnsi="Times New Roman" w:cs="Times New Roman"/>
          <w:b/>
          <w:bCs/>
          <w:szCs w:val="24"/>
        </w:rPr>
        <w:t>5</w:t>
      </w:r>
      <w:r w:rsidR="001E06D2" w:rsidRPr="009858C9">
        <w:rPr>
          <w:rFonts w:ascii="Times New Roman" w:hAnsi="Times New Roman" w:cs="Times New Roman"/>
          <w:b/>
          <w:bCs/>
          <w:szCs w:val="24"/>
        </w:rPr>
        <w:t>3</w:t>
      </w:r>
      <w:r w:rsidR="001312CD" w:rsidRPr="009858C9">
        <w:rPr>
          <w:rFonts w:ascii="Times New Roman" w:hAnsi="Times New Roman" w:cs="Times New Roman"/>
          <w:szCs w:val="24"/>
        </w:rPr>
        <w:t xml:space="preserve"> </w:t>
      </w:r>
      <w:r w:rsidRPr="009858C9">
        <w:rPr>
          <w:rFonts w:ascii="Times New Roman" w:hAnsi="Times New Roman" w:cs="Times New Roman"/>
          <w:szCs w:val="24"/>
        </w:rPr>
        <w:t>Przewodniczący Komisji Nadzoru Finansowego, jego Zastępcy, członkowie Komisji Nadzoru Finansowego oraz pracownicy Urzędu Komisji Nadzoru Finansowego będą obowiązani do zbycia w terminie 6 miesięcy od dnia wejścia w życie niniejszej ustawy instrumentów finansowych, o których mowa w art. 15 ust. 2 ustawy zmienianej w art. 3, w brzmieniu nadanym niniejszą ustawą</w:t>
      </w:r>
      <w:r w:rsidR="00F87673" w:rsidRPr="009858C9">
        <w:rPr>
          <w:rFonts w:ascii="Times New Roman" w:hAnsi="Times New Roman" w:cs="Times New Roman"/>
          <w:szCs w:val="24"/>
        </w:rPr>
        <w:t>.</w:t>
      </w:r>
      <w:r w:rsidRPr="009858C9">
        <w:rPr>
          <w:rFonts w:ascii="Times New Roman" w:hAnsi="Times New Roman" w:cs="Times New Roman"/>
          <w:szCs w:val="24"/>
        </w:rPr>
        <w:t xml:space="preserve"> </w:t>
      </w:r>
    </w:p>
    <w:p w14:paraId="0CDB5A3B" w14:textId="143BF00D" w:rsidR="002C0D69" w:rsidRPr="009858C9" w:rsidRDefault="001410E0" w:rsidP="009858C9">
      <w:pPr>
        <w:pStyle w:val="ARTartustawynprozporzdzenia"/>
        <w:ind w:firstLine="0"/>
        <w:rPr>
          <w:rFonts w:ascii="Times New Roman" w:hAnsi="Times New Roman" w:cs="Times New Roman"/>
          <w:szCs w:val="24"/>
        </w:rPr>
      </w:pPr>
      <w:r w:rsidRPr="009858C9">
        <w:rPr>
          <w:rFonts w:ascii="Times New Roman" w:hAnsi="Times New Roman" w:cs="Times New Roman"/>
          <w:szCs w:val="24"/>
        </w:rPr>
        <w:lastRenderedPageBreak/>
        <w:t xml:space="preserve">Zgodnie z </w:t>
      </w:r>
      <w:r w:rsidRPr="009858C9">
        <w:rPr>
          <w:rFonts w:ascii="Times New Roman" w:hAnsi="Times New Roman" w:cs="Times New Roman"/>
          <w:b/>
          <w:bCs/>
          <w:szCs w:val="24"/>
        </w:rPr>
        <w:t xml:space="preserve">art. </w:t>
      </w:r>
      <w:r w:rsidR="002C0D69" w:rsidRPr="009858C9">
        <w:rPr>
          <w:rFonts w:ascii="Times New Roman" w:hAnsi="Times New Roman" w:cs="Times New Roman"/>
          <w:b/>
          <w:bCs/>
          <w:szCs w:val="24"/>
        </w:rPr>
        <w:t>5</w:t>
      </w:r>
      <w:r w:rsidR="001E06D2" w:rsidRPr="009858C9">
        <w:rPr>
          <w:rFonts w:ascii="Times New Roman" w:hAnsi="Times New Roman" w:cs="Times New Roman"/>
          <w:b/>
          <w:bCs/>
          <w:szCs w:val="24"/>
        </w:rPr>
        <w:t>4</w:t>
      </w:r>
      <w:r w:rsidR="001312CD" w:rsidRPr="009858C9">
        <w:rPr>
          <w:rFonts w:ascii="Times New Roman" w:hAnsi="Times New Roman" w:cs="Times New Roman"/>
          <w:szCs w:val="24"/>
        </w:rPr>
        <w:t xml:space="preserve"> </w:t>
      </w:r>
      <w:r w:rsidRPr="009858C9">
        <w:rPr>
          <w:rFonts w:ascii="Times New Roman" w:hAnsi="Times New Roman" w:cs="Times New Roman"/>
          <w:szCs w:val="24"/>
        </w:rPr>
        <w:t xml:space="preserve">Przewodniczący Komisji, jego Zastępcy oraz pracownicy Urzędu Komisji będą zobowiązani złożyć oświadczenie o braku konfliktu interesów, o którym mowa w art. 15b ust. 1 ustawy zmienianej w art. </w:t>
      </w:r>
      <w:r w:rsidR="001E06D2" w:rsidRPr="009858C9">
        <w:rPr>
          <w:rFonts w:ascii="Times New Roman" w:hAnsi="Times New Roman" w:cs="Times New Roman"/>
          <w:szCs w:val="24"/>
        </w:rPr>
        <w:t>14</w:t>
      </w:r>
      <w:r w:rsidRPr="009858C9">
        <w:rPr>
          <w:rFonts w:ascii="Times New Roman" w:hAnsi="Times New Roman" w:cs="Times New Roman"/>
          <w:szCs w:val="24"/>
        </w:rPr>
        <w:t xml:space="preserve">, w terminie 30 dni od dnia wejścia w życie niniejszej ustawy. </w:t>
      </w:r>
    </w:p>
    <w:p w14:paraId="27326C49" w14:textId="5E3926D7" w:rsidR="002C0D69" w:rsidRPr="009858C9" w:rsidRDefault="007C4E14" w:rsidP="009858C9">
      <w:pPr>
        <w:pStyle w:val="ARTartustawynprozporzdzenia"/>
        <w:ind w:firstLine="0"/>
        <w:rPr>
          <w:rFonts w:ascii="Times New Roman" w:hAnsi="Times New Roman" w:cs="Times New Roman"/>
          <w:szCs w:val="24"/>
        </w:rPr>
      </w:pPr>
      <w:r w:rsidRPr="009858C9">
        <w:rPr>
          <w:rFonts w:ascii="Times New Roman" w:hAnsi="Times New Roman" w:cs="Times New Roman"/>
          <w:szCs w:val="24"/>
        </w:rPr>
        <w:t xml:space="preserve">Zgodnie z </w:t>
      </w:r>
      <w:r w:rsidRPr="009858C9">
        <w:rPr>
          <w:rFonts w:ascii="Times New Roman" w:hAnsi="Times New Roman" w:cs="Times New Roman"/>
          <w:b/>
          <w:bCs/>
          <w:szCs w:val="24"/>
        </w:rPr>
        <w:t>a</w:t>
      </w:r>
      <w:r w:rsidRPr="009858C9">
        <w:rPr>
          <w:rStyle w:val="Ppogrubienie"/>
          <w:rFonts w:ascii="Times New Roman" w:hAnsi="Times New Roman" w:cs="Times New Roman"/>
          <w:szCs w:val="24"/>
        </w:rPr>
        <w:t xml:space="preserve">rt. </w:t>
      </w:r>
      <w:r w:rsidR="002C0D69" w:rsidRPr="009858C9">
        <w:rPr>
          <w:rStyle w:val="Ppogrubienie"/>
          <w:rFonts w:ascii="Times New Roman" w:hAnsi="Times New Roman" w:cs="Times New Roman"/>
          <w:szCs w:val="24"/>
        </w:rPr>
        <w:t>5</w:t>
      </w:r>
      <w:r w:rsidR="001E06D2" w:rsidRPr="009858C9">
        <w:rPr>
          <w:rStyle w:val="Ppogrubienie"/>
          <w:rFonts w:ascii="Times New Roman" w:hAnsi="Times New Roman" w:cs="Times New Roman"/>
          <w:szCs w:val="24"/>
        </w:rPr>
        <w:t>5</w:t>
      </w:r>
      <w:r w:rsidRPr="009858C9">
        <w:rPr>
          <w:rStyle w:val="Ppogrubienie"/>
          <w:rFonts w:ascii="Times New Roman" w:hAnsi="Times New Roman" w:cs="Times New Roman"/>
          <w:szCs w:val="24"/>
        </w:rPr>
        <w:t xml:space="preserve"> </w:t>
      </w:r>
      <w:r w:rsidRPr="009858C9">
        <w:rPr>
          <w:rFonts w:ascii="Times New Roman" w:hAnsi="Times New Roman" w:cs="Times New Roman"/>
          <w:szCs w:val="24"/>
        </w:rPr>
        <w:t xml:space="preserve">Przewodniczący Komisji Nadzoru Finansowego, jego Zastępcy oraz pracownicy Urzędu Komisji Nadzoru Finansowego będą zobowiązani do zbycia w terminie 6 miesięcy od dnia wejścia w życie niniejszej ustawy posiadanych w dniu wejścia w życie niniejszej ustawy instrumentów finansowych, o których mowa w art. 15c ust. 1 ustawy zmienianej w art. </w:t>
      </w:r>
      <w:r w:rsidR="001E06D2" w:rsidRPr="009858C9">
        <w:rPr>
          <w:rFonts w:ascii="Times New Roman" w:hAnsi="Times New Roman" w:cs="Times New Roman"/>
          <w:szCs w:val="24"/>
        </w:rPr>
        <w:t>14</w:t>
      </w:r>
      <w:r w:rsidRPr="009858C9">
        <w:rPr>
          <w:rFonts w:ascii="Times New Roman" w:hAnsi="Times New Roman" w:cs="Times New Roman"/>
          <w:szCs w:val="24"/>
        </w:rPr>
        <w:t xml:space="preserve">. </w:t>
      </w:r>
    </w:p>
    <w:p w14:paraId="46A44913" w14:textId="4D43AC89" w:rsidR="009B41FC" w:rsidRPr="009858C9" w:rsidRDefault="00EF3A8D" w:rsidP="009858C9">
      <w:pPr>
        <w:pStyle w:val="USTustnpkodeksu"/>
        <w:spacing w:before="120"/>
        <w:ind w:firstLine="0"/>
        <w:rPr>
          <w:rStyle w:val="Ppogrubienie"/>
          <w:rFonts w:ascii="Times New Roman" w:hAnsi="Times New Roman" w:cs="Times New Roman"/>
          <w:b w:val="0"/>
          <w:bCs w:val="0"/>
          <w:szCs w:val="24"/>
        </w:rPr>
      </w:pPr>
      <w:r w:rsidRPr="009858C9">
        <w:rPr>
          <w:rFonts w:ascii="Times New Roman" w:hAnsi="Times New Roman" w:cs="Times New Roman"/>
          <w:szCs w:val="24"/>
        </w:rPr>
        <w:t xml:space="preserve">W </w:t>
      </w:r>
      <w:r w:rsidR="007C4E14" w:rsidRPr="009858C9">
        <w:rPr>
          <w:rFonts w:ascii="Times New Roman" w:hAnsi="Times New Roman" w:cs="Times New Roman"/>
          <w:b/>
          <w:bCs w:val="0"/>
          <w:szCs w:val="24"/>
        </w:rPr>
        <w:t>a</w:t>
      </w:r>
      <w:r w:rsidR="007C4E14" w:rsidRPr="009858C9">
        <w:rPr>
          <w:rStyle w:val="Ppogrubienie"/>
          <w:rFonts w:ascii="Times New Roman" w:hAnsi="Times New Roman" w:cs="Times New Roman"/>
          <w:szCs w:val="24"/>
        </w:rPr>
        <w:t xml:space="preserve">rt. </w:t>
      </w:r>
      <w:r w:rsidR="002C0D69" w:rsidRPr="009858C9">
        <w:rPr>
          <w:rStyle w:val="Ppogrubienie"/>
          <w:rFonts w:ascii="Times New Roman" w:hAnsi="Times New Roman" w:cs="Times New Roman"/>
          <w:szCs w:val="24"/>
        </w:rPr>
        <w:t>5</w:t>
      </w:r>
      <w:r w:rsidR="001E06D2" w:rsidRPr="009858C9">
        <w:rPr>
          <w:rStyle w:val="Ppogrubienie"/>
          <w:rFonts w:ascii="Times New Roman" w:hAnsi="Times New Roman" w:cs="Times New Roman"/>
          <w:szCs w:val="24"/>
        </w:rPr>
        <w:t>6</w:t>
      </w:r>
      <w:r w:rsidR="001312CD" w:rsidRPr="009858C9">
        <w:rPr>
          <w:rStyle w:val="Ppogrubienie"/>
          <w:rFonts w:ascii="Times New Roman" w:hAnsi="Times New Roman" w:cs="Times New Roman"/>
          <w:szCs w:val="24"/>
        </w:rPr>
        <w:t xml:space="preserve"> </w:t>
      </w:r>
      <w:r w:rsidRPr="009858C9">
        <w:rPr>
          <w:rStyle w:val="Ppogrubienie"/>
          <w:rFonts w:ascii="Times New Roman" w:hAnsi="Times New Roman" w:cs="Times New Roman"/>
          <w:b w:val="0"/>
          <w:bCs w:val="0"/>
          <w:szCs w:val="24"/>
        </w:rPr>
        <w:t xml:space="preserve">wprowadza się przepis przejściowy, </w:t>
      </w:r>
      <w:r w:rsidR="009B41FC" w:rsidRPr="009858C9">
        <w:rPr>
          <w:rStyle w:val="Ppogrubienie"/>
          <w:rFonts w:ascii="Times New Roman" w:hAnsi="Times New Roman" w:cs="Times New Roman"/>
          <w:b w:val="0"/>
          <w:bCs w:val="0"/>
          <w:szCs w:val="24"/>
        </w:rPr>
        <w:t xml:space="preserve">określający zasady złożenia oświadczenia </w:t>
      </w:r>
      <w:r w:rsidR="0007735D" w:rsidRPr="009858C9">
        <w:rPr>
          <w:rStyle w:val="Ppogrubienie"/>
          <w:rFonts w:ascii="Times New Roman" w:hAnsi="Times New Roman" w:cs="Times New Roman"/>
          <w:b w:val="0"/>
          <w:bCs w:val="0"/>
          <w:szCs w:val="24"/>
        </w:rPr>
        <w:t>potwierdzającego zapoznanie się z informacją o zakazie świadczenia pracy na rzecz podmiotów nadzorowanych po zakończeniu stosunku pracy oraz skutki niezłożenia takiego oświadczenia w określonym terminie przez Przewodniczącego KNF, jego Zastępców oraz pracowników UKNF zatrudnionych w dniu wejścia w życie niniejszej ustawy w UKNF.</w:t>
      </w:r>
    </w:p>
    <w:p w14:paraId="3BCE5434" w14:textId="383EE135" w:rsidR="007C4E14" w:rsidRPr="009858C9" w:rsidRDefault="00EF3A8D" w:rsidP="009858C9">
      <w:pPr>
        <w:pStyle w:val="USTustnpkodeksu"/>
        <w:spacing w:before="120"/>
        <w:ind w:firstLine="0"/>
        <w:rPr>
          <w:rFonts w:ascii="Times New Roman" w:hAnsi="Times New Roman" w:cs="Times New Roman"/>
          <w:szCs w:val="24"/>
        </w:rPr>
      </w:pPr>
      <w:r w:rsidRPr="009858C9">
        <w:rPr>
          <w:rStyle w:val="Ppogrubienie"/>
          <w:rFonts w:ascii="Times New Roman" w:hAnsi="Times New Roman" w:cs="Times New Roman"/>
          <w:szCs w:val="24"/>
        </w:rPr>
        <w:t>Zgodnie z art. 5</w:t>
      </w:r>
      <w:r w:rsidR="001E06D2" w:rsidRPr="009858C9">
        <w:rPr>
          <w:rStyle w:val="Ppogrubienie"/>
          <w:rFonts w:ascii="Times New Roman" w:hAnsi="Times New Roman" w:cs="Times New Roman"/>
          <w:szCs w:val="24"/>
        </w:rPr>
        <w:t>7</w:t>
      </w:r>
      <w:r w:rsidR="005D76D9" w:rsidRPr="009858C9">
        <w:rPr>
          <w:rStyle w:val="Ppogrubienie"/>
          <w:rFonts w:ascii="Times New Roman" w:hAnsi="Times New Roman" w:cs="Times New Roman"/>
          <w:szCs w:val="24"/>
        </w:rPr>
        <w:t xml:space="preserve"> </w:t>
      </w:r>
      <w:r w:rsidR="007C4E14" w:rsidRPr="009858C9">
        <w:rPr>
          <w:rFonts w:ascii="Times New Roman" w:hAnsi="Times New Roman" w:cs="Times New Roman"/>
          <w:szCs w:val="24"/>
        </w:rPr>
        <w:t xml:space="preserve">przepisy wykonawcze wydane na podstawie art. 31b ustawy zmienianej w art. 1, w brzmieniu dotychczasowym, oraz art. 20 ust. 2 ustawy zmienianej w art. </w:t>
      </w:r>
      <w:r w:rsidR="001E06D2" w:rsidRPr="009858C9">
        <w:rPr>
          <w:rFonts w:ascii="Times New Roman" w:hAnsi="Times New Roman" w:cs="Times New Roman"/>
          <w:szCs w:val="24"/>
        </w:rPr>
        <w:t>14</w:t>
      </w:r>
      <w:r w:rsidR="007C4E14" w:rsidRPr="009858C9">
        <w:rPr>
          <w:rFonts w:ascii="Times New Roman" w:hAnsi="Times New Roman" w:cs="Times New Roman"/>
          <w:szCs w:val="24"/>
        </w:rPr>
        <w:t xml:space="preserve">, w brzmieniu dotychczasowym, zachowują moc do dnia wejścia w życie przepisów wykonawczych wydanych odpowiednio na podstawie art. 31b ustawy zmienianej w art. 1, w brzmieniu nadanym niniejszą ustawą, i art. 20 ust. 2 ustawy zmienianej w art. </w:t>
      </w:r>
      <w:r w:rsidR="001E06D2" w:rsidRPr="009858C9">
        <w:rPr>
          <w:rFonts w:ascii="Times New Roman" w:hAnsi="Times New Roman" w:cs="Times New Roman"/>
          <w:szCs w:val="24"/>
        </w:rPr>
        <w:t>14</w:t>
      </w:r>
      <w:r w:rsidR="007C4E14" w:rsidRPr="009858C9">
        <w:rPr>
          <w:rFonts w:ascii="Times New Roman" w:hAnsi="Times New Roman" w:cs="Times New Roman"/>
          <w:szCs w:val="24"/>
        </w:rPr>
        <w:t xml:space="preserve">, w brzmieniu nadanym niniejszą ustawą, nie dłużej jednak niż przez </w:t>
      </w:r>
      <w:r w:rsidR="00A025AE">
        <w:rPr>
          <w:rFonts w:ascii="Times New Roman" w:hAnsi="Times New Roman" w:cs="Times New Roman"/>
          <w:szCs w:val="24"/>
        </w:rPr>
        <w:t>6</w:t>
      </w:r>
      <w:r w:rsidR="007C4E14" w:rsidRPr="009858C9">
        <w:rPr>
          <w:rFonts w:ascii="Times New Roman" w:hAnsi="Times New Roman" w:cs="Times New Roman"/>
          <w:szCs w:val="24"/>
        </w:rPr>
        <w:t xml:space="preserve"> miesięcy od dnia wejścia w życie niniejszej ustawy.</w:t>
      </w:r>
    </w:p>
    <w:p w14:paraId="1A7A4ED2" w14:textId="7964931B" w:rsidR="001E06D2" w:rsidRPr="00BE264C" w:rsidRDefault="00A740E9" w:rsidP="00BE264C">
      <w:pPr>
        <w:pStyle w:val="ARTartustawynprozporzdzenia"/>
        <w:rPr>
          <w:rFonts w:ascii="Times New Roman" w:hAnsi="Times New Roman" w:cs="Times New Roman"/>
          <w:szCs w:val="24"/>
        </w:rPr>
      </w:pPr>
      <w:r w:rsidRPr="00BE264C">
        <w:rPr>
          <w:rFonts w:ascii="Times New Roman" w:hAnsi="Times New Roman" w:cs="Times New Roman"/>
          <w:b/>
          <w:bCs/>
          <w:szCs w:val="24"/>
        </w:rPr>
        <w:t>Zgodnie z art.</w:t>
      </w:r>
      <w:r w:rsidR="002500FA" w:rsidRPr="00BE264C">
        <w:rPr>
          <w:rFonts w:ascii="Times New Roman" w:hAnsi="Times New Roman" w:cs="Times New Roman"/>
          <w:b/>
          <w:bCs/>
          <w:szCs w:val="24"/>
        </w:rPr>
        <w:t xml:space="preserve"> </w:t>
      </w:r>
      <w:r w:rsidR="002C0D69" w:rsidRPr="00BE264C">
        <w:rPr>
          <w:rFonts w:ascii="Times New Roman" w:hAnsi="Times New Roman" w:cs="Times New Roman"/>
          <w:b/>
          <w:bCs/>
          <w:szCs w:val="24"/>
        </w:rPr>
        <w:t>5</w:t>
      </w:r>
      <w:r w:rsidR="005D76D9" w:rsidRPr="00BE264C">
        <w:rPr>
          <w:rFonts w:ascii="Times New Roman" w:hAnsi="Times New Roman" w:cs="Times New Roman"/>
          <w:b/>
          <w:bCs/>
          <w:szCs w:val="24"/>
        </w:rPr>
        <w:t>7</w:t>
      </w:r>
      <w:r w:rsidR="00A16FCC" w:rsidRPr="00BE264C">
        <w:rPr>
          <w:rFonts w:ascii="Times New Roman" w:hAnsi="Times New Roman" w:cs="Times New Roman"/>
          <w:szCs w:val="24"/>
        </w:rPr>
        <w:t xml:space="preserve"> </w:t>
      </w:r>
      <w:r w:rsidR="001E06D2" w:rsidRPr="00BE264C">
        <w:rPr>
          <w:rFonts w:ascii="Times New Roman" w:hAnsi="Times New Roman" w:cs="Times New Roman"/>
          <w:szCs w:val="24"/>
        </w:rPr>
        <w:t>ustawa wejdzie w życie po upływie 14 dni od dnia ogłoszenia</w:t>
      </w:r>
      <w:bookmarkStart w:id="13" w:name="_Hlk199753799"/>
      <w:r w:rsidR="001E06D2" w:rsidRPr="00BE264C">
        <w:rPr>
          <w:rFonts w:ascii="Times New Roman" w:hAnsi="Times New Roman" w:cs="Times New Roman"/>
          <w:szCs w:val="24"/>
        </w:rPr>
        <w:t>, z wyjątkiem art. 1</w:t>
      </w:r>
      <w:bookmarkEnd w:id="13"/>
      <w:r w:rsidR="001E06D2" w:rsidRPr="00BE264C">
        <w:rPr>
          <w:rFonts w:ascii="Times New Roman" w:hAnsi="Times New Roman" w:cs="Times New Roman"/>
          <w:szCs w:val="24"/>
        </w:rPr>
        <w:t xml:space="preserve"> pkt 2, pkt 3 lit. c</w:t>
      </w:r>
      <w:r w:rsidR="007D3579">
        <w:rPr>
          <w:rFonts w:ascii="Times New Roman" w:hAnsi="Times New Roman" w:cs="Times New Roman"/>
          <w:b/>
          <w:bCs/>
          <w:szCs w:val="24"/>
        </w:rPr>
        <w:t>–</w:t>
      </w:r>
      <w:r w:rsidR="001E06D2" w:rsidRPr="00BE264C">
        <w:rPr>
          <w:rFonts w:ascii="Times New Roman" w:hAnsi="Times New Roman" w:cs="Times New Roman"/>
          <w:szCs w:val="24"/>
        </w:rPr>
        <w:t>e oraz lit. j w zakresie pkt 6</w:t>
      </w:r>
      <w:r w:rsidR="00A025AE">
        <w:rPr>
          <w:rFonts w:ascii="Times New Roman" w:hAnsi="Times New Roman" w:cs="Times New Roman"/>
          <w:szCs w:val="24"/>
        </w:rPr>
        <w:t>7</w:t>
      </w:r>
      <w:r w:rsidR="001E06D2" w:rsidRPr="00BE264C">
        <w:rPr>
          <w:rFonts w:ascii="Times New Roman" w:hAnsi="Times New Roman" w:cs="Times New Roman"/>
          <w:szCs w:val="24"/>
        </w:rPr>
        <w:t>, pkt 9, pkt 10 lit. b, c oraz lit. d w zakresie pkt 33 i 34, pkt 28 i 29, 44, 50, 52, 55, art. 2, art. 3, art. 5–8, art. 9 pkt 3, art. 11 pkt 2, art. 12, art. 13, art. 14 pkt 6 lit. a i d, art. 15–24, art. 26–40, art. 47, art. 48 i art. 51, które wchodzą w życie z dniem 11 stycznia 2027 r.</w:t>
      </w:r>
    </w:p>
    <w:p w14:paraId="5141589D" w14:textId="62981066" w:rsidR="00937F06" w:rsidRPr="00BE264C" w:rsidRDefault="00937F06" w:rsidP="009858C9">
      <w:pPr>
        <w:pStyle w:val="ARTartustawynprozporzdzenia"/>
        <w:ind w:firstLine="0"/>
        <w:jc w:val="center"/>
        <w:rPr>
          <w:rFonts w:ascii="Times New Roman" w:hAnsi="Times New Roman" w:cs="Times New Roman"/>
          <w:bCs/>
          <w:szCs w:val="24"/>
        </w:rPr>
      </w:pPr>
    </w:p>
    <w:p w14:paraId="1A75236C" w14:textId="490740CF" w:rsidR="00A16FCC" w:rsidRPr="00BE264C" w:rsidRDefault="00A16FCC"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Zgodnie z art. 3 dyrektywy</w:t>
      </w:r>
      <w:r w:rsidR="00937F06" w:rsidRPr="00BE264C">
        <w:rPr>
          <w:rFonts w:ascii="Times New Roman" w:hAnsi="Times New Roman" w:cs="Times New Roman"/>
          <w:sz w:val="24"/>
          <w:szCs w:val="24"/>
        </w:rPr>
        <w:t xml:space="preserve"> CRD VI</w:t>
      </w:r>
      <w:r w:rsidRPr="00BE264C">
        <w:rPr>
          <w:rFonts w:ascii="Times New Roman" w:hAnsi="Times New Roman" w:cs="Times New Roman"/>
          <w:sz w:val="24"/>
          <w:szCs w:val="24"/>
        </w:rPr>
        <w:t xml:space="preserve"> państwa członkowskie wprowadzą w życie przepisy ustawowe, wykonawcze i administracyjne niezbędne do jej wykonania, co do zasady, od dnia 11 stycznia 2026 r. Wyjątkiem jest art. 1 pkt 9 i 13 dyrektywy CRD VI, które będą stosowane od 11 stycznia 2027 r. </w:t>
      </w:r>
    </w:p>
    <w:p w14:paraId="1ADC966A" w14:textId="77777777" w:rsidR="00A16FCC" w:rsidRPr="00BE264C" w:rsidRDefault="00A16FCC"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lastRenderedPageBreak/>
        <w:t>Natomiast zgodnie z dyrektywą 2024/2994 państwa członkowskie wprowadzą w życie przepisy ustawowe, wykonawcze i administracyjne niezbędne do jej wykonania od dnia 25 czerwca 2026 r.</w:t>
      </w:r>
    </w:p>
    <w:p w14:paraId="3193429C" w14:textId="4907CBED" w:rsidR="00B82B08" w:rsidRPr="00BE264C" w:rsidRDefault="00B82B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 xml:space="preserve">Projekt ustawy nie wymaga przedstawienia właściwym organom i instytucjom Unii Europejskiej, w tym Europejskiemu Bankowi Centralnemu, w celu uzyskania opinii, dokonania powiadomienia, konsultacji albo uzgodnienia. </w:t>
      </w:r>
    </w:p>
    <w:p w14:paraId="39EA6ED6" w14:textId="77777777" w:rsidR="00BC1B66" w:rsidRPr="00BE264C" w:rsidRDefault="00E4047D"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Projekt nie podlega notyfikacji zgodnie z procedurą określoną w rozporządzeniu Rady Ministrów z dnia 23 grudnia 2002 r. w sprawie sposobu funkcjonowania krajowego systemu notyfikacji norm i aktów prawnych (Dz. U.</w:t>
      </w:r>
      <w:r w:rsidR="00300D70" w:rsidRPr="00BE264C">
        <w:rPr>
          <w:rFonts w:ascii="Times New Roman" w:hAnsi="Times New Roman" w:cs="Times New Roman"/>
          <w:sz w:val="24"/>
          <w:szCs w:val="24"/>
        </w:rPr>
        <w:t xml:space="preserve"> z 2002 r.</w:t>
      </w:r>
      <w:r w:rsidRPr="00BE264C">
        <w:rPr>
          <w:rFonts w:ascii="Times New Roman" w:hAnsi="Times New Roman" w:cs="Times New Roman"/>
          <w:sz w:val="24"/>
          <w:szCs w:val="24"/>
        </w:rPr>
        <w:t xml:space="preserve"> poz. 2039, z późn. zm.).</w:t>
      </w:r>
    </w:p>
    <w:p w14:paraId="3AAE7238" w14:textId="5049CA80" w:rsidR="00B82B08" w:rsidRPr="00BE264C" w:rsidRDefault="00B82B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Zawarte w projekcie regulacje pozytywnie wpłyną na działalność mikroprzedsiębiorców, małych i średnich przedsiębiorców zgodnie z ustawą z dnia 6 marca 2018 r. – Prawo przedsiębiorców (Dz. U. z 202</w:t>
      </w:r>
      <w:r w:rsidR="0074085A" w:rsidRPr="00BE264C">
        <w:rPr>
          <w:rFonts w:ascii="Times New Roman" w:hAnsi="Times New Roman" w:cs="Times New Roman"/>
          <w:sz w:val="24"/>
          <w:szCs w:val="24"/>
        </w:rPr>
        <w:t xml:space="preserve">5 </w:t>
      </w:r>
      <w:r w:rsidRPr="00BE264C">
        <w:rPr>
          <w:rFonts w:ascii="Times New Roman" w:hAnsi="Times New Roman" w:cs="Times New Roman"/>
          <w:sz w:val="24"/>
          <w:szCs w:val="24"/>
        </w:rPr>
        <w:t xml:space="preserve">r. poz. </w:t>
      </w:r>
      <w:r w:rsidR="0074085A" w:rsidRPr="00BE264C">
        <w:rPr>
          <w:rFonts w:ascii="Times New Roman" w:hAnsi="Times New Roman" w:cs="Times New Roman"/>
          <w:sz w:val="24"/>
          <w:szCs w:val="24"/>
        </w:rPr>
        <w:t>1480</w:t>
      </w:r>
      <w:r w:rsidR="00720668" w:rsidRPr="00BE264C">
        <w:rPr>
          <w:rFonts w:ascii="Times New Roman" w:hAnsi="Times New Roman" w:cs="Times New Roman"/>
          <w:sz w:val="24"/>
          <w:szCs w:val="24"/>
        </w:rPr>
        <w:t>, z późn. zm.</w:t>
      </w:r>
      <w:r w:rsidRPr="00BE264C">
        <w:rPr>
          <w:rFonts w:ascii="Times New Roman" w:hAnsi="Times New Roman" w:cs="Times New Roman"/>
          <w:sz w:val="24"/>
          <w:szCs w:val="24"/>
        </w:rPr>
        <w:t>). Wpływ ten został przedstawiony w</w:t>
      </w:r>
      <w:r w:rsidR="00831F5D" w:rsidRPr="00BE264C">
        <w:rPr>
          <w:rFonts w:ascii="Times New Roman" w:hAnsi="Times New Roman" w:cs="Times New Roman"/>
          <w:sz w:val="24"/>
          <w:szCs w:val="24"/>
        </w:rPr>
        <w:t> </w:t>
      </w:r>
      <w:r w:rsidRPr="00BE264C">
        <w:rPr>
          <w:rFonts w:ascii="Times New Roman" w:hAnsi="Times New Roman" w:cs="Times New Roman"/>
          <w:sz w:val="24"/>
          <w:szCs w:val="24"/>
        </w:rPr>
        <w:t>Ocenie Skutków Regulacji.</w:t>
      </w:r>
    </w:p>
    <w:p w14:paraId="5160A08A" w14:textId="49E5E1F8" w:rsidR="00B82B08" w:rsidRPr="00BE264C" w:rsidRDefault="00B82B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Stosownie do art. 4 ustawy z dnia 7 lipca 2005 r. o działalności lobbingowej w procesie stanowienia prawa projekt ustawy został zamieszczony w wykazie prac legislacyjnych i</w:t>
      </w:r>
      <w:r w:rsidR="00831F5D" w:rsidRPr="00BE264C">
        <w:rPr>
          <w:rFonts w:ascii="Times New Roman" w:hAnsi="Times New Roman" w:cs="Times New Roman"/>
          <w:sz w:val="24"/>
          <w:szCs w:val="24"/>
        </w:rPr>
        <w:t> </w:t>
      </w:r>
      <w:r w:rsidRPr="00BE264C">
        <w:rPr>
          <w:rFonts w:ascii="Times New Roman" w:hAnsi="Times New Roman" w:cs="Times New Roman"/>
          <w:sz w:val="24"/>
          <w:szCs w:val="24"/>
        </w:rPr>
        <w:t xml:space="preserve">programowych Rady Ministrów pod numerem </w:t>
      </w:r>
      <w:r w:rsidR="002E65C7" w:rsidRPr="00BE264C">
        <w:rPr>
          <w:rFonts w:ascii="Times New Roman" w:hAnsi="Times New Roman" w:cs="Times New Roman"/>
          <w:sz w:val="24"/>
          <w:szCs w:val="24"/>
        </w:rPr>
        <w:t>UC96</w:t>
      </w:r>
      <w:r w:rsidRPr="00BE264C">
        <w:rPr>
          <w:rFonts w:ascii="Times New Roman" w:hAnsi="Times New Roman" w:cs="Times New Roman"/>
          <w:sz w:val="24"/>
          <w:szCs w:val="24"/>
        </w:rPr>
        <w:t>.</w:t>
      </w:r>
    </w:p>
    <w:p w14:paraId="02FBB1F1" w14:textId="08C35BE0" w:rsidR="00B82B08" w:rsidRPr="00BE264C" w:rsidRDefault="00B82B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Zgodnie z art. 5 ustawy z dnia 7 lipca 2005 r. o działalności lobbingowej w procesie stanowienia prawa oraz § 52 uchwały nr 190 Rady Ministrów z dnia 29 października 2013 r. – Regulamin pracy Rady Ministrów (M.P. z 202</w:t>
      </w:r>
      <w:r w:rsidR="00366745" w:rsidRPr="00BE264C">
        <w:rPr>
          <w:rFonts w:ascii="Times New Roman" w:hAnsi="Times New Roman" w:cs="Times New Roman"/>
          <w:sz w:val="24"/>
          <w:szCs w:val="24"/>
        </w:rPr>
        <w:t>6</w:t>
      </w:r>
      <w:r w:rsidRPr="00BE264C">
        <w:rPr>
          <w:rFonts w:ascii="Times New Roman" w:hAnsi="Times New Roman" w:cs="Times New Roman"/>
          <w:sz w:val="24"/>
          <w:szCs w:val="24"/>
        </w:rPr>
        <w:t xml:space="preserve"> r. poz. </w:t>
      </w:r>
      <w:r w:rsidR="00366745" w:rsidRPr="00BE264C">
        <w:rPr>
          <w:rFonts w:ascii="Times New Roman" w:hAnsi="Times New Roman" w:cs="Times New Roman"/>
          <w:sz w:val="24"/>
          <w:szCs w:val="24"/>
        </w:rPr>
        <w:t>404</w:t>
      </w:r>
      <w:r w:rsidRPr="00BE264C">
        <w:rPr>
          <w:rFonts w:ascii="Times New Roman" w:hAnsi="Times New Roman" w:cs="Times New Roman"/>
          <w:sz w:val="24"/>
          <w:szCs w:val="24"/>
        </w:rPr>
        <w:t>) projekt ustawy zosta</w:t>
      </w:r>
      <w:r w:rsidR="008B67E5" w:rsidRPr="00BE264C">
        <w:rPr>
          <w:rFonts w:ascii="Times New Roman" w:hAnsi="Times New Roman" w:cs="Times New Roman"/>
          <w:sz w:val="24"/>
          <w:szCs w:val="24"/>
        </w:rPr>
        <w:t>ł</w:t>
      </w:r>
      <w:r w:rsidRPr="00BE264C">
        <w:rPr>
          <w:rFonts w:ascii="Times New Roman" w:hAnsi="Times New Roman" w:cs="Times New Roman"/>
          <w:sz w:val="24"/>
          <w:szCs w:val="24"/>
        </w:rPr>
        <w:t xml:space="preserve"> udostępniony w Biuletynie Informacji Publicznej na stronie podmiotowej Rządowego Centrum Legislacji, w serwisie Rządowy Proces Legislacyjny.</w:t>
      </w:r>
    </w:p>
    <w:p w14:paraId="4867EE59" w14:textId="4A70440A" w:rsidR="00E43CC1" w:rsidRPr="00BE264C" w:rsidRDefault="00B82B08" w:rsidP="009858C9">
      <w:pPr>
        <w:spacing w:before="120" w:after="0" w:line="360" w:lineRule="auto"/>
        <w:jc w:val="both"/>
        <w:rPr>
          <w:rFonts w:ascii="Times New Roman" w:hAnsi="Times New Roman" w:cs="Times New Roman"/>
          <w:sz w:val="24"/>
          <w:szCs w:val="24"/>
        </w:rPr>
      </w:pPr>
      <w:r w:rsidRPr="00BE264C">
        <w:rPr>
          <w:rFonts w:ascii="Times New Roman" w:hAnsi="Times New Roman" w:cs="Times New Roman"/>
          <w:sz w:val="24"/>
          <w:szCs w:val="24"/>
        </w:rPr>
        <w:t>Projekt ustawy jest zgodny z prawem Unii Europejskiej</w:t>
      </w:r>
      <w:r w:rsidR="000237E6" w:rsidRPr="00BE264C">
        <w:rPr>
          <w:rFonts w:ascii="Times New Roman" w:hAnsi="Times New Roman" w:cs="Times New Roman"/>
          <w:sz w:val="24"/>
          <w:szCs w:val="24"/>
        </w:rPr>
        <w:t>.</w:t>
      </w:r>
    </w:p>
    <w:sectPr w:rsidR="00E43CC1" w:rsidRPr="00BE264C" w:rsidSect="00BE264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ACC1" w14:textId="77777777" w:rsidR="00855177" w:rsidRDefault="00855177" w:rsidP="00B11FF9">
      <w:pPr>
        <w:spacing w:after="0" w:line="240" w:lineRule="auto"/>
      </w:pPr>
      <w:r>
        <w:separator/>
      </w:r>
    </w:p>
  </w:endnote>
  <w:endnote w:type="continuationSeparator" w:id="0">
    <w:p w14:paraId="3A995C99" w14:textId="77777777" w:rsidR="00855177" w:rsidRDefault="00855177" w:rsidP="00B1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945557"/>
      <w:docPartObj>
        <w:docPartGallery w:val="Page Numbers (Bottom of Page)"/>
        <w:docPartUnique/>
      </w:docPartObj>
    </w:sdtPr>
    <w:sdtEndPr>
      <w:rPr>
        <w:rFonts w:ascii="Times New Roman" w:hAnsi="Times New Roman" w:cs="Times New Roman"/>
        <w:sz w:val="24"/>
        <w:szCs w:val="24"/>
      </w:rPr>
    </w:sdtEndPr>
    <w:sdtContent>
      <w:p w14:paraId="72169CF5" w14:textId="53828C9A" w:rsidR="00BE264C" w:rsidRPr="00BE264C" w:rsidRDefault="00BE264C" w:rsidP="00BE264C">
        <w:pPr>
          <w:pStyle w:val="Stopka"/>
          <w:jc w:val="center"/>
          <w:rPr>
            <w:rFonts w:ascii="Times New Roman" w:hAnsi="Times New Roman" w:cs="Times New Roman"/>
            <w:sz w:val="24"/>
            <w:szCs w:val="24"/>
          </w:rPr>
        </w:pPr>
        <w:r w:rsidRPr="00BE264C">
          <w:rPr>
            <w:rFonts w:ascii="Times New Roman" w:hAnsi="Times New Roman" w:cs="Times New Roman"/>
            <w:sz w:val="24"/>
            <w:szCs w:val="24"/>
          </w:rPr>
          <w:fldChar w:fldCharType="begin"/>
        </w:r>
        <w:r w:rsidRPr="00BE264C">
          <w:rPr>
            <w:rFonts w:ascii="Times New Roman" w:hAnsi="Times New Roman" w:cs="Times New Roman"/>
            <w:sz w:val="24"/>
            <w:szCs w:val="24"/>
          </w:rPr>
          <w:instrText>PAGE   \* MERGEFORMAT</w:instrText>
        </w:r>
        <w:r w:rsidRPr="00BE264C">
          <w:rPr>
            <w:rFonts w:ascii="Times New Roman" w:hAnsi="Times New Roman" w:cs="Times New Roman"/>
            <w:sz w:val="24"/>
            <w:szCs w:val="24"/>
          </w:rPr>
          <w:fldChar w:fldCharType="separate"/>
        </w:r>
        <w:r w:rsidRPr="00BE264C">
          <w:rPr>
            <w:rFonts w:ascii="Times New Roman" w:hAnsi="Times New Roman" w:cs="Times New Roman"/>
            <w:sz w:val="24"/>
            <w:szCs w:val="24"/>
          </w:rPr>
          <w:t>2</w:t>
        </w:r>
        <w:r w:rsidRPr="00BE264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C459" w14:textId="77777777" w:rsidR="00855177" w:rsidRDefault="00855177" w:rsidP="00B11FF9">
      <w:pPr>
        <w:spacing w:after="0" w:line="240" w:lineRule="auto"/>
      </w:pPr>
      <w:r>
        <w:separator/>
      </w:r>
    </w:p>
  </w:footnote>
  <w:footnote w:type="continuationSeparator" w:id="0">
    <w:p w14:paraId="4867BEA2" w14:textId="77777777" w:rsidR="00855177" w:rsidRDefault="00855177" w:rsidP="00B11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255"/>
    <w:multiLevelType w:val="hybridMultilevel"/>
    <w:tmpl w:val="939AE0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F3ADA"/>
    <w:multiLevelType w:val="hybridMultilevel"/>
    <w:tmpl w:val="09488CA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782FDA"/>
    <w:multiLevelType w:val="hybridMultilevel"/>
    <w:tmpl w:val="FC444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615BF"/>
    <w:multiLevelType w:val="hybridMultilevel"/>
    <w:tmpl w:val="D896B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357A1"/>
    <w:multiLevelType w:val="hybridMultilevel"/>
    <w:tmpl w:val="07B4FA2E"/>
    <w:lvl w:ilvl="0" w:tplc="25CE97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747ED7"/>
    <w:multiLevelType w:val="hybridMultilevel"/>
    <w:tmpl w:val="BEA081E8"/>
    <w:lvl w:ilvl="0" w:tplc="21AADD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BA75D3"/>
    <w:multiLevelType w:val="hybridMultilevel"/>
    <w:tmpl w:val="E6A00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3956C5"/>
    <w:multiLevelType w:val="hybridMultilevel"/>
    <w:tmpl w:val="F410C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43EA6"/>
    <w:multiLevelType w:val="hybridMultilevel"/>
    <w:tmpl w:val="38F6C54C"/>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C41145"/>
    <w:multiLevelType w:val="hybridMultilevel"/>
    <w:tmpl w:val="817E4370"/>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8E5395"/>
    <w:multiLevelType w:val="hybridMultilevel"/>
    <w:tmpl w:val="6F3A8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E32A24"/>
    <w:multiLevelType w:val="hybridMultilevel"/>
    <w:tmpl w:val="1710300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291BE2"/>
    <w:multiLevelType w:val="hybridMultilevel"/>
    <w:tmpl w:val="D9D2D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8A4706"/>
    <w:multiLevelType w:val="hybridMultilevel"/>
    <w:tmpl w:val="D2A6B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A651B7"/>
    <w:multiLevelType w:val="hybridMultilevel"/>
    <w:tmpl w:val="60D0700A"/>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4541C8"/>
    <w:multiLevelType w:val="hybridMultilevel"/>
    <w:tmpl w:val="AD6A2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A11D85"/>
    <w:multiLevelType w:val="hybridMultilevel"/>
    <w:tmpl w:val="69183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FE38D0"/>
    <w:multiLevelType w:val="hybridMultilevel"/>
    <w:tmpl w:val="7576C4C0"/>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4E3913"/>
    <w:multiLevelType w:val="hybridMultilevel"/>
    <w:tmpl w:val="9774C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876EB3"/>
    <w:multiLevelType w:val="hybridMultilevel"/>
    <w:tmpl w:val="0B26F18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883880"/>
    <w:multiLevelType w:val="hybridMultilevel"/>
    <w:tmpl w:val="311ED896"/>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8C8660A"/>
    <w:multiLevelType w:val="hybridMultilevel"/>
    <w:tmpl w:val="4F027B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FE11D38"/>
    <w:multiLevelType w:val="hybridMultilevel"/>
    <w:tmpl w:val="67EE95F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EC54A6"/>
    <w:multiLevelType w:val="hybridMultilevel"/>
    <w:tmpl w:val="BAC483B4"/>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43169476">
    <w:abstractNumId w:val="7"/>
  </w:num>
  <w:num w:numId="2" w16cid:durableId="736364229">
    <w:abstractNumId w:val="19"/>
  </w:num>
  <w:num w:numId="3" w16cid:durableId="739409063">
    <w:abstractNumId w:val="11"/>
  </w:num>
  <w:num w:numId="4" w16cid:durableId="924385812">
    <w:abstractNumId w:val="0"/>
  </w:num>
  <w:num w:numId="5" w16cid:durableId="1551919130">
    <w:abstractNumId w:val="14"/>
  </w:num>
  <w:num w:numId="6" w16cid:durableId="1866214092">
    <w:abstractNumId w:val="17"/>
  </w:num>
  <w:num w:numId="7" w16cid:durableId="1303729497">
    <w:abstractNumId w:val="1"/>
  </w:num>
  <w:num w:numId="8" w16cid:durableId="1620141113">
    <w:abstractNumId w:val="4"/>
  </w:num>
  <w:num w:numId="9" w16cid:durableId="179659361">
    <w:abstractNumId w:val="10"/>
  </w:num>
  <w:num w:numId="10" w16cid:durableId="1072239647">
    <w:abstractNumId w:val="15"/>
  </w:num>
  <w:num w:numId="11" w16cid:durableId="2128356186">
    <w:abstractNumId w:val="6"/>
  </w:num>
  <w:num w:numId="12" w16cid:durableId="1944412862">
    <w:abstractNumId w:val="18"/>
  </w:num>
  <w:num w:numId="13" w16cid:durableId="460807796">
    <w:abstractNumId w:val="13"/>
  </w:num>
  <w:num w:numId="14" w16cid:durableId="1988777659">
    <w:abstractNumId w:val="9"/>
  </w:num>
  <w:num w:numId="15" w16cid:durableId="484853947">
    <w:abstractNumId w:val="8"/>
  </w:num>
  <w:num w:numId="16" w16cid:durableId="2002419432">
    <w:abstractNumId w:val="23"/>
  </w:num>
  <w:num w:numId="17" w16cid:durableId="1840391237">
    <w:abstractNumId w:val="22"/>
  </w:num>
  <w:num w:numId="18" w16cid:durableId="577251535">
    <w:abstractNumId w:val="3"/>
  </w:num>
  <w:num w:numId="19" w16cid:durableId="1933471069">
    <w:abstractNumId w:val="20"/>
  </w:num>
  <w:num w:numId="20" w16cid:durableId="319580110">
    <w:abstractNumId w:val="2"/>
  </w:num>
  <w:num w:numId="21" w16cid:durableId="8995640">
    <w:abstractNumId w:val="16"/>
  </w:num>
  <w:num w:numId="22" w16cid:durableId="1925987759">
    <w:abstractNumId w:val="12"/>
  </w:num>
  <w:num w:numId="23" w16cid:durableId="990987234">
    <w:abstractNumId w:val="5"/>
  </w:num>
  <w:num w:numId="24" w16cid:durableId="8369612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F9"/>
    <w:rsid w:val="0000114C"/>
    <w:rsid w:val="00001B5D"/>
    <w:rsid w:val="00001FC3"/>
    <w:rsid w:val="000046EE"/>
    <w:rsid w:val="000101F9"/>
    <w:rsid w:val="00015D95"/>
    <w:rsid w:val="00022DFD"/>
    <w:rsid w:val="000237E6"/>
    <w:rsid w:val="00023E3A"/>
    <w:rsid w:val="00026052"/>
    <w:rsid w:val="00027383"/>
    <w:rsid w:val="00033CC2"/>
    <w:rsid w:val="00034AEE"/>
    <w:rsid w:val="00034BDA"/>
    <w:rsid w:val="00036C43"/>
    <w:rsid w:val="0004425B"/>
    <w:rsid w:val="000458FD"/>
    <w:rsid w:val="00045E7B"/>
    <w:rsid w:val="00047C5E"/>
    <w:rsid w:val="000510FC"/>
    <w:rsid w:val="00054931"/>
    <w:rsid w:val="00055413"/>
    <w:rsid w:val="000603E6"/>
    <w:rsid w:val="0006083C"/>
    <w:rsid w:val="00061D7A"/>
    <w:rsid w:val="00064B68"/>
    <w:rsid w:val="00070748"/>
    <w:rsid w:val="00075BAB"/>
    <w:rsid w:val="0007735D"/>
    <w:rsid w:val="0008046C"/>
    <w:rsid w:val="00081269"/>
    <w:rsid w:val="00085EDA"/>
    <w:rsid w:val="00085F6E"/>
    <w:rsid w:val="0008635B"/>
    <w:rsid w:val="00094170"/>
    <w:rsid w:val="000970B6"/>
    <w:rsid w:val="000A615C"/>
    <w:rsid w:val="000A68A1"/>
    <w:rsid w:val="000B0232"/>
    <w:rsid w:val="000B0F27"/>
    <w:rsid w:val="000B3034"/>
    <w:rsid w:val="000B34F2"/>
    <w:rsid w:val="000B362C"/>
    <w:rsid w:val="000B7856"/>
    <w:rsid w:val="000B7AD4"/>
    <w:rsid w:val="000C3485"/>
    <w:rsid w:val="000D11CB"/>
    <w:rsid w:val="000D225E"/>
    <w:rsid w:val="000D2901"/>
    <w:rsid w:val="000D763D"/>
    <w:rsid w:val="000E06C9"/>
    <w:rsid w:val="000E0D0E"/>
    <w:rsid w:val="000E766A"/>
    <w:rsid w:val="000F1A90"/>
    <w:rsid w:val="000F2858"/>
    <w:rsid w:val="000F6090"/>
    <w:rsid w:val="000F6699"/>
    <w:rsid w:val="000F66D8"/>
    <w:rsid w:val="00100861"/>
    <w:rsid w:val="00101BEF"/>
    <w:rsid w:val="0010514E"/>
    <w:rsid w:val="00107409"/>
    <w:rsid w:val="00110B6D"/>
    <w:rsid w:val="0011256D"/>
    <w:rsid w:val="00123754"/>
    <w:rsid w:val="00124ACE"/>
    <w:rsid w:val="00125BC7"/>
    <w:rsid w:val="001307E3"/>
    <w:rsid w:val="001312CD"/>
    <w:rsid w:val="0013183A"/>
    <w:rsid w:val="001378AB"/>
    <w:rsid w:val="0014089A"/>
    <w:rsid w:val="001410E0"/>
    <w:rsid w:val="00143568"/>
    <w:rsid w:val="001440AF"/>
    <w:rsid w:val="00144E5B"/>
    <w:rsid w:val="001459FA"/>
    <w:rsid w:val="0014655E"/>
    <w:rsid w:val="001523FE"/>
    <w:rsid w:val="001558FD"/>
    <w:rsid w:val="00156021"/>
    <w:rsid w:val="001617DF"/>
    <w:rsid w:val="00162B9E"/>
    <w:rsid w:val="00166ED5"/>
    <w:rsid w:val="001674BC"/>
    <w:rsid w:val="00170B6E"/>
    <w:rsid w:val="00174814"/>
    <w:rsid w:val="00183214"/>
    <w:rsid w:val="001843BA"/>
    <w:rsid w:val="00190A4D"/>
    <w:rsid w:val="00192A5C"/>
    <w:rsid w:val="001A3FF9"/>
    <w:rsid w:val="001A62A8"/>
    <w:rsid w:val="001A681E"/>
    <w:rsid w:val="001B4DCE"/>
    <w:rsid w:val="001B6ED3"/>
    <w:rsid w:val="001C6A21"/>
    <w:rsid w:val="001D1EC8"/>
    <w:rsid w:val="001D2558"/>
    <w:rsid w:val="001D589D"/>
    <w:rsid w:val="001D62F6"/>
    <w:rsid w:val="001D76E3"/>
    <w:rsid w:val="001E06D2"/>
    <w:rsid w:val="001E1513"/>
    <w:rsid w:val="001E1CBB"/>
    <w:rsid w:val="001E3885"/>
    <w:rsid w:val="001E4822"/>
    <w:rsid w:val="001F09C1"/>
    <w:rsid w:val="001F2C9B"/>
    <w:rsid w:val="001F3B38"/>
    <w:rsid w:val="001F41E9"/>
    <w:rsid w:val="001F470E"/>
    <w:rsid w:val="001F508F"/>
    <w:rsid w:val="00200131"/>
    <w:rsid w:val="0020083C"/>
    <w:rsid w:val="002016C3"/>
    <w:rsid w:val="00203B9D"/>
    <w:rsid w:val="002058BB"/>
    <w:rsid w:val="00206666"/>
    <w:rsid w:val="002072DC"/>
    <w:rsid w:val="002073E2"/>
    <w:rsid w:val="00207439"/>
    <w:rsid w:val="00210F64"/>
    <w:rsid w:val="002115E9"/>
    <w:rsid w:val="002140AB"/>
    <w:rsid w:val="002140B9"/>
    <w:rsid w:val="002142FF"/>
    <w:rsid w:val="002168D6"/>
    <w:rsid w:val="00224641"/>
    <w:rsid w:val="00224ECA"/>
    <w:rsid w:val="00225EFE"/>
    <w:rsid w:val="0023509C"/>
    <w:rsid w:val="00240FDA"/>
    <w:rsid w:val="0024207A"/>
    <w:rsid w:val="00242331"/>
    <w:rsid w:val="00243932"/>
    <w:rsid w:val="00243BE1"/>
    <w:rsid w:val="00245358"/>
    <w:rsid w:val="002458FE"/>
    <w:rsid w:val="00247561"/>
    <w:rsid w:val="00247D69"/>
    <w:rsid w:val="002500FA"/>
    <w:rsid w:val="00254AF5"/>
    <w:rsid w:val="00256255"/>
    <w:rsid w:val="00260A20"/>
    <w:rsid w:val="0026134E"/>
    <w:rsid w:val="00261FEE"/>
    <w:rsid w:val="0026361D"/>
    <w:rsid w:val="00267E6C"/>
    <w:rsid w:val="002708CD"/>
    <w:rsid w:val="00272C0D"/>
    <w:rsid w:val="00273D83"/>
    <w:rsid w:val="002807B0"/>
    <w:rsid w:val="00281EE8"/>
    <w:rsid w:val="002855A1"/>
    <w:rsid w:val="0029017F"/>
    <w:rsid w:val="00290F7C"/>
    <w:rsid w:val="0029131D"/>
    <w:rsid w:val="00292BB4"/>
    <w:rsid w:val="00292D13"/>
    <w:rsid w:val="002941BD"/>
    <w:rsid w:val="002A321E"/>
    <w:rsid w:val="002B1987"/>
    <w:rsid w:val="002B50B2"/>
    <w:rsid w:val="002B61A2"/>
    <w:rsid w:val="002C005B"/>
    <w:rsid w:val="002C0D69"/>
    <w:rsid w:val="002C1E42"/>
    <w:rsid w:val="002C57B6"/>
    <w:rsid w:val="002D14A6"/>
    <w:rsid w:val="002D4DE5"/>
    <w:rsid w:val="002D51F9"/>
    <w:rsid w:val="002D7814"/>
    <w:rsid w:val="002E0756"/>
    <w:rsid w:val="002E1B60"/>
    <w:rsid w:val="002E5A19"/>
    <w:rsid w:val="002E65C7"/>
    <w:rsid w:val="002F43AE"/>
    <w:rsid w:val="002F539A"/>
    <w:rsid w:val="00300D70"/>
    <w:rsid w:val="003021EE"/>
    <w:rsid w:val="00303DA1"/>
    <w:rsid w:val="003065BB"/>
    <w:rsid w:val="0030797C"/>
    <w:rsid w:val="003122B6"/>
    <w:rsid w:val="00314987"/>
    <w:rsid w:val="003204F8"/>
    <w:rsid w:val="003230EE"/>
    <w:rsid w:val="003254A0"/>
    <w:rsid w:val="00331668"/>
    <w:rsid w:val="0033458A"/>
    <w:rsid w:val="0033611A"/>
    <w:rsid w:val="0034128E"/>
    <w:rsid w:val="003428AA"/>
    <w:rsid w:val="0034320D"/>
    <w:rsid w:val="003445C8"/>
    <w:rsid w:val="003456A8"/>
    <w:rsid w:val="0034599D"/>
    <w:rsid w:val="0034685C"/>
    <w:rsid w:val="003475EE"/>
    <w:rsid w:val="0034780A"/>
    <w:rsid w:val="003567A0"/>
    <w:rsid w:val="00362022"/>
    <w:rsid w:val="0036376B"/>
    <w:rsid w:val="00366745"/>
    <w:rsid w:val="0036707B"/>
    <w:rsid w:val="00367F58"/>
    <w:rsid w:val="00372278"/>
    <w:rsid w:val="00374C08"/>
    <w:rsid w:val="003755FB"/>
    <w:rsid w:val="0038166E"/>
    <w:rsid w:val="003820FC"/>
    <w:rsid w:val="00382721"/>
    <w:rsid w:val="003838C1"/>
    <w:rsid w:val="00390C01"/>
    <w:rsid w:val="003921A9"/>
    <w:rsid w:val="0039282F"/>
    <w:rsid w:val="00393D47"/>
    <w:rsid w:val="00396FD1"/>
    <w:rsid w:val="00397006"/>
    <w:rsid w:val="003A2BB1"/>
    <w:rsid w:val="003A3EFA"/>
    <w:rsid w:val="003B1209"/>
    <w:rsid w:val="003B4056"/>
    <w:rsid w:val="003B5BC2"/>
    <w:rsid w:val="003C0B4F"/>
    <w:rsid w:val="003C1B30"/>
    <w:rsid w:val="003C2201"/>
    <w:rsid w:val="003C45AE"/>
    <w:rsid w:val="003C71E3"/>
    <w:rsid w:val="003C7382"/>
    <w:rsid w:val="003D357A"/>
    <w:rsid w:val="003D72FE"/>
    <w:rsid w:val="003D7C00"/>
    <w:rsid w:val="003E1B5B"/>
    <w:rsid w:val="003E258B"/>
    <w:rsid w:val="003E3636"/>
    <w:rsid w:val="003E450E"/>
    <w:rsid w:val="003F6BEB"/>
    <w:rsid w:val="003F7181"/>
    <w:rsid w:val="00401F5D"/>
    <w:rsid w:val="0040223C"/>
    <w:rsid w:val="004022CC"/>
    <w:rsid w:val="004029A5"/>
    <w:rsid w:val="004067D3"/>
    <w:rsid w:val="00410CED"/>
    <w:rsid w:val="004128DA"/>
    <w:rsid w:val="00413EF0"/>
    <w:rsid w:val="0042276B"/>
    <w:rsid w:val="00427026"/>
    <w:rsid w:val="00427E4E"/>
    <w:rsid w:val="0043134A"/>
    <w:rsid w:val="00432EC4"/>
    <w:rsid w:val="004359AC"/>
    <w:rsid w:val="004428BF"/>
    <w:rsid w:val="00442D04"/>
    <w:rsid w:val="00442D8A"/>
    <w:rsid w:val="00446450"/>
    <w:rsid w:val="0045092C"/>
    <w:rsid w:val="00463203"/>
    <w:rsid w:val="004646EC"/>
    <w:rsid w:val="00467BCA"/>
    <w:rsid w:val="00475029"/>
    <w:rsid w:val="00475FB3"/>
    <w:rsid w:val="004767B2"/>
    <w:rsid w:val="00487236"/>
    <w:rsid w:val="004901D7"/>
    <w:rsid w:val="00493C2F"/>
    <w:rsid w:val="00494255"/>
    <w:rsid w:val="00495449"/>
    <w:rsid w:val="0049546D"/>
    <w:rsid w:val="004A3885"/>
    <w:rsid w:val="004B18E8"/>
    <w:rsid w:val="004B7A38"/>
    <w:rsid w:val="004C048C"/>
    <w:rsid w:val="004C26DA"/>
    <w:rsid w:val="004C2FF7"/>
    <w:rsid w:val="004C5B71"/>
    <w:rsid w:val="004C5D71"/>
    <w:rsid w:val="004C622F"/>
    <w:rsid w:val="004C6352"/>
    <w:rsid w:val="004C637A"/>
    <w:rsid w:val="004D1509"/>
    <w:rsid w:val="004D1A62"/>
    <w:rsid w:val="004D256F"/>
    <w:rsid w:val="004D2FFB"/>
    <w:rsid w:val="004D6A79"/>
    <w:rsid w:val="004D6B6B"/>
    <w:rsid w:val="004E3420"/>
    <w:rsid w:val="004E3F93"/>
    <w:rsid w:val="004E43B3"/>
    <w:rsid w:val="004E70CE"/>
    <w:rsid w:val="004F15A9"/>
    <w:rsid w:val="004F247B"/>
    <w:rsid w:val="004F675E"/>
    <w:rsid w:val="004F6941"/>
    <w:rsid w:val="00500A18"/>
    <w:rsid w:val="005027C3"/>
    <w:rsid w:val="00511B63"/>
    <w:rsid w:val="00514568"/>
    <w:rsid w:val="00516F15"/>
    <w:rsid w:val="00517F9D"/>
    <w:rsid w:val="00523D35"/>
    <w:rsid w:val="00527F6F"/>
    <w:rsid w:val="0053248F"/>
    <w:rsid w:val="00532695"/>
    <w:rsid w:val="00533C65"/>
    <w:rsid w:val="005370C3"/>
    <w:rsid w:val="00542354"/>
    <w:rsid w:val="00545CA6"/>
    <w:rsid w:val="005479E0"/>
    <w:rsid w:val="00551DBE"/>
    <w:rsid w:val="00552BE6"/>
    <w:rsid w:val="00561A06"/>
    <w:rsid w:val="005624C5"/>
    <w:rsid w:val="005628CF"/>
    <w:rsid w:val="00564B04"/>
    <w:rsid w:val="00566212"/>
    <w:rsid w:val="0057351B"/>
    <w:rsid w:val="00576224"/>
    <w:rsid w:val="005776BE"/>
    <w:rsid w:val="00585669"/>
    <w:rsid w:val="0059101F"/>
    <w:rsid w:val="005925F7"/>
    <w:rsid w:val="00595453"/>
    <w:rsid w:val="005975FF"/>
    <w:rsid w:val="005A4B7D"/>
    <w:rsid w:val="005A7800"/>
    <w:rsid w:val="005B0312"/>
    <w:rsid w:val="005B2A54"/>
    <w:rsid w:val="005C3933"/>
    <w:rsid w:val="005C42AC"/>
    <w:rsid w:val="005C7CF3"/>
    <w:rsid w:val="005C7FC1"/>
    <w:rsid w:val="005D1E03"/>
    <w:rsid w:val="005D4D27"/>
    <w:rsid w:val="005D76D9"/>
    <w:rsid w:val="005E121B"/>
    <w:rsid w:val="005E1AD1"/>
    <w:rsid w:val="005E28D1"/>
    <w:rsid w:val="005F7126"/>
    <w:rsid w:val="00600EBA"/>
    <w:rsid w:val="00603C31"/>
    <w:rsid w:val="00604A92"/>
    <w:rsid w:val="00612B4F"/>
    <w:rsid w:val="00617BFF"/>
    <w:rsid w:val="0062199F"/>
    <w:rsid w:val="00621F69"/>
    <w:rsid w:val="00622907"/>
    <w:rsid w:val="006273E9"/>
    <w:rsid w:val="006306D4"/>
    <w:rsid w:val="00632EA4"/>
    <w:rsid w:val="00634BC8"/>
    <w:rsid w:val="00635264"/>
    <w:rsid w:val="00636198"/>
    <w:rsid w:val="006362E0"/>
    <w:rsid w:val="006370A5"/>
    <w:rsid w:val="00642F71"/>
    <w:rsid w:val="00652B7A"/>
    <w:rsid w:val="0065430F"/>
    <w:rsid w:val="006577EB"/>
    <w:rsid w:val="00661D29"/>
    <w:rsid w:val="00663F25"/>
    <w:rsid w:val="00665236"/>
    <w:rsid w:val="00665AD7"/>
    <w:rsid w:val="0066697C"/>
    <w:rsid w:val="006676F9"/>
    <w:rsid w:val="00667AE5"/>
    <w:rsid w:val="0067069C"/>
    <w:rsid w:val="0067519B"/>
    <w:rsid w:val="006769BD"/>
    <w:rsid w:val="00680E28"/>
    <w:rsid w:val="0069045B"/>
    <w:rsid w:val="00692637"/>
    <w:rsid w:val="006952F6"/>
    <w:rsid w:val="006973E7"/>
    <w:rsid w:val="006A2FE7"/>
    <w:rsid w:val="006A4846"/>
    <w:rsid w:val="006A68E8"/>
    <w:rsid w:val="006A75A6"/>
    <w:rsid w:val="006B279B"/>
    <w:rsid w:val="006B637B"/>
    <w:rsid w:val="006B7526"/>
    <w:rsid w:val="006C165A"/>
    <w:rsid w:val="006C2D72"/>
    <w:rsid w:val="006D0947"/>
    <w:rsid w:val="006D48A4"/>
    <w:rsid w:val="006D4C2B"/>
    <w:rsid w:val="006D6324"/>
    <w:rsid w:val="006F064C"/>
    <w:rsid w:val="006F0CE3"/>
    <w:rsid w:val="006F181E"/>
    <w:rsid w:val="006F42DF"/>
    <w:rsid w:val="006F47FF"/>
    <w:rsid w:val="006F7412"/>
    <w:rsid w:val="007015D1"/>
    <w:rsid w:val="00701BD8"/>
    <w:rsid w:val="00706081"/>
    <w:rsid w:val="00713A8E"/>
    <w:rsid w:val="00720668"/>
    <w:rsid w:val="007244DB"/>
    <w:rsid w:val="00724B7A"/>
    <w:rsid w:val="00725345"/>
    <w:rsid w:val="00727020"/>
    <w:rsid w:val="007334AF"/>
    <w:rsid w:val="00735D19"/>
    <w:rsid w:val="007363F5"/>
    <w:rsid w:val="007365A0"/>
    <w:rsid w:val="0073797A"/>
    <w:rsid w:val="0074085A"/>
    <w:rsid w:val="00741E7D"/>
    <w:rsid w:val="00744D4E"/>
    <w:rsid w:val="00754656"/>
    <w:rsid w:val="00755DD0"/>
    <w:rsid w:val="00757139"/>
    <w:rsid w:val="00762569"/>
    <w:rsid w:val="00762919"/>
    <w:rsid w:val="00770CFA"/>
    <w:rsid w:val="0077108F"/>
    <w:rsid w:val="007730AC"/>
    <w:rsid w:val="0077336A"/>
    <w:rsid w:val="00773AA1"/>
    <w:rsid w:val="007759B9"/>
    <w:rsid w:val="007762DB"/>
    <w:rsid w:val="00776CA6"/>
    <w:rsid w:val="00776DA0"/>
    <w:rsid w:val="00776F23"/>
    <w:rsid w:val="00777374"/>
    <w:rsid w:val="0078368A"/>
    <w:rsid w:val="007842DA"/>
    <w:rsid w:val="00784F2E"/>
    <w:rsid w:val="00786303"/>
    <w:rsid w:val="00787938"/>
    <w:rsid w:val="007909B9"/>
    <w:rsid w:val="0079504F"/>
    <w:rsid w:val="0079563B"/>
    <w:rsid w:val="00795C42"/>
    <w:rsid w:val="00796425"/>
    <w:rsid w:val="007965AB"/>
    <w:rsid w:val="00796E5B"/>
    <w:rsid w:val="007A0B48"/>
    <w:rsid w:val="007A36EF"/>
    <w:rsid w:val="007A41C3"/>
    <w:rsid w:val="007A6F68"/>
    <w:rsid w:val="007A74CC"/>
    <w:rsid w:val="007B461B"/>
    <w:rsid w:val="007B4CFF"/>
    <w:rsid w:val="007B64DE"/>
    <w:rsid w:val="007C19E4"/>
    <w:rsid w:val="007C2307"/>
    <w:rsid w:val="007C2D9A"/>
    <w:rsid w:val="007C4E14"/>
    <w:rsid w:val="007D1370"/>
    <w:rsid w:val="007D1DF1"/>
    <w:rsid w:val="007D30EB"/>
    <w:rsid w:val="007D3579"/>
    <w:rsid w:val="007D3C64"/>
    <w:rsid w:val="007D421B"/>
    <w:rsid w:val="007D6727"/>
    <w:rsid w:val="007E0A6E"/>
    <w:rsid w:val="007E2A32"/>
    <w:rsid w:val="007F0C55"/>
    <w:rsid w:val="007F0E88"/>
    <w:rsid w:val="007F1109"/>
    <w:rsid w:val="007F176E"/>
    <w:rsid w:val="007F30AD"/>
    <w:rsid w:val="007F55B4"/>
    <w:rsid w:val="007F58F2"/>
    <w:rsid w:val="007F5C4D"/>
    <w:rsid w:val="008011E6"/>
    <w:rsid w:val="00801D0F"/>
    <w:rsid w:val="00801F04"/>
    <w:rsid w:val="00806B47"/>
    <w:rsid w:val="00807613"/>
    <w:rsid w:val="0081069B"/>
    <w:rsid w:val="0081134A"/>
    <w:rsid w:val="00812F8F"/>
    <w:rsid w:val="00814091"/>
    <w:rsid w:val="008145DD"/>
    <w:rsid w:val="00815B13"/>
    <w:rsid w:val="008201DB"/>
    <w:rsid w:val="008203B7"/>
    <w:rsid w:val="00820F77"/>
    <w:rsid w:val="008212D9"/>
    <w:rsid w:val="008276E9"/>
    <w:rsid w:val="00831F5D"/>
    <w:rsid w:val="00834EF1"/>
    <w:rsid w:val="008357B9"/>
    <w:rsid w:val="00835F7D"/>
    <w:rsid w:val="00836108"/>
    <w:rsid w:val="00836388"/>
    <w:rsid w:val="00836519"/>
    <w:rsid w:val="00840032"/>
    <w:rsid w:val="0084067D"/>
    <w:rsid w:val="00845BFE"/>
    <w:rsid w:val="00846841"/>
    <w:rsid w:val="00851883"/>
    <w:rsid w:val="0085445E"/>
    <w:rsid w:val="00855177"/>
    <w:rsid w:val="008560E5"/>
    <w:rsid w:val="00856203"/>
    <w:rsid w:val="0085698B"/>
    <w:rsid w:val="00856C6D"/>
    <w:rsid w:val="00860F53"/>
    <w:rsid w:val="00864A4D"/>
    <w:rsid w:val="00866995"/>
    <w:rsid w:val="00872557"/>
    <w:rsid w:val="00873115"/>
    <w:rsid w:val="008741D4"/>
    <w:rsid w:val="008741D8"/>
    <w:rsid w:val="00874FAC"/>
    <w:rsid w:val="00880CC4"/>
    <w:rsid w:val="00881863"/>
    <w:rsid w:val="0088416C"/>
    <w:rsid w:val="00884525"/>
    <w:rsid w:val="00884DEC"/>
    <w:rsid w:val="00887B8D"/>
    <w:rsid w:val="0089117E"/>
    <w:rsid w:val="00891231"/>
    <w:rsid w:val="0089395E"/>
    <w:rsid w:val="008B4796"/>
    <w:rsid w:val="008B67E5"/>
    <w:rsid w:val="008B7425"/>
    <w:rsid w:val="008C1272"/>
    <w:rsid w:val="008C1C1B"/>
    <w:rsid w:val="008C5E7B"/>
    <w:rsid w:val="008D0E9D"/>
    <w:rsid w:val="008D610E"/>
    <w:rsid w:val="008D7B5D"/>
    <w:rsid w:val="008E023D"/>
    <w:rsid w:val="008F0811"/>
    <w:rsid w:val="008F26C7"/>
    <w:rsid w:val="009038CD"/>
    <w:rsid w:val="0090450F"/>
    <w:rsid w:val="00905B0E"/>
    <w:rsid w:val="0091045E"/>
    <w:rsid w:val="00916E6E"/>
    <w:rsid w:val="00923654"/>
    <w:rsid w:val="00923B75"/>
    <w:rsid w:val="00932814"/>
    <w:rsid w:val="00933025"/>
    <w:rsid w:val="00936318"/>
    <w:rsid w:val="00936B9F"/>
    <w:rsid w:val="00937F06"/>
    <w:rsid w:val="00940A56"/>
    <w:rsid w:val="00941F67"/>
    <w:rsid w:val="009458E1"/>
    <w:rsid w:val="009462F9"/>
    <w:rsid w:val="009506A3"/>
    <w:rsid w:val="009511B3"/>
    <w:rsid w:val="0095516E"/>
    <w:rsid w:val="00957823"/>
    <w:rsid w:val="00963C82"/>
    <w:rsid w:val="0096409C"/>
    <w:rsid w:val="009647FB"/>
    <w:rsid w:val="009671CC"/>
    <w:rsid w:val="00971012"/>
    <w:rsid w:val="00971C13"/>
    <w:rsid w:val="00972987"/>
    <w:rsid w:val="00973D5B"/>
    <w:rsid w:val="0097529C"/>
    <w:rsid w:val="009769E2"/>
    <w:rsid w:val="009836B6"/>
    <w:rsid w:val="00983E2B"/>
    <w:rsid w:val="009858C9"/>
    <w:rsid w:val="00986C15"/>
    <w:rsid w:val="009900A6"/>
    <w:rsid w:val="0099176F"/>
    <w:rsid w:val="00991D64"/>
    <w:rsid w:val="00992556"/>
    <w:rsid w:val="0099299E"/>
    <w:rsid w:val="00996ABC"/>
    <w:rsid w:val="00996CA2"/>
    <w:rsid w:val="009A0AFC"/>
    <w:rsid w:val="009A1C64"/>
    <w:rsid w:val="009A4D16"/>
    <w:rsid w:val="009A7A59"/>
    <w:rsid w:val="009B1195"/>
    <w:rsid w:val="009B41FC"/>
    <w:rsid w:val="009B59AF"/>
    <w:rsid w:val="009B5F38"/>
    <w:rsid w:val="009C3201"/>
    <w:rsid w:val="009C650E"/>
    <w:rsid w:val="009D056D"/>
    <w:rsid w:val="009D1893"/>
    <w:rsid w:val="009D594D"/>
    <w:rsid w:val="009D5A6E"/>
    <w:rsid w:val="009D5F80"/>
    <w:rsid w:val="009D6029"/>
    <w:rsid w:val="009D67AA"/>
    <w:rsid w:val="009D6EEE"/>
    <w:rsid w:val="009D78F5"/>
    <w:rsid w:val="009D7FFA"/>
    <w:rsid w:val="009E0635"/>
    <w:rsid w:val="009E0F42"/>
    <w:rsid w:val="009E1E62"/>
    <w:rsid w:val="009E6E60"/>
    <w:rsid w:val="009E7E61"/>
    <w:rsid w:val="009F0339"/>
    <w:rsid w:val="009F0764"/>
    <w:rsid w:val="009F4AF5"/>
    <w:rsid w:val="009F66B9"/>
    <w:rsid w:val="00A025AE"/>
    <w:rsid w:val="00A02A07"/>
    <w:rsid w:val="00A03DC4"/>
    <w:rsid w:val="00A13AD2"/>
    <w:rsid w:val="00A14CD9"/>
    <w:rsid w:val="00A16FCC"/>
    <w:rsid w:val="00A204C7"/>
    <w:rsid w:val="00A207FE"/>
    <w:rsid w:val="00A21407"/>
    <w:rsid w:val="00A24778"/>
    <w:rsid w:val="00A255F1"/>
    <w:rsid w:val="00A26928"/>
    <w:rsid w:val="00A272EE"/>
    <w:rsid w:val="00A278C3"/>
    <w:rsid w:val="00A36D0B"/>
    <w:rsid w:val="00A375F5"/>
    <w:rsid w:val="00A415B5"/>
    <w:rsid w:val="00A419E8"/>
    <w:rsid w:val="00A4710E"/>
    <w:rsid w:val="00A528A1"/>
    <w:rsid w:val="00A555F1"/>
    <w:rsid w:val="00A56BAE"/>
    <w:rsid w:val="00A64917"/>
    <w:rsid w:val="00A65BCB"/>
    <w:rsid w:val="00A679B5"/>
    <w:rsid w:val="00A70C1C"/>
    <w:rsid w:val="00A710D7"/>
    <w:rsid w:val="00A713DF"/>
    <w:rsid w:val="00A740E9"/>
    <w:rsid w:val="00A74B3A"/>
    <w:rsid w:val="00A774EF"/>
    <w:rsid w:val="00A844CE"/>
    <w:rsid w:val="00A8694C"/>
    <w:rsid w:val="00A87B38"/>
    <w:rsid w:val="00A94418"/>
    <w:rsid w:val="00A95FA8"/>
    <w:rsid w:val="00A97254"/>
    <w:rsid w:val="00AA1832"/>
    <w:rsid w:val="00AA528A"/>
    <w:rsid w:val="00AA6EA2"/>
    <w:rsid w:val="00AB14A9"/>
    <w:rsid w:val="00AB185D"/>
    <w:rsid w:val="00AB4DC1"/>
    <w:rsid w:val="00AB52D7"/>
    <w:rsid w:val="00AB5C54"/>
    <w:rsid w:val="00AB7DA2"/>
    <w:rsid w:val="00AC31CD"/>
    <w:rsid w:val="00AC66BA"/>
    <w:rsid w:val="00AC7DE1"/>
    <w:rsid w:val="00AC7FF1"/>
    <w:rsid w:val="00AD0CA8"/>
    <w:rsid w:val="00AD22E5"/>
    <w:rsid w:val="00AD254A"/>
    <w:rsid w:val="00AD3E4B"/>
    <w:rsid w:val="00AE0AE7"/>
    <w:rsid w:val="00AE3824"/>
    <w:rsid w:val="00AE43FB"/>
    <w:rsid w:val="00AE7FC5"/>
    <w:rsid w:val="00AF2849"/>
    <w:rsid w:val="00AF2AA7"/>
    <w:rsid w:val="00AF5BD3"/>
    <w:rsid w:val="00B0644D"/>
    <w:rsid w:val="00B0750F"/>
    <w:rsid w:val="00B10E7F"/>
    <w:rsid w:val="00B11743"/>
    <w:rsid w:val="00B11FF9"/>
    <w:rsid w:val="00B176E2"/>
    <w:rsid w:val="00B24E44"/>
    <w:rsid w:val="00B25FD5"/>
    <w:rsid w:val="00B27E77"/>
    <w:rsid w:val="00B31679"/>
    <w:rsid w:val="00B321AE"/>
    <w:rsid w:val="00B35205"/>
    <w:rsid w:val="00B356AC"/>
    <w:rsid w:val="00B4221C"/>
    <w:rsid w:val="00B447C9"/>
    <w:rsid w:val="00B44E3A"/>
    <w:rsid w:val="00B45B9E"/>
    <w:rsid w:val="00B4790B"/>
    <w:rsid w:val="00B479B3"/>
    <w:rsid w:val="00B52218"/>
    <w:rsid w:val="00B52840"/>
    <w:rsid w:val="00B52B08"/>
    <w:rsid w:val="00B5417F"/>
    <w:rsid w:val="00B54A9B"/>
    <w:rsid w:val="00B629A3"/>
    <w:rsid w:val="00B64758"/>
    <w:rsid w:val="00B67520"/>
    <w:rsid w:val="00B67554"/>
    <w:rsid w:val="00B749CC"/>
    <w:rsid w:val="00B74F19"/>
    <w:rsid w:val="00B77F1D"/>
    <w:rsid w:val="00B81AB2"/>
    <w:rsid w:val="00B82B08"/>
    <w:rsid w:val="00B8362E"/>
    <w:rsid w:val="00B84646"/>
    <w:rsid w:val="00B87B1D"/>
    <w:rsid w:val="00B90F97"/>
    <w:rsid w:val="00B9479E"/>
    <w:rsid w:val="00B95D4C"/>
    <w:rsid w:val="00B95F3D"/>
    <w:rsid w:val="00B967B4"/>
    <w:rsid w:val="00B96B17"/>
    <w:rsid w:val="00B971C2"/>
    <w:rsid w:val="00BA7D5F"/>
    <w:rsid w:val="00BC1B66"/>
    <w:rsid w:val="00BC3B6B"/>
    <w:rsid w:val="00BC55D3"/>
    <w:rsid w:val="00BC6FA4"/>
    <w:rsid w:val="00BD0978"/>
    <w:rsid w:val="00BD5787"/>
    <w:rsid w:val="00BE1124"/>
    <w:rsid w:val="00BE264C"/>
    <w:rsid w:val="00BE26C7"/>
    <w:rsid w:val="00BE73FD"/>
    <w:rsid w:val="00BE7D0C"/>
    <w:rsid w:val="00BF3145"/>
    <w:rsid w:val="00BF3D5A"/>
    <w:rsid w:val="00BF5660"/>
    <w:rsid w:val="00C004F5"/>
    <w:rsid w:val="00C00A7C"/>
    <w:rsid w:val="00C00AB9"/>
    <w:rsid w:val="00C0137F"/>
    <w:rsid w:val="00C025FC"/>
    <w:rsid w:val="00C05F9B"/>
    <w:rsid w:val="00C12569"/>
    <w:rsid w:val="00C12699"/>
    <w:rsid w:val="00C12E5A"/>
    <w:rsid w:val="00C15CA1"/>
    <w:rsid w:val="00C16E2D"/>
    <w:rsid w:val="00C177CC"/>
    <w:rsid w:val="00C21A74"/>
    <w:rsid w:val="00C22E5F"/>
    <w:rsid w:val="00C258FD"/>
    <w:rsid w:val="00C25CA0"/>
    <w:rsid w:val="00C263AC"/>
    <w:rsid w:val="00C26BA2"/>
    <w:rsid w:val="00C27509"/>
    <w:rsid w:val="00C309E1"/>
    <w:rsid w:val="00C318BC"/>
    <w:rsid w:val="00C32B2E"/>
    <w:rsid w:val="00C373F7"/>
    <w:rsid w:val="00C40C54"/>
    <w:rsid w:val="00C448D2"/>
    <w:rsid w:val="00C44907"/>
    <w:rsid w:val="00C454AF"/>
    <w:rsid w:val="00C5250E"/>
    <w:rsid w:val="00C53EC9"/>
    <w:rsid w:val="00C56A60"/>
    <w:rsid w:val="00C57625"/>
    <w:rsid w:val="00C5777A"/>
    <w:rsid w:val="00C57FE4"/>
    <w:rsid w:val="00C61644"/>
    <w:rsid w:val="00C6606F"/>
    <w:rsid w:val="00C66E8C"/>
    <w:rsid w:val="00C7048D"/>
    <w:rsid w:val="00C71EDE"/>
    <w:rsid w:val="00C73109"/>
    <w:rsid w:val="00C73C37"/>
    <w:rsid w:val="00C745AB"/>
    <w:rsid w:val="00C75FBB"/>
    <w:rsid w:val="00C8667A"/>
    <w:rsid w:val="00C9155A"/>
    <w:rsid w:val="00C934F9"/>
    <w:rsid w:val="00C945F5"/>
    <w:rsid w:val="00C96EB5"/>
    <w:rsid w:val="00CA5BF3"/>
    <w:rsid w:val="00CA7053"/>
    <w:rsid w:val="00CB0EAB"/>
    <w:rsid w:val="00CB2744"/>
    <w:rsid w:val="00CB27E5"/>
    <w:rsid w:val="00CB29C7"/>
    <w:rsid w:val="00CB38C7"/>
    <w:rsid w:val="00CB5827"/>
    <w:rsid w:val="00CB6391"/>
    <w:rsid w:val="00CB63A1"/>
    <w:rsid w:val="00CB72AC"/>
    <w:rsid w:val="00CC1D61"/>
    <w:rsid w:val="00CC3833"/>
    <w:rsid w:val="00CC3A6F"/>
    <w:rsid w:val="00CC6BAF"/>
    <w:rsid w:val="00CD6A20"/>
    <w:rsid w:val="00CE2525"/>
    <w:rsid w:val="00CE456F"/>
    <w:rsid w:val="00CE5CE2"/>
    <w:rsid w:val="00CE6BC7"/>
    <w:rsid w:val="00CF351D"/>
    <w:rsid w:val="00CF3A09"/>
    <w:rsid w:val="00D02BFA"/>
    <w:rsid w:val="00D0382B"/>
    <w:rsid w:val="00D11282"/>
    <w:rsid w:val="00D125DC"/>
    <w:rsid w:val="00D13BA8"/>
    <w:rsid w:val="00D1570B"/>
    <w:rsid w:val="00D17690"/>
    <w:rsid w:val="00D23656"/>
    <w:rsid w:val="00D24E9F"/>
    <w:rsid w:val="00D251B5"/>
    <w:rsid w:val="00D25821"/>
    <w:rsid w:val="00D27990"/>
    <w:rsid w:val="00D35F90"/>
    <w:rsid w:val="00D374F2"/>
    <w:rsid w:val="00D41CF3"/>
    <w:rsid w:val="00D460EE"/>
    <w:rsid w:val="00D462A6"/>
    <w:rsid w:val="00D5240D"/>
    <w:rsid w:val="00D53663"/>
    <w:rsid w:val="00D546CA"/>
    <w:rsid w:val="00D601E7"/>
    <w:rsid w:val="00D60874"/>
    <w:rsid w:val="00D71DBB"/>
    <w:rsid w:val="00D7232C"/>
    <w:rsid w:val="00D7397A"/>
    <w:rsid w:val="00D7569D"/>
    <w:rsid w:val="00D7586E"/>
    <w:rsid w:val="00D814ED"/>
    <w:rsid w:val="00D820AC"/>
    <w:rsid w:val="00D839CD"/>
    <w:rsid w:val="00D83AAE"/>
    <w:rsid w:val="00D85A7A"/>
    <w:rsid w:val="00D8628D"/>
    <w:rsid w:val="00D879B5"/>
    <w:rsid w:val="00D87F2D"/>
    <w:rsid w:val="00D933A1"/>
    <w:rsid w:val="00D97D45"/>
    <w:rsid w:val="00DA0627"/>
    <w:rsid w:val="00DA2E14"/>
    <w:rsid w:val="00DA3503"/>
    <w:rsid w:val="00DA38BA"/>
    <w:rsid w:val="00DA41DD"/>
    <w:rsid w:val="00DA465C"/>
    <w:rsid w:val="00DA5DF1"/>
    <w:rsid w:val="00DA659C"/>
    <w:rsid w:val="00DB2630"/>
    <w:rsid w:val="00DB398A"/>
    <w:rsid w:val="00DB483A"/>
    <w:rsid w:val="00DC147A"/>
    <w:rsid w:val="00DC1F20"/>
    <w:rsid w:val="00DC2862"/>
    <w:rsid w:val="00DC5844"/>
    <w:rsid w:val="00DD1F97"/>
    <w:rsid w:val="00DD3AE1"/>
    <w:rsid w:val="00DD4175"/>
    <w:rsid w:val="00DD72F4"/>
    <w:rsid w:val="00DD762B"/>
    <w:rsid w:val="00DE05A8"/>
    <w:rsid w:val="00DE0BC5"/>
    <w:rsid w:val="00DE3E7C"/>
    <w:rsid w:val="00DF2F05"/>
    <w:rsid w:val="00DF571D"/>
    <w:rsid w:val="00DF5910"/>
    <w:rsid w:val="00E07B55"/>
    <w:rsid w:val="00E100FE"/>
    <w:rsid w:val="00E10DC8"/>
    <w:rsid w:val="00E150B5"/>
    <w:rsid w:val="00E169AC"/>
    <w:rsid w:val="00E16C37"/>
    <w:rsid w:val="00E21E05"/>
    <w:rsid w:val="00E25776"/>
    <w:rsid w:val="00E25837"/>
    <w:rsid w:val="00E26273"/>
    <w:rsid w:val="00E31872"/>
    <w:rsid w:val="00E3365F"/>
    <w:rsid w:val="00E33705"/>
    <w:rsid w:val="00E35C6A"/>
    <w:rsid w:val="00E4047D"/>
    <w:rsid w:val="00E42F94"/>
    <w:rsid w:val="00E43CC1"/>
    <w:rsid w:val="00E43D43"/>
    <w:rsid w:val="00E45CDE"/>
    <w:rsid w:val="00E462E8"/>
    <w:rsid w:val="00E479A7"/>
    <w:rsid w:val="00E47F2D"/>
    <w:rsid w:val="00E50CA5"/>
    <w:rsid w:val="00E524BC"/>
    <w:rsid w:val="00E53028"/>
    <w:rsid w:val="00E5585C"/>
    <w:rsid w:val="00E55E66"/>
    <w:rsid w:val="00E57498"/>
    <w:rsid w:val="00E71D20"/>
    <w:rsid w:val="00E72AA4"/>
    <w:rsid w:val="00E73706"/>
    <w:rsid w:val="00E74AF4"/>
    <w:rsid w:val="00E84719"/>
    <w:rsid w:val="00E849E6"/>
    <w:rsid w:val="00E85E7A"/>
    <w:rsid w:val="00E8611A"/>
    <w:rsid w:val="00E912A6"/>
    <w:rsid w:val="00E92DA5"/>
    <w:rsid w:val="00E9454A"/>
    <w:rsid w:val="00E9460F"/>
    <w:rsid w:val="00E94868"/>
    <w:rsid w:val="00EA236A"/>
    <w:rsid w:val="00EA4375"/>
    <w:rsid w:val="00EB0800"/>
    <w:rsid w:val="00EB3351"/>
    <w:rsid w:val="00EC1D98"/>
    <w:rsid w:val="00EC295B"/>
    <w:rsid w:val="00EC7B3E"/>
    <w:rsid w:val="00ED1EB7"/>
    <w:rsid w:val="00ED29C3"/>
    <w:rsid w:val="00EE0D49"/>
    <w:rsid w:val="00EE1196"/>
    <w:rsid w:val="00EE1553"/>
    <w:rsid w:val="00EE5DF9"/>
    <w:rsid w:val="00EF071B"/>
    <w:rsid w:val="00EF2838"/>
    <w:rsid w:val="00EF3A8D"/>
    <w:rsid w:val="00EF3F46"/>
    <w:rsid w:val="00EF6E32"/>
    <w:rsid w:val="00EF7849"/>
    <w:rsid w:val="00F00FE9"/>
    <w:rsid w:val="00F0162B"/>
    <w:rsid w:val="00F10DB1"/>
    <w:rsid w:val="00F131A9"/>
    <w:rsid w:val="00F1386A"/>
    <w:rsid w:val="00F13F18"/>
    <w:rsid w:val="00F144D4"/>
    <w:rsid w:val="00F14BC0"/>
    <w:rsid w:val="00F159F1"/>
    <w:rsid w:val="00F2091D"/>
    <w:rsid w:val="00F20B86"/>
    <w:rsid w:val="00F2109B"/>
    <w:rsid w:val="00F2284C"/>
    <w:rsid w:val="00F240B2"/>
    <w:rsid w:val="00F249C3"/>
    <w:rsid w:val="00F27CF6"/>
    <w:rsid w:val="00F327B2"/>
    <w:rsid w:val="00F357E8"/>
    <w:rsid w:val="00F36B6C"/>
    <w:rsid w:val="00F37D9C"/>
    <w:rsid w:val="00F57DAB"/>
    <w:rsid w:val="00F61E2D"/>
    <w:rsid w:val="00F6312B"/>
    <w:rsid w:val="00F63AEB"/>
    <w:rsid w:val="00F663BD"/>
    <w:rsid w:val="00F674AF"/>
    <w:rsid w:val="00F67D90"/>
    <w:rsid w:val="00F7373C"/>
    <w:rsid w:val="00F752B0"/>
    <w:rsid w:val="00F80FCC"/>
    <w:rsid w:val="00F82F61"/>
    <w:rsid w:val="00F84890"/>
    <w:rsid w:val="00F87673"/>
    <w:rsid w:val="00F900F0"/>
    <w:rsid w:val="00F9106C"/>
    <w:rsid w:val="00F91B9E"/>
    <w:rsid w:val="00F94506"/>
    <w:rsid w:val="00F954F8"/>
    <w:rsid w:val="00F97308"/>
    <w:rsid w:val="00FA28E8"/>
    <w:rsid w:val="00FA6C56"/>
    <w:rsid w:val="00FA7349"/>
    <w:rsid w:val="00FB0FF6"/>
    <w:rsid w:val="00FB25D3"/>
    <w:rsid w:val="00FB3A91"/>
    <w:rsid w:val="00FB4E5A"/>
    <w:rsid w:val="00FB583F"/>
    <w:rsid w:val="00FB64C1"/>
    <w:rsid w:val="00FC0219"/>
    <w:rsid w:val="00FC348E"/>
    <w:rsid w:val="00FC7202"/>
    <w:rsid w:val="00FE3990"/>
    <w:rsid w:val="00FE67BE"/>
    <w:rsid w:val="00FF0503"/>
    <w:rsid w:val="00FF1DD3"/>
    <w:rsid w:val="00FF63D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B1710"/>
  <w15:chartTrackingRefBased/>
  <w15:docId w15:val="{02EEA0DA-6AD8-441E-B6A7-86EBEAB9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41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ZNRODZAKTUtznustawalubrozporzdzenieiorganwydajcy">
    <w:name w:val="OZN_RODZ_AKTU – tzn. ustawa lub rozporządzenie i organ wydający"/>
    <w:next w:val="Normalny"/>
    <w:uiPriority w:val="5"/>
    <w:qFormat/>
    <w:rsid w:val="00240FD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240FDA"/>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240FDA"/>
    <w:pPr>
      <w:ind w:left="720"/>
      <w:contextualSpacing/>
    </w:pPr>
  </w:style>
  <w:style w:type="paragraph" w:styleId="Tekstprzypisudolnego">
    <w:name w:val="footnote text"/>
    <w:basedOn w:val="Normalny"/>
    <w:link w:val="TekstprzypisudolnegoZnak"/>
    <w:uiPriority w:val="99"/>
    <w:unhideWhenUsed/>
    <w:rsid w:val="007F11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F1109"/>
    <w:rPr>
      <w:sz w:val="20"/>
      <w:szCs w:val="20"/>
    </w:rPr>
  </w:style>
  <w:style w:type="character" w:styleId="Odwoanieprzypisudolnego">
    <w:name w:val="footnote reference"/>
    <w:aliases w:val="Odwołanie przypisu,FZ,(Voetnootmarkering),Footnote Reference_LVL6,Footnote Reference_LVL61,Footnote Reference_LVL62,Footnote Reference_LVL63,Footnote Reference_LVL64,Footnote Reference Number,Footnote symbol,Voetnootverwijzing"/>
    <w:basedOn w:val="Domylnaczcionkaakapitu"/>
    <w:uiPriority w:val="99"/>
    <w:semiHidden/>
    <w:unhideWhenUsed/>
    <w:rsid w:val="007F1109"/>
    <w:rPr>
      <w:vertAlign w:val="superscript"/>
    </w:rPr>
  </w:style>
  <w:style w:type="paragraph" w:customStyle="1" w:styleId="LITlitera">
    <w:name w:val="LIT – litera"/>
    <w:basedOn w:val="Normalny"/>
    <w:uiPriority w:val="14"/>
    <w:qFormat/>
    <w:rsid w:val="0026134E"/>
    <w:pPr>
      <w:spacing w:after="0" w:line="360" w:lineRule="auto"/>
      <w:ind w:left="986" w:hanging="476"/>
      <w:jc w:val="both"/>
    </w:pPr>
    <w:rPr>
      <w:rFonts w:ascii="Times" w:eastAsiaTheme="minorEastAsia" w:hAnsi="Times" w:cs="Arial"/>
      <w:bCs/>
      <w:sz w:val="24"/>
      <w:szCs w:val="20"/>
      <w:lang w:eastAsia="pl-PL"/>
    </w:rPr>
  </w:style>
  <w:style w:type="paragraph" w:customStyle="1" w:styleId="ZLITUSTzmustliter">
    <w:name w:val="Z_LIT/UST(§) – zm. ust. (§) literą"/>
    <w:basedOn w:val="Normalny"/>
    <w:uiPriority w:val="46"/>
    <w:qFormat/>
    <w:rsid w:val="0026134E"/>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ZLITPKTzmpktliter">
    <w:name w:val="Z_LIT/PKT – zm. pkt literą"/>
    <w:basedOn w:val="Normalny"/>
    <w:uiPriority w:val="47"/>
    <w:qFormat/>
    <w:rsid w:val="0026134E"/>
    <w:pPr>
      <w:spacing w:after="0" w:line="360" w:lineRule="auto"/>
      <w:ind w:left="1497" w:hanging="510"/>
      <w:jc w:val="both"/>
    </w:pPr>
    <w:rPr>
      <w:rFonts w:ascii="Times" w:eastAsiaTheme="minorEastAsia" w:hAnsi="Times" w:cs="Arial"/>
      <w:bCs/>
      <w:sz w:val="24"/>
      <w:szCs w:val="20"/>
      <w:lang w:eastAsia="pl-PL"/>
    </w:rPr>
  </w:style>
  <w:style w:type="paragraph" w:customStyle="1" w:styleId="PKTpunkt">
    <w:name w:val="PKT – punkt"/>
    <w:uiPriority w:val="13"/>
    <w:qFormat/>
    <w:rsid w:val="006F181E"/>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6F181E"/>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33611A"/>
    <w:pPr>
      <w:ind w:left="1020"/>
    </w:pPr>
  </w:style>
  <w:style w:type="paragraph" w:customStyle="1" w:styleId="ARTartustawynprozporzdzenia">
    <w:name w:val="ART(§) – art. ustawy (§ np. rozporządzenia)"/>
    <w:uiPriority w:val="11"/>
    <w:qFormat/>
    <w:rsid w:val="0012375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123754"/>
    <w:pPr>
      <w:spacing w:before="0"/>
    </w:pPr>
    <w:rPr>
      <w:bCs/>
    </w:rPr>
  </w:style>
  <w:style w:type="character" w:styleId="Odwoaniedokomentarza">
    <w:name w:val="annotation reference"/>
    <w:basedOn w:val="Domylnaczcionkaakapitu"/>
    <w:uiPriority w:val="99"/>
    <w:semiHidden/>
    <w:unhideWhenUsed/>
    <w:rsid w:val="003254A0"/>
    <w:rPr>
      <w:sz w:val="16"/>
      <w:szCs w:val="16"/>
    </w:rPr>
  </w:style>
  <w:style w:type="paragraph" w:styleId="Tekstkomentarza">
    <w:name w:val="annotation text"/>
    <w:basedOn w:val="Normalny"/>
    <w:link w:val="TekstkomentarzaZnak"/>
    <w:uiPriority w:val="99"/>
    <w:unhideWhenUsed/>
    <w:rsid w:val="003254A0"/>
    <w:pPr>
      <w:spacing w:line="240" w:lineRule="auto"/>
    </w:pPr>
    <w:rPr>
      <w:sz w:val="20"/>
      <w:szCs w:val="20"/>
    </w:rPr>
  </w:style>
  <w:style w:type="character" w:customStyle="1" w:styleId="TekstkomentarzaZnak">
    <w:name w:val="Tekst komentarza Znak"/>
    <w:basedOn w:val="Domylnaczcionkaakapitu"/>
    <w:link w:val="Tekstkomentarza"/>
    <w:uiPriority w:val="99"/>
    <w:rsid w:val="003254A0"/>
    <w:rPr>
      <w:sz w:val="20"/>
      <w:szCs w:val="20"/>
    </w:rPr>
  </w:style>
  <w:style w:type="paragraph" w:styleId="Tematkomentarza">
    <w:name w:val="annotation subject"/>
    <w:basedOn w:val="Tekstkomentarza"/>
    <w:next w:val="Tekstkomentarza"/>
    <w:link w:val="TematkomentarzaZnak"/>
    <w:uiPriority w:val="99"/>
    <w:semiHidden/>
    <w:unhideWhenUsed/>
    <w:rsid w:val="003254A0"/>
    <w:rPr>
      <w:b/>
      <w:bCs/>
    </w:rPr>
  </w:style>
  <w:style w:type="character" w:customStyle="1" w:styleId="TematkomentarzaZnak">
    <w:name w:val="Temat komentarza Znak"/>
    <w:basedOn w:val="TekstkomentarzaZnak"/>
    <w:link w:val="Tematkomentarza"/>
    <w:uiPriority w:val="99"/>
    <w:semiHidden/>
    <w:rsid w:val="003254A0"/>
    <w:rPr>
      <w:b/>
      <w:bCs/>
      <w:sz w:val="20"/>
      <w:szCs w:val="20"/>
    </w:rPr>
  </w:style>
  <w:style w:type="character" w:customStyle="1" w:styleId="Ppogrubienie">
    <w:name w:val="_P_ – pogrubienie"/>
    <w:basedOn w:val="Domylnaczcionkaakapitu"/>
    <w:uiPriority w:val="1"/>
    <w:qFormat/>
    <w:rsid w:val="007C4E14"/>
    <w:rPr>
      <w:b/>
    </w:rPr>
  </w:style>
  <w:style w:type="paragraph" w:customStyle="1" w:styleId="CZWSPPKTczwsplnapunktw">
    <w:name w:val="CZ_WSP_PKT – część wspólna punktów"/>
    <w:basedOn w:val="PKTpunkt"/>
    <w:next w:val="Normalny"/>
    <w:uiPriority w:val="16"/>
    <w:qFormat/>
    <w:rsid w:val="007C4E14"/>
    <w:pPr>
      <w:ind w:left="0" w:firstLine="0"/>
    </w:pPr>
  </w:style>
  <w:style w:type="paragraph" w:styleId="Poprawka">
    <w:name w:val="Revision"/>
    <w:hidden/>
    <w:uiPriority w:val="99"/>
    <w:semiHidden/>
    <w:rsid w:val="0043134A"/>
    <w:pPr>
      <w:spacing w:after="0" w:line="240" w:lineRule="auto"/>
    </w:pPr>
  </w:style>
  <w:style w:type="character" w:customStyle="1" w:styleId="Kkursywa">
    <w:name w:val="_K_ – kursywa"/>
    <w:basedOn w:val="Domylnaczcionkaakapitu"/>
    <w:uiPriority w:val="1"/>
    <w:qFormat/>
    <w:rsid w:val="004428BF"/>
    <w:rPr>
      <w:i/>
    </w:rPr>
  </w:style>
  <w:style w:type="paragraph" w:styleId="Nagwek">
    <w:name w:val="header"/>
    <w:basedOn w:val="Normalny"/>
    <w:link w:val="NagwekZnak"/>
    <w:uiPriority w:val="99"/>
    <w:unhideWhenUsed/>
    <w:rsid w:val="00BE26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264C"/>
  </w:style>
  <w:style w:type="paragraph" w:styleId="Stopka">
    <w:name w:val="footer"/>
    <w:basedOn w:val="Normalny"/>
    <w:link w:val="StopkaZnak"/>
    <w:uiPriority w:val="99"/>
    <w:unhideWhenUsed/>
    <w:rsid w:val="00BE26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16">
      <w:bodyDiv w:val="1"/>
      <w:marLeft w:val="0"/>
      <w:marRight w:val="0"/>
      <w:marTop w:val="0"/>
      <w:marBottom w:val="0"/>
      <w:divBdr>
        <w:top w:val="none" w:sz="0" w:space="0" w:color="auto"/>
        <w:left w:val="none" w:sz="0" w:space="0" w:color="auto"/>
        <w:bottom w:val="none" w:sz="0" w:space="0" w:color="auto"/>
        <w:right w:val="none" w:sz="0" w:space="0" w:color="auto"/>
      </w:divBdr>
    </w:div>
    <w:div w:id="359622822">
      <w:bodyDiv w:val="1"/>
      <w:marLeft w:val="0"/>
      <w:marRight w:val="0"/>
      <w:marTop w:val="0"/>
      <w:marBottom w:val="0"/>
      <w:divBdr>
        <w:top w:val="none" w:sz="0" w:space="0" w:color="auto"/>
        <w:left w:val="none" w:sz="0" w:space="0" w:color="auto"/>
        <w:bottom w:val="none" w:sz="0" w:space="0" w:color="auto"/>
        <w:right w:val="none" w:sz="0" w:space="0" w:color="auto"/>
      </w:divBdr>
    </w:div>
    <w:div w:id="723410267">
      <w:bodyDiv w:val="1"/>
      <w:marLeft w:val="0"/>
      <w:marRight w:val="0"/>
      <w:marTop w:val="0"/>
      <w:marBottom w:val="0"/>
      <w:divBdr>
        <w:top w:val="none" w:sz="0" w:space="0" w:color="auto"/>
        <w:left w:val="none" w:sz="0" w:space="0" w:color="auto"/>
        <w:bottom w:val="none" w:sz="0" w:space="0" w:color="auto"/>
        <w:right w:val="none" w:sz="0" w:space="0" w:color="auto"/>
      </w:divBdr>
    </w:div>
    <w:div w:id="14330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A1C7-94BE-4D58-9EC2-E098D72D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17861</Words>
  <Characters>107170</Characters>
  <Application>Microsoft Office Word</Application>
  <DocSecurity>4</DocSecurity>
  <Lines>893</Lines>
  <Paragraphs>249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Kamińska Adriana</dc:creator>
  <cp:keywords/>
  <dc:description/>
  <cp:lastModifiedBy>Wójcik Aleksandra</cp:lastModifiedBy>
  <cp:revision>2</cp:revision>
  <dcterms:created xsi:type="dcterms:W3CDTF">2026-06-02T06:53:00Z</dcterms:created>
  <dcterms:modified xsi:type="dcterms:W3CDTF">2026-06-02T06:53:00Z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UxC4dwLulzfINJ8nQH+xvX5LNGipWa4BRSZhPgxsCvkX+DkGx0VO+neCDgYCAzdnOLXr+6ut5fkOUAKh4m/EhA==</vt:lpwstr>
  </property>
  <property fmtid="{D5CDD505-2E9C-101B-9397-08002B2CF9AE}" pid="4" name="MFClassificationDate">
    <vt:lpwstr>2025-02-18T12:31:13.1326840+01:00</vt:lpwstr>
  </property>
  <property fmtid="{D5CDD505-2E9C-101B-9397-08002B2CF9AE}" pid="5" name="MFClassifiedBySID">
    <vt:lpwstr>UxC4dwLulzfINJ8nQH+xvX5LNGipWa4BRSZhPgxsCvm42mrIC/DSDv0ggS+FjUN/2v1BBotkLlY5aAiEhoi6uT6l/lYoTwrNwDVvKCDJdoyyyRKcpkW8TZ8c3Kh4T8wa</vt:lpwstr>
  </property>
  <property fmtid="{D5CDD505-2E9C-101B-9397-08002B2CF9AE}" pid="6" name="MFGRNItemId">
    <vt:lpwstr>GRN-e2f291d7-fbd8-4c9d-936e-401e563496dc</vt:lpwstr>
  </property>
  <property fmtid="{D5CDD505-2E9C-101B-9397-08002B2CF9AE}" pid="7" name="MFHash">
    <vt:lpwstr>hgA+DdvzB2+AkutsYNrmA+Uaa3awEIgVfCUueslDHbc=</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