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656A" w14:textId="77777777" w:rsidR="00574478" w:rsidRPr="006E07B7" w:rsidRDefault="00574478" w:rsidP="00574478">
      <w:pPr>
        <w:spacing w:after="115" w:line="259" w:lineRule="auto"/>
        <w:jc w:val="center"/>
        <w:rPr>
          <w:rFonts w:ascii="Times New Roman" w:eastAsia="Times New Roman" w:hAnsi="Times New Roman" w:cs="Times New Roman"/>
          <w:b/>
          <w:bCs/>
          <w:color w:val="000000"/>
          <w:lang w:eastAsia="pl-PL"/>
        </w:rPr>
      </w:pPr>
      <w:r w:rsidRPr="006E07B7">
        <w:rPr>
          <w:rFonts w:ascii="Times New Roman" w:eastAsia="Times New Roman" w:hAnsi="Times New Roman" w:cs="Times New Roman"/>
          <w:b/>
          <w:bCs/>
          <w:color w:val="000000"/>
          <w:lang w:eastAsia="pl-PL"/>
        </w:rPr>
        <w:t>UZASADNIENIE</w:t>
      </w:r>
    </w:p>
    <w:p w14:paraId="52A73FCF" w14:textId="77777777" w:rsidR="001F26DE" w:rsidRDefault="001F26DE" w:rsidP="00574478">
      <w:pPr>
        <w:spacing w:after="0" w:line="357" w:lineRule="auto"/>
        <w:ind w:left="-5" w:hanging="10"/>
        <w:jc w:val="both"/>
        <w:rPr>
          <w:rFonts w:ascii="Times New Roman" w:eastAsia="Times New Roman" w:hAnsi="Times New Roman" w:cs="Times New Roman"/>
          <w:color w:val="000000"/>
          <w:highlight w:val="yellow"/>
          <w:lang w:eastAsia="pl-PL"/>
        </w:rPr>
      </w:pPr>
    </w:p>
    <w:p w14:paraId="5CF18B0B" w14:textId="4CC0AE1C" w:rsidR="001F26DE" w:rsidRDefault="001F26DE" w:rsidP="001F26DE">
      <w:pPr>
        <w:spacing w:after="0" w:line="357" w:lineRule="auto"/>
        <w:ind w:left="-5" w:hanging="10"/>
        <w:jc w:val="both"/>
        <w:rPr>
          <w:rFonts w:ascii="Times New Roman" w:eastAsia="Times New Roman" w:hAnsi="Times New Roman" w:cs="Times New Roman"/>
          <w:color w:val="000000"/>
          <w:highlight w:val="yellow"/>
          <w:lang w:eastAsia="pl-PL"/>
        </w:rPr>
      </w:pPr>
      <w:r>
        <w:rPr>
          <w:rFonts w:ascii="Times New Roman" w:eastAsia="Times New Roman" w:hAnsi="Times New Roman" w:cs="Times New Roman"/>
          <w:color w:val="000000"/>
          <w:lang w:eastAsia="pl-PL"/>
        </w:rPr>
        <w:t>W</w:t>
      </w:r>
      <w:r w:rsidRPr="001F26DE">
        <w:rPr>
          <w:rFonts w:ascii="Times New Roman" w:eastAsia="Times New Roman" w:hAnsi="Times New Roman" w:cs="Times New Roman"/>
          <w:color w:val="000000"/>
          <w:lang w:eastAsia="pl-PL"/>
        </w:rPr>
        <w:t xml:space="preserve"> świetle zarówno obowiązujących przepisów, jak i braku jednolitości</w:t>
      </w:r>
      <w:r>
        <w:rPr>
          <w:rFonts w:ascii="Times New Roman" w:eastAsia="Times New Roman" w:hAnsi="Times New Roman" w:cs="Times New Roman"/>
          <w:color w:val="000000"/>
          <w:lang w:eastAsia="pl-PL"/>
        </w:rPr>
        <w:t xml:space="preserve"> </w:t>
      </w:r>
      <w:r w:rsidRPr="001F26DE">
        <w:rPr>
          <w:rFonts w:ascii="Times New Roman" w:eastAsia="Times New Roman" w:hAnsi="Times New Roman" w:cs="Times New Roman"/>
          <w:color w:val="000000"/>
          <w:lang w:eastAsia="pl-PL"/>
        </w:rPr>
        <w:t>orzecznictwa oraz poglądów doktryny prawa administracyjnego nie</w:t>
      </w:r>
      <w:r w:rsidR="00CD1658">
        <w:rPr>
          <w:rFonts w:ascii="Times New Roman" w:eastAsia="Times New Roman" w:hAnsi="Times New Roman" w:cs="Times New Roman"/>
          <w:color w:val="000000"/>
          <w:lang w:eastAsia="pl-PL"/>
        </w:rPr>
        <w:t xml:space="preserve"> </w:t>
      </w:r>
      <w:r w:rsidRPr="001F26DE">
        <w:rPr>
          <w:rFonts w:ascii="Times New Roman" w:eastAsia="Times New Roman" w:hAnsi="Times New Roman" w:cs="Times New Roman"/>
          <w:color w:val="000000"/>
          <w:lang w:eastAsia="pl-PL"/>
        </w:rPr>
        <w:t>sposób dokonać ustalenia, czy dopuszczalne jest wprowadzenie w statucie jednostki</w:t>
      </w:r>
      <w:r w:rsidR="00CD1658">
        <w:rPr>
          <w:rFonts w:ascii="Times New Roman" w:eastAsia="Times New Roman" w:hAnsi="Times New Roman" w:cs="Times New Roman"/>
          <w:color w:val="000000"/>
          <w:lang w:eastAsia="pl-PL"/>
        </w:rPr>
        <w:t xml:space="preserve"> </w:t>
      </w:r>
      <w:r w:rsidRPr="001F26DE">
        <w:rPr>
          <w:rFonts w:ascii="Times New Roman" w:eastAsia="Times New Roman" w:hAnsi="Times New Roman" w:cs="Times New Roman"/>
          <w:color w:val="000000"/>
          <w:lang w:eastAsia="pl-PL"/>
        </w:rPr>
        <w:t>pomocniczej gminy regulacji umożliwiającej wygaszenie mandatu członka</w:t>
      </w:r>
      <w:r w:rsidR="00CD1658">
        <w:rPr>
          <w:rFonts w:ascii="Times New Roman" w:eastAsia="Times New Roman" w:hAnsi="Times New Roman" w:cs="Times New Roman"/>
          <w:color w:val="000000"/>
          <w:lang w:eastAsia="pl-PL"/>
        </w:rPr>
        <w:t xml:space="preserve"> </w:t>
      </w:r>
      <w:r w:rsidRPr="001F26DE">
        <w:rPr>
          <w:rFonts w:ascii="Times New Roman" w:eastAsia="Times New Roman" w:hAnsi="Times New Roman" w:cs="Times New Roman"/>
          <w:color w:val="000000"/>
          <w:lang w:eastAsia="pl-PL"/>
        </w:rPr>
        <w:t>organu uchwałodawczego tej jednostki. Na ułomność obecnej regulacji prawnej</w:t>
      </w:r>
      <w:r w:rsidR="00CD1658">
        <w:rPr>
          <w:rFonts w:ascii="Times New Roman" w:eastAsia="Times New Roman" w:hAnsi="Times New Roman" w:cs="Times New Roman"/>
          <w:color w:val="000000"/>
          <w:lang w:eastAsia="pl-PL"/>
        </w:rPr>
        <w:t xml:space="preserve"> </w:t>
      </w:r>
      <w:r w:rsidRPr="001F26DE">
        <w:rPr>
          <w:rFonts w:ascii="Times New Roman" w:eastAsia="Times New Roman" w:hAnsi="Times New Roman" w:cs="Times New Roman"/>
          <w:color w:val="000000"/>
          <w:lang w:eastAsia="pl-PL"/>
        </w:rPr>
        <w:t>zwraca się uwagę także w piśmiennictwie</w:t>
      </w:r>
      <w:r>
        <w:rPr>
          <w:rStyle w:val="Odwoanieprzypisudolnego"/>
          <w:rFonts w:ascii="Times New Roman" w:eastAsia="Times New Roman" w:hAnsi="Times New Roman" w:cs="Times New Roman"/>
          <w:color w:val="000000"/>
          <w:lang w:eastAsia="pl-PL"/>
        </w:rPr>
        <w:footnoteReference w:id="1"/>
      </w:r>
      <w:r w:rsidRPr="001F26DE">
        <w:rPr>
          <w:rFonts w:ascii="Times New Roman" w:eastAsia="Times New Roman" w:hAnsi="Times New Roman" w:cs="Times New Roman"/>
          <w:color w:val="000000"/>
          <w:lang w:eastAsia="pl-PL"/>
        </w:rPr>
        <w:t>.</w:t>
      </w:r>
    </w:p>
    <w:p w14:paraId="1D027634" w14:textId="5E2E764C" w:rsidR="001F26DE" w:rsidRDefault="005B481E" w:rsidP="00EE447E">
      <w:pPr>
        <w:spacing w:after="0" w:line="357" w:lineRule="auto"/>
        <w:ind w:left="-5" w:firstLine="713"/>
        <w:jc w:val="both"/>
        <w:rPr>
          <w:rFonts w:ascii="Times New Roman" w:eastAsia="Times New Roman" w:hAnsi="Times New Roman" w:cs="Times New Roman"/>
          <w:color w:val="000000"/>
          <w:highlight w:val="yellow"/>
          <w:lang w:eastAsia="pl-PL"/>
        </w:rPr>
      </w:pPr>
      <w:r w:rsidRPr="005B481E">
        <w:rPr>
          <w:rFonts w:ascii="Times New Roman" w:eastAsia="Times New Roman" w:hAnsi="Times New Roman" w:cs="Times New Roman"/>
          <w:color w:val="000000"/>
          <w:lang w:eastAsia="pl-PL"/>
        </w:rPr>
        <w:t xml:space="preserve">Wojewódzki Sąd Administracyjny w Krakowie w wyroku z 9.12.2014 r., III SA/Kr 1186/14, LEX nr 1602672, orzekł: „Upoważnienie rady gminy do określania «wewnętrznego ustroju gminy oraz jednostek pomocniczych» nie zawiera upoważnienia do wprowadzania </w:t>
      </w:r>
      <w:r w:rsidR="00777C45">
        <w:rPr>
          <w:rFonts w:ascii="Times New Roman" w:eastAsia="Times New Roman" w:hAnsi="Times New Roman" w:cs="Times New Roman"/>
          <w:color w:val="000000"/>
          <w:lang w:eastAsia="pl-PL"/>
        </w:rPr>
        <w:br/>
      </w:r>
      <w:r w:rsidRPr="005B481E">
        <w:rPr>
          <w:rFonts w:ascii="Times New Roman" w:eastAsia="Times New Roman" w:hAnsi="Times New Roman" w:cs="Times New Roman"/>
          <w:color w:val="000000"/>
          <w:lang w:eastAsia="pl-PL"/>
        </w:rPr>
        <w:t xml:space="preserve">w statutach sołectw przesłanki wykluczającej możliwość sprawowania funkcji sołtysa lub członka rady sołeckiej, jaką jest prawomocny wyrok sądu, orzeczony za przestępstwo popełnione z winy umyślnej. Taka indywidualna kwalifikacja po stronie osoby piastującej funkcję sołtysa lub członka rady sołeckiej nie stanowi takiej regulacji w zakresie «wewnętrznego ustroju gminy oraz jednostek pomocniczych», która nie wymagałaby szczegółowego upoważnienia, gdyż dotyka kwestii publicznych praw podmiotowych </w:t>
      </w:r>
      <w:r w:rsidR="00777C45">
        <w:rPr>
          <w:rFonts w:ascii="Times New Roman" w:eastAsia="Times New Roman" w:hAnsi="Times New Roman" w:cs="Times New Roman"/>
          <w:color w:val="000000"/>
          <w:lang w:eastAsia="pl-PL"/>
        </w:rPr>
        <w:br/>
      </w:r>
      <w:r w:rsidRPr="005B481E">
        <w:rPr>
          <w:rFonts w:ascii="Times New Roman" w:eastAsia="Times New Roman" w:hAnsi="Times New Roman" w:cs="Times New Roman"/>
          <w:color w:val="000000"/>
          <w:lang w:eastAsia="pl-PL"/>
        </w:rPr>
        <w:t xml:space="preserve">o charakterze politycznym do uczestnictwa we władczej działalności państwa, a zatem przede wszystkim kwestii materialnoprawnych a dopiero w ich następstwie kwestii ustrojowych. (...) Wprowadzone w zaskarżonej uchwale ograniczenia prawa wyborczego, bez istnienia w naszym systemie prawnym wyraźnego ustawowego upoważnienia do takiej regulacji, stanowi naruszenie art. 87 ust. 2 i art. 94 Konstytucji oraz art. 36 ust. 2 i art. 40 ust. 1 ustawy </w:t>
      </w:r>
      <w:r w:rsidR="00777C45">
        <w:rPr>
          <w:rFonts w:ascii="Times New Roman" w:eastAsia="Times New Roman" w:hAnsi="Times New Roman" w:cs="Times New Roman"/>
          <w:color w:val="000000"/>
          <w:lang w:eastAsia="pl-PL"/>
        </w:rPr>
        <w:br/>
      </w:r>
      <w:r w:rsidRPr="005B481E">
        <w:rPr>
          <w:rFonts w:ascii="Times New Roman" w:eastAsia="Times New Roman" w:hAnsi="Times New Roman" w:cs="Times New Roman"/>
          <w:color w:val="000000"/>
          <w:lang w:eastAsia="pl-PL"/>
        </w:rPr>
        <w:t xml:space="preserve">o samorządzie gminnym, jak również zasad praworządności i legalności wynikających z art. 2 oraz art. 7 Konstytucji RP, wedle których organy władzy publicznej działają na podstawie </w:t>
      </w:r>
      <w:r w:rsidR="00777C45">
        <w:rPr>
          <w:rFonts w:ascii="Times New Roman" w:eastAsia="Times New Roman" w:hAnsi="Times New Roman" w:cs="Times New Roman"/>
          <w:color w:val="000000"/>
          <w:lang w:eastAsia="pl-PL"/>
        </w:rPr>
        <w:br/>
      </w:r>
      <w:r w:rsidRPr="005B481E">
        <w:rPr>
          <w:rFonts w:ascii="Times New Roman" w:eastAsia="Times New Roman" w:hAnsi="Times New Roman" w:cs="Times New Roman"/>
          <w:color w:val="000000"/>
          <w:lang w:eastAsia="pl-PL"/>
        </w:rPr>
        <w:t>i w granicach prawa, co oznacza, że mogą czynić tylko to, na co prawo wyraźnie im zezwala lub co wyraźnie nakazuje. Wprowadzenie dodatkowych ograniczeń prawa wyborczego, nieprzewidzianych ustawą, bez wyraźnego upoważnienia ustawowego, jest nie do pogodzenia ze standardami demokratycznego państwa prawnego”</w:t>
      </w:r>
      <w:r w:rsidR="00EE447E">
        <w:rPr>
          <w:rStyle w:val="Odwoanieprzypisudolnego"/>
          <w:rFonts w:ascii="Times New Roman" w:eastAsia="Times New Roman" w:hAnsi="Times New Roman" w:cs="Times New Roman"/>
          <w:color w:val="000000"/>
          <w:lang w:eastAsia="pl-PL"/>
        </w:rPr>
        <w:footnoteReference w:id="2"/>
      </w:r>
      <w:r w:rsidRPr="005B481E">
        <w:rPr>
          <w:rFonts w:ascii="Times New Roman" w:eastAsia="Times New Roman" w:hAnsi="Times New Roman" w:cs="Times New Roman"/>
          <w:color w:val="000000"/>
          <w:lang w:eastAsia="pl-PL"/>
        </w:rPr>
        <w:t>.</w:t>
      </w:r>
    </w:p>
    <w:p w14:paraId="7E512CB6" w14:textId="255A7EDD" w:rsidR="00574478" w:rsidRPr="00574478" w:rsidRDefault="00EE447E" w:rsidP="00EE447E">
      <w:pPr>
        <w:spacing w:after="0" w:line="357" w:lineRule="auto"/>
        <w:ind w:left="-5" w:firstLine="713"/>
        <w:jc w:val="both"/>
        <w:rPr>
          <w:rFonts w:ascii="Times New Roman" w:eastAsia="Times New Roman" w:hAnsi="Times New Roman" w:cs="Times New Roman"/>
          <w:color w:val="000000"/>
          <w:lang w:eastAsia="pl-PL"/>
        </w:rPr>
      </w:pPr>
      <w:r w:rsidRPr="00EE447E">
        <w:rPr>
          <w:rFonts w:ascii="Times New Roman" w:eastAsia="Times New Roman" w:hAnsi="Times New Roman" w:cs="Times New Roman"/>
          <w:color w:val="000000"/>
          <w:lang w:eastAsia="pl-PL"/>
        </w:rPr>
        <w:t xml:space="preserve">W związku z powyższym celem projektowanej ustawy o zmianie ustawy o samorządzie gminnym jest </w:t>
      </w:r>
      <w:r w:rsidR="00574478" w:rsidRPr="00EE447E">
        <w:rPr>
          <w:rFonts w:ascii="Times New Roman" w:eastAsia="Times New Roman" w:hAnsi="Times New Roman" w:cs="Times New Roman"/>
          <w:color w:val="000000"/>
          <w:lang w:eastAsia="pl-PL"/>
        </w:rPr>
        <w:t xml:space="preserve">ujednolicenie przepisów w zakresie biernego prawa wyborczego (prawa wybieralności) w organach jednostek samorządu terytorialnego. Obecny stan prawny dopuszcza możliwość zasiadania w organach jednostek pomocniczych gminy (pomocniczych </w:t>
      </w:r>
      <w:r w:rsidR="00574478" w:rsidRPr="00EE447E">
        <w:rPr>
          <w:rFonts w:ascii="Times New Roman" w:eastAsia="Times New Roman" w:hAnsi="Times New Roman" w:cs="Times New Roman"/>
          <w:color w:val="000000"/>
          <w:lang w:eastAsia="pl-PL"/>
        </w:rPr>
        <w:lastRenderedPageBreak/>
        <w:t>organów samorządu gminnego) osób skazanych prawomocnymi wyrokami sądów powszechnych za przestępstwa popełnione z winy umyślnej. Coraz większe znaczenie jednostek pomocniczych gminy w działalności publicznej i bulwersujące opinię publiczną przykłady zasiadania w ich organach prawomocnie skazanych przestępców przemawiają za ujednoliceniem przepisów w tym zakresie i eliminację występującej patologii prawnej.</w:t>
      </w:r>
      <w:r w:rsidR="00574478" w:rsidRPr="00574478">
        <w:rPr>
          <w:rFonts w:ascii="Times New Roman" w:eastAsia="Times New Roman" w:hAnsi="Times New Roman" w:cs="Times New Roman"/>
          <w:color w:val="000000"/>
          <w:lang w:eastAsia="pl-PL"/>
        </w:rPr>
        <w:t xml:space="preserve"> </w:t>
      </w:r>
    </w:p>
    <w:p w14:paraId="0B2D4DB6" w14:textId="77777777" w:rsidR="00574478" w:rsidRDefault="00574478" w:rsidP="00574478">
      <w:pPr>
        <w:spacing w:after="0" w:line="259" w:lineRule="auto"/>
        <w:rPr>
          <w:rFonts w:ascii="Calibri" w:eastAsia="Calibri" w:hAnsi="Calibri" w:cs="Calibri"/>
          <w:color w:val="000000"/>
          <w:sz w:val="22"/>
          <w:lang w:eastAsia="pl-PL"/>
        </w:rPr>
      </w:pPr>
      <w:r w:rsidRPr="00574478">
        <w:rPr>
          <w:rFonts w:ascii="Calibri" w:eastAsia="Calibri" w:hAnsi="Calibri" w:cs="Calibri"/>
          <w:color w:val="000000"/>
          <w:sz w:val="22"/>
          <w:lang w:eastAsia="pl-PL"/>
        </w:rPr>
        <w:t xml:space="preserve"> </w:t>
      </w:r>
    </w:p>
    <w:p w14:paraId="5E363C0F" w14:textId="56BC175D" w:rsidR="005E442D" w:rsidRPr="005E442D" w:rsidRDefault="005E442D" w:rsidP="006E07B7">
      <w:pPr>
        <w:ind w:firstLine="708"/>
        <w:rPr>
          <w:rFonts w:ascii="Times New Roman" w:hAnsi="Times New Roman" w:cs="Times New Roman"/>
        </w:rPr>
      </w:pPr>
      <w:r w:rsidRPr="005E442D">
        <w:rPr>
          <w:rFonts w:ascii="Times New Roman" w:hAnsi="Times New Roman" w:cs="Times New Roman"/>
        </w:rPr>
        <w:t>Projektowana ustawa ma wejść w życie po upływie 3</w:t>
      </w:r>
      <w:r>
        <w:rPr>
          <w:rFonts w:ascii="Times New Roman" w:hAnsi="Times New Roman" w:cs="Times New Roman"/>
        </w:rPr>
        <w:t xml:space="preserve"> miesięcy</w:t>
      </w:r>
      <w:r w:rsidRPr="005E442D">
        <w:rPr>
          <w:rFonts w:ascii="Times New Roman" w:hAnsi="Times New Roman" w:cs="Times New Roman"/>
        </w:rPr>
        <w:t xml:space="preserve"> od dnia ogłoszenia.</w:t>
      </w:r>
    </w:p>
    <w:p w14:paraId="2699BCED" w14:textId="77777777" w:rsidR="005E442D" w:rsidRDefault="005E442D" w:rsidP="006E07B7">
      <w:pPr>
        <w:spacing w:after="0" w:line="360" w:lineRule="auto"/>
        <w:ind w:firstLine="708"/>
        <w:jc w:val="both"/>
        <w:rPr>
          <w:rFonts w:ascii="Times New Roman" w:eastAsia="Aptos" w:hAnsi="Times New Roman" w:cs="Times New Roman"/>
          <w:szCs w:val="22"/>
        </w:rPr>
      </w:pPr>
      <w:r w:rsidRPr="005E442D">
        <w:rPr>
          <w:rFonts w:ascii="Times New Roman" w:hAnsi="Times New Roman" w:cs="Times New Roman"/>
        </w:rPr>
        <w:t>Projekt nie przewiduje wydania aktów wykonawczych.</w:t>
      </w:r>
      <w:r w:rsidRPr="005E442D">
        <w:rPr>
          <w:rFonts w:ascii="Times New Roman" w:eastAsia="Aptos" w:hAnsi="Times New Roman" w:cs="Times New Roman"/>
          <w:szCs w:val="22"/>
        </w:rPr>
        <w:t xml:space="preserve"> </w:t>
      </w:r>
    </w:p>
    <w:p w14:paraId="74555E41" w14:textId="48EC26CF" w:rsidR="005E442D" w:rsidRPr="00C90D4F" w:rsidRDefault="005E442D" w:rsidP="006E07B7">
      <w:pPr>
        <w:spacing w:after="0" w:line="360" w:lineRule="auto"/>
        <w:ind w:firstLine="708"/>
        <w:jc w:val="both"/>
        <w:rPr>
          <w:rFonts w:ascii="Times New Roman" w:eastAsia="Aptos" w:hAnsi="Times New Roman" w:cs="Times New Roman"/>
          <w:szCs w:val="22"/>
        </w:rPr>
      </w:pPr>
      <w:r w:rsidRPr="00C90D4F">
        <w:rPr>
          <w:rFonts w:ascii="Times New Roman" w:eastAsia="Aptos" w:hAnsi="Times New Roman" w:cs="Times New Roman"/>
          <w:szCs w:val="22"/>
        </w:rPr>
        <w:t>Przedmiot projektowanej ustawy nie jest objęty prawem Unii Europejskiej.</w:t>
      </w:r>
    </w:p>
    <w:p w14:paraId="61AAF6AB" w14:textId="0A0DE278" w:rsidR="005E442D" w:rsidRPr="005E442D" w:rsidRDefault="005E442D" w:rsidP="005E442D">
      <w:pPr>
        <w:rPr>
          <w:rFonts w:ascii="Times New Roman" w:hAnsi="Times New Roman" w:cs="Times New Roman"/>
        </w:rPr>
      </w:pPr>
    </w:p>
    <w:sectPr w:rsidR="005E442D" w:rsidRPr="005E442D" w:rsidSect="00574478">
      <w:pgSz w:w="11906" w:h="16838"/>
      <w:pgMar w:top="1473" w:right="1414" w:bottom="148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7D56" w14:textId="77777777" w:rsidR="00370C27" w:rsidRDefault="00370C27" w:rsidP="001F26DE">
      <w:pPr>
        <w:spacing w:after="0" w:line="240" w:lineRule="auto"/>
      </w:pPr>
      <w:r>
        <w:separator/>
      </w:r>
    </w:p>
  </w:endnote>
  <w:endnote w:type="continuationSeparator" w:id="0">
    <w:p w14:paraId="3C654097" w14:textId="77777777" w:rsidR="00370C27" w:rsidRDefault="00370C27" w:rsidP="001F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5513" w14:textId="77777777" w:rsidR="00370C27" w:rsidRDefault="00370C27" w:rsidP="001F26DE">
      <w:pPr>
        <w:spacing w:after="0" w:line="240" w:lineRule="auto"/>
      </w:pPr>
      <w:r>
        <w:separator/>
      </w:r>
    </w:p>
  </w:footnote>
  <w:footnote w:type="continuationSeparator" w:id="0">
    <w:p w14:paraId="59777DE8" w14:textId="77777777" w:rsidR="00370C27" w:rsidRDefault="00370C27" w:rsidP="001F26DE">
      <w:pPr>
        <w:spacing w:after="0" w:line="240" w:lineRule="auto"/>
      </w:pPr>
      <w:r>
        <w:continuationSeparator/>
      </w:r>
    </w:p>
  </w:footnote>
  <w:footnote w:id="1">
    <w:p w14:paraId="27699F93" w14:textId="3EFD9EAF" w:rsidR="001F26DE" w:rsidRPr="00777C45" w:rsidRDefault="001F26DE">
      <w:pPr>
        <w:pStyle w:val="Tekstprzypisudolnego"/>
        <w:rPr>
          <w:rFonts w:ascii="Times New Roman" w:hAnsi="Times New Roman" w:cs="Times New Roman"/>
        </w:rPr>
      </w:pPr>
      <w:r>
        <w:rPr>
          <w:rStyle w:val="Odwoanieprzypisudolnego"/>
        </w:rPr>
        <w:footnoteRef/>
      </w:r>
      <w:r>
        <w:t xml:space="preserve"> </w:t>
      </w:r>
      <w:r w:rsidRPr="00777C45">
        <w:rPr>
          <w:rFonts w:ascii="Times New Roman" w:hAnsi="Times New Roman" w:cs="Times New Roman"/>
        </w:rPr>
        <w:t>M. Augustyniak, Jednostki pomocnicze gminy, 2010, SIP LEX OMEGA.</w:t>
      </w:r>
    </w:p>
  </w:footnote>
  <w:footnote w:id="2">
    <w:p w14:paraId="278FE2B1" w14:textId="18F17872" w:rsidR="00EE447E" w:rsidRDefault="00EE447E" w:rsidP="00EE447E">
      <w:pPr>
        <w:pStyle w:val="Tekstprzypisudolnego"/>
        <w:jc w:val="both"/>
      </w:pPr>
      <w:r w:rsidRPr="00777C45">
        <w:rPr>
          <w:rStyle w:val="Odwoanieprzypisudolnego"/>
          <w:rFonts w:ascii="Times New Roman" w:hAnsi="Times New Roman" w:cs="Times New Roman"/>
        </w:rPr>
        <w:footnoteRef/>
      </w:r>
      <w:r w:rsidRPr="00777C45">
        <w:rPr>
          <w:rFonts w:ascii="Times New Roman" w:hAnsi="Times New Roman" w:cs="Times New Roman"/>
        </w:rPr>
        <w:t xml:space="preserve"> </w:t>
      </w:r>
      <w:r w:rsidRPr="00777C45">
        <w:rPr>
          <w:rFonts w:ascii="Times New Roman" w:hAnsi="Times New Roman" w:cs="Times New Roman"/>
        </w:rPr>
        <w:t>M. Augustyniak [w:] Ustawa o samorządzie gminnym. Komentarz, wyd. III, red. B. Dolnicki, Warszawa 2021, art. 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09"/>
    <w:rsid w:val="000A06DF"/>
    <w:rsid w:val="001F26DE"/>
    <w:rsid w:val="00370C27"/>
    <w:rsid w:val="0043261C"/>
    <w:rsid w:val="00445637"/>
    <w:rsid w:val="00574478"/>
    <w:rsid w:val="005B481E"/>
    <w:rsid w:val="005C0DE5"/>
    <w:rsid w:val="005E442D"/>
    <w:rsid w:val="006C3BEE"/>
    <w:rsid w:val="006E07B7"/>
    <w:rsid w:val="00777C45"/>
    <w:rsid w:val="00793E6A"/>
    <w:rsid w:val="00886DA9"/>
    <w:rsid w:val="008E3ADD"/>
    <w:rsid w:val="008F7C09"/>
    <w:rsid w:val="00923BF6"/>
    <w:rsid w:val="00926B07"/>
    <w:rsid w:val="00951BFD"/>
    <w:rsid w:val="00A96C38"/>
    <w:rsid w:val="00C11247"/>
    <w:rsid w:val="00C74092"/>
    <w:rsid w:val="00C90D4F"/>
    <w:rsid w:val="00CD1658"/>
    <w:rsid w:val="00EE44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5619"/>
  <w15:chartTrackingRefBased/>
  <w15:docId w15:val="{AE678BE2-A3FD-47FA-B589-3A5A7EE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F7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F7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7C0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7C0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7C0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7C0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7C0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7C0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7C0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7C0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F7C0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F7C0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F7C0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F7C0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F7C0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7C0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7C0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7C09"/>
    <w:rPr>
      <w:rFonts w:eastAsiaTheme="majorEastAsia" w:cstheme="majorBidi"/>
      <w:color w:val="272727" w:themeColor="text1" w:themeTint="D8"/>
    </w:rPr>
  </w:style>
  <w:style w:type="paragraph" w:styleId="Tytu">
    <w:name w:val="Title"/>
    <w:basedOn w:val="Normalny"/>
    <w:next w:val="Normalny"/>
    <w:link w:val="TytuZnak"/>
    <w:uiPriority w:val="10"/>
    <w:qFormat/>
    <w:rsid w:val="008F7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7C0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7C0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7C0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7C09"/>
    <w:pPr>
      <w:spacing w:before="160"/>
      <w:jc w:val="center"/>
    </w:pPr>
    <w:rPr>
      <w:i/>
      <w:iCs/>
      <w:color w:val="404040" w:themeColor="text1" w:themeTint="BF"/>
    </w:rPr>
  </w:style>
  <w:style w:type="character" w:customStyle="1" w:styleId="CytatZnak">
    <w:name w:val="Cytat Znak"/>
    <w:basedOn w:val="Domylnaczcionkaakapitu"/>
    <w:link w:val="Cytat"/>
    <w:uiPriority w:val="29"/>
    <w:rsid w:val="008F7C09"/>
    <w:rPr>
      <w:i/>
      <w:iCs/>
      <w:color w:val="404040" w:themeColor="text1" w:themeTint="BF"/>
    </w:rPr>
  </w:style>
  <w:style w:type="paragraph" w:styleId="Akapitzlist">
    <w:name w:val="List Paragraph"/>
    <w:basedOn w:val="Normalny"/>
    <w:uiPriority w:val="34"/>
    <w:qFormat/>
    <w:rsid w:val="008F7C09"/>
    <w:pPr>
      <w:ind w:left="720"/>
      <w:contextualSpacing/>
    </w:pPr>
  </w:style>
  <w:style w:type="character" w:styleId="Wyrnienieintensywne">
    <w:name w:val="Intense Emphasis"/>
    <w:basedOn w:val="Domylnaczcionkaakapitu"/>
    <w:uiPriority w:val="21"/>
    <w:qFormat/>
    <w:rsid w:val="008F7C09"/>
    <w:rPr>
      <w:i/>
      <w:iCs/>
      <w:color w:val="0F4761" w:themeColor="accent1" w:themeShade="BF"/>
    </w:rPr>
  </w:style>
  <w:style w:type="paragraph" w:styleId="Cytatintensywny">
    <w:name w:val="Intense Quote"/>
    <w:basedOn w:val="Normalny"/>
    <w:next w:val="Normalny"/>
    <w:link w:val="CytatintensywnyZnak"/>
    <w:uiPriority w:val="30"/>
    <w:qFormat/>
    <w:rsid w:val="008F7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7C09"/>
    <w:rPr>
      <w:i/>
      <w:iCs/>
      <w:color w:val="0F4761" w:themeColor="accent1" w:themeShade="BF"/>
    </w:rPr>
  </w:style>
  <w:style w:type="character" w:styleId="Odwoanieintensywne">
    <w:name w:val="Intense Reference"/>
    <w:basedOn w:val="Domylnaczcionkaakapitu"/>
    <w:uiPriority w:val="32"/>
    <w:qFormat/>
    <w:rsid w:val="008F7C09"/>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1F26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F26DE"/>
    <w:rPr>
      <w:sz w:val="20"/>
      <w:szCs w:val="20"/>
    </w:rPr>
  </w:style>
  <w:style w:type="character" w:styleId="Odwoanieprzypisudolnego">
    <w:name w:val="footnote reference"/>
    <w:basedOn w:val="Domylnaczcionkaakapitu"/>
    <w:uiPriority w:val="99"/>
    <w:semiHidden/>
    <w:unhideWhenUsed/>
    <w:rsid w:val="001F2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31D33-34C7-43B0-A7DC-FD96B866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434</Words>
  <Characters>2608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Mreńca</dc:creator>
  <cp:keywords/>
  <dc:description/>
  <cp:lastModifiedBy>Elżbieta Mreńca</cp:lastModifiedBy>
  <cp:revision>17</cp:revision>
  <dcterms:created xsi:type="dcterms:W3CDTF">2026-05-14T12:46:00Z</dcterms:created>
  <dcterms:modified xsi:type="dcterms:W3CDTF">2026-05-14T16:04:00Z</dcterms:modified>
</cp:coreProperties>
</file>