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ED5D" w14:textId="77777777" w:rsidR="00DF30C3" w:rsidRDefault="00DF30C3" w:rsidP="00DF30C3">
      <w:pPr>
        <w:pStyle w:val="OZNPROJEKTUwskazaniedatylubwersjiprojektu"/>
      </w:pPr>
      <w:r>
        <w:t>projekt</w:t>
      </w:r>
    </w:p>
    <w:p w14:paraId="28F7CD59" w14:textId="77777777" w:rsidR="00DF30C3" w:rsidRDefault="00DF30C3" w:rsidP="00DF30C3">
      <w:pPr>
        <w:pStyle w:val="OZNRODZAKTUtznustawalubrozporzdzenieiorganwydajcy"/>
      </w:pPr>
    </w:p>
    <w:p w14:paraId="458D8A86" w14:textId="77777777" w:rsidR="00DF30C3" w:rsidRPr="006E4A2A" w:rsidRDefault="00DF30C3" w:rsidP="00DF30C3">
      <w:pPr>
        <w:pStyle w:val="OZNRODZAKTUtznustawalubrozporzdzenieiorganwydajcy"/>
      </w:pPr>
      <w:r w:rsidRPr="006E4A2A">
        <w:t xml:space="preserve">Uchwała </w:t>
      </w:r>
    </w:p>
    <w:p w14:paraId="6208238C" w14:textId="77777777" w:rsidR="00DF30C3" w:rsidRPr="006E4A2A" w:rsidRDefault="00DF30C3" w:rsidP="00DF30C3">
      <w:pPr>
        <w:pStyle w:val="OZNRODZAKTUtznustawalubrozporzdzenieiorganwydajcy"/>
      </w:pPr>
      <w:r w:rsidRPr="006E4A2A">
        <w:t xml:space="preserve">Sejmu Rzeczypospolitej Polskiej </w:t>
      </w:r>
    </w:p>
    <w:p w14:paraId="6D48AF23" w14:textId="77777777" w:rsidR="00DF30C3" w:rsidRPr="006E4A2A" w:rsidRDefault="00DF30C3" w:rsidP="00DF30C3">
      <w:pPr>
        <w:pStyle w:val="DATAAKTUdatauchwalenialubwydaniaaktu"/>
      </w:pPr>
      <w:r w:rsidRPr="006E4A2A">
        <w:t>z dnia…</w:t>
      </w:r>
    </w:p>
    <w:p w14:paraId="1873C688" w14:textId="77777777" w:rsidR="00DF30C3" w:rsidRPr="006E4A2A" w:rsidRDefault="00DF30C3" w:rsidP="00DF30C3">
      <w:pPr>
        <w:pStyle w:val="TYTUAKTUprzedmiotregulacjiustawylubrozporzdzenia"/>
      </w:pPr>
      <w:r w:rsidRPr="006E4A2A">
        <w:t>w sprawie zmiany Regulaminu Sejmu Rzeczypospolitej Polskiej</w:t>
      </w:r>
    </w:p>
    <w:p w14:paraId="2C91E5D9" w14:textId="0EEF1C37" w:rsidR="00DF30C3" w:rsidRDefault="00DF30C3" w:rsidP="00DF30C3">
      <w:pPr>
        <w:pStyle w:val="ARTartustawynprozporzdzenia"/>
      </w:pPr>
      <w:r w:rsidRPr="006E4A2A">
        <w:rPr>
          <w:rStyle w:val="Ppogrubienie"/>
        </w:rPr>
        <w:t>Art. 1.</w:t>
      </w:r>
      <w:r w:rsidRPr="006E4A2A">
        <w:t xml:space="preserve"> W uchwale Sejmu Rzeczypospolitej Polskiej z dnia 30 lipca 1992 r. – Regulamin Sejmu Rzeczypospolitej Polskiej (M.P. z 2022 r. poz. 990,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6E4A2A">
        <w:t>)</w:t>
      </w:r>
      <w:r>
        <w:t xml:space="preserve"> </w:t>
      </w:r>
      <w:r w:rsidR="00A812B1" w:rsidRPr="00A812B1">
        <w:rPr>
          <w:bCs/>
        </w:rPr>
        <w:t>w art. 137 w ust. 1 wyrazy „</w:t>
      </w:r>
      <w:r w:rsidR="00A812B1">
        <w:rPr>
          <w:bCs/>
        </w:rPr>
        <w:t>7</w:t>
      </w:r>
      <w:r w:rsidR="00A812B1" w:rsidRPr="00A812B1">
        <w:rPr>
          <w:bCs/>
        </w:rPr>
        <w:t xml:space="preserve"> posłów” zastępuje się wyrazami „</w:t>
      </w:r>
      <w:r w:rsidR="00A812B1">
        <w:rPr>
          <w:bCs/>
        </w:rPr>
        <w:t>9</w:t>
      </w:r>
      <w:r w:rsidR="00A812B1" w:rsidRPr="00A812B1">
        <w:rPr>
          <w:bCs/>
        </w:rPr>
        <w:t xml:space="preserve"> posłów”</w:t>
      </w:r>
      <w:r>
        <w:t>.</w:t>
      </w:r>
    </w:p>
    <w:p w14:paraId="742B7272" w14:textId="649DAC2C" w:rsidR="00DF30C3" w:rsidRDefault="00DF30C3" w:rsidP="00DF30C3">
      <w:pPr>
        <w:pStyle w:val="ARTartustawynprozporzdzenia"/>
      </w:pPr>
      <w:r w:rsidRPr="009E2F48">
        <w:rPr>
          <w:rStyle w:val="Ppogrubienie"/>
        </w:rPr>
        <w:t>Art. 2.</w:t>
      </w:r>
      <w:r>
        <w:t xml:space="preserve"> Uchwała wchodzi w </w:t>
      </w:r>
      <w:r w:rsidRPr="00360BBB">
        <w:t xml:space="preserve">życie </w:t>
      </w:r>
      <w:r w:rsidR="00DE1F39">
        <w:t>z dniem podjęcia</w:t>
      </w:r>
      <w:r w:rsidRPr="00360BBB">
        <w:t>.</w:t>
      </w:r>
    </w:p>
    <w:p w14:paraId="31ED6EDF" w14:textId="77777777" w:rsidR="00313B55" w:rsidRDefault="00313B55"/>
    <w:p w14:paraId="76C94D7F" w14:textId="23AF0384" w:rsidR="00060C54" w:rsidRDefault="00060C54" w:rsidP="00060C54">
      <w:pPr>
        <w:pStyle w:val="OZNRODZAKTUtznustawalubrozporzdzenieiorganwydajcy"/>
      </w:pPr>
      <w:r>
        <w:br w:type="column"/>
      </w:r>
      <w:r w:rsidR="00DF30C3" w:rsidRPr="00646848">
        <w:lastRenderedPageBreak/>
        <w:t>Uzasadnienie</w:t>
      </w:r>
    </w:p>
    <w:p w14:paraId="3F1CD403" w14:textId="77777777" w:rsidR="00060C54" w:rsidRDefault="00060C54" w:rsidP="00060C54">
      <w:pPr>
        <w:pStyle w:val="DATAAKTUdatauchwalenialubwydaniaaktu"/>
      </w:pPr>
    </w:p>
    <w:p w14:paraId="38407F20" w14:textId="142FE115" w:rsidR="00060C54" w:rsidRDefault="00060C54" w:rsidP="00060C54">
      <w:pPr>
        <w:pStyle w:val="NIEARTTEKSTtekstnieartykuowanynppodstprawnarozplubpreambua"/>
      </w:pPr>
      <w:r>
        <w:t xml:space="preserve">Celem przedłożonego projektu uchwały jest przywrócenie obowiązującej do 2015 roku maksymalnej liczby członków sejmowej Komisji do Spraw Służb Specjalnych – 9 posłów zamiast wprowadzonej wówczas liczby 7 posłów. Potrzeba podjęcia uchwały wynika przede wszystkim z konieczności dostosowania Regulaminu Sejmu do aktualnej liczby klubów parlamentarnych i poselskich działających w Sejmie i potrzeby proporcjonalnego odzwierciedlenia ich reprezentacji w komisji oraz z dynamicznie zmieniającej się sytuacji w obszarze bezpieczeństwa państwa. Przy obecnym limicie 7 członków oraz wielopartyjnej strukturze Sejmu mniejsze kluby są </w:t>
      </w:r>
      <w:r w:rsidRPr="00060C54">
        <w:t>de facto</w:t>
      </w:r>
      <w:r>
        <w:t xml:space="preserve"> pozbawione prawa do stałego uczestnictwa w sprawowaniu kontroli nad służbami specjalnymi. Zwiększenie liczby członków do maksymalnie 9 pozwoli na pełniejsze odzwierciedlenie woli wyborców i włączenie wszystkich istotnych sił politycznych w proces kontroli parlamentarnej. Ponadto w obliczu bezprecedensowych, stałych zagrożeń o charakterze hybrydowym, cybernetycznym oraz sabotażowym zakres zadań stojących przed polskimi służbami specjalnymi istotnie wzrósł, co przekłada się na stały wzrost liczby spraw podlegających kontroli sejmowej. Dlatego też projekt zakłada zmianę w art. 137 ust. 1 Regulaminu Sejmu, przewidując, że w skład Komisji do Spraw Służb Specjalnych wchodzi nie więcej niż 9 posłów. Pozwoli to zachować elastyczność w ustalaniu liczby członków komisji w drodze uchwały, zależnie od konfiguracji klubów w danej kadencji.</w:t>
      </w:r>
    </w:p>
    <w:p w14:paraId="1D59C83E" w14:textId="5AE8A50D" w:rsidR="00060C54" w:rsidRDefault="00060C54" w:rsidP="00060C54">
      <w:pPr>
        <w:pStyle w:val="NIEARTTEKSTtekstnieartykuowanynppodstprawnarozplubpreambua"/>
      </w:pPr>
      <w:r>
        <w:t>Wejście w życie przedłożonej uchwały nie wywoła negatywnych skutków społecznych ani gospodarczych. Zmiana ma charakter wyłącznie wewnętrzny (ustrojowo-proceduralny) i zmierza do usprawnienia funkcjonowania organów Sejmu w zakresie realizacji funkcji kontrolnej. Uchwała nie pociąga za sobą istotnych skutków finansowych dla budżetu państwa ani Kancelarii Sejmu. Ewentualne wydatki związane z obsługą kancelaryjno-biurową zwiększonej liczby członków komisji mieszczą się w ramach bieżących środków budżetowych Kancelarii Sejmu. Projekt jest zgodny z Konstytucją Rzeczypospolitej Polskiej oraz nie jest objęty prawem Unii Europejskiej.</w:t>
      </w:r>
    </w:p>
    <w:p w14:paraId="6A56CD6C" w14:textId="77777777" w:rsidR="00060C54" w:rsidRPr="00060C54" w:rsidRDefault="00060C54" w:rsidP="00060C54">
      <w:pPr>
        <w:pStyle w:val="TYTUAKTUprzedmiotregulacjiustawylubrozporzdzenia"/>
      </w:pPr>
    </w:p>
    <w:p w14:paraId="6935783A" w14:textId="77777777" w:rsidR="00DF30C3" w:rsidRDefault="00DF30C3"/>
    <w:sectPr w:rsidR="00DF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7743" w14:textId="77777777" w:rsidR="0011191B" w:rsidRDefault="0011191B" w:rsidP="00DF30C3">
      <w:r>
        <w:separator/>
      </w:r>
    </w:p>
  </w:endnote>
  <w:endnote w:type="continuationSeparator" w:id="0">
    <w:p w14:paraId="483A620C" w14:textId="77777777" w:rsidR="0011191B" w:rsidRDefault="0011191B" w:rsidP="00DF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1746" w14:textId="77777777" w:rsidR="0011191B" w:rsidRDefault="0011191B" w:rsidP="00DF30C3">
      <w:r>
        <w:separator/>
      </w:r>
    </w:p>
  </w:footnote>
  <w:footnote w:type="continuationSeparator" w:id="0">
    <w:p w14:paraId="2EC1AD70" w14:textId="77777777" w:rsidR="0011191B" w:rsidRDefault="0011191B" w:rsidP="00DF30C3">
      <w:r>
        <w:continuationSeparator/>
      </w:r>
    </w:p>
  </w:footnote>
  <w:footnote w:id="1">
    <w:p w14:paraId="43290590" w14:textId="00FB8BDF" w:rsidR="00DF30C3" w:rsidRPr="006E4A2A" w:rsidRDefault="00DF30C3" w:rsidP="00DF30C3">
      <w:pPr>
        <w:pStyle w:val="ODNONIKtreodnonika"/>
      </w:pPr>
      <w:r>
        <w:rPr>
          <w:rStyle w:val="Odwoanieprzypisudolnego"/>
          <w:rFonts w:eastAsiaTheme="majorEastAsia"/>
        </w:rPr>
        <w:footnoteRef/>
      </w:r>
      <w:r>
        <w:rPr>
          <w:rStyle w:val="IGindeksgrny"/>
        </w:rPr>
        <w:t>)</w:t>
      </w:r>
      <w:r w:rsidRPr="009E2F48">
        <w:tab/>
        <w:t>Zmiany tekstu jednolitego wymienionej uchwały zostały ogłoszone w M.P. z 2022 r. poz. 1092 i 1204,</w:t>
      </w:r>
      <w:r>
        <w:t xml:space="preserve"> </w:t>
      </w:r>
      <w:r w:rsidRPr="009E2F48">
        <w:t>z</w:t>
      </w:r>
      <w:r>
        <w:t> </w:t>
      </w:r>
      <w:r w:rsidRPr="009E2F48">
        <w:t>2023</w:t>
      </w:r>
      <w:r w:rsidR="00A812B1">
        <w:t> </w:t>
      </w:r>
      <w:r w:rsidRPr="009E2F48">
        <w:t>r. poz. 273, 724 i 1360, z 2024 r. poz. 570, 667 i 751</w:t>
      </w:r>
      <w:r w:rsidR="00A812B1">
        <w:t>,</w:t>
      </w:r>
      <w:r w:rsidRPr="009E2F48">
        <w:t xml:space="preserve"> z 2025 r. poz. 235, 280, 373, 524, 608, 1037 i 1038</w:t>
      </w:r>
      <w:r w:rsidR="00A812B1">
        <w:t xml:space="preserve"> oraz</w:t>
      </w:r>
      <w:r w:rsidR="00A812B1" w:rsidRPr="00A812B1">
        <w:t xml:space="preserve"> z 2026 r. poz. 349</w:t>
      </w:r>
      <w:r w:rsidR="0052718B">
        <w:t>,</w:t>
      </w:r>
      <w:r w:rsidR="00A812B1">
        <w:t xml:space="preserve"> 439</w:t>
      </w:r>
      <w:r w:rsidR="0052718B">
        <w:t xml:space="preserve"> i 445</w:t>
      </w:r>
      <w:r w:rsidR="00A812B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3CD"/>
    <w:multiLevelType w:val="hybridMultilevel"/>
    <w:tmpl w:val="905EF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C3"/>
    <w:rsid w:val="00060C54"/>
    <w:rsid w:val="000C7E35"/>
    <w:rsid w:val="0011191B"/>
    <w:rsid w:val="001406BE"/>
    <w:rsid w:val="00166B3C"/>
    <w:rsid w:val="001B229A"/>
    <w:rsid w:val="00272E64"/>
    <w:rsid w:val="002C1DD2"/>
    <w:rsid w:val="00313B55"/>
    <w:rsid w:val="00360BBB"/>
    <w:rsid w:val="0039786D"/>
    <w:rsid w:val="0052718B"/>
    <w:rsid w:val="005D31AD"/>
    <w:rsid w:val="00610BB1"/>
    <w:rsid w:val="00715416"/>
    <w:rsid w:val="0076145A"/>
    <w:rsid w:val="007A04AB"/>
    <w:rsid w:val="007B3E00"/>
    <w:rsid w:val="007B6615"/>
    <w:rsid w:val="007F7C16"/>
    <w:rsid w:val="008161C2"/>
    <w:rsid w:val="008D51F4"/>
    <w:rsid w:val="00936C8E"/>
    <w:rsid w:val="00A812B1"/>
    <w:rsid w:val="00AD25EC"/>
    <w:rsid w:val="00BD6622"/>
    <w:rsid w:val="00BF1B60"/>
    <w:rsid w:val="00C21D9E"/>
    <w:rsid w:val="00DE1F39"/>
    <w:rsid w:val="00DF30C3"/>
    <w:rsid w:val="00E01F7B"/>
    <w:rsid w:val="00F97CD4"/>
    <w:rsid w:val="00FA71AF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6BF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C54"/>
    <w:pPr>
      <w:suppressAutoHyphens/>
      <w:spacing w:after="0" w:line="240" w:lineRule="auto"/>
    </w:pPr>
    <w:rPr>
      <w:rFonts w:ascii="Liberation Serif" w:eastAsia="Noto Serif CJK SC" w:hAnsi="Liberation Serif" w:cs="Noto Sans"/>
      <w:bCs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0C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0C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0C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0C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0C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0C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0C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0C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0C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0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0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0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0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0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0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0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0C3"/>
    <w:pPr>
      <w:suppressAutoHyphens w:val="0"/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0C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3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0C3"/>
    <w:pPr>
      <w:suppressAutoHyphens w:val="0"/>
      <w:spacing w:before="160" w:after="160" w:line="278" w:lineRule="auto"/>
      <w:jc w:val="center"/>
    </w:pPr>
    <w:rPr>
      <w:rFonts w:ascii="Arial" w:eastAsiaTheme="minorHAnsi" w:hAnsi="Arial" w:cs="Arial"/>
      <w:bCs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3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0C3"/>
    <w:pPr>
      <w:suppressAutoHyphens w:val="0"/>
      <w:spacing w:after="160" w:line="278" w:lineRule="auto"/>
      <w:ind w:left="720"/>
      <w:contextualSpacing/>
    </w:pPr>
    <w:rPr>
      <w:rFonts w:ascii="Arial" w:eastAsiaTheme="minorHAnsi" w:hAnsi="Arial" w:cs="Arial"/>
      <w:bCs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30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Arial" w:eastAsiaTheme="minorHAnsi" w:hAnsi="Arial" w:cs="Arial"/>
      <w:bCs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0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0C3"/>
    <w:rPr>
      <w:b/>
      <w:bCs w:val="0"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DF30C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/>
      <w:bCs w:val="0"/>
      <w:kern w:val="0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F30C3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DF30C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30C3"/>
    <w:pPr>
      <w:suppressAutoHyphens w:val="0"/>
      <w:spacing w:after="160"/>
    </w:pPr>
    <w:rPr>
      <w:rFonts w:ascii="Arial" w:eastAsiaTheme="minorHAnsi" w:hAnsi="Arial" w:cs="Arial"/>
      <w:bCs/>
      <w:sz w:val="20"/>
      <w:szCs w:val="20"/>
      <w:lang w:eastAsia="en-US" w:bidi="ar-SA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30C3"/>
    <w:rPr>
      <w:sz w:val="20"/>
      <w:szCs w:val="20"/>
    </w:r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DF30C3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F30C3"/>
    <w:pPr>
      <w:keepNext/>
      <w:suppressAutoHyphens/>
      <w:spacing w:before="120" w:after="120" w:line="360" w:lineRule="auto"/>
      <w:jc w:val="center"/>
    </w:pPr>
    <w:rPr>
      <w:rFonts w:ascii="Times" w:eastAsia="Times New Roman" w:hAnsi="Times"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F30C3"/>
    <w:pPr>
      <w:keepNext/>
      <w:suppressAutoHyphens/>
      <w:spacing w:before="120" w:after="360" w:line="360" w:lineRule="auto"/>
      <w:jc w:val="center"/>
    </w:pPr>
    <w:rPr>
      <w:rFonts w:ascii="Times" w:eastAsia="Times New Roman" w:hAnsi="Times"/>
      <w:b/>
      <w:kern w:val="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F30C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caps/>
      <w:spacing w:val="54"/>
      <w:kern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DF30C3"/>
    <w:pPr>
      <w:spacing w:after="0" w:line="360" w:lineRule="auto"/>
      <w:ind w:left="510" w:hanging="510"/>
      <w:jc w:val="both"/>
    </w:pPr>
    <w:rPr>
      <w:rFonts w:ascii="Times" w:eastAsia="Times New Roman" w:hAnsi="Times"/>
      <w:kern w:val="0"/>
      <w:szCs w:val="20"/>
      <w:lang w:eastAsia="pl-PL"/>
      <w14:ligatures w14:val="none"/>
    </w:rPr>
  </w:style>
  <w:style w:type="paragraph" w:customStyle="1" w:styleId="ODNONIKtreodnonika">
    <w:name w:val="ODNOŚNIK – treść odnośnika"/>
    <w:uiPriority w:val="99"/>
    <w:qFormat/>
    <w:rsid w:val="00DF30C3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bCs w:val="0"/>
      <w:kern w:val="0"/>
      <w:sz w:val="20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99"/>
    <w:qFormat/>
    <w:rsid w:val="00DF30C3"/>
    <w:pPr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kern w:val="0"/>
      <w:szCs w:val="20"/>
      <w:lang w:eastAsia="pl-PL" w:bidi="ar-SA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F30C3"/>
    <w:pPr>
      <w:spacing w:after="0" w:line="360" w:lineRule="auto"/>
      <w:jc w:val="right"/>
    </w:pPr>
    <w:rPr>
      <w:rFonts w:ascii="Times New Roman" w:eastAsia="Times New Roman" w:hAnsi="Times New Roman"/>
      <w:bCs w:val="0"/>
      <w:kern w:val="0"/>
      <w:szCs w:val="20"/>
      <w:u w:val="single"/>
      <w:lang w:eastAsia="pl-PL"/>
      <w14:ligatures w14:val="none"/>
    </w:rPr>
  </w:style>
  <w:style w:type="character" w:customStyle="1" w:styleId="IGindeksgrny">
    <w:name w:val="_IG_ – indeks górny"/>
    <w:uiPriority w:val="99"/>
    <w:qFormat/>
    <w:rsid w:val="00DF30C3"/>
    <w:rPr>
      <w:b w:val="0"/>
      <w:i w:val="0"/>
      <w:vanish w:val="0"/>
      <w:spacing w:val="0"/>
      <w:vertAlign w:val="superscript"/>
    </w:rPr>
  </w:style>
  <w:style w:type="paragraph" w:customStyle="1" w:styleId="ZLITPKTzmpktliter">
    <w:name w:val="Z_LIT/PKT – zm. pkt literą"/>
    <w:basedOn w:val="PKTpunkt"/>
    <w:uiPriority w:val="47"/>
    <w:qFormat/>
    <w:rsid w:val="00DF30C3"/>
    <w:pPr>
      <w:ind w:left="1497"/>
    </w:pPr>
    <w:rPr>
      <w:rFonts w:eastAsiaTheme="minorEastAsia"/>
    </w:rPr>
  </w:style>
  <w:style w:type="paragraph" w:styleId="Poprawka">
    <w:name w:val="Revision"/>
    <w:hidden/>
    <w:uiPriority w:val="99"/>
    <w:semiHidden/>
    <w:rsid w:val="0052718B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F7B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F7B"/>
    <w:rPr>
      <w:b/>
      <w:sz w:val="20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0C54"/>
    <w:rPr>
      <w:bCs/>
    </w:rPr>
  </w:style>
  <w:style w:type="paragraph" w:styleId="Nagwek">
    <w:name w:val="header"/>
    <w:basedOn w:val="Normalny"/>
    <w:link w:val="NagwekZnak"/>
    <w:uiPriority w:val="99"/>
    <w:unhideWhenUsed/>
    <w:rsid w:val="00FA71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A71AF"/>
    <w:rPr>
      <w:rFonts w:ascii="Liberation Serif" w:eastAsia="Noto Serif CJK SC" w:hAnsi="Liberation Serif" w:cs="Mangal"/>
      <w:bCs w:val="0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71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A71AF"/>
    <w:rPr>
      <w:rFonts w:ascii="Liberation Serif" w:eastAsia="Noto Serif CJK SC" w:hAnsi="Liberation Serif" w:cs="Mangal"/>
      <w:bCs w:val="0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2026-06-11T10:28:00Z</dcterms:created>
  <dcterms:modified xsi:type="dcterms:W3CDTF">2026-06-11T10:28:00Z</dcterms:modified>
</cp:coreProperties>
</file>