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7986" w14:textId="41F0D669" w:rsidR="008F1769" w:rsidRPr="001F7D09" w:rsidRDefault="00723212" w:rsidP="001F7D09">
      <w:pPr>
        <w:pStyle w:val="Heading10"/>
        <w:keepNext/>
        <w:keepLines/>
        <w:shd w:val="clear" w:color="auto" w:fill="auto"/>
        <w:spacing w:after="240" w:line="360" w:lineRule="auto"/>
        <w:jc w:val="center"/>
        <w:outlineLvl w:val="9"/>
        <w:rPr>
          <w:b w:val="0"/>
          <w:color w:val="auto"/>
          <w:sz w:val="24"/>
          <w:szCs w:val="24"/>
        </w:rPr>
      </w:pPr>
      <w:bookmarkStart w:id="0" w:name="_GoBack"/>
      <w:bookmarkEnd w:id="0"/>
      <w:r w:rsidRPr="001F7D09">
        <w:rPr>
          <w:b w:val="0"/>
          <w:color w:val="auto"/>
          <w:sz w:val="24"/>
          <w:szCs w:val="24"/>
        </w:rPr>
        <w:t>UZASADNIENIE</w:t>
      </w:r>
    </w:p>
    <w:p w14:paraId="331C6AC7" w14:textId="1416915C" w:rsidR="00C45606" w:rsidRPr="001F7D09" w:rsidRDefault="00C45606"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Opracowanie projektu </w:t>
      </w:r>
      <w:r w:rsidR="00C53FDD" w:rsidRPr="001F7D09">
        <w:rPr>
          <w:rFonts w:ascii="Times New Roman" w:hAnsi="Times New Roman" w:cs="Times New Roman"/>
          <w:i/>
          <w:color w:val="auto"/>
          <w:lang w:val="pl-PL"/>
        </w:rPr>
        <w:t>ustawy o zmianie ustawy o Krajowej Administracji Skarbowej oraz</w:t>
      </w:r>
      <w:r w:rsidR="003849B9" w:rsidRPr="001F7D09">
        <w:rPr>
          <w:rFonts w:ascii="Times New Roman" w:hAnsi="Times New Roman" w:cs="Times New Roman"/>
          <w:i/>
          <w:color w:val="auto"/>
          <w:lang w:val="pl-PL"/>
        </w:rPr>
        <w:t xml:space="preserve"> </w:t>
      </w:r>
      <w:r w:rsidR="00C53FDD" w:rsidRPr="001F7D09">
        <w:rPr>
          <w:rFonts w:ascii="Times New Roman" w:hAnsi="Times New Roman" w:cs="Times New Roman"/>
          <w:i/>
          <w:color w:val="auto"/>
          <w:lang w:val="pl-PL"/>
        </w:rPr>
        <w:t>niektórych innych ustaw</w:t>
      </w:r>
      <w:r w:rsidRPr="001F7D09">
        <w:rPr>
          <w:rFonts w:ascii="Times New Roman" w:hAnsi="Times New Roman" w:cs="Times New Roman"/>
          <w:i/>
          <w:color w:val="auto"/>
          <w:lang w:val="pl-PL"/>
        </w:rPr>
        <w:t xml:space="preserve"> </w:t>
      </w:r>
      <w:r w:rsidR="009C1AED" w:rsidRPr="001F7D09">
        <w:rPr>
          <w:rFonts w:ascii="Times New Roman" w:hAnsi="Times New Roman" w:cs="Times New Roman"/>
          <w:color w:val="auto"/>
          <w:lang w:val="pl-PL"/>
        </w:rPr>
        <w:t xml:space="preserve">ma na celu </w:t>
      </w:r>
      <w:r w:rsidRPr="001F7D09">
        <w:rPr>
          <w:rFonts w:ascii="Times New Roman" w:hAnsi="Times New Roman" w:cs="Times New Roman"/>
          <w:color w:val="auto"/>
          <w:lang w:val="pl-PL"/>
        </w:rPr>
        <w:t>zapewnieni</w:t>
      </w:r>
      <w:r w:rsidR="009C1AED" w:rsidRPr="001F7D09">
        <w:rPr>
          <w:rFonts w:ascii="Times New Roman" w:hAnsi="Times New Roman" w:cs="Times New Roman"/>
          <w:color w:val="auto"/>
          <w:lang w:val="pl-PL"/>
        </w:rPr>
        <w:t>e</w:t>
      </w:r>
      <w:r w:rsidRPr="001F7D09">
        <w:rPr>
          <w:rFonts w:ascii="Times New Roman" w:hAnsi="Times New Roman" w:cs="Times New Roman"/>
          <w:color w:val="auto"/>
          <w:lang w:val="pl-PL"/>
        </w:rPr>
        <w:t xml:space="preserve"> </w:t>
      </w:r>
      <w:r w:rsidR="009C1AED" w:rsidRPr="001F7D09">
        <w:rPr>
          <w:rFonts w:ascii="Times New Roman" w:hAnsi="Times New Roman" w:cs="Times New Roman"/>
          <w:color w:val="auto"/>
          <w:lang w:val="pl-PL"/>
        </w:rPr>
        <w:t xml:space="preserve">spójności </w:t>
      </w:r>
      <w:r w:rsidR="008C0735" w:rsidRPr="001F7D09">
        <w:rPr>
          <w:rFonts w:ascii="Times New Roman" w:hAnsi="Times New Roman" w:cs="Times New Roman"/>
          <w:color w:val="auto"/>
          <w:lang w:val="pl-PL"/>
        </w:rPr>
        <w:t xml:space="preserve">przepisów krajowych </w:t>
      </w:r>
      <w:r w:rsidR="009C1AED" w:rsidRPr="001F7D09">
        <w:rPr>
          <w:rFonts w:ascii="Times New Roman" w:hAnsi="Times New Roman" w:cs="Times New Roman"/>
          <w:color w:val="auto"/>
          <w:lang w:val="pl-PL"/>
        </w:rPr>
        <w:t>z</w:t>
      </w:r>
      <w:r w:rsidR="003849B9" w:rsidRPr="001F7D09">
        <w:rPr>
          <w:rFonts w:ascii="Times New Roman" w:hAnsi="Times New Roman" w:cs="Times New Roman"/>
          <w:color w:val="auto"/>
          <w:lang w:val="pl-PL"/>
        </w:rPr>
        <w:t xml:space="preserve"> </w:t>
      </w:r>
      <w:r w:rsidR="00C53FDD" w:rsidRPr="001F7D09">
        <w:rPr>
          <w:rFonts w:ascii="Times New Roman" w:hAnsi="Times New Roman" w:cs="Times New Roman"/>
          <w:color w:val="auto"/>
          <w:lang w:val="pl-PL"/>
        </w:rPr>
        <w:t>rozporządzeniem Parlamentu Europejskiego i Rady (UE) 2017/821 z dnia 17 maja 2017 r. ustanawiającym obowiązki w zakresie należytej staranności w łańcuchu dostaw unijnych importerów cyny, tantalu i wolframu, ich rud oraz złota pochodzących z obszarów dotkniętych konfliktami i obszarów wysokiego ryzyka (Dz. Urz. UE L 130 19.05.2017, str. 1, z późn. zm.), zwanym dalej „rozporządzeniem 2017/821”</w:t>
      </w:r>
      <w:r w:rsidR="008F5C11" w:rsidRPr="001F7D09">
        <w:rPr>
          <w:rFonts w:ascii="Times New Roman" w:hAnsi="Times New Roman" w:cs="Times New Roman"/>
          <w:color w:val="auto"/>
          <w:lang w:val="pl-PL"/>
        </w:rPr>
        <w:t>,</w:t>
      </w:r>
      <w:r w:rsidR="00C53FDD" w:rsidRPr="001F7D09">
        <w:rPr>
          <w:rFonts w:ascii="Times New Roman" w:hAnsi="Times New Roman" w:cs="Times New Roman"/>
          <w:color w:val="auto"/>
        </w:rPr>
        <w:t xml:space="preserve"> oraz </w:t>
      </w:r>
      <w:r w:rsidR="00C53FDD" w:rsidRPr="001F7D09">
        <w:rPr>
          <w:rFonts w:ascii="Times New Roman" w:hAnsi="Times New Roman" w:cs="Times New Roman"/>
          <w:color w:val="auto"/>
          <w:lang w:val="pl-PL"/>
        </w:rPr>
        <w:t xml:space="preserve">rozporządzeniem Parlamentu Europejskiego i Rady (UE) 2018/1672 z dnia 23 października 2018 r. w sprawie kontroli środków pieniężnych wwożonych do Unii lub wywożonych z Unii oraz </w:t>
      </w:r>
      <w:r w:rsidR="00C53FDD" w:rsidRPr="001F7D09">
        <w:rPr>
          <w:rFonts w:ascii="Times New Roman" w:hAnsi="Times New Roman" w:cs="Times New Roman"/>
          <w:color w:val="auto"/>
          <w:lang w:val="pl-PL"/>
        </w:rPr>
        <w:lastRenderedPageBreak/>
        <w:t>uchylającym rozporządzenie (WE) nr</w:t>
      </w:r>
      <w:r w:rsidR="00F313A0">
        <w:rPr>
          <w:rFonts w:ascii="Times New Roman" w:hAnsi="Times New Roman" w:cs="Times New Roman"/>
          <w:color w:val="auto"/>
          <w:lang w:val="pl-PL"/>
        </w:rPr>
        <w:t> </w:t>
      </w:r>
      <w:r w:rsidR="00C53FDD" w:rsidRPr="001F7D09">
        <w:rPr>
          <w:rFonts w:ascii="Times New Roman" w:hAnsi="Times New Roman" w:cs="Times New Roman"/>
          <w:color w:val="auto"/>
          <w:lang w:val="pl-PL"/>
        </w:rPr>
        <w:t>1889/2005 (Dz. Urz. UE L 284 z 12.11.2018, str. 6 oraz Dz. Urz. UE L 435 z 23.12.2020, str.</w:t>
      </w:r>
      <w:r w:rsidR="003849B9" w:rsidRPr="001F7D09">
        <w:rPr>
          <w:rFonts w:ascii="Times New Roman" w:hAnsi="Times New Roman" w:cs="Times New Roman"/>
          <w:color w:val="auto"/>
          <w:lang w:val="pl-PL"/>
        </w:rPr>
        <w:t xml:space="preserve"> </w:t>
      </w:r>
      <w:r w:rsidR="00C53FDD" w:rsidRPr="001F7D09">
        <w:rPr>
          <w:rFonts w:ascii="Times New Roman" w:hAnsi="Times New Roman" w:cs="Times New Roman"/>
          <w:color w:val="auto"/>
          <w:lang w:val="pl-PL"/>
        </w:rPr>
        <w:t xml:space="preserve">79), zwanym dalej „rozporządzeniem 2018/1672”. </w:t>
      </w:r>
      <w:r w:rsidR="008C0735" w:rsidRPr="001F7D09">
        <w:rPr>
          <w:rFonts w:ascii="Times New Roman" w:hAnsi="Times New Roman" w:cs="Times New Roman"/>
          <w:color w:val="auto"/>
          <w:lang w:val="pl-PL"/>
        </w:rPr>
        <w:t>Przedmiotowe rozporządzeni</w:t>
      </w:r>
      <w:r w:rsidR="00C53FDD" w:rsidRPr="001F7D09">
        <w:rPr>
          <w:rFonts w:ascii="Times New Roman" w:hAnsi="Times New Roman" w:cs="Times New Roman"/>
          <w:color w:val="auto"/>
          <w:lang w:val="pl-PL"/>
        </w:rPr>
        <w:t xml:space="preserve">a prawa unijnego </w:t>
      </w:r>
      <w:r w:rsidR="009C1AED" w:rsidRPr="001F7D09">
        <w:rPr>
          <w:rFonts w:ascii="Times New Roman" w:hAnsi="Times New Roman" w:cs="Times New Roman"/>
          <w:color w:val="auto"/>
          <w:lang w:val="pl-PL"/>
        </w:rPr>
        <w:t>obowiązuj</w:t>
      </w:r>
      <w:r w:rsidR="00C53FDD" w:rsidRPr="001F7D09">
        <w:rPr>
          <w:rFonts w:ascii="Times New Roman" w:hAnsi="Times New Roman" w:cs="Times New Roman"/>
          <w:color w:val="auto"/>
          <w:lang w:val="pl-PL"/>
        </w:rPr>
        <w:t>ą odpowiednio od</w:t>
      </w:r>
      <w:r w:rsidR="009C1AED" w:rsidRPr="001F7D09">
        <w:rPr>
          <w:rFonts w:ascii="Times New Roman" w:hAnsi="Times New Roman" w:cs="Times New Roman"/>
          <w:color w:val="auto"/>
          <w:lang w:val="pl-PL"/>
        </w:rPr>
        <w:t xml:space="preserve"> </w:t>
      </w:r>
      <w:r w:rsidR="00C53FDD" w:rsidRPr="001F7D09">
        <w:rPr>
          <w:rFonts w:ascii="Times New Roman" w:hAnsi="Times New Roman" w:cs="Times New Roman"/>
          <w:color w:val="auto"/>
          <w:lang w:val="pl-PL"/>
        </w:rPr>
        <w:t>1 stycznia 2021 r</w:t>
      </w:r>
      <w:r w:rsidR="008F5C11" w:rsidRPr="001F7D09">
        <w:rPr>
          <w:rFonts w:ascii="Times New Roman" w:hAnsi="Times New Roman" w:cs="Times New Roman"/>
          <w:color w:val="auto"/>
          <w:lang w:val="pl-PL"/>
        </w:rPr>
        <w:t>.</w:t>
      </w:r>
      <w:r w:rsidR="00C53FDD" w:rsidRPr="001F7D09">
        <w:rPr>
          <w:rFonts w:ascii="Times New Roman" w:hAnsi="Times New Roman" w:cs="Times New Roman"/>
          <w:color w:val="auto"/>
          <w:lang w:val="pl-PL"/>
        </w:rPr>
        <w:t xml:space="preserve"> i </w:t>
      </w:r>
      <w:r w:rsidR="008F5C11" w:rsidRPr="001F7D09">
        <w:rPr>
          <w:rFonts w:ascii="Times New Roman" w:hAnsi="Times New Roman" w:cs="Times New Roman"/>
          <w:color w:val="auto"/>
          <w:lang w:val="pl-PL"/>
        </w:rPr>
        <w:t xml:space="preserve">od </w:t>
      </w:r>
      <w:r w:rsidR="009C1AED" w:rsidRPr="001F7D09">
        <w:rPr>
          <w:rFonts w:ascii="Times New Roman" w:hAnsi="Times New Roman" w:cs="Times New Roman"/>
          <w:color w:val="auto"/>
          <w:lang w:val="pl-PL"/>
        </w:rPr>
        <w:t>3 czerwca 2021 r</w:t>
      </w:r>
      <w:r w:rsidRPr="001F7D09">
        <w:rPr>
          <w:rFonts w:ascii="Times New Roman" w:hAnsi="Times New Roman" w:cs="Times New Roman"/>
          <w:color w:val="auto"/>
          <w:lang w:val="pl-PL"/>
        </w:rPr>
        <w:t>.</w:t>
      </w:r>
    </w:p>
    <w:p w14:paraId="7D5BA62C" w14:textId="77777777" w:rsidR="008F5C11" w:rsidRPr="001F7D09" w:rsidRDefault="008F5C11" w:rsidP="001F7D09">
      <w:pPr>
        <w:autoSpaceDE w:val="0"/>
        <w:autoSpaceDN w:val="0"/>
        <w:adjustRightInd w:val="0"/>
        <w:spacing w:before="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Projektowana ustawa przewiduje również nowelizację:</w:t>
      </w:r>
    </w:p>
    <w:p w14:paraId="4002D9D3" w14:textId="76A0D808" w:rsidR="008F5C11" w:rsidRPr="001F7D09" w:rsidRDefault="008F5C11" w:rsidP="001F7D09">
      <w:pPr>
        <w:pStyle w:val="Akapitzlist"/>
        <w:numPr>
          <w:ilvl w:val="0"/>
          <w:numId w:val="27"/>
        </w:numPr>
        <w:autoSpaceDE w:val="0"/>
        <w:autoSpaceDN w:val="0"/>
        <w:adjustRightInd w:val="0"/>
        <w:spacing w:after="120" w:line="360" w:lineRule="auto"/>
        <w:ind w:left="357" w:hanging="357"/>
        <w:jc w:val="both"/>
        <w:rPr>
          <w:rFonts w:ascii="Times New Roman" w:hAnsi="Times New Roman" w:cs="Times New Roman"/>
          <w:color w:val="auto"/>
          <w:lang w:val="pl-PL"/>
        </w:rPr>
      </w:pPr>
      <w:r w:rsidRPr="001F7D09">
        <w:rPr>
          <w:rFonts w:ascii="Times New Roman" w:hAnsi="Times New Roman" w:cs="Times New Roman"/>
          <w:color w:val="auto"/>
          <w:lang w:val="pl-PL"/>
        </w:rPr>
        <w:t>ustawy z dnia 10 września 1999 r. – Kodeks karny skarbowy (Dz. U. z 202</w:t>
      </w:r>
      <w:r w:rsidR="00553961" w:rsidRPr="001F7D09">
        <w:rPr>
          <w:rFonts w:ascii="Times New Roman" w:hAnsi="Times New Roman" w:cs="Times New Roman"/>
          <w:color w:val="auto"/>
          <w:lang w:val="pl-PL"/>
        </w:rPr>
        <w:t>3</w:t>
      </w:r>
      <w:r w:rsidRPr="001F7D09">
        <w:rPr>
          <w:rFonts w:ascii="Times New Roman" w:hAnsi="Times New Roman" w:cs="Times New Roman"/>
          <w:color w:val="auto"/>
          <w:lang w:val="pl-PL"/>
        </w:rPr>
        <w:t xml:space="preserve"> r. poz.</w:t>
      </w:r>
      <w:r w:rsidR="003849B9" w:rsidRPr="001F7D09">
        <w:rPr>
          <w:rFonts w:ascii="Times New Roman" w:hAnsi="Times New Roman" w:cs="Times New Roman"/>
          <w:color w:val="auto"/>
          <w:lang w:val="pl-PL"/>
        </w:rPr>
        <w:t xml:space="preserve"> </w:t>
      </w:r>
      <w:r w:rsidR="00553961" w:rsidRPr="001F7D09">
        <w:rPr>
          <w:rFonts w:ascii="Times New Roman" w:hAnsi="Times New Roman" w:cs="Times New Roman"/>
          <w:color w:val="auto"/>
          <w:lang w:val="pl-PL"/>
        </w:rPr>
        <w:t>654</w:t>
      </w:r>
      <w:r w:rsidRPr="001F7D09">
        <w:rPr>
          <w:rFonts w:ascii="Times New Roman" w:hAnsi="Times New Roman" w:cs="Times New Roman"/>
          <w:color w:val="auto"/>
          <w:lang w:val="pl-PL"/>
        </w:rPr>
        <w:t>, z późn. zm.), zwanej dalej także „k.k.s.”;</w:t>
      </w:r>
      <w:r w:rsidR="00C22571" w:rsidRPr="001F7D09">
        <w:rPr>
          <w:rFonts w:ascii="Times New Roman" w:hAnsi="Times New Roman" w:cs="Times New Roman"/>
        </w:rPr>
        <w:t xml:space="preserve"> </w:t>
      </w:r>
    </w:p>
    <w:p w14:paraId="486B4699" w14:textId="77777777" w:rsidR="008F5C11" w:rsidRPr="001F7D09" w:rsidRDefault="008F5C11" w:rsidP="001F7D09">
      <w:pPr>
        <w:pStyle w:val="Akapitzlist"/>
        <w:numPr>
          <w:ilvl w:val="0"/>
          <w:numId w:val="27"/>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eastAsia="Times New Roman" w:hAnsi="Times New Roman" w:cs="Times New Roman"/>
          <w:color w:val="auto"/>
          <w:lang w:val="pl-PL"/>
        </w:rPr>
        <w:t>ustawy z dnia 27 lipca 2002 r. – Prawo dewizowe (Dz. U. z 2022 r. poz. 309)</w:t>
      </w:r>
      <w:r w:rsidR="00AE4A48" w:rsidRPr="001F7D09">
        <w:rPr>
          <w:rFonts w:ascii="Times New Roman" w:eastAsia="Times New Roman" w:hAnsi="Times New Roman" w:cs="Times New Roman"/>
          <w:color w:val="auto"/>
          <w:lang w:val="pl-PL"/>
        </w:rPr>
        <w:t>, zwanej dalej także „u.p.d.”;</w:t>
      </w:r>
    </w:p>
    <w:p w14:paraId="56803858" w14:textId="018BA434" w:rsidR="008F5C11" w:rsidRPr="001F7D09" w:rsidRDefault="008F5C11" w:rsidP="001F7D09">
      <w:pPr>
        <w:pStyle w:val="Akapitzlist"/>
        <w:numPr>
          <w:ilvl w:val="0"/>
          <w:numId w:val="27"/>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ustawy z dnia 1 marca 2018 r. o przeciwdziałaniu praniu pieniędzy oraz finansowaniu terroryzmu (Dz. U. z 202</w:t>
      </w:r>
      <w:r w:rsidR="00553961" w:rsidRPr="001F7D09">
        <w:rPr>
          <w:rFonts w:ascii="Times New Roman" w:hAnsi="Times New Roman" w:cs="Times New Roman"/>
          <w:color w:val="auto"/>
          <w:lang w:val="pl-PL"/>
        </w:rPr>
        <w:t>3</w:t>
      </w:r>
      <w:r w:rsidRPr="001F7D09">
        <w:rPr>
          <w:rFonts w:ascii="Times New Roman" w:hAnsi="Times New Roman" w:cs="Times New Roman"/>
          <w:color w:val="auto"/>
          <w:lang w:val="pl-PL"/>
        </w:rPr>
        <w:t xml:space="preserve"> r. </w:t>
      </w:r>
      <w:r w:rsidRPr="001F7D09">
        <w:rPr>
          <w:rFonts w:ascii="Times New Roman" w:hAnsi="Times New Roman" w:cs="Times New Roman"/>
          <w:color w:val="auto"/>
          <w:lang w:val="pl-PL"/>
        </w:rPr>
        <w:lastRenderedPageBreak/>
        <w:t xml:space="preserve">poz. </w:t>
      </w:r>
      <w:r w:rsidR="00553961" w:rsidRPr="001F7D09">
        <w:rPr>
          <w:rFonts w:ascii="Times New Roman" w:hAnsi="Times New Roman" w:cs="Times New Roman"/>
          <w:color w:val="auto"/>
          <w:lang w:val="pl-PL"/>
        </w:rPr>
        <w:t>1124</w:t>
      </w:r>
      <w:r w:rsidR="00C22571" w:rsidRPr="001F7D09">
        <w:rPr>
          <w:rFonts w:ascii="Times New Roman" w:hAnsi="Times New Roman" w:cs="Times New Roman"/>
          <w:color w:val="auto"/>
          <w:lang w:val="pl-PL"/>
        </w:rPr>
        <w:t>, z późn. zm.</w:t>
      </w:r>
      <w:r w:rsidRPr="001F7D09">
        <w:rPr>
          <w:rFonts w:ascii="Times New Roman" w:hAnsi="Times New Roman" w:cs="Times New Roman"/>
          <w:color w:val="auto"/>
          <w:lang w:val="pl-PL"/>
        </w:rPr>
        <w:t>), zwanej dalej także „ustawą o p.p.p.f.t.”.</w:t>
      </w:r>
    </w:p>
    <w:p w14:paraId="2C3D5C68" w14:textId="77777777" w:rsidR="008F5C11" w:rsidRPr="001F7D09" w:rsidRDefault="008F5C11" w:rsidP="001F7D09">
      <w:pPr>
        <w:autoSpaceDE w:val="0"/>
        <w:autoSpaceDN w:val="0"/>
        <w:adjustRightInd w:val="0"/>
        <w:spacing w:before="240" w:after="120" w:line="360" w:lineRule="auto"/>
        <w:jc w:val="both"/>
        <w:rPr>
          <w:rFonts w:ascii="Times New Roman" w:hAnsi="Times New Roman" w:cs="Times New Roman"/>
          <w:color w:val="auto"/>
          <w:lang w:val="pl-PL"/>
        </w:rPr>
      </w:pPr>
      <w:r w:rsidRPr="001F7D09">
        <w:rPr>
          <w:rFonts w:ascii="Times New Roman" w:hAnsi="Times New Roman" w:cs="Times New Roman"/>
          <w:b/>
          <w:color w:val="auto"/>
          <w:lang w:val="pl-PL"/>
        </w:rPr>
        <w:t>Art. 1</w:t>
      </w:r>
      <w:r w:rsidRPr="001F7D09">
        <w:rPr>
          <w:rFonts w:ascii="Times New Roman" w:hAnsi="Times New Roman" w:cs="Times New Roman"/>
          <w:color w:val="auto"/>
          <w:lang w:val="pl-PL"/>
        </w:rPr>
        <w:t xml:space="preserve"> projektu</w:t>
      </w:r>
    </w:p>
    <w:p w14:paraId="2BEE8827" w14:textId="5A75C987" w:rsidR="00C53FDD" w:rsidRPr="001F7D09" w:rsidRDefault="005B39A4"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w:t>
      </w:r>
      <w:r w:rsidR="001A571E" w:rsidRPr="001F7D09">
        <w:rPr>
          <w:rFonts w:ascii="Times New Roman" w:hAnsi="Times New Roman" w:cs="Times New Roman"/>
          <w:color w:val="auto"/>
          <w:lang w:val="pl-PL"/>
        </w:rPr>
        <w:t xml:space="preserve"> ustawie z dnia 16 listopada 2016 r. o Krajowej Administracji Skarbowej (Dz. U. z 2023 r. poz. 615, z późn. zm.)</w:t>
      </w:r>
      <w:r w:rsidR="005828D3" w:rsidRPr="001F7D09">
        <w:rPr>
          <w:rFonts w:ascii="Times New Roman" w:hAnsi="Times New Roman" w:cs="Times New Roman"/>
          <w:color w:val="auto"/>
          <w:lang w:val="pl-PL"/>
        </w:rPr>
        <w:t>, zwanej dalej także „ustawą o KAS”,</w:t>
      </w:r>
      <w:r w:rsidR="001A571E" w:rsidRPr="001F7D09">
        <w:rPr>
          <w:rFonts w:ascii="Times New Roman" w:hAnsi="Times New Roman" w:cs="Times New Roman"/>
          <w:color w:val="auto"/>
          <w:lang w:val="pl-PL"/>
        </w:rPr>
        <w:t xml:space="preserve"> w </w:t>
      </w:r>
      <w:r w:rsidR="00DF6537" w:rsidRPr="001F7D09">
        <w:rPr>
          <w:rFonts w:ascii="Times New Roman" w:hAnsi="Times New Roman" w:cs="Times New Roman"/>
          <w:color w:val="auto"/>
          <w:lang w:val="pl-PL"/>
        </w:rPr>
        <w:t>art. 2 w ust. 1</w:t>
      </w:r>
      <w:r w:rsidR="002A11B8" w:rsidRPr="001F7D09">
        <w:rPr>
          <w:rFonts w:ascii="Times New Roman" w:hAnsi="Times New Roman" w:cs="Times New Roman"/>
          <w:color w:val="auto"/>
          <w:lang w:val="pl-PL"/>
        </w:rPr>
        <w:t xml:space="preserve"> </w:t>
      </w:r>
      <w:r w:rsidR="00DF6537" w:rsidRPr="001F7D09">
        <w:rPr>
          <w:rFonts w:ascii="Times New Roman" w:hAnsi="Times New Roman" w:cs="Times New Roman"/>
          <w:color w:val="auto"/>
          <w:lang w:val="pl-PL"/>
        </w:rPr>
        <w:t>dodano pkt 8a wskazujący, że do zadań Krajowej Administracji Skarbowej należy</w:t>
      </w:r>
      <w:r w:rsidR="00F310FC" w:rsidRPr="001F7D09">
        <w:rPr>
          <w:rFonts w:ascii="Times New Roman" w:hAnsi="Times New Roman" w:cs="Times New Roman"/>
          <w:color w:val="auto"/>
          <w:lang w:val="pl-PL"/>
        </w:rPr>
        <w:t xml:space="preserve"> wykonywanie czynności</w:t>
      </w:r>
      <w:r w:rsidR="00DF6537" w:rsidRPr="001F7D09">
        <w:rPr>
          <w:rFonts w:ascii="Times New Roman" w:hAnsi="Times New Roman" w:cs="Times New Roman"/>
          <w:color w:val="auto"/>
          <w:lang w:val="pl-PL"/>
        </w:rPr>
        <w:t>, o któr</w:t>
      </w:r>
      <w:r w:rsidR="00F310FC" w:rsidRPr="001F7D09">
        <w:rPr>
          <w:rFonts w:ascii="Times New Roman" w:hAnsi="Times New Roman" w:cs="Times New Roman"/>
          <w:color w:val="auto"/>
          <w:lang w:val="pl-PL"/>
        </w:rPr>
        <w:t>ych m</w:t>
      </w:r>
      <w:r w:rsidR="00DF6537" w:rsidRPr="001F7D09">
        <w:rPr>
          <w:rFonts w:ascii="Times New Roman" w:hAnsi="Times New Roman" w:cs="Times New Roman"/>
          <w:color w:val="auto"/>
          <w:lang w:val="pl-PL"/>
        </w:rPr>
        <w:t>owa w</w:t>
      </w:r>
      <w:r w:rsidR="002F2D28" w:rsidRPr="001F7D09">
        <w:rPr>
          <w:rFonts w:ascii="Times New Roman" w:hAnsi="Times New Roman" w:cs="Times New Roman"/>
          <w:color w:val="auto"/>
          <w:lang w:val="pl-PL"/>
        </w:rPr>
        <w:t xml:space="preserve"> rozporządzeniu 2017/821</w:t>
      </w:r>
      <w:r w:rsidR="00296270" w:rsidRPr="001F7D09">
        <w:rPr>
          <w:rFonts w:ascii="Times New Roman" w:hAnsi="Times New Roman" w:cs="Times New Roman"/>
          <w:color w:val="auto"/>
          <w:lang w:val="pl-PL"/>
        </w:rPr>
        <w:t>.</w:t>
      </w:r>
    </w:p>
    <w:p w14:paraId="78EA167B" w14:textId="4BC2DC8D" w:rsidR="00BF04ED" w:rsidRPr="001F7D09" w:rsidRDefault="00240E67"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Zgodnie z art. 10 ust. 3 rozporządzenia 2017/821 właściwe organy są odpowiedzialne za zapewnienie skutecznego i jednolitego wdrożenia rozporządzenia w całej Unii Europejskiej. Właściwymi organami są – </w:t>
      </w:r>
      <w:r w:rsidR="00951ADD" w:rsidRPr="001F7D09">
        <w:rPr>
          <w:rFonts w:ascii="Times New Roman" w:hAnsi="Times New Roman" w:cs="Times New Roman"/>
          <w:color w:val="auto"/>
          <w:lang w:val="pl-PL"/>
        </w:rPr>
        <w:t>zgodnie z</w:t>
      </w:r>
      <w:r w:rsidRPr="001F7D09">
        <w:rPr>
          <w:rFonts w:ascii="Times New Roman" w:hAnsi="Times New Roman" w:cs="Times New Roman"/>
          <w:color w:val="auto"/>
          <w:lang w:val="pl-PL"/>
        </w:rPr>
        <w:t xml:space="preserve"> art. 2 lit. n </w:t>
      </w:r>
      <w:r w:rsidR="00897EBE" w:rsidRPr="001F7D09">
        <w:rPr>
          <w:rFonts w:ascii="Times New Roman" w:hAnsi="Times New Roman" w:cs="Times New Roman"/>
          <w:color w:val="auto"/>
          <w:lang w:val="pl-PL"/>
        </w:rPr>
        <w:t xml:space="preserve">tego </w:t>
      </w:r>
      <w:r w:rsidRPr="001F7D09">
        <w:rPr>
          <w:rFonts w:ascii="Times New Roman" w:hAnsi="Times New Roman" w:cs="Times New Roman"/>
          <w:color w:val="auto"/>
          <w:lang w:val="pl-PL"/>
        </w:rPr>
        <w:t xml:space="preserve">rozporządzenia – organy wyznaczone przez państwa członkowskie </w:t>
      </w:r>
      <w:r w:rsidRPr="001F7D09">
        <w:rPr>
          <w:rFonts w:ascii="Times New Roman" w:hAnsi="Times New Roman" w:cs="Times New Roman"/>
          <w:color w:val="auto"/>
          <w:lang w:val="pl-PL"/>
        </w:rPr>
        <w:lastRenderedPageBreak/>
        <w:t>zgodnie z art. 10, posiadające wiedzę specjalistyczną o surowcach, procesach przemysłowych oraz o prowadzeniu audytów.</w:t>
      </w:r>
      <w:r w:rsidR="00897EBE" w:rsidRPr="001F7D09">
        <w:rPr>
          <w:rFonts w:ascii="Times New Roman" w:hAnsi="Times New Roman" w:cs="Times New Roman"/>
          <w:color w:val="auto"/>
          <w:lang w:val="pl-PL"/>
        </w:rPr>
        <w:t xml:space="preserve"> </w:t>
      </w:r>
    </w:p>
    <w:p w14:paraId="476D767A" w14:textId="77777777" w:rsidR="00BF04ED" w:rsidRPr="001F7D09" w:rsidRDefault="00BF04E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Zatem zadania związane z wykonywaniem kontroli ex post (art. 11 rozporządzenia 2017/821), w zakresie współpracy i wymiany informacji czy sprawozdawczości i przeglądów funkcjonowania i skuteczności przedmiotowego rozporządzenia (art. 13 i art. 17 </w:t>
      </w:r>
      <w:r w:rsidR="007F4473" w:rsidRPr="001F7D09">
        <w:rPr>
          <w:rFonts w:ascii="Times New Roman" w:hAnsi="Times New Roman" w:cs="Times New Roman"/>
          <w:color w:val="auto"/>
          <w:lang w:val="pl-PL"/>
        </w:rPr>
        <w:t>rozporządzenia 2017/821) przypisane zostają Krajowej Administracji Skarbowej.</w:t>
      </w:r>
    </w:p>
    <w:p w14:paraId="4D6701A8" w14:textId="686E5399" w:rsidR="0080508D" w:rsidRPr="001F7D09" w:rsidRDefault="00240E67"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Ponadto zgodnie z art. 3 ust. 2 rozporządzenia </w:t>
      </w:r>
      <w:r w:rsidR="00897EBE" w:rsidRPr="001F7D09">
        <w:rPr>
          <w:rFonts w:ascii="Times New Roman" w:hAnsi="Times New Roman" w:cs="Times New Roman"/>
          <w:color w:val="auto"/>
          <w:lang w:val="pl-PL"/>
        </w:rPr>
        <w:t>2017/821</w:t>
      </w:r>
      <w:r w:rsidRPr="001F7D09">
        <w:rPr>
          <w:rFonts w:ascii="Times New Roman" w:hAnsi="Times New Roman" w:cs="Times New Roman"/>
          <w:color w:val="auto"/>
          <w:lang w:val="pl-PL"/>
        </w:rPr>
        <w:t xml:space="preserve"> właściwe organy państw członkowskich są odpowiedzialne za prowadzenie odpowiednich kontro</w:t>
      </w:r>
      <w:r w:rsidR="00F313A0">
        <w:rPr>
          <w:rFonts w:ascii="Times New Roman" w:hAnsi="Times New Roman" w:cs="Times New Roman"/>
          <w:color w:val="auto"/>
          <w:lang w:val="pl-PL"/>
        </w:rPr>
        <w:t>li ex post zgodnie z art. </w:t>
      </w:r>
      <w:r w:rsidRPr="001F7D09">
        <w:rPr>
          <w:rFonts w:ascii="Times New Roman" w:hAnsi="Times New Roman" w:cs="Times New Roman"/>
          <w:color w:val="auto"/>
          <w:lang w:val="pl-PL"/>
        </w:rPr>
        <w:t xml:space="preserve">11. Na poziomie </w:t>
      </w:r>
      <w:r w:rsidR="00951ADD" w:rsidRPr="001F7D09">
        <w:rPr>
          <w:rFonts w:ascii="Times New Roman" w:hAnsi="Times New Roman" w:cs="Times New Roman"/>
          <w:color w:val="auto"/>
          <w:lang w:val="pl-PL"/>
        </w:rPr>
        <w:t>kra</w:t>
      </w:r>
      <w:r w:rsidR="006F2000" w:rsidRPr="001F7D09">
        <w:rPr>
          <w:rFonts w:ascii="Times New Roman" w:hAnsi="Times New Roman" w:cs="Times New Roman"/>
          <w:color w:val="auto"/>
          <w:lang w:val="pl-PL"/>
        </w:rPr>
        <w:t>j</w:t>
      </w:r>
      <w:r w:rsidR="00951ADD" w:rsidRPr="001F7D09">
        <w:rPr>
          <w:rFonts w:ascii="Times New Roman" w:hAnsi="Times New Roman" w:cs="Times New Roman"/>
          <w:color w:val="auto"/>
          <w:lang w:val="pl-PL"/>
        </w:rPr>
        <w:t>owym</w:t>
      </w:r>
      <w:r w:rsidRPr="001F7D09">
        <w:rPr>
          <w:rFonts w:ascii="Times New Roman" w:hAnsi="Times New Roman" w:cs="Times New Roman"/>
          <w:color w:val="auto"/>
          <w:lang w:val="pl-PL"/>
        </w:rPr>
        <w:t xml:space="preserve"> funkcję organu odpowiedzialnego za zapewnienie skutecznego i jednolitego wdrożenia przedmiotowego rozporządzenia</w:t>
      </w:r>
      <w:r w:rsidR="005C34E2"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prowadzenie kontroli ex post wobec </w:t>
      </w:r>
      <w:r w:rsidRPr="001F7D09">
        <w:rPr>
          <w:rFonts w:ascii="Times New Roman" w:hAnsi="Times New Roman" w:cs="Times New Roman"/>
          <w:color w:val="auto"/>
          <w:lang w:val="pl-PL"/>
        </w:rPr>
        <w:lastRenderedPageBreak/>
        <w:t>importerów na terytorium Rzeczypospolitej Polskiej</w:t>
      </w:r>
      <w:r w:rsidR="005C34E2" w:rsidRPr="001F7D09">
        <w:rPr>
          <w:rFonts w:ascii="Times New Roman" w:hAnsi="Times New Roman" w:cs="Times New Roman"/>
          <w:color w:val="auto"/>
          <w:lang w:val="pl-PL"/>
        </w:rPr>
        <w:t xml:space="preserve"> oraz wykonywanie zadań</w:t>
      </w:r>
      <w:r w:rsidR="002A11B8" w:rsidRPr="001F7D09">
        <w:rPr>
          <w:rFonts w:ascii="Times New Roman" w:hAnsi="Times New Roman" w:cs="Times New Roman"/>
          <w:color w:val="auto"/>
          <w:lang w:val="pl-PL"/>
        </w:rPr>
        <w:t>,</w:t>
      </w:r>
      <w:r w:rsidR="005C34E2" w:rsidRPr="001F7D09">
        <w:rPr>
          <w:rFonts w:ascii="Times New Roman" w:hAnsi="Times New Roman" w:cs="Times New Roman"/>
          <w:color w:val="auto"/>
          <w:lang w:val="pl-PL"/>
        </w:rPr>
        <w:t xml:space="preserve"> o których mowa w art. 13 i art.</w:t>
      </w:r>
      <w:r w:rsidR="007F4473" w:rsidRPr="001F7D09">
        <w:rPr>
          <w:rFonts w:ascii="Times New Roman" w:hAnsi="Times New Roman" w:cs="Times New Roman"/>
          <w:color w:val="auto"/>
          <w:lang w:val="pl-PL"/>
        </w:rPr>
        <w:t xml:space="preserve"> 17 ww. rozporzą</w:t>
      </w:r>
      <w:r w:rsidR="005C34E2" w:rsidRPr="001F7D09">
        <w:rPr>
          <w:rFonts w:ascii="Times New Roman" w:hAnsi="Times New Roman" w:cs="Times New Roman"/>
          <w:color w:val="auto"/>
          <w:lang w:val="pl-PL"/>
        </w:rPr>
        <w:t>dzenia</w:t>
      </w:r>
      <w:r w:rsidR="005828D3"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pełni Szef Krajowej Administracji Skarbowej. W tym celu projektowan</w:t>
      </w:r>
      <w:r w:rsidR="00897EBE" w:rsidRPr="001F7D09">
        <w:rPr>
          <w:rFonts w:ascii="Times New Roman" w:hAnsi="Times New Roman" w:cs="Times New Roman"/>
          <w:color w:val="auto"/>
          <w:lang w:val="pl-PL"/>
        </w:rPr>
        <w:t>a</w:t>
      </w:r>
      <w:r w:rsidRPr="001F7D09">
        <w:rPr>
          <w:rFonts w:ascii="Times New Roman" w:hAnsi="Times New Roman" w:cs="Times New Roman"/>
          <w:color w:val="auto"/>
          <w:lang w:val="pl-PL"/>
        </w:rPr>
        <w:t xml:space="preserve"> </w:t>
      </w:r>
      <w:r w:rsidR="00897EBE" w:rsidRPr="001F7D09">
        <w:rPr>
          <w:rFonts w:ascii="Times New Roman" w:hAnsi="Times New Roman" w:cs="Times New Roman"/>
          <w:color w:val="auto"/>
          <w:lang w:val="pl-PL"/>
        </w:rPr>
        <w:t xml:space="preserve">ustawa </w:t>
      </w:r>
      <w:r w:rsidRPr="001F7D09">
        <w:rPr>
          <w:rFonts w:ascii="Times New Roman" w:hAnsi="Times New Roman" w:cs="Times New Roman"/>
          <w:color w:val="auto"/>
          <w:lang w:val="pl-PL"/>
        </w:rPr>
        <w:t>dodaje w ustawie</w:t>
      </w:r>
      <w:r w:rsidR="002D6494" w:rsidRPr="001F7D09">
        <w:rPr>
          <w:rFonts w:ascii="Times New Roman" w:hAnsi="Times New Roman" w:cs="Times New Roman"/>
          <w:color w:val="auto"/>
          <w:lang w:val="pl-PL"/>
        </w:rPr>
        <w:t xml:space="preserve"> o</w:t>
      </w:r>
      <w:r w:rsidRPr="001F7D09">
        <w:rPr>
          <w:rFonts w:ascii="Times New Roman" w:hAnsi="Times New Roman" w:cs="Times New Roman"/>
          <w:color w:val="auto"/>
          <w:lang w:val="pl-PL"/>
        </w:rPr>
        <w:t xml:space="preserve"> K</w:t>
      </w:r>
      <w:r w:rsidR="00897EBE" w:rsidRPr="001F7D09">
        <w:rPr>
          <w:rFonts w:ascii="Times New Roman" w:hAnsi="Times New Roman" w:cs="Times New Roman"/>
          <w:color w:val="auto"/>
          <w:lang w:val="pl-PL"/>
        </w:rPr>
        <w:t>AS</w:t>
      </w:r>
      <w:r w:rsidRPr="001F7D09">
        <w:rPr>
          <w:rFonts w:ascii="Times New Roman" w:hAnsi="Times New Roman" w:cs="Times New Roman"/>
          <w:color w:val="auto"/>
          <w:lang w:val="pl-PL"/>
        </w:rPr>
        <w:t xml:space="preserve"> przepis art. 14 ust. 1 pkt 7a stanowiący, że do zadań Szefa K</w:t>
      </w:r>
      <w:r w:rsidR="00897EBE" w:rsidRPr="001F7D09">
        <w:rPr>
          <w:rFonts w:ascii="Times New Roman" w:hAnsi="Times New Roman" w:cs="Times New Roman"/>
          <w:color w:val="auto"/>
          <w:lang w:val="pl-PL"/>
        </w:rPr>
        <w:t xml:space="preserve">rajowej </w:t>
      </w:r>
      <w:r w:rsidRPr="001F7D09">
        <w:rPr>
          <w:rFonts w:ascii="Times New Roman" w:hAnsi="Times New Roman" w:cs="Times New Roman"/>
          <w:color w:val="auto"/>
          <w:lang w:val="pl-PL"/>
        </w:rPr>
        <w:t>A</w:t>
      </w:r>
      <w:r w:rsidR="00897EBE" w:rsidRPr="001F7D09">
        <w:rPr>
          <w:rFonts w:ascii="Times New Roman" w:hAnsi="Times New Roman" w:cs="Times New Roman"/>
          <w:color w:val="auto"/>
          <w:lang w:val="pl-PL"/>
        </w:rPr>
        <w:t xml:space="preserve">dministracji </w:t>
      </w:r>
      <w:r w:rsidRPr="001F7D09">
        <w:rPr>
          <w:rFonts w:ascii="Times New Roman" w:hAnsi="Times New Roman" w:cs="Times New Roman"/>
          <w:color w:val="auto"/>
          <w:lang w:val="pl-PL"/>
        </w:rPr>
        <w:t>S</w:t>
      </w:r>
      <w:r w:rsidR="00897EBE" w:rsidRPr="001F7D09">
        <w:rPr>
          <w:rFonts w:ascii="Times New Roman" w:hAnsi="Times New Roman" w:cs="Times New Roman"/>
          <w:color w:val="auto"/>
          <w:lang w:val="pl-PL"/>
        </w:rPr>
        <w:t xml:space="preserve">karbowej </w:t>
      </w:r>
      <w:r w:rsidRPr="001F7D09">
        <w:rPr>
          <w:rFonts w:ascii="Times New Roman" w:hAnsi="Times New Roman" w:cs="Times New Roman"/>
          <w:color w:val="auto"/>
          <w:lang w:val="pl-PL"/>
        </w:rPr>
        <w:t xml:space="preserve">należy </w:t>
      </w:r>
      <w:r w:rsidR="00867D9F" w:rsidRPr="001F7D09">
        <w:rPr>
          <w:rFonts w:ascii="Times New Roman" w:hAnsi="Times New Roman" w:cs="Times New Roman"/>
          <w:color w:val="auto"/>
          <w:lang w:val="pl-PL"/>
        </w:rPr>
        <w:t>wykonywanie zadań, o których mowa w rozporządzeniu 2017/821, w tym kontroli ex post, o której mowa w art. 11 rozporządzenia 2017/821</w:t>
      </w:r>
      <w:r w:rsidR="002A11B8" w:rsidRPr="001F7D09">
        <w:rPr>
          <w:rFonts w:ascii="Times New Roman" w:hAnsi="Times New Roman" w:cs="Times New Roman"/>
          <w:color w:val="auto"/>
          <w:lang w:val="pl-PL"/>
        </w:rPr>
        <w:t xml:space="preserve"> (art. 1 pkt 2 lit. a projektu)</w:t>
      </w:r>
      <w:r w:rsidR="00867D9F" w:rsidRPr="001F7D09">
        <w:rPr>
          <w:rFonts w:ascii="Times New Roman" w:hAnsi="Times New Roman" w:cs="Times New Roman"/>
          <w:color w:val="auto"/>
          <w:lang w:val="pl-PL"/>
        </w:rPr>
        <w:t>.</w:t>
      </w:r>
    </w:p>
    <w:p w14:paraId="03B773FC" w14:textId="233223AC" w:rsidR="00240E67" w:rsidRPr="001F7D09" w:rsidRDefault="00240E67"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Ponadto przyjęto, ż</w:t>
      </w:r>
      <w:r w:rsidR="00797099" w:rsidRPr="001F7D09">
        <w:rPr>
          <w:rFonts w:ascii="Times New Roman" w:hAnsi="Times New Roman" w:cs="Times New Roman"/>
          <w:color w:val="auto"/>
          <w:lang w:val="pl-PL"/>
        </w:rPr>
        <w:t>e</w:t>
      </w:r>
      <w:r w:rsidRPr="001F7D09">
        <w:rPr>
          <w:rFonts w:ascii="Times New Roman" w:hAnsi="Times New Roman" w:cs="Times New Roman"/>
          <w:color w:val="auto"/>
          <w:lang w:val="pl-PL"/>
        </w:rPr>
        <w:t xml:space="preserve"> skoro przedmiotem kontroli ex post dotyczącej unijnych importerów (przedsiębiorcy, którzy w międzynarodowym łańcuchu dostaw minerałów i metali określonych w zał</w:t>
      </w:r>
      <w:r w:rsidR="00797099" w:rsidRPr="001F7D09">
        <w:rPr>
          <w:rFonts w:ascii="Times New Roman" w:hAnsi="Times New Roman" w:cs="Times New Roman"/>
          <w:color w:val="auto"/>
          <w:lang w:val="pl-PL"/>
        </w:rPr>
        <w:t>ączniku I</w:t>
      </w:r>
      <w:r w:rsidRPr="001F7D09">
        <w:rPr>
          <w:rFonts w:ascii="Times New Roman" w:hAnsi="Times New Roman" w:cs="Times New Roman"/>
          <w:color w:val="auto"/>
          <w:lang w:val="pl-PL"/>
        </w:rPr>
        <w:t xml:space="preserve"> do rozporządzenia 2017/821 pełnią rolę importerów) będzie przestrzeganie przepisów związanych z </w:t>
      </w:r>
      <w:r w:rsidRPr="001F7D09">
        <w:rPr>
          <w:rFonts w:ascii="Times New Roman" w:hAnsi="Times New Roman" w:cs="Times New Roman"/>
          <w:color w:val="auto"/>
          <w:lang w:val="pl-PL"/>
        </w:rPr>
        <w:lastRenderedPageBreak/>
        <w:t>przywozem i wywozem towarów w obrocie między obszarem celnym Unii Europejskiej a państwami trzecimi, w szczególności przepisów dotyczących towarów objętych ograniczeniami lub zakazami, to kontrola ta powinna być prowadzona z zastosowaniem odpowiednio przepisów o kontroli celno-skarbowej.</w:t>
      </w:r>
    </w:p>
    <w:p w14:paraId="21118875" w14:textId="7ABDC194" w:rsidR="00C53FDD" w:rsidRPr="001F7D09" w:rsidRDefault="00240E67"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Do kontroli ex post </w:t>
      </w:r>
      <w:r w:rsidR="00BF70FA"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mającej na celu zapewnienie, że unijni importerzy minerałów lub metali wypełniają obowiązki wynikające z art. 4</w:t>
      </w:r>
      <w:r w:rsidR="003849B9" w:rsidRPr="001F7D09">
        <w:rPr>
          <w:rFonts w:ascii="Times New Roman" w:hAnsi="Times New Roman" w:cs="Times New Roman"/>
          <w:color w:val="auto"/>
          <w:lang w:val="pl-PL"/>
        </w:rPr>
        <w:t>–</w:t>
      </w:r>
      <w:r w:rsidRPr="001F7D09">
        <w:rPr>
          <w:rFonts w:ascii="Times New Roman" w:hAnsi="Times New Roman" w:cs="Times New Roman"/>
          <w:color w:val="auto"/>
          <w:lang w:val="pl-PL"/>
        </w:rPr>
        <w:t>7</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rozporządzenia </w:t>
      </w:r>
      <w:r w:rsidR="00BF70FA" w:rsidRPr="001F7D09">
        <w:rPr>
          <w:rFonts w:ascii="Times New Roman" w:hAnsi="Times New Roman" w:cs="Times New Roman"/>
          <w:color w:val="auto"/>
          <w:lang w:val="pl-PL"/>
        </w:rPr>
        <w:t xml:space="preserve">2017/821 </w:t>
      </w:r>
      <w:r w:rsidRPr="001F7D09">
        <w:rPr>
          <w:rFonts w:ascii="Times New Roman" w:hAnsi="Times New Roman" w:cs="Times New Roman"/>
          <w:color w:val="auto"/>
          <w:lang w:val="pl-PL"/>
        </w:rPr>
        <w:t xml:space="preserve">– stosuje się odpowiednio wskazane przepisy </w:t>
      </w:r>
      <w:r w:rsidR="002A11B8" w:rsidRPr="001F7D09">
        <w:rPr>
          <w:rFonts w:ascii="Times New Roman" w:hAnsi="Times New Roman" w:cs="Times New Roman"/>
          <w:color w:val="auto"/>
          <w:lang w:val="pl-PL"/>
        </w:rPr>
        <w:t>ustawy</w:t>
      </w:r>
      <w:r w:rsidR="00001039" w:rsidRPr="001F7D09">
        <w:rPr>
          <w:rFonts w:ascii="Times New Roman" w:hAnsi="Times New Roman" w:cs="Times New Roman"/>
          <w:color w:val="auto"/>
          <w:lang w:val="pl-PL"/>
        </w:rPr>
        <w:t xml:space="preserve"> z dnia 16 listopada 2016 r.</w:t>
      </w:r>
      <w:r w:rsidR="002A11B8" w:rsidRPr="001F7D09">
        <w:rPr>
          <w:rFonts w:ascii="Times New Roman" w:hAnsi="Times New Roman" w:cs="Times New Roman"/>
          <w:color w:val="auto"/>
          <w:lang w:val="pl-PL"/>
        </w:rPr>
        <w:t xml:space="preserve"> o Krajowej Administracji Skarbowej </w:t>
      </w:r>
      <w:r w:rsidRPr="001F7D09">
        <w:rPr>
          <w:rFonts w:ascii="Times New Roman" w:hAnsi="Times New Roman" w:cs="Times New Roman"/>
          <w:color w:val="auto"/>
          <w:lang w:val="pl-PL"/>
        </w:rPr>
        <w:t>o kontroli celno-skarbowej.</w:t>
      </w:r>
      <w:r w:rsidR="00105E39" w:rsidRPr="001F7D09">
        <w:rPr>
          <w:rFonts w:ascii="Times New Roman" w:hAnsi="Times New Roman" w:cs="Times New Roman"/>
          <w:color w:val="auto"/>
          <w:lang w:val="pl-PL"/>
        </w:rPr>
        <w:t xml:space="preserve"> Szczególną uwagę zwraca art. 93</w:t>
      </w:r>
      <w:r w:rsidR="002A11B8" w:rsidRPr="001F7D09">
        <w:rPr>
          <w:rFonts w:ascii="Times New Roman" w:hAnsi="Times New Roman" w:cs="Times New Roman"/>
          <w:color w:val="auto"/>
          <w:lang w:val="pl-PL"/>
        </w:rPr>
        <w:t xml:space="preserve"> ustawy o KAS</w:t>
      </w:r>
      <w:r w:rsidR="00105E39" w:rsidRPr="001F7D09">
        <w:rPr>
          <w:rFonts w:ascii="Times New Roman" w:hAnsi="Times New Roman" w:cs="Times New Roman"/>
          <w:color w:val="auto"/>
          <w:lang w:val="pl-PL"/>
        </w:rPr>
        <w:t>, zgodnie z którym do kontroli celno-skarbowej nie stosuje się przepi</w:t>
      </w:r>
      <w:r w:rsidR="00105E39" w:rsidRPr="001F7D09">
        <w:rPr>
          <w:rFonts w:ascii="Times New Roman" w:hAnsi="Times New Roman" w:cs="Times New Roman"/>
          <w:color w:val="auto"/>
          <w:lang w:val="pl-PL"/>
        </w:rPr>
        <w:lastRenderedPageBreak/>
        <w:t>sów rozdziału 5 ustawy z dnia 6 marca 2018 r. –</w:t>
      </w:r>
      <w:r w:rsidR="003849B9" w:rsidRPr="001F7D09">
        <w:rPr>
          <w:rFonts w:ascii="Times New Roman" w:hAnsi="Times New Roman" w:cs="Times New Roman"/>
          <w:color w:val="auto"/>
          <w:lang w:val="pl-PL"/>
        </w:rPr>
        <w:t xml:space="preserve"> </w:t>
      </w:r>
      <w:r w:rsidR="00105E39" w:rsidRPr="001F7D09">
        <w:rPr>
          <w:rFonts w:ascii="Times New Roman" w:hAnsi="Times New Roman" w:cs="Times New Roman"/>
          <w:color w:val="auto"/>
          <w:lang w:val="pl-PL"/>
        </w:rPr>
        <w:t>Prawo przedsiębiorców (Dz. U.</w:t>
      </w:r>
      <w:r w:rsidR="003849B9" w:rsidRPr="001F7D09">
        <w:rPr>
          <w:rFonts w:ascii="Times New Roman" w:hAnsi="Times New Roman" w:cs="Times New Roman"/>
          <w:color w:val="auto"/>
          <w:lang w:val="pl-PL"/>
        </w:rPr>
        <w:t xml:space="preserve"> </w:t>
      </w:r>
      <w:r w:rsidR="00105E39" w:rsidRPr="001F7D09">
        <w:rPr>
          <w:rFonts w:ascii="Times New Roman" w:hAnsi="Times New Roman" w:cs="Times New Roman"/>
          <w:color w:val="auto"/>
          <w:lang w:val="pl-PL"/>
        </w:rPr>
        <w:t>z 202</w:t>
      </w:r>
      <w:r w:rsidR="009368CE" w:rsidRPr="001F7D09">
        <w:rPr>
          <w:rFonts w:ascii="Times New Roman" w:hAnsi="Times New Roman" w:cs="Times New Roman"/>
          <w:color w:val="auto"/>
          <w:lang w:val="pl-PL"/>
        </w:rPr>
        <w:t>4</w:t>
      </w:r>
      <w:r w:rsidR="00105E39" w:rsidRPr="001F7D09">
        <w:rPr>
          <w:rFonts w:ascii="Times New Roman" w:hAnsi="Times New Roman" w:cs="Times New Roman"/>
          <w:color w:val="auto"/>
          <w:lang w:val="pl-PL"/>
        </w:rPr>
        <w:t xml:space="preserve"> r. poz. </w:t>
      </w:r>
      <w:r w:rsidR="009368CE" w:rsidRPr="001F7D09">
        <w:rPr>
          <w:rFonts w:ascii="Times New Roman" w:hAnsi="Times New Roman" w:cs="Times New Roman"/>
          <w:color w:val="auto"/>
          <w:lang w:val="pl-PL"/>
        </w:rPr>
        <w:t>236</w:t>
      </w:r>
      <w:r w:rsidR="00105E39" w:rsidRPr="001F7D09">
        <w:rPr>
          <w:rFonts w:ascii="Times New Roman" w:hAnsi="Times New Roman" w:cs="Times New Roman"/>
          <w:color w:val="auto"/>
          <w:lang w:val="pl-PL"/>
        </w:rPr>
        <w:t>).</w:t>
      </w:r>
      <w:r w:rsidR="00105E39" w:rsidRPr="001F7D09">
        <w:rPr>
          <w:rFonts w:ascii="Times New Roman" w:hAnsi="Times New Roman" w:cs="Times New Roman"/>
        </w:rPr>
        <w:t xml:space="preserve"> </w:t>
      </w:r>
      <w:r w:rsidR="00105E39" w:rsidRPr="001F7D09">
        <w:rPr>
          <w:rFonts w:ascii="Times New Roman" w:hAnsi="Times New Roman" w:cs="Times New Roman"/>
          <w:color w:val="auto"/>
          <w:lang w:val="pl-PL"/>
        </w:rPr>
        <w:t>Rozdział 5 przedmiotowej ustawy dotyczy ograniczenia kontroli działalności gospodarczej.</w:t>
      </w:r>
      <w:r w:rsidR="00105E39" w:rsidRPr="001F7D09">
        <w:rPr>
          <w:rFonts w:ascii="Times New Roman" w:hAnsi="Times New Roman" w:cs="Times New Roman"/>
        </w:rPr>
        <w:t xml:space="preserve"> Zgodnie z ar</w:t>
      </w:r>
      <w:r w:rsidR="00F313A0">
        <w:rPr>
          <w:rFonts w:ascii="Times New Roman" w:hAnsi="Times New Roman" w:cs="Times New Roman"/>
          <w:color w:val="auto"/>
          <w:lang w:val="pl-PL"/>
        </w:rPr>
        <w:t>t. </w:t>
      </w:r>
      <w:r w:rsidR="00105E39" w:rsidRPr="001F7D09">
        <w:rPr>
          <w:rFonts w:ascii="Times New Roman" w:hAnsi="Times New Roman" w:cs="Times New Roman"/>
          <w:color w:val="auto"/>
          <w:lang w:val="pl-PL"/>
        </w:rPr>
        <w:t>45 ust. 1 kontrola działalności gospodarczej przedsiębiorców jest przeprowadzana na zasadach określonych w niniejszej ustawie, chyba że zasady i tryb kontroli wynikają z ratyfikowanych umów międzynarodowych albo bezpośrednio stosowanych przepisów prawa Unii Europejskiej.</w:t>
      </w:r>
      <w:r w:rsidR="00004FBA" w:rsidRPr="001F7D09">
        <w:rPr>
          <w:rFonts w:ascii="Times New Roman" w:hAnsi="Times New Roman" w:cs="Times New Roman"/>
          <w:color w:val="auto"/>
          <w:lang w:val="pl-PL"/>
        </w:rPr>
        <w:t xml:space="preserve"> Jak wykazano powyżej, kontrola ex post w odniesieniu do importerów konfliktowych minerałów będzie prowadzona na podstawie przepisów rozporządzenia 2017/821, zatem nie może być stosowany rozdział 5 ustawy </w:t>
      </w:r>
      <w:r w:rsidR="005828D3" w:rsidRPr="001F7D09">
        <w:rPr>
          <w:rFonts w:ascii="Times New Roman" w:hAnsi="Times New Roman" w:cs="Times New Roman"/>
          <w:color w:val="auto"/>
          <w:lang w:val="pl-PL"/>
        </w:rPr>
        <w:t xml:space="preserve">– </w:t>
      </w:r>
      <w:r w:rsidR="00004FBA" w:rsidRPr="001F7D09">
        <w:rPr>
          <w:rFonts w:ascii="Times New Roman" w:hAnsi="Times New Roman" w:cs="Times New Roman"/>
          <w:color w:val="auto"/>
          <w:lang w:val="pl-PL"/>
        </w:rPr>
        <w:t>Prawo przedsiębiorców.</w:t>
      </w:r>
    </w:p>
    <w:p w14:paraId="38ACC28D" w14:textId="75DF05DE" w:rsidR="00C53FDD" w:rsidRPr="001F7D09" w:rsidRDefault="00004FBA"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W</w:t>
      </w:r>
      <w:r w:rsidR="003849B9" w:rsidRPr="001F7D09">
        <w:rPr>
          <w:rFonts w:ascii="Times New Roman" w:hAnsi="Times New Roman" w:cs="Times New Roman"/>
          <w:color w:val="auto"/>
          <w:lang w:val="pl-PL"/>
        </w:rPr>
        <w:t xml:space="preserve"> </w:t>
      </w:r>
      <w:r w:rsidR="005B087D" w:rsidRPr="001F7D09">
        <w:rPr>
          <w:rFonts w:ascii="Times New Roman" w:hAnsi="Times New Roman" w:cs="Times New Roman"/>
          <w:color w:val="auto"/>
          <w:lang w:val="pl-PL"/>
        </w:rPr>
        <w:t xml:space="preserve">dziale V „Kontrola celno-skarbowa, nabycie sprawdzające, tymczasowe zajęcie ruchomości, audyt, czynności audytowe, urzędowe sprawdzenie oraz szczególne uprawnienia organów Krajowej Administracji Skarbowej oraz funkcjonariuszy Służby Celno-Skarbowej” </w:t>
      </w:r>
      <w:r w:rsidR="002A11B8" w:rsidRPr="001F7D09">
        <w:rPr>
          <w:rFonts w:ascii="Times New Roman" w:hAnsi="Times New Roman" w:cs="Times New Roman"/>
          <w:color w:val="auto"/>
          <w:lang w:val="pl-PL"/>
        </w:rPr>
        <w:t xml:space="preserve">dodany został </w:t>
      </w:r>
      <w:r w:rsidR="005B087D" w:rsidRPr="001F7D09">
        <w:rPr>
          <w:rFonts w:ascii="Times New Roman" w:hAnsi="Times New Roman" w:cs="Times New Roman"/>
          <w:color w:val="auto"/>
          <w:lang w:val="pl-PL"/>
        </w:rPr>
        <w:t>odrębny rozdział (rozdział 1d), w którym uregulowano kontrolę ex</w:t>
      </w:r>
      <w:r w:rsidR="003849B9" w:rsidRPr="001F7D09">
        <w:rPr>
          <w:rFonts w:ascii="Times New Roman" w:hAnsi="Times New Roman" w:cs="Times New Roman"/>
          <w:color w:val="auto"/>
          <w:lang w:val="pl-PL"/>
        </w:rPr>
        <w:t xml:space="preserve"> </w:t>
      </w:r>
      <w:r w:rsidR="005B087D" w:rsidRPr="001F7D09">
        <w:rPr>
          <w:rFonts w:ascii="Times New Roman" w:hAnsi="Times New Roman" w:cs="Times New Roman"/>
          <w:color w:val="auto"/>
          <w:lang w:val="pl-PL"/>
        </w:rPr>
        <w:t>post dotyczącą unijnych importerów.</w:t>
      </w:r>
    </w:p>
    <w:p w14:paraId="5EC5FCD9" w14:textId="7D55CFB6" w:rsidR="00E60F26" w:rsidRPr="001F7D09" w:rsidRDefault="00E60F26" w:rsidP="001F7D09">
      <w:pPr>
        <w:autoSpaceDE w:val="0"/>
        <w:autoSpaceDN w:val="0"/>
        <w:adjustRightInd w:val="0"/>
        <w:spacing w:before="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Kontrola ex</w:t>
      </w:r>
      <w:r w:rsidR="00D0290A"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post składa się z następujących etapów:</w:t>
      </w:r>
    </w:p>
    <w:p w14:paraId="435F8B86" w14:textId="4FD9449A" w:rsidR="00D0290A" w:rsidRPr="001F7D09" w:rsidRDefault="00D0290A" w:rsidP="001F7D09">
      <w:pPr>
        <w:pStyle w:val="Akapitzlist"/>
        <w:numPr>
          <w:ilvl w:val="0"/>
          <w:numId w:val="31"/>
        </w:numPr>
        <w:autoSpaceDE w:val="0"/>
        <w:autoSpaceDN w:val="0"/>
        <w:adjustRightInd w:val="0"/>
        <w:spacing w:line="360" w:lineRule="auto"/>
        <w:ind w:left="426" w:hanging="426"/>
        <w:contextualSpacing w:val="0"/>
        <w:jc w:val="both"/>
        <w:rPr>
          <w:rFonts w:ascii="Times New Roman" w:hAnsi="Times New Roman" w:cs="Times New Roman"/>
          <w:color w:val="auto"/>
          <w:lang w:val="pl-PL"/>
        </w:rPr>
      </w:pPr>
      <w:r w:rsidRPr="001F7D09">
        <w:rPr>
          <w:rFonts w:ascii="Times New Roman" w:hAnsi="Times New Roman" w:cs="Times New Roman"/>
          <w:color w:val="auto"/>
          <w:lang w:val="pl-PL"/>
        </w:rPr>
        <w:t>wezwanie unijnego importera do przedłożenia dokumentów, potwierdzających spełnienie obowiązków, o których mowa w art. 4–7 rozporządzenia 2017/821,</w:t>
      </w:r>
    </w:p>
    <w:p w14:paraId="6C820199" w14:textId="5434CEF3" w:rsidR="00E60F26" w:rsidRPr="001F7D09" w:rsidRDefault="00E60F26" w:rsidP="001F7D09">
      <w:pPr>
        <w:pStyle w:val="Akapitzlist"/>
        <w:numPr>
          <w:ilvl w:val="0"/>
          <w:numId w:val="31"/>
        </w:numPr>
        <w:autoSpaceDE w:val="0"/>
        <w:autoSpaceDN w:val="0"/>
        <w:adjustRightInd w:val="0"/>
        <w:spacing w:before="120" w:after="120" w:line="360" w:lineRule="auto"/>
        <w:ind w:left="426" w:hanging="426"/>
        <w:jc w:val="both"/>
        <w:rPr>
          <w:rFonts w:ascii="Times New Roman" w:hAnsi="Times New Roman" w:cs="Times New Roman"/>
          <w:color w:val="auto"/>
          <w:lang w:val="pl-PL"/>
        </w:rPr>
      </w:pPr>
      <w:r w:rsidRPr="001F7D09">
        <w:rPr>
          <w:rFonts w:ascii="Times New Roman" w:hAnsi="Times New Roman" w:cs="Times New Roman"/>
          <w:color w:val="auto"/>
          <w:lang w:val="pl-PL"/>
        </w:rPr>
        <w:t>badanie dokumentacji,</w:t>
      </w:r>
    </w:p>
    <w:p w14:paraId="3438D410" w14:textId="21B4255D" w:rsidR="00E60F26" w:rsidRPr="001F7D09" w:rsidRDefault="00D0290A" w:rsidP="001F7D09">
      <w:pPr>
        <w:pStyle w:val="Akapitzlist"/>
        <w:numPr>
          <w:ilvl w:val="0"/>
          <w:numId w:val="31"/>
        </w:numPr>
        <w:autoSpaceDE w:val="0"/>
        <w:autoSpaceDN w:val="0"/>
        <w:adjustRightInd w:val="0"/>
        <w:spacing w:before="120" w:after="120" w:line="360" w:lineRule="auto"/>
        <w:ind w:left="426" w:hanging="426"/>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ewentualne </w:t>
      </w:r>
      <w:r w:rsidR="00E60F26" w:rsidRPr="001F7D09">
        <w:rPr>
          <w:rFonts w:ascii="Times New Roman" w:hAnsi="Times New Roman" w:cs="Times New Roman"/>
          <w:color w:val="auto"/>
          <w:lang w:val="pl-PL"/>
        </w:rPr>
        <w:t>wezwanie do uzupełni</w:t>
      </w:r>
      <w:r w:rsidR="005828D3" w:rsidRPr="001F7D09">
        <w:rPr>
          <w:rFonts w:ascii="Times New Roman" w:hAnsi="Times New Roman" w:cs="Times New Roman"/>
          <w:color w:val="auto"/>
          <w:lang w:val="pl-PL"/>
        </w:rPr>
        <w:t>e</w:t>
      </w:r>
      <w:r w:rsidR="00E60F26" w:rsidRPr="001F7D09">
        <w:rPr>
          <w:rFonts w:ascii="Times New Roman" w:hAnsi="Times New Roman" w:cs="Times New Roman"/>
          <w:color w:val="auto"/>
          <w:lang w:val="pl-PL"/>
        </w:rPr>
        <w:t>ni</w:t>
      </w:r>
      <w:r w:rsidR="005828D3" w:rsidRPr="001F7D09">
        <w:rPr>
          <w:rFonts w:ascii="Times New Roman" w:hAnsi="Times New Roman" w:cs="Times New Roman"/>
          <w:color w:val="auto"/>
          <w:lang w:val="pl-PL"/>
        </w:rPr>
        <w:t>a</w:t>
      </w:r>
      <w:r w:rsidR="00E60F26" w:rsidRPr="001F7D09">
        <w:rPr>
          <w:rFonts w:ascii="Times New Roman" w:hAnsi="Times New Roman" w:cs="Times New Roman"/>
          <w:color w:val="auto"/>
          <w:lang w:val="pl-PL"/>
        </w:rPr>
        <w:t xml:space="preserve"> dokumentacji,</w:t>
      </w:r>
    </w:p>
    <w:p w14:paraId="0E64B972" w14:textId="68A53C24" w:rsidR="00E60F26" w:rsidRPr="001F7D09" w:rsidRDefault="00E60F26" w:rsidP="001F7D09">
      <w:pPr>
        <w:pStyle w:val="Akapitzlist"/>
        <w:numPr>
          <w:ilvl w:val="0"/>
          <w:numId w:val="31"/>
        </w:numPr>
        <w:autoSpaceDE w:val="0"/>
        <w:autoSpaceDN w:val="0"/>
        <w:adjustRightInd w:val="0"/>
        <w:spacing w:before="120" w:after="120" w:line="360" w:lineRule="auto"/>
        <w:ind w:left="426" w:hanging="426"/>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 xml:space="preserve">w przypadku stwierdzenia naruszeń – wezwanie do </w:t>
      </w:r>
      <w:r w:rsidR="00952EBD" w:rsidRPr="001F7D09">
        <w:rPr>
          <w:rFonts w:ascii="Times New Roman" w:hAnsi="Times New Roman" w:cs="Times New Roman"/>
          <w:color w:val="auto"/>
          <w:lang w:val="pl-PL"/>
        </w:rPr>
        <w:t>przedłożenia planu działań naprawczych oraz ich przeprowadzenia,</w:t>
      </w:r>
    </w:p>
    <w:p w14:paraId="46AFBCE7" w14:textId="1E370E0B" w:rsidR="00E60F26" w:rsidRPr="001F7D09" w:rsidRDefault="00E60F26" w:rsidP="001F7D09">
      <w:pPr>
        <w:pStyle w:val="Akapitzlist"/>
        <w:numPr>
          <w:ilvl w:val="0"/>
          <w:numId w:val="31"/>
        </w:numPr>
        <w:autoSpaceDE w:val="0"/>
        <w:autoSpaceDN w:val="0"/>
        <w:adjustRightInd w:val="0"/>
        <w:spacing w:before="120" w:after="120" w:line="360" w:lineRule="auto"/>
        <w:ind w:left="426" w:hanging="426"/>
        <w:jc w:val="both"/>
        <w:rPr>
          <w:rFonts w:ascii="Times New Roman" w:hAnsi="Times New Roman" w:cs="Times New Roman"/>
          <w:color w:val="auto"/>
          <w:lang w:val="pl-PL"/>
        </w:rPr>
      </w:pPr>
      <w:r w:rsidRPr="001F7D09">
        <w:rPr>
          <w:rFonts w:ascii="Times New Roman" w:hAnsi="Times New Roman" w:cs="Times New Roman"/>
          <w:color w:val="auto"/>
          <w:lang w:val="pl-PL"/>
        </w:rPr>
        <w:t>działania następcze podejmowane przez organ kontrolujący, przy czym przez działania następcze należy rozumieć ocenę przeprowadzonych przez importera działań naprawczych.</w:t>
      </w:r>
    </w:p>
    <w:p w14:paraId="21BEAFCE" w14:textId="3567F46E" w:rsidR="00D0290A" w:rsidRPr="001F7D09" w:rsidRDefault="00D0290A"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Powyższa ocena jest podstawą do stwierdzenia, czy kontrola ex post zakończy się informacją skierowaną do importera o braku naruszeń przedmiotowego rozporządzenia, czy też protokołem z kontroli ex post i ewentualnym wymiarem kary pieniężnej.</w:t>
      </w:r>
    </w:p>
    <w:p w14:paraId="56B07117" w14:textId="052B3675" w:rsidR="00256E69" w:rsidRPr="001F7D09" w:rsidRDefault="00D42BF6"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Odnosząc się do dodanego rozdziału</w:t>
      </w:r>
      <w:r w:rsidR="00256E69" w:rsidRPr="001F7D09">
        <w:rPr>
          <w:rFonts w:ascii="Times New Roman" w:hAnsi="Times New Roman" w:cs="Times New Roman"/>
          <w:color w:val="auto"/>
          <w:lang w:val="pl-PL"/>
        </w:rPr>
        <w:t xml:space="preserve"> 1d</w:t>
      </w:r>
      <w:r w:rsidRPr="001F7D09">
        <w:rPr>
          <w:rFonts w:ascii="Times New Roman" w:hAnsi="Times New Roman" w:cs="Times New Roman"/>
          <w:color w:val="auto"/>
          <w:lang w:val="pl-PL"/>
        </w:rPr>
        <w:t xml:space="preserve">, należy wskazać, że </w:t>
      </w:r>
      <w:r w:rsidR="00256E69" w:rsidRPr="001F7D09">
        <w:rPr>
          <w:rFonts w:ascii="Times New Roman" w:hAnsi="Times New Roman" w:cs="Times New Roman"/>
          <w:color w:val="auto"/>
          <w:lang w:val="pl-PL"/>
        </w:rPr>
        <w:t xml:space="preserve">wprowadzono przepis, zgodnie z którym do kontroli ex post </w:t>
      </w:r>
      <w:r w:rsidR="00256E69" w:rsidRPr="001F7D09">
        <w:rPr>
          <w:rFonts w:ascii="Times New Roman" w:hAnsi="Times New Roman" w:cs="Times New Roman"/>
          <w:color w:val="auto"/>
          <w:lang w:val="pl-PL"/>
        </w:rPr>
        <w:lastRenderedPageBreak/>
        <w:t>dotyczącej unijnych importerów będą odpowiednio stosowane przepisy o kontroli celno-skarbowej oraz wskazano konkretne przepisy z rozdziału 1, które mają być stosowane do tej kontroli</w:t>
      </w:r>
      <w:r w:rsidR="00F53AC3" w:rsidRPr="001F7D09">
        <w:rPr>
          <w:rFonts w:ascii="Times New Roman" w:hAnsi="Times New Roman" w:cs="Times New Roman"/>
          <w:color w:val="auto"/>
          <w:lang w:val="pl-PL"/>
        </w:rPr>
        <w:t xml:space="preserve"> (art. 94ze)</w:t>
      </w:r>
      <w:r w:rsidR="00256E69" w:rsidRPr="001F7D09">
        <w:rPr>
          <w:rFonts w:ascii="Times New Roman" w:hAnsi="Times New Roman" w:cs="Times New Roman"/>
          <w:color w:val="auto"/>
          <w:lang w:val="pl-PL"/>
        </w:rPr>
        <w:t>.</w:t>
      </w:r>
    </w:p>
    <w:p w14:paraId="49EF5F57" w14:textId="170A18AF" w:rsidR="00951ADD"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Określono także moment wszczęcia kontroli ex post oraz wskazano, że z chwilą doręczenia podmiotowi kontrolowanemu (który podlega obowiązk</w:t>
      </w:r>
      <w:r w:rsidR="00001039" w:rsidRPr="001F7D09">
        <w:rPr>
          <w:rFonts w:ascii="Times New Roman" w:hAnsi="Times New Roman" w:cs="Times New Roman"/>
          <w:color w:val="auto"/>
          <w:lang w:val="pl-PL"/>
        </w:rPr>
        <w:t>om</w:t>
      </w:r>
      <w:r w:rsidR="006D6006" w:rsidRPr="001F7D09">
        <w:rPr>
          <w:rFonts w:ascii="Times New Roman" w:hAnsi="Times New Roman" w:cs="Times New Roman"/>
          <w:color w:val="auto"/>
          <w:lang w:val="pl-PL"/>
        </w:rPr>
        <w:t xml:space="preserve"> określonym w</w:t>
      </w:r>
      <w:r w:rsidRPr="001F7D09">
        <w:rPr>
          <w:rFonts w:ascii="Times New Roman" w:hAnsi="Times New Roman" w:cs="Times New Roman"/>
          <w:color w:val="auto"/>
          <w:lang w:val="pl-PL"/>
        </w:rPr>
        <w:t xml:space="preserve"> rozporządzeni</w:t>
      </w:r>
      <w:r w:rsidR="006D6006" w:rsidRPr="001F7D09">
        <w:rPr>
          <w:rFonts w:ascii="Times New Roman" w:hAnsi="Times New Roman" w:cs="Times New Roman"/>
          <w:color w:val="auto"/>
          <w:lang w:val="pl-PL"/>
        </w:rPr>
        <w:t>u</w:t>
      </w:r>
      <w:r w:rsidRPr="001F7D09">
        <w:rPr>
          <w:rFonts w:ascii="Times New Roman" w:hAnsi="Times New Roman" w:cs="Times New Roman"/>
          <w:color w:val="auto"/>
          <w:lang w:val="pl-PL"/>
        </w:rPr>
        <w:t xml:space="preserve"> 2017/821) upoważnienia do kontroli otrzymuje on także wezwanie do przedłożenia w określonym czasie dokumentów potwierdzających spełnienie obowiązków, o których mowa w art. 4</w:t>
      </w:r>
      <w:r w:rsidR="003849B9" w:rsidRPr="001F7D09">
        <w:rPr>
          <w:rFonts w:ascii="Times New Roman" w:hAnsi="Times New Roman" w:cs="Times New Roman"/>
          <w:color w:val="auto"/>
          <w:lang w:val="pl-PL"/>
        </w:rPr>
        <w:t>–</w:t>
      </w:r>
      <w:r w:rsidRPr="001F7D09">
        <w:rPr>
          <w:rFonts w:ascii="Times New Roman" w:hAnsi="Times New Roman" w:cs="Times New Roman"/>
          <w:color w:val="auto"/>
          <w:lang w:val="pl-PL"/>
        </w:rPr>
        <w:t>7 przedmiotowego rozporządzenia</w:t>
      </w:r>
      <w:r w:rsidR="00677AAE" w:rsidRPr="001F7D09">
        <w:rPr>
          <w:rFonts w:ascii="Times New Roman" w:hAnsi="Times New Roman" w:cs="Times New Roman"/>
          <w:color w:val="auto"/>
          <w:lang w:val="pl-PL"/>
        </w:rPr>
        <w:t xml:space="preserve"> (art. 94ze ust. 2)</w:t>
      </w:r>
      <w:r w:rsidRPr="001F7D09">
        <w:rPr>
          <w:rFonts w:ascii="Times New Roman" w:hAnsi="Times New Roman" w:cs="Times New Roman"/>
          <w:color w:val="auto"/>
          <w:lang w:val="pl-PL"/>
        </w:rPr>
        <w:t xml:space="preserve">. </w:t>
      </w:r>
    </w:p>
    <w:p w14:paraId="7F295A3A" w14:textId="7961B861" w:rsidR="00256E69" w:rsidRPr="001F7D09" w:rsidRDefault="00951AD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Szczególną u</w:t>
      </w:r>
      <w:r w:rsidR="00256E69" w:rsidRPr="001F7D09">
        <w:rPr>
          <w:rFonts w:ascii="Times New Roman" w:hAnsi="Times New Roman" w:cs="Times New Roman"/>
          <w:color w:val="auto"/>
          <w:lang w:val="pl-PL"/>
        </w:rPr>
        <w:t>wagę należy zwrócić na termin prowadzenia kontroli ex</w:t>
      </w:r>
      <w:r w:rsidR="003849B9" w:rsidRPr="001F7D09">
        <w:rPr>
          <w:rFonts w:ascii="Times New Roman" w:hAnsi="Times New Roman" w:cs="Times New Roman"/>
          <w:color w:val="auto"/>
          <w:lang w:val="pl-PL"/>
        </w:rPr>
        <w:t xml:space="preserve"> </w:t>
      </w:r>
      <w:r w:rsidR="00256E69" w:rsidRPr="001F7D09">
        <w:rPr>
          <w:rFonts w:ascii="Times New Roman" w:hAnsi="Times New Roman" w:cs="Times New Roman"/>
          <w:color w:val="auto"/>
          <w:lang w:val="pl-PL"/>
        </w:rPr>
        <w:t>post,</w:t>
      </w:r>
      <w:r w:rsidR="003849B9" w:rsidRPr="001F7D09">
        <w:rPr>
          <w:rFonts w:ascii="Times New Roman" w:hAnsi="Times New Roman" w:cs="Times New Roman"/>
          <w:color w:val="auto"/>
          <w:lang w:val="pl-PL"/>
        </w:rPr>
        <w:t xml:space="preserve"> </w:t>
      </w:r>
      <w:r w:rsidR="00677AAE" w:rsidRPr="001F7D09">
        <w:rPr>
          <w:rFonts w:ascii="Times New Roman" w:hAnsi="Times New Roman" w:cs="Times New Roman"/>
          <w:color w:val="auto"/>
          <w:lang w:val="pl-PL"/>
        </w:rPr>
        <w:t>w tym przypadku</w:t>
      </w:r>
      <w:r w:rsidR="00F313A0">
        <w:rPr>
          <w:rFonts w:ascii="Times New Roman" w:hAnsi="Times New Roman" w:cs="Times New Roman"/>
          <w:color w:val="auto"/>
          <w:lang w:val="pl-PL"/>
        </w:rPr>
        <w:t> </w:t>
      </w:r>
      <w:r w:rsidR="00256E69" w:rsidRPr="001F7D09">
        <w:rPr>
          <w:rFonts w:ascii="Times New Roman" w:hAnsi="Times New Roman" w:cs="Times New Roman"/>
          <w:color w:val="auto"/>
          <w:lang w:val="pl-PL"/>
        </w:rPr>
        <w:t>nie będzie miał zastosowania termin wskazany w art. 63 ust. 1 ustawy o K</w:t>
      </w:r>
      <w:r w:rsidR="00CD64EF" w:rsidRPr="001F7D09">
        <w:rPr>
          <w:rFonts w:ascii="Times New Roman" w:hAnsi="Times New Roman" w:cs="Times New Roman"/>
          <w:color w:val="auto"/>
          <w:lang w:val="pl-PL"/>
        </w:rPr>
        <w:t>AS</w:t>
      </w:r>
      <w:r w:rsidR="00256E69" w:rsidRPr="001F7D09">
        <w:rPr>
          <w:rFonts w:ascii="Times New Roman" w:hAnsi="Times New Roman" w:cs="Times New Roman"/>
          <w:color w:val="auto"/>
          <w:lang w:val="pl-PL"/>
        </w:rPr>
        <w:t xml:space="preserve"> (kontrola celno-skarbowa powinna zakończyć się bez zbędnej zwłoki, jednak nie później niż w terminie 3 miesięcy od dnia jej wszczęcia)</w:t>
      </w:r>
      <w:r w:rsidR="004F58E0" w:rsidRPr="001F7D09">
        <w:rPr>
          <w:rFonts w:ascii="Times New Roman" w:hAnsi="Times New Roman" w:cs="Times New Roman"/>
          <w:color w:val="auto"/>
          <w:lang w:val="pl-PL"/>
        </w:rPr>
        <w:t xml:space="preserve">. </w:t>
      </w:r>
      <w:r w:rsidR="00256E69" w:rsidRPr="001F7D09">
        <w:rPr>
          <w:rFonts w:ascii="Times New Roman" w:hAnsi="Times New Roman" w:cs="Times New Roman"/>
          <w:color w:val="auto"/>
          <w:lang w:val="pl-PL"/>
        </w:rPr>
        <w:t xml:space="preserve">Termin zakończenia kontroli „nie później niż w terminie 3 miesięcy od dnia jej wszczęcia” nie znajdzie zastosowania </w:t>
      </w:r>
      <w:r w:rsidR="00677AAE" w:rsidRPr="001F7D09">
        <w:rPr>
          <w:rFonts w:ascii="Times New Roman" w:hAnsi="Times New Roman" w:cs="Times New Roman"/>
          <w:color w:val="auto"/>
          <w:lang w:val="pl-PL"/>
        </w:rPr>
        <w:t xml:space="preserve">w przypadku </w:t>
      </w:r>
      <w:r w:rsidR="00256E69" w:rsidRPr="001F7D09">
        <w:rPr>
          <w:rFonts w:ascii="Times New Roman" w:hAnsi="Times New Roman" w:cs="Times New Roman"/>
          <w:color w:val="auto"/>
          <w:lang w:val="pl-PL"/>
        </w:rPr>
        <w:t>prowadzeni</w:t>
      </w:r>
      <w:r w:rsidR="00317512" w:rsidRPr="001F7D09">
        <w:rPr>
          <w:rFonts w:ascii="Times New Roman" w:hAnsi="Times New Roman" w:cs="Times New Roman"/>
          <w:color w:val="auto"/>
          <w:lang w:val="pl-PL"/>
        </w:rPr>
        <w:t>a</w:t>
      </w:r>
      <w:r w:rsidR="00256E69" w:rsidRPr="001F7D09">
        <w:rPr>
          <w:rFonts w:ascii="Times New Roman" w:hAnsi="Times New Roman" w:cs="Times New Roman"/>
          <w:color w:val="auto"/>
          <w:lang w:val="pl-PL"/>
        </w:rPr>
        <w:t xml:space="preserve"> kontroli ex post, ponieważ w sytuacji, kiedy organ wezwie importera do </w:t>
      </w:r>
      <w:r w:rsidR="00677AAE" w:rsidRPr="001F7D09">
        <w:rPr>
          <w:rFonts w:ascii="Times New Roman" w:hAnsi="Times New Roman" w:cs="Times New Roman"/>
          <w:color w:val="auto"/>
          <w:lang w:val="pl-PL"/>
        </w:rPr>
        <w:t xml:space="preserve">wdrożenia </w:t>
      </w:r>
      <w:r w:rsidR="00256E69" w:rsidRPr="001F7D09">
        <w:rPr>
          <w:rFonts w:ascii="Times New Roman" w:hAnsi="Times New Roman" w:cs="Times New Roman"/>
          <w:color w:val="auto"/>
          <w:lang w:val="pl-PL"/>
        </w:rPr>
        <w:t>działań naprawczych zarówno przedsiębiorca musi mieć określony czas na podjęcie i wdrożenie działań mających na celu spełnienie obo</w:t>
      </w:r>
      <w:r w:rsidR="003D335D" w:rsidRPr="001F7D09">
        <w:rPr>
          <w:rFonts w:ascii="Times New Roman" w:hAnsi="Times New Roman" w:cs="Times New Roman"/>
          <w:color w:val="auto"/>
          <w:lang w:val="pl-PL"/>
        </w:rPr>
        <w:t>wiązków określonych w art. 4</w:t>
      </w:r>
      <w:r w:rsidR="003849B9" w:rsidRPr="001F7D09">
        <w:rPr>
          <w:rFonts w:ascii="Times New Roman" w:hAnsi="Times New Roman" w:cs="Times New Roman"/>
          <w:color w:val="auto"/>
          <w:lang w:val="pl-PL"/>
        </w:rPr>
        <w:t>–</w:t>
      </w:r>
      <w:r w:rsidR="003D335D" w:rsidRPr="001F7D09">
        <w:rPr>
          <w:rFonts w:ascii="Times New Roman" w:hAnsi="Times New Roman" w:cs="Times New Roman"/>
          <w:color w:val="auto"/>
          <w:lang w:val="pl-PL"/>
        </w:rPr>
        <w:t xml:space="preserve">7 </w:t>
      </w:r>
      <w:r w:rsidR="00256E69" w:rsidRPr="001F7D09">
        <w:rPr>
          <w:rFonts w:ascii="Times New Roman" w:hAnsi="Times New Roman" w:cs="Times New Roman"/>
          <w:color w:val="auto"/>
          <w:lang w:val="pl-PL"/>
        </w:rPr>
        <w:t>rozporządzenia</w:t>
      </w:r>
      <w:r w:rsidR="00CD64EF" w:rsidRPr="001F7D09">
        <w:rPr>
          <w:rFonts w:ascii="Times New Roman" w:hAnsi="Times New Roman" w:cs="Times New Roman"/>
          <w:color w:val="auto"/>
          <w:lang w:val="pl-PL"/>
        </w:rPr>
        <w:t xml:space="preserve"> 2017/821</w:t>
      </w:r>
      <w:r w:rsidR="00256E69" w:rsidRPr="001F7D09">
        <w:rPr>
          <w:rFonts w:ascii="Times New Roman" w:hAnsi="Times New Roman" w:cs="Times New Roman"/>
          <w:color w:val="auto"/>
          <w:lang w:val="pl-PL"/>
        </w:rPr>
        <w:t xml:space="preserve">, jak również organ, który w określonym czasie </w:t>
      </w:r>
      <w:r w:rsidR="00256E69" w:rsidRPr="001F7D09">
        <w:rPr>
          <w:rFonts w:ascii="Times New Roman" w:hAnsi="Times New Roman" w:cs="Times New Roman"/>
          <w:color w:val="auto"/>
          <w:lang w:val="pl-PL"/>
        </w:rPr>
        <w:lastRenderedPageBreak/>
        <w:t>musi działania wprowadzone w działalność biznesową przedsiębiorcy zweryfikować.</w:t>
      </w:r>
      <w:r w:rsidR="00684817" w:rsidRPr="001F7D09">
        <w:rPr>
          <w:rFonts w:ascii="Times New Roman" w:hAnsi="Times New Roman" w:cs="Times New Roman"/>
        </w:rPr>
        <w:t xml:space="preserve"> </w:t>
      </w:r>
      <w:r w:rsidR="00684817" w:rsidRPr="001F7D09">
        <w:rPr>
          <w:rFonts w:ascii="Times New Roman" w:hAnsi="Times New Roman" w:cs="Times New Roman"/>
          <w:color w:val="auto"/>
          <w:lang w:val="pl-PL"/>
        </w:rPr>
        <w:t>Sekwencja działań zarówno organu kontrolującego</w:t>
      </w:r>
      <w:r w:rsidR="00317512" w:rsidRPr="001F7D09">
        <w:rPr>
          <w:rFonts w:ascii="Times New Roman" w:hAnsi="Times New Roman" w:cs="Times New Roman"/>
          <w:color w:val="auto"/>
          <w:lang w:val="pl-PL"/>
        </w:rPr>
        <w:t>,</w:t>
      </w:r>
      <w:r w:rsidR="00684817" w:rsidRPr="001F7D09">
        <w:rPr>
          <w:rFonts w:ascii="Times New Roman" w:hAnsi="Times New Roman" w:cs="Times New Roman"/>
          <w:color w:val="auto"/>
          <w:lang w:val="pl-PL"/>
        </w:rPr>
        <w:t xml:space="preserve"> jak i podmiotu kontrolowanego wymuszają wydłużenie maksymalnego czasu trwania kontroli powyżej trzech miesięcy. Należy bowiem mieć na uwadze, że podmiot, który jest zobowiązany do ewentualnego wdrożenia działań naprawczych musi dysponować</w:t>
      </w:r>
      <w:r w:rsidR="003849B9" w:rsidRPr="001F7D09">
        <w:rPr>
          <w:rFonts w:ascii="Times New Roman" w:hAnsi="Times New Roman" w:cs="Times New Roman"/>
          <w:color w:val="auto"/>
          <w:lang w:val="pl-PL"/>
        </w:rPr>
        <w:t xml:space="preserve"> </w:t>
      </w:r>
      <w:r w:rsidR="00684817" w:rsidRPr="001F7D09">
        <w:rPr>
          <w:rFonts w:ascii="Times New Roman" w:hAnsi="Times New Roman" w:cs="Times New Roman"/>
          <w:color w:val="auto"/>
          <w:lang w:val="pl-PL"/>
        </w:rPr>
        <w:t>realnym czasem podjęcia</w:t>
      </w:r>
      <w:r w:rsidR="003849B9" w:rsidRPr="001F7D09">
        <w:rPr>
          <w:rFonts w:ascii="Times New Roman" w:hAnsi="Times New Roman" w:cs="Times New Roman"/>
          <w:color w:val="auto"/>
          <w:lang w:val="pl-PL"/>
        </w:rPr>
        <w:t xml:space="preserve"> </w:t>
      </w:r>
      <w:r w:rsidR="00684817" w:rsidRPr="001F7D09">
        <w:rPr>
          <w:rFonts w:ascii="Times New Roman" w:hAnsi="Times New Roman" w:cs="Times New Roman"/>
          <w:color w:val="auto"/>
          <w:lang w:val="pl-PL"/>
        </w:rPr>
        <w:t>tych działań.</w:t>
      </w:r>
    </w:p>
    <w:p w14:paraId="70776A2A" w14:textId="77777777"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Uwzględniając art. 16 ust. 3 rozporządzenia </w:t>
      </w:r>
      <w:r w:rsidR="00CD64EF" w:rsidRPr="001F7D09">
        <w:rPr>
          <w:rFonts w:ascii="Times New Roman" w:hAnsi="Times New Roman" w:cs="Times New Roman"/>
          <w:color w:val="auto"/>
          <w:lang w:val="pl-PL"/>
        </w:rPr>
        <w:t>2017/821</w:t>
      </w:r>
      <w:r w:rsidRPr="001F7D09">
        <w:rPr>
          <w:rFonts w:ascii="Times New Roman" w:hAnsi="Times New Roman" w:cs="Times New Roman"/>
          <w:color w:val="auto"/>
          <w:lang w:val="pl-PL"/>
        </w:rPr>
        <w:t>, uregulowano tryb przeprowadzenia działań naprawczych przez importera. Działania naprawcze podejmowane są wówczas, gdy organ państwa członkowskiego (Szef Krajowej Administracji Skarbowej) stwierdzi w toku kontroli ex post naruszenia przepisów przedmiotowego rozporządzenia.</w:t>
      </w:r>
    </w:p>
    <w:p w14:paraId="3030BA48" w14:textId="38633D38"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 xml:space="preserve">Przedsiębiorca </w:t>
      </w:r>
      <w:r w:rsidR="00951ADD" w:rsidRPr="001F7D09">
        <w:rPr>
          <w:rFonts w:ascii="Times New Roman" w:hAnsi="Times New Roman" w:cs="Times New Roman"/>
          <w:color w:val="auto"/>
          <w:lang w:val="pl-PL"/>
        </w:rPr>
        <w:t xml:space="preserve">jest </w:t>
      </w:r>
      <w:r w:rsidRPr="001F7D09">
        <w:rPr>
          <w:rFonts w:ascii="Times New Roman" w:hAnsi="Times New Roman" w:cs="Times New Roman"/>
          <w:color w:val="auto"/>
          <w:lang w:val="pl-PL"/>
        </w:rPr>
        <w:t>wówczas wzywany do przedstawienia w określonym terminie planu wdrożenia działań naprawczych oraz samego wdrożenia tych działań.</w:t>
      </w:r>
    </w:p>
    <w:p w14:paraId="58671AB8" w14:textId="5EEE40B8"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W przypadku niewywiązania się, w określonych terminach wskazanych </w:t>
      </w:r>
      <w:r w:rsidR="00017F7A" w:rsidRPr="001F7D09">
        <w:rPr>
          <w:rFonts w:ascii="Times New Roman" w:hAnsi="Times New Roman" w:cs="Times New Roman"/>
          <w:color w:val="auto"/>
          <w:lang w:val="pl-PL"/>
        </w:rPr>
        <w:t>w projektowanych przepisach</w:t>
      </w:r>
      <w:r w:rsidRPr="001F7D09">
        <w:rPr>
          <w:rFonts w:ascii="Times New Roman" w:hAnsi="Times New Roman" w:cs="Times New Roman"/>
          <w:color w:val="auto"/>
          <w:lang w:val="pl-PL"/>
        </w:rPr>
        <w:t>, z</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obowiązków, kontrola ex post kończy się protokołem.</w:t>
      </w:r>
    </w:p>
    <w:p w14:paraId="0678F863" w14:textId="2A678222"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 przypadku niestwierdzenia naruszeń albo przeprowadzenia działań naprawczych wskazanych w planie wdrożenia tych działań, w terminie określonym</w:t>
      </w:r>
      <w:r w:rsidR="00797804" w:rsidRPr="001F7D09">
        <w:rPr>
          <w:rFonts w:ascii="Times New Roman" w:hAnsi="Times New Roman" w:cs="Times New Roman"/>
          <w:color w:val="auto"/>
          <w:lang w:val="pl-PL"/>
        </w:rPr>
        <w:t xml:space="preserve"> w projektowanych przepisach</w:t>
      </w:r>
      <w:r w:rsidRPr="001F7D09">
        <w:rPr>
          <w:rFonts w:ascii="Times New Roman" w:hAnsi="Times New Roman" w:cs="Times New Roman"/>
          <w:color w:val="auto"/>
          <w:lang w:val="pl-PL"/>
        </w:rPr>
        <w:t xml:space="preserve">, importer po zakończeniu kontroli ex post otrzymuje od organu informację o jej zakończeniu. Informacja ta będzie potwierdzeniem zakończenia kontroli z wynikiem pozytywnym dla przedsiębiorcy. Przyjęta forma zapewni przekazanie w </w:t>
      </w:r>
      <w:r w:rsidRPr="001F7D09">
        <w:rPr>
          <w:rFonts w:ascii="Times New Roman" w:hAnsi="Times New Roman" w:cs="Times New Roman"/>
          <w:color w:val="auto"/>
          <w:lang w:val="pl-PL"/>
        </w:rPr>
        <w:lastRenderedPageBreak/>
        <w:t xml:space="preserve">sposób </w:t>
      </w:r>
      <w:r w:rsidR="00677AAE" w:rsidRPr="001F7D09">
        <w:rPr>
          <w:rFonts w:ascii="Times New Roman" w:hAnsi="Times New Roman" w:cs="Times New Roman"/>
          <w:color w:val="auto"/>
          <w:lang w:val="pl-PL"/>
        </w:rPr>
        <w:t xml:space="preserve">niebudzący wątpliwości </w:t>
      </w:r>
      <w:r w:rsidRPr="001F7D09">
        <w:rPr>
          <w:rFonts w:ascii="Times New Roman" w:hAnsi="Times New Roman" w:cs="Times New Roman"/>
          <w:color w:val="auto"/>
          <w:lang w:val="pl-PL"/>
        </w:rPr>
        <w:t xml:space="preserve">i </w:t>
      </w:r>
      <w:r w:rsidR="00677AAE" w:rsidRPr="001F7D09">
        <w:rPr>
          <w:rFonts w:ascii="Times New Roman" w:hAnsi="Times New Roman" w:cs="Times New Roman"/>
          <w:color w:val="auto"/>
          <w:lang w:val="pl-PL"/>
        </w:rPr>
        <w:t>jednoznaczny</w:t>
      </w:r>
      <w:r w:rsidRPr="001F7D09">
        <w:rPr>
          <w:rFonts w:ascii="Times New Roman" w:hAnsi="Times New Roman" w:cs="Times New Roman"/>
          <w:color w:val="auto"/>
          <w:lang w:val="pl-PL"/>
        </w:rPr>
        <w:t xml:space="preserve"> informacji zwrotnej od organu o</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zakończeniu działań kontrolnych.</w:t>
      </w:r>
    </w:p>
    <w:p w14:paraId="6419C3EC" w14:textId="3A1E5D8A" w:rsidR="00D40F4F"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Ponadto wykonując dyspozycję art. 16 ust. 1 rozporządzenia 2017/821, zgodnie z którym państwa członkowskie określają przepisy stosowane w przypadku naruszenia tego rozporządzenia, w projektowanej zmianie ustawy o K</w:t>
      </w:r>
      <w:r w:rsidR="009E4B4B" w:rsidRPr="001F7D09">
        <w:rPr>
          <w:rFonts w:ascii="Times New Roman" w:hAnsi="Times New Roman" w:cs="Times New Roman"/>
          <w:color w:val="auto"/>
          <w:lang w:val="pl-PL"/>
        </w:rPr>
        <w:t>AS</w:t>
      </w:r>
      <w:r w:rsidRPr="001F7D09">
        <w:rPr>
          <w:rFonts w:ascii="Times New Roman" w:hAnsi="Times New Roman" w:cs="Times New Roman"/>
          <w:color w:val="auto"/>
          <w:lang w:val="pl-PL"/>
        </w:rPr>
        <w:t xml:space="preserve"> wprowadzono sankcję, w postaci kary pieniężnej, za nieprzedstawienie dokumentów potwierdzających spełnienie obowiązków określonych w </w:t>
      </w:r>
      <w:r w:rsidR="009E4B4B" w:rsidRPr="001F7D09">
        <w:rPr>
          <w:rFonts w:ascii="Times New Roman" w:hAnsi="Times New Roman" w:cs="Times New Roman"/>
          <w:color w:val="auto"/>
          <w:lang w:val="pl-PL"/>
        </w:rPr>
        <w:t xml:space="preserve">tym </w:t>
      </w:r>
      <w:r w:rsidRPr="001F7D09">
        <w:rPr>
          <w:rFonts w:ascii="Times New Roman" w:hAnsi="Times New Roman" w:cs="Times New Roman"/>
          <w:color w:val="auto"/>
          <w:lang w:val="pl-PL"/>
        </w:rPr>
        <w:t>rozporządzeniu oraz planu wdrożenia działań naprawczych bądź nieusunięcie stwierdzonych naruszeń, o których mowa w projektowanej ustawie.</w:t>
      </w:r>
    </w:p>
    <w:p w14:paraId="69DDA4E3" w14:textId="34EB5408" w:rsidR="00256E69" w:rsidRPr="001F7D09" w:rsidRDefault="00D40F4F"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Należy zwrócić uwagę, że również w innych państw</w:t>
      </w:r>
      <w:r w:rsidR="006D6006" w:rsidRPr="001F7D09">
        <w:rPr>
          <w:rFonts w:ascii="Times New Roman" w:hAnsi="Times New Roman" w:cs="Times New Roman"/>
          <w:color w:val="auto"/>
          <w:lang w:val="pl-PL"/>
        </w:rPr>
        <w:t>ach</w:t>
      </w:r>
      <w:r w:rsidRPr="001F7D09">
        <w:rPr>
          <w:rFonts w:ascii="Times New Roman" w:hAnsi="Times New Roman" w:cs="Times New Roman"/>
          <w:color w:val="auto"/>
          <w:lang w:val="pl-PL"/>
        </w:rPr>
        <w:t xml:space="preserve"> członkowskich</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w krajowym porządku prawnym wprowadzono kary pieniężne jako sankcję określoną w ww. art. 16 ust. 1. </w:t>
      </w:r>
      <w:r w:rsidRPr="001F7D09">
        <w:rPr>
          <w:rFonts w:ascii="Times New Roman" w:hAnsi="Times New Roman" w:cs="Times New Roman"/>
          <w:color w:val="auto"/>
          <w:lang w:val="pl-PL"/>
        </w:rPr>
        <w:lastRenderedPageBreak/>
        <w:t>Dla przykładu w Niemczech</w:t>
      </w:r>
      <w:r w:rsidRPr="001F7D09">
        <w:rPr>
          <w:rFonts w:ascii="Times New Roman" w:hAnsi="Times New Roman" w:cs="Times New Roman"/>
        </w:rPr>
        <w:t xml:space="preserve"> w </w:t>
      </w:r>
      <w:r w:rsidRPr="001F7D09">
        <w:rPr>
          <w:rFonts w:ascii="Times New Roman" w:hAnsi="Times New Roman" w:cs="Times New Roman"/>
          <w:color w:val="auto"/>
          <w:lang w:val="pl-PL"/>
        </w:rPr>
        <w:t>ustawie o należytej staranności w odniesieniu do surowców mineralnych (Federalny Dziennik Ustaw I str. 864 z 29.04.2020 r.) wprowadzono karę pieniężną w wysokości do 50</w:t>
      </w:r>
      <w:r w:rsidR="00CD01E3" w:rsidRPr="001F7D09">
        <w:rPr>
          <w:rFonts w:ascii="Times New Roman" w:hAnsi="Times New Roman" w:cs="Times New Roman"/>
          <w:color w:val="auto"/>
          <w:lang w:val="pl-PL"/>
        </w:rPr>
        <w:t> </w:t>
      </w:r>
      <w:r w:rsidRPr="001F7D09">
        <w:rPr>
          <w:rFonts w:ascii="Times New Roman" w:hAnsi="Times New Roman" w:cs="Times New Roman"/>
          <w:color w:val="auto"/>
          <w:lang w:val="pl-PL"/>
        </w:rPr>
        <w:t>000 EUR, we Włoszech dekretem ustawo</w:t>
      </w:r>
      <w:r w:rsidR="00F313A0">
        <w:rPr>
          <w:rFonts w:ascii="Times New Roman" w:hAnsi="Times New Roman" w:cs="Times New Roman"/>
          <w:color w:val="auto"/>
          <w:lang w:val="pl-PL"/>
        </w:rPr>
        <w:t>dawczym z dnia 2 </w:t>
      </w:r>
      <w:r w:rsidRPr="001F7D09">
        <w:rPr>
          <w:rFonts w:ascii="Times New Roman" w:hAnsi="Times New Roman" w:cs="Times New Roman"/>
          <w:color w:val="auto"/>
          <w:lang w:val="pl-PL"/>
        </w:rPr>
        <w:t>lutego 2021 r., n. 13 „Przekazanie rządowi uprawnień do dostosowania przepisów krajowych do przepisów rozporządzenia Parlamentu Europejskiego i Rady (UE) 2017/821 z dnia 17 maja 2017 r. ustanawiającego obowiązki w zakresie należytej staranności w łańcuchu dostaw unijnych importerów cyny, tantalu i wolframu, ich rud oraz złota, pochodzących z obszarów dotkniętych konfliktami lub w inny sposób zagrożonych. (2</w:t>
      </w:r>
      <w:r w:rsidR="00F313A0">
        <w:rPr>
          <w:rFonts w:ascii="Times New Roman" w:hAnsi="Times New Roman" w:cs="Times New Roman"/>
          <w:color w:val="auto"/>
          <w:lang w:val="pl-PL"/>
        </w:rPr>
        <w:t>1G00015) (Dz.U. seria ogólna nr </w:t>
      </w:r>
      <w:r w:rsidRPr="001F7D09">
        <w:rPr>
          <w:rFonts w:ascii="Times New Roman" w:hAnsi="Times New Roman" w:cs="Times New Roman"/>
          <w:color w:val="auto"/>
          <w:lang w:val="pl-PL"/>
        </w:rPr>
        <w:t xml:space="preserve">39 z 16-02-2021) wprowadzono również karę w wysokości </w:t>
      </w:r>
      <w:r w:rsidR="00761E33" w:rsidRPr="001F7D09">
        <w:rPr>
          <w:rFonts w:ascii="Times New Roman" w:hAnsi="Times New Roman" w:cs="Times New Roman"/>
          <w:color w:val="auto"/>
          <w:lang w:val="pl-PL"/>
        </w:rPr>
        <w:t>od 2</w:t>
      </w:r>
      <w:r w:rsidR="003849B9" w:rsidRPr="001F7D09">
        <w:rPr>
          <w:rFonts w:ascii="Times New Roman" w:hAnsi="Times New Roman" w:cs="Times New Roman"/>
          <w:color w:val="auto"/>
          <w:lang w:val="pl-PL"/>
        </w:rPr>
        <w:t xml:space="preserve"> </w:t>
      </w:r>
      <w:r w:rsidR="00761E33" w:rsidRPr="001F7D09">
        <w:rPr>
          <w:rFonts w:ascii="Times New Roman" w:hAnsi="Times New Roman" w:cs="Times New Roman"/>
          <w:color w:val="auto"/>
          <w:lang w:val="pl-PL"/>
        </w:rPr>
        <w:t>000 EUR do 20</w:t>
      </w:r>
      <w:r w:rsidR="00CD01E3" w:rsidRPr="001F7D09">
        <w:rPr>
          <w:rFonts w:ascii="Times New Roman" w:hAnsi="Times New Roman" w:cs="Times New Roman"/>
          <w:color w:val="auto"/>
          <w:lang w:val="pl-PL"/>
        </w:rPr>
        <w:t> </w:t>
      </w:r>
      <w:r w:rsidR="00761E33" w:rsidRPr="001F7D09">
        <w:rPr>
          <w:rFonts w:ascii="Times New Roman" w:hAnsi="Times New Roman" w:cs="Times New Roman"/>
          <w:color w:val="auto"/>
          <w:lang w:val="pl-PL"/>
        </w:rPr>
        <w:t>000 EUR.</w:t>
      </w:r>
    </w:p>
    <w:p w14:paraId="770B77C5" w14:textId="5B475829"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Kary pieniężne będą nakładane w drodze decyzji administracyjnej, a organem właściwym do nałożenia kary pieniężnej będzie Szef Krajowej Administracji Skarbowej</w:t>
      </w:r>
      <w:r w:rsidR="001526E1" w:rsidRPr="001F7D09">
        <w:rPr>
          <w:rFonts w:ascii="Times New Roman" w:hAnsi="Times New Roman" w:cs="Times New Roman"/>
          <w:color w:val="auto"/>
          <w:lang w:val="pl-PL"/>
        </w:rPr>
        <w:t>.</w:t>
      </w:r>
    </w:p>
    <w:p w14:paraId="0DFEC292" w14:textId="2416631D" w:rsidR="00647DFB" w:rsidRPr="001F7D09" w:rsidRDefault="00647DFB"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 celu ochrony praw strony może ona w terminie 14 dni od dnia doręczenia decyzji wnieść odwołanie do ministra właściwego do spraw finansów publicznych</w:t>
      </w:r>
      <w:r w:rsidR="001526E1" w:rsidRPr="001F7D09">
        <w:rPr>
          <w:rFonts w:ascii="Times New Roman" w:hAnsi="Times New Roman" w:cs="Times New Roman"/>
          <w:color w:val="auto"/>
          <w:lang w:val="pl-PL"/>
        </w:rPr>
        <w:t>.</w:t>
      </w:r>
    </w:p>
    <w:p w14:paraId="69C325CB" w14:textId="430374DF"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Wysokość kar pieniężnych przewidziana w projektowanej ustaw</w:t>
      </w:r>
      <w:r w:rsidR="009E4B4B" w:rsidRPr="001F7D09">
        <w:rPr>
          <w:rFonts w:ascii="Times New Roman" w:hAnsi="Times New Roman" w:cs="Times New Roman"/>
          <w:color w:val="auto"/>
          <w:lang w:val="pl-PL"/>
        </w:rPr>
        <w:t>ie</w:t>
      </w:r>
      <w:r w:rsidRPr="001F7D09">
        <w:rPr>
          <w:rFonts w:ascii="Times New Roman" w:hAnsi="Times New Roman" w:cs="Times New Roman"/>
          <w:color w:val="auto"/>
          <w:lang w:val="pl-PL"/>
        </w:rPr>
        <w:t xml:space="preserve"> wynosi od 1000 zł do 500</w:t>
      </w:r>
      <w:r w:rsidR="003849B9" w:rsidRPr="001F7D09">
        <w:rPr>
          <w:rFonts w:ascii="Times New Roman" w:hAnsi="Times New Roman" w:cs="Times New Roman"/>
          <w:color w:val="auto"/>
          <w:lang w:val="pl-PL"/>
        </w:rPr>
        <w:t> </w:t>
      </w:r>
      <w:r w:rsidRPr="001F7D09">
        <w:rPr>
          <w:rFonts w:ascii="Times New Roman" w:hAnsi="Times New Roman" w:cs="Times New Roman"/>
          <w:color w:val="auto"/>
          <w:lang w:val="pl-PL"/>
        </w:rPr>
        <w:t>000 zł.</w:t>
      </w:r>
    </w:p>
    <w:p w14:paraId="7E8DD634" w14:textId="10AD5684"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Wskazane „widełki” kwotowe, w ramach których będzie poruszał się organ ustalając wysokość sankcji, umożliwią gradację wysokości kary. Rozpiętość „widełek” od 1</w:t>
      </w:r>
      <w:r w:rsidR="003849B9" w:rsidRPr="001F7D09">
        <w:rPr>
          <w:rFonts w:ascii="Times New Roman" w:hAnsi="Times New Roman" w:cs="Times New Roman"/>
          <w:color w:val="auto"/>
          <w:lang w:val="pl-PL"/>
        </w:rPr>
        <w:t>000 zł do 500 </w:t>
      </w:r>
      <w:r w:rsidRPr="001F7D09">
        <w:rPr>
          <w:rFonts w:ascii="Times New Roman" w:hAnsi="Times New Roman" w:cs="Times New Roman"/>
          <w:color w:val="auto"/>
          <w:lang w:val="pl-PL"/>
        </w:rPr>
        <w:t xml:space="preserve">000 zł uwzględnia ryzyko związane z pewnym prawdopodobieństwem „akceptacji” przez przedsiębiorców (zwłaszcza firmy duże, korporacyjne, nienależące do kategorii MŚP) </w:t>
      </w:r>
      <w:r w:rsidRPr="001F7D09">
        <w:rPr>
          <w:rFonts w:ascii="Times New Roman" w:hAnsi="Times New Roman" w:cs="Times New Roman"/>
          <w:color w:val="auto"/>
          <w:lang w:val="pl-PL"/>
        </w:rPr>
        <w:lastRenderedPageBreak/>
        <w:t>niewypełniania obowiązków określonych w art. 4</w:t>
      </w:r>
      <w:r w:rsidR="003849B9" w:rsidRPr="001F7D09">
        <w:rPr>
          <w:rFonts w:ascii="Times New Roman" w:hAnsi="Times New Roman" w:cs="Times New Roman"/>
          <w:color w:val="auto"/>
          <w:lang w:val="pl-PL"/>
        </w:rPr>
        <w:t>–</w:t>
      </w:r>
      <w:r w:rsidRPr="001F7D09">
        <w:rPr>
          <w:rFonts w:ascii="Times New Roman" w:hAnsi="Times New Roman" w:cs="Times New Roman"/>
          <w:color w:val="auto"/>
          <w:lang w:val="pl-PL"/>
        </w:rPr>
        <w:t>7 rozporządzenia 2017/821 i kalkulowaniem ewentualnych kosztów związanych z zapłatą kary pieniężnej</w:t>
      </w:r>
      <w:r w:rsidR="009E4B4B"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czy też kosztów koniecznych do poniesienia na wdrożenie działań biznesowych w organizacji.</w:t>
      </w:r>
    </w:p>
    <w:p w14:paraId="225F7F0E" w14:textId="64DCBBF9"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Wskazać należy, że kary za naruszenie przepisów ustawy muszą być skuteczne, proporcjonalne i odstraszające. Skuteczność kary przejawia się w możliwości jej nałożenia i wyegzekwowania. Żeby kara była odstraszająca jej wysokość powinna być dotkliwa dla przedsiębiorcy. Kara nałożona na podmiot musi także spełniać funkcję prewencyjną oraz dyscyplinująco-represyjną, tj. być ostrzeżeniem dla przedsiębiorcy, mającym na celu niedopuszczenie do powstania nieprawidło</w:t>
      </w:r>
      <w:r w:rsidRPr="001F7D09">
        <w:rPr>
          <w:rFonts w:ascii="Times New Roman" w:hAnsi="Times New Roman" w:cs="Times New Roman"/>
          <w:color w:val="auto"/>
          <w:lang w:val="pl-PL"/>
        </w:rPr>
        <w:lastRenderedPageBreak/>
        <w:t>wości w przyszłości (por. wyrok WSA w Warszawie</w:t>
      </w:r>
      <w:r w:rsidR="009E4B4B"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z 7 września 2012 r.</w:t>
      </w:r>
      <w:r w:rsidR="00593E3E" w:rsidRPr="001F7D09">
        <w:rPr>
          <w:rFonts w:ascii="Times New Roman" w:hAnsi="Times New Roman" w:cs="Times New Roman"/>
          <w:color w:val="auto"/>
          <w:lang w:val="pl-PL"/>
        </w:rPr>
        <w:t xml:space="preserve"> sygn. akt</w:t>
      </w:r>
      <w:r w:rsidRPr="001F7D09">
        <w:rPr>
          <w:rFonts w:ascii="Times New Roman" w:hAnsi="Times New Roman" w:cs="Times New Roman"/>
          <w:color w:val="auto"/>
          <w:lang w:val="pl-PL"/>
        </w:rPr>
        <w:t xml:space="preserve"> VI SA/Wa 918/12 odnoszący się do podobnych przesłanek istniejących</w:t>
      </w:r>
      <w:r w:rsidR="00593E3E"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w unijnym prawie żywnościowym). Wymierzona kara powinna być proporcjonalna, to jest właściwa do osiągnięcia zakładanego celu, jakim jest zapewnienie wypełnienia obowiązków, o których mowa w art. 4</w:t>
      </w:r>
      <w:r w:rsidR="003849B9" w:rsidRPr="001F7D09">
        <w:rPr>
          <w:rFonts w:ascii="Times New Roman" w:hAnsi="Times New Roman" w:cs="Times New Roman"/>
          <w:color w:val="auto"/>
          <w:lang w:val="pl-PL"/>
        </w:rPr>
        <w:t>–</w:t>
      </w:r>
      <w:r w:rsidRPr="001F7D09">
        <w:rPr>
          <w:rFonts w:ascii="Times New Roman" w:hAnsi="Times New Roman" w:cs="Times New Roman"/>
          <w:color w:val="auto"/>
          <w:lang w:val="pl-PL"/>
        </w:rPr>
        <w:t>7 rozporządzeni</w:t>
      </w:r>
      <w:r w:rsidR="00412759" w:rsidRPr="001F7D09">
        <w:rPr>
          <w:rFonts w:ascii="Times New Roman" w:hAnsi="Times New Roman" w:cs="Times New Roman"/>
          <w:color w:val="auto"/>
          <w:lang w:val="pl-PL"/>
        </w:rPr>
        <w:t>a</w:t>
      </w:r>
      <w:r w:rsidRPr="001F7D09">
        <w:rPr>
          <w:rFonts w:ascii="Times New Roman" w:hAnsi="Times New Roman" w:cs="Times New Roman"/>
          <w:color w:val="auto"/>
          <w:lang w:val="pl-PL"/>
        </w:rPr>
        <w:t xml:space="preserve"> 2017/821. </w:t>
      </w:r>
    </w:p>
    <w:p w14:paraId="449A00CC" w14:textId="77777777"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Ustalając wysokość sankcji w formie administracyjnej kary pieniężnej, należy wziąć pod uwagę takie kryteria jak rodzaj i zakres naruszenia obowiązków, wielkość obrotów i przychodu </w:t>
      </w:r>
      <w:r w:rsidR="00A33434" w:rsidRPr="001F7D09">
        <w:rPr>
          <w:rFonts w:ascii="Times New Roman" w:hAnsi="Times New Roman" w:cs="Times New Roman"/>
          <w:color w:val="auto"/>
          <w:lang w:val="pl-PL"/>
        </w:rPr>
        <w:t>w zakresie importu cyny, tantalu i wolframu, ich rud oraz złota pochodzących z obszarów dotkniętych konfliktami i obszarów wysokiego ryzyka oraz dotychczasową działalność unijnego importera w tym zakresie</w:t>
      </w:r>
      <w:r w:rsidRPr="001F7D09">
        <w:rPr>
          <w:rFonts w:ascii="Times New Roman" w:hAnsi="Times New Roman" w:cs="Times New Roman"/>
          <w:color w:val="auto"/>
          <w:lang w:val="pl-PL"/>
        </w:rPr>
        <w:t xml:space="preserve"> oraz skutki naruszenia. </w:t>
      </w:r>
    </w:p>
    <w:p w14:paraId="631D5B3D" w14:textId="77777777"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 xml:space="preserve">Wyższa kara powinna być nakładana za działania podmiotu, który funkcjonuje na rynku od dłuższego czasu, był już kilkukrotnie kontrolowany i naruszył spełnienie wymaganych obowiązków. Możliwe jest także zastosowanie zaostrzonych reguł wobec podmiotu działającego krócej, ale notorycznie naruszającego przepisy. Decydując o wysokości kary pieniężnej, należy mieć na uwadze fakt stałej, trwałej, ustawicznej powtarzalności naruszeń tego samego rodzaju, mimo realizowanych w tym zakresie uprzednio kontroli i nakładanych kar pieniężnych. </w:t>
      </w:r>
    </w:p>
    <w:p w14:paraId="784217C9" w14:textId="695E9575"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Okolicznościami wpływającymi na ewentualne ustalenie kary pieniężnej w niższej wysokości mogą być z kolei np. dotychczasowa nienaganna działalność przedsiębiorcy, niezwłoczne (jeszcze w toku kontroli) usuwanie naruszeń, niewielki zasięg </w:t>
      </w:r>
      <w:r w:rsidRPr="001F7D09">
        <w:rPr>
          <w:rFonts w:ascii="Times New Roman" w:hAnsi="Times New Roman" w:cs="Times New Roman"/>
          <w:color w:val="auto"/>
          <w:lang w:val="pl-PL"/>
        </w:rPr>
        <w:lastRenderedPageBreak/>
        <w:t xml:space="preserve">działalności podmiotu, współpraca z organem wymierzającym sankcję i przyczynienie się do szybkiego i sprawnego przeprowadzenia postępowania, w szczególności dostarczenie organowi wszelkich niezbędnych danych i dokumentów niezbędnych do prowadzenia postępowania. </w:t>
      </w:r>
    </w:p>
    <w:p w14:paraId="1A97780D" w14:textId="77777777"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W toku postępowania w sprawie nałożenia kary powinny być wzięte pod uwagę dane na temat wielkości obrotów oraz przychodu przedsiębiorcy, aktualne na dzień wszczynania postępowania w przedmiocie nałożenia kary pieniężnej. Zważywszy na brak spójnych definicji tych pojęć w prawie, kategorie niniejsze należy oceniać, co do zasady, w świetle przepisów podatkowych, odpowiednich wobec określonych kategorii płatników – stron decyzji wymierzającej karę pieniężną. Wielkość obrotów i przychodu przedsiębiorcy w szczególności </w:t>
      </w:r>
      <w:r w:rsidRPr="001F7D09">
        <w:rPr>
          <w:rFonts w:ascii="Times New Roman" w:hAnsi="Times New Roman" w:cs="Times New Roman"/>
          <w:color w:val="auto"/>
          <w:lang w:val="pl-PL"/>
        </w:rPr>
        <w:lastRenderedPageBreak/>
        <w:t>może być obliczona na podstawie aktualnych (np. obejmujących zakończony rok podatkowy) dokumentów księgowych, podatkowych (np. deklaracji VAT, PIT, CIT) przedkładanych właściwym organom skarbowym.</w:t>
      </w:r>
    </w:p>
    <w:p w14:paraId="5B92598A" w14:textId="678648E2"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Przy ocenie powyższego czynnika pod uwagę bierze się w szczególności okoliczności związane z charakterystyką przedsiębiorcy oraz rynku, na którym działa, w tym założenie, że wysokie obroty lub przychody świadczą o znacznym potencjale ekonomicznym przedsiębiorcy dopuszczającego się naruszenia, co z kolei może wpływać na podwyższenie sankcji. </w:t>
      </w:r>
    </w:p>
    <w:p w14:paraId="1881E49E" w14:textId="77777777"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Okolicznościami wpływającymi na obniżenie wysokości sankcji mogą być w szc</w:t>
      </w:r>
      <w:r w:rsidR="00CB314F" w:rsidRPr="001F7D09">
        <w:rPr>
          <w:rFonts w:ascii="Times New Roman" w:hAnsi="Times New Roman" w:cs="Times New Roman"/>
          <w:color w:val="auto"/>
          <w:lang w:val="pl-PL"/>
        </w:rPr>
        <w:t>zególności:</w:t>
      </w:r>
      <w:r w:rsidR="00412759" w:rsidRPr="001F7D09">
        <w:rPr>
          <w:rFonts w:ascii="Times New Roman" w:hAnsi="Times New Roman" w:cs="Times New Roman"/>
          <w:color w:val="auto"/>
          <w:lang w:val="pl-PL"/>
        </w:rPr>
        <w:t xml:space="preserve"> </w:t>
      </w:r>
      <w:r w:rsidR="00CB314F" w:rsidRPr="001F7D09">
        <w:rPr>
          <w:rFonts w:ascii="Times New Roman" w:hAnsi="Times New Roman" w:cs="Times New Roman"/>
          <w:color w:val="auto"/>
          <w:lang w:val="pl-PL"/>
        </w:rPr>
        <w:t>fakt bycia mikroprze</w:t>
      </w:r>
      <w:r w:rsidRPr="001F7D09">
        <w:rPr>
          <w:rFonts w:ascii="Times New Roman" w:hAnsi="Times New Roman" w:cs="Times New Roman"/>
          <w:color w:val="auto"/>
          <w:lang w:val="pl-PL"/>
        </w:rPr>
        <w:t>dsiębiorcą, niewielkie obroty lub przychód. Warunkiem do zasto</w:t>
      </w:r>
      <w:r w:rsidRPr="001F7D09">
        <w:rPr>
          <w:rFonts w:ascii="Times New Roman" w:hAnsi="Times New Roman" w:cs="Times New Roman"/>
          <w:color w:val="auto"/>
          <w:lang w:val="pl-PL"/>
        </w:rPr>
        <w:lastRenderedPageBreak/>
        <w:t>sowania tego rodzaju rozwiązania jest wystąpienie okoliczności, które w ocenie organu zapewnią, ż</w:t>
      </w:r>
      <w:r w:rsidR="002C6952" w:rsidRPr="001F7D09">
        <w:rPr>
          <w:rFonts w:ascii="Times New Roman" w:hAnsi="Times New Roman" w:cs="Times New Roman"/>
          <w:color w:val="auto"/>
          <w:lang w:val="pl-PL"/>
        </w:rPr>
        <w:t>e</w:t>
      </w:r>
      <w:r w:rsidRPr="001F7D09">
        <w:rPr>
          <w:rFonts w:ascii="Times New Roman" w:hAnsi="Times New Roman" w:cs="Times New Roman"/>
          <w:color w:val="auto"/>
          <w:lang w:val="pl-PL"/>
        </w:rPr>
        <w:t xml:space="preserve"> kara w niższej wysokości będzie skuteczna, proporcjonalna i odstraszająca.</w:t>
      </w:r>
    </w:p>
    <w:p w14:paraId="4A2C40F0" w14:textId="03243E3D" w:rsidR="00647DFB"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Projektowana ustawa wprowadza także, opierając się na orzecznictwie Trybunału Konstytucyjnego (wyrok TK z 4 lipca 2002 r.</w:t>
      </w:r>
      <w:r w:rsidR="002C6952" w:rsidRPr="001F7D09">
        <w:rPr>
          <w:rFonts w:ascii="Times New Roman" w:hAnsi="Times New Roman" w:cs="Times New Roman"/>
          <w:color w:val="auto"/>
          <w:lang w:val="pl-PL"/>
        </w:rPr>
        <w:t xml:space="preserve"> sygn. akt</w:t>
      </w:r>
      <w:r w:rsidRPr="001F7D09">
        <w:rPr>
          <w:rFonts w:ascii="Times New Roman" w:hAnsi="Times New Roman" w:cs="Times New Roman"/>
          <w:color w:val="auto"/>
          <w:lang w:val="pl-PL"/>
        </w:rPr>
        <w:t xml:space="preserve"> P 12/01), przepis przewidujący odstąpienie od wymierzenia administracyjnej kary pieniężnej i umorzenie postępowania, w przypadku gdy wykazane zostanie, że do naruszenia doszło wskutek zdarzeń lub okoliczności, którym podmiot popełniający naruszenie nie mógł zapobiec. </w:t>
      </w:r>
    </w:p>
    <w:p w14:paraId="62FC0925" w14:textId="733E24B2"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Wprowadzono trzyletni okres przedawnienia kary pieniężnej od dnia zdarzenia</w:t>
      </w:r>
      <w:r w:rsidR="002C6952"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jakim jest dzień sporządzenia protokołu z kontroli ex post. Trzyletni okres jest wystarczający dla organu </w:t>
      </w:r>
      <w:r w:rsidRPr="001F7D09">
        <w:rPr>
          <w:rFonts w:ascii="Times New Roman" w:hAnsi="Times New Roman" w:cs="Times New Roman"/>
          <w:color w:val="auto"/>
          <w:lang w:val="pl-PL"/>
        </w:rPr>
        <w:lastRenderedPageBreak/>
        <w:t>i daje możliwość wydania decyzji administracyjnej, przez co pozwoli na władcze ukształtowanie przez organ sytuacji administracyjnoprawnej danej jednostki.</w:t>
      </w:r>
    </w:p>
    <w:p w14:paraId="79F7B49E" w14:textId="4AEC617D" w:rsidR="00256E69"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Określono termin 7 dni na uiszczenie kary pieniężnej, liczony od dnia, w którym decyzja o jej wymierzeniu uzyska walor ostateczności. Termin ten z jednej strony zapewni</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importerowi czas na zapłatę kary, z drugiej </w:t>
      </w:r>
      <w:r w:rsidR="002C6952" w:rsidRPr="001F7D09">
        <w:rPr>
          <w:rFonts w:ascii="Times New Roman" w:hAnsi="Times New Roman" w:cs="Times New Roman"/>
          <w:color w:val="auto"/>
          <w:lang w:val="pl-PL"/>
        </w:rPr>
        <w:t xml:space="preserve">pozwoli na </w:t>
      </w:r>
      <w:r w:rsidRPr="001F7D09">
        <w:rPr>
          <w:rFonts w:ascii="Times New Roman" w:hAnsi="Times New Roman" w:cs="Times New Roman"/>
          <w:color w:val="auto"/>
          <w:lang w:val="pl-PL"/>
        </w:rPr>
        <w:t>uniknięcie zbędnego przedłużenia czynności w sprawie. Co więcej, w przypadku importerów, którzy mają swobodny stosunek do norm prawnych, jest mniejsze prawdopodobieństwo, że nie będą lekceważyć obowiązków</w:t>
      </w:r>
      <w:r w:rsidR="002C6952"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pod które podlegają.</w:t>
      </w:r>
    </w:p>
    <w:p w14:paraId="57AD7C51" w14:textId="0A2E3EED" w:rsidR="00C53FDD" w:rsidRPr="001F7D09" w:rsidRDefault="00256E69"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Do kar pieniężnych w zakresie nieuregulowanym w ustawie stosuje się odpowiednio przepisy działu IVA ustawy z dnia 14 czerwca 1960 r. – Kodeks post</w:t>
      </w:r>
      <w:r w:rsidR="00F313A0">
        <w:rPr>
          <w:rFonts w:ascii="Times New Roman" w:hAnsi="Times New Roman" w:cs="Times New Roman"/>
          <w:color w:val="auto"/>
          <w:lang w:val="pl-PL"/>
        </w:rPr>
        <w:t xml:space="preserve">ępowania administracyjnego </w:t>
      </w:r>
      <w:r w:rsidR="00F313A0">
        <w:rPr>
          <w:rFonts w:ascii="Times New Roman" w:hAnsi="Times New Roman" w:cs="Times New Roman"/>
          <w:color w:val="auto"/>
          <w:lang w:val="pl-PL"/>
        </w:rPr>
        <w:lastRenderedPageBreak/>
        <w:t>(Dz. </w:t>
      </w:r>
      <w:r w:rsidRPr="001F7D09">
        <w:rPr>
          <w:rFonts w:ascii="Times New Roman" w:hAnsi="Times New Roman" w:cs="Times New Roman"/>
          <w:color w:val="auto"/>
          <w:lang w:val="pl-PL"/>
        </w:rPr>
        <w:t>U. z 202</w:t>
      </w:r>
      <w:r w:rsidR="00553961" w:rsidRPr="001F7D09">
        <w:rPr>
          <w:rFonts w:ascii="Times New Roman" w:hAnsi="Times New Roman" w:cs="Times New Roman"/>
          <w:color w:val="auto"/>
          <w:lang w:val="pl-PL"/>
        </w:rPr>
        <w:t>3</w:t>
      </w:r>
      <w:r w:rsidRPr="001F7D09">
        <w:rPr>
          <w:rFonts w:ascii="Times New Roman" w:hAnsi="Times New Roman" w:cs="Times New Roman"/>
          <w:color w:val="auto"/>
          <w:lang w:val="pl-PL"/>
        </w:rPr>
        <w:t xml:space="preserve"> r. poz.</w:t>
      </w:r>
      <w:r w:rsidR="00647DFB" w:rsidRPr="001F7D09">
        <w:rPr>
          <w:rFonts w:ascii="Times New Roman" w:hAnsi="Times New Roman" w:cs="Times New Roman"/>
          <w:color w:val="auto"/>
          <w:lang w:val="pl-PL"/>
        </w:rPr>
        <w:t xml:space="preserve"> </w:t>
      </w:r>
      <w:r w:rsidR="00553961" w:rsidRPr="001F7D09">
        <w:rPr>
          <w:rFonts w:ascii="Times New Roman" w:hAnsi="Times New Roman" w:cs="Times New Roman"/>
          <w:color w:val="auto"/>
          <w:lang w:val="pl-PL"/>
        </w:rPr>
        <w:t>775</w:t>
      </w:r>
      <w:r w:rsidRPr="001F7D09">
        <w:rPr>
          <w:rFonts w:ascii="Times New Roman" w:hAnsi="Times New Roman" w:cs="Times New Roman"/>
          <w:color w:val="auto"/>
          <w:lang w:val="pl-PL"/>
        </w:rPr>
        <w:t xml:space="preserve">, </w:t>
      </w:r>
      <w:r w:rsidR="00412759" w:rsidRPr="001F7D09">
        <w:rPr>
          <w:rFonts w:ascii="Times New Roman" w:hAnsi="Times New Roman" w:cs="Times New Roman"/>
          <w:color w:val="auto"/>
          <w:lang w:val="pl-PL"/>
        </w:rPr>
        <w:t>z późn. zm.</w:t>
      </w:r>
      <w:r w:rsidRPr="001F7D09">
        <w:rPr>
          <w:rFonts w:ascii="Times New Roman" w:hAnsi="Times New Roman" w:cs="Times New Roman"/>
          <w:color w:val="auto"/>
          <w:lang w:val="pl-PL"/>
        </w:rPr>
        <w:t>),</w:t>
      </w:r>
      <w:r w:rsidR="0075505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natomiast do egzekucji kar pieniężnych stosuje się przepisy ustawy z dnia 17 czerwca 1966 r. o postępowaniu eg</w:t>
      </w:r>
      <w:r w:rsidR="00F313A0">
        <w:rPr>
          <w:rFonts w:ascii="Times New Roman" w:hAnsi="Times New Roman" w:cs="Times New Roman"/>
          <w:color w:val="auto"/>
          <w:lang w:val="pl-PL"/>
        </w:rPr>
        <w:t>zekucyjnym w administracji (Dz. </w:t>
      </w:r>
      <w:r w:rsidRPr="001F7D09">
        <w:rPr>
          <w:rFonts w:ascii="Times New Roman" w:hAnsi="Times New Roman" w:cs="Times New Roman"/>
          <w:color w:val="auto"/>
          <w:lang w:val="pl-PL"/>
        </w:rPr>
        <w:t>U. z 202</w:t>
      </w:r>
      <w:r w:rsidR="00553961" w:rsidRPr="001F7D09">
        <w:rPr>
          <w:rFonts w:ascii="Times New Roman" w:hAnsi="Times New Roman" w:cs="Times New Roman"/>
          <w:color w:val="auto"/>
          <w:lang w:val="pl-PL"/>
        </w:rPr>
        <w:t>3</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r. poz. </w:t>
      </w:r>
      <w:r w:rsidR="00553961" w:rsidRPr="001F7D09">
        <w:rPr>
          <w:rFonts w:ascii="Times New Roman" w:hAnsi="Times New Roman" w:cs="Times New Roman"/>
          <w:color w:val="auto"/>
          <w:lang w:val="pl-PL"/>
        </w:rPr>
        <w:t>2505</w:t>
      </w:r>
      <w:r w:rsidR="00755059" w:rsidRPr="001F7D09">
        <w:rPr>
          <w:rFonts w:ascii="Times New Roman" w:hAnsi="Times New Roman" w:cs="Times New Roman"/>
          <w:color w:val="auto"/>
          <w:lang w:val="pl-PL"/>
        </w:rPr>
        <w:t>, z późn. zm.</w:t>
      </w:r>
      <w:r w:rsidRPr="001F7D09">
        <w:rPr>
          <w:rFonts w:ascii="Times New Roman" w:hAnsi="Times New Roman" w:cs="Times New Roman"/>
          <w:color w:val="auto"/>
          <w:lang w:val="pl-PL"/>
        </w:rPr>
        <w:t>).</w:t>
      </w:r>
    </w:p>
    <w:p w14:paraId="35870AFD" w14:textId="72294411" w:rsidR="003D0FC3" w:rsidRPr="001F7D09" w:rsidRDefault="003D0FC3"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Ponadto wyjaśnienia wymaga kwestia obecnego sposobu stosowania rozporządzenia 2017/821, które weszło w życie</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od </w:t>
      </w:r>
      <w:r w:rsidR="000A6FFD" w:rsidRPr="001F7D09">
        <w:rPr>
          <w:rFonts w:ascii="Times New Roman" w:hAnsi="Times New Roman" w:cs="Times New Roman"/>
          <w:color w:val="auto"/>
          <w:lang w:val="pl-PL"/>
        </w:rPr>
        <w:t xml:space="preserve">dnia </w:t>
      </w:r>
      <w:r w:rsidRPr="001F7D09">
        <w:rPr>
          <w:rFonts w:ascii="Times New Roman" w:hAnsi="Times New Roman" w:cs="Times New Roman"/>
          <w:color w:val="auto"/>
          <w:lang w:val="pl-PL"/>
        </w:rPr>
        <w:t>1 stycznia 2021 r. Z wytycznych Komisji Europejskiej</w:t>
      </w:r>
      <w:r w:rsidR="003849B9" w:rsidRPr="001F7D09">
        <w:rPr>
          <w:rFonts w:ascii="Times New Roman" w:hAnsi="Times New Roman" w:cs="Times New Roman"/>
          <w:color w:val="auto"/>
          <w:lang w:val="pl-PL"/>
        </w:rPr>
        <w:t xml:space="preserve"> </w:t>
      </w:r>
      <w:r w:rsidR="00F313A0">
        <w:rPr>
          <w:rFonts w:ascii="Times New Roman" w:hAnsi="Times New Roman" w:cs="Times New Roman"/>
          <w:color w:val="auto"/>
          <w:lang w:val="pl-PL"/>
        </w:rPr>
        <w:t>DG </w:t>
      </w:r>
      <w:r w:rsidRPr="001F7D09">
        <w:rPr>
          <w:rFonts w:ascii="Times New Roman" w:hAnsi="Times New Roman" w:cs="Times New Roman"/>
          <w:color w:val="auto"/>
          <w:lang w:val="pl-PL"/>
        </w:rPr>
        <w:t>TRADE przesłanych właściwym organom państw członkowskich odnośnie praktycznych aspektów wdrożenia rozporządzenia UE 821/2017 wynika, że</w:t>
      </w:r>
      <w:r w:rsidR="00427DE0"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właściwe organy państw członkowskich powinny rozpocząć przeprowadzanie kontroli ex post importerów unijnych co roku uwzględniać wielkość przywozu importerów unijnych. Pierwszym rokiem kalendarzowym do rozważenia powinien być rok 2021. Kontrole </w:t>
      </w:r>
      <w:r w:rsidRPr="001F7D09">
        <w:rPr>
          <w:rFonts w:ascii="Times New Roman" w:hAnsi="Times New Roman" w:cs="Times New Roman"/>
          <w:color w:val="auto"/>
          <w:lang w:val="pl-PL"/>
        </w:rPr>
        <w:lastRenderedPageBreak/>
        <w:t>zgodności ex post importerów</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w odniesieniu do wielkości przywozu w 2021 r</w:t>
      </w:r>
      <w:r w:rsidR="00120CB5" w:rsidRPr="001F7D09">
        <w:rPr>
          <w:rFonts w:ascii="Times New Roman" w:hAnsi="Times New Roman" w:cs="Times New Roman"/>
          <w:color w:val="auto"/>
          <w:lang w:val="pl-PL"/>
        </w:rPr>
        <w:t>.</w:t>
      </w:r>
      <w:r w:rsidR="007F4AED" w:rsidRPr="001F7D09">
        <w:rPr>
          <w:rFonts w:ascii="Times New Roman" w:hAnsi="Times New Roman" w:cs="Times New Roman"/>
          <w:color w:val="auto"/>
          <w:lang w:val="pl-PL"/>
        </w:rPr>
        <w:t xml:space="preserve"> powinny</w:t>
      </w:r>
      <w:r w:rsidRPr="001F7D09">
        <w:rPr>
          <w:rFonts w:ascii="Times New Roman" w:hAnsi="Times New Roman" w:cs="Times New Roman"/>
          <w:color w:val="auto"/>
          <w:lang w:val="pl-PL"/>
        </w:rPr>
        <w:t xml:space="preserve"> zatem </w:t>
      </w:r>
      <w:r w:rsidR="00647DFB" w:rsidRPr="001F7D09">
        <w:rPr>
          <w:rFonts w:ascii="Times New Roman" w:hAnsi="Times New Roman" w:cs="Times New Roman"/>
          <w:color w:val="auto"/>
          <w:lang w:val="pl-PL"/>
        </w:rPr>
        <w:t xml:space="preserve">zostać </w:t>
      </w:r>
      <w:r w:rsidRPr="001F7D09">
        <w:rPr>
          <w:rFonts w:ascii="Times New Roman" w:hAnsi="Times New Roman" w:cs="Times New Roman"/>
          <w:color w:val="auto"/>
          <w:lang w:val="pl-PL"/>
        </w:rPr>
        <w:t>przeprowadz</w:t>
      </w:r>
      <w:r w:rsidR="007F4AED" w:rsidRPr="001F7D09">
        <w:rPr>
          <w:rFonts w:ascii="Times New Roman" w:hAnsi="Times New Roman" w:cs="Times New Roman"/>
          <w:color w:val="auto"/>
          <w:lang w:val="pl-PL"/>
        </w:rPr>
        <w:t xml:space="preserve">one </w:t>
      </w:r>
      <w:r w:rsidRPr="001F7D09">
        <w:rPr>
          <w:rFonts w:ascii="Times New Roman" w:hAnsi="Times New Roman" w:cs="Times New Roman"/>
          <w:color w:val="auto"/>
          <w:lang w:val="pl-PL"/>
        </w:rPr>
        <w:t>w kolejnym roku, a mianow</w:t>
      </w:r>
      <w:r w:rsidR="007F4AED" w:rsidRPr="001F7D09">
        <w:rPr>
          <w:rFonts w:ascii="Times New Roman" w:hAnsi="Times New Roman" w:cs="Times New Roman"/>
          <w:color w:val="auto"/>
          <w:lang w:val="pl-PL"/>
        </w:rPr>
        <w:t>icie w 2022. W roku 202</w:t>
      </w:r>
      <w:r w:rsidR="008A78AD" w:rsidRPr="001F7D09">
        <w:rPr>
          <w:rFonts w:ascii="Times New Roman" w:hAnsi="Times New Roman" w:cs="Times New Roman"/>
          <w:color w:val="auto"/>
          <w:lang w:val="pl-PL"/>
        </w:rPr>
        <w:t>4</w:t>
      </w:r>
      <w:r w:rsidR="007F4AED" w:rsidRPr="001F7D09">
        <w:rPr>
          <w:rFonts w:ascii="Times New Roman" w:hAnsi="Times New Roman" w:cs="Times New Roman"/>
          <w:color w:val="auto"/>
          <w:lang w:val="pl-PL"/>
        </w:rPr>
        <w:t xml:space="preserve"> kontrole będą prowadzone wobec importerów, którzy spełniają określone progi ilościowe (dot. wolumenu przywozu „konfliktowych minerałów</w:t>
      </w:r>
      <w:r w:rsidR="00154A2D" w:rsidRPr="001F7D09">
        <w:rPr>
          <w:rFonts w:ascii="Times New Roman" w:hAnsi="Times New Roman" w:cs="Times New Roman"/>
          <w:color w:val="auto"/>
          <w:lang w:val="pl-PL"/>
        </w:rPr>
        <w:t>”</w:t>
      </w:r>
      <w:r w:rsidR="007F4AED" w:rsidRPr="001F7D09">
        <w:rPr>
          <w:rFonts w:ascii="Times New Roman" w:hAnsi="Times New Roman" w:cs="Times New Roman"/>
          <w:color w:val="auto"/>
          <w:lang w:val="pl-PL"/>
        </w:rPr>
        <w:t xml:space="preserve"> określonego w zał. 1 do ww. rozporządzenia) – dane za 202</w:t>
      </w:r>
      <w:r w:rsidR="008A78AD" w:rsidRPr="001F7D09">
        <w:rPr>
          <w:rFonts w:ascii="Times New Roman" w:hAnsi="Times New Roman" w:cs="Times New Roman"/>
          <w:color w:val="auto"/>
          <w:lang w:val="pl-PL"/>
        </w:rPr>
        <w:t>3</w:t>
      </w:r>
      <w:r w:rsidR="007F4AED" w:rsidRPr="001F7D09">
        <w:rPr>
          <w:rFonts w:ascii="Times New Roman" w:hAnsi="Times New Roman" w:cs="Times New Roman"/>
          <w:color w:val="auto"/>
          <w:lang w:val="pl-PL"/>
        </w:rPr>
        <w:t xml:space="preserve"> r.</w:t>
      </w:r>
      <w:r w:rsidR="0014413B" w:rsidRPr="001F7D09">
        <w:rPr>
          <w:rFonts w:ascii="Times New Roman" w:hAnsi="Times New Roman" w:cs="Times New Roman"/>
          <w:color w:val="auto"/>
          <w:lang w:val="pl-PL"/>
        </w:rPr>
        <w:t xml:space="preserve"> W zakresie współpracy i wymiany informacji, a także sprawozdawczości i</w:t>
      </w:r>
      <w:r w:rsidR="003849B9" w:rsidRPr="001F7D09">
        <w:rPr>
          <w:rFonts w:ascii="Times New Roman" w:hAnsi="Times New Roman" w:cs="Times New Roman"/>
          <w:color w:val="auto"/>
          <w:lang w:val="pl-PL"/>
        </w:rPr>
        <w:t xml:space="preserve"> </w:t>
      </w:r>
      <w:r w:rsidR="0014413B" w:rsidRPr="001F7D09">
        <w:rPr>
          <w:rFonts w:ascii="Times New Roman" w:hAnsi="Times New Roman" w:cs="Times New Roman"/>
          <w:color w:val="auto"/>
          <w:lang w:val="pl-PL"/>
        </w:rPr>
        <w:t>przeglądów, należy zauważyć, że zadanie to wykonywane jest od 2018 r</w:t>
      </w:r>
      <w:r w:rsidR="00120CB5" w:rsidRPr="001F7D09">
        <w:rPr>
          <w:rFonts w:ascii="Times New Roman" w:hAnsi="Times New Roman" w:cs="Times New Roman"/>
          <w:color w:val="auto"/>
          <w:lang w:val="pl-PL"/>
        </w:rPr>
        <w:t>.</w:t>
      </w:r>
      <w:r w:rsidR="0014413B" w:rsidRPr="001F7D09">
        <w:rPr>
          <w:rFonts w:ascii="Times New Roman" w:hAnsi="Times New Roman" w:cs="Times New Roman"/>
          <w:color w:val="auto"/>
          <w:lang w:val="pl-PL"/>
        </w:rPr>
        <w:t>, w ramach współpracy KE DG TRADE z Grupą Ekspertów odpowiedzialnych w poszczególnych krajach członkowskich za temat „konfliktowych minerałów</w:t>
      </w:r>
      <w:r w:rsidR="00647DFB" w:rsidRPr="001F7D09">
        <w:rPr>
          <w:rFonts w:ascii="Times New Roman" w:hAnsi="Times New Roman" w:cs="Times New Roman"/>
          <w:color w:val="auto"/>
          <w:lang w:val="pl-PL"/>
        </w:rPr>
        <w:t>”</w:t>
      </w:r>
      <w:r w:rsidR="0014413B" w:rsidRPr="001F7D09">
        <w:rPr>
          <w:rFonts w:ascii="Times New Roman" w:hAnsi="Times New Roman" w:cs="Times New Roman"/>
          <w:color w:val="auto"/>
          <w:lang w:val="pl-PL"/>
        </w:rPr>
        <w:t>.</w:t>
      </w:r>
    </w:p>
    <w:p w14:paraId="672032FE" w14:textId="6EDC24F3" w:rsidR="00AE20DC" w:rsidRPr="001F7D09" w:rsidRDefault="00AE20DC"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Ponadto, mając na uwadze implementację do krajowego porządku prawnego przepisów rozporządzeni</w:t>
      </w:r>
      <w:r w:rsidR="004505D0" w:rsidRPr="001F7D09">
        <w:rPr>
          <w:rFonts w:ascii="Times New Roman" w:hAnsi="Times New Roman" w:cs="Times New Roman"/>
          <w:color w:val="auto"/>
          <w:lang w:val="pl-PL"/>
        </w:rPr>
        <w:t>a</w:t>
      </w:r>
      <w:r w:rsidRPr="001F7D09">
        <w:rPr>
          <w:rFonts w:ascii="Times New Roman" w:hAnsi="Times New Roman" w:cs="Times New Roman"/>
          <w:color w:val="auto"/>
          <w:lang w:val="pl-PL"/>
        </w:rPr>
        <w:t xml:space="preserve"> 2018/1672,</w:t>
      </w:r>
      <w:r w:rsidR="003849B9" w:rsidRPr="001F7D09">
        <w:rPr>
          <w:rFonts w:ascii="Times New Roman" w:hAnsi="Times New Roman" w:cs="Times New Roman"/>
          <w:color w:val="auto"/>
          <w:lang w:val="pl-PL"/>
        </w:rPr>
        <w:t xml:space="preserve"> </w:t>
      </w:r>
      <w:r w:rsidR="001664D1" w:rsidRPr="001F7D09">
        <w:rPr>
          <w:rFonts w:ascii="Times New Roman" w:hAnsi="Times New Roman" w:cs="Times New Roman"/>
          <w:color w:val="auto"/>
          <w:lang w:val="pl-PL"/>
        </w:rPr>
        <w:t>dokonano zmian w art. 2 ust. 1</w:t>
      </w:r>
      <w:r w:rsidR="003849B9" w:rsidRPr="001F7D09">
        <w:rPr>
          <w:rFonts w:ascii="Times New Roman" w:hAnsi="Times New Roman" w:cs="Times New Roman"/>
          <w:color w:val="auto"/>
          <w:lang w:val="pl-PL"/>
        </w:rPr>
        <w:t xml:space="preserve"> </w:t>
      </w:r>
      <w:r w:rsidR="001664D1" w:rsidRPr="001F7D09">
        <w:rPr>
          <w:rFonts w:ascii="Times New Roman" w:hAnsi="Times New Roman" w:cs="Times New Roman"/>
          <w:color w:val="auto"/>
          <w:lang w:val="pl-PL"/>
        </w:rPr>
        <w:t>ustawy o</w:t>
      </w:r>
      <w:r w:rsidR="003849B9" w:rsidRPr="001F7D09">
        <w:rPr>
          <w:rFonts w:ascii="Times New Roman" w:hAnsi="Times New Roman" w:cs="Times New Roman"/>
          <w:color w:val="auto"/>
          <w:lang w:val="pl-PL"/>
        </w:rPr>
        <w:t xml:space="preserve"> </w:t>
      </w:r>
      <w:r w:rsidR="001664D1" w:rsidRPr="001F7D09">
        <w:rPr>
          <w:rFonts w:ascii="Times New Roman" w:hAnsi="Times New Roman" w:cs="Times New Roman"/>
          <w:color w:val="auto"/>
          <w:lang w:val="pl-PL"/>
        </w:rPr>
        <w:t>Krajowej Administracji Skarbowej.</w:t>
      </w:r>
    </w:p>
    <w:p w14:paraId="00AB5647" w14:textId="115E536B" w:rsidR="00ED65BC" w:rsidRPr="001F7D09" w:rsidRDefault="00ED65BC"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Rozporządzenie 2018/1672 (art. 1) przewiduje system kontroli środków pieniężnych wwożonych do Unii lub wywożonych z Unii, w celu uzupełnienia ram prawnych dla</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 xml:space="preserve">zapobiegania praniu pieniędzy i finansowaniu terroryzmu określonych w dyrektywie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w:t>
      </w:r>
      <w:r w:rsidRPr="001F7D09">
        <w:rPr>
          <w:rFonts w:ascii="Times New Roman" w:hAnsi="Times New Roman" w:cs="Times New Roman"/>
          <w:color w:val="auto"/>
        </w:rPr>
        <w:lastRenderedPageBreak/>
        <w:t>oraz dyrektywę Komisji 2006/70/WE (Dz. Urz. UE L 141 z 05.06.2015, s. 73).</w:t>
      </w:r>
    </w:p>
    <w:p w14:paraId="4819A2E8" w14:textId="67DD534E" w:rsidR="00ED65BC" w:rsidRPr="001F7D09" w:rsidRDefault="00ED65BC"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Zgodnie z art. 3 ust. 1</w:t>
      </w:r>
      <w:r w:rsidRPr="001F7D09">
        <w:rPr>
          <w:rFonts w:ascii="Times New Roman" w:hAnsi="Times New Roman" w:cs="Times New Roman"/>
        </w:rPr>
        <w:t xml:space="preserve"> r</w:t>
      </w:r>
      <w:r w:rsidRPr="001F7D09">
        <w:rPr>
          <w:rFonts w:ascii="Times New Roman" w:hAnsi="Times New Roman" w:cs="Times New Roman"/>
          <w:color w:val="auto"/>
        </w:rPr>
        <w:t>ozporządzenia 2018/1672 osoba przewożąca środki pieniężne w</w:t>
      </w:r>
      <w:r w:rsidR="003849B9" w:rsidRPr="001F7D09">
        <w:rPr>
          <w:rFonts w:ascii="Times New Roman" w:hAnsi="Times New Roman" w:cs="Times New Roman"/>
          <w:color w:val="auto"/>
        </w:rPr>
        <w:t xml:space="preserve"> </w:t>
      </w:r>
      <w:r w:rsidR="00CD01E3" w:rsidRPr="001F7D09">
        <w:rPr>
          <w:rFonts w:ascii="Times New Roman" w:hAnsi="Times New Roman" w:cs="Times New Roman"/>
          <w:color w:val="auto"/>
        </w:rPr>
        <w:t>wysokości co najmniej 10 </w:t>
      </w:r>
      <w:r w:rsidRPr="001F7D09">
        <w:rPr>
          <w:rFonts w:ascii="Times New Roman" w:hAnsi="Times New Roman" w:cs="Times New Roman"/>
          <w:color w:val="auto"/>
        </w:rPr>
        <w:t>000 euro musi złożyć deklarację tych środków pieniężnych właściwym organom państwa członkowskiego, przez które wjeżdża do Unii lub wyjeżdża 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Unii, oraz udostępnić je tym organom do kontroli. Obowiązek złożenia deklaracji środków pieniężnych nie jest uznawany za spełniony, jeżeli przekazane informacje są nieprawdziwe lub</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niekompletne lub jeżeli środki pieniężne nie zostały udostępnione do kontroli.</w:t>
      </w:r>
    </w:p>
    <w:p w14:paraId="168E4295" w14:textId="52794279"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Zgodnie bowiem z art. 2 ust. 1 pkt 12 ustawy o KAS do zadań Krajowej Administracji Skarbowej należy badanie przestrze</w:t>
      </w:r>
      <w:r w:rsidRPr="001F7D09">
        <w:rPr>
          <w:rFonts w:ascii="Times New Roman" w:hAnsi="Times New Roman" w:cs="Times New Roman"/>
          <w:color w:val="auto"/>
          <w:lang w:val="pl-PL"/>
        </w:rPr>
        <w:lastRenderedPageBreak/>
        <w:t>gania przez rezydentów i nierezydentów ograniczeń i</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obowiązków określonych w przepisach prawa dewizowego oraz warunków udzielonych na ich podstawie zezwoleń dewizowych, a także warunków wykonywania działalności kantorowej. Stosownie do art. 54 ust. 1 pkt 4 ustawy o KAS kontroli celno-skarbowej podlega przestrzeganie przepisów prawa dewizowego w zakresie ograniczeń i obowiązków określonych dla rezydentów i nierezydentów oraz warunków udzielonych na ich podstawie zezwoleń dewizowych, a także warunków wykonywania działalności kantorowej.</w:t>
      </w:r>
    </w:p>
    <w:p w14:paraId="6A9CF9F6" w14:textId="20746A87"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W art. 1 pkt 1 lit. b wskazano, że do kompetencji KAS należy wykonywanie zadań określonych w rozporządzeniu 2018/1672. Doprecyzowując zadania organów KAS w art. 1 </w:t>
      </w:r>
      <w:r w:rsidRPr="001F7D09">
        <w:rPr>
          <w:rFonts w:ascii="Times New Roman" w:hAnsi="Times New Roman" w:cs="Times New Roman"/>
          <w:color w:val="auto"/>
          <w:lang w:val="pl-PL"/>
        </w:rPr>
        <w:lastRenderedPageBreak/>
        <w:t xml:space="preserve">pkt 2 lit. </w:t>
      </w:r>
      <w:r w:rsidR="000A6FFD" w:rsidRPr="001F7D09">
        <w:rPr>
          <w:rFonts w:ascii="Times New Roman" w:hAnsi="Times New Roman" w:cs="Times New Roman"/>
          <w:color w:val="auto"/>
          <w:lang w:val="pl-PL"/>
        </w:rPr>
        <w:t>b</w:t>
      </w:r>
      <w:r w:rsidRPr="001F7D09">
        <w:rPr>
          <w:rFonts w:ascii="Times New Roman" w:hAnsi="Times New Roman" w:cs="Times New Roman"/>
          <w:color w:val="auto"/>
          <w:lang w:val="pl-PL"/>
        </w:rPr>
        <w:t xml:space="preserve"> wskazano, że Szef Krajowej Administracji Skarbowej realizuje obowiązki związane z przekazywaniem zanonimizowanych danych dotyczących ryzyka i wyników analizy ryzyka (art. 10 ust. 1 lit. d rozporządzenia 2018/1672) oraz przekazywaniem do Komisji Europejskiej wykazu właściwych organów, ustanowionych sankcji oraz zanonimizowanych informacji statystycznych dotyczących kontroli i naruszeń (art. 18 ust</w:t>
      </w:r>
      <w:r w:rsidR="00CD01E3"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1 i 2 rozporządzenia 2018/1672).</w:t>
      </w:r>
    </w:p>
    <w:p w14:paraId="232E362C" w14:textId="2D2771A5"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Pozostałe zadania wynikające z przepisów rozporządzenia 2018/1672 przypisane zostały naczelnikowi urzędu celno</w:t>
      </w:r>
      <w:r w:rsidR="000A6FFD"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skarbowego (art. 1 pkt 3 projektu), jako organowi właściwemu w rozumieniu rozporządzenia 2018/1672. Należą do nich m.in. kontrola deklaracji środków pieniężnych przewożonych przez osoby fizyczne (art. 3 rozporządzenia </w:t>
      </w:r>
      <w:r w:rsidRPr="001F7D09">
        <w:rPr>
          <w:rFonts w:ascii="Times New Roman" w:hAnsi="Times New Roman" w:cs="Times New Roman"/>
          <w:color w:val="auto"/>
          <w:lang w:val="pl-PL"/>
        </w:rPr>
        <w:lastRenderedPageBreak/>
        <w:t xml:space="preserve">2018/1672), obowiązek ujawniania środków pieniężnych w transporcie, weryfikacja deklaracji, kontrola wszelkich przesyłek czy sporządzanie deklaracji z urzędu (art. </w:t>
      </w:r>
      <w:r w:rsidR="003F7667" w:rsidRPr="001F7D09">
        <w:rPr>
          <w:rFonts w:ascii="Times New Roman" w:hAnsi="Times New Roman" w:cs="Times New Roman"/>
          <w:color w:val="auto"/>
          <w:lang w:val="pl-PL"/>
        </w:rPr>
        <w:t>4, art. 5, art. 6</w:t>
      </w:r>
      <w:r w:rsidRPr="001F7D09">
        <w:rPr>
          <w:rFonts w:ascii="Times New Roman" w:hAnsi="Times New Roman" w:cs="Times New Roman"/>
          <w:color w:val="auto"/>
          <w:lang w:val="pl-PL"/>
        </w:rPr>
        <w:t xml:space="preserve"> rozporządzenia 2018/1672), przekazywanie informacji jednostce analityki finansowej – w Polsce Generalny Inspektor Informacji Finansowej (art. 9 rozporządzenia</w:t>
      </w:r>
      <w:r w:rsidR="00070006"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2018/1672).</w:t>
      </w:r>
    </w:p>
    <w:p w14:paraId="3EE10DBA" w14:textId="5002ABC8"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Od </w:t>
      </w:r>
      <w:r w:rsidR="000A6FFD" w:rsidRPr="001F7D09">
        <w:rPr>
          <w:rFonts w:ascii="Times New Roman" w:hAnsi="Times New Roman" w:cs="Times New Roman"/>
          <w:color w:val="auto"/>
          <w:lang w:val="pl-PL"/>
        </w:rPr>
        <w:t xml:space="preserve">dnia </w:t>
      </w:r>
      <w:r w:rsidRPr="001F7D09">
        <w:rPr>
          <w:rFonts w:ascii="Times New Roman" w:hAnsi="Times New Roman" w:cs="Times New Roman"/>
          <w:color w:val="auto"/>
          <w:lang w:val="pl-PL"/>
        </w:rPr>
        <w:t xml:space="preserve">3 czerwca 2021 r. są stosowane przepisy rozporządzenia wykonawczego Komisji (UE) 2021/776 z dnia 11 maja 2021 r. ustanawiającego wzory niektórych formularzy oraz przepisy techniczne dotyczące skutecznej wymiany informacji na mocy rozporządzenia Parlamentu Europejskiego i Rady (UE) 2018/1672 w sprawie kontroli środków pieniężnych wwożonych do Unii lub wywożonych z Unii (Dz. Urz. UE L </w:t>
      </w:r>
      <w:r w:rsidRPr="001F7D09">
        <w:rPr>
          <w:rFonts w:ascii="Times New Roman" w:hAnsi="Times New Roman" w:cs="Times New Roman"/>
          <w:color w:val="auto"/>
          <w:lang w:val="pl-PL"/>
        </w:rPr>
        <w:lastRenderedPageBreak/>
        <w:t xml:space="preserve">167 z 12.05.2021, str. 6), zwanego dalej „rozporządzeniem 2021/776”. </w:t>
      </w:r>
    </w:p>
    <w:p w14:paraId="5AD866F2" w14:textId="0935C66F"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Jak wynika z postanowień art. 5 ust. 2 rozporządzenia 2021/776 właściwe organy przekazują informacje, o których mowa w art. 9 ust. 1 rozporządzenia 2018/1672, jednostce analityki finansowej państwa członkowskiego, w którym je uzyskano, przez przesłanie ich do systemu informacji celnej (CIS).</w:t>
      </w:r>
    </w:p>
    <w:p w14:paraId="3AF22B9B" w14:textId="5D3FA50D" w:rsidR="00754D4D" w:rsidRPr="001F7D09" w:rsidRDefault="00754D4D" w:rsidP="001F7D09">
      <w:pPr>
        <w:autoSpaceDE w:val="0"/>
        <w:autoSpaceDN w:val="0"/>
        <w:adjustRightInd w:val="0"/>
        <w:spacing w:before="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Aby prawidłowo stosować przepisy dotyczące kontroli środków pieniężnych</w:t>
      </w:r>
      <w:r w:rsidR="004C0970"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funkcjonariusze Służby Celno-Skarbowej mają uprawnienia </w:t>
      </w:r>
      <w:r w:rsidR="000A6FFD" w:rsidRPr="001F7D09">
        <w:rPr>
          <w:rFonts w:ascii="Times New Roman" w:hAnsi="Times New Roman" w:cs="Times New Roman"/>
          <w:color w:val="auto"/>
          <w:lang w:val="pl-PL"/>
        </w:rPr>
        <w:t xml:space="preserve">m.in. </w:t>
      </w:r>
      <w:r w:rsidRPr="001F7D09">
        <w:rPr>
          <w:rFonts w:ascii="Times New Roman" w:hAnsi="Times New Roman" w:cs="Times New Roman"/>
          <w:color w:val="auto"/>
          <w:lang w:val="pl-PL"/>
        </w:rPr>
        <w:t>do</w:t>
      </w:r>
      <w:r w:rsidR="000A6FFD"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w:t>
      </w:r>
    </w:p>
    <w:p w14:paraId="777F9D0A" w14:textId="77777777" w:rsidR="00754D4D" w:rsidRPr="001F7D09" w:rsidRDefault="00754D4D" w:rsidP="001F7D09">
      <w:pPr>
        <w:pStyle w:val="Akapitzlist"/>
        <w:numPr>
          <w:ilvl w:val="0"/>
          <w:numId w:val="29"/>
        </w:numPr>
        <w:autoSpaceDE w:val="0"/>
        <w:autoSpaceDN w:val="0"/>
        <w:adjustRightInd w:val="0"/>
        <w:spacing w:line="360" w:lineRule="auto"/>
        <w:ind w:left="357" w:hanging="357"/>
        <w:contextualSpacing w:val="0"/>
        <w:jc w:val="both"/>
        <w:rPr>
          <w:rFonts w:ascii="Times New Roman" w:hAnsi="Times New Roman" w:cs="Times New Roman"/>
          <w:color w:val="auto"/>
          <w:lang w:val="pl-PL"/>
        </w:rPr>
      </w:pPr>
      <w:r w:rsidRPr="001F7D09">
        <w:rPr>
          <w:rFonts w:ascii="Times New Roman" w:hAnsi="Times New Roman" w:cs="Times New Roman"/>
          <w:color w:val="auto"/>
          <w:lang w:val="pl-PL"/>
        </w:rPr>
        <w:t>przyjmowania, sprawdzania i poświadczania deklaracji pieniężnych,</w:t>
      </w:r>
    </w:p>
    <w:p w14:paraId="75B890A0"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sprawdzania, czy obowiązek złożenia deklaracji został spełniony,</w:t>
      </w:r>
    </w:p>
    <w:p w14:paraId="44913E0A"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przeprowadzania kontroli osób fizycznych, ich bagażu oraz środków transportu,</w:t>
      </w:r>
    </w:p>
    <w:p w14:paraId="1305DF7A"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dokonywania zatrzymania środków pieniężnych,</w:t>
      </w:r>
    </w:p>
    <w:p w14:paraId="635AF6A1"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stosowania sankcji w przypadku niewywiązania się z obowiązku złożenia deklaracji pieniężnej,</w:t>
      </w:r>
    </w:p>
    <w:p w14:paraId="33B457E1"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zapisywania, przetwarzania i wymiany informacji,</w:t>
      </w:r>
    </w:p>
    <w:p w14:paraId="289C20F7"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przekazywania informacji Generalnemu Inspektorowi Informacji Finansowej, </w:t>
      </w:r>
    </w:p>
    <w:p w14:paraId="08A96F7D" w14:textId="77777777" w:rsidR="00754D4D" w:rsidRPr="001F7D09" w:rsidRDefault="00754D4D" w:rsidP="001F7D09">
      <w:pPr>
        <w:pStyle w:val="Akapitzlist"/>
        <w:numPr>
          <w:ilvl w:val="0"/>
          <w:numId w:val="29"/>
        </w:num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wykorzystywania zarejestrowanych informacji do celów analizy ryzyka i do ciągłego monitorowania.</w:t>
      </w:r>
    </w:p>
    <w:p w14:paraId="6726B406" w14:textId="0B29BE8A"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 xml:space="preserve">W celu doprecyzowania zakresu przedmiotowego kontroli celno-skarbowej </w:t>
      </w:r>
      <w:r w:rsidR="000A6FFD" w:rsidRPr="001F7D09">
        <w:rPr>
          <w:rFonts w:ascii="Times New Roman" w:hAnsi="Times New Roman" w:cs="Times New Roman"/>
          <w:color w:val="auto"/>
          <w:lang w:val="pl-PL"/>
        </w:rPr>
        <w:t>prze</w:t>
      </w:r>
      <w:r w:rsidRPr="001F7D09">
        <w:rPr>
          <w:rFonts w:ascii="Times New Roman" w:hAnsi="Times New Roman" w:cs="Times New Roman"/>
          <w:color w:val="auto"/>
          <w:lang w:val="pl-PL"/>
        </w:rPr>
        <w:t xml:space="preserve">prowadzanej przez naczelnika urzędu </w:t>
      </w:r>
      <w:r w:rsidRPr="001F7D09">
        <w:rPr>
          <w:rFonts w:ascii="Times New Roman" w:hAnsi="Times New Roman" w:cs="Times New Roman"/>
          <w:color w:val="auto"/>
          <w:lang w:val="pl-PL"/>
        </w:rPr>
        <w:lastRenderedPageBreak/>
        <w:t>celno-skarbowego, określonej w ustawie o KAS, w art.</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54 w ust. 2 dodano pkt</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12</w:t>
      </w:r>
      <w:r w:rsidR="00703812" w:rsidRPr="001F7D09">
        <w:rPr>
          <w:rFonts w:ascii="Times New Roman" w:hAnsi="Times New Roman" w:cs="Times New Roman"/>
          <w:color w:val="auto"/>
          <w:lang w:val="pl-PL"/>
        </w:rPr>
        <w:t>c</w:t>
      </w:r>
      <w:r w:rsidRPr="001F7D09">
        <w:rPr>
          <w:rFonts w:ascii="Times New Roman" w:hAnsi="Times New Roman" w:cs="Times New Roman"/>
          <w:color w:val="auto"/>
          <w:lang w:val="pl-PL"/>
        </w:rPr>
        <w:t xml:space="preserve"> wskazujący, że kontroli celno-skarbowej podlega</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wwożenie do Unii Europejskiej lub wywożenie z Unii Europejskiej środków pieniężnych w rozumieniu rozporządzenia 2018/1672 (art. 1 pkt 5 projektu).</w:t>
      </w:r>
    </w:p>
    <w:p w14:paraId="52D52B10" w14:textId="79879EE7" w:rsidR="00754D4D" w:rsidRPr="001F7D09" w:rsidRDefault="00754D4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t>Propozycja zmiany w art. 84 ust. 1 pkt 3 ustawy o KAS (art. 1 pkt 6 projektu) polegająca na dodaniu kontroli, o który</w:t>
      </w:r>
      <w:r w:rsidR="00DB1C62" w:rsidRPr="001F7D09">
        <w:rPr>
          <w:rFonts w:ascii="Times New Roman" w:hAnsi="Times New Roman" w:cs="Times New Roman"/>
          <w:color w:val="auto"/>
          <w:lang w:val="pl-PL"/>
        </w:rPr>
        <w:t>ch mowa w art. 54 ust. 2 pkt 12c</w:t>
      </w:r>
      <w:r w:rsidR="007631FF"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jest konsekwencją zmiany zaproponowanej w art. 54 ust. 2 ustawy o KAS. Zgodnie z art. 84 ust. 1 pkt 3 ustawy o KAS kontrola celno-skarbowa w zakresie, o którym mowa m.in. w art. 54 ust. 1 pkt 4, kończy się protokołem</w:t>
      </w:r>
      <w:r w:rsidR="007631FF"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a jeżeli w toku tej kontroli nie</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stwierdzono nieprawidłowości, protokołu się nie sporządza (art. 84 ust. 3 ustawy o KAS). </w:t>
      </w:r>
    </w:p>
    <w:p w14:paraId="18BD6467" w14:textId="11CCBDD5" w:rsidR="009375FD" w:rsidRPr="001F7D09" w:rsidRDefault="009375FD" w:rsidP="001F7D09">
      <w:pPr>
        <w:autoSpaceDE w:val="0"/>
        <w:autoSpaceDN w:val="0"/>
        <w:adjustRightInd w:val="0"/>
        <w:spacing w:before="120" w:after="120" w:line="360" w:lineRule="auto"/>
        <w:jc w:val="both"/>
        <w:rPr>
          <w:rFonts w:ascii="Times New Roman" w:hAnsi="Times New Roman" w:cs="Times New Roman"/>
          <w:color w:val="auto"/>
          <w:lang w:val="pl-PL"/>
        </w:rPr>
      </w:pPr>
      <w:r w:rsidRPr="001F7D09">
        <w:rPr>
          <w:rFonts w:ascii="Times New Roman" w:hAnsi="Times New Roman" w:cs="Times New Roman"/>
          <w:color w:val="auto"/>
          <w:lang w:val="pl-PL"/>
        </w:rPr>
        <w:lastRenderedPageBreak/>
        <w:t xml:space="preserve">Odnośnie </w:t>
      </w:r>
      <w:r w:rsidR="004C0970" w:rsidRPr="001F7D09">
        <w:rPr>
          <w:rFonts w:ascii="Times New Roman" w:hAnsi="Times New Roman" w:cs="Times New Roman"/>
          <w:color w:val="auto"/>
          <w:lang w:val="pl-PL"/>
        </w:rPr>
        <w:t xml:space="preserve">do </w:t>
      </w:r>
      <w:r w:rsidRPr="001F7D09">
        <w:rPr>
          <w:rFonts w:ascii="Times New Roman" w:hAnsi="Times New Roman" w:cs="Times New Roman"/>
          <w:color w:val="auto"/>
          <w:lang w:val="pl-PL"/>
        </w:rPr>
        <w:t xml:space="preserve">przepisów rozporządzenia 2018/1672 należy wyjaśnić, że </w:t>
      </w:r>
      <w:r w:rsidR="00647DFB" w:rsidRPr="001F7D09">
        <w:rPr>
          <w:rFonts w:ascii="Times New Roman" w:hAnsi="Times New Roman" w:cs="Times New Roman"/>
          <w:color w:val="auto"/>
          <w:lang w:val="pl-PL"/>
        </w:rPr>
        <w:t xml:space="preserve">są one stosowane przez Służbę Celno-Skarbową </w:t>
      </w:r>
      <w:r w:rsidRPr="001F7D09">
        <w:rPr>
          <w:rFonts w:ascii="Times New Roman" w:hAnsi="Times New Roman" w:cs="Times New Roman"/>
          <w:color w:val="auto"/>
          <w:lang w:val="pl-PL"/>
        </w:rPr>
        <w:t>od momentu wejścia w życie</w:t>
      </w:r>
      <w:r w:rsidR="003849B9" w:rsidRPr="001F7D09">
        <w:rPr>
          <w:rFonts w:ascii="Times New Roman" w:hAnsi="Times New Roman" w:cs="Times New Roman"/>
          <w:color w:val="auto"/>
          <w:lang w:val="pl-PL"/>
        </w:rPr>
        <w:t>,</w:t>
      </w:r>
      <w:r w:rsidRPr="001F7D09">
        <w:rPr>
          <w:rFonts w:ascii="Times New Roman" w:hAnsi="Times New Roman" w:cs="Times New Roman"/>
          <w:color w:val="auto"/>
          <w:lang w:val="pl-PL"/>
        </w:rPr>
        <w:t xml:space="preserve"> </w:t>
      </w:r>
      <w:r w:rsidR="00647DFB" w:rsidRPr="001F7D09">
        <w:rPr>
          <w:rFonts w:ascii="Times New Roman" w:hAnsi="Times New Roman" w:cs="Times New Roman"/>
          <w:color w:val="auto"/>
          <w:lang w:val="pl-PL"/>
        </w:rPr>
        <w:t xml:space="preserve">tj. od </w:t>
      </w:r>
      <w:r w:rsidR="000A6FFD" w:rsidRPr="001F7D09">
        <w:rPr>
          <w:rFonts w:ascii="Times New Roman" w:hAnsi="Times New Roman" w:cs="Times New Roman"/>
          <w:color w:val="auto"/>
          <w:lang w:val="pl-PL"/>
        </w:rPr>
        <w:t xml:space="preserve">dnia </w:t>
      </w:r>
      <w:r w:rsidRPr="001F7D09">
        <w:rPr>
          <w:rFonts w:ascii="Times New Roman" w:hAnsi="Times New Roman" w:cs="Times New Roman"/>
          <w:color w:val="auto"/>
          <w:lang w:val="pl-PL"/>
        </w:rPr>
        <w:t xml:space="preserve">3 czerwca 2021 r. Wskazany akt prawny rozszerza obowiązki osób przemieszczających środki pieniężne przez granicę oraz obszary kontroli przeprowadzanych przez służby graniczne, definicję środków pieniężnych oraz wprowadza nowy wzór deklaracji dewizowej. Ponadto zmianie ulega zakres </w:t>
      </w:r>
      <w:r w:rsidR="00647DFB" w:rsidRPr="001F7D09">
        <w:rPr>
          <w:rFonts w:ascii="Times New Roman" w:hAnsi="Times New Roman" w:cs="Times New Roman"/>
          <w:color w:val="auto"/>
          <w:lang w:val="pl-PL"/>
        </w:rPr>
        <w:t>danych</w:t>
      </w:r>
      <w:r w:rsidR="00647DFB" w:rsidRPr="001F7D09" w:rsidDel="00647DFB">
        <w:rPr>
          <w:rFonts w:ascii="Times New Roman" w:hAnsi="Times New Roman" w:cs="Times New Roman"/>
          <w:color w:val="auto"/>
          <w:lang w:val="pl-PL"/>
        </w:rPr>
        <w:t xml:space="preserve"> </w:t>
      </w:r>
      <w:r w:rsidRPr="001F7D09">
        <w:rPr>
          <w:rFonts w:ascii="Times New Roman" w:hAnsi="Times New Roman" w:cs="Times New Roman"/>
          <w:color w:val="auto"/>
          <w:lang w:val="pl-PL"/>
        </w:rPr>
        <w:t xml:space="preserve">i tryb </w:t>
      </w:r>
      <w:r w:rsidR="00647DFB" w:rsidRPr="001F7D09">
        <w:rPr>
          <w:rFonts w:ascii="Times New Roman" w:hAnsi="Times New Roman" w:cs="Times New Roman"/>
          <w:color w:val="auto"/>
          <w:lang w:val="pl-PL"/>
        </w:rPr>
        <w:t xml:space="preserve">ich </w:t>
      </w:r>
      <w:r w:rsidRPr="001F7D09">
        <w:rPr>
          <w:rFonts w:ascii="Times New Roman" w:hAnsi="Times New Roman" w:cs="Times New Roman"/>
          <w:color w:val="auto"/>
          <w:lang w:val="pl-PL"/>
        </w:rPr>
        <w:t>przekazywan</w:t>
      </w:r>
      <w:r w:rsidR="00647DFB" w:rsidRPr="001F7D09">
        <w:rPr>
          <w:rFonts w:ascii="Times New Roman" w:hAnsi="Times New Roman" w:cs="Times New Roman"/>
          <w:color w:val="auto"/>
          <w:lang w:val="pl-PL"/>
        </w:rPr>
        <w:t>ia</w:t>
      </w:r>
      <w:r w:rsidRPr="001F7D09">
        <w:rPr>
          <w:rFonts w:ascii="Times New Roman" w:hAnsi="Times New Roman" w:cs="Times New Roman"/>
          <w:color w:val="auto"/>
          <w:lang w:val="pl-PL"/>
        </w:rPr>
        <w:t xml:space="preserve"> do Komisji Europejskiej. Przedmiotowe rozporządzenie jest źródłem powszechnie obowiązującego prawa i częścią krajowego porządku prawnego w Polsce i mimo, że proces implementacji </w:t>
      </w:r>
      <w:r w:rsidR="00647DFB" w:rsidRPr="001F7D09">
        <w:rPr>
          <w:rFonts w:ascii="Times New Roman" w:hAnsi="Times New Roman" w:cs="Times New Roman"/>
          <w:color w:val="auto"/>
          <w:lang w:val="pl-PL"/>
        </w:rPr>
        <w:t xml:space="preserve">jego </w:t>
      </w:r>
      <w:r w:rsidRPr="001F7D09">
        <w:rPr>
          <w:rFonts w:ascii="Times New Roman" w:hAnsi="Times New Roman" w:cs="Times New Roman"/>
          <w:color w:val="auto"/>
          <w:lang w:val="pl-PL"/>
        </w:rPr>
        <w:t xml:space="preserve">przepisów do prawa krajowego jest w toku, nie ma to wpływu na rzetelne realizowanie i przestrzeganie jego </w:t>
      </w:r>
      <w:r w:rsidR="00647DFB" w:rsidRPr="001F7D09">
        <w:rPr>
          <w:rFonts w:ascii="Times New Roman" w:hAnsi="Times New Roman" w:cs="Times New Roman"/>
          <w:color w:val="auto"/>
          <w:lang w:val="pl-PL"/>
        </w:rPr>
        <w:t>regulacji</w:t>
      </w:r>
      <w:r w:rsidRPr="001F7D09">
        <w:rPr>
          <w:rFonts w:ascii="Times New Roman" w:hAnsi="Times New Roman" w:cs="Times New Roman"/>
          <w:color w:val="auto"/>
          <w:lang w:val="pl-PL"/>
        </w:rPr>
        <w:t>.</w:t>
      </w:r>
    </w:p>
    <w:p w14:paraId="34C18AC0" w14:textId="77777777" w:rsidR="00B351A9" w:rsidRPr="001F7D09" w:rsidRDefault="00B351A9" w:rsidP="001F7D09">
      <w:pPr>
        <w:pStyle w:val="Bodytext20"/>
        <w:spacing w:before="120" w:after="120" w:line="360" w:lineRule="auto"/>
        <w:jc w:val="both"/>
        <w:rPr>
          <w:sz w:val="24"/>
          <w:szCs w:val="24"/>
        </w:rPr>
      </w:pPr>
      <w:r w:rsidRPr="001F7D09">
        <w:rPr>
          <w:b/>
          <w:sz w:val="24"/>
          <w:szCs w:val="24"/>
        </w:rPr>
        <w:lastRenderedPageBreak/>
        <w:t>Art. 2</w:t>
      </w:r>
      <w:r w:rsidRPr="001F7D09">
        <w:rPr>
          <w:sz w:val="24"/>
          <w:szCs w:val="24"/>
        </w:rPr>
        <w:t xml:space="preserve"> projektu</w:t>
      </w:r>
    </w:p>
    <w:p w14:paraId="7FF4BE97" w14:textId="7B93CF42" w:rsidR="00C933A4" w:rsidRPr="001F7D09" w:rsidRDefault="00C933A4" w:rsidP="001F7D09">
      <w:pPr>
        <w:spacing w:before="120" w:after="120" w:line="360" w:lineRule="auto"/>
        <w:jc w:val="both"/>
        <w:rPr>
          <w:rFonts w:ascii="Times New Roman" w:hAnsi="Times New Roman" w:cs="Times New Roman"/>
          <w:b/>
          <w:color w:val="auto"/>
          <w:lang w:val="pl-PL"/>
        </w:rPr>
      </w:pPr>
      <w:r w:rsidRPr="001F7D09">
        <w:rPr>
          <w:rFonts w:ascii="Times New Roman" w:eastAsia="Times New Roman" w:hAnsi="Times New Roman" w:cs="Times New Roman"/>
        </w:rPr>
        <w:t xml:space="preserve">Proponowane zmiany w ustawie z dnia 10 września 1999 r. – Kodeks karny skarbowy mają charakter dostosowujący wybrane przepisy k.k.s. do przepisów </w:t>
      </w:r>
      <w:r w:rsidRPr="001F7D09">
        <w:rPr>
          <w:rFonts w:ascii="Times New Roman" w:hAnsi="Times New Roman" w:cs="Times New Roman"/>
          <w:color w:val="auto"/>
          <w:lang w:val="pl-PL"/>
        </w:rPr>
        <w:t>rozporządzenia 2018/1672, z</w:t>
      </w:r>
      <w:r w:rsidR="003849B9" w:rsidRPr="001F7D09">
        <w:rPr>
          <w:rFonts w:ascii="Times New Roman" w:hAnsi="Times New Roman" w:cs="Times New Roman"/>
          <w:color w:val="auto"/>
          <w:lang w:val="pl-PL"/>
        </w:rPr>
        <w:t xml:space="preserve"> </w:t>
      </w:r>
      <w:r w:rsidRPr="001F7D09">
        <w:rPr>
          <w:rFonts w:ascii="Times New Roman" w:hAnsi="Times New Roman" w:cs="Times New Roman"/>
          <w:color w:val="auto"/>
          <w:lang w:val="pl-PL"/>
        </w:rPr>
        <w:t>którymi pozostają w związku.</w:t>
      </w:r>
    </w:p>
    <w:p w14:paraId="6B4094B3" w14:textId="06475FB1" w:rsidR="00C933A4" w:rsidRPr="001F7D09" w:rsidRDefault="00C933A4" w:rsidP="001F7D09">
      <w:pPr>
        <w:spacing w:before="120" w:after="120" w:line="360" w:lineRule="auto"/>
        <w:jc w:val="both"/>
        <w:rPr>
          <w:rFonts w:ascii="Times New Roman" w:hAnsi="Times New Roman" w:cs="Times New Roman"/>
        </w:rPr>
      </w:pPr>
      <w:r w:rsidRPr="001F7D09">
        <w:rPr>
          <w:rFonts w:ascii="Times New Roman" w:hAnsi="Times New Roman" w:cs="Times New Roman"/>
          <w:color w:val="auto"/>
          <w:lang w:val="pl-PL"/>
        </w:rPr>
        <w:t xml:space="preserve">Przepisy k.k.s. mają charakter blankietowy i penalizują niedopełnienia obowiązków wynikających z innych przepisów, w tym przypadku z przepisów rozporządzenia 2018/1672. Zmiany zaproponowane w art. 53 </w:t>
      </w:r>
      <w:r w:rsidRPr="001F7D09">
        <w:rPr>
          <w:rFonts w:ascii="Times New Roman" w:hAnsi="Times New Roman" w:cs="Times New Roman"/>
          <w:color w:val="auto"/>
        </w:rPr>
        <w:t>§ 34a, art. 106f i art. 106h k.k.s.</w:t>
      </w:r>
      <w:r w:rsidR="00412759" w:rsidRPr="001F7D09">
        <w:rPr>
          <w:rFonts w:ascii="Times New Roman" w:hAnsi="Times New Roman" w:cs="Times New Roman"/>
          <w:color w:val="auto"/>
        </w:rPr>
        <w:t xml:space="preserve"> </w:t>
      </w:r>
      <w:r w:rsidRPr="001F7D09">
        <w:rPr>
          <w:rFonts w:ascii="Times New Roman" w:hAnsi="Times New Roman" w:cs="Times New Roman"/>
          <w:color w:val="auto"/>
        </w:rPr>
        <w:t>związane są</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 xml:space="preserve">wprowadzeniem do k.k.s. nowego określenia </w:t>
      </w:r>
      <w:r w:rsidRPr="001F7D09">
        <w:rPr>
          <w:rFonts w:ascii="Times New Roman" w:hAnsi="Times New Roman" w:cs="Times New Roman"/>
        </w:rPr>
        <w:t xml:space="preserve">„środki pieniężne wwożone do Unii Europejskiej lub wywożone z Unii Europejskiej”, które jest używane w przepisach rozporządzenia 2018/1672. Przepisy k.k.s. mają bowiem penalizować niedopełnienie obowiązków wynikających z tego </w:t>
      </w:r>
      <w:r w:rsidRPr="001F7D09">
        <w:rPr>
          <w:rFonts w:ascii="Times New Roman" w:hAnsi="Times New Roman" w:cs="Times New Roman"/>
        </w:rPr>
        <w:lastRenderedPageBreak/>
        <w:t>rozporządzenia</w:t>
      </w:r>
      <w:r w:rsidR="001F7D09" w:rsidRPr="001F7D09">
        <w:rPr>
          <w:rFonts w:ascii="Times New Roman" w:hAnsi="Times New Roman" w:cs="Times New Roman"/>
        </w:rPr>
        <w:t>,</w:t>
      </w:r>
      <w:r w:rsidRPr="001F7D09">
        <w:rPr>
          <w:rFonts w:ascii="Times New Roman" w:hAnsi="Times New Roman" w:cs="Times New Roman"/>
        </w:rPr>
        <w:t xml:space="preserve"> polegających na zgłaszaniu lub</w:t>
      </w:r>
      <w:r w:rsidR="003849B9" w:rsidRPr="001F7D09">
        <w:rPr>
          <w:rFonts w:ascii="Times New Roman" w:hAnsi="Times New Roman" w:cs="Times New Roman"/>
        </w:rPr>
        <w:t xml:space="preserve"> </w:t>
      </w:r>
      <w:r w:rsidRPr="001F7D09">
        <w:rPr>
          <w:rFonts w:ascii="Times New Roman" w:hAnsi="Times New Roman" w:cs="Times New Roman"/>
        </w:rPr>
        <w:t>przedstawianiu na żądanie właściwych organów wwozu środków pieniężnych do U</w:t>
      </w:r>
      <w:r w:rsidR="00412759" w:rsidRPr="001F7D09">
        <w:rPr>
          <w:rFonts w:ascii="Times New Roman" w:hAnsi="Times New Roman" w:cs="Times New Roman"/>
        </w:rPr>
        <w:t xml:space="preserve">nii </w:t>
      </w:r>
      <w:r w:rsidRPr="001F7D09">
        <w:rPr>
          <w:rFonts w:ascii="Times New Roman" w:hAnsi="Times New Roman" w:cs="Times New Roman"/>
        </w:rPr>
        <w:t>E</w:t>
      </w:r>
      <w:r w:rsidR="00412759" w:rsidRPr="001F7D09">
        <w:rPr>
          <w:rFonts w:ascii="Times New Roman" w:hAnsi="Times New Roman" w:cs="Times New Roman"/>
        </w:rPr>
        <w:t>uropejskiej</w:t>
      </w:r>
      <w:r w:rsidRPr="001F7D09">
        <w:rPr>
          <w:rFonts w:ascii="Times New Roman" w:hAnsi="Times New Roman" w:cs="Times New Roman"/>
        </w:rPr>
        <w:t xml:space="preserve"> i</w:t>
      </w:r>
      <w:r w:rsidR="003849B9" w:rsidRPr="001F7D09">
        <w:rPr>
          <w:rFonts w:ascii="Times New Roman" w:hAnsi="Times New Roman" w:cs="Times New Roman"/>
        </w:rPr>
        <w:t xml:space="preserve"> </w:t>
      </w:r>
      <w:r w:rsidRPr="001F7D09">
        <w:rPr>
          <w:rFonts w:ascii="Times New Roman" w:hAnsi="Times New Roman" w:cs="Times New Roman"/>
        </w:rPr>
        <w:t>wywozu środków pieniężnych z U</w:t>
      </w:r>
      <w:r w:rsidR="00412759" w:rsidRPr="001F7D09">
        <w:rPr>
          <w:rFonts w:ascii="Times New Roman" w:hAnsi="Times New Roman" w:cs="Times New Roman"/>
        </w:rPr>
        <w:t xml:space="preserve">nii </w:t>
      </w:r>
      <w:r w:rsidRPr="001F7D09">
        <w:rPr>
          <w:rFonts w:ascii="Times New Roman" w:hAnsi="Times New Roman" w:cs="Times New Roman"/>
        </w:rPr>
        <w:t>E</w:t>
      </w:r>
      <w:r w:rsidR="00412759" w:rsidRPr="001F7D09">
        <w:rPr>
          <w:rFonts w:ascii="Times New Roman" w:hAnsi="Times New Roman" w:cs="Times New Roman"/>
        </w:rPr>
        <w:t>uropejskiej</w:t>
      </w:r>
      <w:r w:rsidRPr="001F7D09">
        <w:rPr>
          <w:rFonts w:ascii="Times New Roman" w:hAnsi="Times New Roman" w:cs="Times New Roman"/>
        </w:rPr>
        <w:t>.</w:t>
      </w:r>
    </w:p>
    <w:p w14:paraId="27957BF5" w14:textId="0E380039" w:rsidR="00C933A4" w:rsidRPr="001F7D09" w:rsidRDefault="00C933A4" w:rsidP="001F7D09">
      <w:pPr>
        <w:spacing w:before="120" w:after="120" w:line="360" w:lineRule="auto"/>
        <w:jc w:val="both"/>
        <w:rPr>
          <w:rFonts w:ascii="Times New Roman" w:hAnsi="Times New Roman" w:cs="Times New Roman"/>
        </w:rPr>
      </w:pPr>
      <w:r w:rsidRPr="001F7D09">
        <w:rPr>
          <w:rFonts w:ascii="Times New Roman" w:hAnsi="Times New Roman" w:cs="Times New Roman"/>
        </w:rPr>
        <w:t xml:space="preserve">Ponadto zmiany w k.k.s. </w:t>
      </w:r>
      <w:r w:rsidRPr="001F7D09">
        <w:rPr>
          <w:rFonts w:ascii="Times New Roman" w:eastAsia="Times New Roman" w:hAnsi="Times New Roman" w:cs="Times New Roman"/>
        </w:rPr>
        <w:t>obejmują wprowadzenie przestępstwa skarbowego penalizującego niezgłoszenie przewozu środków pieniężnych. Zmiany</w:t>
      </w:r>
      <w:r w:rsidR="003849B9" w:rsidRPr="001F7D09">
        <w:rPr>
          <w:rFonts w:ascii="Times New Roman" w:eastAsia="Times New Roman" w:hAnsi="Times New Roman" w:cs="Times New Roman"/>
        </w:rPr>
        <w:t xml:space="preserve"> </w:t>
      </w:r>
      <w:r w:rsidRPr="001F7D09">
        <w:rPr>
          <w:rFonts w:ascii="Times New Roman" w:eastAsia="Times New Roman" w:hAnsi="Times New Roman" w:cs="Times New Roman"/>
        </w:rPr>
        <w:t>te mają na c</w:t>
      </w:r>
      <w:r w:rsidRPr="001F7D09">
        <w:rPr>
          <w:rFonts w:ascii="Times New Roman" w:hAnsi="Times New Roman" w:cs="Times New Roman"/>
          <w:color w:val="auto"/>
        </w:rPr>
        <w:t>elu dostosowanie do</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wymogów sankcji wskazanych w art. 14 rozporządzenia 2018/1672, a</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tym</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samym poprawę efektywności i skuteczności egzekwowania przepisów unijnych.</w:t>
      </w:r>
      <w:r w:rsidRPr="001F7D09">
        <w:rPr>
          <w:rFonts w:ascii="Times New Roman" w:hAnsi="Times New Roman" w:cs="Times New Roman"/>
        </w:rPr>
        <w:t xml:space="preserve"> </w:t>
      </w:r>
    </w:p>
    <w:p w14:paraId="21A4A7D7" w14:textId="1C5612F9"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 xml:space="preserve">Zgodnie natomiast z art. 14 rozporządzenia 2018/1672 każde państwo członkowskie wprowadza sankcje, które stosuje się w przypadku braku spełnienia obowiązku złożenia deklaracji środków pieniężnych przewożonych przez osobę fizyczną, </w:t>
      </w:r>
      <w:r w:rsidRPr="001F7D09">
        <w:rPr>
          <w:rFonts w:ascii="Times New Roman" w:hAnsi="Times New Roman" w:cs="Times New Roman"/>
          <w:color w:val="auto"/>
        </w:rPr>
        <w:lastRenderedPageBreak/>
        <w:t>określonego w</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art. 3, lub obowiązku ujawnienia środków pieniężnych w transporcie, określonego w art. 4</w:t>
      </w:r>
      <w:r w:rsidR="00EE3E94" w:rsidRPr="001F7D09">
        <w:rPr>
          <w:rFonts w:ascii="Times New Roman" w:hAnsi="Times New Roman" w:cs="Times New Roman"/>
          <w:color w:val="auto"/>
        </w:rPr>
        <w:t xml:space="preserve"> rozporządzenia</w:t>
      </w:r>
      <w:r w:rsidRPr="001F7D09">
        <w:rPr>
          <w:rFonts w:ascii="Times New Roman" w:hAnsi="Times New Roman" w:cs="Times New Roman"/>
          <w:color w:val="auto"/>
        </w:rPr>
        <w:t>. Sankcje te muszą być skuteczne, proporcjonalne i odstraszające.</w:t>
      </w:r>
    </w:p>
    <w:p w14:paraId="44C798C1" w14:textId="77777777"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 xml:space="preserve">Penalizację zachowania polegającego na niewywiązaniu się z obowiązku zgłoszenia przewozu środków pieniężnych przewiduje art. 106f k.k.s., który obejmuje swoim zakresem niezgłoszenie organom celnym przywozu do kraju albo wywozu za granicę wartości dewizowych lub krajowych środków płatniczych albo podanie w zgłoszeniu nieprawdy. Karalne zachowanie określone w art. 106f k.k.s. jest obecnie kwalifikowane jedynie jako wykroczenie skarbowe, za popełnienie którego przewidziana jest kara grzywny. </w:t>
      </w:r>
    </w:p>
    <w:p w14:paraId="383C000D" w14:textId="20D6ED1B"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lastRenderedPageBreak/>
        <w:t>Zgodnie ze zmianami zaproponowanymi w zakresie art. 106f k.k.s., jeśli kwota niezgłoszona do</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granicznej kontroli środków pieniężnych przekracza małą wartość, to sprawca odpowiada za</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 xml:space="preserve">popełnienie przestępstwa skarbowego. Natomiast jeżeli stanowi małą wartość, to odpowiada jak za wykroczenie skarbowe. </w:t>
      </w:r>
    </w:p>
    <w:p w14:paraId="70DAC7B0" w14:textId="67DE1F01"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 xml:space="preserve">Kwota niezadeklarowanych środków pieniężnych, rozdzielająca kwalifikację czynu jako przestępstwo skarbowe albo wykroczenie skarbowe, została wyznaczona z uwzględnieniem średniej kwoty środków pieniężnych deklarowanych w pojedynczym zgłoszeniu, która w roku </w:t>
      </w:r>
      <w:r w:rsidR="00CD01E3" w:rsidRPr="001F7D09">
        <w:rPr>
          <w:rFonts w:ascii="Times New Roman" w:hAnsi="Times New Roman" w:cs="Times New Roman"/>
          <w:color w:val="auto"/>
        </w:rPr>
        <w:t>2020 wyniosła w przybliżeniu 48 </w:t>
      </w:r>
      <w:r w:rsidRPr="001F7D09">
        <w:rPr>
          <w:rFonts w:ascii="Times New Roman" w:hAnsi="Times New Roman" w:cs="Times New Roman"/>
          <w:color w:val="auto"/>
        </w:rPr>
        <w:t>000 euro dla deklaracji wywozu środków z terenu U</w:t>
      </w:r>
      <w:r w:rsidR="00407728" w:rsidRPr="001F7D09">
        <w:rPr>
          <w:rFonts w:ascii="Times New Roman" w:hAnsi="Times New Roman" w:cs="Times New Roman"/>
          <w:color w:val="auto"/>
        </w:rPr>
        <w:t xml:space="preserve">nii </w:t>
      </w:r>
      <w:r w:rsidRPr="001F7D09">
        <w:rPr>
          <w:rFonts w:ascii="Times New Roman" w:hAnsi="Times New Roman" w:cs="Times New Roman"/>
          <w:color w:val="auto"/>
        </w:rPr>
        <w:t>E</w:t>
      </w:r>
      <w:r w:rsidR="00407728" w:rsidRPr="001F7D09">
        <w:rPr>
          <w:rFonts w:ascii="Times New Roman" w:hAnsi="Times New Roman" w:cs="Times New Roman"/>
          <w:color w:val="auto"/>
        </w:rPr>
        <w:t>uropejskiej</w:t>
      </w:r>
      <w:r w:rsidRPr="001F7D09">
        <w:rPr>
          <w:rFonts w:ascii="Times New Roman" w:hAnsi="Times New Roman" w:cs="Times New Roman"/>
          <w:color w:val="auto"/>
        </w:rPr>
        <w:t xml:space="preserve"> oraz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34</w:t>
      </w:r>
      <w:r w:rsidR="00CD01E3" w:rsidRPr="001F7D09">
        <w:rPr>
          <w:rFonts w:ascii="Times New Roman" w:hAnsi="Times New Roman" w:cs="Times New Roman"/>
          <w:color w:val="auto"/>
        </w:rPr>
        <w:t> </w:t>
      </w:r>
      <w:r w:rsidRPr="001F7D09">
        <w:rPr>
          <w:rFonts w:ascii="Times New Roman" w:hAnsi="Times New Roman" w:cs="Times New Roman"/>
          <w:color w:val="auto"/>
        </w:rPr>
        <w:t xml:space="preserve">000 euro dla deklaracji wwozu </w:t>
      </w:r>
      <w:r w:rsidRPr="001F7D09">
        <w:rPr>
          <w:rFonts w:ascii="Times New Roman" w:hAnsi="Times New Roman" w:cs="Times New Roman"/>
          <w:color w:val="auto"/>
        </w:rPr>
        <w:lastRenderedPageBreak/>
        <w:t>środków na teren U</w:t>
      </w:r>
      <w:r w:rsidR="00407728" w:rsidRPr="001F7D09">
        <w:rPr>
          <w:rFonts w:ascii="Times New Roman" w:hAnsi="Times New Roman" w:cs="Times New Roman"/>
          <w:color w:val="auto"/>
        </w:rPr>
        <w:t xml:space="preserve">nii </w:t>
      </w:r>
      <w:r w:rsidRPr="001F7D09">
        <w:rPr>
          <w:rFonts w:ascii="Times New Roman" w:hAnsi="Times New Roman" w:cs="Times New Roman"/>
          <w:color w:val="auto"/>
        </w:rPr>
        <w:t>E</w:t>
      </w:r>
      <w:r w:rsidR="00407728" w:rsidRPr="001F7D09">
        <w:rPr>
          <w:rFonts w:ascii="Times New Roman" w:hAnsi="Times New Roman" w:cs="Times New Roman"/>
          <w:color w:val="auto"/>
        </w:rPr>
        <w:t>uropejskiej</w:t>
      </w:r>
      <w:r w:rsidRPr="001F7D09">
        <w:rPr>
          <w:rFonts w:ascii="Times New Roman" w:hAnsi="Times New Roman" w:cs="Times New Roman"/>
          <w:color w:val="auto"/>
        </w:rPr>
        <w:t xml:space="preserve"> (bez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uwzględnienia zgłoszeń dotyczących metali szlachetnych).</w:t>
      </w:r>
    </w:p>
    <w:p w14:paraId="142BAA65" w14:textId="6C3E2F45"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Proponowane zmiany w zakresie art. 106f k.k.s., zakładające powiększenie katalogu czynów „przepołowionych” w k.k.s. i objęcie jego zakresem ww. artykułu, mają nie tylko zapewnić przestrzeganie przez rezydentów i nierezydentów obowiązku dokonania zgłoszenia przewozu środków pieniężnych przy przekraczaniu granicy zewnętrznej U</w:t>
      </w:r>
      <w:r w:rsidR="00CE113A" w:rsidRPr="001F7D09">
        <w:rPr>
          <w:rFonts w:ascii="Times New Roman" w:hAnsi="Times New Roman" w:cs="Times New Roman"/>
          <w:color w:val="auto"/>
        </w:rPr>
        <w:t>nii</w:t>
      </w:r>
      <w:r w:rsidR="00407728" w:rsidRPr="001F7D09">
        <w:rPr>
          <w:rFonts w:ascii="Times New Roman" w:hAnsi="Times New Roman" w:cs="Times New Roman"/>
          <w:color w:val="auto"/>
        </w:rPr>
        <w:t xml:space="preserve"> </w:t>
      </w:r>
      <w:r w:rsidRPr="001F7D09">
        <w:rPr>
          <w:rFonts w:ascii="Times New Roman" w:hAnsi="Times New Roman" w:cs="Times New Roman"/>
          <w:color w:val="auto"/>
        </w:rPr>
        <w:t>E</w:t>
      </w:r>
      <w:r w:rsidR="00407728" w:rsidRPr="001F7D09">
        <w:rPr>
          <w:rFonts w:ascii="Times New Roman" w:hAnsi="Times New Roman" w:cs="Times New Roman"/>
          <w:color w:val="auto"/>
        </w:rPr>
        <w:t>ur</w:t>
      </w:r>
      <w:r w:rsidR="00520FED" w:rsidRPr="001F7D09">
        <w:rPr>
          <w:rFonts w:ascii="Times New Roman" w:hAnsi="Times New Roman" w:cs="Times New Roman"/>
          <w:color w:val="auto"/>
        </w:rPr>
        <w:t>o</w:t>
      </w:r>
      <w:r w:rsidR="00407728" w:rsidRPr="001F7D09">
        <w:rPr>
          <w:rFonts w:ascii="Times New Roman" w:hAnsi="Times New Roman" w:cs="Times New Roman"/>
          <w:color w:val="auto"/>
        </w:rPr>
        <w:t>pejskiej</w:t>
      </w:r>
      <w:r w:rsidRPr="001F7D09">
        <w:rPr>
          <w:rFonts w:ascii="Times New Roman" w:hAnsi="Times New Roman" w:cs="Times New Roman"/>
          <w:color w:val="auto"/>
        </w:rPr>
        <w:t>, lecz również przyczynić</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się</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do większej zbieżności sankcji przewidzianych w przepisach zorientowanych na</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przeciwdziałanie praniu pieniędzy i finansowaniu terroryzmu.</w:t>
      </w:r>
      <w:r w:rsidR="003849B9" w:rsidRPr="001F7D09">
        <w:rPr>
          <w:rFonts w:ascii="Times New Roman" w:hAnsi="Times New Roman" w:cs="Times New Roman"/>
          <w:color w:val="auto"/>
        </w:rPr>
        <w:t xml:space="preserve"> </w:t>
      </w:r>
    </w:p>
    <w:p w14:paraId="6A34971E" w14:textId="56AA948C"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Z danych w systemie ESKS (moduł DEWIZY) wynika, że w 2019 r. dokonano 23 ujawnienia przewożonych nielegalnie środków pieniężnych w wysokości 50</w:t>
      </w:r>
      <w:r w:rsidR="00CD01E3" w:rsidRPr="001F7D09">
        <w:rPr>
          <w:rFonts w:ascii="Times New Roman" w:hAnsi="Times New Roman" w:cs="Times New Roman"/>
          <w:color w:val="auto"/>
        </w:rPr>
        <w:t> </w:t>
      </w:r>
      <w:r w:rsidRPr="001F7D09">
        <w:rPr>
          <w:rFonts w:ascii="Times New Roman" w:hAnsi="Times New Roman" w:cs="Times New Roman"/>
          <w:color w:val="auto"/>
        </w:rPr>
        <w:t xml:space="preserve">000 euro i powyżej na </w:t>
      </w:r>
      <w:r w:rsidRPr="001F7D09">
        <w:rPr>
          <w:rFonts w:ascii="Times New Roman" w:hAnsi="Times New Roman" w:cs="Times New Roman"/>
          <w:color w:val="auto"/>
        </w:rPr>
        <w:lastRenderedPageBreak/>
        <w:t>łączną kwotę 3</w:t>
      </w:r>
      <w:r w:rsidR="00CD01E3" w:rsidRPr="001F7D09">
        <w:rPr>
          <w:rFonts w:ascii="Times New Roman" w:hAnsi="Times New Roman" w:cs="Times New Roman"/>
          <w:color w:val="auto"/>
        </w:rPr>
        <w:t> </w:t>
      </w:r>
      <w:r w:rsidRPr="001F7D09">
        <w:rPr>
          <w:rFonts w:ascii="Times New Roman" w:hAnsi="Times New Roman" w:cs="Times New Roman"/>
          <w:color w:val="auto"/>
        </w:rPr>
        <w:t>032</w:t>
      </w:r>
      <w:r w:rsidR="00CD01E3" w:rsidRPr="001F7D09">
        <w:rPr>
          <w:rFonts w:ascii="Times New Roman" w:hAnsi="Times New Roman" w:cs="Times New Roman"/>
          <w:color w:val="auto"/>
        </w:rPr>
        <w:t> </w:t>
      </w:r>
      <w:r w:rsidRPr="001F7D09">
        <w:rPr>
          <w:rFonts w:ascii="Times New Roman" w:hAnsi="Times New Roman" w:cs="Times New Roman"/>
          <w:color w:val="auto"/>
        </w:rPr>
        <w:t>470 euro, przy czym największa ujawniona kwota wynosiła 1</w:t>
      </w:r>
      <w:r w:rsidR="00CD01E3" w:rsidRPr="001F7D09">
        <w:rPr>
          <w:rFonts w:ascii="Times New Roman" w:hAnsi="Times New Roman" w:cs="Times New Roman"/>
          <w:color w:val="auto"/>
        </w:rPr>
        <w:t> </w:t>
      </w:r>
      <w:r w:rsidRPr="001F7D09">
        <w:rPr>
          <w:rFonts w:ascii="Times New Roman" w:hAnsi="Times New Roman" w:cs="Times New Roman"/>
          <w:color w:val="auto"/>
        </w:rPr>
        <w:t>000</w:t>
      </w:r>
      <w:r w:rsidR="00CD01E3" w:rsidRPr="001F7D09">
        <w:rPr>
          <w:rFonts w:ascii="Times New Roman" w:hAnsi="Times New Roman" w:cs="Times New Roman"/>
          <w:color w:val="auto"/>
        </w:rPr>
        <w:t> </w:t>
      </w:r>
      <w:r w:rsidRPr="001F7D09">
        <w:rPr>
          <w:rFonts w:ascii="Times New Roman" w:hAnsi="Times New Roman" w:cs="Times New Roman"/>
          <w:color w:val="auto"/>
        </w:rPr>
        <w:t>000 euro. W</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2020 r. odnotowano 19 takich ujawnień na łączną kwotę 1</w:t>
      </w:r>
      <w:r w:rsidR="00CD01E3" w:rsidRPr="001F7D09">
        <w:rPr>
          <w:rFonts w:ascii="Times New Roman" w:hAnsi="Times New Roman" w:cs="Times New Roman"/>
          <w:color w:val="auto"/>
        </w:rPr>
        <w:t> </w:t>
      </w:r>
      <w:r w:rsidRPr="001F7D09">
        <w:rPr>
          <w:rFonts w:ascii="Times New Roman" w:hAnsi="Times New Roman" w:cs="Times New Roman"/>
          <w:color w:val="auto"/>
        </w:rPr>
        <w:t>657</w:t>
      </w:r>
      <w:r w:rsidR="00CD01E3" w:rsidRPr="001F7D09">
        <w:rPr>
          <w:rFonts w:ascii="Times New Roman" w:hAnsi="Times New Roman" w:cs="Times New Roman"/>
          <w:color w:val="auto"/>
        </w:rPr>
        <w:t> </w:t>
      </w:r>
      <w:r w:rsidRPr="001F7D09">
        <w:rPr>
          <w:rFonts w:ascii="Times New Roman" w:hAnsi="Times New Roman" w:cs="Times New Roman"/>
          <w:color w:val="auto"/>
        </w:rPr>
        <w:t>919 euro, a najwyższa kwota ujawnionych środków pieniężnych wyniosła 257</w:t>
      </w:r>
      <w:r w:rsidR="00CD01E3" w:rsidRPr="001F7D09">
        <w:rPr>
          <w:rFonts w:ascii="Times New Roman" w:hAnsi="Times New Roman" w:cs="Times New Roman"/>
          <w:color w:val="auto"/>
        </w:rPr>
        <w:t> </w:t>
      </w:r>
      <w:r w:rsidRPr="001F7D09">
        <w:rPr>
          <w:rFonts w:ascii="Times New Roman" w:hAnsi="Times New Roman" w:cs="Times New Roman"/>
          <w:color w:val="auto"/>
        </w:rPr>
        <w:t>957 euro.</w:t>
      </w:r>
    </w:p>
    <w:p w14:paraId="7E963D1A" w14:textId="5A91AE98"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Jedną z przyczyn takiego stanu rzeczy jest relatywnie niski maksymalny wymiar kary grzywny za wskazane zachowania. Oznacza to, że niezależnie od kwoty niezadeklarowanych wartości dewizowych lub krajowych środków płatniczych sprawca podlega tylko karze grzywny za</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 xml:space="preserve">wykroczenie skarbowe. </w:t>
      </w:r>
    </w:p>
    <w:p w14:paraId="77696D4F" w14:textId="0B7856D8" w:rsidR="00A17B91"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 xml:space="preserve">Objęcie art. 106f k.k.s. katalogiem czynów „przepołowionych” powinno mieć pozytywny wpływ na realizację obowiązku dokonywania rzetelnych zgłoszeń dewizowych przez </w:t>
      </w:r>
      <w:r w:rsidRPr="001F7D09">
        <w:rPr>
          <w:rFonts w:ascii="Times New Roman" w:hAnsi="Times New Roman" w:cs="Times New Roman"/>
          <w:color w:val="auto"/>
        </w:rPr>
        <w:lastRenderedPageBreak/>
        <w:t xml:space="preserve">rezydentów i nierezydentów przy przekraczaniu granicy Unii Europejskiej. Zagrożenie karą grzywny w wysokości do 720 stawek dziennych ma za zadanie zniechęcić osoby przewożące środki pieniężne do świadomego uchylania się od przedmiotowego obowiązku. </w:t>
      </w:r>
      <w:r w:rsidR="00A17B91" w:rsidRPr="001F7D09">
        <w:rPr>
          <w:rFonts w:ascii="Times New Roman" w:hAnsi="Times New Roman" w:cs="Times New Roman"/>
          <w:color w:val="auto"/>
        </w:rPr>
        <w:t>Jednocześnie wyłączono realizację czynności kontrolnych w zakresie przewozu środków pieniężnych przez funkcjonariuszy Straży Granicznej, co powoduje konieczność dostosowania przepisów k.k.s. do zmienionego katalogu organów wykonujących czynności kontrolne oraz uprawnionych do prowadzenia postępowania przygotowawczego.</w:t>
      </w:r>
    </w:p>
    <w:p w14:paraId="415A69AD" w14:textId="3DACC163"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 xml:space="preserve">Propozycja zmiany k.k.s. jest zgodna z przepisami unijnymi, a także międzynarodowymi standardami wyznaczonymi przez Grupę Specjalną ds. Przeciwdziałania Praniu Pieniędzy </w:t>
      </w:r>
      <w:r w:rsidRPr="001F7D09">
        <w:rPr>
          <w:rFonts w:ascii="Times New Roman" w:hAnsi="Times New Roman" w:cs="Times New Roman"/>
          <w:color w:val="auto"/>
        </w:rPr>
        <w:lastRenderedPageBreak/>
        <w:t>(FATF), wskazującymi na potrzebę zastosowania efektywnych, proporcjonalnych i</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 xml:space="preserve">odstraszających sankcji w stosunku do osób, które wbrew obowiązkowi nie dokonują zgłoszeń przewozu środków pieniężnych, bądź składają fałszywe deklaracje. </w:t>
      </w:r>
    </w:p>
    <w:p w14:paraId="4494EF82" w14:textId="35966320"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Należy wskazać, że w ustawie z dnia 1 marca 2018 r. o przeciwdziałaniu praniu pieniędzy oraz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finansowaniu terroryzmu dokonano penalizacji szerokiego wachlarza zachowań, które zostały zakwalifikowane jako przestępstwa. W doktrynie zwrócono uwagę, że decyzja ta</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zasługuje na aprobatę ze względu na szczególną szkodliwość działań związanych 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 xml:space="preserve">ukrywaniem przestępnego pochodzenia środków oraz zmierzających do finansowania terroryzmu. </w:t>
      </w:r>
    </w:p>
    <w:p w14:paraId="20B52A04" w14:textId="77777777"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lastRenderedPageBreak/>
        <w:t>Kwalifikowanie karalnego zachowania, o którym mowa w art. 106f k.k.s., wyłącznie jako wykroczenia skarbowego należy więc uznać za nieadekwatne w stosunku do roli tego przepisu w krajowym systemie przeciwdziałania tego rodzaju przestępstwom.</w:t>
      </w:r>
    </w:p>
    <w:p w14:paraId="6119A27C" w14:textId="77777777" w:rsidR="00C933A4" w:rsidRPr="001F7D09" w:rsidRDefault="00C933A4" w:rsidP="001F7D09">
      <w:pPr>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Propozycja zmiany w art. 3 § 4 k.k.s. jest konsekwencją zmiany zaproponowanej w art. 106f k.k.s.</w:t>
      </w:r>
    </w:p>
    <w:p w14:paraId="2F7B5061" w14:textId="0583DAAA" w:rsidR="00C933A4" w:rsidRPr="001F7D09" w:rsidRDefault="00C933A4" w:rsidP="001F7D09">
      <w:pPr>
        <w:spacing w:before="120" w:after="120" w:line="360" w:lineRule="auto"/>
        <w:jc w:val="both"/>
        <w:rPr>
          <w:rFonts w:ascii="Times New Roman" w:eastAsia="Calibri" w:hAnsi="Times New Roman" w:cs="Times New Roman"/>
          <w:color w:val="auto"/>
          <w:lang w:val="pl-PL" w:eastAsia="en-US"/>
        </w:rPr>
      </w:pPr>
      <w:r w:rsidRPr="001F7D09">
        <w:rPr>
          <w:rFonts w:ascii="Times New Roman" w:eastAsia="Times New Roman" w:hAnsi="Times New Roman" w:cs="Times New Roman"/>
        </w:rPr>
        <w:t xml:space="preserve">Ponadto wyjaśnienia wymaga podejście do regulacji </w:t>
      </w:r>
      <w:r w:rsidRPr="001F7D09">
        <w:rPr>
          <w:rFonts w:ascii="Times New Roman" w:eastAsia="Times New Roman" w:hAnsi="Times New Roman" w:cs="Times New Roman"/>
          <w:color w:val="auto"/>
          <w:lang w:val="pl-PL"/>
        </w:rPr>
        <w:t>art. 7 rozporządzenia 2018/1672 i rezygnacji z wprowadzenia zmian w prawie krajowym w zakresie przewidzianym w tym przepisie, tj.</w:t>
      </w:r>
      <w:r w:rsidR="003849B9" w:rsidRPr="001F7D09">
        <w:rPr>
          <w:rFonts w:ascii="Times New Roman" w:eastAsia="Times New Roman" w:hAnsi="Times New Roman" w:cs="Times New Roman"/>
          <w:color w:val="auto"/>
          <w:lang w:val="pl-PL"/>
        </w:rPr>
        <w:t xml:space="preserve"> </w:t>
      </w:r>
      <w:r w:rsidRPr="001F7D09">
        <w:rPr>
          <w:rFonts w:ascii="Times New Roman" w:eastAsia="Calibri" w:hAnsi="Times New Roman" w:cs="Times New Roman"/>
          <w:color w:val="auto"/>
          <w:lang w:val="pl-PL" w:eastAsia="en-US"/>
        </w:rPr>
        <w:t xml:space="preserve">możliwości tymczasowego zatrzymania przez właściwe organy środków pieniężnych w drodze decyzji administracyjnej zgodnie z warunkami określonymi w prawie krajowym, w określonych przypadkach, jak i przewidzianego w tej regulacji </w:t>
      </w:r>
      <w:r w:rsidRPr="001F7D09">
        <w:rPr>
          <w:rFonts w:ascii="Times New Roman" w:eastAsia="Calibri" w:hAnsi="Times New Roman" w:cs="Times New Roman"/>
          <w:color w:val="auto"/>
          <w:lang w:val="pl-PL" w:eastAsia="en-US"/>
        </w:rPr>
        <w:lastRenderedPageBreak/>
        <w:t xml:space="preserve">trybu odwoławczego oraz ustalonego okresu zatrzymania środków pieniężnych (30 i maksymalnie 90 dni). </w:t>
      </w:r>
    </w:p>
    <w:p w14:paraId="28C77135" w14:textId="77777777" w:rsidR="00C933A4" w:rsidRPr="001F7D09" w:rsidRDefault="00C933A4" w:rsidP="001F7D09">
      <w:pPr>
        <w:spacing w:before="120" w:after="120" w:line="360" w:lineRule="auto"/>
        <w:jc w:val="both"/>
        <w:rPr>
          <w:rFonts w:ascii="Times New Roman" w:eastAsia="Calibri" w:hAnsi="Times New Roman" w:cs="Times New Roman"/>
          <w:color w:val="auto"/>
          <w:lang w:val="pl-PL" w:eastAsia="en-US"/>
        </w:rPr>
      </w:pPr>
      <w:r w:rsidRPr="001F7D09">
        <w:rPr>
          <w:rFonts w:ascii="Times New Roman" w:eastAsia="Calibri" w:hAnsi="Times New Roman" w:cs="Times New Roman"/>
          <w:color w:val="auto"/>
          <w:lang w:val="pl-PL" w:eastAsia="en-US"/>
        </w:rPr>
        <w:t>W odniesieniu do powyżej wskazanego tymczasowego zatrzymania środków pieniężnych zasadne jest kontynuowanie stosowania procedury karnej i karnej skarbowej.</w:t>
      </w:r>
    </w:p>
    <w:p w14:paraId="064EBB2D" w14:textId="4880E6B5" w:rsidR="00C933A4" w:rsidRPr="001F7D09" w:rsidRDefault="00B55BF6" w:rsidP="001F7D09">
      <w:pPr>
        <w:spacing w:before="120" w:after="120" w:line="360" w:lineRule="auto"/>
        <w:jc w:val="both"/>
        <w:rPr>
          <w:rFonts w:ascii="Times New Roman" w:eastAsia="Calibri" w:hAnsi="Times New Roman" w:cs="Times New Roman"/>
          <w:color w:val="auto"/>
          <w:lang w:val="pl-PL" w:eastAsia="en-US"/>
        </w:rPr>
      </w:pPr>
      <w:r w:rsidRPr="001F7D09">
        <w:rPr>
          <w:rFonts w:ascii="Times New Roman" w:eastAsia="Calibri" w:hAnsi="Times New Roman" w:cs="Times New Roman"/>
          <w:color w:val="auto"/>
          <w:lang w:val="pl-PL" w:eastAsia="en-US"/>
        </w:rPr>
        <w:t xml:space="preserve">Finansowe organy postępowania przygotowawczego </w:t>
      </w:r>
      <w:r w:rsidR="00C933A4" w:rsidRPr="001F7D09">
        <w:rPr>
          <w:rFonts w:ascii="Times New Roman" w:eastAsia="Calibri" w:hAnsi="Times New Roman" w:cs="Times New Roman"/>
          <w:color w:val="auto"/>
          <w:lang w:val="pl-PL" w:eastAsia="en-US"/>
        </w:rPr>
        <w:t>działają obecnie na podstawie przepisów ustawy z dnia 10</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września 1999</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r. – Kodeks karny skarbowy, ustawy z dnia 6 czerwca 1997 r. – Kodeks karny (Dz. U. z</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202</w:t>
      </w:r>
      <w:r w:rsidR="00553961" w:rsidRPr="001F7D09">
        <w:rPr>
          <w:rFonts w:ascii="Times New Roman" w:eastAsia="Calibri" w:hAnsi="Times New Roman" w:cs="Times New Roman"/>
          <w:color w:val="auto"/>
          <w:lang w:val="pl-PL" w:eastAsia="en-US"/>
        </w:rPr>
        <w:t>4</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r. poz.</w:t>
      </w:r>
      <w:r w:rsidR="004267F9" w:rsidRPr="001F7D09">
        <w:rPr>
          <w:rFonts w:ascii="Times New Roman" w:eastAsia="Calibri" w:hAnsi="Times New Roman" w:cs="Times New Roman"/>
          <w:color w:val="auto"/>
          <w:lang w:val="pl-PL" w:eastAsia="en-US"/>
        </w:rPr>
        <w:t xml:space="preserve"> </w:t>
      </w:r>
      <w:r w:rsidR="00C9244D" w:rsidRPr="001F7D09">
        <w:rPr>
          <w:rFonts w:ascii="Times New Roman" w:eastAsia="Calibri" w:hAnsi="Times New Roman" w:cs="Times New Roman"/>
          <w:color w:val="auto"/>
          <w:lang w:val="pl-PL" w:eastAsia="en-US"/>
        </w:rPr>
        <w:t>1</w:t>
      </w:r>
      <w:r w:rsidR="00553961" w:rsidRPr="001F7D09">
        <w:rPr>
          <w:rFonts w:ascii="Times New Roman" w:eastAsia="Calibri" w:hAnsi="Times New Roman" w:cs="Times New Roman"/>
          <w:color w:val="auto"/>
          <w:lang w:val="pl-PL" w:eastAsia="en-US"/>
        </w:rPr>
        <w:t>7</w:t>
      </w:r>
      <w:r w:rsidR="00C933A4" w:rsidRPr="001F7D09">
        <w:rPr>
          <w:rFonts w:ascii="Times New Roman" w:eastAsia="Calibri" w:hAnsi="Times New Roman" w:cs="Times New Roman"/>
          <w:color w:val="auto"/>
          <w:lang w:val="pl-PL" w:eastAsia="en-US"/>
        </w:rPr>
        <w:t>), zwanej dalej „k.k.” oraz ustawy z</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dnia 6</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czerwca 1997</w:t>
      </w:r>
      <w:r w:rsidR="003849B9" w:rsidRPr="001F7D09">
        <w:rPr>
          <w:rFonts w:ascii="Times New Roman" w:eastAsia="Calibri" w:hAnsi="Times New Roman" w:cs="Times New Roman"/>
          <w:color w:val="auto"/>
          <w:lang w:val="pl-PL" w:eastAsia="en-US"/>
        </w:rPr>
        <w:t xml:space="preserve"> </w:t>
      </w:r>
      <w:r w:rsidR="00C933A4" w:rsidRPr="001F7D09">
        <w:rPr>
          <w:rFonts w:ascii="Times New Roman" w:eastAsia="Calibri" w:hAnsi="Times New Roman" w:cs="Times New Roman"/>
          <w:color w:val="auto"/>
          <w:lang w:val="pl-PL" w:eastAsia="en-US"/>
        </w:rPr>
        <w:t>r. – Kodeks postępowania karnego (Dz. U. z 202</w:t>
      </w:r>
      <w:r w:rsidR="00553961" w:rsidRPr="001F7D09">
        <w:rPr>
          <w:rFonts w:ascii="Times New Roman" w:eastAsia="Calibri" w:hAnsi="Times New Roman" w:cs="Times New Roman"/>
          <w:color w:val="auto"/>
          <w:lang w:val="pl-PL" w:eastAsia="en-US"/>
        </w:rPr>
        <w:t>4</w:t>
      </w:r>
      <w:r w:rsidR="00C933A4" w:rsidRPr="001F7D09">
        <w:rPr>
          <w:rFonts w:ascii="Times New Roman" w:eastAsia="Calibri" w:hAnsi="Times New Roman" w:cs="Times New Roman"/>
          <w:color w:val="auto"/>
          <w:lang w:val="pl-PL" w:eastAsia="en-US"/>
        </w:rPr>
        <w:t xml:space="preserve"> r. poz.</w:t>
      </w:r>
      <w:r w:rsidR="00C9244D" w:rsidRPr="001F7D09">
        <w:rPr>
          <w:rFonts w:ascii="Times New Roman" w:eastAsia="Calibri" w:hAnsi="Times New Roman" w:cs="Times New Roman"/>
          <w:color w:val="auto"/>
          <w:lang w:val="pl-PL" w:eastAsia="en-US"/>
        </w:rPr>
        <w:t xml:space="preserve"> </w:t>
      </w:r>
      <w:r w:rsidR="00553961" w:rsidRPr="001F7D09">
        <w:rPr>
          <w:rFonts w:ascii="Times New Roman" w:eastAsia="Calibri" w:hAnsi="Times New Roman" w:cs="Times New Roman"/>
          <w:color w:val="auto"/>
          <w:lang w:val="pl-PL" w:eastAsia="en-US"/>
        </w:rPr>
        <w:t>37</w:t>
      </w:r>
      <w:r w:rsidR="00C933A4" w:rsidRPr="001F7D09">
        <w:rPr>
          <w:rFonts w:ascii="Times New Roman" w:eastAsia="Calibri" w:hAnsi="Times New Roman" w:cs="Times New Roman"/>
          <w:color w:val="auto"/>
          <w:lang w:val="pl-PL" w:eastAsia="en-US"/>
        </w:rPr>
        <w:t>).</w:t>
      </w:r>
    </w:p>
    <w:p w14:paraId="156F5450" w14:textId="3FDB3755" w:rsidR="00C933A4" w:rsidRPr="001F7D09" w:rsidRDefault="00C933A4" w:rsidP="001F7D09">
      <w:pPr>
        <w:spacing w:before="120" w:after="120" w:line="360" w:lineRule="auto"/>
        <w:contextualSpacing/>
        <w:jc w:val="both"/>
        <w:rPr>
          <w:rFonts w:ascii="Times New Roman" w:eastAsia="Calibri" w:hAnsi="Times New Roman" w:cs="Times New Roman"/>
          <w:color w:val="auto"/>
          <w:lang w:val="pl-PL" w:eastAsia="en-US"/>
        </w:rPr>
      </w:pPr>
      <w:r w:rsidRPr="001F7D09">
        <w:rPr>
          <w:rFonts w:ascii="Times New Roman" w:eastAsia="Calibri" w:hAnsi="Times New Roman" w:cs="Times New Roman"/>
          <w:color w:val="auto"/>
          <w:lang w:val="pl-PL" w:eastAsia="en-US"/>
        </w:rPr>
        <w:t>Niedopełnienie obowiązków wynikających z rozporządzenia 2018/1672 polegających</w:t>
      </w:r>
      <w:r w:rsidR="00B55BF6" w:rsidRPr="001F7D09">
        <w:rPr>
          <w:rFonts w:ascii="Times New Roman" w:eastAsia="Calibri" w:hAnsi="Times New Roman" w:cs="Times New Roman"/>
          <w:color w:val="auto"/>
          <w:lang w:val="pl-PL" w:eastAsia="en-US"/>
        </w:rPr>
        <w:t xml:space="preserve"> n</w:t>
      </w:r>
      <w:r w:rsidRPr="001F7D09">
        <w:rPr>
          <w:rFonts w:ascii="Times New Roman" w:eastAsia="Calibri" w:hAnsi="Times New Roman" w:cs="Times New Roman"/>
          <w:color w:val="auto"/>
          <w:lang w:val="pl-PL" w:eastAsia="en-US"/>
        </w:rPr>
        <w:t>a</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zgłaszaniu lub przedstawianiu na żądanie właściwych organów wwozu środków pieniężnych do</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lastRenderedPageBreak/>
        <w:t>U</w:t>
      </w:r>
      <w:r w:rsidR="00B55BF6" w:rsidRPr="001F7D09">
        <w:rPr>
          <w:rFonts w:ascii="Times New Roman" w:eastAsia="Calibri" w:hAnsi="Times New Roman" w:cs="Times New Roman"/>
          <w:color w:val="auto"/>
          <w:lang w:val="pl-PL" w:eastAsia="en-US"/>
        </w:rPr>
        <w:t xml:space="preserve">nii </w:t>
      </w:r>
      <w:r w:rsidRPr="001F7D09">
        <w:rPr>
          <w:rFonts w:ascii="Times New Roman" w:eastAsia="Calibri" w:hAnsi="Times New Roman" w:cs="Times New Roman"/>
          <w:color w:val="auto"/>
          <w:lang w:val="pl-PL" w:eastAsia="en-US"/>
        </w:rPr>
        <w:t>E</w:t>
      </w:r>
      <w:r w:rsidR="00B55BF6" w:rsidRPr="001F7D09">
        <w:rPr>
          <w:rFonts w:ascii="Times New Roman" w:eastAsia="Calibri" w:hAnsi="Times New Roman" w:cs="Times New Roman"/>
          <w:color w:val="auto"/>
          <w:lang w:val="pl-PL" w:eastAsia="en-US"/>
        </w:rPr>
        <w:t>uropejskiej</w:t>
      </w:r>
      <w:r w:rsidRPr="001F7D09">
        <w:rPr>
          <w:rFonts w:ascii="Times New Roman" w:eastAsia="Calibri" w:hAnsi="Times New Roman" w:cs="Times New Roman"/>
          <w:color w:val="auto"/>
          <w:lang w:val="pl-PL" w:eastAsia="en-US"/>
        </w:rPr>
        <w:t xml:space="preserve"> i wywozu środków pieniężnych z U</w:t>
      </w:r>
      <w:r w:rsidR="00B55BF6" w:rsidRPr="001F7D09">
        <w:rPr>
          <w:rFonts w:ascii="Times New Roman" w:eastAsia="Calibri" w:hAnsi="Times New Roman" w:cs="Times New Roman"/>
          <w:color w:val="auto"/>
          <w:lang w:val="pl-PL" w:eastAsia="en-US"/>
        </w:rPr>
        <w:t xml:space="preserve">nii </w:t>
      </w:r>
      <w:r w:rsidRPr="001F7D09">
        <w:rPr>
          <w:rFonts w:ascii="Times New Roman" w:eastAsia="Calibri" w:hAnsi="Times New Roman" w:cs="Times New Roman"/>
          <w:color w:val="auto"/>
          <w:lang w:val="pl-PL" w:eastAsia="en-US"/>
        </w:rPr>
        <w:t>E</w:t>
      </w:r>
      <w:r w:rsidR="00B55BF6" w:rsidRPr="001F7D09">
        <w:rPr>
          <w:rFonts w:ascii="Times New Roman" w:eastAsia="Calibri" w:hAnsi="Times New Roman" w:cs="Times New Roman"/>
          <w:color w:val="auto"/>
          <w:lang w:val="pl-PL" w:eastAsia="en-US"/>
        </w:rPr>
        <w:t>uropejskiej</w:t>
      </w:r>
      <w:r w:rsidRPr="001F7D09">
        <w:rPr>
          <w:rFonts w:ascii="Times New Roman" w:eastAsia="Calibri" w:hAnsi="Times New Roman" w:cs="Times New Roman"/>
          <w:color w:val="auto"/>
          <w:lang w:val="pl-PL" w:eastAsia="en-US"/>
        </w:rPr>
        <w:t xml:space="preserve"> penalizowane jest w</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przepisach k.k.s. Wskazać tutaj należy przede wszystkim na powyżej wymienione art. 106f i</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106h k.k.s. Ponadto projektowane zmiany w k.k.s. obejmują wprowadzenie przestępstwa skarbowego penalizującego niezgłoszenie przewozu środków pieniężnych powyżej określonego progu kwotowego.</w:t>
      </w:r>
    </w:p>
    <w:p w14:paraId="6B0245EB" w14:textId="4F753C05" w:rsidR="00C933A4" w:rsidRPr="001F7D09" w:rsidRDefault="00C933A4" w:rsidP="001F7D09">
      <w:pPr>
        <w:spacing w:before="120" w:after="120" w:line="360" w:lineRule="auto"/>
        <w:jc w:val="both"/>
        <w:rPr>
          <w:rFonts w:ascii="Times New Roman" w:eastAsia="Calibri" w:hAnsi="Times New Roman" w:cs="Times New Roman"/>
          <w:color w:val="auto"/>
          <w:lang w:val="pl-PL" w:eastAsia="en-US"/>
        </w:rPr>
      </w:pPr>
      <w:r w:rsidRPr="001F7D09">
        <w:rPr>
          <w:rFonts w:ascii="Times New Roman" w:eastAsia="Calibri" w:hAnsi="Times New Roman" w:cs="Times New Roman"/>
          <w:color w:val="auto"/>
          <w:lang w:val="pl-PL" w:eastAsia="en-US"/>
        </w:rPr>
        <w:t>Natomiast w przypadku wszczęcia śledztwa o czyn z</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art.</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299</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k.k., oprócz niezwłocznego zatrzymania środków pieniężnych, co do których zachodzi podejrzenie, że są związane z</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działalnością przestępczą, istotne jest, że organ prowadzący postępowanie przygotowawcze ma</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szeroki wachlarz środków dowodowych (w tym może wykorzystać w procesie materiały operacyjno-rozpoznawcze).</w:t>
      </w:r>
    </w:p>
    <w:p w14:paraId="514145CD" w14:textId="26CE9F18" w:rsidR="00C933A4" w:rsidRPr="001F7D09" w:rsidRDefault="00C933A4" w:rsidP="001F7D09">
      <w:pPr>
        <w:spacing w:before="120" w:after="120" w:line="360" w:lineRule="auto"/>
        <w:contextualSpacing/>
        <w:jc w:val="both"/>
        <w:rPr>
          <w:rFonts w:ascii="Times New Roman" w:eastAsia="Calibri" w:hAnsi="Times New Roman" w:cs="Times New Roman"/>
          <w:color w:val="auto"/>
          <w:lang w:val="pl-PL" w:eastAsia="en-US"/>
        </w:rPr>
      </w:pPr>
      <w:r w:rsidRPr="001F7D09">
        <w:rPr>
          <w:rFonts w:ascii="Times New Roman" w:eastAsia="Calibri" w:hAnsi="Times New Roman" w:cs="Times New Roman"/>
          <w:color w:val="auto"/>
          <w:lang w:val="pl-PL" w:eastAsia="en-US"/>
        </w:rPr>
        <w:lastRenderedPageBreak/>
        <w:t>Zastosowanie trybu postępowania karnego i karnego skarbowego zapewnia w praktyce szybkie i</w:t>
      </w:r>
      <w:r w:rsidR="003849B9" w:rsidRPr="001F7D09">
        <w:rPr>
          <w:rFonts w:ascii="Times New Roman" w:eastAsia="Calibri" w:hAnsi="Times New Roman" w:cs="Times New Roman"/>
          <w:color w:val="auto"/>
          <w:lang w:val="pl-PL" w:eastAsia="en-US"/>
        </w:rPr>
        <w:t xml:space="preserve"> </w:t>
      </w:r>
      <w:r w:rsidRPr="001F7D09">
        <w:rPr>
          <w:rFonts w:ascii="Times New Roman" w:eastAsia="Calibri" w:hAnsi="Times New Roman" w:cs="Times New Roman"/>
          <w:color w:val="auto"/>
          <w:lang w:val="pl-PL" w:eastAsia="en-US"/>
        </w:rPr>
        <w:t xml:space="preserve">sprawne egzekwowanie nałożonych sankcji karnych za niedopełnienie obowiązku zgłoszenia przewozu środków pieniężnych. </w:t>
      </w:r>
    </w:p>
    <w:p w14:paraId="501FA602" w14:textId="77777777" w:rsidR="00C933A4" w:rsidRPr="001F7D09" w:rsidRDefault="00C933A4" w:rsidP="001F7D09">
      <w:pPr>
        <w:spacing w:before="120" w:after="120" w:line="360" w:lineRule="auto"/>
        <w:jc w:val="both"/>
        <w:rPr>
          <w:rFonts w:ascii="Times New Roman" w:eastAsia="Calibri" w:hAnsi="Times New Roman" w:cs="Times New Roman"/>
          <w:color w:val="auto"/>
          <w:lang w:val="pl-PL" w:eastAsia="en-US"/>
        </w:rPr>
      </w:pPr>
      <w:r w:rsidRPr="001F7D09">
        <w:rPr>
          <w:rFonts w:ascii="Times New Roman" w:eastAsia="Calibri" w:hAnsi="Times New Roman" w:cs="Times New Roman"/>
          <w:color w:val="auto"/>
          <w:lang w:val="pl-PL" w:eastAsia="en-US"/>
        </w:rPr>
        <w:t>Dotychczasowe rozwiązania, projektowane zmiany w k.k.s. oraz dotychczasowa praktyka stosowania procedury karnej i karnej skarbowej w odniesieniu do zatrzymania środków pieniężnych zapewniają skuteczne działania Służby Celno-Skarbowej w zakresie kontroli środków pieniężnych przewożonych przez granice.</w:t>
      </w:r>
    </w:p>
    <w:p w14:paraId="69308114" w14:textId="77777777" w:rsidR="00B351A9" w:rsidRPr="001F7D09" w:rsidRDefault="00C933A4" w:rsidP="001F7D09">
      <w:pPr>
        <w:pStyle w:val="Bodytext20"/>
        <w:spacing w:before="120" w:after="120" w:line="360" w:lineRule="auto"/>
        <w:jc w:val="both"/>
        <w:rPr>
          <w:sz w:val="24"/>
          <w:szCs w:val="24"/>
        </w:rPr>
      </w:pPr>
      <w:r w:rsidRPr="001F7D09">
        <w:rPr>
          <w:b/>
          <w:sz w:val="24"/>
          <w:szCs w:val="24"/>
        </w:rPr>
        <w:t xml:space="preserve">Art. </w:t>
      </w:r>
      <w:r w:rsidR="00830561" w:rsidRPr="001F7D09">
        <w:rPr>
          <w:b/>
          <w:sz w:val="24"/>
          <w:szCs w:val="24"/>
        </w:rPr>
        <w:t>3</w:t>
      </w:r>
      <w:r w:rsidRPr="001F7D09">
        <w:rPr>
          <w:sz w:val="24"/>
          <w:szCs w:val="24"/>
        </w:rPr>
        <w:t xml:space="preserve"> projektu</w:t>
      </w:r>
    </w:p>
    <w:p w14:paraId="04D4BAC1" w14:textId="769B478D" w:rsidR="00235BB6" w:rsidRPr="001F7D09" w:rsidRDefault="00235BB6" w:rsidP="001F7D09">
      <w:pPr>
        <w:pStyle w:val="Bodytext20"/>
        <w:spacing w:before="120" w:after="120" w:line="360" w:lineRule="auto"/>
        <w:jc w:val="both"/>
        <w:rPr>
          <w:sz w:val="24"/>
          <w:szCs w:val="24"/>
        </w:rPr>
      </w:pPr>
      <w:r w:rsidRPr="001F7D09">
        <w:rPr>
          <w:sz w:val="24"/>
          <w:szCs w:val="24"/>
        </w:rPr>
        <w:t>Zmiany wprowadzono także w ustawie z dnia 27 lipca 2002 r. – Prawo dewizowe. W art. 12 w</w:t>
      </w:r>
      <w:r w:rsidR="003849B9" w:rsidRPr="001F7D09">
        <w:rPr>
          <w:sz w:val="24"/>
          <w:szCs w:val="24"/>
        </w:rPr>
        <w:t xml:space="preserve"> </w:t>
      </w:r>
      <w:r w:rsidRPr="001F7D09">
        <w:rPr>
          <w:sz w:val="24"/>
          <w:szCs w:val="24"/>
        </w:rPr>
        <w:t xml:space="preserve">ust. 1 w pkt 2 tej ustawy należy skreślić wyraz „umyślne”, ponieważ w obowiązującym </w:t>
      </w:r>
      <w:r w:rsidRPr="001F7D09">
        <w:rPr>
          <w:sz w:val="24"/>
          <w:szCs w:val="24"/>
        </w:rPr>
        <w:lastRenderedPageBreak/>
        <w:t>przepisie art. 12 ustawy – Prawo dewizowe, w ust. 1 w pkt 1 jest</w:t>
      </w:r>
      <w:r w:rsidR="003849B9" w:rsidRPr="001F7D09">
        <w:rPr>
          <w:sz w:val="24"/>
          <w:szCs w:val="24"/>
        </w:rPr>
        <w:t xml:space="preserve"> </w:t>
      </w:r>
      <w:r w:rsidRPr="001F7D09">
        <w:rPr>
          <w:sz w:val="24"/>
          <w:szCs w:val="24"/>
        </w:rPr>
        <w:t>mowa o przestępstwach skarbowych, a zatem zarówno umyślnych, jak i nieumyślnych, a</w:t>
      </w:r>
      <w:r w:rsidR="003849B9" w:rsidRPr="001F7D09">
        <w:rPr>
          <w:sz w:val="24"/>
          <w:szCs w:val="24"/>
        </w:rPr>
        <w:t xml:space="preserve"> </w:t>
      </w:r>
      <w:r w:rsidRPr="001F7D09">
        <w:rPr>
          <w:sz w:val="24"/>
          <w:szCs w:val="24"/>
        </w:rPr>
        <w:t>w</w:t>
      </w:r>
      <w:r w:rsidR="003849B9" w:rsidRPr="001F7D09">
        <w:rPr>
          <w:sz w:val="24"/>
          <w:szCs w:val="24"/>
        </w:rPr>
        <w:t xml:space="preserve"> </w:t>
      </w:r>
      <w:r w:rsidRPr="001F7D09">
        <w:rPr>
          <w:sz w:val="24"/>
          <w:szCs w:val="24"/>
        </w:rPr>
        <w:t>pkt</w:t>
      </w:r>
      <w:r w:rsidR="003849B9" w:rsidRPr="001F7D09">
        <w:rPr>
          <w:sz w:val="24"/>
          <w:szCs w:val="24"/>
        </w:rPr>
        <w:t xml:space="preserve"> </w:t>
      </w:r>
      <w:r w:rsidRPr="001F7D09">
        <w:rPr>
          <w:sz w:val="24"/>
          <w:szCs w:val="24"/>
        </w:rPr>
        <w:t>2 jest, jeżeli chodzi o zakres przestępstw, odesłanie do pkt 1.</w:t>
      </w:r>
      <w:r w:rsidR="006E7237" w:rsidRPr="001F7D09">
        <w:rPr>
          <w:sz w:val="24"/>
          <w:szCs w:val="24"/>
        </w:rPr>
        <w:t xml:space="preserve"> Mając na uwadze</w:t>
      </w:r>
      <w:r w:rsidR="00C518AB" w:rsidRPr="001F7D09">
        <w:rPr>
          <w:sz w:val="24"/>
          <w:szCs w:val="24"/>
        </w:rPr>
        <w:t>, iż</w:t>
      </w:r>
      <w:r w:rsidR="003849B9" w:rsidRPr="001F7D09">
        <w:rPr>
          <w:sz w:val="24"/>
          <w:szCs w:val="24"/>
        </w:rPr>
        <w:t xml:space="preserve"> </w:t>
      </w:r>
      <w:r w:rsidR="00860E85" w:rsidRPr="001F7D09">
        <w:rPr>
          <w:sz w:val="24"/>
          <w:szCs w:val="24"/>
        </w:rPr>
        <w:t>osoby fizyczne objęte regulacjami art. 12 ust. 1 pkt 2 oraz ust. 2 u.p.d.</w:t>
      </w:r>
      <w:r w:rsidR="003849B9" w:rsidRPr="001F7D09">
        <w:rPr>
          <w:sz w:val="24"/>
          <w:szCs w:val="24"/>
        </w:rPr>
        <w:t xml:space="preserve"> </w:t>
      </w:r>
      <w:r w:rsidR="00C518AB" w:rsidRPr="001F7D09">
        <w:rPr>
          <w:sz w:val="24"/>
          <w:szCs w:val="24"/>
        </w:rPr>
        <w:t>mogą na dzień wejścia w życie projektowanej zmiany nie spełniać nowego warunku niekaralności za przestępstwa skarbowe popełnione nieumyślnie</w:t>
      </w:r>
      <w:r w:rsidR="008E7522" w:rsidRPr="001F7D09">
        <w:rPr>
          <w:sz w:val="24"/>
          <w:szCs w:val="24"/>
        </w:rPr>
        <w:t>,</w:t>
      </w:r>
      <w:r w:rsidR="00C518AB" w:rsidRPr="001F7D09">
        <w:rPr>
          <w:sz w:val="24"/>
          <w:szCs w:val="24"/>
        </w:rPr>
        <w:t xml:space="preserve"> </w:t>
      </w:r>
      <w:r w:rsidR="00860E85" w:rsidRPr="001F7D09">
        <w:rPr>
          <w:sz w:val="24"/>
          <w:szCs w:val="24"/>
        </w:rPr>
        <w:t xml:space="preserve">wprowadzono </w:t>
      </w:r>
      <w:r w:rsidR="003E399D" w:rsidRPr="001F7D09">
        <w:rPr>
          <w:sz w:val="24"/>
          <w:szCs w:val="24"/>
        </w:rPr>
        <w:t>dłuższe vacatio legis w</w:t>
      </w:r>
      <w:r w:rsidR="003849B9" w:rsidRPr="001F7D09">
        <w:rPr>
          <w:sz w:val="24"/>
          <w:szCs w:val="24"/>
        </w:rPr>
        <w:t xml:space="preserve"> </w:t>
      </w:r>
      <w:r w:rsidR="003E399D" w:rsidRPr="001F7D09">
        <w:rPr>
          <w:sz w:val="24"/>
          <w:szCs w:val="24"/>
        </w:rPr>
        <w:t>tym zakresie, które</w:t>
      </w:r>
      <w:r w:rsidR="00860E85" w:rsidRPr="001F7D09">
        <w:rPr>
          <w:sz w:val="24"/>
          <w:szCs w:val="24"/>
        </w:rPr>
        <w:t xml:space="preserve"> umożliwi</w:t>
      </w:r>
      <w:r w:rsidR="003E399D" w:rsidRPr="001F7D09">
        <w:rPr>
          <w:sz w:val="24"/>
          <w:szCs w:val="24"/>
        </w:rPr>
        <w:t xml:space="preserve">ć ma </w:t>
      </w:r>
      <w:r w:rsidR="00860E85" w:rsidRPr="001F7D09">
        <w:rPr>
          <w:sz w:val="24"/>
          <w:szCs w:val="24"/>
        </w:rPr>
        <w:t>przeprowadzenie ewentualnych</w:t>
      </w:r>
      <w:r w:rsidR="00831B2F" w:rsidRPr="001F7D09">
        <w:rPr>
          <w:sz w:val="24"/>
          <w:szCs w:val="24"/>
        </w:rPr>
        <w:t xml:space="preserve"> </w:t>
      </w:r>
      <w:r w:rsidR="00860E85" w:rsidRPr="001F7D09">
        <w:rPr>
          <w:sz w:val="24"/>
          <w:szCs w:val="24"/>
        </w:rPr>
        <w:t>zmian organizacyjno-ustrojowych (np. zmiany składu zarządu spółki) przez podmioty wykonujące działalność kantorową (oraz osoby kierujące i</w:t>
      </w:r>
      <w:r w:rsidR="003849B9" w:rsidRPr="001F7D09">
        <w:rPr>
          <w:sz w:val="24"/>
          <w:szCs w:val="24"/>
        </w:rPr>
        <w:t xml:space="preserve"> </w:t>
      </w:r>
      <w:r w:rsidR="00860E85" w:rsidRPr="001F7D09">
        <w:rPr>
          <w:sz w:val="24"/>
          <w:szCs w:val="24"/>
        </w:rPr>
        <w:t>beneficjentów rzeczywistych).</w:t>
      </w:r>
      <w:r w:rsidR="003E399D" w:rsidRPr="001F7D09">
        <w:rPr>
          <w:sz w:val="24"/>
          <w:szCs w:val="24"/>
        </w:rPr>
        <w:t xml:space="preserve"> </w:t>
      </w:r>
      <w:r w:rsidR="008E7522" w:rsidRPr="001F7D09">
        <w:rPr>
          <w:sz w:val="24"/>
          <w:szCs w:val="24"/>
        </w:rPr>
        <w:t xml:space="preserve">Jednocześnie </w:t>
      </w:r>
      <w:r w:rsidR="00234FA3">
        <w:rPr>
          <w:sz w:val="24"/>
          <w:szCs w:val="24"/>
        </w:rPr>
        <w:t>trzy</w:t>
      </w:r>
      <w:r w:rsidR="003E399D" w:rsidRPr="001F7D09">
        <w:rPr>
          <w:sz w:val="24"/>
          <w:szCs w:val="24"/>
        </w:rPr>
        <w:t xml:space="preserve">miesięczny termin vacatio legis jest wystarczający na zapoznanie się z </w:t>
      </w:r>
      <w:r w:rsidR="00671105" w:rsidRPr="001F7D09">
        <w:rPr>
          <w:sz w:val="24"/>
          <w:szCs w:val="24"/>
        </w:rPr>
        <w:t xml:space="preserve">nowym </w:t>
      </w:r>
      <w:r w:rsidR="003E399D" w:rsidRPr="001F7D09">
        <w:rPr>
          <w:sz w:val="24"/>
          <w:szCs w:val="24"/>
        </w:rPr>
        <w:t xml:space="preserve">przepisem </w:t>
      </w:r>
      <w:r w:rsidR="003E399D" w:rsidRPr="001F7D09">
        <w:rPr>
          <w:sz w:val="24"/>
          <w:szCs w:val="24"/>
        </w:rPr>
        <w:lastRenderedPageBreak/>
        <w:t>i przygotowanie do ewentualnych zmian, jakie mogą wynikać z wejścia niniejsze</w:t>
      </w:r>
      <w:r w:rsidR="008E7522" w:rsidRPr="001F7D09">
        <w:rPr>
          <w:sz w:val="24"/>
          <w:szCs w:val="24"/>
        </w:rPr>
        <w:t>go</w:t>
      </w:r>
      <w:r w:rsidR="003E399D" w:rsidRPr="001F7D09">
        <w:rPr>
          <w:sz w:val="24"/>
          <w:szCs w:val="24"/>
        </w:rPr>
        <w:t xml:space="preserve"> </w:t>
      </w:r>
      <w:r w:rsidR="008E7522" w:rsidRPr="001F7D09">
        <w:rPr>
          <w:sz w:val="24"/>
          <w:szCs w:val="24"/>
        </w:rPr>
        <w:t xml:space="preserve">przepisu </w:t>
      </w:r>
      <w:r w:rsidR="003E399D" w:rsidRPr="001F7D09">
        <w:rPr>
          <w:sz w:val="24"/>
          <w:szCs w:val="24"/>
        </w:rPr>
        <w:t xml:space="preserve">w życie. </w:t>
      </w:r>
    </w:p>
    <w:p w14:paraId="24AAC744" w14:textId="1254563A" w:rsidR="00831B2F" w:rsidRPr="001F7D09" w:rsidRDefault="004F0647" w:rsidP="001F7D09">
      <w:pPr>
        <w:pStyle w:val="TekstpismaMF"/>
        <w:spacing w:before="120" w:after="120" w:line="360" w:lineRule="auto"/>
        <w:contextualSpacing w:val="0"/>
        <w:jc w:val="both"/>
        <w:rPr>
          <w:rFonts w:ascii="Times New Roman" w:hAnsi="Times New Roman" w:cs="Times New Roman"/>
          <w:sz w:val="24"/>
          <w:szCs w:val="24"/>
        </w:rPr>
      </w:pPr>
      <w:r w:rsidRPr="001F7D09">
        <w:rPr>
          <w:rFonts w:ascii="Times New Roman" w:hAnsi="Times New Roman" w:cs="Times New Roman"/>
          <w:sz w:val="24"/>
          <w:szCs w:val="24"/>
        </w:rPr>
        <w:t xml:space="preserve">Uchylenie rozdziału 5, tj. art. 18, </w:t>
      </w:r>
      <w:r w:rsidR="000D4A9E" w:rsidRPr="001F7D09">
        <w:rPr>
          <w:rFonts w:ascii="Times New Roman" w:hAnsi="Times New Roman" w:cs="Times New Roman"/>
          <w:sz w:val="24"/>
          <w:szCs w:val="24"/>
        </w:rPr>
        <w:t xml:space="preserve">art. </w:t>
      </w:r>
      <w:r w:rsidRPr="001F7D09">
        <w:rPr>
          <w:rFonts w:ascii="Times New Roman" w:hAnsi="Times New Roman" w:cs="Times New Roman"/>
          <w:sz w:val="24"/>
          <w:szCs w:val="24"/>
        </w:rPr>
        <w:t xml:space="preserve">20 i </w:t>
      </w:r>
      <w:r w:rsidR="000D4A9E" w:rsidRPr="001F7D09">
        <w:rPr>
          <w:rFonts w:ascii="Times New Roman" w:hAnsi="Times New Roman" w:cs="Times New Roman"/>
          <w:sz w:val="24"/>
          <w:szCs w:val="24"/>
        </w:rPr>
        <w:t xml:space="preserve">art. </w:t>
      </w:r>
      <w:r w:rsidRPr="001F7D09">
        <w:rPr>
          <w:rFonts w:ascii="Times New Roman" w:hAnsi="Times New Roman" w:cs="Times New Roman"/>
          <w:sz w:val="24"/>
          <w:szCs w:val="24"/>
        </w:rPr>
        <w:t>21</w:t>
      </w:r>
      <w:r w:rsidR="00E53DC4" w:rsidRPr="001F7D09">
        <w:rPr>
          <w:rFonts w:ascii="Times New Roman" w:hAnsi="Times New Roman" w:cs="Times New Roman"/>
          <w:sz w:val="24"/>
          <w:szCs w:val="24"/>
        </w:rPr>
        <w:t xml:space="preserve"> </w:t>
      </w:r>
      <w:r w:rsidR="004C6BA2" w:rsidRPr="001F7D09">
        <w:rPr>
          <w:rFonts w:ascii="Times New Roman" w:hAnsi="Times New Roman" w:cs="Times New Roman"/>
          <w:sz w:val="24"/>
          <w:szCs w:val="24"/>
        </w:rPr>
        <w:t>u.p.d.</w:t>
      </w:r>
      <w:r w:rsidR="009C1AED" w:rsidRPr="001F7D09">
        <w:rPr>
          <w:rFonts w:ascii="Times New Roman" w:hAnsi="Times New Roman" w:cs="Times New Roman"/>
          <w:sz w:val="24"/>
          <w:szCs w:val="24"/>
        </w:rPr>
        <w:t>,</w:t>
      </w:r>
      <w:r w:rsidRPr="001F7D09">
        <w:rPr>
          <w:rFonts w:ascii="Times New Roman" w:hAnsi="Times New Roman" w:cs="Times New Roman"/>
          <w:sz w:val="24"/>
          <w:szCs w:val="24"/>
        </w:rPr>
        <w:t xml:space="preserve"> ma</w:t>
      </w:r>
      <w:r w:rsidR="003849B9" w:rsidRPr="001F7D09">
        <w:rPr>
          <w:rFonts w:ascii="Times New Roman" w:hAnsi="Times New Roman" w:cs="Times New Roman"/>
          <w:sz w:val="24"/>
          <w:szCs w:val="24"/>
        </w:rPr>
        <w:t xml:space="preserve"> </w:t>
      </w:r>
      <w:r w:rsidRPr="001F7D09">
        <w:rPr>
          <w:rFonts w:ascii="Times New Roman" w:hAnsi="Times New Roman" w:cs="Times New Roman"/>
          <w:sz w:val="24"/>
          <w:szCs w:val="24"/>
        </w:rPr>
        <w:t>na</w:t>
      </w:r>
      <w:r w:rsidR="003849B9" w:rsidRPr="001F7D09">
        <w:rPr>
          <w:rFonts w:ascii="Times New Roman" w:hAnsi="Times New Roman" w:cs="Times New Roman"/>
          <w:sz w:val="24"/>
          <w:szCs w:val="24"/>
        </w:rPr>
        <w:t xml:space="preserve"> </w:t>
      </w:r>
      <w:r w:rsidRPr="001F7D09">
        <w:rPr>
          <w:rFonts w:ascii="Times New Roman" w:hAnsi="Times New Roman" w:cs="Times New Roman"/>
          <w:sz w:val="24"/>
          <w:szCs w:val="24"/>
        </w:rPr>
        <w:t>celu wyeliminowanie przepisów duplikujących przepisy rozporządzenia 2018/1672.</w:t>
      </w:r>
      <w:r w:rsidR="00F407D6" w:rsidRPr="001F7D09">
        <w:rPr>
          <w:rFonts w:ascii="Times New Roman" w:hAnsi="Times New Roman" w:cs="Times New Roman"/>
          <w:sz w:val="24"/>
          <w:szCs w:val="24"/>
        </w:rPr>
        <w:t xml:space="preserve"> </w:t>
      </w:r>
      <w:r w:rsidR="00FC2612" w:rsidRPr="001F7D09">
        <w:rPr>
          <w:rFonts w:ascii="Times New Roman" w:hAnsi="Times New Roman" w:cs="Times New Roman"/>
          <w:sz w:val="24"/>
          <w:szCs w:val="24"/>
        </w:rPr>
        <w:t>Konsekwencją tej zmiany jest usunięcie w</w:t>
      </w:r>
      <w:r w:rsidR="003849B9" w:rsidRPr="001F7D09">
        <w:rPr>
          <w:rFonts w:ascii="Times New Roman" w:hAnsi="Times New Roman" w:cs="Times New Roman"/>
          <w:sz w:val="24"/>
          <w:szCs w:val="24"/>
        </w:rPr>
        <w:t xml:space="preserve"> </w:t>
      </w:r>
      <w:r w:rsidR="00FC2612" w:rsidRPr="001F7D09">
        <w:rPr>
          <w:rFonts w:ascii="Times New Roman" w:hAnsi="Times New Roman" w:cs="Times New Roman"/>
          <w:sz w:val="24"/>
          <w:szCs w:val="24"/>
        </w:rPr>
        <w:t xml:space="preserve">art. 5 u.p.d. odesłania do art. 18 u.p.d. </w:t>
      </w:r>
      <w:r w:rsidR="00831B2F" w:rsidRPr="001F7D09">
        <w:rPr>
          <w:rFonts w:ascii="Times New Roman" w:hAnsi="Times New Roman" w:cs="Times New Roman"/>
          <w:sz w:val="24"/>
          <w:szCs w:val="24"/>
        </w:rPr>
        <w:t>Zmiana ta nie wywoła skutków prawnych</w:t>
      </w:r>
      <w:r w:rsidR="00FD3DF2" w:rsidRPr="001F7D09">
        <w:rPr>
          <w:rFonts w:ascii="Times New Roman" w:hAnsi="Times New Roman" w:cs="Times New Roman"/>
          <w:sz w:val="24"/>
          <w:szCs w:val="24"/>
        </w:rPr>
        <w:t xml:space="preserve"> w zakresie udzielania i korzystania z indywidualnych i ogólnych zezwoleń dewizowych</w:t>
      </w:r>
      <w:r w:rsidR="00A1466A" w:rsidRPr="001F7D09">
        <w:rPr>
          <w:rFonts w:ascii="Times New Roman" w:hAnsi="Times New Roman" w:cs="Times New Roman"/>
          <w:sz w:val="24"/>
          <w:szCs w:val="24"/>
        </w:rPr>
        <w:t xml:space="preserve">. </w:t>
      </w:r>
      <w:r w:rsidR="00831B2F" w:rsidRPr="001F7D09">
        <w:rPr>
          <w:rFonts w:ascii="Times New Roman" w:hAnsi="Times New Roman" w:cs="Times New Roman"/>
          <w:sz w:val="24"/>
          <w:szCs w:val="24"/>
        </w:rPr>
        <w:t xml:space="preserve">Istotą bowiem </w:t>
      </w:r>
      <w:r w:rsidR="000D6F46" w:rsidRPr="001F7D09">
        <w:rPr>
          <w:rFonts w:ascii="Times New Roman" w:hAnsi="Times New Roman" w:cs="Times New Roman"/>
          <w:sz w:val="24"/>
          <w:szCs w:val="24"/>
        </w:rPr>
        <w:t xml:space="preserve">indywidualnych </w:t>
      </w:r>
      <w:r w:rsidR="00831B2F" w:rsidRPr="001F7D09">
        <w:rPr>
          <w:rFonts w:ascii="Times New Roman" w:hAnsi="Times New Roman" w:cs="Times New Roman"/>
          <w:sz w:val="24"/>
          <w:szCs w:val="24"/>
        </w:rPr>
        <w:t>zezwoleń</w:t>
      </w:r>
      <w:r w:rsidR="000D6F46" w:rsidRPr="001F7D09">
        <w:rPr>
          <w:rFonts w:ascii="Times New Roman" w:hAnsi="Times New Roman" w:cs="Times New Roman"/>
          <w:sz w:val="24"/>
          <w:szCs w:val="24"/>
        </w:rPr>
        <w:t xml:space="preserve"> dewizowych jest ich udzielanie </w:t>
      </w:r>
      <w:r w:rsidR="00C8690E" w:rsidRPr="001F7D09">
        <w:rPr>
          <w:rFonts w:ascii="Times New Roman" w:hAnsi="Times New Roman" w:cs="Times New Roman"/>
          <w:sz w:val="24"/>
          <w:szCs w:val="24"/>
        </w:rPr>
        <w:t xml:space="preserve">na odstępowanie od ograniczeń lub obowiązków </w:t>
      </w:r>
      <w:r w:rsidR="000D6F46" w:rsidRPr="001F7D09">
        <w:rPr>
          <w:rFonts w:ascii="Times New Roman" w:hAnsi="Times New Roman" w:cs="Times New Roman"/>
          <w:sz w:val="24"/>
          <w:szCs w:val="24"/>
        </w:rPr>
        <w:t>ex ante, tzn. warunkiem legalno</w:t>
      </w:r>
      <w:r w:rsidR="00235105" w:rsidRPr="001F7D09">
        <w:rPr>
          <w:rFonts w:ascii="Times New Roman" w:hAnsi="Times New Roman" w:cs="Times New Roman"/>
          <w:sz w:val="24"/>
          <w:szCs w:val="24"/>
        </w:rPr>
        <w:t>ś</w:t>
      </w:r>
      <w:r w:rsidR="000D6F46" w:rsidRPr="001F7D09">
        <w:rPr>
          <w:rFonts w:ascii="Times New Roman" w:hAnsi="Times New Roman" w:cs="Times New Roman"/>
          <w:sz w:val="24"/>
          <w:szCs w:val="24"/>
        </w:rPr>
        <w:t>ci dokonania czynności zakazanej przez u.p.d. jest uzyskanie zezwolenia na jej dokonanie w sytuacjach okre</w:t>
      </w:r>
      <w:r w:rsidR="00C8690E" w:rsidRPr="001F7D09">
        <w:rPr>
          <w:rFonts w:ascii="Times New Roman" w:hAnsi="Times New Roman" w:cs="Times New Roman"/>
          <w:sz w:val="24"/>
          <w:szCs w:val="24"/>
        </w:rPr>
        <w:t>ś</w:t>
      </w:r>
      <w:r w:rsidR="000D6F46" w:rsidRPr="001F7D09">
        <w:rPr>
          <w:rFonts w:ascii="Times New Roman" w:hAnsi="Times New Roman" w:cs="Times New Roman"/>
          <w:sz w:val="24"/>
          <w:szCs w:val="24"/>
        </w:rPr>
        <w:t>lonych w ustawie.</w:t>
      </w:r>
      <w:r w:rsidR="00C8690E" w:rsidRPr="001F7D09">
        <w:rPr>
          <w:rFonts w:ascii="Times New Roman" w:hAnsi="Times New Roman" w:cs="Times New Roman"/>
          <w:sz w:val="24"/>
          <w:szCs w:val="24"/>
        </w:rPr>
        <w:t xml:space="preserve"> </w:t>
      </w:r>
      <w:r w:rsidR="00A1466A" w:rsidRPr="001F7D09">
        <w:rPr>
          <w:rFonts w:ascii="Times New Roman" w:hAnsi="Times New Roman" w:cs="Times New Roman"/>
          <w:sz w:val="24"/>
          <w:szCs w:val="24"/>
        </w:rPr>
        <w:t>Ponadto</w:t>
      </w:r>
      <w:r w:rsidR="003849B9" w:rsidRPr="001F7D09">
        <w:rPr>
          <w:rFonts w:ascii="Times New Roman" w:hAnsi="Times New Roman" w:cs="Times New Roman"/>
          <w:sz w:val="24"/>
          <w:szCs w:val="24"/>
        </w:rPr>
        <w:t xml:space="preserve"> </w:t>
      </w:r>
      <w:r w:rsidR="004A52EB" w:rsidRPr="001F7D09">
        <w:rPr>
          <w:rFonts w:ascii="Times New Roman" w:hAnsi="Times New Roman" w:cs="Times New Roman"/>
          <w:sz w:val="24"/>
          <w:szCs w:val="24"/>
        </w:rPr>
        <w:t>indywidualne ze</w:t>
      </w:r>
      <w:r w:rsidR="004A52EB" w:rsidRPr="001F7D09">
        <w:rPr>
          <w:rFonts w:ascii="Times New Roman" w:hAnsi="Times New Roman" w:cs="Times New Roman"/>
          <w:sz w:val="24"/>
          <w:szCs w:val="24"/>
        </w:rPr>
        <w:lastRenderedPageBreak/>
        <w:t xml:space="preserve">zwolenia dewizowe na odstępowanie od obowiązku przewidzianego w art. 18 u.p.d. </w:t>
      </w:r>
      <w:r w:rsidR="00F211A3" w:rsidRPr="001F7D09">
        <w:rPr>
          <w:rFonts w:ascii="Times New Roman" w:hAnsi="Times New Roman" w:cs="Times New Roman"/>
          <w:sz w:val="24"/>
          <w:szCs w:val="24"/>
        </w:rPr>
        <w:t xml:space="preserve">są ograniczone czasowo. </w:t>
      </w:r>
      <w:r w:rsidR="00B91415" w:rsidRPr="001F7D09">
        <w:rPr>
          <w:rFonts w:ascii="Times New Roman" w:hAnsi="Times New Roman" w:cs="Times New Roman"/>
          <w:sz w:val="24"/>
          <w:szCs w:val="24"/>
        </w:rPr>
        <w:t xml:space="preserve">Z kolei ogólne zezwolenie dewizowe </w:t>
      </w:r>
      <w:r w:rsidR="00C458B8" w:rsidRPr="001F7D09">
        <w:rPr>
          <w:rFonts w:ascii="Times New Roman" w:hAnsi="Times New Roman" w:cs="Times New Roman"/>
          <w:sz w:val="24"/>
          <w:szCs w:val="24"/>
        </w:rPr>
        <w:t xml:space="preserve">na </w:t>
      </w:r>
      <w:r w:rsidR="00C458B8" w:rsidRPr="001F7D09">
        <w:rPr>
          <w:rFonts w:ascii="Times New Roman" w:hAnsi="Times New Roman" w:cs="Times New Roman"/>
          <w:color w:val="333333"/>
          <w:sz w:val="24"/>
          <w:szCs w:val="24"/>
          <w:shd w:val="clear" w:color="auto" w:fill="FFFFFF"/>
        </w:rPr>
        <w:t>odstępowanie od obowiązku związanego z wywozem za granicę oraz przywozem do kraju wartości dewizowych lub krajowych środków płatniczych</w:t>
      </w:r>
      <w:r w:rsidR="00C458B8" w:rsidRPr="001F7D09">
        <w:rPr>
          <w:rFonts w:ascii="Times New Roman" w:hAnsi="Times New Roman" w:cs="Times New Roman"/>
          <w:sz w:val="24"/>
          <w:szCs w:val="24"/>
        </w:rPr>
        <w:t xml:space="preserve"> </w:t>
      </w:r>
      <w:r w:rsidR="00B91415" w:rsidRPr="001F7D09">
        <w:rPr>
          <w:rFonts w:ascii="Times New Roman" w:hAnsi="Times New Roman" w:cs="Times New Roman"/>
          <w:sz w:val="24"/>
          <w:szCs w:val="24"/>
        </w:rPr>
        <w:t>przewidziane w</w:t>
      </w:r>
      <w:r w:rsidR="00C458B8" w:rsidRPr="001F7D09">
        <w:rPr>
          <w:rFonts w:ascii="Times New Roman" w:hAnsi="Times New Roman" w:cs="Times New Roman"/>
          <w:sz w:val="24"/>
          <w:szCs w:val="24"/>
        </w:rPr>
        <w:t xml:space="preserve"> </w:t>
      </w:r>
      <w:r w:rsidR="00B91415" w:rsidRPr="001F7D09">
        <w:rPr>
          <w:rFonts w:ascii="Times New Roman" w:hAnsi="Times New Roman" w:cs="Times New Roman"/>
          <w:color w:val="333333"/>
          <w:sz w:val="24"/>
          <w:szCs w:val="24"/>
          <w:shd w:val="clear" w:color="auto" w:fill="FFFFFF"/>
        </w:rPr>
        <w:t>§</w:t>
      </w:r>
      <w:r w:rsidR="003849B9" w:rsidRPr="001F7D09">
        <w:rPr>
          <w:rFonts w:ascii="Times New Roman" w:hAnsi="Times New Roman" w:cs="Times New Roman"/>
          <w:color w:val="333333"/>
          <w:sz w:val="24"/>
          <w:szCs w:val="24"/>
          <w:shd w:val="clear" w:color="auto" w:fill="FFFFFF"/>
        </w:rPr>
        <w:t xml:space="preserve"> </w:t>
      </w:r>
      <w:r w:rsidR="00B91415" w:rsidRPr="001F7D09">
        <w:rPr>
          <w:rFonts w:ascii="Times New Roman" w:hAnsi="Times New Roman" w:cs="Times New Roman"/>
          <w:sz w:val="24"/>
          <w:szCs w:val="24"/>
        </w:rPr>
        <w:t xml:space="preserve">3 </w:t>
      </w:r>
      <w:r w:rsidR="00FD3DF2" w:rsidRPr="001F7D09">
        <w:rPr>
          <w:rFonts w:ascii="Times New Roman" w:hAnsi="Times New Roman" w:cs="Times New Roman"/>
          <w:sz w:val="24"/>
          <w:szCs w:val="24"/>
        </w:rPr>
        <w:t xml:space="preserve">(rozdział 3) </w:t>
      </w:r>
      <w:r w:rsidR="00B91415" w:rsidRPr="001F7D09">
        <w:rPr>
          <w:rFonts w:ascii="Times New Roman" w:hAnsi="Times New Roman" w:cs="Times New Roman"/>
          <w:sz w:val="24"/>
          <w:szCs w:val="24"/>
        </w:rPr>
        <w:t>rozporządzenia Ministra Finansów z dnia 20 kwietnia 2009 r. w sprawie ogólnych zezwoleń dewizowych</w:t>
      </w:r>
      <w:r w:rsidR="00234FA3">
        <w:rPr>
          <w:rFonts w:ascii="Times New Roman" w:hAnsi="Times New Roman" w:cs="Times New Roman"/>
          <w:sz w:val="24"/>
          <w:szCs w:val="24"/>
        </w:rPr>
        <w:t xml:space="preserve"> (</w:t>
      </w:r>
      <w:r w:rsidR="00234FA3" w:rsidRPr="00CB7710">
        <w:rPr>
          <w:rFonts w:ascii="Times New Roman" w:hAnsi="Times New Roman" w:cs="Times New Roman"/>
        </w:rPr>
        <w:t>Dz. U. poz.</w:t>
      </w:r>
      <w:r w:rsidR="00F313A0">
        <w:rPr>
          <w:rFonts w:ascii="Times New Roman" w:hAnsi="Times New Roman" w:cs="Times New Roman"/>
        </w:rPr>
        <w:t> </w:t>
      </w:r>
      <w:r w:rsidR="00234FA3" w:rsidRPr="00CB7710">
        <w:rPr>
          <w:rFonts w:ascii="Times New Roman" w:hAnsi="Times New Roman" w:cs="Times New Roman"/>
        </w:rPr>
        <w:t>597</w:t>
      </w:r>
      <w:r w:rsidR="00234FA3">
        <w:rPr>
          <w:rFonts w:ascii="Times New Roman" w:hAnsi="Times New Roman" w:cs="Times New Roman"/>
        </w:rPr>
        <w:t>)</w:t>
      </w:r>
      <w:r w:rsidR="00CB7710" w:rsidRPr="001F7D09">
        <w:rPr>
          <w:rFonts w:ascii="Times New Roman" w:hAnsi="Times New Roman" w:cs="Times New Roman"/>
          <w:sz w:val="24"/>
          <w:szCs w:val="24"/>
        </w:rPr>
        <w:t xml:space="preserve"> </w:t>
      </w:r>
      <w:r w:rsidR="00035863" w:rsidRPr="001F7D09">
        <w:rPr>
          <w:rFonts w:ascii="Times New Roman" w:hAnsi="Times New Roman" w:cs="Times New Roman"/>
          <w:sz w:val="24"/>
          <w:szCs w:val="24"/>
        </w:rPr>
        <w:t>zostan</w:t>
      </w:r>
      <w:r w:rsidR="003A62DE" w:rsidRPr="001F7D09">
        <w:rPr>
          <w:rFonts w:ascii="Times New Roman" w:hAnsi="Times New Roman" w:cs="Times New Roman"/>
          <w:sz w:val="24"/>
          <w:szCs w:val="24"/>
        </w:rPr>
        <w:t>ą</w:t>
      </w:r>
      <w:r w:rsidR="00035863" w:rsidRPr="001F7D09">
        <w:rPr>
          <w:rFonts w:ascii="Times New Roman" w:hAnsi="Times New Roman" w:cs="Times New Roman"/>
          <w:sz w:val="24"/>
          <w:szCs w:val="24"/>
        </w:rPr>
        <w:t xml:space="preserve"> uchylone</w:t>
      </w:r>
      <w:r w:rsidR="00723A2E" w:rsidRPr="001F7D09">
        <w:rPr>
          <w:rFonts w:ascii="Times New Roman" w:hAnsi="Times New Roman" w:cs="Times New Roman"/>
          <w:sz w:val="24"/>
          <w:szCs w:val="24"/>
        </w:rPr>
        <w:t xml:space="preserve"> </w:t>
      </w:r>
      <w:r w:rsidR="00C458B8" w:rsidRPr="001F7D09">
        <w:rPr>
          <w:rFonts w:ascii="Times New Roman" w:hAnsi="Times New Roman" w:cs="Times New Roman"/>
          <w:sz w:val="24"/>
          <w:szCs w:val="24"/>
        </w:rPr>
        <w:t>wraz z wejściem w życie niniejszej ustawy</w:t>
      </w:r>
      <w:r w:rsidR="00CB7710" w:rsidRPr="001F7D09">
        <w:rPr>
          <w:rFonts w:ascii="Times New Roman" w:hAnsi="Times New Roman" w:cs="Times New Roman"/>
          <w:sz w:val="24"/>
          <w:szCs w:val="24"/>
        </w:rPr>
        <w:t xml:space="preserve"> przez nowelizację tego rozporządzenia.</w:t>
      </w:r>
    </w:p>
    <w:p w14:paraId="700D3376" w14:textId="4AA6E7A4" w:rsidR="00ED2114" w:rsidRPr="001F7D09" w:rsidRDefault="00F407D6" w:rsidP="001F7D09">
      <w:pPr>
        <w:pStyle w:val="Bodytext20"/>
        <w:spacing w:before="120" w:after="120" w:line="360" w:lineRule="auto"/>
        <w:jc w:val="both"/>
        <w:rPr>
          <w:sz w:val="24"/>
          <w:szCs w:val="24"/>
        </w:rPr>
      </w:pPr>
      <w:r w:rsidRPr="001F7D09">
        <w:rPr>
          <w:sz w:val="24"/>
          <w:szCs w:val="24"/>
        </w:rPr>
        <w:t>W związku z uchyleniem rozdziału 5, w tym art. 20 ust. 2, funkcjonariusze Straży Granicznej przestają pełnić funkcję</w:t>
      </w:r>
      <w:r w:rsidR="003849B9" w:rsidRPr="001F7D09">
        <w:rPr>
          <w:sz w:val="24"/>
          <w:szCs w:val="24"/>
        </w:rPr>
        <w:t xml:space="preserve"> </w:t>
      </w:r>
      <w:r w:rsidRPr="001F7D09">
        <w:rPr>
          <w:sz w:val="24"/>
          <w:szCs w:val="24"/>
        </w:rPr>
        <w:t xml:space="preserve">właściwego organu do podejmowania czynności kontrolnych </w:t>
      </w:r>
      <w:r w:rsidRPr="001F7D09">
        <w:rPr>
          <w:sz w:val="24"/>
          <w:szCs w:val="24"/>
        </w:rPr>
        <w:lastRenderedPageBreak/>
        <w:t>w zakresie przywozu/wywozu środków pieniężnych. Nadmienić także należy, że dotychczasowa realizacja przez Straż Graniczną uprawnień do kontroli środków pieniężnych wwożonych lub wywożonych na/z terytorium UE była marginalna. Przyjmowanie przez funkcjonariuszy Straży Granicznej deklarac</w:t>
      </w:r>
      <w:r w:rsidR="00ED2114" w:rsidRPr="001F7D09">
        <w:rPr>
          <w:sz w:val="24"/>
          <w:szCs w:val="24"/>
        </w:rPr>
        <w:t>ji dewizowych było sporadyczne i na przestrzeni ostatnich pięciu lat przyjętych zostało 15 deklaracji.</w:t>
      </w:r>
    </w:p>
    <w:p w14:paraId="457C1C4B" w14:textId="141F71BD" w:rsidR="004F0647" w:rsidRPr="001F7D09" w:rsidRDefault="004F0647" w:rsidP="001F7D09">
      <w:pPr>
        <w:pStyle w:val="Bodytext20"/>
        <w:spacing w:before="120" w:after="120" w:line="360" w:lineRule="auto"/>
        <w:jc w:val="both"/>
        <w:rPr>
          <w:sz w:val="24"/>
          <w:szCs w:val="24"/>
        </w:rPr>
      </w:pPr>
      <w:r w:rsidRPr="001F7D09">
        <w:rPr>
          <w:sz w:val="24"/>
          <w:szCs w:val="24"/>
        </w:rPr>
        <w:t>Art. 18</w:t>
      </w:r>
      <w:r w:rsidRPr="001F7D09">
        <w:rPr>
          <w:b/>
          <w:sz w:val="24"/>
          <w:szCs w:val="24"/>
        </w:rPr>
        <w:t xml:space="preserve"> </w:t>
      </w:r>
      <w:r w:rsidRPr="001F7D09">
        <w:rPr>
          <w:sz w:val="24"/>
          <w:szCs w:val="24"/>
        </w:rPr>
        <w:t>u.p.d. nakłada na rezydentów i nierezydentów przekraczających granicę państwową obowiązek zgłaszania, w formie pisemnej, organom celnym przywozu do kraju oraz wywozu za granicę złota dewizowego lub platyny dewizowej, bez</w:t>
      </w:r>
      <w:r w:rsidR="003849B9" w:rsidRPr="001F7D09">
        <w:rPr>
          <w:sz w:val="24"/>
          <w:szCs w:val="24"/>
        </w:rPr>
        <w:t xml:space="preserve"> </w:t>
      </w:r>
      <w:r w:rsidRPr="001F7D09">
        <w:rPr>
          <w:sz w:val="24"/>
          <w:szCs w:val="24"/>
        </w:rPr>
        <w:t>względu na ilość, a także krajowych lub zagranicznych środ</w:t>
      </w:r>
      <w:r w:rsidRPr="001F7D09">
        <w:rPr>
          <w:sz w:val="24"/>
          <w:szCs w:val="24"/>
        </w:rPr>
        <w:lastRenderedPageBreak/>
        <w:t>ków płatniczych, jeżeli ich</w:t>
      </w:r>
      <w:r w:rsidR="003849B9" w:rsidRPr="001F7D09">
        <w:rPr>
          <w:sz w:val="24"/>
          <w:szCs w:val="24"/>
        </w:rPr>
        <w:t xml:space="preserve"> </w:t>
      </w:r>
      <w:r w:rsidRPr="001F7D09">
        <w:rPr>
          <w:sz w:val="24"/>
          <w:szCs w:val="24"/>
        </w:rPr>
        <w:t>wartość prz</w:t>
      </w:r>
      <w:r w:rsidR="00CD01E3" w:rsidRPr="001F7D09">
        <w:rPr>
          <w:sz w:val="24"/>
          <w:szCs w:val="24"/>
        </w:rPr>
        <w:t>ekracza łącznie równowartość 10 </w:t>
      </w:r>
      <w:r w:rsidRPr="001F7D09">
        <w:rPr>
          <w:sz w:val="24"/>
          <w:szCs w:val="24"/>
        </w:rPr>
        <w:t>000 euro. Nie stanowi wykonania obowiązku zgłoszenia podanie w zgłoszeniu nieprawdziwych danych.</w:t>
      </w:r>
    </w:p>
    <w:p w14:paraId="45564EC6" w14:textId="22FD6B57" w:rsidR="004F0647" w:rsidRPr="001F7D09" w:rsidRDefault="009C1AED" w:rsidP="001F7D09">
      <w:pPr>
        <w:pStyle w:val="Bodytext20"/>
        <w:spacing w:before="120" w:after="120" w:line="360" w:lineRule="auto"/>
        <w:jc w:val="both"/>
        <w:rPr>
          <w:sz w:val="24"/>
          <w:szCs w:val="24"/>
        </w:rPr>
      </w:pPr>
      <w:r w:rsidRPr="001F7D09">
        <w:rPr>
          <w:sz w:val="24"/>
          <w:szCs w:val="24"/>
        </w:rPr>
        <w:t>Wskazany powyżej o</w:t>
      </w:r>
      <w:r w:rsidR="004F0647" w:rsidRPr="001F7D09">
        <w:rPr>
          <w:sz w:val="24"/>
          <w:szCs w:val="24"/>
        </w:rPr>
        <w:t>bowiązek wynika wprost z przepisu art. 3 ust. 1 rozporządzenia 2018/1672, zgodnie z</w:t>
      </w:r>
      <w:r w:rsidR="003849B9" w:rsidRPr="001F7D09">
        <w:rPr>
          <w:sz w:val="24"/>
          <w:szCs w:val="24"/>
        </w:rPr>
        <w:t xml:space="preserve"> </w:t>
      </w:r>
      <w:r w:rsidR="004F0647" w:rsidRPr="001F7D09">
        <w:rPr>
          <w:sz w:val="24"/>
          <w:szCs w:val="24"/>
        </w:rPr>
        <w:t>którym osoba przewożąca środki pieni</w:t>
      </w:r>
      <w:r w:rsidR="00CD01E3" w:rsidRPr="001F7D09">
        <w:rPr>
          <w:sz w:val="24"/>
          <w:szCs w:val="24"/>
        </w:rPr>
        <w:t>ężne w wysokości co najmniej 10 </w:t>
      </w:r>
      <w:r w:rsidR="004F0647" w:rsidRPr="001F7D09">
        <w:rPr>
          <w:sz w:val="24"/>
          <w:szCs w:val="24"/>
        </w:rPr>
        <w:t>000 euro musi złożyć deklarację tych środków pieniężnych właściwym organom państwa członkowskiego, przez które wjeżdża do Unii lub wyjeżdża z Unii, oraz udostępnić je tym organom do kontroli. Obowiązek złożenia deklaracji środków pieniężnych nie jest uznawany za spełniony, jeżeli przekazane informacje są nieprawdziwe lub niekompletne lub jeżeli środki pieniężne nie zostały udostępnione do kontroli.</w:t>
      </w:r>
    </w:p>
    <w:p w14:paraId="1B18E07E" w14:textId="3B97D090" w:rsidR="004F0647" w:rsidRPr="001F7D09" w:rsidRDefault="004F0647" w:rsidP="001F7D09">
      <w:pPr>
        <w:pStyle w:val="Bodytext20"/>
        <w:spacing w:before="120" w:after="120" w:line="360" w:lineRule="auto"/>
        <w:jc w:val="both"/>
        <w:rPr>
          <w:sz w:val="24"/>
          <w:szCs w:val="24"/>
        </w:rPr>
      </w:pPr>
      <w:r w:rsidRPr="001F7D09">
        <w:rPr>
          <w:sz w:val="24"/>
          <w:szCs w:val="24"/>
        </w:rPr>
        <w:lastRenderedPageBreak/>
        <w:t>Właściwymi organami są, zgodnie z art. 2 ust. 1 lit. g rozporządzenia 2018/1672, organy celne państw członkowskich oraz wszelkie inne organy uprawnione przez państwa członkowskie do</w:t>
      </w:r>
      <w:r w:rsidR="003849B9" w:rsidRPr="001F7D09">
        <w:rPr>
          <w:sz w:val="24"/>
          <w:szCs w:val="24"/>
        </w:rPr>
        <w:t xml:space="preserve"> </w:t>
      </w:r>
      <w:r w:rsidRPr="001F7D09">
        <w:rPr>
          <w:sz w:val="24"/>
          <w:szCs w:val="24"/>
        </w:rPr>
        <w:t>stosowania tego rozporządzenia.</w:t>
      </w:r>
    </w:p>
    <w:p w14:paraId="2468FE18" w14:textId="4D9CEC93" w:rsidR="004F0647" w:rsidRPr="001F7D09" w:rsidRDefault="004F0647" w:rsidP="001F7D09">
      <w:pPr>
        <w:pStyle w:val="Bodytext20"/>
        <w:spacing w:before="120" w:after="120" w:line="360" w:lineRule="auto"/>
        <w:jc w:val="both"/>
        <w:rPr>
          <w:sz w:val="24"/>
          <w:szCs w:val="24"/>
        </w:rPr>
      </w:pPr>
      <w:r w:rsidRPr="001F7D09">
        <w:rPr>
          <w:sz w:val="24"/>
          <w:szCs w:val="24"/>
        </w:rPr>
        <w:t xml:space="preserve">Od </w:t>
      </w:r>
      <w:r w:rsidR="000A6FFD" w:rsidRPr="001F7D09">
        <w:rPr>
          <w:sz w:val="24"/>
          <w:szCs w:val="24"/>
        </w:rPr>
        <w:t xml:space="preserve">dnia </w:t>
      </w:r>
      <w:r w:rsidRPr="001F7D09">
        <w:rPr>
          <w:sz w:val="24"/>
          <w:szCs w:val="24"/>
        </w:rPr>
        <w:t xml:space="preserve">3 czerwca 2021 r. są również </w:t>
      </w:r>
      <w:r w:rsidR="002A38A5" w:rsidRPr="001F7D09">
        <w:rPr>
          <w:sz w:val="24"/>
          <w:szCs w:val="24"/>
        </w:rPr>
        <w:t xml:space="preserve">stosowane </w:t>
      </w:r>
      <w:r w:rsidRPr="001F7D09">
        <w:rPr>
          <w:sz w:val="24"/>
          <w:szCs w:val="24"/>
        </w:rPr>
        <w:t>przepisy rozporządzenia</w:t>
      </w:r>
      <w:r w:rsidR="003849B9" w:rsidRPr="001F7D09">
        <w:rPr>
          <w:sz w:val="24"/>
          <w:szCs w:val="24"/>
        </w:rPr>
        <w:t xml:space="preserve"> </w:t>
      </w:r>
      <w:r w:rsidRPr="001F7D09">
        <w:rPr>
          <w:sz w:val="24"/>
          <w:szCs w:val="24"/>
        </w:rPr>
        <w:t>2021/776</w:t>
      </w:r>
      <w:r w:rsidR="00F41E68" w:rsidRPr="001F7D09">
        <w:rPr>
          <w:sz w:val="24"/>
          <w:szCs w:val="24"/>
        </w:rPr>
        <w:t>.</w:t>
      </w:r>
      <w:r w:rsidR="00053EC2" w:rsidRPr="001F7D09">
        <w:rPr>
          <w:sz w:val="24"/>
          <w:szCs w:val="24"/>
        </w:rPr>
        <w:t xml:space="preserve"> </w:t>
      </w:r>
      <w:r w:rsidRPr="001F7D09">
        <w:rPr>
          <w:sz w:val="24"/>
          <w:szCs w:val="24"/>
        </w:rPr>
        <w:t>Obydwa rozporządzenia są źródłami powszechnie obowiązującego prawa i częścią krajowego porządku prawnego w Polsce. Podlegają one</w:t>
      </w:r>
      <w:r w:rsidR="009E30ED" w:rsidRPr="001F7D09">
        <w:rPr>
          <w:sz w:val="24"/>
          <w:szCs w:val="24"/>
        </w:rPr>
        <w:t xml:space="preserve"> </w:t>
      </w:r>
      <w:r w:rsidRPr="001F7D09">
        <w:rPr>
          <w:sz w:val="24"/>
          <w:szCs w:val="24"/>
        </w:rPr>
        <w:t>bezpośredniemu stosowaniu, o czym przesądzają postanowienia art. 87 ust. 1 i art. 91 ust. 1 Konstytucji Rzeczypospolitej Polskiej.</w:t>
      </w:r>
    </w:p>
    <w:p w14:paraId="6AE89AA9" w14:textId="4DF04764" w:rsidR="004F0647" w:rsidRPr="001F7D09" w:rsidRDefault="004F0647" w:rsidP="001F7D09">
      <w:pPr>
        <w:pStyle w:val="Bodytext20"/>
        <w:spacing w:before="120" w:after="120" w:line="360" w:lineRule="auto"/>
        <w:jc w:val="both"/>
        <w:rPr>
          <w:sz w:val="24"/>
          <w:szCs w:val="24"/>
        </w:rPr>
      </w:pPr>
      <w:r w:rsidRPr="001F7D09">
        <w:rPr>
          <w:sz w:val="24"/>
          <w:szCs w:val="24"/>
        </w:rPr>
        <w:t>W świetle powyższego brak jest uzasadnienia do utrzymywania ww. regulacji w przepisach krajowych, tym samym art. 18 u.p.d. powinien zostać uchylony.</w:t>
      </w:r>
    </w:p>
    <w:p w14:paraId="78822B38" w14:textId="77777777" w:rsidR="004F0647" w:rsidRPr="001F7D09" w:rsidRDefault="004F0647" w:rsidP="001F7D09">
      <w:pPr>
        <w:pStyle w:val="Bodytext20"/>
        <w:spacing w:before="120" w:after="120" w:line="360" w:lineRule="auto"/>
        <w:jc w:val="both"/>
        <w:rPr>
          <w:sz w:val="24"/>
          <w:szCs w:val="24"/>
        </w:rPr>
      </w:pPr>
      <w:r w:rsidRPr="001F7D09">
        <w:rPr>
          <w:sz w:val="24"/>
          <w:szCs w:val="24"/>
        </w:rPr>
        <w:lastRenderedPageBreak/>
        <w:t>Art. 20 ust. 1 u.p.d. nakłada na rezydentów i nierezydentów obowiązek przedstawiania organom celnym na ich żądanie, przywożonych do kraju lub wywożonych za granicę wartości dewizowych oraz krajowych środków płatniczych.</w:t>
      </w:r>
    </w:p>
    <w:p w14:paraId="34C0FDDA" w14:textId="630F6987" w:rsidR="004F0647" w:rsidRPr="001F7D09" w:rsidRDefault="004F0647" w:rsidP="001F7D09">
      <w:pPr>
        <w:pStyle w:val="Bodytext20"/>
        <w:spacing w:before="120" w:after="120" w:line="360" w:lineRule="auto"/>
        <w:jc w:val="both"/>
        <w:rPr>
          <w:sz w:val="24"/>
          <w:szCs w:val="24"/>
        </w:rPr>
      </w:pPr>
      <w:r w:rsidRPr="001F7D09">
        <w:rPr>
          <w:sz w:val="24"/>
          <w:szCs w:val="24"/>
        </w:rPr>
        <w:t>Podobny obowiązek wynika z ww. art. 3 ust. 1 (zdanie pierwsze) rozporządzenia 2018/1672. Dotyczy on środków pienięż</w:t>
      </w:r>
      <w:r w:rsidR="00CD01E3" w:rsidRPr="001F7D09">
        <w:rPr>
          <w:sz w:val="24"/>
          <w:szCs w:val="24"/>
        </w:rPr>
        <w:t>nych w wysokości co najmniej 10 </w:t>
      </w:r>
      <w:r w:rsidRPr="001F7D09">
        <w:rPr>
          <w:sz w:val="24"/>
          <w:szCs w:val="24"/>
        </w:rPr>
        <w:t xml:space="preserve">000 euro. Środki w mniejszej wysokości mogą być ujawniane w ramach czynności kontrolnych określonych w art. 5 ust. 1 rozporządzenia 2018/1672 i rejestrowane przez właściwe organy, zgodnie z art. 6 ust. 1 tego rozporządzenia. </w:t>
      </w:r>
    </w:p>
    <w:p w14:paraId="6AD76D6F" w14:textId="77777777" w:rsidR="004F0647" w:rsidRPr="001F7D09" w:rsidRDefault="004F0647" w:rsidP="001F7D09">
      <w:pPr>
        <w:pStyle w:val="Bodytext20"/>
        <w:spacing w:before="120" w:after="120" w:line="360" w:lineRule="auto"/>
        <w:jc w:val="both"/>
        <w:rPr>
          <w:sz w:val="24"/>
          <w:szCs w:val="24"/>
        </w:rPr>
      </w:pPr>
      <w:r w:rsidRPr="001F7D09">
        <w:rPr>
          <w:sz w:val="24"/>
          <w:szCs w:val="24"/>
        </w:rPr>
        <w:t>Natomiast</w:t>
      </w:r>
      <w:r w:rsidRPr="001F7D09">
        <w:rPr>
          <w:b/>
          <w:sz w:val="24"/>
          <w:szCs w:val="24"/>
        </w:rPr>
        <w:t xml:space="preserve"> </w:t>
      </w:r>
      <w:r w:rsidRPr="001F7D09">
        <w:rPr>
          <w:sz w:val="24"/>
          <w:szCs w:val="24"/>
        </w:rPr>
        <w:t xml:space="preserve">art. 20 ust. 2 u.p.d. nadaje organom celnym uprawnienie do podejmowania – w celu sprawdzenia, czy przywóz </w:t>
      </w:r>
      <w:r w:rsidRPr="001F7D09">
        <w:rPr>
          <w:sz w:val="24"/>
          <w:szCs w:val="24"/>
        </w:rPr>
        <w:lastRenderedPageBreak/>
        <w:t>do kraju wartości dewizowych lub krajowych środków płatniczych oraz ich wywóz za granicę odbywa się zgodnie z przepisami ustawy – czynności kontrolnych na zasadach i w trybie określonych w przepisach o kontroli celno-skarbowej lub kontroli granicznej.</w:t>
      </w:r>
    </w:p>
    <w:p w14:paraId="658E21F9" w14:textId="487CB43B" w:rsidR="004F0647" w:rsidRPr="001F7D09" w:rsidRDefault="004F0647" w:rsidP="001F7D09">
      <w:pPr>
        <w:pStyle w:val="Bodytext20"/>
        <w:spacing w:before="120" w:after="120" w:line="360" w:lineRule="auto"/>
        <w:jc w:val="both"/>
        <w:rPr>
          <w:color w:val="auto"/>
          <w:sz w:val="24"/>
          <w:szCs w:val="24"/>
        </w:rPr>
      </w:pPr>
      <w:r w:rsidRPr="001F7D09">
        <w:rPr>
          <w:sz w:val="24"/>
          <w:szCs w:val="24"/>
        </w:rPr>
        <w:t>Jak wskazano powyżej, czynności kontrolne zostały określone w art. 5 ust. 1 i 2 rozporządzenia 2018/1672. Zgodnie z art. 5 ust. 1 tego rozporządzenia w celu zweryfikowania spełnienia obowiązku deklaracji środków pieniężnych przewożonych przez osobę fizyczną, określonego w</w:t>
      </w:r>
      <w:r w:rsidR="003849B9" w:rsidRPr="001F7D09">
        <w:rPr>
          <w:sz w:val="24"/>
          <w:szCs w:val="24"/>
        </w:rPr>
        <w:t xml:space="preserve"> </w:t>
      </w:r>
      <w:r w:rsidRPr="001F7D09">
        <w:rPr>
          <w:sz w:val="24"/>
          <w:szCs w:val="24"/>
        </w:rPr>
        <w:t xml:space="preserve">art. 3, właściwe organy są uprawnione do kontrolowania osób fizycznych, ich bagażu </w:t>
      </w:r>
      <w:r w:rsidRPr="001F7D09">
        <w:rPr>
          <w:color w:val="auto"/>
          <w:sz w:val="24"/>
          <w:szCs w:val="24"/>
        </w:rPr>
        <w:t>oraz</w:t>
      </w:r>
      <w:r w:rsidR="003849B9" w:rsidRPr="001F7D09">
        <w:rPr>
          <w:color w:val="auto"/>
          <w:sz w:val="24"/>
          <w:szCs w:val="24"/>
        </w:rPr>
        <w:t xml:space="preserve"> </w:t>
      </w:r>
      <w:r w:rsidRPr="001F7D09">
        <w:rPr>
          <w:color w:val="auto"/>
          <w:sz w:val="24"/>
          <w:szCs w:val="24"/>
        </w:rPr>
        <w:t>ich</w:t>
      </w:r>
      <w:r w:rsidR="003849B9" w:rsidRPr="001F7D09">
        <w:rPr>
          <w:color w:val="auto"/>
          <w:sz w:val="24"/>
          <w:szCs w:val="24"/>
        </w:rPr>
        <w:t xml:space="preserve"> </w:t>
      </w:r>
      <w:r w:rsidRPr="001F7D09">
        <w:rPr>
          <w:color w:val="auto"/>
          <w:sz w:val="24"/>
          <w:szCs w:val="24"/>
        </w:rPr>
        <w:t>środków transportu, zgodnie z warunkami określonymi w prawie krajowym</w:t>
      </w:r>
      <w:r w:rsidR="00985B4D" w:rsidRPr="001F7D09">
        <w:rPr>
          <w:color w:val="auto"/>
          <w:sz w:val="24"/>
          <w:szCs w:val="24"/>
        </w:rPr>
        <w:t xml:space="preserve">, </w:t>
      </w:r>
      <w:r w:rsidR="00C94831" w:rsidRPr="001F7D09">
        <w:rPr>
          <w:color w:val="auto"/>
          <w:sz w:val="24"/>
          <w:szCs w:val="24"/>
        </w:rPr>
        <w:t xml:space="preserve">tj. </w:t>
      </w:r>
      <w:r w:rsidR="00985B4D" w:rsidRPr="001F7D09">
        <w:rPr>
          <w:color w:val="auto"/>
          <w:sz w:val="24"/>
          <w:szCs w:val="24"/>
        </w:rPr>
        <w:t>w ustawie</w:t>
      </w:r>
      <w:r w:rsidR="00001039" w:rsidRPr="001F7D09">
        <w:rPr>
          <w:color w:val="auto"/>
          <w:sz w:val="24"/>
          <w:szCs w:val="24"/>
        </w:rPr>
        <w:t xml:space="preserve"> </w:t>
      </w:r>
      <w:r w:rsidR="00001039" w:rsidRPr="001F7D09">
        <w:rPr>
          <w:color w:val="auto"/>
          <w:sz w:val="24"/>
          <w:szCs w:val="24"/>
          <w:lang w:val="pl-PL"/>
        </w:rPr>
        <w:t>z dnia 16 listopada 2016 r.</w:t>
      </w:r>
      <w:r w:rsidR="00985B4D" w:rsidRPr="001F7D09">
        <w:rPr>
          <w:color w:val="auto"/>
          <w:sz w:val="24"/>
          <w:szCs w:val="24"/>
        </w:rPr>
        <w:t xml:space="preserve"> o Krajowej Administracji Skarbowej.</w:t>
      </w:r>
    </w:p>
    <w:p w14:paraId="18BA47F8" w14:textId="64A1F59F" w:rsidR="004F0647" w:rsidRPr="001F7D09" w:rsidRDefault="004F0647" w:rsidP="001F7D09">
      <w:pPr>
        <w:pStyle w:val="Bodytext20"/>
        <w:spacing w:before="120" w:after="120" w:line="360" w:lineRule="auto"/>
        <w:jc w:val="both"/>
        <w:rPr>
          <w:color w:val="auto"/>
          <w:sz w:val="24"/>
          <w:szCs w:val="24"/>
        </w:rPr>
      </w:pPr>
      <w:r w:rsidRPr="001F7D09">
        <w:rPr>
          <w:sz w:val="24"/>
          <w:szCs w:val="24"/>
        </w:rPr>
        <w:lastRenderedPageBreak/>
        <w:t>Do celów wdrożenia obowiązku ujawnienia środków pieniężnych w transporcie, określonego w</w:t>
      </w:r>
      <w:r w:rsidR="003849B9" w:rsidRPr="001F7D09">
        <w:rPr>
          <w:sz w:val="24"/>
          <w:szCs w:val="24"/>
        </w:rPr>
        <w:t xml:space="preserve"> </w:t>
      </w:r>
      <w:r w:rsidRPr="001F7D09">
        <w:rPr>
          <w:sz w:val="24"/>
          <w:szCs w:val="24"/>
        </w:rPr>
        <w:t>art. 4</w:t>
      </w:r>
      <w:r w:rsidR="00EE3E94" w:rsidRPr="001F7D09">
        <w:rPr>
          <w:sz w:val="24"/>
          <w:szCs w:val="24"/>
        </w:rPr>
        <w:t xml:space="preserve"> rozporządzenia</w:t>
      </w:r>
      <w:r w:rsidR="00985B4D" w:rsidRPr="001F7D09">
        <w:rPr>
          <w:sz w:val="24"/>
          <w:szCs w:val="24"/>
        </w:rPr>
        <w:t xml:space="preserve"> </w:t>
      </w:r>
      <w:r w:rsidR="00EE3E94" w:rsidRPr="001F7D09">
        <w:rPr>
          <w:color w:val="auto"/>
          <w:sz w:val="24"/>
          <w:szCs w:val="24"/>
        </w:rPr>
        <w:t>2018/1672</w:t>
      </w:r>
      <w:r w:rsidRPr="001F7D09">
        <w:rPr>
          <w:color w:val="auto"/>
          <w:sz w:val="24"/>
          <w:szCs w:val="24"/>
        </w:rPr>
        <w:t>, właściwe organy są uprawnione do kontrolowania wszelkich przesyłek, pojemników lub środków transportu, które mogą zawierać środki pieniężne w transporcie, zgodnie z</w:t>
      </w:r>
      <w:r w:rsidR="003849B9" w:rsidRPr="001F7D09">
        <w:rPr>
          <w:color w:val="auto"/>
          <w:sz w:val="24"/>
          <w:szCs w:val="24"/>
        </w:rPr>
        <w:t xml:space="preserve"> </w:t>
      </w:r>
      <w:r w:rsidRPr="001F7D09">
        <w:rPr>
          <w:color w:val="auto"/>
          <w:sz w:val="24"/>
          <w:szCs w:val="24"/>
        </w:rPr>
        <w:t>warunkami określonymi w prawie krajowym (art. 5 ust. 2 rozporządzenia 2018/1672)</w:t>
      </w:r>
      <w:r w:rsidR="00702D97" w:rsidRPr="001F7D09">
        <w:rPr>
          <w:color w:val="auto"/>
          <w:sz w:val="24"/>
          <w:szCs w:val="24"/>
        </w:rPr>
        <w:t xml:space="preserve"> –</w:t>
      </w:r>
      <w:r w:rsidR="003849B9" w:rsidRPr="001F7D09">
        <w:rPr>
          <w:color w:val="auto"/>
          <w:sz w:val="24"/>
          <w:szCs w:val="24"/>
        </w:rPr>
        <w:t xml:space="preserve"> </w:t>
      </w:r>
      <w:r w:rsidR="00985B4D" w:rsidRPr="001F7D09">
        <w:rPr>
          <w:color w:val="auto"/>
          <w:sz w:val="24"/>
          <w:szCs w:val="24"/>
        </w:rPr>
        <w:t>w ustawie</w:t>
      </w:r>
      <w:r w:rsidR="00001039" w:rsidRPr="001F7D09">
        <w:rPr>
          <w:color w:val="auto"/>
          <w:sz w:val="24"/>
          <w:szCs w:val="24"/>
        </w:rPr>
        <w:t xml:space="preserve"> </w:t>
      </w:r>
      <w:r w:rsidR="00001039" w:rsidRPr="001F7D09">
        <w:rPr>
          <w:color w:val="auto"/>
          <w:sz w:val="24"/>
          <w:szCs w:val="24"/>
          <w:lang w:val="pl-PL"/>
        </w:rPr>
        <w:t>z dnia 16 listopada 2016 r.</w:t>
      </w:r>
      <w:r w:rsidR="003849B9" w:rsidRPr="001F7D09">
        <w:rPr>
          <w:color w:val="auto"/>
          <w:sz w:val="24"/>
          <w:szCs w:val="24"/>
          <w:lang w:val="pl-PL"/>
        </w:rPr>
        <w:t xml:space="preserve"> </w:t>
      </w:r>
      <w:r w:rsidR="00985B4D" w:rsidRPr="001F7D09">
        <w:rPr>
          <w:color w:val="auto"/>
          <w:sz w:val="24"/>
          <w:szCs w:val="24"/>
        </w:rPr>
        <w:t>o Krajowej Administracji Skarbowej.</w:t>
      </w:r>
    </w:p>
    <w:p w14:paraId="3D67A7E5" w14:textId="77777777" w:rsidR="004F0647" w:rsidRPr="001F7D09" w:rsidRDefault="004F0647" w:rsidP="001F7D09">
      <w:pPr>
        <w:pStyle w:val="Bodytext20"/>
        <w:spacing w:before="120" w:after="120" w:line="360" w:lineRule="auto"/>
        <w:jc w:val="both"/>
        <w:rPr>
          <w:sz w:val="24"/>
          <w:szCs w:val="24"/>
        </w:rPr>
      </w:pPr>
      <w:r w:rsidRPr="001F7D09">
        <w:rPr>
          <w:sz w:val="24"/>
          <w:szCs w:val="24"/>
        </w:rPr>
        <w:t>W związku z powyższym art. 20 u.p.d. także powinien zostać uchylony.</w:t>
      </w:r>
    </w:p>
    <w:p w14:paraId="4CA0DBE0" w14:textId="083CE277" w:rsidR="004F0647" w:rsidRPr="001F7D09" w:rsidRDefault="004F0647" w:rsidP="001F7D09">
      <w:pPr>
        <w:pStyle w:val="Bodytext20"/>
        <w:spacing w:before="120" w:after="120" w:line="360" w:lineRule="auto"/>
        <w:jc w:val="both"/>
        <w:rPr>
          <w:sz w:val="24"/>
          <w:szCs w:val="24"/>
        </w:rPr>
      </w:pPr>
      <w:r w:rsidRPr="001F7D09">
        <w:rPr>
          <w:sz w:val="24"/>
          <w:szCs w:val="24"/>
        </w:rPr>
        <w:t>Art. 21 u.p.d. stanowi upoważnienie dla ministra właściwego do spraw finansów publicznych do</w:t>
      </w:r>
      <w:r w:rsidR="003849B9" w:rsidRPr="001F7D09">
        <w:rPr>
          <w:sz w:val="24"/>
          <w:szCs w:val="24"/>
        </w:rPr>
        <w:t xml:space="preserve"> </w:t>
      </w:r>
      <w:r w:rsidRPr="001F7D09">
        <w:rPr>
          <w:sz w:val="24"/>
          <w:szCs w:val="24"/>
        </w:rPr>
        <w:t xml:space="preserve">określenia, w drodze rozporządzenia, w porozumieniu z ministrem właściwym do spraw wewnętrznych, sposobu dokonywania potwierdzenia </w:t>
      </w:r>
      <w:r w:rsidRPr="001F7D09">
        <w:rPr>
          <w:sz w:val="24"/>
          <w:szCs w:val="24"/>
        </w:rPr>
        <w:lastRenderedPageBreak/>
        <w:t>przywozu do kraju oraz wywozu za granicę wartości dewizowych lub krajowych środków płatniczych oraz wzorów zgłoszenia przywozu do</w:t>
      </w:r>
      <w:r w:rsidR="003849B9" w:rsidRPr="001F7D09">
        <w:rPr>
          <w:sz w:val="24"/>
          <w:szCs w:val="24"/>
        </w:rPr>
        <w:t xml:space="preserve"> </w:t>
      </w:r>
      <w:r w:rsidRPr="001F7D09">
        <w:rPr>
          <w:sz w:val="24"/>
          <w:szCs w:val="24"/>
        </w:rPr>
        <w:t>kraju oraz wywozu za granicę wartości dewizowych lub krajowych środków płatniczych. Realizację upoważnienia ustawowego zawartego w tym przepisie stanowi rozporządzenie Ministra Finansów z dnia 29 czerwca 2007 r. w sprawie sposobu dokonywania potwierdzenia przywozu do kraju oraz wywozu za granicę wartości dewizowych lub krajowych środków płatniczych oraz wzoru zgłoszenia przywozu do kraju i wywozu za granicę tych wartości lub</w:t>
      </w:r>
      <w:r w:rsidR="003849B9" w:rsidRPr="001F7D09">
        <w:rPr>
          <w:sz w:val="24"/>
          <w:szCs w:val="24"/>
        </w:rPr>
        <w:t xml:space="preserve"> </w:t>
      </w:r>
      <w:r w:rsidRPr="001F7D09">
        <w:rPr>
          <w:sz w:val="24"/>
          <w:szCs w:val="24"/>
        </w:rPr>
        <w:t>środków (Dz. U. z 2014 r. poz. 1068).</w:t>
      </w:r>
    </w:p>
    <w:p w14:paraId="521FF87D" w14:textId="04424083" w:rsidR="004F0647" w:rsidRPr="001F7D09" w:rsidRDefault="004F0647" w:rsidP="001F7D09">
      <w:pPr>
        <w:pStyle w:val="Bodytext20"/>
        <w:spacing w:before="120" w:after="120" w:line="360" w:lineRule="auto"/>
        <w:jc w:val="both"/>
        <w:rPr>
          <w:sz w:val="24"/>
          <w:szCs w:val="24"/>
        </w:rPr>
      </w:pPr>
      <w:r w:rsidRPr="001F7D09">
        <w:rPr>
          <w:sz w:val="24"/>
          <w:szCs w:val="24"/>
        </w:rPr>
        <w:t xml:space="preserve">Zgodnie z art. 16 ust. 1 lit. a rozporządzenia 2018/1672 Komisja Europejska przyjmuje, w drodze aktów wykonawczych, jako środki zapewniające jednolite stosowanie kontroli przez </w:t>
      </w:r>
      <w:r w:rsidRPr="001F7D09">
        <w:rPr>
          <w:sz w:val="24"/>
          <w:szCs w:val="24"/>
        </w:rPr>
        <w:lastRenderedPageBreak/>
        <w:t>właściwe organy, wzory formularza deklaracji środków pieniężnych, o którym mowa w art. 3 ust. 3, oraz</w:t>
      </w:r>
      <w:r w:rsidR="003849B9" w:rsidRPr="001F7D09">
        <w:rPr>
          <w:sz w:val="24"/>
          <w:szCs w:val="24"/>
        </w:rPr>
        <w:t xml:space="preserve"> </w:t>
      </w:r>
      <w:r w:rsidRPr="001F7D09">
        <w:rPr>
          <w:sz w:val="24"/>
          <w:szCs w:val="24"/>
        </w:rPr>
        <w:t xml:space="preserve">formularza ujawnienia środków pieniężnych, o którym mowa w art. 4 ust. 3. </w:t>
      </w:r>
    </w:p>
    <w:p w14:paraId="2F8CC4A1" w14:textId="4FD90B8E" w:rsidR="004F0647" w:rsidRPr="001F7D09" w:rsidRDefault="004F0647" w:rsidP="001F7D09">
      <w:pPr>
        <w:pStyle w:val="Bodytext20"/>
        <w:spacing w:before="120" w:after="120" w:line="360" w:lineRule="auto"/>
        <w:jc w:val="both"/>
        <w:rPr>
          <w:sz w:val="24"/>
          <w:szCs w:val="24"/>
        </w:rPr>
      </w:pPr>
      <w:r w:rsidRPr="001F7D09">
        <w:rPr>
          <w:sz w:val="24"/>
          <w:szCs w:val="24"/>
        </w:rPr>
        <w:t xml:space="preserve">Ponadto w art. 3 ust. 3 oraz art. 4 ust. 3 rozporządzenia 2018/1672 przewidziano, że składający deklarację otrzymuje, na żądanie, potwierdzoną kopię odpowiednio deklaracji środków pieniężnych lub deklaracji ujawnienia środków pieniężnych. </w:t>
      </w:r>
    </w:p>
    <w:p w14:paraId="46601992" w14:textId="40CDC016" w:rsidR="004F0647" w:rsidRPr="001F7D09" w:rsidRDefault="004F0647" w:rsidP="001F7D09">
      <w:pPr>
        <w:pStyle w:val="Bodytext20"/>
        <w:spacing w:before="120" w:after="120" w:line="360" w:lineRule="auto"/>
        <w:jc w:val="both"/>
        <w:rPr>
          <w:sz w:val="24"/>
          <w:szCs w:val="24"/>
        </w:rPr>
      </w:pPr>
      <w:r w:rsidRPr="001F7D09">
        <w:rPr>
          <w:sz w:val="24"/>
          <w:szCs w:val="24"/>
        </w:rPr>
        <w:t xml:space="preserve">Wzory formularzy określa rozporządzenie 2021/776. W formularzach tych dla potrzeb potwierdzania zgłoszenia środków pieniężnych przewidziana jest rubryka na podpis i pieczęć </w:t>
      </w:r>
      <w:r w:rsidRPr="001F7D09">
        <w:rPr>
          <w:sz w:val="24"/>
          <w:szCs w:val="24"/>
        </w:rPr>
        <w:lastRenderedPageBreak/>
        <w:t>właściwego organu (sekcja 8 w formularzu deklaracji środków pieniężnych oraz sekcja 9 w</w:t>
      </w:r>
      <w:r w:rsidR="003849B9" w:rsidRPr="001F7D09">
        <w:rPr>
          <w:sz w:val="24"/>
          <w:szCs w:val="24"/>
        </w:rPr>
        <w:t xml:space="preserve"> </w:t>
      </w:r>
      <w:r w:rsidRPr="001F7D09">
        <w:rPr>
          <w:sz w:val="24"/>
          <w:szCs w:val="24"/>
        </w:rPr>
        <w:t>formularzu ujawnienia środków pieniężnych).</w:t>
      </w:r>
    </w:p>
    <w:p w14:paraId="6FC1E202" w14:textId="77777777" w:rsidR="004F0647" w:rsidRPr="001F7D09" w:rsidRDefault="004F0647" w:rsidP="001F7D09">
      <w:pPr>
        <w:pStyle w:val="Bodytext20"/>
        <w:spacing w:before="120" w:after="120" w:line="360" w:lineRule="auto"/>
        <w:jc w:val="both"/>
        <w:rPr>
          <w:sz w:val="24"/>
          <w:szCs w:val="24"/>
        </w:rPr>
      </w:pPr>
      <w:r w:rsidRPr="001F7D09">
        <w:rPr>
          <w:sz w:val="24"/>
          <w:szCs w:val="24"/>
        </w:rPr>
        <w:t>Rozporządzenie 2018/1672 nie określa, w jaki sposób następuje potwierdzenie kopii deklaracji. Nie ma jednakże konieczności regulowania tej kwestii na gruncie przepisów powszechnie obowiązujących. Potwierdzenie może nastąpić w dowolny sposób, stosowany przez organy celne</w:t>
      </w:r>
      <w:r w:rsidR="00E41636" w:rsidRPr="001F7D09">
        <w:rPr>
          <w:sz w:val="24"/>
          <w:szCs w:val="24"/>
        </w:rPr>
        <w:t>.</w:t>
      </w:r>
      <w:r w:rsidRPr="001F7D09">
        <w:rPr>
          <w:sz w:val="24"/>
          <w:szCs w:val="24"/>
        </w:rPr>
        <w:t xml:space="preserve"> </w:t>
      </w:r>
    </w:p>
    <w:p w14:paraId="7C085D1C" w14:textId="2E6C96FE" w:rsidR="004C6BA2" w:rsidRPr="001F7D09" w:rsidRDefault="004F0647" w:rsidP="001F7D09">
      <w:pPr>
        <w:pStyle w:val="Bodytext20"/>
        <w:spacing w:before="120" w:after="120" w:line="360" w:lineRule="auto"/>
        <w:jc w:val="both"/>
        <w:rPr>
          <w:sz w:val="24"/>
          <w:szCs w:val="24"/>
        </w:rPr>
      </w:pPr>
      <w:r w:rsidRPr="001F7D09">
        <w:rPr>
          <w:sz w:val="24"/>
          <w:szCs w:val="24"/>
        </w:rPr>
        <w:t>Wobec wprowadzenia wzoru formularza deklaracji środków pieniężnych na gruncie prawa unijnego zbędne stają się przepisy zawarte w ww. rozporządzeniu Ministra Finansów, a</w:t>
      </w:r>
      <w:r w:rsidR="003849B9" w:rsidRPr="001F7D09">
        <w:rPr>
          <w:sz w:val="24"/>
          <w:szCs w:val="24"/>
        </w:rPr>
        <w:t xml:space="preserve"> </w:t>
      </w:r>
      <w:r w:rsidRPr="001F7D09">
        <w:rPr>
          <w:sz w:val="24"/>
          <w:szCs w:val="24"/>
        </w:rPr>
        <w:t>tym</w:t>
      </w:r>
      <w:r w:rsidR="003849B9" w:rsidRPr="001F7D09">
        <w:rPr>
          <w:sz w:val="24"/>
          <w:szCs w:val="24"/>
        </w:rPr>
        <w:t xml:space="preserve"> </w:t>
      </w:r>
      <w:r w:rsidRPr="001F7D09">
        <w:rPr>
          <w:sz w:val="24"/>
          <w:szCs w:val="24"/>
        </w:rPr>
        <w:t>samym art. 21 u.p.d. stanowiący podstawę do jego wydania.</w:t>
      </w:r>
    </w:p>
    <w:p w14:paraId="67E8FB13" w14:textId="10AB5079" w:rsidR="001F073D" w:rsidRPr="001F7D09" w:rsidRDefault="00B1516C"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W tym miejscu należy w</w:t>
      </w:r>
      <w:r w:rsidR="00A01542" w:rsidRPr="001F7D09">
        <w:rPr>
          <w:rFonts w:ascii="Times New Roman" w:eastAsia="Times New Roman" w:hAnsi="Times New Roman" w:cs="Times New Roman"/>
          <w:color w:val="auto"/>
        </w:rPr>
        <w:t>skazać, że</w:t>
      </w:r>
      <w:r w:rsidR="00511698" w:rsidRPr="001F7D09">
        <w:rPr>
          <w:rFonts w:ascii="Times New Roman" w:eastAsia="Times New Roman" w:hAnsi="Times New Roman" w:cs="Times New Roman"/>
          <w:color w:val="auto"/>
        </w:rPr>
        <w:t xml:space="preserve"> p</w:t>
      </w:r>
      <w:r w:rsidR="001F073D" w:rsidRPr="001F7D09">
        <w:rPr>
          <w:rFonts w:ascii="Times New Roman" w:eastAsia="Times New Roman" w:hAnsi="Times New Roman" w:cs="Times New Roman"/>
          <w:color w:val="auto"/>
        </w:rPr>
        <w:t>rzepis art. 18 u.p.d. istniał przed przystąpieniem Polski do</w:t>
      </w:r>
      <w:r w:rsidR="003849B9"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Unii Europejskiej</w:t>
      </w:r>
      <w:r w:rsidR="00A40E13"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 xml:space="preserve">z tym że </w:t>
      </w:r>
      <w:r w:rsidR="001F073D" w:rsidRPr="001F7D09">
        <w:rPr>
          <w:rFonts w:ascii="Times New Roman" w:eastAsia="Times New Roman" w:hAnsi="Times New Roman" w:cs="Times New Roman"/>
          <w:color w:val="auto"/>
        </w:rPr>
        <w:lastRenderedPageBreak/>
        <w:t>obowiązek deklarowania dotyczył wyłącznie wwozu środków pieniężnych oraz złota i platyny dewizowej (wywóz podlegał reglamentacji). Po przystąpieniu Polski do Unii Europejskiej i zniesieniu reglamentacji obowiązek deklarowania został rozciągnięty na wywóz</w:t>
      </w:r>
      <w:r w:rsidR="00876B28"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z tym że po zniesieniu reglamentacji kontrolowanie wwozu i wywozu jest związane z walką z praniem pieniędzy oraz finansowaniem terroryzmu, jako nadrzędnym celem w zakresie bezpieczeństwa i porządku publicznego.</w:t>
      </w:r>
    </w:p>
    <w:p w14:paraId="6FF4E423" w14:textId="1F43E57C" w:rsidR="005420BA" w:rsidRPr="001F7D09" w:rsidRDefault="00BE456B"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Poprzednio obowiązujące r</w:t>
      </w:r>
      <w:r w:rsidR="001F073D" w:rsidRPr="001F7D09">
        <w:rPr>
          <w:rFonts w:ascii="Times New Roman" w:eastAsia="Times New Roman" w:hAnsi="Times New Roman" w:cs="Times New Roman"/>
          <w:color w:val="auto"/>
        </w:rPr>
        <w:t>ozporządzenie (WE) nr 1889/2005 Parlamentu Europejskiego i Rady z dnia 26 października 2005 r. w sprawie kontroli środków pieniężnych wwożonych do</w:t>
      </w:r>
      <w:r w:rsidR="003849B9"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Wspólnoty lub wywożonych ze Wspólnoty (Dz. Urz. UE L 309 z 25.11.2005, str. 9), zwane dalej „rozporządzeniem 1889/2005”</w:t>
      </w:r>
      <w:r w:rsidR="00876B28"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 xml:space="preserve">zostało wdrożone </w:t>
      </w:r>
      <w:r w:rsidR="00154E57" w:rsidRPr="001F7D09">
        <w:rPr>
          <w:rFonts w:ascii="Times New Roman" w:eastAsia="Times New Roman" w:hAnsi="Times New Roman" w:cs="Times New Roman"/>
          <w:color w:val="auto"/>
        </w:rPr>
        <w:t xml:space="preserve">m.in. </w:t>
      </w:r>
      <w:r w:rsidR="001F073D" w:rsidRPr="001F7D09">
        <w:rPr>
          <w:rFonts w:ascii="Times New Roman" w:eastAsia="Times New Roman" w:hAnsi="Times New Roman" w:cs="Times New Roman"/>
          <w:color w:val="auto"/>
        </w:rPr>
        <w:t xml:space="preserve">przepisami ustawy z dnia </w:t>
      </w:r>
      <w:r w:rsidR="001F073D" w:rsidRPr="001F7D09">
        <w:rPr>
          <w:rFonts w:ascii="Times New Roman" w:eastAsia="Times New Roman" w:hAnsi="Times New Roman" w:cs="Times New Roman"/>
          <w:color w:val="auto"/>
        </w:rPr>
        <w:lastRenderedPageBreak/>
        <w:t>27</w:t>
      </w:r>
      <w:r w:rsidR="003849B9"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lipca 2002 r. – Prawo dewizowe</w:t>
      </w:r>
      <w:r w:rsidRPr="001F7D09">
        <w:rPr>
          <w:rFonts w:ascii="Times New Roman" w:eastAsia="Times New Roman" w:hAnsi="Times New Roman" w:cs="Times New Roman"/>
          <w:color w:val="auto"/>
        </w:rPr>
        <w:t xml:space="preserve">, </w:t>
      </w:r>
      <w:r w:rsidR="00007A27" w:rsidRPr="001F7D09">
        <w:rPr>
          <w:rFonts w:ascii="Times New Roman" w:eastAsia="Times New Roman" w:hAnsi="Times New Roman" w:cs="Times New Roman"/>
          <w:color w:val="auto"/>
        </w:rPr>
        <w:t>ponieważ w</w:t>
      </w:r>
      <w:r w:rsidR="00D55095" w:rsidRPr="001F7D09">
        <w:rPr>
          <w:rFonts w:ascii="Times New Roman" w:eastAsia="Times New Roman" w:hAnsi="Times New Roman" w:cs="Times New Roman"/>
          <w:color w:val="auto"/>
        </w:rPr>
        <w:t xml:space="preserve"> ustawie tej </w:t>
      </w:r>
      <w:r w:rsidR="00A9055E" w:rsidRPr="001F7D09">
        <w:rPr>
          <w:rFonts w:ascii="Times New Roman" w:eastAsia="Times New Roman" w:hAnsi="Times New Roman" w:cs="Times New Roman"/>
          <w:color w:val="auto"/>
        </w:rPr>
        <w:t>istniały przepisy dotyczące zgłaszania wywozu za granicę środków płatniczych oraz złota dewizowego i platyny dewizowej, jako</w:t>
      </w:r>
      <w:r w:rsidR="003849B9" w:rsidRPr="001F7D09">
        <w:rPr>
          <w:rFonts w:ascii="Times New Roman" w:eastAsia="Times New Roman" w:hAnsi="Times New Roman" w:cs="Times New Roman"/>
          <w:color w:val="auto"/>
        </w:rPr>
        <w:t xml:space="preserve"> </w:t>
      </w:r>
      <w:r w:rsidR="00A9055E" w:rsidRPr="001F7D09">
        <w:rPr>
          <w:rFonts w:ascii="Times New Roman" w:eastAsia="Times New Roman" w:hAnsi="Times New Roman" w:cs="Times New Roman"/>
          <w:color w:val="auto"/>
        </w:rPr>
        <w:t>element reglamentacji dewizowej. Wywóz tych środków oraz wartości dewizowych za</w:t>
      </w:r>
      <w:r w:rsidR="003849B9" w:rsidRPr="001F7D09">
        <w:rPr>
          <w:rFonts w:ascii="Times New Roman" w:eastAsia="Times New Roman" w:hAnsi="Times New Roman" w:cs="Times New Roman"/>
          <w:color w:val="auto"/>
        </w:rPr>
        <w:t xml:space="preserve"> </w:t>
      </w:r>
      <w:r w:rsidR="00A9055E" w:rsidRPr="001F7D09">
        <w:rPr>
          <w:rFonts w:ascii="Times New Roman" w:eastAsia="Times New Roman" w:hAnsi="Times New Roman" w:cs="Times New Roman"/>
          <w:color w:val="auto"/>
        </w:rPr>
        <w:t>granicę wymagał</w:t>
      </w:r>
      <w:r w:rsidR="00952E75" w:rsidRPr="001F7D09">
        <w:rPr>
          <w:rFonts w:ascii="Times New Roman" w:eastAsia="Times New Roman" w:hAnsi="Times New Roman" w:cs="Times New Roman"/>
          <w:color w:val="auto"/>
        </w:rPr>
        <w:t xml:space="preserve">, </w:t>
      </w:r>
      <w:r w:rsidR="00A9055E" w:rsidRPr="001F7D09">
        <w:rPr>
          <w:rFonts w:ascii="Times New Roman" w:eastAsia="Times New Roman" w:hAnsi="Times New Roman" w:cs="Times New Roman"/>
          <w:color w:val="auto"/>
        </w:rPr>
        <w:t>na podstawie art</w:t>
      </w:r>
      <w:r w:rsidR="00154E57" w:rsidRPr="001F7D09">
        <w:rPr>
          <w:rFonts w:ascii="Times New Roman" w:eastAsia="Times New Roman" w:hAnsi="Times New Roman" w:cs="Times New Roman"/>
          <w:color w:val="auto"/>
        </w:rPr>
        <w:t xml:space="preserve">. </w:t>
      </w:r>
      <w:r w:rsidR="00A9055E" w:rsidRPr="001F7D09">
        <w:rPr>
          <w:rFonts w:ascii="Times New Roman" w:eastAsia="Times New Roman" w:hAnsi="Times New Roman" w:cs="Times New Roman"/>
          <w:color w:val="auto"/>
        </w:rPr>
        <w:t xml:space="preserve">9 pkt 2 </w:t>
      </w:r>
      <w:r w:rsidR="00A02841" w:rsidRPr="001F7D09">
        <w:rPr>
          <w:rFonts w:ascii="Times New Roman" w:eastAsia="Times New Roman" w:hAnsi="Times New Roman" w:cs="Times New Roman"/>
          <w:color w:val="auto"/>
        </w:rPr>
        <w:t xml:space="preserve">u.p.d., </w:t>
      </w:r>
      <w:r w:rsidR="00A9055E" w:rsidRPr="001F7D09">
        <w:rPr>
          <w:rFonts w:ascii="Times New Roman" w:eastAsia="Times New Roman" w:hAnsi="Times New Roman" w:cs="Times New Roman"/>
          <w:color w:val="auto"/>
        </w:rPr>
        <w:t>zezwolenia dewizowego</w:t>
      </w:r>
      <w:r w:rsidR="00154E57" w:rsidRPr="001F7D09">
        <w:rPr>
          <w:rFonts w:ascii="Times New Roman" w:eastAsia="Times New Roman" w:hAnsi="Times New Roman" w:cs="Times New Roman"/>
          <w:color w:val="auto"/>
        </w:rPr>
        <w:t xml:space="preserve">, </w:t>
      </w:r>
      <w:r w:rsidR="00A9055E" w:rsidRPr="001F7D09">
        <w:rPr>
          <w:rFonts w:ascii="Times New Roman" w:eastAsia="Times New Roman" w:hAnsi="Times New Roman" w:cs="Times New Roman"/>
          <w:color w:val="auto"/>
        </w:rPr>
        <w:t xml:space="preserve">z tym że ogólne zezwolenie dewizowe udzielone przez </w:t>
      </w:r>
      <w:r w:rsidR="00A02841" w:rsidRPr="001F7D09">
        <w:rPr>
          <w:rFonts w:ascii="Times New Roman" w:eastAsia="Times New Roman" w:hAnsi="Times New Roman" w:cs="Times New Roman"/>
          <w:color w:val="auto"/>
        </w:rPr>
        <w:t xml:space="preserve">ministra właściwego do spraw finansów publicznych </w:t>
      </w:r>
      <w:r w:rsidR="00A9055E" w:rsidRPr="001F7D09">
        <w:rPr>
          <w:rFonts w:ascii="Times New Roman" w:eastAsia="Times New Roman" w:hAnsi="Times New Roman" w:cs="Times New Roman"/>
          <w:color w:val="auto"/>
        </w:rPr>
        <w:t>dopuszczało wywóz na podstawie zgłoszenia</w:t>
      </w:r>
      <w:r w:rsidR="00A02841" w:rsidRPr="001F7D09">
        <w:rPr>
          <w:rFonts w:ascii="Times New Roman" w:eastAsia="Times New Roman" w:hAnsi="Times New Roman" w:cs="Times New Roman"/>
          <w:color w:val="auto"/>
        </w:rPr>
        <w:t xml:space="preserve">. </w:t>
      </w:r>
      <w:r w:rsidR="00A9055E" w:rsidRPr="001F7D09">
        <w:rPr>
          <w:rFonts w:ascii="Times New Roman" w:eastAsia="Times New Roman" w:hAnsi="Times New Roman" w:cs="Times New Roman"/>
          <w:color w:val="auto"/>
        </w:rPr>
        <w:t xml:space="preserve">W ramach nowelizacji </w:t>
      </w:r>
      <w:r w:rsidR="00A02841" w:rsidRPr="001F7D09">
        <w:rPr>
          <w:rFonts w:ascii="Times New Roman" w:eastAsia="Times New Roman" w:hAnsi="Times New Roman" w:cs="Times New Roman"/>
          <w:color w:val="auto"/>
        </w:rPr>
        <w:t xml:space="preserve">ustawy z dnia 27 lipca 2002 r. – Prawo dewizowe </w:t>
      </w:r>
      <w:r w:rsidR="00A9055E" w:rsidRPr="001F7D09">
        <w:rPr>
          <w:rFonts w:ascii="Times New Roman" w:eastAsia="Times New Roman" w:hAnsi="Times New Roman" w:cs="Times New Roman"/>
          <w:color w:val="auto"/>
        </w:rPr>
        <w:t xml:space="preserve">w </w:t>
      </w:r>
      <w:r w:rsidR="00A02841" w:rsidRPr="001F7D09">
        <w:rPr>
          <w:rFonts w:ascii="Times New Roman" w:eastAsia="Times New Roman" w:hAnsi="Times New Roman" w:cs="Times New Roman"/>
          <w:color w:val="auto"/>
        </w:rPr>
        <w:t xml:space="preserve">roku </w:t>
      </w:r>
      <w:r w:rsidR="00A9055E" w:rsidRPr="001F7D09">
        <w:rPr>
          <w:rFonts w:ascii="Times New Roman" w:eastAsia="Times New Roman" w:hAnsi="Times New Roman" w:cs="Times New Roman"/>
          <w:color w:val="auto"/>
        </w:rPr>
        <w:t xml:space="preserve">2007 uchylono art. 9 pkt 2 i wprowadzono w art. 18 </w:t>
      </w:r>
      <w:r w:rsidR="005420BA" w:rsidRPr="001F7D09">
        <w:rPr>
          <w:rFonts w:ascii="Times New Roman" w:eastAsia="Times New Roman" w:hAnsi="Times New Roman" w:cs="Times New Roman"/>
          <w:color w:val="auto"/>
        </w:rPr>
        <w:t>obowiązek zgłaszania przywozu do kraju oraz wywozu za granicę</w:t>
      </w:r>
      <w:r w:rsidR="00991A68" w:rsidRPr="001F7D09">
        <w:rPr>
          <w:rFonts w:ascii="Times New Roman" w:eastAsia="Times New Roman" w:hAnsi="Times New Roman" w:cs="Times New Roman"/>
          <w:color w:val="auto"/>
        </w:rPr>
        <w:t xml:space="preserve"> (zatem </w:t>
      </w:r>
      <w:r w:rsidR="005420BA" w:rsidRPr="001F7D09">
        <w:rPr>
          <w:rFonts w:ascii="Times New Roman" w:eastAsia="Times New Roman" w:hAnsi="Times New Roman" w:cs="Times New Roman"/>
          <w:color w:val="auto"/>
        </w:rPr>
        <w:t>także przez granice Unii</w:t>
      </w:r>
      <w:r w:rsidR="00991A68" w:rsidRPr="001F7D09">
        <w:rPr>
          <w:rFonts w:ascii="Times New Roman" w:eastAsia="Times New Roman" w:hAnsi="Times New Roman" w:cs="Times New Roman"/>
          <w:color w:val="auto"/>
        </w:rPr>
        <w:t xml:space="preserve"> Europejskiej) </w:t>
      </w:r>
      <w:r w:rsidR="005420BA" w:rsidRPr="001F7D09">
        <w:rPr>
          <w:rFonts w:ascii="Times New Roman" w:eastAsia="Times New Roman" w:hAnsi="Times New Roman" w:cs="Times New Roman"/>
          <w:color w:val="auto"/>
        </w:rPr>
        <w:t xml:space="preserve">złota dewizowego, platyny dewizowej </w:t>
      </w:r>
      <w:r w:rsidR="005420BA" w:rsidRPr="001F7D09">
        <w:rPr>
          <w:rFonts w:ascii="Times New Roman" w:eastAsia="Times New Roman" w:hAnsi="Times New Roman" w:cs="Times New Roman"/>
          <w:color w:val="auto"/>
        </w:rPr>
        <w:lastRenderedPageBreak/>
        <w:t>oraz krajowych lub zagranicznych środków płatniczych</w:t>
      </w:r>
      <w:r w:rsidR="008B5F25" w:rsidRPr="001F7D09">
        <w:rPr>
          <w:rFonts w:ascii="Times New Roman" w:eastAsia="Times New Roman" w:hAnsi="Times New Roman" w:cs="Times New Roman"/>
          <w:color w:val="auto"/>
        </w:rPr>
        <w:t xml:space="preserve"> (</w:t>
      </w:r>
      <w:r w:rsidR="005420BA" w:rsidRPr="001F7D09">
        <w:rPr>
          <w:rFonts w:ascii="Times New Roman" w:eastAsia="Times New Roman" w:hAnsi="Times New Roman" w:cs="Times New Roman"/>
          <w:color w:val="auto"/>
        </w:rPr>
        <w:t>podczas</w:t>
      </w:r>
      <w:r w:rsidR="0041051E" w:rsidRPr="001F7D09">
        <w:rPr>
          <w:rFonts w:ascii="Times New Roman" w:eastAsia="Times New Roman" w:hAnsi="Times New Roman" w:cs="Times New Roman"/>
          <w:color w:val="auto"/>
        </w:rPr>
        <w:t xml:space="preserve">, </w:t>
      </w:r>
      <w:r w:rsidR="005420BA" w:rsidRPr="001F7D09">
        <w:rPr>
          <w:rFonts w:ascii="Times New Roman" w:eastAsia="Times New Roman" w:hAnsi="Times New Roman" w:cs="Times New Roman"/>
          <w:color w:val="auto"/>
        </w:rPr>
        <w:t xml:space="preserve">gdy obowiązek zgłaszania przez osoby fizyczne przekraczające granice UE </w:t>
      </w:r>
      <w:r w:rsidR="00991A68" w:rsidRPr="001F7D09">
        <w:rPr>
          <w:rFonts w:ascii="Times New Roman" w:eastAsia="Times New Roman" w:hAnsi="Times New Roman" w:cs="Times New Roman"/>
          <w:color w:val="auto"/>
        </w:rPr>
        <w:t>/</w:t>
      </w:r>
      <w:r w:rsidR="005420BA" w:rsidRPr="001F7D09">
        <w:rPr>
          <w:rFonts w:ascii="Times New Roman" w:eastAsia="Times New Roman" w:hAnsi="Times New Roman" w:cs="Times New Roman"/>
          <w:color w:val="auto"/>
        </w:rPr>
        <w:t>wtedy WE</w:t>
      </w:r>
      <w:r w:rsidR="00991A68" w:rsidRPr="001F7D09">
        <w:rPr>
          <w:rFonts w:ascii="Times New Roman" w:eastAsia="Times New Roman" w:hAnsi="Times New Roman" w:cs="Times New Roman"/>
          <w:color w:val="auto"/>
        </w:rPr>
        <w:t>/</w:t>
      </w:r>
      <w:r w:rsidR="005420BA" w:rsidRPr="001F7D09">
        <w:rPr>
          <w:rFonts w:ascii="Times New Roman" w:eastAsia="Times New Roman" w:hAnsi="Times New Roman" w:cs="Times New Roman"/>
          <w:color w:val="auto"/>
        </w:rPr>
        <w:t xml:space="preserve"> środków pieniężnych organom celnym lub innym upoważnionym organom wynikał bezpośrednio z rozporządzenia 1889/2005</w:t>
      </w:r>
      <w:r w:rsidR="008B5F25" w:rsidRPr="001F7D09">
        <w:rPr>
          <w:rFonts w:ascii="Times New Roman" w:eastAsia="Times New Roman" w:hAnsi="Times New Roman" w:cs="Times New Roman"/>
          <w:color w:val="auto"/>
        </w:rPr>
        <w:t>).</w:t>
      </w:r>
    </w:p>
    <w:p w14:paraId="20E1038F" w14:textId="731B0802" w:rsidR="001F073D" w:rsidRPr="001F7D09" w:rsidRDefault="003A7D03"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 xml:space="preserve">W art. 18 u.p.d. (ale także w art. 20 i </w:t>
      </w:r>
      <w:r w:rsidR="0003057D" w:rsidRPr="001F7D09">
        <w:rPr>
          <w:rFonts w:ascii="Times New Roman" w:eastAsia="Times New Roman" w:hAnsi="Times New Roman" w:cs="Times New Roman"/>
          <w:color w:val="auto"/>
        </w:rPr>
        <w:t xml:space="preserve">art. </w:t>
      </w:r>
      <w:r w:rsidRPr="001F7D09">
        <w:rPr>
          <w:rFonts w:ascii="Times New Roman" w:eastAsia="Times New Roman" w:hAnsi="Times New Roman" w:cs="Times New Roman"/>
          <w:color w:val="auto"/>
        </w:rPr>
        <w:t xml:space="preserve">21 u.p.d.) zostały wykorzystane pojęcia, których definicje wynikają z </w:t>
      </w:r>
      <w:r w:rsidR="001F073D" w:rsidRPr="001F7D09">
        <w:rPr>
          <w:rFonts w:ascii="Times New Roman" w:eastAsia="Times New Roman" w:hAnsi="Times New Roman" w:cs="Times New Roman"/>
          <w:color w:val="auto"/>
        </w:rPr>
        <w:t>ustawy z dnia 27 lipca 2002 r. – Prawo dewizowe (środki płatnicze, złoto dewizowe, platyna dewizowa)</w:t>
      </w:r>
      <w:r w:rsidR="0041051E"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podczas</w:t>
      </w:r>
      <w:r w:rsidR="0041051E" w:rsidRPr="001F7D09">
        <w:rPr>
          <w:rFonts w:ascii="Times New Roman" w:eastAsia="Times New Roman" w:hAnsi="Times New Roman" w:cs="Times New Roman"/>
          <w:color w:val="auto"/>
        </w:rPr>
        <w:t xml:space="preserve"> </w:t>
      </w:r>
      <w:r w:rsidR="001F073D" w:rsidRPr="001F7D09">
        <w:rPr>
          <w:rFonts w:ascii="Times New Roman" w:eastAsia="Times New Roman" w:hAnsi="Times New Roman" w:cs="Times New Roman"/>
          <w:color w:val="auto"/>
        </w:rPr>
        <w:t>gdy rozporządzenie 1889/2005 zawierało własną definicję środków pieniężnych</w:t>
      </w:r>
      <w:r w:rsidR="004013CC" w:rsidRPr="001F7D09">
        <w:rPr>
          <w:rFonts w:ascii="Times New Roman" w:eastAsia="Times New Roman" w:hAnsi="Times New Roman" w:cs="Times New Roman"/>
          <w:color w:val="auto"/>
        </w:rPr>
        <w:t>, które oznaczały</w:t>
      </w:r>
      <w:r w:rsidR="001F073D" w:rsidRPr="001F7D09">
        <w:rPr>
          <w:rFonts w:ascii="Times New Roman" w:eastAsia="Times New Roman" w:hAnsi="Times New Roman" w:cs="Times New Roman"/>
          <w:color w:val="auto"/>
        </w:rPr>
        <w:t xml:space="preserve"> </w:t>
      </w:r>
      <w:r w:rsidR="004013CC" w:rsidRPr="001F7D09">
        <w:rPr>
          <w:rFonts w:ascii="Times New Roman" w:eastAsia="Times New Roman" w:hAnsi="Times New Roman" w:cs="Times New Roman"/>
          <w:color w:val="auto"/>
        </w:rPr>
        <w:t>zbywalne papier</w:t>
      </w:r>
      <w:r w:rsidR="00F313A0">
        <w:rPr>
          <w:rFonts w:ascii="Times New Roman" w:eastAsia="Times New Roman" w:hAnsi="Times New Roman" w:cs="Times New Roman"/>
          <w:color w:val="auto"/>
        </w:rPr>
        <w:t>y na okaziciela i gotówkę (art. </w:t>
      </w:r>
      <w:r w:rsidR="001F073D" w:rsidRPr="001F7D09">
        <w:rPr>
          <w:rFonts w:ascii="Times New Roman" w:eastAsia="Times New Roman" w:hAnsi="Times New Roman" w:cs="Times New Roman"/>
          <w:color w:val="auto"/>
        </w:rPr>
        <w:t>2 pkt 2)</w:t>
      </w:r>
      <w:r w:rsidR="00FB2035">
        <w:rPr>
          <w:rFonts w:ascii="Times New Roman" w:eastAsia="Times New Roman" w:hAnsi="Times New Roman" w:cs="Times New Roman"/>
          <w:color w:val="auto"/>
        </w:rPr>
        <w:t>.</w:t>
      </w:r>
    </w:p>
    <w:p w14:paraId="73524DB4" w14:textId="4744C206" w:rsidR="005600E5" w:rsidRPr="001F7D09" w:rsidRDefault="00E2025E"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lastRenderedPageBreak/>
        <w:t>Definicj</w:t>
      </w:r>
      <w:r w:rsidR="0041051E" w:rsidRPr="001F7D09">
        <w:rPr>
          <w:rFonts w:ascii="Times New Roman" w:eastAsia="Times New Roman" w:hAnsi="Times New Roman" w:cs="Times New Roman"/>
          <w:color w:val="auto"/>
        </w:rPr>
        <w:t>ę</w:t>
      </w:r>
      <w:r w:rsidRPr="001F7D09">
        <w:rPr>
          <w:rFonts w:ascii="Times New Roman" w:eastAsia="Times New Roman" w:hAnsi="Times New Roman" w:cs="Times New Roman"/>
          <w:color w:val="auto"/>
        </w:rPr>
        <w:t xml:space="preserve"> środków pieniężnych zawiera również</w:t>
      </w:r>
      <w:r w:rsidRPr="001F7D09">
        <w:rPr>
          <w:rFonts w:ascii="Times New Roman" w:hAnsi="Times New Roman" w:cs="Times New Roman"/>
        </w:rPr>
        <w:t xml:space="preserve"> </w:t>
      </w:r>
      <w:r w:rsidRPr="001F7D09">
        <w:rPr>
          <w:rFonts w:ascii="Times New Roman" w:eastAsia="Times New Roman" w:hAnsi="Times New Roman" w:cs="Times New Roman"/>
          <w:color w:val="auto"/>
        </w:rPr>
        <w:t xml:space="preserve">rozporządzenia 2018/1672. </w:t>
      </w:r>
      <w:r w:rsidR="0076066D" w:rsidRPr="001F7D09">
        <w:rPr>
          <w:rFonts w:ascii="Times New Roman" w:eastAsia="Times New Roman" w:hAnsi="Times New Roman" w:cs="Times New Roman"/>
          <w:color w:val="auto"/>
        </w:rPr>
        <w:t xml:space="preserve">Zgodnie z art. 2 ust. 1 lit. a </w:t>
      </w:r>
      <w:r w:rsidR="00A23D4F" w:rsidRPr="001F7D09">
        <w:rPr>
          <w:rFonts w:ascii="Times New Roman" w:eastAsia="Times New Roman" w:hAnsi="Times New Roman" w:cs="Times New Roman"/>
          <w:color w:val="auto"/>
        </w:rPr>
        <w:t xml:space="preserve">tego </w:t>
      </w:r>
      <w:r w:rsidR="0076066D" w:rsidRPr="001F7D09">
        <w:rPr>
          <w:rFonts w:ascii="Times New Roman" w:eastAsia="Times New Roman" w:hAnsi="Times New Roman" w:cs="Times New Roman"/>
          <w:color w:val="auto"/>
        </w:rPr>
        <w:t>rozporządzenia „środki pieniężne” oznaczają: gotówkę, zbywalne papiery na</w:t>
      </w:r>
      <w:r w:rsidR="003849B9" w:rsidRPr="001F7D09">
        <w:rPr>
          <w:rFonts w:ascii="Times New Roman" w:eastAsia="Times New Roman" w:hAnsi="Times New Roman" w:cs="Times New Roman"/>
          <w:color w:val="auto"/>
        </w:rPr>
        <w:t xml:space="preserve"> </w:t>
      </w:r>
      <w:r w:rsidR="0076066D" w:rsidRPr="001F7D09">
        <w:rPr>
          <w:rFonts w:ascii="Times New Roman" w:eastAsia="Times New Roman" w:hAnsi="Times New Roman" w:cs="Times New Roman"/>
          <w:color w:val="auto"/>
        </w:rPr>
        <w:t>okaziciela, towary używane jako wysoce płynne środki przechowywania wartości i karty przedpłacone</w:t>
      </w:r>
      <w:r w:rsidR="004013CC" w:rsidRPr="001F7D09">
        <w:rPr>
          <w:rFonts w:ascii="Times New Roman" w:eastAsia="Times New Roman" w:hAnsi="Times New Roman" w:cs="Times New Roman"/>
          <w:color w:val="auto"/>
        </w:rPr>
        <w:t xml:space="preserve"> (rozszerzono zatem definicję środków pieniężnych o karty przedpłacone oraz</w:t>
      </w:r>
      <w:r w:rsidR="003849B9" w:rsidRPr="001F7D09">
        <w:rPr>
          <w:rFonts w:ascii="Times New Roman" w:eastAsia="Times New Roman" w:hAnsi="Times New Roman" w:cs="Times New Roman"/>
          <w:color w:val="auto"/>
        </w:rPr>
        <w:t xml:space="preserve"> </w:t>
      </w:r>
      <w:r w:rsidR="004013CC" w:rsidRPr="001F7D09">
        <w:rPr>
          <w:rFonts w:ascii="Times New Roman" w:eastAsia="Times New Roman" w:hAnsi="Times New Roman" w:cs="Times New Roman"/>
          <w:color w:val="auto"/>
        </w:rPr>
        <w:t>towary używane jako wysoce płynne środki przechowywania wartości)</w:t>
      </w:r>
      <w:r w:rsidR="00265952" w:rsidRPr="001F7D09">
        <w:rPr>
          <w:rFonts w:ascii="Times New Roman" w:eastAsia="Times New Roman" w:hAnsi="Times New Roman" w:cs="Times New Roman"/>
          <w:color w:val="auto"/>
        </w:rPr>
        <w:t>.</w:t>
      </w:r>
      <w:r w:rsidR="00ED6D91" w:rsidRPr="001F7D09">
        <w:rPr>
          <w:rFonts w:ascii="Times New Roman" w:eastAsia="Times New Roman" w:hAnsi="Times New Roman" w:cs="Times New Roman"/>
          <w:color w:val="auto"/>
        </w:rPr>
        <w:t xml:space="preserve"> </w:t>
      </w:r>
      <w:r w:rsidR="003A7D03" w:rsidRPr="001F7D09">
        <w:rPr>
          <w:rFonts w:ascii="Times New Roman" w:eastAsia="Times New Roman" w:hAnsi="Times New Roman" w:cs="Times New Roman"/>
          <w:color w:val="auto"/>
        </w:rPr>
        <w:t>W art. 2 ust. 1 lit.</w:t>
      </w:r>
      <w:r w:rsidR="003849B9" w:rsidRPr="001F7D09">
        <w:rPr>
          <w:rFonts w:ascii="Times New Roman" w:eastAsia="Times New Roman" w:hAnsi="Times New Roman" w:cs="Times New Roman"/>
          <w:color w:val="auto"/>
        </w:rPr>
        <w:t xml:space="preserve"> c–</w:t>
      </w:r>
      <w:r w:rsidR="003A7D03" w:rsidRPr="001F7D09">
        <w:rPr>
          <w:rFonts w:ascii="Times New Roman" w:eastAsia="Times New Roman" w:hAnsi="Times New Roman" w:cs="Times New Roman"/>
          <w:color w:val="auto"/>
        </w:rPr>
        <w:t>f rozporządzenia 2018/1672 zawarte są definicje tych pojęć (w definicjach „towaru używanego jako wysoce płynny środek przechowywania wartości” oraz „karty przedpłaconej” znajduje się odesłanie do załącznika I do rozporządzenia</w:t>
      </w:r>
      <w:r w:rsidR="00A45906" w:rsidRPr="001F7D09">
        <w:rPr>
          <w:rFonts w:ascii="Times New Roman" w:eastAsia="Times New Roman" w:hAnsi="Times New Roman" w:cs="Times New Roman"/>
          <w:color w:val="auto"/>
        </w:rPr>
        <w:t xml:space="preserve">, </w:t>
      </w:r>
      <w:r w:rsidR="003A7D03" w:rsidRPr="001F7D09">
        <w:rPr>
          <w:rFonts w:ascii="Times New Roman" w:eastAsia="Times New Roman" w:hAnsi="Times New Roman" w:cs="Times New Roman"/>
          <w:color w:val="auto"/>
        </w:rPr>
        <w:t>odpowiednio do pkt 1 i 2)</w:t>
      </w:r>
      <w:r w:rsidR="00761B5E" w:rsidRPr="001F7D09">
        <w:rPr>
          <w:rFonts w:ascii="Times New Roman" w:eastAsia="Times New Roman" w:hAnsi="Times New Roman" w:cs="Times New Roman"/>
          <w:color w:val="auto"/>
        </w:rPr>
        <w:t>. W</w:t>
      </w:r>
      <w:r w:rsidR="003849B9" w:rsidRPr="001F7D09">
        <w:rPr>
          <w:rFonts w:ascii="Times New Roman" w:eastAsia="Times New Roman" w:hAnsi="Times New Roman" w:cs="Times New Roman"/>
          <w:color w:val="auto"/>
        </w:rPr>
        <w:t xml:space="preserve"> </w:t>
      </w:r>
      <w:r w:rsidR="0076066D" w:rsidRPr="001F7D09">
        <w:rPr>
          <w:rFonts w:ascii="Times New Roman" w:eastAsia="Times New Roman" w:hAnsi="Times New Roman" w:cs="Times New Roman"/>
          <w:color w:val="auto"/>
        </w:rPr>
        <w:t>art.</w:t>
      </w:r>
      <w:r w:rsidR="003849B9" w:rsidRPr="001F7D09">
        <w:rPr>
          <w:rFonts w:ascii="Times New Roman" w:eastAsia="Times New Roman" w:hAnsi="Times New Roman" w:cs="Times New Roman"/>
          <w:color w:val="auto"/>
        </w:rPr>
        <w:t xml:space="preserve"> </w:t>
      </w:r>
      <w:r w:rsidR="0076066D" w:rsidRPr="001F7D09">
        <w:rPr>
          <w:rFonts w:ascii="Times New Roman" w:eastAsia="Times New Roman" w:hAnsi="Times New Roman" w:cs="Times New Roman"/>
          <w:color w:val="auto"/>
        </w:rPr>
        <w:t>2</w:t>
      </w:r>
      <w:r w:rsidR="003849B9" w:rsidRPr="001F7D09">
        <w:rPr>
          <w:rFonts w:ascii="Times New Roman" w:eastAsia="Times New Roman" w:hAnsi="Times New Roman" w:cs="Times New Roman"/>
          <w:color w:val="auto"/>
        </w:rPr>
        <w:t xml:space="preserve"> </w:t>
      </w:r>
      <w:r w:rsidR="0076066D" w:rsidRPr="001F7D09">
        <w:rPr>
          <w:rFonts w:ascii="Times New Roman" w:eastAsia="Times New Roman" w:hAnsi="Times New Roman" w:cs="Times New Roman"/>
          <w:color w:val="auto"/>
        </w:rPr>
        <w:t>ust.</w:t>
      </w:r>
      <w:r w:rsidR="003849B9" w:rsidRPr="001F7D09">
        <w:rPr>
          <w:rFonts w:ascii="Times New Roman" w:eastAsia="Times New Roman" w:hAnsi="Times New Roman" w:cs="Times New Roman"/>
          <w:color w:val="auto"/>
        </w:rPr>
        <w:t xml:space="preserve"> </w:t>
      </w:r>
      <w:r w:rsidR="0076066D" w:rsidRPr="001F7D09">
        <w:rPr>
          <w:rFonts w:ascii="Times New Roman" w:eastAsia="Times New Roman" w:hAnsi="Times New Roman" w:cs="Times New Roman"/>
          <w:color w:val="auto"/>
        </w:rPr>
        <w:t>2</w:t>
      </w:r>
      <w:r w:rsidR="0033570D" w:rsidRPr="001F7D09">
        <w:rPr>
          <w:rFonts w:ascii="Times New Roman" w:eastAsia="Times New Roman" w:hAnsi="Times New Roman" w:cs="Times New Roman"/>
          <w:color w:val="auto"/>
        </w:rPr>
        <w:t xml:space="preserve"> </w:t>
      </w:r>
      <w:r w:rsidR="00761B5E" w:rsidRPr="001F7D09">
        <w:rPr>
          <w:rFonts w:ascii="Times New Roman" w:eastAsia="Times New Roman" w:hAnsi="Times New Roman" w:cs="Times New Roman"/>
          <w:color w:val="auto"/>
        </w:rPr>
        <w:t>r</w:t>
      </w:r>
      <w:r w:rsidR="0076066D" w:rsidRPr="001F7D09">
        <w:rPr>
          <w:rFonts w:ascii="Times New Roman" w:eastAsia="Times New Roman" w:hAnsi="Times New Roman" w:cs="Times New Roman"/>
          <w:color w:val="auto"/>
        </w:rPr>
        <w:t>ozporządzenia 2018/1672 przewidziano możliwość zmiany załącznika I przez Komisję Europejską.</w:t>
      </w:r>
      <w:r w:rsidR="0033570D" w:rsidRPr="001F7D09">
        <w:rPr>
          <w:rFonts w:ascii="Times New Roman" w:eastAsia="Times New Roman" w:hAnsi="Times New Roman" w:cs="Times New Roman"/>
          <w:color w:val="auto"/>
        </w:rPr>
        <w:t xml:space="preserve"> </w:t>
      </w:r>
      <w:r w:rsidR="00761B5E" w:rsidRPr="001F7D09">
        <w:rPr>
          <w:rFonts w:ascii="Times New Roman" w:eastAsia="Times New Roman" w:hAnsi="Times New Roman" w:cs="Times New Roman"/>
          <w:color w:val="auto"/>
        </w:rPr>
        <w:t>Poza</w:t>
      </w:r>
      <w:r w:rsidR="003849B9" w:rsidRPr="001F7D09">
        <w:rPr>
          <w:rFonts w:ascii="Times New Roman" w:eastAsia="Times New Roman" w:hAnsi="Times New Roman" w:cs="Times New Roman"/>
          <w:color w:val="auto"/>
        </w:rPr>
        <w:t xml:space="preserve"> </w:t>
      </w:r>
      <w:r w:rsidR="00761B5E" w:rsidRPr="001F7D09">
        <w:rPr>
          <w:rFonts w:ascii="Times New Roman" w:eastAsia="Times New Roman" w:hAnsi="Times New Roman" w:cs="Times New Roman"/>
          <w:color w:val="auto"/>
        </w:rPr>
        <w:lastRenderedPageBreak/>
        <w:t>tym</w:t>
      </w:r>
      <w:r w:rsidR="0033570D" w:rsidRPr="001F7D09">
        <w:rPr>
          <w:rFonts w:ascii="Times New Roman" w:eastAsia="Times New Roman" w:hAnsi="Times New Roman" w:cs="Times New Roman"/>
          <w:color w:val="auto"/>
        </w:rPr>
        <w:t xml:space="preserve"> s</w:t>
      </w:r>
      <w:r w:rsidR="005600E5" w:rsidRPr="001F7D09">
        <w:rPr>
          <w:rFonts w:ascii="Times New Roman" w:eastAsia="Times New Roman" w:hAnsi="Times New Roman" w:cs="Times New Roman"/>
          <w:color w:val="auto"/>
        </w:rPr>
        <w:t>zczegółowe omówienie ww. pojęć i ich definicji znajduje się</w:t>
      </w:r>
      <w:r w:rsidR="003849B9" w:rsidRPr="001F7D09">
        <w:rPr>
          <w:rFonts w:ascii="Times New Roman" w:eastAsia="Times New Roman" w:hAnsi="Times New Roman" w:cs="Times New Roman"/>
          <w:color w:val="auto"/>
        </w:rPr>
        <w:t xml:space="preserve"> </w:t>
      </w:r>
      <w:r w:rsidR="005600E5" w:rsidRPr="001F7D09">
        <w:rPr>
          <w:rFonts w:ascii="Times New Roman" w:eastAsia="Times New Roman" w:hAnsi="Times New Roman" w:cs="Times New Roman"/>
          <w:color w:val="auto"/>
        </w:rPr>
        <w:t>w</w:t>
      </w:r>
      <w:r w:rsidR="003849B9" w:rsidRPr="001F7D09">
        <w:rPr>
          <w:rFonts w:ascii="Times New Roman" w:eastAsia="Times New Roman" w:hAnsi="Times New Roman" w:cs="Times New Roman"/>
          <w:color w:val="auto"/>
        </w:rPr>
        <w:t xml:space="preserve"> </w:t>
      </w:r>
      <w:r w:rsidR="005600E5" w:rsidRPr="001F7D09">
        <w:rPr>
          <w:rFonts w:ascii="Times New Roman" w:eastAsia="Times New Roman" w:hAnsi="Times New Roman" w:cs="Times New Roman"/>
          <w:color w:val="auto"/>
        </w:rPr>
        <w:t>motywach 13</w:t>
      </w:r>
      <w:r w:rsidR="003849B9" w:rsidRPr="001F7D09">
        <w:rPr>
          <w:rFonts w:ascii="Times New Roman" w:eastAsia="Times New Roman" w:hAnsi="Times New Roman" w:cs="Times New Roman"/>
          <w:color w:val="auto"/>
        </w:rPr>
        <w:t>–</w:t>
      </w:r>
      <w:r w:rsidR="005600E5" w:rsidRPr="001F7D09">
        <w:rPr>
          <w:rFonts w:ascii="Times New Roman" w:eastAsia="Times New Roman" w:hAnsi="Times New Roman" w:cs="Times New Roman"/>
          <w:color w:val="auto"/>
        </w:rPr>
        <w:t xml:space="preserve">16 </w:t>
      </w:r>
      <w:r w:rsidR="0033570D" w:rsidRPr="001F7D09">
        <w:rPr>
          <w:rFonts w:ascii="Times New Roman" w:eastAsia="Times New Roman" w:hAnsi="Times New Roman" w:cs="Times New Roman"/>
          <w:color w:val="auto"/>
        </w:rPr>
        <w:t xml:space="preserve">tego </w:t>
      </w:r>
      <w:r w:rsidR="005600E5" w:rsidRPr="001F7D09">
        <w:rPr>
          <w:rFonts w:ascii="Times New Roman" w:eastAsia="Times New Roman" w:hAnsi="Times New Roman" w:cs="Times New Roman"/>
          <w:color w:val="auto"/>
        </w:rPr>
        <w:t>rozporządzenia</w:t>
      </w:r>
      <w:r w:rsidR="0033570D" w:rsidRPr="001F7D09">
        <w:rPr>
          <w:rFonts w:ascii="Times New Roman" w:eastAsia="Times New Roman" w:hAnsi="Times New Roman" w:cs="Times New Roman"/>
          <w:color w:val="auto"/>
        </w:rPr>
        <w:t>.</w:t>
      </w:r>
      <w:r w:rsidR="005600E5" w:rsidRPr="001F7D09">
        <w:rPr>
          <w:rFonts w:ascii="Times New Roman" w:eastAsia="Times New Roman" w:hAnsi="Times New Roman" w:cs="Times New Roman"/>
          <w:color w:val="auto"/>
        </w:rPr>
        <w:t xml:space="preserve"> </w:t>
      </w:r>
    </w:p>
    <w:p w14:paraId="377BDA8B" w14:textId="553E31B9" w:rsidR="004643BE" w:rsidRPr="001F7D09" w:rsidRDefault="004643BE"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Rozporządzenie 2018/1672 dotyczy środków pieniężnych wwożonych do Unii Europejskiej lub</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 xml:space="preserve">wywożonych z Unii Europejskiej, natomiast przepisy rozdziału 5 ustawy z dnia 27 lipca 2002 r. – Prawo dewizowe dotyczą sytuacji przywozu do kraju oraz wywozu za granicę </w:t>
      </w:r>
      <w:r w:rsidR="00EE3E94" w:rsidRPr="001F7D09">
        <w:rPr>
          <w:rFonts w:ascii="Times New Roman" w:eastAsia="Times New Roman" w:hAnsi="Times New Roman" w:cs="Times New Roman"/>
          <w:color w:val="auto"/>
        </w:rPr>
        <w:t>środków</w:t>
      </w:r>
      <w:r w:rsidR="001B7F5B" w:rsidRPr="001F7D09">
        <w:rPr>
          <w:rFonts w:ascii="Times New Roman" w:eastAsia="Times New Roman" w:hAnsi="Times New Roman" w:cs="Times New Roman"/>
          <w:color w:val="auto"/>
        </w:rPr>
        <w:t xml:space="preserve"> płatniczych</w:t>
      </w:r>
      <w:r w:rsidR="00EE3E94"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 zatem</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również w granicach Unii Europejskiej.</w:t>
      </w:r>
    </w:p>
    <w:p w14:paraId="257BCC8E" w14:textId="77777777" w:rsidR="007F39A4" w:rsidRPr="001F7D09" w:rsidRDefault="007F39A4"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Środki ustanowione rozporządzeniem 2018/1672 są przewidziane do bezpośredniego stosowania we wszystkich państwach członkowskich, natomiast na poziom</w:t>
      </w:r>
      <w:r w:rsidR="00733271" w:rsidRPr="001F7D09">
        <w:rPr>
          <w:rFonts w:ascii="Times New Roman" w:eastAsia="Times New Roman" w:hAnsi="Times New Roman" w:cs="Times New Roman"/>
          <w:color w:val="auto"/>
        </w:rPr>
        <w:t>i</w:t>
      </w:r>
      <w:r w:rsidRPr="001F7D09">
        <w:rPr>
          <w:rFonts w:ascii="Times New Roman" w:eastAsia="Times New Roman" w:hAnsi="Times New Roman" w:cs="Times New Roman"/>
          <w:color w:val="auto"/>
        </w:rPr>
        <w:t>e krajowym państwa członkowskie mogą zdecydować o wprowadzeniu kon</w:t>
      </w:r>
      <w:r w:rsidRPr="001F7D09">
        <w:rPr>
          <w:rFonts w:ascii="Times New Roman" w:eastAsia="Times New Roman" w:hAnsi="Times New Roman" w:cs="Times New Roman"/>
          <w:color w:val="auto"/>
        </w:rPr>
        <w:lastRenderedPageBreak/>
        <w:t>troli środków pieniężnych na granicach wewnętrznych</w:t>
      </w:r>
      <w:r w:rsidR="00733271"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zarówno przewożonych przez osoby fizyczne</w:t>
      </w:r>
      <w:r w:rsidR="007F184A"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jak i przesyłanych w transporcie.</w:t>
      </w:r>
    </w:p>
    <w:p w14:paraId="1963370F" w14:textId="69760974" w:rsidR="007F39A4" w:rsidRPr="001F7D09" w:rsidRDefault="007F39A4"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Utrzymywanie jednakże w Polsce regulacji dotyczących wewnątrzunijnej kontroli przemieszczania środków pieniężnych ma walor jedynie formalny, ponieważ w praktyce w</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oparciu o obecną strukturę urzędów celno-skarbowych możliwości sprawowania kontroli w</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tym zakresie są bardzo ograniczone. Obecnie w sytuacji swobodnego przepływu osób i</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towarów przez granice wewnętrzne z</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państwami członkowskimi Unii Europejskiej brak jest umiejscowienia oddziałów celnych wchodzących w skład struktury organizacyjnej Krajowej Administracji Skarbowej. Brak</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 xml:space="preserve">usytuowania oddziałów celnych </w:t>
      </w:r>
      <w:r w:rsidRPr="001F7D09">
        <w:rPr>
          <w:rFonts w:ascii="Times New Roman" w:eastAsia="Times New Roman" w:hAnsi="Times New Roman" w:cs="Times New Roman"/>
          <w:color w:val="auto"/>
        </w:rPr>
        <w:lastRenderedPageBreak/>
        <w:t>na granicach wewnętrznych z</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innymi państwami Unii Europejskiej oznacza brak możliwości zgłaszania przez podróżnych środków pieniężnych przy przekraczaniu granicy wewnątrzunijnej</w:t>
      </w:r>
      <w:r w:rsidR="008636DC"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W praktyce wiąże się</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to</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z</w:t>
      </w:r>
      <w:r w:rsidR="003849B9" w:rsidRPr="001F7D09">
        <w:rPr>
          <w:rFonts w:ascii="Times New Roman" w:eastAsia="Times New Roman" w:hAnsi="Times New Roman" w:cs="Times New Roman"/>
          <w:color w:val="auto"/>
        </w:rPr>
        <w:t xml:space="preserve"> </w:t>
      </w:r>
      <w:r w:rsidRPr="001F7D09">
        <w:rPr>
          <w:rFonts w:ascii="Times New Roman" w:eastAsia="Times New Roman" w:hAnsi="Times New Roman" w:cs="Times New Roman"/>
          <w:color w:val="auto"/>
        </w:rPr>
        <w:t>brakiem możliwości sprawowania przez funkcjonariuszy Służby Celno-Skarbowej stałej, skutecznej kontroli przewożonych środków pieniężnych</w:t>
      </w:r>
      <w:r w:rsidR="008636DC" w:rsidRPr="001F7D09">
        <w:rPr>
          <w:rFonts w:ascii="Times New Roman" w:eastAsia="Times New Roman" w:hAnsi="Times New Roman" w:cs="Times New Roman"/>
          <w:color w:val="auto"/>
        </w:rPr>
        <w:t>.</w:t>
      </w:r>
    </w:p>
    <w:p w14:paraId="0E43FB44" w14:textId="77777777" w:rsidR="00C933A4" w:rsidRPr="001F7D09" w:rsidRDefault="00C933A4"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b/>
          <w:color w:val="auto"/>
        </w:rPr>
        <w:t>Art.</w:t>
      </w:r>
      <w:r w:rsidR="003E135C" w:rsidRPr="001F7D09">
        <w:rPr>
          <w:rFonts w:ascii="Times New Roman" w:eastAsia="Times New Roman" w:hAnsi="Times New Roman" w:cs="Times New Roman"/>
          <w:b/>
          <w:color w:val="auto"/>
        </w:rPr>
        <w:t xml:space="preserve"> 4</w:t>
      </w:r>
      <w:r w:rsidRPr="001F7D09">
        <w:rPr>
          <w:rFonts w:ascii="Times New Roman" w:eastAsia="Times New Roman" w:hAnsi="Times New Roman" w:cs="Times New Roman"/>
          <w:color w:val="auto"/>
        </w:rPr>
        <w:t xml:space="preserve"> projektu</w:t>
      </w:r>
    </w:p>
    <w:p w14:paraId="610B17BF" w14:textId="77777777" w:rsidR="004F350C" w:rsidRPr="001F7D09" w:rsidRDefault="004C7D0B" w:rsidP="001F7D09">
      <w:pPr>
        <w:spacing w:before="120" w:after="120" w:line="360" w:lineRule="auto"/>
        <w:jc w:val="both"/>
        <w:rPr>
          <w:rFonts w:ascii="Times New Roman" w:eastAsia="Times New Roman" w:hAnsi="Times New Roman" w:cs="Times New Roman"/>
          <w:color w:val="auto"/>
        </w:rPr>
      </w:pPr>
      <w:r w:rsidRPr="001F7D09">
        <w:rPr>
          <w:rFonts w:ascii="Times New Roman" w:eastAsia="Times New Roman" w:hAnsi="Times New Roman" w:cs="Times New Roman"/>
          <w:color w:val="auto"/>
        </w:rPr>
        <w:t>Projektowana ustaw</w:t>
      </w:r>
      <w:r w:rsidR="00235580" w:rsidRPr="001F7D09">
        <w:rPr>
          <w:rFonts w:ascii="Times New Roman" w:eastAsia="Times New Roman" w:hAnsi="Times New Roman" w:cs="Times New Roman"/>
          <w:color w:val="auto"/>
        </w:rPr>
        <w:t>a</w:t>
      </w:r>
      <w:r w:rsidRPr="001F7D09">
        <w:rPr>
          <w:rFonts w:ascii="Times New Roman" w:eastAsia="Times New Roman" w:hAnsi="Times New Roman" w:cs="Times New Roman"/>
          <w:color w:val="auto"/>
        </w:rPr>
        <w:t xml:space="preserve"> zmienia</w:t>
      </w:r>
      <w:r w:rsidR="00395FDA" w:rsidRPr="001F7D09">
        <w:rPr>
          <w:rFonts w:ascii="Times New Roman" w:eastAsia="Times New Roman" w:hAnsi="Times New Roman" w:cs="Times New Roman"/>
          <w:color w:val="auto"/>
        </w:rPr>
        <w:t xml:space="preserve"> u</w:t>
      </w:r>
      <w:r w:rsidRPr="001F7D09">
        <w:rPr>
          <w:rFonts w:ascii="Times New Roman" w:eastAsia="Times New Roman" w:hAnsi="Times New Roman" w:cs="Times New Roman"/>
          <w:color w:val="auto"/>
        </w:rPr>
        <w:t>staw</w:t>
      </w:r>
      <w:r w:rsidR="003F69BA" w:rsidRPr="001F7D09">
        <w:rPr>
          <w:rFonts w:ascii="Times New Roman" w:eastAsia="Times New Roman" w:hAnsi="Times New Roman" w:cs="Times New Roman"/>
          <w:color w:val="auto"/>
        </w:rPr>
        <w:t>ę</w:t>
      </w:r>
      <w:r w:rsidR="00F92EF1" w:rsidRPr="001F7D09">
        <w:rPr>
          <w:rFonts w:ascii="Times New Roman" w:eastAsia="Times New Roman" w:hAnsi="Times New Roman" w:cs="Times New Roman"/>
          <w:color w:val="auto"/>
        </w:rPr>
        <w:t xml:space="preserve"> </w:t>
      </w:r>
      <w:r w:rsidR="00F92EF1" w:rsidRPr="001F7D09">
        <w:rPr>
          <w:rFonts w:ascii="Times New Roman" w:hAnsi="Times New Roman" w:cs="Times New Roman"/>
        </w:rPr>
        <w:t xml:space="preserve">z dnia 1 marca 2018 r. o przeciwdziałaniu praniu pieniędzy oraz finansowaniu terroryzmu, </w:t>
      </w:r>
      <w:r w:rsidRPr="001F7D09">
        <w:rPr>
          <w:rFonts w:ascii="Times New Roman" w:eastAsia="Times New Roman" w:hAnsi="Times New Roman" w:cs="Times New Roman"/>
          <w:color w:val="auto"/>
        </w:rPr>
        <w:t>uchylając art. 85 dotyczący obowiązku przekazywania przez organy Straży Granicznej oraz naczelników urzędów celno-skarbowych do Generalnego Inspektora Informacji Fi</w:t>
      </w:r>
      <w:r w:rsidRPr="001F7D09">
        <w:rPr>
          <w:rFonts w:ascii="Times New Roman" w:eastAsia="Times New Roman" w:hAnsi="Times New Roman" w:cs="Times New Roman"/>
          <w:color w:val="auto"/>
        </w:rPr>
        <w:lastRenderedPageBreak/>
        <w:t>nansowej</w:t>
      </w:r>
      <w:r w:rsidR="00337135" w:rsidRPr="001F7D09">
        <w:rPr>
          <w:rFonts w:ascii="Times New Roman" w:eastAsia="Times New Roman" w:hAnsi="Times New Roman" w:cs="Times New Roman"/>
          <w:color w:val="auto"/>
        </w:rPr>
        <w:t xml:space="preserve">, działającego jako krajowa jednostka analityki finansowej, </w:t>
      </w:r>
      <w:r w:rsidRPr="001F7D09">
        <w:rPr>
          <w:rFonts w:ascii="Times New Roman" w:eastAsia="Times New Roman" w:hAnsi="Times New Roman" w:cs="Times New Roman"/>
          <w:color w:val="auto"/>
        </w:rPr>
        <w:t xml:space="preserve">informacji, o których mowa w art. 5 </w:t>
      </w:r>
      <w:r w:rsidR="009D17BD" w:rsidRPr="001F7D09">
        <w:rPr>
          <w:rFonts w:ascii="Times New Roman" w:eastAsia="Times New Roman" w:hAnsi="Times New Roman" w:cs="Times New Roman"/>
          <w:color w:val="auto"/>
        </w:rPr>
        <w:t>rozporządzeni</w:t>
      </w:r>
      <w:r w:rsidR="006F1789" w:rsidRPr="001F7D09">
        <w:rPr>
          <w:rFonts w:ascii="Times New Roman" w:eastAsia="Times New Roman" w:hAnsi="Times New Roman" w:cs="Times New Roman"/>
          <w:color w:val="auto"/>
        </w:rPr>
        <w:t>a</w:t>
      </w:r>
      <w:r w:rsidR="009D17BD" w:rsidRPr="001F7D09">
        <w:rPr>
          <w:rFonts w:ascii="Times New Roman" w:eastAsia="Times New Roman" w:hAnsi="Times New Roman" w:cs="Times New Roman"/>
          <w:color w:val="auto"/>
        </w:rPr>
        <w:t xml:space="preserve"> 1889/2005, </w:t>
      </w:r>
      <w:r w:rsidRPr="001F7D09">
        <w:rPr>
          <w:rFonts w:ascii="Times New Roman" w:eastAsia="Times New Roman" w:hAnsi="Times New Roman" w:cs="Times New Roman"/>
          <w:color w:val="auto"/>
        </w:rPr>
        <w:t>oraz informacji zawartych w zgłoszeniu określonym w przepisach wydanych na podstawie art. 21</w:t>
      </w:r>
      <w:r w:rsidR="004F350C" w:rsidRPr="001F7D09">
        <w:rPr>
          <w:rFonts w:ascii="Times New Roman" w:eastAsia="Times New Roman" w:hAnsi="Times New Roman" w:cs="Times New Roman"/>
          <w:color w:val="auto"/>
        </w:rPr>
        <w:t xml:space="preserve"> u.p.d.</w:t>
      </w:r>
    </w:p>
    <w:p w14:paraId="019AF57F" w14:textId="77D310B8" w:rsidR="008F1F65" w:rsidRPr="001F7D09" w:rsidRDefault="008F1F65" w:rsidP="001F7D09">
      <w:pPr>
        <w:spacing w:before="120" w:after="120" w:line="360" w:lineRule="auto"/>
        <w:jc w:val="both"/>
        <w:rPr>
          <w:rFonts w:ascii="Times New Roman" w:hAnsi="Times New Roman" w:cs="Times New Roman"/>
        </w:rPr>
      </w:pPr>
      <w:r w:rsidRPr="001F7D09">
        <w:rPr>
          <w:rFonts w:ascii="Times New Roman" w:hAnsi="Times New Roman" w:cs="Times New Roman"/>
        </w:rPr>
        <w:t>Zgodnie z art. 20 (zdanie drugie) rozporządzenia 2018/1672 odesłania do uchylonego rozporządzenia traktuje się jako odesłania do niniejszego rozporządzenia i odczytuje się</w:t>
      </w:r>
      <w:r w:rsidR="003849B9" w:rsidRPr="001F7D09">
        <w:rPr>
          <w:rFonts w:ascii="Times New Roman" w:hAnsi="Times New Roman" w:cs="Times New Roman"/>
        </w:rPr>
        <w:t xml:space="preserve"> </w:t>
      </w:r>
      <w:r w:rsidRPr="001F7D09">
        <w:rPr>
          <w:rFonts w:ascii="Times New Roman" w:hAnsi="Times New Roman" w:cs="Times New Roman"/>
        </w:rPr>
        <w:t>je</w:t>
      </w:r>
      <w:r w:rsidR="003849B9" w:rsidRPr="001F7D09">
        <w:rPr>
          <w:rFonts w:ascii="Times New Roman" w:hAnsi="Times New Roman" w:cs="Times New Roman"/>
        </w:rPr>
        <w:t xml:space="preserve"> </w:t>
      </w:r>
      <w:r w:rsidRPr="001F7D09">
        <w:rPr>
          <w:rFonts w:ascii="Times New Roman" w:hAnsi="Times New Roman" w:cs="Times New Roman"/>
        </w:rPr>
        <w:t>zgodnie z tabelą korelacji zawartą w załączniku II.</w:t>
      </w:r>
    </w:p>
    <w:p w14:paraId="30C8CD53" w14:textId="61C8AAAB" w:rsidR="0035403C" w:rsidRPr="001F7D09" w:rsidRDefault="009D17BD" w:rsidP="001F7D09">
      <w:pPr>
        <w:spacing w:before="120" w:after="120" w:line="360" w:lineRule="auto"/>
        <w:jc w:val="both"/>
        <w:rPr>
          <w:rFonts w:ascii="Times New Roman" w:hAnsi="Times New Roman" w:cs="Times New Roman"/>
        </w:rPr>
      </w:pPr>
      <w:r w:rsidRPr="001F7D09">
        <w:rPr>
          <w:rFonts w:ascii="Times New Roman" w:hAnsi="Times New Roman" w:cs="Times New Roman"/>
        </w:rPr>
        <w:t>Stosownie do art. 9 ust. 1 rozporządzenia 2018/1672 (zgodnie z tabelą korelacji odesłanie do</w:t>
      </w:r>
      <w:r w:rsidR="003849B9" w:rsidRPr="001F7D09">
        <w:rPr>
          <w:rFonts w:ascii="Times New Roman" w:hAnsi="Times New Roman" w:cs="Times New Roman"/>
        </w:rPr>
        <w:t xml:space="preserve"> </w:t>
      </w:r>
      <w:r w:rsidRPr="001F7D09">
        <w:rPr>
          <w:rFonts w:ascii="Times New Roman" w:hAnsi="Times New Roman" w:cs="Times New Roman"/>
        </w:rPr>
        <w:t>art.</w:t>
      </w:r>
      <w:r w:rsidR="003849B9" w:rsidRPr="001F7D09">
        <w:rPr>
          <w:rFonts w:ascii="Times New Roman" w:hAnsi="Times New Roman" w:cs="Times New Roman"/>
        </w:rPr>
        <w:t xml:space="preserve"> </w:t>
      </w:r>
      <w:r w:rsidRPr="001F7D09">
        <w:rPr>
          <w:rFonts w:ascii="Times New Roman" w:hAnsi="Times New Roman" w:cs="Times New Roman"/>
        </w:rPr>
        <w:t>5 ust. 1 rozporządzeni</w:t>
      </w:r>
      <w:r w:rsidR="00A10846" w:rsidRPr="001F7D09">
        <w:rPr>
          <w:rFonts w:ascii="Times New Roman" w:hAnsi="Times New Roman" w:cs="Times New Roman"/>
        </w:rPr>
        <w:t>a</w:t>
      </w:r>
      <w:r w:rsidRPr="001F7D09">
        <w:rPr>
          <w:rFonts w:ascii="Times New Roman" w:hAnsi="Times New Roman" w:cs="Times New Roman"/>
        </w:rPr>
        <w:t xml:space="preserve"> 1889/2005</w:t>
      </w:r>
      <w:r w:rsidR="00A10846" w:rsidRPr="001F7D09">
        <w:rPr>
          <w:rFonts w:ascii="Times New Roman" w:hAnsi="Times New Roman" w:cs="Times New Roman"/>
        </w:rPr>
        <w:t xml:space="preserve"> </w:t>
      </w:r>
      <w:r w:rsidRPr="001F7D09">
        <w:rPr>
          <w:rFonts w:ascii="Times New Roman" w:hAnsi="Times New Roman" w:cs="Times New Roman"/>
        </w:rPr>
        <w:t xml:space="preserve">traktuje się jako odesłanie do art. 9 </w:t>
      </w:r>
      <w:r w:rsidR="00A10846" w:rsidRPr="001F7D09">
        <w:rPr>
          <w:rFonts w:ascii="Times New Roman" w:hAnsi="Times New Roman" w:cs="Times New Roman"/>
        </w:rPr>
        <w:t>rozporządzenia 2018/1672)</w:t>
      </w:r>
      <w:r w:rsidR="00E95BF4" w:rsidRPr="001F7D09">
        <w:rPr>
          <w:rFonts w:ascii="Times New Roman" w:hAnsi="Times New Roman" w:cs="Times New Roman"/>
        </w:rPr>
        <w:t xml:space="preserve"> w</w:t>
      </w:r>
      <w:r w:rsidRPr="001F7D09">
        <w:rPr>
          <w:rFonts w:ascii="Times New Roman" w:hAnsi="Times New Roman" w:cs="Times New Roman"/>
        </w:rPr>
        <w:t xml:space="preserve">łaściwe organy rejestrują informacje uzyskane na mocy art. 3 lub </w:t>
      </w:r>
      <w:r w:rsidR="0003057D" w:rsidRPr="001F7D09">
        <w:rPr>
          <w:rFonts w:ascii="Times New Roman" w:hAnsi="Times New Roman" w:cs="Times New Roman"/>
        </w:rPr>
        <w:t xml:space="preserve">art. </w:t>
      </w:r>
      <w:r w:rsidR="00F313A0">
        <w:rPr>
          <w:rFonts w:ascii="Times New Roman" w:hAnsi="Times New Roman" w:cs="Times New Roman"/>
        </w:rPr>
        <w:t>4, art. 5 ust. </w:t>
      </w:r>
      <w:r w:rsidRPr="001F7D09">
        <w:rPr>
          <w:rFonts w:ascii="Times New Roman" w:hAnsi="Times New Roman" w:cs="Times New Roman"/>
        </w:rPr>
        <w:t xml:space="preserve">3 lub art. 6 oraz przekazują je jednostce analityki finansowej państwa członkowskiego, w </w:t>
      </w:r>
      <w:r w:rsidRPr="001F7D09">
        <w:rPr>
          <w:rFonts w:ascii="Times New Roman" w:hAnsi="Times New Roman" w:cs="Times New Roman"/>
        </w:rPr>
        <w:lastRenderedPageBreak/>
        <w:t>którym zostały uzyskane, zgodnie z przepisami technicznymi, o których mowa w art. 16 ust. 1 lit. c.</w:t>
      </w:r>
      <w:r w:rsidR="00B55BF6" w:rsidRPr="001F7D09">
        <w:rPr>
          <w:rFonts w:ascii="Times New Roman" w:hAnsi="Times New Roman" w:cs="Times New Roman"/>
        </w:rPr>
        <w:t xml:space="preserve"> </w:t>
      </w:r>
      <w:r w:rsidR="0084602A" w:rsidRPr="001F7D09">
        <w:rPr>
          <w:rFonts w:ascii="Times New Roman" w:hAnsi="Times New Roman" w:cs="Times New Roman"/>
        </w:rPr>
        <w:t>J</w:t>
      </w:r>
      <w:r w:rsidR="00960ED1" w:rsidRPr="001F7D09">
        <w:rPr>
          <w:rFonts w:ascii="Times New Roman" w:hAnsi="Times New Roman" w:cs="Times New Roman"/>
        </w:rPr>
        <w:t>ak</w:t>
      </w:r>
      <w:r w:rsidR="003849B9" w:rsidRPr="001F7D09">
        <w:rPr>
          <w:rFonts w:ascii="Times New Roman" w:hAnsi="Times New Roman" w:cs="Times New Roman"/>
        </w:rPr>
        <w:t xml:space="preserve"> </w:t>
      </w:r>
      <w:r w:rsidR="00960ED1" w:rsidRPr="001F7D09">
        <w:rPr>
          <w:rFonts w:ascii="Times New Roman" w:hAnsi="Times New Roman" w:cs="Times New Roman"/>
        </w:rPr>
        <w:t xml:space="preserve">wynika </w:t>
      </w:r>
      <w:r w:rsidR="002A4A8F" w:rsidRPr="001F7D09">
        <w:rPr>
          <w:rFonts w:ascii="Times New Roman" w:hAnsi="Times New Roman" w:cs="Times New Roman"/>
        </w:rPr>
        <w:t xml:space="preserve">z postanowień </w:t>
      </w:r>
      <w:r w:rsidR="0035403C" w:rsidRPr="001F7D09">
        <w:rPr>
          <w:rFonts w:ascii="Times New Roman" w:hAnsi="Times New Roman" w:cs="Times New Roman"/>
        </w:rPr>
        <w:t>art. 5 ust. 2 rozporządzenia 2021/776</w:t>
      </w:r>
      <w:r w:rsidR="00BA7665" w:rsidRPr="001F7D09">
        <w:rPr>
          <w:rFonts w:ascii="Times New Roman" w:hAnsi="Times New Roman" w:cs="Times New Roman"/>
        </w:rPr>
        <w:t>,</w:t>
      </w:r>
      <w:r w:rsidR="0035403C" w:rsidRPr="001F7D09">
        <w:rPr>
          <w:rFonts w:ascii="Times New Roman" w:hAnsi="Times New Roman" w:cs="Times New Roman"/>
        </w:rPr>
        <w:t xml:space="preserve"> właściwe organy przekazują informacje, o których mowa w art. 9 ust. 1 rozporządzenia 2018/1672, jednostce analityki finansowej państwa członkowskiego, w którym je uzyskano, przez przesłanie ich do systemu informacji celnej (CIS).</w:t>
      </w:r>
    </w:p>
    <w:p w14:paraId="2279A7DF" w14:textId="77777777" w:rsidR="00465377" w:rsidRPr="001F7D09" w:rsidRDefault="00C70FA2" w:rsidP="001F7D09">
      <w:pPr>
        <w:spacing w:before="120" w:after="120" w:line="360" w:lineRule="auto"/>
        <w:jc w:val="both"/>
        <w:rPr>
          <w:rFonts w:ascii="Times New Roman" w:hAnsi="Times New Roman" w:cs="Times New Roman"/>
        </w:rPr>
      </w:pPr>
      <w:r w:rsidRPr="001F7D09">
        <w:rPr>
          <w:rFonts w:ascii="Times New Roman" w:hAnsi="Times New Roman" w:cs="Times New Roman"/>
        </w:rPr>
        <w:t>Obecnie Departament Informacji Finansowej w Ministerstwie Finansów,</w:t>
      </w:r>
      <w:r w:rsidR="00136996" w:rsidRPr="001F7D09">
        <w:rPr>
          <w:rFonts w:ascii="Times New Roman" w:hAnsi="Times New Roman" w:cs="Times New Roman"/>
        </w:rPr>
        <w:t xml:space="preserve"> będący jednostką organizacyjną w strukturze Ministerstwa Finansów w</w:t>
      </w:r>
      <w:r w:rsidR="00173788" w:rsidRPr="001F7D09">
        <w:rPr>
          <w:rFonts w:ascii="Times New Roman" w:hAnsi="Times New Roman" w:cs="Times New Roman"/>
        </w:rPr>
        <w:t xml:space="preserve">spomagającą </w:t>
      </w:r>
      <w:r w:rsidR="00136996" w:rsidRPr="001F7D09">
        <w:rPr>
          <w:rFonts w:ascii="Times New Roman" w:hAnsi="Times New Roman" w:cs="Times New Roman"/>
        </w:rPr>
        <w:t>w wykonywaniu ustawowych zadań Generalnego Inspektora Informacji Finansowej</w:t>
      </w:r>
      <w:r w:rsidRPr="001F7D09">
        <w:rPr>
          <w:rFonts w:ascii="Times New Roman" w:hAnsi="Times New Roman" w:cs="Times New Roman"/>
        </w:rPr>
        <w:t xml:space="preserve"> (</w:t>
      </w:r>
      <w:r w:rsidR="007A5897" w:rsidRPr="001F7D09">
        <w:rPr>
          <w:rFonts w:ascii="Times New Roman" w:hAnsi="Times New Roman" w:cs="Times New Roman"/>
        </w:rPr>
        <w:t xml:space="preserve">działającego jako krajowa </w:t>
      </w:r>
      <w:r w:rsidRPr="001F7D09">
        <w:rPr>
          <w:rFonts w:ascii="Times New Roman" w:hAnsi="Times New Roman" w:cs="Times New Roman"/>
        </w:rPr>
        <w:t>jednostk</w:t>
      </w:r>
      <w:r w:rsidR="007A5897" w:rsidRPr="001F7D09">
        <w:rPr>
          <w:rFonts w:ascii="Times New Roman" w:hAnsi="Times New Roman" w:cs="Times New Roman"/>
        </w:rPr>
        <w:t>a</w:t>
      </w:r>
      <w:r w:rsidRPr="001F7D09">
        <w:rPr>
          <w:rFonts w:ascii="Times New Roman" w:hAnsi="Times New Roman" w:cs="Times New Roman"/>
        </w:rPr>
        <w:t xml:space="preserve"> analityki finansowej), posiada bezpośredni dostęp do tego systemu</w:t>
      </w:r>
      <w:r w:rsidR="00465377" w:rsidRPr="001F7D09">
        <w:rPr>
          <w:rFonts w:ascii="Times New Roman" w:hAnsi="Times New Roman" w:cs="Times New Roman"/>
        </w:rPr>
        <w:t xml:space="preserve">. </w:t>
      </w:r>
    </w:p>
    <w:p w14:paraId="3029D644" w14:textId="77777777" w:rsidR="00BA7665" w:rsidRPr="001F7D09" w:rsidRDefault="002A4A8F" w:rsidP="001F7D09">
      <w:pPr>
        <w:spacing w:before="120" w:after="120" w:line="360" w:lineRule="auto"/>
        <w:jc w:val="both"/>
        <w:rPr>
          <w:rFonts w:ascii="Times New Roman" w:hAnsi="Times New Roman" w:cs="Times New Roman"/>
        </w:rPr>
      </w:pPr>
      <w:r w:rsidRPr="001F7D09">
        <w:rPr>
          <w:rFonts w:ascii="Times New Roman" w:hAnsi="Times New Roman" w:cs="Times New Roman"/>
        </w:rPr>
        <w:lastRenderedPageBreak/>
        <w:t xml:space="preserve">W </w:t>
      </w:r>
      <w:r w:rsidR="00BA7665" w:rsidRPr="001F7D09">
        <w:rPr>
          <w:rFonts w:ascii="Times New Roman" w:hAnsi="Times New Roman" w:cs="Times New Roman"/>
        </w:rPr>
        <w:t xml:space="preserve">świetle powyższego należy </w:t>
      </w:r>
      <w:r w:rsidR="00B77281" w:rsidRPr="001F7D09">
        <w:rPr>
          <w:rFonts w:ascii="Times New Roman" w:hAnsi="Times New Roman" w:cs="Times New Roman"/>
        </w:rPr>
        <w:t xml:space="preserve">uchylić </w:t>
      </w:r>
      <w:r w:rsidR="00BA7665" w:rsidRPr="001F7D09">
        <w:rPr>
          <w:rFonts w:ascii="Times New Roman" w:hAnsi="Times New Roman" w:cs="Times New Roman"/>
        </w:rPr>
        <w:t>w całości art. 85 ustawy o p.p.p.f.t.</w:t>
      </w:r>
    </w:p>
    <w:p w14:paraId="500DAC08" w14:textId="3499FBDA" w:rsidR="007235C5" w:rsidRPr="001F7D09" w:rsidRDefault="005A2054" w:rsidP="001F7D09">
      <w:pPr>
        <w:autoSpaceDE w:val="0"/>
        <w:autoSpaceDN w:val="0"/>
        <w:adjustRightInd w:val="0"/>
        <w:spacing w:before="120" w:after="120" w:line="360" w:lineRule="auto"/>
        <w:jc w:val="both"/>
        <w:rPr>
          <w:rFonts w:ascii="Times New Roman" w:hAnsi="Times New Roman" w:cs="Times New Roman"/>
        </w:rPr>
      </w:pPr>
      <w:r w:rsidRPr="001F7D09">
        <w:rPr>
          <w:rFonts w:ascii="Times New Roman" w:hAnsi="Times New Roman" w:cs="Times New Roman"/>
        </w:rPr>
        <w:t>W tym miejscu należy wskazać, że w</w:t>
      </w:r>
      <w:r w:rsidR="007235C5" w:rsidRPr="001F7D09">
        <w:rPr>
          <w:rFonts w:ascii="Times New Roman" w:hAnsi="Times New Roman" w:cs="Times New Roman"/>
        </w:rPr>
        <w:t xml:space="preserve"> związku z realizacją rozporządzenia 2018/1672 funkcjonalność systemu ESKS (moduł DEWIZY) w zakresie gromadzenia informacji o</w:t>
      </w:r>
      <w:r w:rsidR="003849B9" w:rsidRPr="001F7D09">
        <w:rPr>
          <w:rFonts w:ascii="Times New Roman" w:hAnsi="Times New Roman" w:cs="Times New Roman"/>
        </w:rPr>
        <w:t xml:space="preserve"> </w:t>
      </w:r>
      <w:r w:rsidR="007235C5" w:rsidRPr="001F7D09">
        <w:rPr>
          <w:rFonts w:ascii="Times New Roman" w:hAnsi="Times New Roman" w:cs="Times New Roman"/>
        </w:rPr>
        <w:t>deklaracjach pieniężnych została przejęta przez system Cyfrowa Granica. System ten jest odpowiedzialny za rejestrację i przekazywanie danych do systemu EU CIS (zarządzanego przez OLAF), jak i na poziomie krajowym do Generalnego Inspektora Informacji Finansowej, w</w:t>
      </w:r>
      <w:r w:rsidR="003849B9" w:rsidRPr="001F7D09">
        <w:rPr>
          <w:rFonts w:ascii="Times New Roman" w:hAnsi="Times New Roman" w:cs="Times New Roman"/>
        </w:rPr>
        <w:t xml:space="preserve"> </w:t>
      </w:r>
      <w:r w:rsidR="007235C5" w:rsidRPr="001F7D09">
        <w:rPr>
          <w:rFonts w:ascii="Times New Roman" w:hAnsi="Times New Roman" w:cs="Times New Roman"/>
        </w:rPr>
        <w:t xml:space="preserve">zakresie deklaracji środków pieniężnych oraz deklaracji ujawnienia w rozumieniu art. 3 i </w:t>
      </w:r>
      <w:r w:rsidR="0003057D" w:rsidRPr="001F7D09">
        <w:rPr>
          <w:rFonts w:ascii="Times New Roman" w:hAnsi="Times New Roman" w:cs="Times New Roman"/>
        </w:rPr>
        <w:t xml:space="preserve">art. </w:t>
      </w:r>
      <w:r w:rsidR="007235C5" w:rsidRPr="001F7D09">
        <w:rPr>
          <w:rFonts w:ascii="Times New Roman" w:hAnsi="Times New Roman" w:cs="Times New Roman"/>
        </w:rPr>
        <w:t xml:space="preserve">4 rozporządzenia 2018/1672. Natomiast inny system informatyczny, tj. ZISAR, który świadczy usługę analizy ryzyka m.in. dla systemu Cyfrowa Granica, będzie odpowiedzialny </w:t>
      </w:r>
      <w:r w:rsidR="007235C5" w:rsidRPr="001F7D09">
        <w:rPr>
          <w:rFonts w:ascii="Times New Roman" w:hAnsi="Times New Roman" w:cs="Times New Roman"/>
        </w:rPr>
        <w:lastRenderedPageBreak/>
        <w:t>za wdrożenie, utrzymanie, serwis i raportowanie do Komisji Europejskiej w zakresie Wspólnych Kryteriów i</w:t>
      </w:r>
      <w:r w:rsidR="003849B9" w:rsidRPr="001F7D09">
        <w:rPr>
          <w:rFonts w:ascii="Times New Roman" w:hAnsi="Times New Roman" w:cs="Times New Roman"/>
        </w:rPr>
        <w:t xml:space="preserve"> </w:t>
      </w:r>
      <w:r w:rsidR="007235C5" w:rsidRPr="001F7D09">
        <w:rPr>
          <w:rFonts w:ascii="Times New Roman" w:hAnsi="Times New Roman" w:cs="Times New Roman"/>
        </w:rPr>
        <w:t>Standardów Ryzyka Przepływu Środków Pieniężnych (CMRC).</w:t>
      </w:r>
    </w:p>
    <w:p w14:paraId="378D8F61" w14:textId="33D4384C" w:rsidR="00FB3E8E" w:rsidRPr="001F7D09" w:rsidRDefault="001E655C" w:rsidP="001F7D09">
      <w:pPr>
        <w:autoSpaceDE w:val="0"/>
        <w:autoSpaceDN w:val="0"/>
        <w:adjustRightInd w:val="0"/>
        <w:spacing w:before="120" w:after="120" w:line="360" w:lineRule="auto"/>
        <w:jc w:val="both"/>
        <w:rPr>
          <w:rFonts w:ascii="Times New Roman" w:hAnsi="Times New Roman" w:cs="Times New Roman"/>
        </w:rPr>
      </w:pPr>
      <w:r w:rsidRPr="001F7D09">
        <w:rPr>
          <w:rFonts w:ascii="Times New Roman" w:hAnsi="Times New Roman" w:cs="Times New Roman"/>
        </w:rPr>
        <w:t>O</w:t>
      </w:r>
      <w:r w:rsidR="000B29C5" w:rsidRPr="001F7D09">
        <w:rPr>
          <w:rFonts w:ascii="Times New Roman" w:hAnsi="Times New Roman" w:cs="Times New Roman"/>
        </w:rPr>
        <w:t xml:space="preserve">gólną podstawę prawną dla Generalnego Inspektora </w:t>
      </w:r>
      <w:r w:rsidR="00A42601" w:rsidRPr="001F7D09">
        <w:rPr>
          <w:rFonts w:ascii="Times New Roman" w:hAnsi="Times New Roman" w:cs="Times New Roman"/>
        </w:rPr>
        <w:t xml:space="preserve">Informacji Finansowej </w:t>
      </w:r>
      <w:r w:rsidR="000B29C5" w:rsidRPr="001F7D09">
        <w:rPr>
          <w:rFonts w:ascii="Times New Roman" w:hAnsi="Times New Roman" w:cs="Times New Roman"/>
        </w:rPr>
        <w:t>do dokonywania wymiany informacji ze swoimi zagranicznymi odpowiednikami</w:t>
      </w:r>
      <w:r w:rsidR="00A42601" w:rsidRPr="001F7D09">
        <w:rPr>
          <w:rFonts w:ascii="Times New Roman" w:hAnsi="Times New Roman" w:cs="Times New Roman"/>
        </w:rPr>
        <w:t xml:space="preserve"> ustanawia art. 110 ustawy z</w:t>
      </w:r>
      <w:r w:rsidR="003849B9" w:rsidRPr="001F7D09">
        <w:rPr>
          <w:rFonts w:ascii="Times New Roman" w:hAnsi="Times New Roman" w:cs="Times New Roman"/>
        </w:rPr>
        <w:t xml:space="preserve"> </w:t>
      </w:r>
      <w:r w:rsidR="00A42601" w:rsidRPr="001F7D09">
        <w:rPr>
          <w:rFonts w:ascii="Times New Roman" w:hAnsi="Times New Roman" w:cs="Times New Roman"/>
        </w:rPr>
        <w:t>dnia 1 marca 2018 r. o przeciwdziałaniu praniu pieniędzy oraz finansowaniu terroryzmu</w:t>
      </w:r>
      <w:r w:rsidR="00232989" w:rsidRPr="001F7D09">
        <w:rPr>
          <w:rFonts w:ascii="Times New Roman" w:hAnsi="Times New Roman" w:cs="Times New Roman"/>
        </w:rPr>
        <w:t xml:space="preserve"> (</w:t>
      </w:r>
      <w:r w:rsidR="00FB3E8E" w:rsidRPr="001F7D09">
        <w:rPr>
          <w:rFonts w:ascii="Times New Roman" w:hAnsi="Times New Roman" w:cs="Times New Roman"/>
        </w:rPr>
        <w:t>w</w:t>
      </w:r>
      <w:r w:rsidR="003849B9" w:rsidRPr="001F7D09">
        <w:rPr>
          <w:rFonts w:ascii="Times New Roman" w:hAnsi="Times New Roman" w:cs="Times New Roman"/>
        </w:rPr>
        <w:t xml:space="preserve"> </w:t>
      </w:r>
      <w:r w:rsidR="00FB3E8E" w:rsidRPr="001F7D09">
        <w:rPr>
          <w:rFonts w:ascii="Times New Roman" w:hAnsi="Times New Roman" w:cs="Times New Roman"/>
        </w:rPr>
        <w:t xml:space="preserve">zakresie międzynarodowej wymiany informacji zastosowanie mają też </w:t>
      </w:r>
      <w:r w:rsidR="00070204" w:rsidRPr="001F7D09">
        <w:rPr>
          <w:rFonts w:ascii="Times New Roman" w:hAnsi="Times New Roman" w:cs="Times New Roman"/>
        </w:rPr>
        <w:t xml:space="preserve">przepisy </w:t>
      </w:r>
      <w:r w:rsidR="00FB3E8E" w:rsidRPr="001F7D09">
        <w:rPr>
          <w:rFonts w:ascii="Times New Roman" w:hAnsi="Times New Roman" w:cs="Times New Roman"/>
        </w:rPr>
        <w:t>art.111</w:t>
      </w:r>
      <w:r w:rsidR="003849B9" w:rsidRPr="001F7D09">
        <w:rPr>
          <w:rFonts w:ascii="Times New Roman" w:hAnsi="Times New Roman" w:cs="Times New Roman"/>
        </w:rPr>
        <w:t>–</w:t>
      </w:r>
      <w:r w:rsidR="00FB3E8E" w:rsidRPr="001F7D09">
        <w:rPr>
          <w:rFonts w:ascii="Times New Roman" w:hAnsi="Times New Roman" w:cs="Times New Roman"/>
        </w:rPr>
        <w:t>116 ustawy o p.p.p.f.t.</w:t>
      </w:r>
      <w:r w:rsidR="00070204" w:rsidRPr="001F7D09">
        <w:rPr>
          <w:rFonts w:ascii="Times New Roman" w:hAnsi="Times New Roman" w:cs="Times New Roman"/>
        </w:rPr>
        <w:t>).</w:t>
      </w:r>
    </w:p>
    <w:p w14:paraId="4CC23D93" w14:textId="77777777" w:rsidR="00C933A4" w:rsidRPr="001F7D09" w:rsidRDefault="00C933A4" w:rsidP="001F7D09">
      <w:pPr>
        <w:autoSpaceDE w:val="0"/>
        <w:autoSpaceDN w:val="0"/>
        <w:adjustRightInd w:val="0"/>
        <w:spacing w:before="120" w:after="120" w:line="360" w:lineRule="auto"/>
        <w:jc w:val="both"/>
        <w:rPr>
          <w:rFonts w:ascii="Times New Roman" w:hAnsi="Times New Roman" w:cs="Times New Roman"/>
        </w:rPr>
      </w:pPr>
      <w:r w:rsidRPr="001F7D09">
        <w:rPr>
          <w:rFonts w:ascii="Times New Roman" w:hAnsi="Times New Roman" w:cs="Times New Roman"/>
          <w:b/>
        </w:rPr>
        <w:t xml:space="preserve">Art. </w:t>
      </w:r>
      <w:r w:rsidR="00175F32" w:rsidRPr="001F7D09">
        <w:rPr>
          <w:rFonts w:ascii="Times New Roman" w:hAnsi="Times New Roman" w:cs="Times New Roman"/>
          <w:b/>
        </w:rPr>
        <w:t>5</w:t>
      </w:r>
      <w:r w:rsidRPr="001F7D09">
        <w:rPr>
          <w:rFonts w:ascii="Times New Roman" w:hAnsi="Times New Roman" w:cs="Times New Roman"/>
        </w:rPr>
        <w:t xml:space="preserve"> projektu</w:t>
      </w:r>
    </w:p>
    <w:p w14:paraId="54F1A454" w14:textId="63EDAB28" w:rsidR="00C933A4" w:rsidRPr="001F7D09" w:rsidRDefault="005F2CFD" w:rsidP="001F7D09">
      <w:pPr>
        <w:autoSpaceDE w:val="0"/>
        <w:autoSpaceDN w:val="0"/>
        <w:adjustRightInd w:val="0"/>
        <w:spacing w:before="120" w:after="120" w:line="360" w:lineRule="auto"/>
        <w:jc w:val="both"/>
        <w:rPr>
          <w:rFonts w:ascii="Times New Roman" w:hAnsi="Times New Roman" w:cs="Times New Roman"/>
        </w:rPr>
      </w:pPr>
      <w:r w:rsidRPr="001F7D09">
        <w:rPr>
          <w:rFonts w:ascii="Times New Roman" w:hAnsi="Times New Roman" w:cs="Times New Roman"/>
        </w:rPr>
        <w:t>Proponuje się, aby ustawa weszła w życie po upływie 14 dni od dnia ogłoszenia</w:t>
      </w:r>
      <w:r w:rsidR="00240144" w:rsidRPr="001F7D09">
        <w:rPr>
          <w:rFonts w:ascii="Times New Roman" w:hAnsi="Times New Roman" w:cs="Times New Roman"/>
        </w:rPr>
        <w:t>, z wyjątkiem art. 3 pkt 2, który wchodzi w życie po upływie 3 miesięcy od dnia ogłoszenia ustawy.</w:t>
      </w:r>
    </w:p>
    <w:p w14:paraId="553A17AF" w14:textId="77777777" w:rsidR="005F2CFD" w:rsidRPr="001F7D09" w:rsidRDefault="005F2CFD" w:rsidP="001F7D09">
      <w:pPr>
        <w:autoSpaceDE w:val="0"/>
        <w:autoSpaceDN w:val="0"/>
        <w:adjustRightInd w:val="0"/>
        <w:spacing w:before="120" w:after="120" w:line="360" w:lineRule="auto"/>
        <w:jc w:val="both"/>
        <w:rPr>
          <w:rFonts w:ascii="Times New Roman" w:hAnsi="Times New Roman" w:cs="Times New Roman"/>
        </w:rPr>
      </w:pPr>
      <w:r w:rsidRPr="001F7D09">
        <w:rPr>
          <w:rFonts w:ascii="Times New Roman" w:hAnsi="Times New Roman" w:cs="Times New Roman"/>
        </w:rPr>
        <w:lastRenderedPageBreak/>
        <w:t xml:space="preserve">Projektowana ustawa jest zgodna z prawem Unii Europejskiej. </w:t>
      </w:r>
    </w:p>
    <w:p w14:paraId="30AB875E" w14:textId="3D90A73A" w:rsidR="005F2CFD" w:rsidRPr="001F7D09" w:rsidRDefault="005F2CFD" w:rsidP="001F7D09">
      <w:pPr>
        <w:autoSpaceDE w:val="0"/>
        <w:autoSpaceDN w:val="0"/>
        <w:adjustRightInd w:val="0"/>
        <w:spacing w:before="120" w:after="120" w:line="360" w:lineRule="auto"/>
        <w:jc w:val="both"/>
        <w:rPr>
          <w:rFonts w:ascii="Times New Roman" w:hAnsi="Times New Roman" w:cs="Times New Roman"/>
        </w:rPr>
      </w:pPr>
      <w:r w:rsidRPr="001F7D09">
        <w:rPr>
          <w:rFonts w:ascii="Times New Roman" w:hAnsi="Times New Roman" w:cs="Times New Roman"/>
        </w:rPr>
        <w:t>Projekt ustawy nie wymaga zasięgnięcia opinii, dokonania konsultacji oraz uzgodnienia z</w:t>
      </w:r>
      <w:r w:rsidR="003849B9" w:rsidRPr="001F7D09">
        <w:rPr>
          <w:rFonts w:ascii="Times New Roman" w:hAnsi="Times New Roman" w:cs="Times New Roman"/>
        </w:rPr>
        <w:t xml:space="preserve"> </w:t>
      </w:r>
      <w:r w:rsidRPr="001F7D09">
        <w:rPr>
          <w:rFonts w:ascii="Times New Roman" w:hAnsi="Times New Roman" w:cs="Times New Roman"/>
        </w:rPr>
        <w:t>właściwymi organami i instytucjami Unii Europejskiej, w tym Europejskim Bankiem Centralnym.</w:t>
      </w:r>
    </w:p>
    <w:p w14:paraId="3F74DF1D" w14:textId="77777777" w:rsidR="00B26090" w:rsidRPr="001F7D09" w:rsidRDefault="00B26090" w:rsidP="001F7D09">
      <w:pPr>
        <w:autoSpaceDE w:val="0"/>
        <w:autoSpaceDN w:val="0"/>
        <w:adjustRightInd w:val="0"/>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Projekt wpływa na działalność mikroprzędsiębiorców oraz małych i średnich przedsiębiorców.</w:t>
      </w:r>
    </w:p>
    <w:p w14:paraId="01A03DB2" w14:textId="607C7062" w:rsidR="005F2CFD" w:rsidRPr="001F7D09" w:rsidRDefault="005F2CFD" w:rsidP="001F7D09">
      <w:pPr>
        <w:autoSpaceDE w:val="0"/>
        <w:autoSpaceDN w:val="0"/>
        <w:adjustRightInd w:val="0"/>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t xml:space="preserve">Projektowana ustawa </w:t>
      </w:r>
      <w:r w:rsidR="004A2CF9" w:rsidRPr="001F7D09">
        <w:rPr>
          <w:rFonts w:ascii="Times New Roman" w:hAnsi="Times New Roman" w:cs="Times New Roman"/>
          <w:color w:val="auto"/>
        </w:rPr>
        <w:t xml:space="preserve">nie zawiera przepisów technicznych. Projekt </w:t>
      </w:r>
      <w:r w:rsidRPr="001F7D09">
        <w:rPr>
          <w:rFonts w:ascii="Times New Roman" w:hAnsi="Times New Roman" w:cs="Times New Roman"/>
          <w:color w:val="auto"/>
        </w:rPr>
        <w:t>nie podlega procedurze notyfikacji w rozumieniu przepisów rozporządzenia Rady Ministrów z dnia 23 grudnia 2002 r. w sprawie sposobu funkcjonowania krajowego systemu notyfikacji norm i aktów prawnych (Dz.</w:t>
      </w:r>
      <w:r w:rsidR="003849B9" w:rsidRPr="001F7D09">
        <w:rPr>
          <w:rFonts w:ascii="Times New Roman" w:hAnsi="Times New Roman" w:cs="Times New Roman"/>
          <w:color w:val="auto"/>
        </w:rPr>
        <w:t xml:space="preserve"> </w:t>
      </w:r>
      <w:r w:rsidRPr="001F7D09">
        <w:rPr>
          <w:rFonts w:ascii="Times New Roman" w:hAnsi="Times New Roman" w:cs="Times New Roman"/>
          <w:color w:val="auto"/>
        </w:rPr>
        <w:t>U. poz. 2039, z późn. zm.).</w:t>
      </w:r>
    </w:p>
    <w:p w14:paraId="672E3F1D" w14:textId="6D710AC0" w:rsidR="00395FDA" w:rsidRPr="001F7D09" w:rsidRDefault="005F2CFD" w:rsidP="001F7D09">
      <w:pPr>
        <w:autoSpaceDE w:val="0"/>
        <w:autoSpaceDN w:val="0"/>
        <w:adjustRightInd w:val="0"/>
        <w:spacing w:before="120" w:after="120" w:line="360" w:lineRule="auto"/>
        <w:jc w:val="both"/>
        <w:rPr>
          <w:rFonts w:ascii="Times New Roman" w:hAnsi="Times New Roman" w:cs="Times New Roman"/>
          <w:color w:val="auto"/>
        </w:rPr>
      </w:pPr>
      <w:r w:rsidRPr="001F7D09">
        <w:rPr>
          <w:rFonts w:ascii="Times New Roman" w:hAnsi="Times New Roman" w:cs="Times New Roman"/>
          <w:color w:val="auto"/>
        </w:rPr>
        <w:lastRenderedPageBreak/>
        <w:t>Stosownie do art. 5 ustawy z dnia 7 lipca 2005 r. o działalności lobbingowej w procesie stanowienia prawa (Dz. U. z 2017 r. poz. 248) oraz § 4 i § 52 ust. 1 uchwały nr 190 Rady Ministrów z dnia 29 października 2013 r. – Regulamin pracy Rady Ministrów (M.P. z 20</w:t>
      </w:r>
      <w:r w:rsidR="00484F22" w:rsidRPr="001F7D09">
        <w:rPr>
          <w:rFonts w:ascii="Times New Roman" w:hAnsi="Times New Roman" w:cs="Times New Roman"/>
          <w:color w:val="auto"/>
        </w:rPr>
        <w:t>22</w:t>
      </w:r>
      <w:r w:rsidRPr="001F7D09">
        <w:rPr>
          <w:rFonts w:ascii="Times New Roman" w:hAnsi="Times New Roman" w:cs="Times New Roman"/>
          <w:color w:val="auto"/>
        </w:rPr>
        <w:t xml:space="preserve"> r. poz. </w:t>
      </w:r>
      <w:r w:rsidR="00484F22" w:rsidRPr="001F7D09">
        <w:rPr>
          <w:rFonts w:ascii="Times New Roman" w:hAnsi="Times New Roman" w:cs="Times New Roman"/>
          <w:color w:val="auto"/>
        </w:rPr>
        <w:t xml:space="preserve">348) </w:t>
      </w:r>
      <w:r w:rsidRPr="001F7D09">
        <w:rPr>
          <w:rFonts w:ascii="Times New Roman" w:hAnsi="Times New Roman" w:cs="Times New Roman"/>
          <w:color w:val="auto"/>
        </w:rPr>
        <w:t>projekt ustawy zosta</w:t>
      </w:r>
      <w:r w:rsidR="00C13348" w:rsidRPr="001F7D09">
        <w:rPr>
          <w:rFonts w:ascii="Times New Roman" w:hAnsi="Times New Roman" w:cs="Times New Roman"/>
          <w:color w:val="auto"/>
        </w:rPr>
        <w:t>ł</w:t>
      </w:r>
      <w:r w:rsidRPr="001F7D09">
        <w:rPr>
          <w:rFonts w:ascii="Times New Roman" w:hAnsi="Times New Roman" w:cs="Times New Roman"/>
          <w:color w:val="auto"/>
        </w:rPr>
        <w:t xml:space="preserve"> zamieszczony w Biuletynie Informacji Publicznej na stronie podmiotowej Rządowego Centrum Legislacji, w serwisie Rządowy Proces Legislacyjny.</w:t>
      </w:r>
    </w:p>
    <w:sectPr w:rsidR="00395FDA" w:rsidRPr="001F7D09" w:rsidSect="003849B9">
      <w:footerReference w:type="default" r:id="rId8"/>
      <w:footnotePr>
        <w:numRestart w:val="eachPage"/>
      </w:footnotePr>
      <w:type w:val="continuous"/>
      <w:pgSz w:w="11905" w:h="16837"/>
      <w:pgMar w:top="1417" w:right="1417" w:bottom="1417" w:left="1417"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4547" w14:textId="77777777" w:rsidR="00334304" w:rsidRDefault="00334304">
      <w:r>
        <w:separator/>
      </w:r>
    </w:p>
  </w:endnote>
  <w:endnote w:type="continuationSeparator" w:id="0">
    <w:p w14:paraId="23BA9F15" w14:textId="77777777" w:rsidR="00334304" w:rsidRDefault="0033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902625"/>
      <w:docPartObj>
        <w:docPartGallery w:val="Page Numbers (Bottom of Page)"/>
        <w:docPartUnique/>
      </w:docPartObj>
    </w:sdtPr>
    <w:sdtEndPr>
      <w:rPr>
        <w:rFonts w:ascii="Times New Roman" w:hAnsi="Times New Roman" w:cs="Times New Roman"/>
      </w:rPr>
    </w:sdtEndPr>
    <w:sdtContent>
      <w:p w14:paraId="4A382674" w14:textId="58EBB768" w:rsidR="00375A97" w:rsidRPr="003849B9" w:rsidRDefault="00375A97" w:rsidP="003849B9">
        <w:pPr>
          <w:pStyle w:val="Stopka"/>
          <w:jc w:val="center"/>
          <w:rPr>
            <w:rFonts w:ascii="Times New Roman" w:hAnsi="Times New Roman" w:cs="Times New Roman"/>
          </w:rPr>
        </w:pPr>
        <w:r w:rsidRPr="003849B9">
          <w:rPr>
            <w:rFonts w:ascii="Times New Roman" w:hAnsi="Times New Roman" w:cs="Times New Roman"/>
          </w:rPr>
          <w:fldChar w:fldCharType="begin"/>
        </w:r>
        <w:r w:rsidRPr="003849B9">
          <w:rPr>
            <w:rFonts w:ascii="Times New Roman" w:hAnsi="Times New Roman" w:cs="Times New Roman"/>
          </w:rPr>
          <w:instrText>PAGE   \* MERGEFORMAT</w:instrText>
        </w:r>
        <w:r w:rsidRPr="003849B9">
          <w:rPr>
            <w:rFonts w:ascii="Times New Roman" w:hAnsi="Times New Roman" w:cs="Times New Roman"/>
          </w:rPr>
          <w:fldChar w:fldCharType="separate"/>
        </w:r>
        <w:r w:rsidR="005B21A7" w:rsidRPr="005B21A7">
          <w:rPr>
            <w:rFonts w:ascii="Times New Roman" w:hAnsi="Times New Roman" w:cs="Times New Roman"/>
            <w:noProof/>
            <w:lang w:val="pl-PL"/>
          </w:rPr>
          <w:t>20</w:t>
        </w:r>
        <w:r w:rsidRPr="003849B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8032" w14:textId="77777777" w:rsidR="00334304" w:rsidRDefault="00334304">
      <w:r>
        <w:separator/>
      </w:r>
    </w:p>
  </w:footnote>
  <w:footnote w:type="continuationSeparator" w:id="0">
    <w:p w14:paraId="5EDF12B1" w14:textId="77777777" w:rsidR="00334304" w:rsidRDefault="00334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17B"/>
    <w:multiLevelType w:val="hybridMultilevel"/>
    <w:tmpl w:val="7A34942E"/>
    <w:lvl w:ilvl="0" w:tplc="D702F0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366E9"/>
    <w:multiLevelType w:val="multilevel"/>
    <w:tmpl w:val="7C3463F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B53F4"/>
    <w:multiLevelType w:val="hybridMultilevel"/>
    <w:tmpl w:val="F9EC6C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33348C"/>
    <w:multiLevelType w:val="hybridMultilevel"/>
    <w:tmpl w:val="2DA438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5393C"/>
    <w:multiLevelType w:val="hybridMultilevel"/>
    <w:tmpl w:val="E75A242C"/>
    <w:lvl w:ilvl="0" w:tplc="04150005">
      <w:start w:val="1"/>
      <w:numFmt w:val="bullet"/>
      <w:lvlText w:val=""/>
      <w:lvlJc w:val="left"/>
      <w:pPr>
        <w:ind w:left="740" w:hanging="360"/>
      </w:pPr>
      <w:rPr>
        <w:rFonts w:ascii="Wingdings" w:hAnsi="Wingdings"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5" w15:restartNumberingAfterBreak="0">
    <w:nsid w:val="1E9C0B9E"/>
    <w:multiLevelType w:val="hybridMultilevel"/>
    <w:tmpl w:val="B2C00F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F8C6D3D"/>
    <w:multiLevelType w:val="hybridMultilevel"/>
    <w:tmpl w:val="B37C548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24296E53"/>
    <w:multiLevelType w:val="hybridMultilevel"/>
    <w:tmpl w:val="FDEA7EBE"/>
    <w:lvl w:ilvl="0" w:tplc="56DCC9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45C47"/>
    <w:multiLevelType w:val="hybridMultilevel"/>
    <w:tmpl w:val="9544E1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852A56"/>
    <w:multiLevelType w:val="hybridMultilevel"/>
    <w:tmpl w:val="B23E7D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5961E8"/>
    <w:multiLevelType w:val="hybridMultilevel"/>
    <w:tmpl w:val="F21CCEAE"/>
    <w:lvl w:ilvl="0" w:tplc="145ED3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E5F72DE"/>
    <w:multiLevelType w:val="hybridMultilevel"/>
    <w:tmpl w:val="85E4EDE6"/>
    <w:lvl w:ilvl="0" w:tplc="56DCC9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602657"/>
    <w:multiLevelType w:val="hybridMultilevel"/>
    <w:tmpl w:val="3CD06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066FAD"/>
    <w:multiLevelType w:val="hybridMultilevel"/>
    <w:tmpl w:val="D494DE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1CF5A2F"/>
    <w:multiLevelType w:val="hybridMultilevel"/>
    <w:tmpl w:val="E8C67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133C8"/>
    <w:multiLevelType w:val="multilevel"/>
    <w:tmpl w:val="8E108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9064D2"/>
    <w:multiLevelType w:val="hybridMultilevel"/>
    <w:tmpl w:val="8B026984"/>
    <w:lvl w:ilvl="0" w:tplc="04150005">
      <w:start w:val="1"/>
      <w:numFmt w:val="bullet"/>
      <w:lvlText w:val=""/>
      <w:lvlJc w:val="left"/>
      <w:pPr>
        <w:ind w:left="740" w:hanging="360"/>
      </w:pPr>
      <w:rPr>
        <w:rFonts w:ascii="Wingdings" w:hAnsi="Wingdings"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53982F1B"/>
    <w:multiLevelType w:val="hybridMultilevel"/>
    <w:tmpl w:val="A7ACDD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3EB35D7"/>
    <w:multiLevelType w:val="hybridMultilevel"/>
    <w:tmpl w:val="734494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896387"/>
    <w:multiLevelType w:val="hybridMultilevel"/>
    <w:tmpl w:val="198EA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0D08C6"/>
    <w:multiLevelType w:val="hybridMultilevel"/>
    <w:tmpl w:val="738890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21796D"/>
    <w:multiLevelType w:val="multilevel"/>
    <w:tmpl w:val="4F304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4B114F"/>
    <w:multiLevelType w:val="hybridMultilevel"/>
    <w:tmpl w:val="51A48B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6587C7B"/>
    <w:multiLevelType w:val="hybridMultilevel"/>
    <w:tmpl w:val="B38A6550"/>
    <w:lvl w:ilvl="0" w:tplc="0415000F">
      <w:start w:val="1"/>
      <w:numFmt w:val="decimal"/>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4" w15:restartNumberingAfterBreak="0">
    <w:nsid w:val="6A354733"/>
    <w:multiLevelType w:val="hybridMultilevel"/>
    <w:tmpl w:val="AD729F32"/>
    <w:lvl w:ilvl="0" w:tplc="825C7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3A0C8F"/>
    <w:multiLevelType w:val="hybridMultilevel"/>
    <w:tmpl w:val="F6DAAC3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FB83823"/>
    <w:multiLevelType w:val="hybridMultilevel"/>
    <w:tmpl w:val="2634F824"/>
    <w:lvl w:ilvl="0" w:tplc="9320A5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ED5E85"/>
    <w:multiLevelType w:val="hybridMultilevel"/>
    <w:tmpl w:val="D00037B4"/>
    <w:lvl w:ilvl="0" w:tplc="04150005">
      <w:start w:val="1"/>
      <w:numFmt w:val="bullet"/>
      <w:lvlText w:val=""/>
      <w:lvlJc w:val="left"/>
      <w:pPr>
        <w:ind w:left="720" w:hanging="360"/>
      </w:pPr>
      <w:rPr>
        <w:rFonts w:ascii="Wingdings" w:hAnsi="Wingding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611777"/>
    <w:multiLevelType w:val="hybridMultilevel"/>
    <w:tmpl w:val="EBF83690"/>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15"/>
  </w:num>
  <w:num w:numId="2">
    <w:abstractNumId w:val="1"/>
  </w:num>
  <w:num w:numId="3">
    <w:abstractNumId w:val="21"/>
  </w:num>
  <w:num w:numId="4">
    <w:abstractNumId w:val="2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7"/>
  </w:num>
  <w:num w:numId="9">
    <w:abstractNumId w:val="11"/>
  </w:num>
  <w:num w:numId="10">
    <w:abstractNumId w:val="25"/>
  </w:num>
  <w:num w:numId="11">
    <w:abstractNumId w:val="13"/>
  </w:num>
  <w:num w:numId="12">
    <w:abstractNumId w:val="27"/>
  </w:num>
  <w:num w:numId="13">
    <w:abstractNumId w:val="10"/>
  </w:num>
  <w:num w:numId="14">
    <w:abstractNumId w:val="16"/>
  </w:num>
  <w:num w:numId="15">
    <w:abstractNumId w:val="4"/>
  </w:num>
  <w:num w:numId="16">
    <w:abstractNumId w:val="23"/>
  </w:num>
  <w:num w:numId="17">
    <w:abstractNumId w:val="17"/>
  </w:num>
  <w:num w:numId="18">
    <w:abstractNumId w:val="14"/>
  </w:num>
  <w:num w:numId="19">
    <w:abstractNumId w:val="2"/>
  </w:num>
  <w:num w:numId="20">
    <w:abstractNumId w:val="26"/>
  </w:num>
  <w:num w:numId="21">
    <w:abstractNumId w:val="19"/>
  </w:num>
  <w:num w:numId="22">
    <w:abstractNumId w:val="8"/>
  </w:num>
  <w:num w:numId="23">
    <w:abstractNumId w:val="9"/>
  </w:num>
  <w:num w:numId="24">
    <w:abstractNumId w:val="18"/>
  </w:num>
  <w:num w:numId="25">
    <w:abstractNumId w:val="3"/>
  </w:num>
  <w:num w:numId="26">
    <w:abstractNumId w:val="22"/>
  </w:num>
  <w:num w:numId="27">
    <w:abstractNumId w:val="20"/>
  </w:num>
  <w:num w:numId="28">
    <w:abstractNumId w:val="0"/>
  </w:num>
  <w:num w:numId="29">
    <w:abstractNumId w:val="5"/>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4097"/>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9"/>
    <w:rsid w:val="00001039"/>
    <w:rsid w:val="000013B4"/>
    <w:rsid w:val="000035A8"/>
    <w:rsid w:val="00004FBA"/>
    <w:rsid w:val="00006678"/>
    <w:rsid w:val="00007A27"/>
    <w:rsid w:val="00010C12"/>
    <w:rsid w:val="000117DD"/>
    <w:rsid w:val="00012754"/>
    <w:rsid w:val="0001373B"/>
    <w:rsid w:val="00013A20"/>
    <w:rsid w:val="00017F7A"/>
    <w:rsid w:val="0002281F"/>
    <w:rsid w:val="00023302"/>
    <w:rsid w:val="00026403"/>
    <w:rsid w:val="00026AC9"/>
    <w:rsid w:val="0003057D"/>
    <w:rsid w:val="00032B5C"/>
    <w:rsid w:val="0003369F"/>
    <w:rsid w:val="00033B00"/>
    <w:rsid w:val="00035863"/>
    <w:rsid w:val="000359E5"/>
    <w:rsid w:val="00042D7F"/>
    <w:rsid w:val="000432BC"/>
    <w:rsid w:val="00050BB7"/>
    <w:rsid w:val="00050D6C"/>
    <w:rsid w:val="00053EC2"/>
    <w:rsid w:val="000542D8"/>
    <w:rsid w:val="00063B50"/>
    <w:rsid w:val="00066ECB"/>
    <w:rsid w:val="00070006"/>
    <w:rsid w:val="00070204"/>
    <w:rsid w:val="00075C91"/>
    <w:rsid w:val="00087423"/>
    <w:rsid w:val="00087612"/>
    <w:rsid w:val="00087628"/>
    <w:rsid w:val="000911F8"/>
    <w:rsid w:val="00092C71"/>
    <w:rsid w:val="000A073C"/>
    <w:rsid w:val="000A323B"/>
    <w:rsid w:val="000A35FB"/>
    <w:rsid w:val="000A6FFD"/>
    <w:rsid w:val="000B29C5"/>
    <w:rsid w:val="000B5514"/>
    <w:rsid w:val="000C00B4"/>
    <w:rsid w:val="000C23EA"/>
    <w:rsid w:val="000C4C83"/>
    <w:rsid w:val="000C52FF"/>
    <w:rsid w:val="000C6098"/>
    <w:rsid w:val="000C653B"/>
    <w:rsid w:val="000C6750"/>
    <w:rsid w:val="000D0EBB"/>
    <w:rsid w:val="000D4A9E"/>
    <w:rsid w:val="000D4C4E"/>
    <w:rsid w:val="000D6ADA"/>
    <w:rsid w:val="000D6F46"/>
    <w:rsid w:val="000E24F6"/>
    <w:rsid w:val="000E26F7"/>
    <w:rsid w:val="000E70B9"/>
    <w:rsid w:val="000F0164"/>
    <w:rsid w:val="000F2D9D"/>
    <w:rsid w:val="000F4857"/>
    <w:rsid w:val="000F5546"/>
    <w:rsid w:val="00100869"/>
    <w:rsid w:val="001010FE"/>
    <w:rsid w:val="001031FB"/>
    <w:rsid w:val="00104B67"/>
    <w:rsid w:val="00105CB3"/>
    <w:rsid w:val="00105E39"/>
    <w:rsid w:val="0011137A"/>
    <w:rsid w:val="00115285"/>
    <w:rsid w:val="00120CB5"/>
    <w:rsid w:val="001243CB"/>
    <w:rsid w:val="00124503"/>
    <w:rsid w:val="00126D32"/>
    <w:rsid w:val="001272F4"/>
    <w:rsid w:val="0013087B"/>
    <w:rsid w:val="0013218C"/>
    <w:rsid w:val="0013266E"/>
    <w:rsid w:val="00134E9C"/>
    <w:rsid w:val="00136996"/>
    <w:rsid w:val="001370B7"/>
    <w:rsid w:val="00140A46"/>
    <w:rsid w:val="00143055"/>
    <w:rsid w:val="0014413B"/>
    <w:rsid w:val="00144E7A"/>
    <w:rsid w:val="00145A43"/>
    <w:rsid w:val="001526E1"/>
    <w:rsid w:val="00152CB9"/>
    <w:rsid w:val="00154A2D"/>
    <w:rsid w:val="00154E57"/>
    <w:rsid w:val="00155EEF"/>
    <w:rsid w:val="0015633D"/>
    <w:rsid w:val="00157719"/>
    <w:rsid w:val="00160A3B"/>
    <w:rsid w:val="0016114B"/>
    <w:rsid w:val="001664D1"/>
    <w:rsid w:val="00166D25"/>
    <w:rsid w:val="00167390"/>
    <w:rsid w:val="00167A88"/>
    <w:rsid w:val="0017083C"/>
    <w:rsid w:val="00170B22"/>
    <w:rsid w:val="00172A72"/>
    <w:rsid w:val="00173788"/>
    <w:rsid w:val="00174557"/>
    <w:rsid w:val="00174AB6"/>
    <w:rsid w:val="00175F32"/>
    <w:rsid w:val="00176C3B"/>
    <w:rsid w:val="00176DF4"/>
    <w:rsid w:val="00180FB0"/>
    <w:rsid w:val="001816F1"/>
    <w:rsid w:val="001830DE"/>
    <w:rsid w:val="00185CAD"/>
    <w:rsid w:val="00185FFD"/>
    <w:rsid w:val="00190EDB"/>
    <w:rsid w:val="0019103B"/>
    <w:rsid w:val="0019283A"/>
    <w:rsid w:val="001929A4"/>
    <w:rsid w:val="001931F2"/>
    <w:rsid w:val="001A0436"/>
    <w:rsid w:val="001A1D61"/>
    <w:rsid w:val="001A1F78"/>
    <w:rsid w:val="001A2F36"/>
    <w:rsid w:val="001A4465"/>
    <w:rsid w:val="001A5317"/>
    <w:rsid w:val="001A5615"/>
    <w:rsid w:val="001A5655"/>
    <w:rsid w:val="001A571E"/>
    <w:rsid w:val="001A5F65"/>
    <w:rsid w:val="001B1B0C"/>
    <w:rsid w:val="001B3D5B"/>
    <w:rsid w:val="001B6ADC"/>
    <w:rsid w:val="001B7972"/>
    <w:rsid w:val="001B7BDE"/>
    <w:rsid w:val="001B7F5B"/>
    <w:rsid w:val="001C2192"/>
    <w:rsid w:val="001C2EB4"/>
    <w:rsid w:val="001C3E8B"/>
    <w:rsid w:val="001C3F09"/>
    <w:rsid w:val="001C679A"/>
    <w:rsid w:val="001C683E"/>
    <w:rsid w:val="001C741E"/>
    <w:rsid w:val="001D0391"/>
    <w:rsid w:val="001D046B"/>
    <w:rsid w:val="001D0603"/>
    <w:rsid w:val="001D10B3"/>
    <w:rsid w:val="001D118F"/>
    <w:rsid w:val="001D25DF"/>
    <w:rsid w:val="001D2656"/>
    <w:rsid w:val="001E018C"/>
    <w:rsid w:val="001E0526"/>
    <w:rsid w:val="001E5345"/>
    <w:rsid w:val="001E547E"/>
    <w:rsid w:val="001E655C"/>
    <w:rsid w:val="001E66A8"/>
    <w:rsid w:val="001E69DA"/>
    <w:rsid w:val="001E7BDB"/>
    <w:rsid w:val="001F073D"/>
    <w:rsid w:val="001F0F8C"/>
    <w:rsid w:val="001F2E1D"/>
    <w:rsid w:val="001F5E59"/>
    <w:rsid w:val="001F7CD8"/>
    <w:rsid w:val="001F7D09"/>
    <w:rsid w:val="00200CCF"/>
    <w:rsid w:val="002026E0"/>
    <w:rsid w:val="0020494B"/>
    <w:rsid w:val="00207667"/>
    <w:rsid w:val="0020786F"/>
    <w:rsid w:val="002115D8"/>
    <w:rsid w:val="0021351F"/>
    <w:rsid w:val="00215A1A"/>
    <w:rsid w:val="0021664D"/>
    <w:rsid w:val="002220F5"/>
    <w:rsid w:val="00225B3E"/>
    <w:rsid w:val="00232989"/>
    <w:rsid w:val="00232D3D"/>
    <w:rsid w:val="00232DF7"/>
    <w:rsid w:val="00234FA3"/>
    <w:rsid w:val="00235105"/>
    <w:rsid w:val="00235580"/>
    <w:rsid w:val="00235BB6"/>
    <w:rsid w:val="002370FB"/>
    <w:rsid w:val="00237708"/>
    <w:rsid w:val="00240144"/>
    <w:rsid w:val="00240E67"/>
    <w:rsid w:val="002441D3"/>
    <w:rsid w:val="00244C6C"/>
    <w:rsid w:val="00251B82"/>
    <w:rsid w:val="00253E28"/>
    <w:rsid w:val="00256E69"/>
    <w:rsid w:val="00265952"/>
    <w:rsid w:val="002678A6"/>
    <w:rsid w:val="0027019E"/>
    <w:rsid w:val="002719C1"/>
    <w:rsid w:val="00274F52"/>
    <w:rsid w:val="0027586E"/>
    <w:rsid w:val="00277AAB"/>
    <w:rsid w:val="002842F8"/>
    <w:rsid w:val="00284A6F"/>
    <w:rsid w:val="0029441F"/>
    <w:rsid w:val="002945DF"/>
    <w:rsid w:val="00296270"/>
    <w:rsid w:val="00296645"/>
    <w:rsid w:val="00297AC1"/>
    <w:rsid w:val="002A11B8"/>
    <w:rsid w:val="002A29C2"/>
    <w:rsid w:val="002A32FE"/>
    <w:rsid w:val="002A38A5"/>
    <w:rsid w:val="002A3E95"/>
    <w:rsid w:val="002A4A8F"/>
    <w:rsid w:val="002A5793"/>
    <w:rsid w:val="002A5B7B"/>
    <w:rsid w:val="002A75C5"/>
    <w:rsid w:val="002A7CED"/>
    <w:rsid w:val="002B0024"/>
    <w:rsid w:val="002B19FC"/>
    <w:rsid w:val="002B600C"/>
    <w:rsid w:val="002B7D6D"/>
    <w:rsid w:val="002C2BDF"/>
    <w:rsid w:val="002C42CF"/>
    <w:rsid w:val="002C44C1"/>
    <w:rsid w:val="002C4ED5"/>
    <w:rsid w:val="002C52D9"/>
    <w:rsid w:val="002C6952"/>
    <w:rsid w:val="002C6F84"/>
    <w:rsid w:val="002D113B"/>
    <w:rsid w:val="002D1B02"/>
    <w:rsid w:val="002D27D7"/>
    <w:rsid w:val="002D3040"/>
    <w:rsid w:val="002D3B0F"/>
    <w:rsid w:val="002D43D1"/>
    <w:rsid w:val="002D50AD"/>
    <w:rsid w:val="002D6494"/>
    <w:rsid w:val="002E1A55"/>
    <w:rsid w:val="002E4181"/>
    <w:rsid w:val="002F0F1B"/>
    <w:rsid w:val="002F154B"/>
    <w:rsid w:val="002F2093"/>
    <w:rsid w:val="002F2D28"/>
    <w:rsid w:val="002F3CF2"/>
    <w:rsid w:val="002F4F0D"/>
    <w:rsid w:val="002F7477"/>
    <w:rsid w:val="00303679"/>
    <w:rsid w:val="003076DF"/>
    <w:rsid w:val="003108AF"/>
    <w:rsid w:val="00310B11"/>
    <w:rsid w:val="003125E7"/>
    <w:rsid w:val="003130A7"/>
    <w:rsid w:val="00313862"/>
    <w:rsid w:val="00317512"/>
    <w:rsid w:val="0032023B"/>
    <w:rsid w:val="0032134F"/>
    <w:rsid w:val="00322043"/>
    <w:rsid w:val="003225A0"/>
    <w:rsid w:val="00323971"/>
    <w:rsid w:val="0032409C"/>
    <w:rsid w:val="003247AA"/>
    <w:rsid w:val="00327155"/>
    <w:rsid w:val="00332C76"/>
    <w:rsid w:val="00334304"/>
    <w:rsid w:val="0033570D"/>
    <w:rsid w:val="00336466"/>
    <w:rsid w:val="0033711D"/>
    <w:rsid w:val="00337135"/>
    <w:rsid w:val="003377D7"/>
    <w:rsid w:val="003411AA"/>
    <w:rsid w:val="00341C05"/>
    <w:rsid w:val="00345AA0"/>
    <w:rsid w:val="00352710"/>
    <w:rsid w:val="00353942"/>
    <w:rsid w:val="0035403C"/>
    <w:rsid w:val="003546C3"/>
    <w:rsid w:val="00356686"/>
    <w:rsid w:val="003566EF"/>
    <w:rsid w:val="003604EB"/>
    <w:rsid w:val="00362B16"/>
    <w:rsid w:val="00364121"/>
    <w:rsid w:val="00367191"/>
    <w:rsid w:val="00370123"/>
    <w:rsid w:val="0037424F"/>
    <w:rsid w:val="00375A97"/>
    <w:rsid w:val="0037663C"/>
    <w:rsid w:val="00377BAE"/>
    <w:rsid w:val="0038248D"/>
    <w:rsid w:val="00382D4F"/>
    <w:rsid w:val="00383885"/>
    <w:rsid w:val="003849B9"/>
    <w:rsid w:val="00385223"/>
    <w:rsid w:val="00385519"/>
    <w:rsid w:val="003859B3"/>
    <w:rsid w:val="00392C46"/>
    <w:rsid w:val="003945B1"/>
    <w:rsid w:val="00395FDA"/>
    <w:rsid w:val="003A019D"/>
    <w:rsid w:val="003A5221"/>
    <w:rsid w:val="003A5269"/>
    <w:rsid w:val="003A62DE"/>
    <w:rsid w:val="003A7280"/>
    <w:rsid w:val="003A7B3E"/>
    <w:rsid w:val="003A7D03"/>
    <w:rsid w:val="003B237C"/>
    <w:rsid w:val="003B56BB"/>
    <w:rsid w:val="003B619F"/>
    <w:rsid w:val="003B6F5B"/>
    <w:rsid w:val="003C182F"/>
    <w:rsid w:val="003C22F5"/>
    <w:rsid w:val="003C512F"/>
    <w:rsid w:val="003C578B"/>
    <w:rsid w:val="003C7601"/>
    <w:rsid w:val="003D0FC3"/>
    <w:rsid w:val="003D335D"/>
    <w:rsid w:val="003D5501"/>
    <w:rsid w:val="003D5A96"/>
    <w:rsid w:val="003D62F3"/>
    <w:rsid w:val="003D6605"/>
    <w:rsid w:val="003E135C"/>
    <w:rsid w:val="003E399D"/>
    <w:rsid w:val="003E3E4D"/>
    <w:rsid w:val="003E3FCB"/>
    <w:rsid w:val="003E5472"/>
    <w:rsid w:val="003E6B9A"/>
    <w:rsid w:val="003F0799"/>
    <w:rsid w:val="003F38BC"/>
    <w:rsid w:val="003F69BA"/>
    <w:rsid w:val="003F6E9A"/>
    <w:rsid w:val="003F7667"/>
    <w:rsid w:val="003F7AC9"/>
    <w:rsid w:val="00400C2C"/>
    <w:rsid w:val="004013CC"/>
    <w:rsid w:val="00402D25"/>
    <w:rsid w:val="0040572D"/>
    <w:rsid w:val="00407695"/>
    <w:rsid w:val="00407728"/>
    <w:rsid w:val="00407EB9"/>
    <w:rsid w:val="0041051E"/>
    <w:rsid w:val="00410D7A"/>
    <w:rsid w:val="00411A3D"/>
    <w:rsid w:val="00412759"/>
    <w:rsid w:val="00414661"/>
    <w:rsid w:val="004146F0"/>
    <w:rsid w:val="004159D4"/>
    <w:rsid w:val="00422856"/>
    <w:rsid w:val="004231BA"/>
    <w:rsid w:val="004242D6"/>
    <w:rsid w:val="00425A49"/>
    <w:rsid w:val="00426429"/>
    <w:rsid w:val="004267F9"/>
    <w:rsid w:val="00427A75"/>
    <w:rsid w:val="00427C7C"/>
    <w:rsid w:val="00427DE0"/>
    <w:rsid w:val="00430D90"/>
    <w:rsid w:val="00432B5A"/>
    <w:rsid w:val="00432D58"/>
    <w:rsid w:val="004357AD"/>
    <w:rsid w:val="00436C9E"/>
    <w:rsid w:val="0044006D"/>
    <w:rsid w:val="0044085C"/>
    <w:rsid w:val="00441C24"/>
    <w:rsid w:val="00444E5C"/>
    <w:rsid w:val="004505D0"/>
    <w:rsid w:val="0045657C"/>
    <w:rsid w:val="0046312C"/>
    <w:rsid w:val="004643BE"/>
    <w:rsid w:val="00465377"/>
    <w:rsid w:val="00465677"/>
    <w:rsid w:val="00470AE9"/>
    <w:rsid w:val="00470F36"/>
    <w:rsid w:val="0047122B"/>
    <w:rsid w:val="00477C91"/>
    <w:rsid w:val="0048056D"/>
    <w:rsid w:val="004809C9"/>
    <w:rsid w:val="00480DCA"/>
    <w:rsid w:val="00484F22"/>
    <w:rsid w:val="0048753C"/>
    <w:rsid w:val="004900F7"/>
    <w:rsid w:val="00493D61"/>
    <w:rsid w:val="00496ABA"/>
    <w:rsid w:val="004A1605"/>
    <w:rsid w:val="004A2CF9"/>
    <w:rsid w:val="004A339F"/>
    <w:rsid w:val="004A3F36"/>
    <w:rsid w:val="004A4005"/>
    <w:rsid w:val="004A4D30"/>
    <w:rsid w:val="004A4E68"/>
    <w:rsid w:val="004A52EB"/>
    <w:rsid w:val="004A6D46"/>
    <w:rsid w:val="004A745D"/>
    <w:rsid w:val="004B33F4"/>
    <w:rsid w:val="004B6693"/>
    <w:rsid w:val="004C0970"/>
    <w:rsid w:val="004C388E"/>
    <w:rsid w:val="004C6BA2"/>
    <w:rsid w:val="004C7CAF"/>
    <w:rsid w:val="004C7D0B"/>
    <w:rsid w:val="004D09C2"/>
    <w:rsid w:val="004D0DE8"/>
    <w:rsid w:val="004E0A6D"/>
    <w:rsid w:val="004E0F49"/>
    <w:rsid w:val="004E17BB"/>
    <w:rsid w:val="004E241E"/>
    <w:rsid w:val="004E31A3"/>
    <w:rsid w:val="004F0647"/>
    <w:rsid w:val="004F0930"/>
    <w:rsid w:val="004F0A97"/>
    <w:rsid w:val="004F0E69"/>
    <w:rsid w:val="004F2C25"/>
    <w:rsid w:val="004F350C"/>
    <w:rsid w:val="004F4BE8"/>
    <w:rsid w:val="004F4D61"/>
    <w:rsid w:val="004F58E0"/>
    <w:rsid w:val="004F7E8B"/>
    <w:rsid w:val="0050082C"/>
    <w:rsid w:val="0050258D"/>
    <w:rsid w:val="0050334D"/>
    <w:rsid w:val="00503A0D"/>
    <w:rsid w:val="00504DA1"/>
    <w:rsid w:val="00505DFD"/>
    <w:rsid w:val="005065E5"/>
    <w:rsid w:val="00507DED"/>
    <w:rsid w:val="00511698"/>
    <w:rsid w:val="00513645"/>
    <w:rsid w:val="00513C8D"/>
    <w:rsid w:val="00513ED2"/>
    <w:rsid w:val="00515615"/>
    <w:rsid w:val="00517287"/>
    <w:rsid w:val="00520FED"/>
    <w:rsid w:val="00521C6A"/>
    <w:rsid w:val="00522DB6"/>
    <w:rsid w:val="005245B0"/>
    <w:rsid w:val="00524604"/>
    <w:rsid w:val="005248C7"/>
    <w:rsid w:val="005278F4"/>
    <w:rsid w:val="00527CA6"/>
    <w:rsid w:val="00530FFC"/>
    <w:rsid w:val="0053236E"/>
    <w:rsid w:val="00535AE9"/>
    <w:rsid w:val="00536C81"/>
    <w:rsid w:val="00537A0B"/>
    <w:rsid w:val="00541703"/>
    <w:rsid w:val="005420BA"/>
    <w:rsid w:val="005455C7"/>
    <w:rsid w:val="00546314"/>
    <w:rsid w:val="00546DF7"/>
    <w:rsid w:val="0055218A"/>
    <w:rsid w:val="0055332E"/>
    <w:rsid w:val="00553961"/>
    <w:rsid w:val="005600E5"/>
    <w:rsid w:val="00561C9C"/>
    <w:rsid w:val="0056359A"/>
    <w:rsid w:val="005645DB"/>
    <w:rsid w:val="00564CF3"/>
    <w:rsid w:val="00567F1C"/>
    <w:rsid w:val="00571696"/>
    <w:rsid w:val="00576543"/>
    <w:rsid w:val="00576F7D"/>
    <w:rsid w:val="005821D1"/>
    <w:rsid w:val="005828D3"/>
    <w:rsid w:val="005834F4"/>
    <w:rsid w:val="0058421C"/>
    <w:rsid w:val="00584F44"/>
    <w:rsid w:val="00585059"/>
    <w:rsid w:val="005858A6"/>
    <w:rsid w:val="00587972"/>
    <w:rsid w:val="00587AEF"/>
    <w:rsid w:val="005912C8"/>
    <w:rsid w:val="00592F4F"/>
    <w:rsid w:val="00593E3E"/>
    <w:rsid w:val="00594FDB"/>
    <w:rsid w:val="00596B83"/>
    <w:rsid w:val="00597F55"/>
    <w:rsid w:val="005A2054"/>
    <w:rsid w:val="005A383E"/>
    <w:rsid w:val="005A3A7A"/>
    <w:rsid w:val="005A5B2B"/>
    <w:rsid w:val="005A6A20"/>
    <w:rsid w:val="005A7E87"/>
    <w:rsid w:val="005B04E9"/>
    <w:rsid w:val="005B087D"/>
    <w:rsid w:val="005B11D7"/>
    <w:rsid w:val="005B1BB6"/>
    <w:rsid w:val="005B21A7"/>
    <w:rsid w:val="005B39A4"/>
    <w:rsid w:val="005C0CE0"/>
    <w:rsid w:val="005C24C3"/>
    <w:rsid w:val="005C298A"/>
    <w:rsid w:val="005C34E2"/>
    <w:rsid w:val="005C39C9"/>
    <w:rsid w:val="005C4EB7"/>
    <w:rsid w:val="005D0792"/>
    <w:rsid w:val="005D5E70"/>
    <w:rsid w:val="005D5F7B"/>
    <w:rsid w:val="005E4285"/>
    <w:rsid w:val="005E6F5E"/>
    <w:rsid w:val="005F1E14"/>
    <w:rsid w:val="005F2CFD"/>
    <w:rsid w:val="005F5B18"/>
    <w:rsid w:val="005F61E0"/>
    <w:rsid w:val="005F647E"/>
    <w:rsid w:val="005F71D5"/>
    <w:rsid w:val="005F74F5"/>
    <w:rsid w:val="005F76BB"/>
    <w:rsid w:val="005F7845"/>
    <w:rsid w:val="0060015B"/>
    <w:rsid w:val="0061007F"/>
    <w:rsid w:val="0061019A"/>
    <w:rsid w:val="00610807"/>
    <w:rsid w:val="00614459"/>
    <w:rsid w:val="006153AC"/>
    <w:rsid w:val="0061781E"/>
    <w:rsid w:val="00617E05"/>
    <w:rsid w:val="00627F8F"/>
    <w:rsid w:val="006306DA"/>
    <w:rsid w:val="006361BA"/>
    <w:rsid w:val="00641393"/>
    <w:rsid w:val="00647A63"/>
    <w:rsid w:val="00647DFB"/>
    <w:rsid w:val="00650C8A"/>
    <w:rsid w:val="006543B9"/>
    <w:rsid w:val="00656CA9"/>
    <w:rsid w:val="006631E4"/>
    <w:rsid w:val="00663C05"/>
    <w:rsid w:val="00663C75"/>
    <w:rsid w:val="00671105"/>
    <w:rsid w:val="006712AF"/>
    <w:rsid w:val="0067189F"/>
    <w:rsid w:val="00672EAA"/>
    <w:rsid w:val="00673C2C"/>
    <w:rsid w:val="00674C8A"/>
    <w:rsid w:val="00677AAE"/>
    <w:rsid w:val="00680A36"/>
    <w:rsid w:val="006812AF"/>
    <w:rsid w:val="0068188C"/>
    <w:rsid w:val="00684817"/>
    <w:rsid w:val="00686B21"/>
    <w:rsid w:val="00692AFC"/>
    <w:rsid w:val="00694977"/>
    <w:rsid w:val="006950EC"/>
    <w:rsid w:val="00695931"/>
    <w:rsid w:val="006973DC"/>
    <w:rsid w:val="006A0193"/>
    <w:rsid w:val="006A4079"/>
    <w:rsid w:val="006A7312"/>
    <w:rsid w:val="006A7933"/>
    <w:rsid w:val="006B2A13"/>
    <w:rsid w:val="006B455E"/>
    <w:rsid w:val="006B5827"/>
    <w:rsid w:val="006B5EFD"/>
    <w:rsid w:val="006B7F73"/>
    <w:rsid w:val="006C037C"/>
    <w:rsid w:val="006C15A0"/>
    <w:rsid w:val="006C1BBC"/>
    <w:rsid w:val="006C3318"/>
    <w:rsid w:val="006C35AB"/>
    <w:rsid w:val="006D0760"/>
    <w:rsid w:val="006D2BD7"/>
    <w:rsid w:val="006D369B"/>
    <w:rsid w:val="006D5E05"/>
    <w:rsid w:val="006D6006"/>
    <w:rsid w:val="006D7361"/>
    <w:rsid w:val="006E02BE"/>
    <w:rsid w:val="006E1253"/>
    <w:rsid w:val="006E2C5E"/>
    <w:rsid w:val="006E7237"/>
    <w:rsid w:val="006E72DA"/>
    <w:rsid w:val="006F1789"/>
    <w:rsid w:val="006F2000"/>
    <w:rsid w:val="006F3B1F"/>
    <w:rsid w:val="006F42E3"/>
    <w:rsid w:val="006F62F2"/>
    <w:rsid w:val="006F76E0"/>
    <w:rsid w:val="00701679"/>
    <w:rsid w:val="00702D97"/>
    <w:rsid w:val="00702F71"/>
    <w:rsid w:val="00703646"/>
    <w:rsid w:val="00703812"/>
    <w:rsid w:val="00704774"/>
    <w:rsid w:val="00704A72"/>
    <w:rsid w:val="007110B7"/>
    <w:rsid w:val="00715A46"/>
    <w:rsid w:val="00721119"/>
    <w:rsid w:val="00721A1E"/>
    <w:rsid w:val="00722214"/>
    <w:rsid w:val="00723212"/>
    <w:rsid w:val="007235C5"/>
    <w:rsid w:val="00723A2E"/>
    <w:rsid w:val="00724EE0"/>
    <w:rsid w:val="00730331"/>
    <w:rsid w:val="007305E9"/>
    <w:rsid w:val="00731537"/>
    <w:rsid w:val="00731882"/>
    <w:rsid w:val="00733271"/>
    <w:rsid w:val="007355F4"/>
    <w:rsid w:val="00740E08"/>
    <w:rsid w:val="00743FD1"/>
    <w:rsid w:val="00744933"/>
    <w:rsid w:val="00751816"/>
    <w:rsid w:val="007538BE"/>
    <w:rsid w:val="00753B8B"/>
    <w:rsid w:val="00754B77"/>
    <w:rsid w:val="00754D4D"/>
    <w:rsid w:val="00755059"/>
    <w:rsid w:val="007562EF"/>
    <w:rsid w:val="0076066D"/>
    <w:rsid w:val="007612B7"/>
    <w:rsid w:val="00761B5E"/>
    <w:rsid w:val="00761E33"/>
    <w:rsid w:val="00762115"/>
    <w:rsid w:val="007631FF"/>
    <w:rsid w:val="00764558"/>
    <w:rsid w:val="00767D61"/>
    <w:rsid w:val="007733F2"/>
    <w:rsid w:val="00774101"/>
    <w:rsid w:val="007745CD"/>
    <w:rsid w:val="00775A47"/>
    <w:rsid w:val="007761DC"/>
    <w:rsid w:val="00777328"/>
    <w:rsid w:val="00780B75"/>
    <w:rsid w:val="00785246"/>
    <w:rsid w:val="0078536F"/>
    <w:rsid w:val="00785B84"/>
    <w:rsid w:val="007861C8"/>
    <w:rsid w:val="00787822"/>
    <w:rsid w:val="00787FB6"/>
    <w:rsid w:val="00791945"/>
    <w:rsid w:val="00795F33"/>
    <w:rsid w:val="00797099"/>
    <w:rsid w:val="00797804"/>
    <w:rsid w:val="00797C08"/>
    <w:rsid w:val="007A039C"/>
    <w:rsid w:val="007A0B22"/>
    <w:rsid w:val="007A5897"/>
    <w:rsid w:val="007A6DD3"/>
    <w:rsid w:val="007B1E7C"/>
    <w:rsid w:val="007B32F9"/>
    <w:rsid w:val="007B36DD"/>
    <w:rsid w:val="007B497C"/>
    <w:rsid w:val="007B514B"/>
    <w:rsid w:val="007C0597"/>
    <w:rsid w:val="007C24FD"/>
    <w:rsid w:val="007C3898"/>
    <w:rsid w:val="007C38F0"/>
    <w:rsid w:val="007C47F3"/>
    <w:rsid w:val="007D02D2"/>
    <w:rsid w:val="007D13B2"/>
    <w:rsid w:val="007D3CCD"/>
    <w:rsid w:val="007D49F8"/>
    <w:rsid w:val="007D598E"/>
    <w:rsid w:val="007D59E3"/>
    <w:rsid w:val="007D6712"/>
    <w:rsid w:val="007E0173"/>
    <w:rsid w:val="007E0EA8"/>
    <w:rsid w:val="007E2D3C"/>
    <w:rsid w:val="007E513D"/>
    <w:rsid w:val="007F184A"/>
    <w:rsid w:val="007F25A1"/>
    <w:rsid w:val="007F39A4"/>
    <w:rsid w:val="007F4473"/>
    <w:rsid w:val="007F4520"/>
    <w:rsid w:val="007F4AED"/>
    <w:rsid w:val="007F796E"/>
    <w:rsid w:val="00801CA9"/>
    <w:rsid w:val="0080336B"/>
    <w:rsid w:val="00805074"/>
    <w:rsid w:val="0080508D"/>
    <w:rsid w:val="008076C1"/>
    <w:rsid w:val="00807C0C"/>
    <w:rsid w:val="00807FDE"/>
    <w:rsid w:val="0081020A"/>
    <w:rsid w:val="0081433C"/>
    <w:rsid w:val="0081569D"/>
    <w:rsid w:val="00817FC4"/>
    <w:rsid w:val="00820D7F"/>
    <w:rsid w:val="008218D6"/>
    <w:rsid w:val="00822419"/>
    <w:rsid w:val="00823FDE"/>
    <w:rsid w:val="00825E3D"/>
    <w:rsid w:val="00827EBF"/>
    <w:rsid w:val="00830561"/>
    <w:rsid w:val="00830D69"/>
    <w:rsid w:val="00831B2F"/>
    <w:rsid w:val="00832E88"/>
    <w:rsid w:val="00833EBA"/>
    <w:rsid w:val="00835AED"/>
    <w:rsid w:val="0083632E"/>
    <w:rsid w:val="0084602A"/>
    <w:rsid w:val="0084671A"/>
    <w:rsid w:val="00852A01"/>
    <w:rsid w:val="008564DE"/>
    <w:rsid w:val="00860A60"/>
    <w:rsid w:val="00860E85"/>
    <w:rsid w:val="008636DC"/>
    <w:rsid w:val="00863DC4"/>
    <w:rsid w:val="008642B0"/>
    <w:rsid w:val="00866269"/>
    <w:rsid w:val="008664CE"/>
    <w:rsid w:val="00867C45"/>
    <w:rsid w:val="00867D9F"/>
    <w:rsid w:val="00872423"/>
    <w:rsid w:val="008731F9"/>
    <w:rsid w:val="008739DF"/>
    <w:rsid w:val="00876B28"/>
    <w:rsid w:val="008816EF"/>
    <w:rsid w:val="00882650"/>
    <w:rsid w:val="00882D3D"/>
    <w:rsid w:val="00882DBE"/>
    <w:rsid w:val="00890BF4"/>
    <w:rsid w:val="00892205"/>
    <w:rsid w:val="00895BFF"/>
    <w:rsid w:val="00897EBE"/>
    <w:rsid w:val="008A0C4D"/>
    <w:rsid w:val="008A20E9"/>
    <w:rsid w:val="008A31B0"/>
    <w:rsid w:val="008A4C66"/>
    <w:rsid w:val="008A706F"/>
    <w:rsid w:val="008A78AD"/>
    <w:rsid w:val="008A7A0D"/>
    <w:rsid w:val="008B1728"/>
    <w:rsid w:val="008B2047"/>
    <w:rsid w:val="008B2A4B"/>
    <w:rsid w:val="008B3932"/>
    <w:rsid w:val="008B3C5A"/>
    <w:rsid w:val="008B4F6F"/>
    <w:rsid w:val="008B5F25"/>
    <w:rsid w:val="008C0735"/>
    <w:rsid w:val="008C1FB6"/>
    <w:rsid w:val="008C2131"/>
    <w:rsid w:val="008C7C39"/>
    <w:rsid w:val="008D41FE"/>
    <w:rsid w:val="008D7104"/>
    <w:rsid w:val="008E10A9"/>
    <w:rsid w:val="008E1293"/>
    <w:rsid w:val="008E1AEB"/>
    <w:rsid w:val="008E2016"/>
    <w:rsid w:val="008E3E5F"/>
    <w:rsid w:val="008E668C"/>
    <w:rsid w:val="008E6ADD"/>
    <w:rsid w:val="008E7522"/>
    <w:rsid w:val="008F0BC2"/>
    <w:rsid w:val="008F1769"/>
    <w:rsid w:val="008F1F65"/>
    <w:rsid w:val="008F5C11"/>
    <w:rsid w:val="008F71B4"/>
    <w:rsid w:val="00903916"/>
    <w:rsid w:val="00903E02"/>
    <w:rsid w:val="0091046E"/>
    <w:rsid w:val="00910F89"/>
    <w:rsid w:val="00912128"/>
    <w:rsid w:val="00912D52"/>
    <w:rsid w:val="009171D1"/>
    <w:rsid w:val="009177E9"/>
    <w:rsid w:val="009217E4"/>
    <w:rsid w:val="00922886"/>
    <w:rsid w:val="00924697"/>
    <w:rsid w:val="00926880"/>
    <w:rsid w:val="00930C81"/>
    <w:rsid w:val="00931ABE"/>
    <w:rsid w:val="00932E0E"/>
    <w:rsid w:val="00933227"/>
    <w:rsid w:val="00933716"/>
    <w:rsid w:val="009346D4"/>
    <w:rsid w:val="009368CE"/>
    <w:rsid w:val="009375FD"/>
    <w:rsid w:val="00940016"/>
    <w:rsid w:val="009425BD"/>
    <w:rsid w:val="009439B8"/>
    <w:rsid w:val="00944676"/>
    <w:rsid w:val="009458D3"/>
    <w:rsid w:val="00951ADD"/>
    <w:rsid w:val="00952E75"/>
    <w:rsid w:val="00952EBD"/>
    <w:rsid w:val="00955F9F"/>
    <w:rsid w:val="00956351"/>
    <w:rsid w:val="00956E60"/>
    <w:rsid w:val="00960869"/>
    <w:rsid w:val="00960D01"/>
    <w:rsid w:val="00960ED1"/>
    <w:rsid w:val="0096138B"/>
    <w:rsid w:val="00961B34"/>
    <w:rsid w:val="009639A5"/>
    <w:rsid w:val="009666DA"/>
    <w:rsid w:val="009704D5"/>
    <w:rsid w:val="009713AB"/>
    <w:rsid w:val="009715AD"/>
    <w:rsid w:val="00971DEA"/>
    <w:rsid w:val="00974B21"/>
    <w:rsid w:val="0097732D"/>
    <w:rsid w:val="00985A7A"/>
    <w:rsid w:val="00985B4D"/>
    <w:rsid w:val="00987332"/>
    <w:rsid w:val="00991A68"/>
    <w:rsid w:val="009943AD"/>
    <w:rsid w:val="00994715"/>
    <w:rsid w:val="009959DD"/>
    <w:rsid w:val="009A1EDF"/>
    <w:rsid w:val="009A39D3"/>
    <w:rsid w:val="009A4017"/>
    <w:rsid w:val="009A4260"/>
    <w:rsid w:val="009A4A9E"/>
    <w:rsid w:val="009A7517"/>
    <w:rsid w:val="009B005C"/>
    <w:rsid w:val="009B546A"/>
    <w:rsid w:val="009B6AF7"/>
    <w:rsid w:val="009C1AED"/>
    <w:rsid w:val="009C245E"/>
    <w:rsid w:val="009C2F43"/>
    <w:rsid w:val="009C417B"/>
    <w:rsid w:val="009C5889"/>
    <w:rsid w:val="009D17BD"/>
    <w:rsid w:val="009D47ED"/>
    <w:rsid w:val="009D5C59"/>
    <w:rsid w:val="009D61D6"/>
    <w:rsid w:val="009D68A7"/>
    <w:rsid w:val="009E06C9"/>
    <w:rsid w:val="009E30ED"/>
    <w:rsid w:val="009E45DF"/>
    <w:rsid w:val="009E4B4B"/>
    <w:rsid w:val="009E628C"/>
    <w:rsid w:val="009E7394"/>
    <w:rsid w:val="009F0103"/>
    <w:rsid w:val="009F1BCD"/>
    <w:rsid w:val="009F1BE6"/>
    <w:rsid w:val="009F22F5"/>
    <w:rsid w:val="009F2A49"/>
    <w:rsid w:val="009F46F1"/>
    <w:rsid w:val="009F5705"/>
    <w:rsid w:val="009F578C"/>
    <w:rsid w:val="009F60A9"/>
    <w:rsid w:val="009F6566"/>
    <w:rsid w:val="00A01542"/>
    <w:rsid w:val="00A02841"/>
    <w:rsid w:val="00A05E9A"/>
    <w:rsid w:val="00A0744A"/>
    <w:rsid w:val="00A10846"/>
    <w:rsid w:val="00A10B52"/>
    <w:rsid w:val="00A1195B"/>
    <w:rsid w:val="00A11BA6"/>
    <w:rsid w:val="00A1326E"/>
    <w:rsid w:val="00A141F5"/>
    <w:rsid w:val="00A1466A"/>
    <w:rsid w:val="00A17B91"/>
    <w:rsid w:val="00A21003"/>
    <w:rsid w:val="00A210E4"/>
    <w:rsid w:val="00A21A62"/>
    <w:rsid w:val="00A22037"/>
    <w:rsid w:val="00A2304F"/>
    <w:rsid w:val="00A236DF"/>
    <w:rsid w:val="00A2380C"/>
    <w:rsid w:val="00A23D4F"/>
    <w:rsid w:val="00A24079"/>
    <w:rsid w:val="00A26218"/>
    <w:rsid w:val="00A26467"/>
    <w:rsid w:val="00A26EC6"/>
    <w:rsid w:val="00A271B1"/>
    <w:rsid w:val="00A32C25"/>
    <w:rsid w:val="00A33434"/>
    <w:rsid w:val="00A34671"/>
    <w:rsid w:val="00A3674B"/>
    <w:rsid w:val="00A3733C"/>
    <w:rsid w:val="00A40E13"/>
    <w:rsid w:val="00A41B69"/>
    <w:rsid w:val="00A42601"/>
    <w:rsid w:val="00A44462"/>
    <w:rsid w:val="00A45389"/>
    <w:rsid w:val="00A45906"/>
    <w:rsid w:val="00A45C31"/>
    <w:rsid w:val="00A55911"/>
    <w:rsid w:val="00A5650C"/>
    <w:rsid w:val="00A56C3B"/>
    <w:rsid w:val="00A60E4A"/>
    <w:rsid w:val="00A65376"/>
    <w:rsid w:val="00A66792"/>
    <w:rsid w:val="00A6692D"/>
    <w:rsid w:val="00A67358"/>
    <w:rsid w:val="00A677EB"/>
    <w:rsid w:val="00A70223"/>
    <w:rsid w:val="00A70EE2"/>
    <w:rsid w:val="00A7132F"/>
    <w:rsid w:val="00A72901"/>
    <w:rsid w:val="00A73049"/>
    <w:rsid w:val="00A86035"/>
    <w:rsid w:val="00A86F92"/>
    <w:rsid w:val="00A9055E"/>
    <w:rsid w:val="00A912B7"/>
    <w:rsid w:val="00A97A9A"/>
    <w:rsid w:val="00AA19B4"/>
    <w:rsid w:val="00AA3CB3"/>
    <w:rsid w:val="00AA5174"/>
    <w:rsid w:val="00AA5346"/>
    <w:rsid w:val="00AB0C9B"/>
    <w:rsid w:val="00AB1A0D"/>
    <w:rsid w:val="00AB2432"/>
    <w:rsid w:val="00AB3AA0"/>
    <w:rsid w:val="00AB5408"/>
    <w:rsid w:val="00AC074C"/>
    <w:rsid w:val="00AC308E"/>
    <w:rsid w:val="00AC32E0"/>
    <w:rsid w:val="00AC38BB"/>
    <w:rsid w:val="00AC57A8"/>
    <w:rsid w:val="00AC63EF"/>
    <w:rsid w:val="00AC76C8"/>
    <w:rsid w:val="00AD0CC7"/>
    <w:rsid w:val="00AD22F9"/>
    <w:rsid w:val="00AD48B0"/>
    <w:rsid w:val="00AD5EDA"/>
    <w:rsid w:val="00AE20DC"/>
    <w:rsid w:val="00AE21BB"/>
    <w:rsid w:val="00AE4A48"/>
    <w:rsid w:val="00AE6FA7"/>
    <w:rsid w:val="00AF1C73"/>
    <w:rsid w:val="00AF2016"/>
    <w:rsid w:val="00AF2051"/>
    <w:rsid w:val="00B000EA"/>
    <w:rsid w:val="00B017D3"/>
    <w:rsid w:val="00B02D70"/>
    <w:rsid w:val="00B033EC"/>
    <w:rsid w:val="00B0696C"/>
    <w:rsid w:val="00B12CBF"/>
    <w:rsid w:val="00B1516C"/>
    <w:rsid w:val="00B17355"/>
    <w:rsid w:val="00B231B1"/>
    <w:rsid w:val="00B26090"/>
    <w:rsid w:val="00B31B61"/>
    <w:rsid w:val="00B31FFE"/>
    <w:rsid w:val="00B33A54"/>
    <w:rsid w:val="00B351A9"/>
    <w:rsid w:val="00B37C54"/>
    <w:rsid w:val="00B408ED"/>
    <w:rsid w:val="00B41529"/>
    <w:rsid w:val="00B43F54"/>
    <w:rsid w:val="00B44ED3"/>
    <w:rsid w:val="00B46095"/>
    <w:rsid w:val="00B4726D"/>
    <w:rsid w:val="00B51CC5"/>
    <w:rsid w:val="00B55BF6"/>
    <w:rsid w:val="00B61E9E"/>
    <w:rsid w:val="00B65A04"/>
    <w:rsid w:val="00B673AB"/>
    <w:rsid w:val="00B67AFB"/>
    <w:rsid w:val="00B67E60"/>
    <w:rsid w:val="00B72651"/>
    <w:rsid w:val="00B75967"/>
    <w:rsid w:val="00B77281"/>
    <w:rsid w:val="00B814C5"/>
    <w:rsid w:val="00B87D60"/>
    <w:rsid w:val="00B90C89"/>
    <w:rsid w:val="00B91415"/>
    <w:rsid w:val="00B926A6"/>
    <w:rsid w:val="00B9399E"/>
    <w:rsid w:val="00B93A24"/>
    <w:rsid w:val="00BA15B2"/>
    <w:rsid w:val="00BA1B92"/>
    <w:rsid w:val="00BA22AD"/>
    <w:rsid w:val="00BA24E8"/>
    <w:rsid w:val="00BA4C57"/>
    <w:rsid w:val="00BA5552"/>
    <w:rsid w:val="00BA7665"/>
    <w:rsid w:val="00BB4195"/>
    <w:rsid w:val="00BB4490"/>
    <w:rsid w:val="00BB55F5"/>
    <w:rsid w:val="00BC3EDF"/>
    <w:rsid w:val="00BC59E7"/>
    <w:rsid w:val="00BC7054"/>
    <w:rsid w:val="00BC775E"/>
    <w:rsid w:val="00BD0B52"/>
    <w:rsid w:val="00BD0E98"/>
    <w:rsid w:val="00BD2B93"/>
    <w:rsid w:val="00BD3105"/>
    <w:rsid w:val="00BD3229"/>
    <w:rsid w:val="00BE127A"/>
    <w:rsid w:val="00BE456B"/>
    <w:rsid w:val="00BF04ED"/>
    <w:rsid w:val="00BF70FA"/>
    <w:rsid w:val="00C00913"/>
    <w:rsid w:val="00C00B19"/>
    <w:rsid w:val="00C039B7"/>
    <w:rsid w:val="00C03DF7"/>
    <w:rsid w:val="00C06201"/>
    <w:rsid w:val="00C074A6"/>
    <w:rsid w:val="00C10D6E"/>
    <w:rsid w:val="00C10EE1"/>
    <w:rsid w:val="00C11091"/>
    <w:rsid w:val="00C127B7"/>
    <w:rsid w:val="00C13348"/>
    <w:rsid w:val="00C16125"/>
    <w:rsid w:val="00C16384"/>
    <w:rsid w:val="00C20250"/>
    <w:rsid w:val="00C22571"/>
    <w:rsid w:val="00C249E3"/>
    <w:rsid w:val="00C25BF9"/>
    <w:rsid w:val="00C2669D"/>
    <w:rsid w:val="00C2789A"/>
    <w:rsid w:val="00C31150"/>
    <w:rsid w:val="00C34E59"/>
    <w:rsid w:val="00C3554E"/>
    <w:rsid w:val="00C35B6F"/>
    <w:rsid w:val="00C4194F"/>
    <w:rsid w:val="00C436CC"/>
    <w:rsid w:val="00C45606"/>
    <w:rsid w:val="00C458B8"/>
    <w:rsid w:val="00C50627"/>
    <w:rsid w:val="00C518AB"/>
    <w:rsid w:val="00C51CB1"/>
    <w:rsid w:val="00C53D19"/>
    <w:rsid w:val="00C53FDD"/>
    <w:rsid w:val="00C56844"/>
    <w:rsid w:val="00C62A09"/>
    <w:rsid w:val="00C657C9"/>
    <w:rsid w:val="00C67180"/>
    <w:rsid w:val="00C70560"/>
    <w:rsid w:val="00C70FA2"/>
    <w:rsid w:val="00C737C8"/>
    <w:rsid w:val="00C73EEB"/>
    <w:rsid w:val="00C76F31"/>
    <w:rsid w:val="00C809FE"/>
    <w:rsid w:val="00C837CC"/>
    <w:rsid w:val="00C83837"/>
    <w:rsid w:val="00C84E4C"/>
    <w:rsid w:val="00C8690E"/>
    <w:rsid w:val="00C87B9A"/>
    <w:rsid w:val="00C91C91"/>
    <w:rsid w:val="00C9244D"/>
    <w:rsid w:val="00C933A4"/>
    <w:rsid w:val="00C94831"/>
    <w:rsid w:val="00C9602B"/>
    <w:rsid w:val="00C968E9"/>
    <w:rsid w:val="00CA5131"/>
    <w:rsid w:val="00CA6F53"/>
    <w:rsid w:val="00CB1AAA"/>
    <w:rsid w:val="00CB1F09"/>
    <w:rsid w:val="00CB205B"/>
    <w:rsid w:val="00CB314F"/>
    <w:rsid w:val="00CB3CBE"/>
    <w:rsid w:val="00CB6FAA"/>
    <w:rsid w:val="00CB7710"/>
    <w:rsid w:val="00CB7AA2"/>
    <w:rsid w:val="00CC12DE"/>
    <w:rsid w:val="00CC2877"/>
    <w:rsid w:val="00CC3400"/>
    <w:rsid w:val="00CC65FE"/>
    <w:rsid w:val="00CC7AC7"/>
    <w:rsid w:val="00CC7B38"/>
    <w:rsid w:val="00CD01E3"/>
    <w:rsid w:val="00CD36E4"/>
    <w:rsid w:val="00CD64EF"/>
    <w:rsid w:val="00CD66C5"/>
    <w:rsid w:val="00CE0455"/>
    <w:rsid w:val="00CE0C0D"/>
    <w:rsid w:val="00CE113A"/>
    <w:rsid w:val="00CE1201"/>
    <w:rsid w:val="00CE470C"/>
    <w:rsid w:val="00CE5192"/>
    <w:rsid w:val="00CE6A83"/>
    <w:rsid w:val="00CF0698"/>
    <w:rsid w:val="00CF258A"/>
    <w:rsid w:val="00CF41E3"/>
    <w:rsid w:val="00CF6B1B"/>
    <w:rsid w:val="00CF6D2D"/>
    <w:rsid w:val="00D021E8"/>
    <w:rsid w:val="00D0290A"/>
    <w:rsid w:val="00D07FCB"/>
    <w:rsid w:val="00D1094A"/>
    <w:rsid w:val="00D10DCA"/>
    <w:rsid w:val="00D15B92"/>
    <w:rsid w:val="00D16728"/>
    <w:rsid w:val="00D167B0"/>
    <w:rsid w:val="00D210FC"/>
    <w:rsid w:val="00D249CC"/>
    <w:rsid w:val="00D2665F"/>
    <w:rsid w:val="00D30371"/>
    <w:rsid w:val="00D31010"/>
    <w:rsid w:val="00D313F5"/>
    <w:rsid w:val="00D32C88"/>
    <w:rsid w:val="00D33328"/>
    <w:rsid w:val="00D37529"/>
    <w:rsid w:val="00D37B47"/>
    <w:rsid w:val="00D40F4F"/>
    <w:rsid w:val="00D42B93"/>
    <w:rsid w:val="00D42BF6"/>
    <w:rsid w:val="00D444F9"/>
    <w:rsid w:val="00D44C7A"/>
    <w:rsid w:val="00D4589D"/>
    <w:rsid w:val="00D45B48"/>
    <w:rsid w:val="00D45F17"/>
    <w:rsid w:val="00D522B5"/>
    <w:rsid w:val="00D529B1"/>
    <w:rsid w:val="00D53D4A"/>
    <w:rsid w:val="00D5448B"/>
    <w:rsid w:val="00D54A15"/>
    <w:rsid w:val="00D55095"/>
    <w:rsid w:val="00D60CBF"/>
    <w:rsid w:val="00D62F52"/>
    <w:rsid w:val="00D63052"/>
    <w:rsid w:val="00D644D9"/>
    <w:rsid w:val="00D72F3C"/>
    <w:rsid w:val="00D73A74"/>
    <w:rsid w:val="00D74D86"/>
    <w:rsid w:val="00D77CC1"/>
    <w:rsid w:val="00D86088"/>
    <w:rsid w:val="00D8677D"/>
    <w:rsid w:val="00D9014C"/>
    <w:rsid w:val="00D9039F"/>
    <w:rsid w:val="00D91DD2"/>
    <w:rsid w:val="00D9207B"/>
    <w:rsid w:val="00D93E8F"/>
    <w:rsid w:val="00D94AC5"/>
    <w:rsid w:val="00D9542E"/>
    <w:rsid w:val="00D957BF"/>
    <w:rsid w:val="00DA407D"/>
    <w:rsid w:val="00DA5C0A"/>
    <w:rsid w:val="00DA622F"/>
    <w:rsid w:val="00DA75CD"/>
    <w:rsid w:val="00DB06D6"/>
    <w:rsid w:val="00DB1C62"/>
    <w:rsid w:val="00DB2AB4"/>
    <w:rsid w:val="00DB3688"/>
    <w:rsid w:val="00DB6954"/>
    <w:rsid w:val="00DC3399"/>
    <w:rsid w:val="00DC60E1"/>
    <w:rsid w:val="00DC6A42"/>
    <w:rsid w:val="00DC7EAC"/>
    <w:rsid w:val="00DD2C69"/>
    <w:rsid w:val="00DD341A"/>
    <w:rsid w:val="00DD4985"/>
    <w:rsid w:val="00DD4A75"/>
    <w:rsid w:val="00DD624C"/>
    <w:rsid w:val="00DF1F84"/>
    <w:rsid w:val="00DF22ED"/>
    <w:rsid w:val="00DF2C09"/>
    <w:rsid w:val="00DF6537"/>
    <w:rsid w:val="00E04382"/>
    <w:rsid w:val="00E1092E"/>
    <w:rsid w:val="00E2025E"/>
    <w:rsid w:val="00E25726"/>
    <w:rsid w:val="00E323DC"/>
    <w:rsid w:val="00E41636"/>
    <w:rsid w:val="00E4167D"/>
    <w:rsid w:val="00E46453"/>
    <w:rsid w:val="00E46827"/>
    <w:rsid w:val="00E500E5"/>
    <w:rsid w:val="00E51689"/>
    <w:rsid w:val="00E53DC4"/>
    <w:rsid w:val="00E53EB5"/>
    <w:rsid w:val="00E57982"/>
    <w:rsid w:val="00E60F26"/>
    <w:rsid w:val="00E60F66"/>
    <w:rsid w:val="00E612EF"/>
    <w:rsid w:val="00E65AD9"/>
    <w:rsid w:val="00E7042F"/>
    <w:rsid w:val="00E72EA5"/>
    <w:rsid w:val="00E73E92"/>
    <w:rsid w:val="00E74199"/>
    <w:rsid w:val="00E77D5E"/>
    <w:rsid w:val="00E8051C"/>
    <w:rsid w:val="00E806AB"/>
    <w:rsid w:val="00E81015"/>
    <w:rsid w:val="00E82918"/>
    <w:rsid w:val="00E85A3B"/>
    <w:rsid w:val="00E90021"/>
    <w:rsid w:val="00E9162B"/>
    <w:rsid w:val="00E92226"/>
    <w:rsid w:val="00E93183"/>
    <w:rsid w:val="00E95BF4"/>
    <w:rsid w:val="00E97022"/>
    <w:rsid w:val="00EA466C"/>
    <w:rsid w:val="00EA6150"/>
    <w:rsid w:val="00EA689E"/>
    <w:rsid w:val="00EB0F75"/>
    <w:rsid w:val="00EB1C95"/>
    <w:rsid w:val="00EB218D"/>
    <w:rsid w:val="00EB6114"/>
    <w:rsid w:val="00EB71DB"/>
    <w:rsid w:val="00EC0F98"/>
    <w:rsid w:val="00EC55BA"/>
    <w:rsid w:val="00ED2114"/>
    <w:rsid w:val="00ED23A1"/>
    <w:rsid w:val="00ED301D"/>
    <w:rsid w:val="00ED3CB5"/>
    <w:rsid w:val="00ED65BC"/>
    <w:rsid w:val="00ED6C5A"/>
    <w:rsid w:val="00ED6D91"/>
    <w:rsid w:val="00EE16E3"/>
    <w:rsid w:val="00EE3E94"/>
    <w:rsid w:val="00EE3F77"/>
    <w:rsid w:val="00EE4311"/>
    <w:rsid w:val="00EE45D3"/>
    <w:rsid w:val="00EE54AA"/>
    <w:rsid w:val="00EE7E56"/>
    <w:rsid w:val="00EF0D15"/>
    <w:rsid w:val="00EF2F7D"/>
    <w:rsid w:val="00EF7142"/>
    <w:rsid w:val="00EF7AA8"/>
    <w:rsid w:val="00F002AE"/>
    <w:rsid w:val="00F00426"/>
    <w:rsid w:val="00F01D0C"/>
    <w:rsid w:val="00F05DFE"/>
    <w:rsid w:val="00F05F24"/>
    <w:rsid w:val="00F075DB"/>
    <w:rsid w:val="00F11395"/>
    <w:rsid w:val="00F14E18"/>
    <w:rsid w:val="00F20A19"/>
    <w:rsid w:val="00F211A3"/>
    <w:rsid w:val="00F257AC"/>
    <w:rsid w:val="00F30291"/>
    <w:rsid w:val="00F310FC"/>
    <w:rsid w:val="00F313A0"/>
    <w:rsid w:val="00F316CC"/>
    <w:rsid w:val="00F3578C"/>
    <w:rsid w:val="00F35CCB"/>
    <w:rsid w:val="00F35F78"/>
    <w:rsid w:val="00F401DA"/>
    <w:rsid w:val="00F407D6"/>
    <w:rsid w:val="00F4128B"/>
    <w:rsid w:val="00F419E2"/>
    <w:rsid w:val="00F41E68"/>
    <w:rsid w:val="00F43DFF"/>
    <w:rsid w:val="00F43F3D"/>
    <w:rsid w:val="00F45AF2"/>
    <w:rsid w:val="00F464AB"/>
    <w:rsid w:val="00F46A85"/>
    <w:rsid w:val="00F47117"/>
    <w:rsid w:val="00F473C4"/>
    <w:rsid w:val="00F52459"/>
    <w:rsid w:val="00F53016"/>
    <w:rsid w:val="00F53AC3"/>
    <w:rsid w:val="00F545FC"/>
    <w:rsid w:val="00F549EF"/>
    <w:rsid w:val="00F5508A"/>
    <w:rsid w:val="00F55CB1"/>
    <w:rsid w:val="00F57A8C"/>
    <w:rsid w:val="00F600C1"/>
    <w:rsid w:val="00F622AD"/>
    <w:rsid w:val="00F64C6F"/>
    <w:rsid w:val="00F64F26"/>
    <w:rsid w:val="00F65D12"/>
    <w:rsid w:val="00F66570"/>
    <w:rsid w:val="00F66B8E"/>
    <w:rsid w:val="00F701A0"/>
    <w:rsid w:val="00F71668"/>
    <w:rsid w:val="00F729C2"/>
    <w:rsid w:val="00F75ABE"/>
    <w:rsid w:val="00F76E8F"/>
    <w:rsid w:val="00F84435"/>
    <w:rsid w:val="00F87B60"/>
    <w:rsid w:val="00F92EF1"/>
    <w:rsid w:val="00F93931"/>
    <w:rsid w:val="00F9466B"/>
    <w:rsid w:val="00F95D8F"/>
    <w:rsid w:val="00F9625A"/>
    <w:rsid w:val="00FA3429"/>
    <w:rsid w:val="00FA3BF4"/>
    <w:rsid w:val="00FA5F03"/>
    <w:rsid w:val="00FB1E85"/>
    <w:rsid w:val="00FB2035"/>
    <w:rsid w:val="00FB3E8E"/>
    <w:rsid w:val="00FB62F8"/>
    <w:rsid w:val="00FC18E6"/>
    <w:rsid w:val="00FC230E"/>
    <w:rsid w:val="00FC2612"/>
    <w:rsid w:val="00FC311B"/>
    <w:rsid w:val="00FC374E"/>
    <w:rsid w:val="00FC72A4"/>
    <w:rsid w:val="00FD1435"/>
    <w:rsid w:val="00FD3DF2"/>
    <w:rsid w:val="00FD4203"/>
    <w:rsid w:val="00FD65A2"/>
    <w:rsid w:val="00FD6679"/>
    <w:rsid w:val="00FD6B9E"/>
    <w:rsid w:val="00FE0776"/>
    <w:rsid w:val="00FE1045"/>
    <w:rsid w:val="00FE1647"/>
    <w:rsid w:val="00FE1ECC"/>
    <w:rsid w:val="00FE2C1A"/>
    <w:rsid w:val="00FE341B"/>
    <w:rsid w:val="00FE6400"/>
    <w:rsid w:val="00FE7AD4"/>
    <w:rsid w:val="00FF5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C0E4C"/>
  <w15:docId w15:val="{05B645D0-F6B5-465E-97F9-9E726E1C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C18E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
    <w:name w:val="Picture caption_"/>
    <w:basedOn w:val="Domylnaczcionkaakapitu"/>
    <w:link w:val="Picturecaption0"/>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Domylnaczcionkaakapitu"/>
    <w:link w:val="Tekstpodstawowy2"/>
    <w:rPr>
      <w:rFonts w:ascii="Times New Roman" w:eastAsia="Times New Roman" w:hAnsi="Times New Roman" w:cs="Times New Roman"/>
      <w:b w:val="0"/>
      <w:bCs w:val="0"/>
      <w:i w:val="0"/>
      <w:iCs w:val="0"/>
      <w:smallCaps w:val="0"/>
      <w:strike w:val="0"/>
      <w:spacing w:val="0"/>
      <w:sz w:val="20"/>
      <w:szCs w:val="20"/>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Spacing0pt">
    <w:name w:val="Header or footer + 11;5 pt;Spacing 0 pt"/>
    <w:basedOn w:val="Headerorfooter"/>
    <w:rPr>
      <w:rFonts w:ascii="Times New Roman" w:eastAsia="Times New Roman" w:hAnsi="Times New Roman" w:cs="Times New Roman"/>
      <w:b w:val="0"/>
      <w:bCs w:val="0"/>
      <w:i w:val="0"/>
      <w:iCs w:val="0"/>
      <w:smallCaps w:val="0"/>
      <w:strike w:val="0"/>
      <w:spacing w:val="-10"/>
      <w:sz w:val="23"/>
      <w:szCs w:val="23"/>
    </w:rPr>
  </w:style>
  <w:style w:type="character" w:customStyle="1" w:styleId="Bodytext3">
    <w:name w:val="Body text (3)_"/>
    <w:basedOn w:val="Domylnaczcionkaakapitu"/>
    <w:link w:val="Bodytext30"/>
    <w:rPr>
      <w:rFonts w:ascii="Times New Roman" w:eastAsia="Times New Roman" w:hAnsi="Times New Roman" w:cs="Times New Roman"/>
      <w:b w:val="0"/>
      <w:bCs w:val="0"/>
      <w:i w:val="0"/>
      <w:iCs w:val="0"/>
      <w:smallCaps w:val="0"/>
      <w:strike w:val="0"/>
      <w:spacing w:val="0"/>
      <w:sz w:val="23"/>
      <w:szCs w:val="23"/>
    </w:rPr>
  </w:style>
  <w:style w:type="character" w:customStyle="1" w:styleId="Bodytext3Spacing3pt">
    <w:name w:val="Body text (3) + Spacing 3 pt"/>
    <w:basedOn w:val="Bodytext3"/>
    <w:rPr>
      <w:rFonts w:ascii="Times New Roman" w:eastAsia="Times New Roman" w:hAnsi="Times New Roman" w:cs="Times New Roman"/>
      <w:b w:val="0"/>
      <w:bCs w:val="0"/>
      <w:i w:val="0"/>
      <w:iCs w:val="0"/>
      <w:smallCaps w:val="0"/>
      <w:strike w:val="0"/>
      <w:spacing w:val="60"/>
      <w:sz w:val="23"/>
      <w:szCs w:val="23"/>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spacing w:val="40"/>
      <w:sz w:val="23"/>
      <w:szCs w:val="23"/>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pacing w:val="0"/>
      <w:sz w:val="20"/>
      <w:szCs w:val="20"/>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0"/>
      <w:szCs w:val="20"/>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spacing w:val="0"/>
      <w:sz w:val="18"/>
      <w:szCs w:val="18"/>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Tablecaption2">
    <w:name w:val="Table caption (2)_"/>
    <w:basedOn w:val="Domylnaczcionkaakapitu"/>
    <w:link w:val="Tablecaption20"/>
    <w:rPr>
      <w:rFonts w:ascii="Times New Roman" w:eastAsia="Times New Roman" w:hAnsi="Times New Roman" w:cs="Times New Roman"/>
      <w:b w:val="0"/>
      <w:bCs w:val="0"/>
      <w:i w:val="0"/>
      <w:iCs w:val="0"/>
      <w:smallCaps w:val="0"/>
      <w:strike w:val="0"/>
      <w:spacing w:val="0"/>
      <w:sz w:val="20"/>
      <w:szCs w:val="20"/>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Tablecaption">
    <w:name w:val="Table caption_"/>
    <w:basedOn w:val="Domylnaczcionkaakapitu"/>
    <w:link w:val="Tablecaption0"/>
    <w:rPr>
      <w:rFonts w:ascii="Times New Roman" w:eastAsia="Times New Roman" w:hAnsi="Times New Roman" w:cs="Times New Roman"/>
      <w:b w:val="0"/>
      <w:bCs w:val="0"/>
      <w:i w:val="0"/>
      <w:iCs w:val="0"/>
      <w:smallCaps w:val="0"/>
      <w:strike w:val="0"/>
      <w:spacing w:val="0"/>
      <w:sz w:val="18"/>
      <w:szCs w:val="18"/>
    </w:rPr>
  </w:style>
  <w:style w:type="character" w:customStyle="1" w:styleId="Tablecaption10ptNotBold">
    <w:name w:val="Table caption + 10 pt;Not Bold"/>
    <w:basedOn w:val="Tablecaption"/>
    <w:rPr>
      <w:rFonts w:ascii="Times New Roman" w:eastAsia="Times New Roman" w:hAnsi="Times New Roman" w:cs="Times New Roman"/>
      <w:b/>
      <w:bCs/>
      <w:i w:val="0"/>
      <w:iCs w:val="0"/>
      <w:smallCaps w:val="0"/>
      <w:strike w:val="0"/>
      <w:spacing w:val="0"/>
      <w:sz w:val="20"/>
      <w:szCs w:val="20"/>
      <w:u w:val="single"/>
    </w:rPr>
  </w:style>
  <w:style w:type="character" w:customStyle="1" w:styleId="Tablecaption10ptNotBold0">
    <w:name w:val="Table caption + 10 pt;Not Bold"/>
    <w:basedOn w:val="Tablecaption"/>
    <w:rPr>
      <w:rFonts w:ascii="Times New Roman" w:eastAsia="Times New Roman" w:hAnsi="Times New Roman" w:cs="Times New Roman"/>
      <w:b/>
      <w:bCs/>
      <w:i w:val="0"/>
      <w:iCs w:val="0"/>
      <w:smallCaps w:val="0"/>
      <w:strike w:val="0"/>
      <w:spacing w:val="0"/>
      <w:sz w:val="20"/>
      <w:szCs w:val="20"/>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spacing w:val="0"/>
      <w:sz w:val="19"/>
      <w:szCs w:val="19"/>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spacing w:val="0"/>
      <w:sz w:val="19"/>
      <w:szCs w:val="19"/>
    </w:rPr>
  </w:style>
  <w:style w:type="character" w:customStyle="1" w:styleId="Bodytext5Spacing1pt">
    <w:name w:val="Body text (5) + Spacing 1 pt"/>
    <w:basedOn w:val="Bodytext5"/>
    <w:rPr>
      <w:rFonts w:ascii="Times New Roman" w:eastAsia="Times New Roman" w:hAnsi="Times New Roman" w:cs="Times New Roman"/>
      <w:b w:val="0"/>
      <w:bCs w:val="0"/>
      <w:i w:val="0"/>
      <w:iCs w:val="0"/>
      <w:smallCaps w:val="0"/>
      <w:strike w:val="0"/>
      <w:spacing w:val="30"/>
      <w:sz w:val="19"/>
      <w:szCs w:val="19"/>
    </w:rPr>
  </w:style>
  <w:style w:type="character" w:customStyle="1" w:styleId="Bodytext510pt">
    <w:name w:val="Body text (5) + 10 pt"/>
    <w:basedOn w:val="Bodytext5"/>
    <w:rPr>
      <w:rFonts w:ascii="Times New Roman" w:eastAsia="Times New Roman" w:hAnsi="Times New Roman" w:cs="Times New Roman"/>
      <w:b w:val="0"/>
      <w:bCs w:val="0"/>
      <w:i w:val="0"/>
      <w:iCs w:val="0"/>
      <w:smallCaps w:val="0"/>
      <w:strike w:val="0"/>
      <w:spacing w:val="0"/>
      <w:sz w:val="20"/>
      <w:szCs w:val="20"/>
    </w:rPr>
  </w:style>
  <w:style w:type="character" w:customStyle="1" w:styleId="Bodytext695ptNotBold">
    <w:name w:val="Body text (6) + 9;5 pt;Not Bold"/>
    <w:basedOn w:val="Bodytext6"/>
    <w:rPr>
      <w:rFonts w:ascii="Times New Roman" w:eastAsia="Times New Roman" w:hAnsi="Times New Roman" w:cs="Times New Roman"/>
      <w:b/>
      <w:bCs/>
      <w:i w:val="0"/>
      <w:iCs w:val="0"/>
      <w:smallCaps w:val="0"/>
      <w:strike w:val="0"/>
      <w:spacing w:val="0"/>
      <w:sz w:val="19"/>
      <w:szCs w:val="19"/>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0"/>
      <w:sz w:val="16"/>
      <w:szCs w:val="16"/>
    </w:rPr>
  </w:style>
  <w:style w:type="character" w:customStyle="1" w:styleId="Bodytext11">
    <w:name w:val="Body text (11)_"/>
    <w:basedOn w:val="Domylnaczcionkaakapitu"/>
    <w:link w:val="Bodytext110"/>
    <w:rPr>
      <w:rFonts w:ascii="Times New Roman" w:eastAsia="Times New Roman" w:hAnsi="Times New Roman" w:cs="Times New Roman"/>
      <w:b w:val="0"/>
      <w:bCs w:val="0"/>
      <w:i w:val="0"/>
      <w:iCs w:val="0"/>
      <w:smallCaps w:val="0"/>
      <w:strike w:val="0"/>
      <w:spacing w:val="0"/>
      <w:sz w:val="19"/>
      <w:szCs w:val="19"/>
    </w:rPr>
  </w:style>
  <w:style w:type="character" w:customStyle="1" w:styleId="Tablecaption3">
    <w:name w:val="Table caption (3)_"/>
    <w:basedOn w:val="Domylnaczcionkaakapitu"/>
    <w:link w:val="Tablecaption30"/>
    <w:rPr>
      <w:rFonts w:ascii="Times New Roman" w:eastAsia="Times New Roman" w:hAnsi="Times New Roman" w:cs="Times New Roman"/>
      <w:b w:val="0"/>
      <w:bCs w:val="0"/>
      <w:i w:val="0"/>
      <w:iCs w:val="0"/>
      <w:smallCaps w:val="0"/>
      <w:strike w:val="0"/>
      <w:spacing w:val="0"/>
      <w:sz w:val="19"/>
      <w:szCs w:val="19"/>
    </w:rPr>
  </w:style>
  <w:style w:type="character" w:customStyle="1" w:styleId="Bodytext8">
    <w:name w:val="Body text (8)_"/>
    <w:basedOn w:val="Domylnaczcionkaakapitu"/>
    <w:link w:val="Bodytext80"/>
    <w:rPr>
      <w:rFonts w:ascii="Times New Roman" w:eastAsia="Times New Roman" w:hAnsi="Times New Roman" w:cs="Times New Roman"/>
      <w:b w:val="0"/>
      <w:bCs w:val="0"/>
      <w:i w:val="0"/>
      <w:iCs w:val="0"/>
      <w:smallCaps w:val="0"/>
      <w:strike w:val="0"/>
      <w:spacing w:val="0"/>
      <w:sz w:val="18"/>
      <w:szCs w:val="18"/>
    </w:rPr>
  </w:style>
  <w:style w:type="character" w:customStyle="1" w:styleId="Bodytext810ptNotBold">
    <w:name w:val="Body text (8) + 10 pt;Not Bold"/>
    <w:basedOn w:val="Bodytext8"/>
    <w:rPr>
      <w:rFonts w:ascii="Times New Roman" w:eastAsia="Times New Roman" w:hAnsi="Times New Roman" w:cs="Times New Roman"/>
      <w:b/>
      <w:bCs/>
      <w:i w:val="0"/>
      <w:iCs w:val="0"/>
      <w:smallCaps w:val="0"/>
      <w:strike w:val="0"/>
      <w:spacing w:val="0"/>
      <w:sz w:val="20"/>
      <w:szCs w:val="20"/>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Bodytext10">
    <w:name w:val="Body text (10)_"/>
    <w:basedOn w:val="Domylnaczcionkaakapitu"/>
    <w:link w:val="Bodytext100"/>
    <w:rPr>
      <w:rFonts w:ascii="Times New Roman" w:eastAsia="Times New Roman" w:hAnsi="Times New Roman" w:cs="Times New Roman"/>
      <w:b w:val="0"/>
      <w:bCs w:val="0"/>
      <w:i w:val="0"/>
      <w:iCs w:val="0"/>
      <w:smallCaps w:val="0"/>
      <w:strike w:val="0"/>
      <w:spacing w:val="0"/>
      <w:sz w:val="22"/>
      <w:szCs w:val="22"/>
    </w:rPr>
  </w:style>
  <w:style w:type="character" w:customStyle="1" w:styleId="Bodytext9">
    <w:name w:val="Body text (9)_"/>
    <w:basedOn w:val="Domylnaczcionkaakapitu"/>
    <w:link w:val="Bodytext90"/>
    <w:rPr>
      <w:rFonts w:ascii="Tahoma" w:eastAsia="Tahoma" w:hAnsi="Tahoma" w:cs="Tahoma"/>
      <w:b w:val="0"/>
      <w:bCs w:val="0"/>
      <w:i w:val="0"/>
      <w:iCs w:val="0"/>
      <w:smallCaps w:val="0"/>
      <w:strike w:val="0"/>
      <w:spacing w:val="0"/>
      <w:sz w:val="18"/>
      <w:szCs w:val="18"/>
    </w:rPr>
  </w:style>
  <w:style w:type="character" w:customStyle="1" w:styleId="Bodytext6Spacing1pt">
    <w:name w:val="Body text (6) + Spacing 1 pt"/>
    <w:basedOn w:val="Bodytext6"/>
    <w:rPr>
      <w:rFonts w:ascii="Times New Roman" w:eastAsia="Times New Roman" w:hAnsi="Times New Roman" w:cs="Times New Roman"/>
      <w:b w:val="0"/>
      <w:bCs w:val="0"/>
      <w:i w:val="0"/>
      <w:iCs w:val="0"/>
      <w:smallCaps w:val="0"/>
      <w:strike w:val="0"/>
      <w:spacing w:val="30"/>
      <w:sz w:val="18"/>
      <w:szCs w:val="18"/>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spacing w:val="40"/>
      <w:sz w:val="20"/>
      <w:szCs w:val="20"/>
    </w:rPr>
  </w:style>
  <w:style w:type="character" w:customStyle="1" w:styleId="Bodytext6Spacing1pt0">
    <w:name w:val="Body text (6) + Spacing 1 pt"/>
    <w:basedOn w:val="Bodytext6"/>
    <w:rPr>
      <w:rFonts w:ascii="Times New Roman" w:eastAsia="Times New Roman" w:hAnsi="Times New Roman" w:cs="Times New Roman"/>
      <w:b w:val="0"/>
      <w:bCs w:val="0"/>
      <w:i w:val="0"/>
      <w:iCs w:val="0"/>
      <w:smallCaps w:val="0"/>
      <w:strike w:val="0"/>
      <w:spacing w:val="30"/>
      <w:sz w:val="18"/>
      <w:szCs w:val="18"/>
    </w:rPr>
  </w:style>
  <w:style w:type="character" w:customStyle="1" w:styleId="Bodytext610ptNotBold">
    <w:name w:val="Body text (6) + 10 pt;Not Bold"/>
    <w:basedOn w:val="Bodytext6"/>
    <w:rPr>
      <w:rFonts w:ascii="Times New Roman" w:eastAsia="Times New Roman" w:hAnsi="Times New Roman" w:cs="Times New Roman"/>
      <w:b/>
      <w:bCs/>
      <w:i w:val="0"/>
      <w:iCs w:val="0"/>
      <w:smallCaps w:val="0"/>
      <w:strike w:val="0"/>
      <w:spacing w:val="0"/>
      <w:sz w:val="20"/>
      <w:szCs w:val="20"/>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spacing w:val="0"/>
      <w:sz w:val="18"/>
      <w:szCs w:val="18"/>
    </w:rPr>
  </w:style>
  <w:style w:type="character" w:customStyle="1" w:styleId="Bodytext9ptBold">
    <w:name w:val="Body text + 9 pt;Bold"/>
    <w:basedOn w:val="Bodytext"/>
    <w:rPr>
      <w:rFonts w:ascii="Times New Roman" w:eastAsia="Times New Roman" w:hAnsi="Times New Roman" w:cs="Times New Roman"/>
      <w:b/>
      <w:bCs/>
      <w:i w:val="0"/>
      <w:iCs w:val="0"/>
      <w:smallCaps w:val="0"/>
      <w:strike w:val="0"/>
      <w:spacing w:val="0"/>
      <w:sz w:val="18"/>
      <w:szCs w:val="18"/>
    </w:rPr>
  </w:style>
  <w:style w:type="paragraph" w:customStyle="1" w:styleId="Footnote0">
    <w:name w:val="Footnote"/>
    <w:basedOn w:val="Normalny"/>
    <w:link w:val="Footnote"/>
    <w:pPr>
      <w:shd w:val="clear" w:color="auto" w:fill="FFFFFF"/>
      <w:spacing w:line="230" w:lineRule="exact"/>
      <w:ind w:hanging="300"/>
      <w:jc w:val="both"/>
    </w:pPr>
    <w:rPr>
      <w:rFonts w:ascii="Times New Roman" w:eastAsia="Times New Roman" w:hAnsi="Times New Roman" w:cs="Times New Roman"/>
      <w:sz w:val="19"/>
      <w:szCs w:val="19"/>
    </w:rPr>
  </w:style>
  <w:style w:type="paragraph" w:customStyle="1" w:styleId="Picturecaption0">
    <w:name w:val="Picture caption"/>
    <w:basedOn w:val="Normalny"/>
    <w:link w:val="Picturecaption"/>
    <w:pPr>
      <w:shd w:val="clear" w:color="auto" w:fill="FFFFFF"/>
      <w:spacing w:line="528" w:lineRule="exact"/>
    </w:pPr>
    <w:rPr>
      <w:rFonts w:ascii="Times New Roman" w:eastAsia="Times New Roman" w:hAnsi="Times New Roman" w:cs="Times New Roman"/>
      <w:sz w:val="23"/>
      <w:szCs w:val="23"/>
    </w:rPr>
  </w:style>
  <w:style w:type="paragraph" w:customStyle="1" w:styleId="Tekstpodstawowy2">
    <w:name w:val="Tekst podstawowy2"/>
    <w:basedOn w:val="Normalny"/>
    <w:link w:val="Bodytext"/>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after="180" w:line="0" w:lineRule="atLeast"/>
      <w:jc w:val="right"/>
    </w:pPr>
    <w:rPr>
      <w:rFonts w:ascii="Times New Roman" w:eastAsia="Times New Roman" w:hAnsi="Times New Roman" w:cs="Times New Roman"/>
      <w:sz w:val="23"/>
      <w:szCs w:val="23"/>
    </w:rPr>
  </w:style>
  <w:style w:type="paragraph" w:customStyle="1" w:styleId="Headerorfooter0">
    <w:name w:val="Header or footer"/>
    <w:basedOn w:val="Normalny"/>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ny"/>
    <w:link w:val="Bodytext3"/>
    <w:pPr>
      <w:shd w:val="clear" w:color="auto" w:fill="FFFFFF"/>
      <w:spacing w:before="180" w:line="504" w:lineRule="exact"/>
      <w:jc w:val="center"/>
    </w:pPr>
    <w:rPr>
      <w:rFonts w:ascii="Times New Roman" w:eastAsia="Times New Roman" w:hAnsi="Times New Roman" w:cs="Times New Roman"/>
      <w:b/>
      <w:bCs/>
      <w:sz w:val="23"/>
      <w:szCs w:val="23"/>
    </w:rPr>
  </w:style>
  <w:style w:type="paragraph" w:customStyle="1" w:styleId="Heading10">
    <w:name w:val="Heading #1"/>
    <w:basedOn w:val="Normalny"/>
    <w:link w:val="Heading1"/>
    <w:pPr>
      <w:shd w:val="clear" w:color="auto" w:fill="FFFFFF"/>
      <w:spacing w:after="300" w:line="0" w:lineRule="atLeast"/>
      <w:outlineLvl w:val="0"/>
    </w:pPr>
    <w:rPr>
      <w:rFonts w:ascii="Times New Roman" w:eastAsia="Times New Roman" w:hAnsi="Times New Roman" w:cs="Times New Roman"/>
      <w:b/>
      <w:bCs/>
      <w:sz w:val="23"/>
      <w:szCs w:val="23"/>
    </w:rPr>
  </w:style>
  <w:style w:type="paragraph" w:customStyle="1" w:styleId="Bodytext40">
    <w:name w:val="Body text (4)"/>
    <w:basedOn w:val="Normalny"/>
    <w:link w:val="Bodytext4"/>
    <w:pPr>
      <w:shd w:val="clear" w:color="auto" w:fill="FFFFFF"/>
      <w:spacing w:after="60" w:line="0" w:lineRule="atLeast"/>
    </w:pPr>
    <w:rPr>
      <w:rFonts w:ascii="Times New Roman" w:eastAsia="Times New Roman" w:hAnsi="Times New Roman" w:cs="Times New Roman"/>
      <w:b/>
      <w:bCs/>
      <w:sz w:val="20"/>
      <w:szCs w:val="20"/>
    </w:rPr>
  </w:style>
  <w:style w:type="paragraph" w:customStyle="1" w:styleId="Bodytext60">
    <w:name w:val="Body text (6)"/>
    <w:basedOn w:val="Normalny"/>
    <w:link w:val="Bodytext6"/>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20">
    <w:name w:val="Table caption (2)"/>
    <w:basedOn w:val="Normalny"/>
    <w:link w:val="Tablecaption2"/>
    <w:pPr>
      <w:shd w:val="clear" w:color="auto" w:fill="FFFFFF"/>
      <w:spacing w:line="254" w:lineRule="exact"/>
      <w:jc w:val="both"/>
    </w:pPr>
    <w:rPr>
      <w:rFonts w:ascii="Times New Roman" w:eastAsia="Times New Roman" w:hAnsi="Times New Roman" w:cs="Times New Roman"/>
      <w:sz w:val="20"/>
      <w:szCs w:val="20"/>
    </w:rPr>
  </w:style>
  <w:style w:type="paragraph" w:customStyle="1" w:styleId="Tablecaption0">
    <w:name w:val="Table caption"/>
    <w:basedOn w:val="Normalny"/>
    <w:link w:val="Tablecaption"/>
    <w:pPr>
      <w:shd w:val="clear" w:color="auto" w:fill="FFFFFF"/>
      <w:spacing w:line="283" w:lineRule="exact"/>
    </w:pPr>
    <w:rPr>
      <w:rFonts w:ascii="Times New Roman" w:eastAsia="Times New Roman" w:hAnsi="Times New Roman" w:cs="Times New Roman"/>
      <w:b/>
      <w:bCs/>
      <w:sz w:val="18"/>
      <w:szCs w:val="18"/>
    </w:rPr>
  </w:style>
  <w:style w:type="paragraph" w:customStyle="1" w:styleId="Bodytext50">
    <w:name w:val="Body text (5)"/>
    <w:basedOn w:val="Normalny"/>
    <w:link w:val="Bodytext5"/>
    <w:pPr>
      <w:shd w:val="clear" w:color="auto" w:fill="FFFFFF"/>
      <w:spacing w:line="0" w:lineRule="atLeast"/>
    </w:pPr>
    <w:rPr>
      <w:rFonts w:ascii="Times New Roman" w:eastAsia="Times New Roman" w:hAnsi="Times New Roman" w:cs="Times New Roman"/>
      <w:sz w:val="19"/>
      <w:szCs w:val="19"/>
    </w:rPr>
  </w:style>
  <w:style w:type="paragraph" w:customStyle="1" w:styleId="Bodytext70">
    <w:name w:val="Body text (7)"/>
    <w:basedOn w:val="Normalny"/>
    <w:link w:val="Bodytext7"/>
    <w:pPr>
      <w:shd w:val="clear" w:color="auto" w:fill="FFFFFF"/>
      <w:spacing w:line="0" w:lineRule="atLeast"/>
    </w:pPr>
    <w:rPr>
      <w:rFonts w:ascii="Times New Roman" w:eastAsia="Times New Roman" w:hAnsi="Times New Roman" w:cs="Times New Roman"/>
      <w:i/>
      <w:iCs/>
      <w:sz w:val="16"/>
      <w:szCs w:val="16"/>
    </w:rPr>
  </w:style>
  <w:style w:type="paragraph" w:customStyle="1" w:styleId="Bodytext110">
    <w:name w:val="Body text (11)"/>
    <w:basedOn w:val="Normalny"/>
    <w:link w:val="Bodytext11"/>
    <w:pPr>
      <w:shd w:val="clear" w:color="auto" w:fill="FFFFFF"/>
      <w:spacing w:after="120" w:line="0" w:lineRule="atLeast"/>
    </w:pPr>
    <w:rPr>
      <w:rFonts w:ascii="Times New Roman" w:eastAsia="Times New Roman" w:hAnsi="Times New Roman" w:cs="Times New Roman"/>
      <w:sz w:val="19"/>
      <w:szCs w:val="19"/>
    </w:rPr>
  </w:style>
  <w:style w:type="paragraph" w:customStyle="1" w:styleId="Tablecaption30">
    <w:name w:val="Table caption (3)"/>
    <w:basedOn w:val="Normalny"/>
    <w:link w:val="Tablecaption3"/>
    <w:pPr>
      <w:shd w:val="clear" w:color="auto" w:fill="FFFFFF"/>
      <w:spacing w:line="0" w:lineRule="atLeast"/>
    </w:pPr>
    <w:rPr>
      <w:rFonts w:ascii="Times New Roman" w:eastAsia="Times New Roman" w:hAnsi="Times New Roman" w:cs="Times New Roman"/>
      <w:sz w:val="19"/>
      <w:szCs w:val="19"/>
    </w:rPr>
  </w:style>
  <w:style w:type="paragraph" w:customStyle="1" w:styleId="Bodytext80">
    <w:name w:val="Body text (8)"/>
    <w:basedOn w:val="Normalny"/>
    <w:link w:val="Bodytext8"/>
    <w:pPr>
      <w:shd w:val="clear" w:color="auto" w:fill="FFFFFF"/>
      <w:spacing w:line="0" w:lineRule="atLeast"/>
    </w:pPr>
    <w:rPr>
      <w:rFonts w:ascii="Times New Roman" w:eastAsia="Times New Roman" w:hAnsi="Times New Roman" w:cs="Times New Roman"/>
      <w:b/>
      <w:bCs/>
      <w:sz w:val="18"/>
      <w:szCs w:val="18"/>
    </w:rPr>
  </w:style>
  <w:style w:type="paragraph" w:customStyle="1" w:styleId="Bodytext100">
    <w:name w:val="Body text (10)"/>
    <w:basedOn w:val="Normalny"/>
    <w:link w:val="Bodytext10"/>
    <w:pPr>
      <w:shd w:val="clear" w:color="auto" w:fill="FFFFFF"/>
      <w:spacing w:line="254" w:lineRule="exact"/>
      <w:jc w:val="center"/>
    </w:pPr>
    <w:rPr>
      <w:rFonts w:ascii="Times New Roman" w:eastAsia="Times New Roman" w:hAnsi="Times New Roman" w:cs="Times New Roman"/>
      <w:i/>
      <w:iCs/>
      <w:sz w:val="22"/>
      <w:szCs w:val="22"/>
    </w:rPr>
  </w:style>
  <w:style w:type="paragraph" w:customStyle="1" w:styleId="Bodytext90">
    <w:name w:val="Body text (9)"/>
    <w:basedOn w:val="Normalny"/>
    <w:link w:val="Bodytext9"/>
    <w:pPr>
      <w:shd w:val="clear" w:color="auto" w:fill="FFFFFF"/>
      <w:spacing w:line="0" w:lineRule="atLeast"/>
      <w:jc w:val="both"/>
    </w:pPr>
    <w:rPr>
      <w:rFonts w:ascii="Tahoma" w:eastAsia="Tahoma" w:hAnsi="Tahoma" w:cs="Tahoma"/>
      <w:b/>
      <w:bCs/>
      <w:sz w:val="18"/>
      <w:szCs w:val="18"/>
    </w:rPr>
  </w:style>
  <w:style w:type="paragraph" w:styleId="Akapitzlist">
    <w:name w:val="List Paragraph"/>
    <w:basedOn w:val="Normalny"/>
    <w:uiPriority w:val="34"/>
    <w:qFormat/>
    <w:rsid w:val="00C70560"/>
    <w:pPr>
      <w:ind w:left="720"/>
      <w:contextualSpacing/>
    </w:pPr>
  </w:style>
  <w:style w:type="paragraph" w:styleId="Tekstprzypisudolnego">
    <w:name w:val="footnote text"/>
    <w:basedOn w:val="Normalny"/>
    <w:link w:val="TekstprzypisudolnegoZnak"/>
    <w:uiPriority w:val="99"/>
    <w:semiHidden/>
    <w:unhideWhenUsed/>
    <w:rsid w:val="00B4726D"/>
    <w:rPr>
      <w:sz w:val="20"/>
      <w:szCs w:val="20"/>
    </w:rPr>
  </w:style>
  <w:style w:type="character" w:customStyle="1" w:styleId="TekstprzypisudolnegoZnak">
    <w:name w:val="Tekst przypisu dolnego Znak"/>
    <w:basedOn w:val="Domylnaczcionkaakapitu"/>
    <w:link w:val="Tekstprzypisudolnego"/>
    <w:uiPriority w:val="99"/>
    <w:semiHidden/>
    <w:rsid w:val="00B4726D"/>
    <w:rPr>
      <w:color w:val="000000"/>
      <w:sz w:val="20"/>
      <w:szCs w:val="20"/>
    </w:rPr>
  </w:style>
  <w:style w:type="character" w:styleId="Odwoanieprzypisudolnego">
    <w:name w:val="footnote reference"/>
    <w:basedOn w:val="Domylnaczcionkaakapitu"/>
    <w:uiPriority w:val="99"/>
    <w:unhideWhenUsed/>
    <w:rsid w:val="00B4726D"/>
    <w:rPr>
      <w:vertAlign w:val="superscript"/>
    </w:rPr>
  </w:style>
  <w:style w:type="paragraph" w:customStyle="1" w:styleId="Normalny1">
    <w:name w:val="Normalny1"/>
    <w:basedOn w:val="Normalny"/>
    <w:rsid w:val="004242D6"/>
    <w:pPr>
      <w:spacing w:before="100" w:beforeAutospacing="1" w:after="100" w:afterAutospacing="1" w:line="259" w:lineRule="auto"/>
    </w:pPr>
    <w:rPr>
      <w:rFonts w:ascii="Times New Roman" w:eastAsia="Times New Roman" w:hAnsi="Times New Roman" w:cs="Times New Roman"/>
      <w:color w:val="auto"/>
      <w:lang w:val="pl-PL"/>
    </w:rPr>
  </w:style>
  <w:style w:type="paragraph" w:styleId="NormalnyWeb">
    <w:name w:val="Normal (Web)"/>
    <w:basedOn w:val="Normalny"/>
    <w:uiPriority w:val="99"/>
    <w:unhideWhenUsed/>
    <w:rsid w:val="004242D6"/>
    <w:pPr>
      <w:spacing w:before="100" w:beforeAutospacing="1" w:after="100" w:afterAutospacing="1" w:line="259" w:lineRule="auto"/>
    </w:pPr>
    <w:rPr>
      <w:rFonts w:ascii="Times New Roman" w:eastAsia="Times New Roman" w:hAnsi="Times New Roman" w:cs="Times New Roman"/>
      <w:color w:val="auto"/>
      <w:lang w:val="pl-PL"/>
    </w:rPr>
  </w:style>
  <w:style w:type="paragraph" w:customStyle="1" w:styleId="CM4">
    <w:name w:val="CM4"/>
    <w:basedOn w:val="Normalny"/>
    <w:next w:val="Normalny"/>
    <w:uiPriority w:val="99"/>
    <w:rsid w:val="004242D6"/>
    <w:pPr>
      <w:autoSpaceDE w:val="0"/>
      <w:autoSpaceDN w:val="0"/>
      <w:adjustRightInd w:val="0"/>
    </w:pPr>
    <w:rPr>
      <w:rFonts w:ascii="Times New Roman" w:eastAsiaTheme="minorHAnsi" w:hAnsi="Times New Roman" w:cs="Times New Roman"/>
      <w:color w:val="auto"/>
      <w:lang w:val="pl-PL" w:eastAsia="en-US"/>
    </w:rPr>
  </w:style>
  <w:style w:type="character" w:styleId="Odwoaniedokomentarza">
    <w:name w:val="annotation reference"/>
    <w:basedOn w:val="Domylnaczcionkaakapitu"/>
    <w:uiPriority w:val="99"/>
    <w:semiHidden/>
    <w:unhideWhenUsed/>
    <w:rsid w:val="00B033EC"/>
    <w:rPr>
      <w:sz w:val="16"/>
      <w:szCs w:val="16"/>
    </w:rPr>
  </w:style>
  <w:style w:type="paragraph" w:styleId="Tekstkomentarza">
    <w:name w:val="annotation text"/>
    <w:basedOn w:val="Normalny"/>
    <w:link w:val="TekstkomentarzaZnak"/>
    <w:uiPriority w:val="99"/>
    <w:unhideWhenUsed/>
    <w:rsid w:val="00B033EC"/>
    <w:rPr>
      <w:sz w:val="20"/>
      <w:szCs w:val="20"/>
    </w:rPr>
  </w:style>
  <w:style w:type="character" w:customStyle="1" w:styleId="TekstkomentarzaZnak">
    <w:name w:val="Tekst komentarza Znak"/>
    <w:basedOn w:val="Domylnaczcionkaakapitu"/>
    <w:link w:val="Tekstkomentarza"/>
    <w:uiPriority w:val="99"/>
    <w:rsid w:val="00B033E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033EC"/>
    <w:rPr>
      <w:b/>
      <w:bCs/>
    </w:rPr>
  </w:style>
  <w:style w:type="character" w:customStyle="1" w:styleId="TematkomentarzaZnak">
    <w:name w:val="Temat komentarza Znak"/>
    <w:basedOn w:val="TekstkomentarzaZnak"/>
    <w:link w:val="Tematkomentarza"/>
    <w:uiPriority w:val="99"/>
    <w:semiHidden/>
    <w:rsid w:val="00B033EC"/>
    <w:rPr>
      <w:b/>
      <w:bCs/>
      <w:color w:val="000000"/>
      <w:sz w:val="20"/>
      <w:szCs w:val="20"/>
    </w:rPr>
  </w:style>
  <w:style w:type="paragraph" w:styleId="Tekstdymka">
    <w:name w:val="Balloon Text"/>
    <w:basedOn w:val="Normalny"/>
    <w:link w:val="TekstdymkaZnak"/>
    <w:uiPriority w:val="99"/>
    <w:semiHidden/>
    <w:unhideWhenUsed/>
    <w:rsid w:val="00B033EC"/>
    <w:rPr>
      <w:rFonts w:ascii="Tahoma" w:hAnsi="Tahoma" w:cs="Tahoma"/>
      <w:sz w:val="16"/>
      <w:szCs w:val="16"/>
    </w:rPr>
  </w:style>
  <w:style w:type="character" w:customStyle="1" w:styleId="TekstdymkaZnak">
    <w:name w:val="Tekst dymka Znak"/>
    <w:basedOn w:val="Domylnaczcionkaakapitu"/>
    <w:link w:val="Tekstdymka"/>
    <w:uiPriority w:val="99"/>
    <w:semiHidden/>
    <w:rsid w:val="00B033EC"/>
    <w:rPr>
      <w:rFonts w:ascii="Tahoma" w:hAnsi="Tahoma" w:cs="Tahoma"/>
      <w:color w:val="000000"/>
      <w:sz w:val="16"/>
      <w:szCs w:val="16"/>
    </w:rPr>
  </w:style>
  <w:style w:type="paragraph" w:customStyle="1" w:styleId="TableContents">
    <w:name w:val="Table Contents"/>
    <w:basedOn w:val="Normalny"/>
    <w:rsid w:val="00BA4C57"/>
    <w:pPr>
      <w:widowControl w:val="0"/>
      <w:suppressLineNumbers/>
      <w:suppressAutoHyphens/>
      <w:autoSpaceDN w:val="0"/>
      <w:textAlignment w:val="baseline"/>
    </w:pPr>
    <w:rPr>
      <w:rFonts w:ascii="Times New Roman" w:eastAsia="Andale Sans UI" w:hAnsi="Times New Roman" w:cs="Tahoma"/>
      <w:color w:val="auto"/>
      <w:kern w:val="3"/>
      <w:lang w:val="en-US" w:eastAsia="en-US" w:bidi="en-US"/>
    </w:rPr>
  </w:style>
  <w:style w:type="paragraph" w:styleId="Poprawka">
    <w:name w:val="Revision"/>
    <w:hidden/>
    <w:uiPriority w:val="99"/>
    <w:semiHidden/>
    <w:rsid w:val="00EE3E94"/>
    <w:rPr>
      <w:color w:val="000000"/>
    </w:rPr>
  </w:style>
  <w:style w:type="paragraph" w:styleId="Nagwek">
    <w:name w:val="header"/>
    <w:basedOn w:val="Normalny"/>
    <w:link w:val="NagwekZnak"/>
    <w:uiPriority w:val="99"/>
    <w:unhideWhenUsed/>
    <w:rsid w:val="005912C8"/>
    <w:pPr>
      <w:tabs>
        <w:tab w:val="center" w:pos="4536"/>
        <w:tab w:val="right" w:pos="9072"/>
      </w:tabs>
    </w:pPr>
  </w:style>
  <w:style w:type="character" w:customStyle="1" w:styleId="NagwekZnak">
    <w:name w:val="Nagłówek Znak"/>
    <w:basedOn w:val="Domylnaczcionkaakapitu"/>
    <w:link w:val="Nagwek"/>
    <w:uiPriority w:val="99"/>
    <w:rsid w:val="005912C8"/>
    <w:rPr>
      <w:color w:val="000000"/>
    </w:rPr>
  </w:style>
  <w:style w:type="paragraph" w:styleId="Stopka">
    <w:name w:val="footer"/>
    <w:basedOn w:val="Normalny"/>
    <w:link w:val="StopkaZnak"/>
    <w:uiPriority w:val="99"/>
    <w:unhideWhenUsed/>
    <w:rsid w:val="005912C8"/>
    <w:pPr>
      <w:tabs>
        <w:tab w:val="center" w:pos="4536"/>
        <w:tab w:val="right" w:pos="9072"/>
      </w:tabs>
    </w:pPr>
  </w:style>
  <w:style w:type="character" w:customStyle="1" w:styleId="StopkaZnak">
    <w:name w:val="Stopka Znak"/>
    <w:basedOn w:val="Domylnaczcionkaakapitu"/>
    <w:link w:val="Stopka"/>
    <w:uiPriority w:val="99"/>
    <w:rsid w:val="005912C8"/>
    <w:rPr>
      <w:color w:val="000000"/>
    </w:rPr>
  </w:style>
  <w:style w:type="paragraph" w:customStyle="1" w:styleId="TekstpismaMF">
    <w:name w:val="Tekst pisma MF"/>
    <w:qFormat/>
    <w:rsid w:val="00CB7710"/>
    <w:pPr>
      <w:spacing w:before="240" w:line="260" w:lineRule="exact"/>
      <w:contextualSpacing/>
    </w:pPr>
    <w:rPr>
      <w:rFonts w:ascii="Lato" w:eastAsiaTheme="minorHAnsi" w:hAnsi="Lato"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89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6829-E88B-41AA-ACC6-86DC9750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7286</Words>
  <Characters>43722</Characters>
  <Application>Microsoft Office Word</Application>
  <DocSecurity>4</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Cheda Mariusz</dc:creator>
  <cp:lastModifiedBy>Pietrzak Ewa</cp:lastModifiedBy>
  <cp:revision>2</cp:revision>
  <cp:lastPrinted>2023-01-03T10:04:00Z</cp:lastPrinted>
  <dcterms:created xsi:type="dcterms:W3CDTF">2024-03-14T13:54:00Z</dcterms:created>
  <dcterms:modified xsi:type="dcterms:W3CDTF">2024-03-14T13:54:00Z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UxC4dwLulzfINJ8nQH+xvX5LNGipWa4BRSZhPgxsCvnr1dZp8TutgGXvlbFFhJBfOpvlV7Yd0gjdPVjzVTxCew==</vt:lpwstr>
  </property>
  <property fmtid="{D5CDD505-2E9C-101B-9397-08002B2CF9AE}" pid="4" name="MFClassificationDate">
    <vt:lpwstr>2022-01-14T15:52:24.0160625+01:00</vt:lpwstr>
  </property>
  <property fmtid="{D5CDD505-2E9C-101B-9397-08002B2CF9AE}" pid="5" name="MFClassifiedBySID">
    <vt:lpwstr>UxC4dwLulzfINJ8nQH+xvX5LNGipWa4BRSZhPgxsCvm42mrIC/DSDv0ggS+FjUN/2v1BBotkLlY5aAiEhoi6uVqDz8b3NGDPLexDMSse9UeQJy4CsJqFE3T62N1ptpg5</vt:lpwstr>
  </property>
  <property fmtid="{D5CDD505-2E9C-101B-9397-08002B2CF9AE}" pid="6" name="MFGRNItemId">
    <vt:lpwstr>GRN-c57f1c1c-eea4-4ccc-a262-5fe7bb31b813</vt:lpwstr>
  </property>
  <property fmtid="{D5CDD505-2E9C-101B-9397-08002B2CF9AE}" pid="7" name="MFHash">
    <vt:lpwstr>5vG+Z6t9zU/MQ9Lf5Z1yJTXsezENnLm4XdJVt2f3MzI=</vt:lpwstr>
  </property>
  <property fmtid="{D5CDD505-2E9C-101B-9397-08002B2CF9AE}" pid="8" name="DLPManualFileClassification">
    <vt:lpwstr>{5fdfc941-3fcf-4a5b-87be-4848800d39d0}</vt:lpwstr>
  </property>
  <property fmtid="{D5CDD505-2E9C-101B-9397-08002B2CF9AE}" pid="9" name="MFRefresh">
    <vt:lpwstr>False</vt:lpwstr>
  </property>
</Properties>
</file>