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5FCE" w14:textId="77777777" w:rsidR="00D0310B" w:rsidRPr="008F3601" w:rsidRDefault="00EA7EE5" w:rsidP="008F3601">
      <w:pPr>
        <w:spacing w:before="120"/>
        <w:jc w:val="center"/>
      </w:pPr>
      <w:r w:rsidRPr="008F3601">
        <w:rPr>
          <w:rFonts w:eastAsiaTheme="minorHAnsi"/>
          <w:caps/>
          <w:lang w:eastAsia="en-US"/>
        </w:rPr>
        <w:t>Uzasadnienie</w:t>
      </w:r>
    </w:p>
    <w:p w14:paraId="7A313A7E" w14:textId="356841CC" w:rsidR="005374BD" w:rsidRPr="005374BD" w:rsidRDefault="005374BD" w:rsidP="006D273B">
      <w:pPr>
        <w:spacing w:before="120"/>
        <w:jc w:val="both"/>
        <w:rPr>
          <w:b/>
          <w:bCs/>
        </w:rPr>
      </w:pPr>
      <w:r w:rsidRPr="005374BD">
        <w:rPr>
          <w:b/>
          <w:bCs/>
        </w:rPr>
        <w:t>I. Cel i istota projektu</w:t>
      </w:r>
    </w:p>
    <w:p w14:paraId="1312D1E8" w14:textId="2714B918" w:rsidR="00C27103" w:rsidRDefault="00EA7EE5" w:rsidP="006D273B">
      <w:pPr>
        <w:spacing w:before="120"/>
        <w:jc w:val="both"/>
      </w:pPr>
      <w:r w:rsidRPr="0064049F">
        <w:t>Niniejszy projekt ustawy</w:t>
      </w:r>
      <w:r>
        <w:t xml:space="preserve"> </w:t>
      </w:r>
      <w:r w:rsidRPr="00EA7EE5">
        <w:t xml:space="preserve">ma na celu wprowadzenie czasowego podatku od nadzwyczajnych zysków (tzw. </w:t>
      </w:r>
      <w:r w:rsidRPr="008F3601">
        <w:rPr>
          <w:i/>
          <w:iCs/>
        </w:rPr>
        <w:t>windfall tax</w:t>
      </w:r>
      <w:r w:rsidRPr="00EA7EE5">
        <w:t>) osiągniętych w</w:t>
      </w:r>
      <w:r w:rsidR="00FE23B4">
        <w:t xml:space="preserve"> okresie marzec–grudzień</w:t>
      </w:r>
      <w:r w:rsidRPr="00EA7EE5">
        <w:t xml:space="preserve"> 2026 r. przez przedsiębiorców prowadzących działalność w</w:t>
      </w:r>
      <w:r>
        <w:t xml:space="preserve"> </w:t>
      </w:r>
      <w:r w:rsidR="00FE23B4">
        <w:t xml:space="preserve">zakresie wytwarzania </w:t>
      </w:r>
      <w:r w:rsidR="00366B13">
        <w:t>oraz</w:t>
      </w:r>
      <w:r w:rsidR="00FE23B4">
        <w:t xml:space="preserve"> obrotu paliwami </w:t>
      </w:r>
      <w:r w:rsidR="00792F77">
        <w:rPr>
          <w:rFonts w:eastAsia="Times New Roman" w:cs="Times New Roman"/>
          <w:szCs w:val="24"/>
        </w:rPr>
        <w:t>na podstawie koncesji na obrót paliwami ciekłymi z zagranicą</w:t>
      </w:r>
      <w:r w:rsidR="002078D1">
        <w:rPr>
          <w:rFonts w:eastAsia="Times New Roman" w:cs="Times New Roman"/>
          <w:szCs w:val="24"/>
        </w:rPr>
        <w:t>.</w:t>
      </w:r>
      <w:r w:rsidR="006D273B">
        <w:t xml:space="preserve"> </w:t>
      </w:r>
      <w:r w:rsidR="006D273B" w:rsidRPr="006D273B">
        <w:t>Projektowana regulacja stanowi odpowiedź na wyjątkowe uwarunkowania gospodarcze oraz geopolityczne, które doprowadziły do powstania ponadprzeciętnych wyników finansowych w określonym segmencie sektora paliwowego, niewynikających z poprawy efektywności operacyjnej, ponoszenia zwiększonego ryzyka gospodarczego</w:t>
      </w:r>
      <w:r w:rsidR="006D273B">
        <w:t xml:space="preserve"> czy też </w:t>
      </w:r>
      <w:r w:rsidR="006D273B" w:rsidRPr="006D273B">
        <w:t>realizacji dodatkowych inwestycji</w:t>
      </w:r>
      <w:r w:rsidR="006D273B">
        <w:t xml:space="preserve">, </w:t>
      </w:r>
      <w:r w:rsidR="006D273B" w:rsidRPr="006D273B">
        <w:t>lecz stanowiących skutek szoku podażowego.</w:t>
      </w:r>
    </w:p>
    <w:p w14:paraId="294271D7" w14:textId="1EA44F41" w:rsidR="005374BD" w:rsidRPr="005374BD" w:rsidRDefault="005374BD" w:rsidP="006D273B">
      <w:pPr>
        <w:spacing w:before="120"/>
        <w:jc w:val="both"/>
        <w:rPr>
          <w:b/>
          <w:bCs/>
        </w:rPr>
      </w:pPr>
      <w:r w:rsidRPr="005374BD">
        <w:rPr>
          <w:b/>
          <w:bCs/>
        </w:rPr>
        <w:t xml:space="preserve">II. Kontekst wprowadzenia </w:t>
      </w:r>
      <w:r w:rsidR="005264BA">
        <w:rPr>
          <w:b/>
          <w:bCs/>
        </w:rPr>
        <w:t>regulacji i jej uzasadnienie aksjologiczno-społeczne</w:t>
      </w:r>
    </w:p>
    <w:p w14:paraId="586BEC47" w14:textId="33415B48" w:rsidR="006D273B" w:rsidRDefault="006D273B" w:rsidP="006D273B">
      <w:pPr>
        <w:spacing w:before="120"/>
        <w:jc w:val="both"/>
      </w:pPr>
      <w:r w:rsidRPr="006D273B">
        <w:t xml:space="preserve">Bezpośrednim impulsem do podjęcia inicjatywy legislacyjnej była gwałtowna destabilizacja światowych rynków energii w pierwszym kwartale 2026 r., związana z eskalacją konfliktu zbrojnego w regionie Bliskiego Wschodu oraz istotnymi zakłóceniami w funkcjonowaniu kluczowych szlaków transportowych ropy naftowej. </w:t>
      </w:r>
      <w:r w:rsidR="00DB5EB0" w:rsidRPr="00DB5EB0">
        <w:t>Eskalacja działań militarnych w regionie Zatoki Perskiej doprowadziła do faktycznej blokady Cieśniny Ormuz – strategicznego przesmyku, przez który przepływa blisko 20% światowej podaży ropy naftowej. Nagłe i</w:t>
      </w:r>
      <w:r w:rsidR="00B85531">
        <w:t> </w:t>
      </w:r>
      <w:r w:rsidR="00DB5EB0" w:rsidRPr="00DB5EB0">
        <w:t xml:space="preserve">drastyczne ograniczenie podaży surowca wywołało silną </w:t>
      </w:r>
      <w:r w:rsidR="00B00B7B">
        <w:t xml:space="preserve">reakcję </w:t>
      </w:r>
      <w:r w:rsidR="00DB5EB0" w:rsidRPr="00DB5EB0">
        <w:t xml:space="preserve">na rynkach towarowych: cena ropy gatunku Brent wzrosła z poziomu ok. 65 USD za baryłkę w styczniu 2026 r. do szczytowych 126 USD za baryłkę w marcu 2026 r. </w:t>
      </w:r>
    </w:p>
    <w:p w14:paraId="16C6AC71" w14:textId="4385C89D" w:rsidR="006D273B" w:rsidRDefault="006D273B" w:rsidP="006D273B">
      <w:pPr>
        <w:spacing w:before="120"/>
        <w:jc w:val="both"/>
      </w:pPr>
      <w:r w:rsidRPr="006D273B">
        <w:t>Zdarzenia te spowodowały skokowy wzrost cen surowca na rynkach światowych, a</w:t>
      </w:r>
      <w:r w:rsidR="005575DC">
        <w:t> </w:t>
      </w:r>
      <w:r w:rsidRPr="006D273B">
        <w:t>jednocześnie – co ma zasadnicze znaczenie z perspektywy projektowanej regulacji – nadzwyczajne zwiększenie marż</w:t>
      </w:r>
      <w:r w:rsidR="004231DD">
        <w:t xml:space="preserve"> handlowych</w:t>
      </w:r>
      <w:r w:rsidRPr="006D273B">
        <w:t xml:space="preserve"> na rynkach europejskich, w tym na rynku krajowym</w:t>
      </w:r>
      <w:r w:rsidR="00DB5EB0">
        <w:t xml:space="preserve">, </w:t>
      </w:r>
      <w:r w:rsidR="00DB5EB0" w:rsidRPr="00DB5EB0">
        <w:t>wielokrotnie przekraczając historyczne średnie.</w:t>
      </w:r>
    </w:p>
    <w:p w14:paraId="3FDD11D5" w14:textId="610DA648" w:rsidR="00DB5EB0" w:rsidRDefault="00DB5EB0" w:rsidP="006D273B">
      <w:pPr>
        <w:spacing w:before="120"/>
        <w:jc w:val="both"/>
      </w:pPr>
      <w:r w:rsidRPr="000B72EF">
        <w:rPr>
          <w:shd w:val="clear" w:color="auto" w:fill="FFFFFF" w:themeFill="background1"/>
        </w:rPr>
        <w:t xml:space="preserve">W tym samym czasie polscy konsumenci </w:t>
      </w:r>
      <w:r w:rsidR="00AD4987">
        <w:rPr>
          <w:shd w:val="clear" w:color="auto" w:fill="FFFFFF" w:themeFill="background1"/>
        </w:rPr>
        <w:t xml:space="preserve">i przedsiębiorcy </w:t>
      </w:r>
      <w:r w:rsidRPr="000B72EF">
        <w:rPr>
          <w:shd w:val="clear" w:color="auto" w:fill="FFFFFF" w:themeFill="background1"/>
        </w:rPr>
        <w:t>zmagali się z</w:t>
      </w:r>
      <w:r w:rsidR="00110B6C">
        <w:rPr>
          <w:shd w:val="clear" w:color="auto" w:fill="FFFFFF" w:themeFill="background1"/>
        </w:rPr>
        <w:t>e</w:t>
      </w:r>
      <w:r w:rsidRPr="000B72EF">
        <w:rPr>
          <w:shd w:val="clear" w:color="auto" w:fill="FFFFFF" w:themeFill="background1"/>
        </w:rPr>
        <w:t xml:space="preserve"> wzrostem cen paliw na stacjach</w:t>
      </w:r>
      <w:r w:rsidR="002F429F" w:rsidRPr="000B72EF">
        <w:rPr>
          <w:shd w:val="clear" w:color="auto" w:fill="FFFFFF" w:themeFill="background1"/>
        </w:rPr>
        <w:t>.</w:t>
      </w:r>
      <w:r w:rsidR="002F429F">
        <w:t xml:space="preserve"> </w:t>
      </w:r>
      <w:r w:rsidRPr="00DB5EB0">
        <w:t>Wysokie ceny energii uderzyły w sektor transportowy, przemysł oraz gospodarstwa domowe. Obciążenia te dotknęły w nieproporcjonalnie większym stopniu podmioty o niższych dochodach, pogłębiając ryzyko wykluczenia energetycznego.</w:t>
      </w:r>
      <w:r w:rsidR="002F429F" w:rsidRPr="002F429F">
        <w:t xml:space="preserve"> Z jednej strony</w:t>
      </w:r>
      <w:r w:rsidR="00B85531">
        <w:t xml:space="preserve"> zatem</w:t>
      </w:r>
      <w:r w:rsidR="002F429F" w:rsidRPr="002F429F">
        <w:t xml:space="preserve"> gospodarstwa domowe, przedsiębiorstwa energochłonne oraz sektor transportu poniosły koszty w</w:t>
      </w:r>
      <w:r w:rsidR="00B85531">
        <w:t>ynikające z</w:t>
      </w:r>
      <w:r w:rsidR="002F429F" w:rsidRPr="002F429F">
        <w:t xml:space="preserve"> gwałtownego wzrostu cen paliw, co przełożyło się na presję inflacyjną oraz pogorszenie warunków prowadzenia działalności gospodarczej. Z drugiej strony część </w:t>
      </w:r>
      <w:r w:rsidR="002F429F" w:rsidRPr="002F429F">
        <w:lastRenderedPageBreak/>
        <w:t xml:space="preserve">podmiotów </w:t>
      </w:r>
      <w:r w:rsidR="004231DD">
        <w:t>branży paliwowej</w:t>
      </w:r>
      <w:r w:rsidR="002F429F" w:rsidRPr="002F429F">
        <w:t xml:space="preserve"> osiągnęła rekordowe wyniki finansowe, których skala znacząco przekroczyła średnie historyczne poziomy rentowności.</w:t>
      </w:r>
    </w:p>
    <w:p w14:paraId="72E2B18F" w14:textId="35DD2842" w:rsidR="005A4499" w:rsidRDefault="005A4499" w:rsidP="006D273B">
      <w:pPr>
        <w:spacing w:before="120"/>
        <w:jc w:val="both"/>
      </w:pPr>
      <w:r>
        <w:t>W odpowiedzi na wzrost cen paliw uruchomiono szereg doraźnych mechanizmów fiskalnych. Działania te obejm</w:t>
      </w:r>
      <w:r w:rsidR="00352304">
        <w:t>owały</w:t>
      </w:r>
      <w:r>
        <w:t xml:space="preserve"> </w:t>
      </w:r>
      <w:r w:rsidR="009D0D01">
        <w:t>obniżenie</w:t>
      </w:r>
      <w:r>
        <w:t xml:space="preserve"> stawk</w:t>
      </w:r>
      <w:r w:rsidR="009D0D01">
        <w:t>i podatku</w:t>
      </w:r>
      <w:r>
        <w:t xml:space="preserve"> VAT na benzynę i olej napędowy do poziomu </w:t>
      </w:r>
      <w:r w:rsidR="003E18F4">
        <w:t>8</w:t>
      </w:r>
      <w:r>
        <w:t>%</w:t>
      </w:r>
      <w:r w:rsidR="00352304">
        <w:t xml:space="preserve"> oraz</w:t>
      </w:r>
      <w:r>
        <w:t xml:space="preserve"> </w:t>
      </w:r>
      <w:r w:rsidR="009D0D01">
        <w:t>redukcję</w:t>
      </w:r>
      <w:r>
        <w:t xml:space="preserve"> akcyz</w:t>
      </w:r>
      <w:r w:rsidR="009D0D01">
        <w:t>y</w:t>
      </w:r>
      <w:r>
        <w:t xml:space="preserve"> na paliwa silnikowe do </w:t>
      </w:r>
      <w:r w:rsidR="003E18F4" w:rsidRPr="003E18F4">
        <w:t xml:space="preserve">najniższego poziomu dopuszczonego przez </w:t>
      </w:r>
      <w:r w:rsidR="00BB2CAC">
        <w:t>regulacje unijne</w:t>
      </w:r>
      <w:r w:rsidR="009D0D01">
        <w:t>. Ponadto</w:t>
      </w:r>
      <w:r w:rsidR="00C3314F">
        <w:t>, w</w:t>
      </w:r>
      <w:r w:rsidR="005575DC">
        <w:t> </w:t>
      </w:r>
      <w:r w:rsidR="00C3314F">
        <w:t>celu ochrony konsumentów przed nieuczciwymi praktykami rynkowymi i spekulacjami na etapie sprzedaży detalicznej,</w:t>
      </w:r>
      <w:r w:rsidR="009D0D01">
        <w:t xml:space="preserve"> w ramach dostępnych</w:t>
      </w:r>
      <w:r w:rsidR="00C3314F">
        <w:t xml:space="preserve"> instrumentów interwencji rynkowej</w:t>
      </w:r>
      <w:r>
        <w:t xml:space="preserve"> wprowadzono maksymalne ceny detaliczne paliw, których stosowanie stało się obowiązkiem koncesjonowanych sprzedawców.</w:t>
      </w:r>
    </w:p>
    <w:p w14:paraId="04556148" w14:textId="6A23109F" w:rsidR="00C3314F" w:rsidRDefault="00635DDB" w:rsidP="00C3314F">
      <w:pPr>
        <w:spacing w:before="120"/>
        <w:jc w:val="both"/>
      </w:pPr>
      <w:r w:rsidRPr="00635DDB">
        <w:t xml:space="preserve">Koszt fiskalny tych działań w ciągu 3 miesięcy od wprowadzania CPN spowodował ubytek dochodów budżetu państwa szacowany na ok. 4,8 mld zł. </w:t>
      </w:r>
      <w:r w:rsidR="00C3314F">
        <w:t>Instrumenty te, choć niezbędne dla doraźnej ochrony konsumentów</w:t>
      </w:r>
      <w:r w:rsidR="00AD4987">
        <w:t xml:space="preserve"> i przedsiębiorców, w szczególności małych i średnich</w:t>
      </w:r>
      <w:r w:rsidR="00C3314F">
        <w:t xml:space="preserve">, nie rozwiązują podstawowej nierównowagi: ciężar wsparcia cenowego ponosi budżet państwa, a więc </w:t>
      </w:r>
      <w:r w:rsidR="00C3314F" w:rsidRPr="00510A80">
        <w:rPr>
          <w:i/>
          <w:iCs/>
        </w:rPr>
        <w:t>de facto</w:t>
      </w:r>
      <w:r w:rsidR="00C3314F">
        <w:t xml:space="preserve"> ogół podatników, podczas gdy beneficjentem nadzwyczajnych marż pozostaj</w:t>
      </w:r>
      <w:r w:rsidR="00052C8D">
        <w:t>ą przedsiębiorstwa paliwowe</w:t>
      </w:r>
      <w:r w:rsidR="00C3314F">
        <w:t xml:space="preserve">. </w:t>
      </w:r>
    </w:p>
    <w:p w14:paraId="7567BAE3" w14:textId="63B10CD1" w:rsidR="005A4499" w:rsidRDefault="00C3314F" w:rsidP="006D273B">
      <w:pPr>
        <w:spacing w:before="120"/>
        <w:jc w:val="both"/>
      </w:pPr>
      <w:r w:rsidRPr="00C3314F">
        <w:t>Podatek od nadzwyczajnych zysków koryguje tę asymetrię, pozwalając odzyskać część środków, które w normalnych warunkach rynkowych</w:t>
      </w:r>
      <w:r w:rsidR="00AD4987">
        <w:t xml:space="preserve"> (braku nadzwyczajnej sytuacji związanej z konfliktem na Bliskim Wschodzie) </w:t>
      </w:r>
      <w:r w:rsidRPr="00C3314F">
        <w:t xml:space="preserve">nie trafiłyby do przedsiębiorstw </w:t>
      </w:r>
      <w:r w:rsidR="00366B13">
        <w:t>sektora paliwowego</w:t>
      </w:r>
      <w:r w:rsidR="00326A19">
        <w:t>. Środki te</w:t>
      </w:r>
      <w:r w:rsidR="009E1C4F">
        <w:t>,</w:t>
      </w:r>
      <w:r w:rsidR="00326A19">
        <w:t xml:space="preserve"> zasilając budżet państwa</w:t>
      </w:r>
      <w:r w:rsidR="009E1C4F">
        <w:t>,</w:t>
      </w:r>
      <w:r w:rsidR="00326A19">
        <w:t xml:space="preserve"> pozwolą zrównoważyć ubytek we wpływach w podatku VAT i podatku akcyzowym związany z podjętymi działaniami </w:t>
      </w:r>
      <w:r w:rsidRPr="00C3314F">
        <w:t>osłonowy</w:t>
      </w:r>
      <w:r w:rsidR="00326A19">
        <w:t>mi</w:t>
      </w:r>
      <w:r w:rsidRPr="00C3314F">
        <w:t>.</w:t>
      </w:r>
      <w:r>
        <w:t xml:space="preserve"> Należy więc uznać, że proponowana danina </w:t>
      </w:r>
      <w:r w:rsidR="00AD4987">
        <w:t xml:space="preserve">– w aspekcie funkcjonalnym </w:t>
      </w:r>
      <w:r w:rsidR="006A35B6">
        <w:t>–</w:t>
      </w:r>
      <w:r w:rsidR="00AD4987">
        <w:t xml:space="preserve"> </w:t>
      </w:r>
      <w:r>
        <w:t>stanowi dopełnienie uprzednio podjętych działań osłonowych</w:t>
      </w:r>
      <w:r w:rsidR="00E72D93">
        <w:t>;</w:t>
      </w:r>
      <w:r w:rsidR="005A4499">
        <w:t xml:space="preserve"> podczas gdy obniżki podatków pośrednich i ceny maksymalne chronią budżety domowe przy dystrybutorach, wpływy z nowej daniny zapewniają </w:t>
      </w:r>
      <w:r w:rsidR="00E72D93">
        <w:t>niezbędne</w:t>
      </w:r>
      <w:r w:rsidR="005A4499">
        <w:t xml:space="preserve"> źródło finansowania dla opisanych wyżej programów wsparcia.</w:t>
      </w:r>
    </w:p>
    <w:p w14:paraId="080EC4C1" w14:textId="1A45A703" w:rsidR="009D336D" w:rsidRDefault="00BA566A" w:rsidP="006D273B">
      <w:pPr>
        <w:spacing w:before="120"/>
        <w:jc w:val="both"/>
      </w:pPr>
      <w:r w:rsidRPr="00BA566A">
        <w:t>Projektowana ustawa zmierza</w:t>
      </w:r>
      <w:r w:rsidR="00352304">
        <w:t xml:space="preserve"> więc</w:t>
      </w:r>
      <w:r w:rsidRPr="00BA566A">
        <w:t xml:space="preserve"> do przywrócenia równowagi pomiędzy interesem publicznym a interesem prywatnym w warunkach nadzwyczajn</w:t>
      </w:r>
      <w:r>
        <w:t>ych zaburzeń rynkowych.</w:t>
      </w:r>
      <w:r w:rsidR="009D336D">
        <w:t xml:space="preserve"> Ustanowienie proponowanej daniny stanowi wyjście naprzeciw powinnościom wynikającym dla państwa z </w:t>
      </w:r>
      <w:r w:rsidR="002C029E">
        <w:t>konstytucyjnej</w:t>
      </w:r>
      <w:r w:rsidR="009D336D">
        <w:t xml:space="preserve"> zasady sprawiedliwości podatkowej. Zgodnie z</w:t>
      </w:r>
      <w:r w:rsidR="000B72EF">
        <w:t> </w:t>
      </w:r>
      <w:r w:rsidR="009D336D">
        <w:t>niniejsz</w:t>
      </w:r>
      <w:r w:rsidR="00352304">
        <w:t>ą</w:t>
      </w:r>
      <w:r w:rsidR="009D336D">
        <w:t xml:space="preserve"> normą, wywodzoną z art. 84 Konstytucji RP, </w:t>
      </w:r>
      <w:r w:rsidR="009D336D" w:rsidRPr="009D336D">
        <w:t xml:space="preserve">ciężary publiczne powinny być rozkładane w sposób uwzględniający realne zdolności płatnicze podmiotów gospodarczych oraz charakter uzyskiwanych </w:t>
      </w:r>
      <w:r w:rsidR="00FE23B4">
        <w:t>zysków</w:t>
      </w:r>
      <w:r w:rsidR="006532BE">
        <w:t xml:space="preserve">. W sytuacji gdy przychody danego sektora rosną nie wskutek jego wyższej produktywności czy innowacyjności, lecz </w:t>
      </w:r>
      <w:r w:rsidR="00352304">
        <w:t>stanowią konsekwencje</w:t>
      </w:r>
      <w:r w:rsidR="006532BE">
        <w:t xml:space="preserve"> zewnętrznych zaburzeń o charakterze geopolitycznym, dochody te nabierają charakteru renty ekonomicznej </w:t>
      </w:r>
      <w:r w:rsidR="006532BE">
        <w:lastRenderedPageBreak/>
        <w:t>– korzyści majątkowej, która w normalnych warunkach rynkowych by nie wystąpiła.</w:t>
      </w:r>
    </w:p>
    <w:p w14:paraId="69C56A7B" w14:textId="42D24D24" w:rsidR="005264BA" w:rsidRDefault="006532BE" w:rsidP="005264BA">
      <w:pPr>
        <w:spacing w:before="120"/>
        <w:jc w:val="both"/>
      </w:pPr>
      <w:r w:rsidRPr="00B72393">
        <w:t xml:space="preserve">Zjawisko osiągania zysków kosztem ogółu społeczeństwa w czasie konfliktu zbrojnego – określane w literaturze mianem </w:t>
      </w:r>
      <w:r w:rsidRPr="00B72393">
        <w:rPr>
          <w:i/>
          <w:iCs/>
        </w:rPr>
        <w:t>war profiteering</w:t>
      </w:r>
      <w:r w:rsidRPr="00B72393">
        <w:t xml:space="preserve"> – </w:t>
      </w:r>
      <w:r w:rsidR="00B72393" w:rsidRPr="00B72393">
        <w:t>jest wątpliwe w kontekście</w:t>
      </w:r>
      <w:r w:rsidRPr="00B72393">
        <w:t xml:space="preserve"> społeczny</w:t>
      </w:r>
      <w:r w:rsidR="00B72393" w:rsidRPr="00B72393">
        <w:t>m</w:t>
      </w:r>
      <w:r w:rsidRPr="00B72393">
        <w:t xml:space="preserve"> i</w:t>
      </w:r>
      <w:r w:rsidR="00B72393" w:rsidRPr="00B72393">
        <w:t> </w:t>
      </w:r>
      <w:r w:rsidRPr="00B72393">
        <w:t>moralny</w:t>
      </w:r>
      <w:r w:rsidR="00B72393" w:rsidRPr="00B72393">
        <w:t>m</w:t>
      </w:r>
      <w:r w:rsidR="00C575CC">
        <w:t>, przez co budzi uzasadnione zastrzeżenia w odbiorze opinii publicznej</w:t>
      </w:r>
      <w:r w:rsidRPr="00B72393">
        <w:t>.</w:t>
      </w:r>
      <w:r w:rsidRPr="006532BE">
        <w:t xml:space="preserve"> Podczas gdy obywatele oraz sektor MŚP ponos</w:t>
      </w:r>
      <w:r w:rsidR="00E87046">
        <w:t>zą</w:t>
      </w:r>
      <w:r w:rsidRPr="006532BE">
        <w:t xml:space="preserve"> ciężar wyższych cen paliw i</w:t>
      </w:r>
      <w:r w:rsidR="00B72393">
        <w:t> </w:t>
      </w:r>
      <w:r w:rsidRPr="006532BE">
        <w:t>energii, przedsiębiorstw</w:t>
      </w:r>
      <w:r w:rsidR="00366B13">
        <w:t xml:space="preserve">a branży rafineryjnej oraz sektora </w:t>
      </w:r>
      <w:r w:rsidR="00052C8D">
        <w:t>handlu</w:t>
      </w:r>
      <w:r w:rsidR="00366B13">
        <w:t xml:space="preserve"> paliwami</w:t>
      </w:r>
      <w:r w:rsidRPr="006532BE">
        <w:t xml:space="preserve"> </w:t>
      </w:r>
      <w:r w:rsidR="00E87046">
        <w:t>czerpią</w:t>
      </w:r>
      <w:r w:rsidRPr="006532BE">
        <w:t xml:space="preserve"> </w:t>
      </w:r>
      <w:r w:rsidR="00B72393">
        <w:t>istotne</w:t>
      </w:r>
      <w:r w:rsidRPr="006532BE">
        <w:t xml:space="preserve"> korzyści ze swojej infrastruktury i posiadanych zapasów. W takiej sytuacji interwencja ustawodawcy stanowi wyraz odpowiedzialności państwa za zachowanie spójności społecznej i stabilności gospodarczej. Jeśli państwo</w:t>
      </w:r>
      <w:r w:rsidR="00C87F7E">
        <w:t xml:space="preserve"> za sprawą podjętych działań osłonowych</w:t>
      </w:r>
      <w:r w:rsidRPr="006532BE">
        <w:t xml:space="preserve"> angażuje środki publiczne w stabilizację gospodarki</w:t>
      </w:r>
      <w:r w:rsidR="00E87046">
        <w:t xml:space="preserve"> oraz</w:t>
      </w:r>
      <w:r w:rsidRPr="006532BE">
        <w:t xml:space="preserve"> wsparcie</w:t>
      </w:r>
      <w:r w:rsidR="00E87046">
        <w:t xml:space="preserve"> obywateli</w:t>
      </w:r>
      <w:r w:rsidRPr="006532BE">
        <w:t xml:space="preserve"> w</w:t>
      </w:r>
      <w:r w:rsidR="000B72EF">
        <w:t> </w:t>
      </w:r>
      <w:r w:rsidRPr="006532BE">
        <w:t xml:space="preserve">czasie kryzysu, </w:t>
      </w:r>
      <w:r w:rsidR="00E87046" w:rsidRPr="00E87046">
        <w:t>względy słuszności</w:t>
      </w:r>
      <w:r w:rsidR="00E87046">
        <w:t xml:space="preserve"> oraz solidaryzmu społecznego</w:t>
      </w:r>
      <w:r w:rsidR="00E87046" w:rsidRPr="00E87046">
        <w:t xml:space="preserve"> nakazują, aby</w:t>
      </w:r>
      <w:r w:rsidRPr="006532BE">
        <w:t xml:space="preserve"> sektory </w:t>
      </w:r>
      <w:r>
        <w:t>będące ekonomicznymi beneficjentami</w:t>
      </w:r>
      <w:r w:rsidRPr="006532BE">
        <w:t xml:space="preserve"> </w:t>
      </w:r>
      <w:r w:rsidR="0076794C">
        <w:t xml:space="preserve">korzyści płynących z </w:t>
      </w:r>
      <w:r w:rsidR="00B72393">
        <w:t>obecnego</w:t>
      </w:r>
      <w:r w:rsidRPr="006532BE">
        <w:t xml:space="preserve"> kryzysu współuczestniczyły w kosztach</w:t>
      </w:r>
      <w:r w:rsidR="00052C8D">
        <w:t xml:space="preserve"> działań podjętych w celu złagodzenia jego ujemnych następstw</w:t>
      </w:r>
      <w:r w:rsidRPr="006532BE">
        <w:t>.</w:t>
      </w:r>
    </w:p>
    <w:p w14:paraId="739E2BB0" w14:textId="7F743905" w:rsidR="005374BD" w:rsidRDefault="00E87046" w:rsidP="00273677">
      <w:pPr>
        <w:spacing w:before="120"/>
        <w:jc w:val="both"/>
      </w:pPr>
      <w:r w:rsidRPr="00E87046">
        <w:t>Projektowana regulacja wpisuje się również w</w:t>
      </w:r>
      <w:r w:rsidR="00AD4987">
        <w:t xml:space="preserve"> dotychczasową</w:t>
      </w:r>
      <w:r w:rsidRPr="00E87046">
        <w:t xml:space="preserve"> praktykę międzynarodową. </w:t>
      </w:r>
      <w:r w:rsidR="00F04F20">
        <w:t>Podobne</w:t>
      </w:r>
      <w:r w:rsidRPr="00E87046">
        <w:t xml:space="preserve"> instrumenty były stosowane przez państwa członkowskie Unii Europejskiej w latach 2022–2023 w odpowiedzi na nadzwyczajne zyski sektora energetycznego, osiągane w</w:t>
      </w:r>
      <w:r w:rsidR="000B72EF">
        <w:t> </w:t>
      </w:r>
      <w:r w:rsidRPr="00E87046">
        <w:t xml:space="preserve">następstwie kryzysu wywołanego </w:t>
      </w:r>
      <w:r w:rsidR="00326A19">
        <w:t>napaścią</w:t>
      </w:r>
      <w:r w:rsidRPr="00E87046">
        <w:t xml:space="preserve"> Rosji na Ukrainę. Doświadczenia te potwierdzają, że czasowe opodatkowanie zysków nadzwyczajnych może stanowić skuteczne narzędzie stabilizacji społeczno-gospodarczej bez negatywnego wpływu na długoterminowe decyzje inwestycyjne przedsiębiorstw</w:t>
      </w:r>
      <w:r w:rsidR="00A3474D">
        <w:t>. Proponowane rozwiązanie stanowi logiczną kontynuację tej praktyki regulacyjnej, dostosowaną do specyfiki kryzysu bliskowschodniego z 2026 r.</w:t>
      </w:r>
      <w:r w:rsidR="00F04F20">
        <w:t xml:space="preserve"> </w:t>
      </w:r>
      <w:r w:rsidR="00A3474D">
        <w:t>Środki pozyskane w ramach rozliczenia podatku od nadzwyczajnych zysków zasilą budżet państwa i</w:t>
      </w:r>
      <w:r w:rsidR="000B72EF">
        <w:t> </w:t>
      </w:r>
      <w:r w:rsidR="00F04F20">
        <w:t xml:space="preserve">tym samym </w:t>
      </w:r>
      <w:r w:rsidR="00E902AC">
        <w:t xml:space="preserve">ułatwią </w:t>
      </w:r>
      <w:r w:rsidR="00F04F20">
        <w:t>prowadzenie</w:t>
      </w:r>
      <w:r w:rsidR="00A3474D">
        <w:t xml:space="preserve"> działań osłonowych</w:t>
      </w:r>
      <w:r w:rsidR="0076794C">
        <w:t xml:space="preserve"> istotnie obciążających budżet państwa</w:t>
      </w:r>
      <w:r w:rsidR="00F04F20">
        <w:t>.</w:t>
      </w:r>
      <w:r w:rsidR="008A078F">
        <w:t xml:space="preserve"> Należy więc uznać, iż</w:t>
      </w:r>
      <w:r w:rsidR="00F04F20">
        <w:t xml:space="preserve"> </w:t>
      </w:r>
      <w:r w:rsidR="008A078F">
        <w:t>p</w:t>
      </w:r>
      <w:r w:rsidR="00F04F20">
        <w:t xml:space="preserve">roponowana </w:t>
      </w:r>
      <w:r w:rsidR="00A3474D">
        <w:t>regulacja realizuje funkcję nie tylko fiskalną, lecz przede wszystkim redystrybucyjną i stabilizacyjną</w:t>
      </w:r>
      <w:r w:rsidR="00F04F20">
        <w:t xml:space="preserve">. </w:t>
      </w:r>
    </w:p>
    <w:p w14:paraId="2E5FC099" w14:textId="3AA5D353" w:rsidR="00A3474D" w:rsidRDefault="005374BD" w:rsidP="005374BD">
      <w:pPr>
        <w:spacing w:before="320" w:after="160"/>
        <w:rPr>
          <w:rFonts w:eastAsia="Times New Roman" w:cs="Times New Roman"/>
        </w:rPr>
      </w:pPr>
      <w:r>
        <w:rPr>
          <w:b/>
          <w:bCs/>
        </w:rPr>
        <w:t>III. Mechanizm opodatkowania</w:t>
      </w:r>
    </w:p>
    <w:p w14:paraId="21BBD211" w14:textId="35291EF2" w:rsidR="00A6569E" w:rsidRDefault="00A3474D" w:rsidP="00A3474D">
      <w:pPr>
        <w:spacing w:after="160"/>
        <w:jc w:val="both"/>
        <w:rPr>
          <w:rFonts w:eastAsia="Times New Roman" w:cs="Times New Roman"/>
        </w:rPr>
      </w:pPr>
      <w:r w:rsidRPr="00A3474D">
        <w:rPr>
          <w:rFonts w:eastAsia="Times New Roman" w:cs="Times New Roman"/>
        </w:rPr>
        <w:t xml:space="preserve">Kluczową cechą </w:t>
      </w:r>
      <w:r>
        <w:rPr>
          <w:rFonts w:eastAsia="Times New Roman" w:cs="Times New Roman"/>
        </w:rPr>
        <w:t>projektowanej daniny</w:t>
      </w:r>
      <w:r w:rsidR="00936A1B">
        <w:rPr>
          <w:rFonts w:eastAsia="Times New Roman" w:cs="Times New Roman"/>
        </w:rPr>
        <w:t xml:space="preserve"> o charakterze epizodycznym (obejmującej okres od 1</w:t>
      </w:r>
      <w:r w:rsidR="000B72EF">
        <w:rPr>
          <w:rFonts w:eastAsia="Times New Roman" w:cs="Times New Roman"/>
        </w:rPr>
        <w:t> </w:t>
      </w:r>
      <w:r w:rsidR="00936A1B">
        <w:rPr>
          <w:rFonts w:eastAsia="Times New Roman" w:cs="Times New Roman"/>
        </w:rPr>
        <w:t xml:space="preserve">marca do 31 grudnia </w:t>
      </w:r>
      <w:r w:rsidR="00792F77">
        <w:rPr>
          <w:rFonts w:eastAsia="Times New Roman" w:cs="Times New Roman"/>
        </w:rPr>
        <w:t>2026</w:t>
      </w:r>
      <w:r w:rsidR="00AB21C7">
        <w:rPr>
          <w:rFonts w:eastAsia="Times New Roman" w:cs="Times New Roman"/>
        </w:rPr>
        <w:t xml:space="preserve"> </w:t>
      </w:r>
      <w:r w:rsidR="00792F77">
        <w:rPr>
          <w:rFonts w:eastAsia="Times New Roman" w:cs="Times New Roman"/>
        </w:rPr>
        <w:t>r</w:t>
      </w:r>
      <w:r w:rsidR="00C87F7E">
        <w:rPr>
          <w:rFonts w:eastAsia="Times New Roman" w:cs="Times New Roman"/>
        </w:rPr>
        <w:t>.</w:t>
      </w:r>
      <w:r w:rsidR="00936A1B">
        <w:rPr>
          <w:rFonts w:eastAsia="Times New Roman" w:cs="Times New Roman"/>
        </w:rPr>
        <w:t>)</w:t>
      </w:r>
      <w:r>
        <w:rPr>
          <w:rFonts w:eastAsia="Times New Roman" w:cs="Times New Roman"/>
        </w:rPr>
        <w:t xml:space="preserve"> </w:t>
      </w:r>
      <w:r w:rsidRPr="00A3474D">
        <w:rPr>
          <w:rFonts w:eastAsia="Times New Roman" w:cs="Times New Roman"/>
        </w:rPr>
        <w:t>jest je</w:t>
      </w:r>
      <w:r>
        <w:rPr>
          <w:rFonts w:eastAsia="Times New Roman" w:cs="Times New Roman"/>
        </w:rPr>
        <w:t>j</w:t>
      </w:r>
      <w:r w:rsidRPr="00A3474D">
        <w:rPr>
          <w:rFonts w:eastAsia="Times New Roman" w:cs="Times New Roman"/>
        </w:rPr>
        <w:t xml:space="preserve"> precyzyjne ukierunkowanie wyłącznie na tę część zysków, która ma charakter nadzwyczajny – tj. przekracza marżę, jaką podatnik osiągałby w</w:t>
      </w:r>
      <w:r w:rsidR="00AD4987">
        <w:rPr>
          <w:rFonts w:eastAsia="Times New Roman" w:cs="Times New Roman"/>
        </w:rPr>
        <w:t> </w:t>
      </w:r>
      <w:r w:rsidRPr="00A3474D">
        <w:rPr>
          <w:rFonts w:eastAsia="Times New Roman" w:cs="Times New Roman"/>
        </w:rPr>
        <w:t>normalnych warunkach rynkowych. Podstawę opodatkowania stanowi</w:t>
      </w:r>
      <w:r w:rsidR="00936A1B">
        <w:rPr>
          <w:rFonts w:eastAsia="Times New Roman" w:cs="Times New Roman"/>
        </w:rPr>
        <w:t>ć będzie</w:t>
      </w:r>
      <w:r w:rsidRPr="00A3474D">
        <w:rPr>
          <w:rFonts w:eastAsia="Times New Roman" w:cs="Times New Roman"/>
        </w:rPr>
        <w:t xml:space="preserve"> nadwyżka przychodów faktycznie osiągniętych ponad przychody</w:t>
      </w:r>
      <w:r w:rsidR="00A21E41">
        <w:rPr>
          <w:rFonts w:eastAsia="Times New Roman" w:cs="Times New Roman"/>
        </w:rPr>
        <w:t xml:space="preserve"> hipotetyczne</w:t>
      </w:r>
      <w:r w:rsidRPr="00A3474D">
        <w:rPr>
          <w:rFonts w:eastAsia="Times New Roman" w:cs="Times New Roman"/>
        </w:rPr>
        <w:t xml:space="preserve">, które podatnik uzyskałby, gdyby stosował </w:t>
      </w:r>
      <w:r w:rsidR="00936A1B">
        <w:rPr>
          <w:rFonts w:eastAsia="Times New Roman" w:cs="Times New Roman"/>
        </w:rPr>
        <w:t xml:space="preserve">średnią </w:t>
      </w:r>
      <w:r w:rsidRPr="00A3474D">
        <w:rPr>
          <w:rFonts w:eastAsia="Times New Roman" w:cs="Times New Roman"/>
        </w:rPr>
        <w:t xml:space="preserve">marżę </w:t>
      </w:r>
      <w:r w:rsidR="00BB2CAC">
        <w:rPr>
          <w:rFonts w:eastAsia="Times New Roman" w:cs="Times New Roman"/>
        </w:rPr>
        <w:t>sprzedaży (ŚMS)</w:t>
      </w:r>
      <w:r w:rsidR="00AD4987">
        <w:rPr>
          <w:rFonts w:eastAsia="Times New Roman" w:cs="Times New Roman"/>
        </w:rPr>
        <w:t xml:space="preserve"> z roku 2025</w:t>
      </w:r>
      <w:r w:rsidR="00CD7FFE">
        <w:rPr>
          <w:rFonts w:eastAsia="Times New Roman" w:cs="Times New Roman"/>
        </w:rPr>
        <w:t>,</w:t>
      </w:r>
      <w:r w:rsidRPr="00A3474D">
        <w:rPr>
          <w:rFonts w:eastAsia="Times New Roman" w:cs="Times New Roman"/>
        </w:rPr>
        <w:t xml:space="preserve"> powiększoną o 20%. </w:t>
      </w:r>
    </w:p>
    <w:p w14:paraId="3D768E13" w14:textId="0B96562D" w:rsidR="00A6569E" w:rsidRDefault="00A6569E" w:rsidP="00A6569E">
      <w:pPr>
        <w:spacing w:after="160"/>
        <w:jc w:val="both"/>
        <w:rPr>
          <w:rFonts w:eastAsia="Times New Roman" w:cs="Times New Roman"/>
        </w:rPr>
      </w:pPr>
      <w:r w:rsidRPr="00635DDB">
        <w:rPr>
          <w:rFonts w:eastAsia="Times New Roman" w:cs="Times New Roman"/>
        </w:rPr>
        <w:lastRenderedPageBreak/>
        <w:t>Przychody hipotetyczne to kategoria wyliczona na bazie marży z roku 2025, jednak przy uwzględnieniu rzeczywistej (aktualnej) wysokości kosztów ponoszonych przez podatnika. W konsekwencji wzrost czy też spadek ich wysokości między okresem opodatkowania a rokiem referencyjnym pozostaje neutralny dla przyjętej formuły obliczenia podstawy opodatkowania bazującej na marży ze sprzedaży paliw. Biorąc zatem pod uwagę, że bazą do obliczenia przychodów hipotetycznych są koszty faktyczne (bieżące)</w:t>
      </w:r>
      <w:r w:rsidR="00AB21C7">
        <w:rPr>
          <w:rFonts w:eastAsia="Times New Roman" w:cs="Times New Roman"/>
        </w:rPr>
        <w:t>,</w:t>
      </w:r>
      <w:r w:rsidRPr="00635DDB">
        <w:rPr>
          <w:rFonts w:eastAsia="Times New Roman" w:cs="Times New Roman"/>
        </w:rPr>
        <w:t xml:space="preserve"> wspominana nadwyżka przychodów faktycznych ponad przychody hipotetyczne stanowi </w:t>
      </w:r>
      <w:r w:rsidRPr="008F3601">
        <w:rPr>
          <w:rFonts w:eastAsia="Times New Roman" w:cs="Times New Roman"/>
          <w:i/>
          <w:iCs/>
        </w:rPr>
        <w:t>de facto</w:t>
      </w:r>
      <w:r w:rsidRPr="00635DDB">
        <w:rPr>
          <w:rFonts w:eastAsia="Times New Roman" w:cs="Times New Roman"/>
        </w:rPr>
        <w:t xml:space="preserve"> nadzwyczajny zysk (kreowany poprzez stosowanie wyższych marż w okresie, któr</w:t>
      </w:r>
      <w:r w:rsidR="00AB21C7">
        <w:rPr>
          <w:rFonts w:eastAsia="Times New Roman" w:cs="Times New Roman"/>
        </w:rPr>
        <w:t>y</w:t>
      </w:r>
      <w:r w:rsidRPr="00635DDB">
        <w:rPr>
          <w:rFonts w:eastAsia="Times New Roman" w:cs="Times New Roman"/>
        </w:rPr>
        <w:t xml:space="preserve"> obejmuje projektowana ustawa).</w:t>
      </w:r>
    </w:p>
    <w:p w14:paraId="009319A9" w14:textId="2A5BE062" w:rsidR="00936A1B" w:rsidRDefault="00A3474D" w:rsidP="00A3474D">
      <w:pPr>
        <w:spacing w:after="160"/>
        <w:jc w:val="both"/>
        <w:rPr>
          <w:rFonts w:eastAsia="Times New Roman" w:cs="Times New Roman"/>
        </w:rPr>
      </w:pPr>
      <w:r w:rsidRPr="00A3474D">
        <w:rPr>
          <w:rFonts w:eastAsia="Times New Roman" w:cs="Times New Roman"/>
        </w:rPr>
        <w:t>Przyjęcie</w:t>
      </w:r>
      <w:r w:rsidR="00AD4987">
        <w:rPr>
          <w:rFonts w:eastAsia="Times New Roman" w:cs="Times New Roman"/>
        </w:rPr>
        <w:t xml:space="preserve"> </w:t>
      </w:r>
      <w:r w:rsidR="00750789">
        <w:rPr>
          <w:rFonts w:eastAsia="Times New Roman" w:cs="Times New Roman"/>
        </w:rPr>
        <w:t>roku</w:t>
      </w:r>
      <w:r w:rsidRPr="00A3474D">
        <w:rPr>
          <w:rFonts w:eastAsia="Times New Roman" w:cs="Times New Roman"/>
        </w:rPr>
        <w:t xml:space="preserve"> </w:t>
      </w:r>
      <w:r w:rsidR="00AD4987">
        <w:rPr>
          <w:rFonts w:eastAsia="Times New Roman" w:cs="Times New Roman"/>
        </w:rPr>
        <w:t xml:space="preserve">2025 </w:t>
      </w:r>
      <w:r w:rsidRPr="00A3474D">
        <w:rPr>
          <w:rFonts w:eastAsia="Times New Roman" w:cs="Times New Roman"/>
        </w:rPr>
        <w:t>jako</w:t>
      </w:r>
      <w:r w:rsidR="00CD7FFE">
        <w:rPr>
          <w:rFonts w:eastAsia="Times New Roman" w:cs="Times New Roman"/>
        </w:rPr>
        <w:t xml:space="preserve"> </w:t>
      </w:r>
      <w:r w:rsidRPr="00A3474D">
        <w:rPr>
          <w:rFonts w:eastAsia="Times New Roman" w:cs="Times New Roman"/>
        </w:rPr>
        <w:t xml:space="preserve">okresu referencyjnego zapewnia obiektywny punkt odniesienia, odzwierciedlający rzeczywistą, historyczną zdolność </w:t>
      </w:r>
      <w:r w:rsidR="008A078F">
        <w:rPr>
          <w:rFonts w:eastAsia="Times New Roman" w:cs="Times New Roman"/>
        </w:rPr>
        <w:t>do generowania zysków danego</w:t>
      </w:r>
      <w:r w:rsidRPr="00A3474D">
        <w:rPr>
          <w:rFonts w:eastAsia="Times New Roman" w:cs="Times New Roman"/>
        </w:rPr>
        <w:t xml:space="preserve"> podatnika.</w:t>
      </w:r>
      <w:r w:rsidR="00936A1B">
        <w:rPr>
          <w:rFonts w:eastAsia="Times New Roman" w:cs="Times New Roman"/>
        </w:rPr>
        <w:t xml:space="preserve"> Jest to ponadto jeden z nielicznych </w:t>
      </w:r>
      <w:r w:rsidR="00580E5B">
        <w:rPr>
          <w:rFonts w:eastAsia="Times New Roman" w:cs="Times New Roman"/>
        </w:rPr>
        <w:t xml:space="preserve">na przestrzeni ostatnich </w:t>
      </w:r>
      <w:r w:rsidR="00936A1B">
        <w:rPr>
          <w:rFonts w:eastAsia="Times New Roman" w:cs="Times New Roman"/>
        </w:rPr>
        <w:t>lat</w:t>
      </w:r>
      <w:r w:rsidR="00580E5B">
        <w:rPr>
          <w:rFonts w:eastAsia="Times New Roman" w:cs="Times New Roman"/>
        </w:rPr>
        <w:t xml:space="preserve"> okresów,</w:t>
      </w:r>
      <w:r w:rsidR="00936A1B">
        <w:rPr>
          <w:rFonts w:eastAsia="Times New Roman" w:cs="Times New Roman"/>
        </w:rPr>
        <w:t xml:space="preserve"> w którym nie doszło do wystąpienia istotnych zdarzeń nadzwyczajnych, rzutujących „nienaturalnie” na poziom stosowanych </w:t>
      </w:r>
      <w:r w:rsidR="00580E5B">
        <w:rPr>
          <w:rFonts w:eastAsia="Times New Roman" w:cs="Times New Roman"/>
        </w:rPr>
        <w:t>marż</w:t>
      </w:r>
      <w:r w:rsidR="00936A1B">
        <w:rPr>
          <w:rFonts w:eastAsia="Times New Roman" w:cs="Times New Roman"/>
        </w:rPr>
        <w:t>.</w:t>
      </w:r>
    </w:p>
    <w:p w14:paraId="1F383B8F" w14:textId="2174A722" w:rsidR="00A3474D" w:rsidRDefault="00A3474D" w:rsidP="00A3474D">
      <w:pPr>
        <w:spacing w:after="160"/>
        <w:jc w:val="both"/>
        <w:rPr>
          <w:rFonts w:eastAsia="Times New Roman" w:cs="Times New Roman"/>
        </w:rPr>
      </w:pPr>
      <w:r w:rsidRPr="00A3474D">
        <w:rPr>
          <w:rFonts w:eastAsia="Times New Roman" w:cs="Times New Roman"/>
        </w:rPr>
        <w:t xml:space="preserve">Korekta </w:t>
      </w:r>
      <w:r w:rsidR="00326A19">
        <w:rPr>
          <w:rFonts w:eastAsia="Times New Roman" w:cs="Times New Roman"/>
        </w:rPr>
        <w:t xml:space="preserve">tak ustalonej średniej marży sprzedaży </w:t>
      </w:r>
      <w:r w:rsidRPr="00A3474D">
        <w:rPr>
          <w:rFonts w:eastAsia="Times New Roman" w:cs="Times New Roman"/>
        </w:rPr>
        <w:t xml:space="preserve">o 20% stanowi dodatkowy </w:t>
      </w:r>
      <w:r w:rsidR="00B157F6">
        <w:rPr>
          <w:rFonts w:eastAsia="Times New Roman" w:cs="Times New Roman"/>
        </w:rPr>
        <w:t>instrument gwarancyjny</w:t>
      </w:r>
      <w:r w:rsidRPr="00A3474D">
        <w:rPr>
          <w:rFonts w:eastAsia="Times New Roman" w:cs="Times New Roman"/>
        </w:rPr>
        <w:t>, który chroni podatników przed opodatkowaniem zysków wynikających ze zwykłych wahań rynkowych lub o</w:t>
      </w:r>
      <w:r w:rsidR="00905A04">
        <w:rPr>
          <w:rFonts w:eastAsia="Times New Roman" w:cs="Times New Roman"/>
        </w:rPr>
        <w:t>gr</w:t>
      </w:r>
      <w:r w:rsidRPr="00A3474D">
        <w:rPr>
          <w:rFonts w:eastAsia="Times New Roman" w:cs="Times New Roman"/>
        </w:rPr>
        <w:t xml:space="preserve">anicznego wzrostu działalności. </w:t>
      </w:r>
      <w:r w:rsidR="00326A19">
        <w:rPr>
          <w:rFonts w:eastAsia="Times New Roman" w:cs="Times New Roman"/>
        </w:rPr>
        <w:t>Tym samym o</w:t>
      </w:r>
      <w:r w:rsidRPr="00A3474D">
        <w:rPr>
          <w:rFonts w:eastAsia="Times New Roman" w:cs="Times New Roman"/>
        </w:rPr>
        <w:t>podatkowan</w:t>
      </w:r>
      <w:r w:rsidR="002A11A0">
        <w:rPr>
          <w:rFonts w:eastAsia="Times New Roman" w:cs="Times New Roman"/>
        </w:rPr>
        <w:t xml:space="preserve">iu podlegać będzie </w:t>
      </w:r>
      <w:r w:rsidRPr="00A3474D">
        <w:rPr>
          <w:rFonts w:eastAsia="Times New Roman" w:cs="Times New Roman"/>
        </w:rPr>
        <w:t>wyłącznie nadwyżka ponad ten próg –</w:t>
      </w:r>
      <w:r w:rsidR="002A11A0">
        <w:rPr>
          <w:rFonts w:eastAsia="Times New Roman" w:cs="Times New Roman"/>
        </w:rPr>
        <w:t xml:space="preserve"> identyfikowana jako </w:t>
      </w:r>
      <w:r w:rsidRPr="00A3474D">
        <w:rPr>
          <w:rFonts w:eastAsia="Times New Roman" w:cs="Times New Roman"/>
        </w:rPr>
        <w:t xml:space="preserve">nadzwyczajny </w:t>
      </w:r>
      <w:r w:rsidR="002A11A0">
        <w:rPr>
          <w:rFonts w:eastAsia="Times New Roman" w:cs="Times New Roman"/>
        </w:rPr>
        <w:t xml:space="preserve">zysk </w:t>
      </w:r>
      <w:r w:rsidRPr="00A3474D">
        <w:rPr>
          <w:rFonts w:eastAsia="Times New Roman" w:cs="Times New Roman"/>
        </w:rPr>
        <w:t>wynikający ze wstrząsu podażowego będącego skutkiem konfliktu zbrojnego</w:t>
      </w:r>
      <w:r w:rsidR="00936A1B">
        <w:rPr>
          <w:rFonts w:eastAsia="Times New Roman" w:cs="Times New Roman"/>
        </w:rPr>
        <w:t xml:space="preserve"> na Bliskim Wschodzie</w:t>
      </w:r>
      <w:r w:rsidRPr="00A3474D">
        <w:rPr>
          <w:rFonts w:eastAsia="Times New Roman" w:cs="Times New Roman"/>
        </w:rPr>
        <w:t>.</w:t>
      </w:r>
    </w:p>
    <w:p w14:paraId="60F45002" w14:textId="133C9254" w:rsidR="009D1C08" w:rsidRDefault="00C5549D" w:rsidP="00A3474D">
      <w:pPr>
        <w:spacing w:after="160"/>
        <w:jc w:val="both"/>
        <w:rPr>
          <w:rFonts w:eastAsia="Times New Roman" w:cs="Times New Roman"/>
        </w:rPr>
      </w:pPr>
      <w:r w:rsidRPr="00C5549D">
        <w:rPr>
          <w:rFonts w:eastAsia="Times New Roman" w:cs="Times New Roman"/>
        </w:rPr>
        <w:t xml:space="preserve">Obowiązek </w:t>
      </w:r>
      <w:r w:rsidR="001A3BD9">
        <w:rPr>
          <w:rFonts w:eastAsia="Times New Roman" w:cs="Times New Roman"/>
        </w:rPr>
        <w:t>zapłaty podatku</w:t>
      </w:r>
      <w:r w:rsidRPr="00C5549D">
        <w:rPr>
          <w:rFonts w:eastAsia="Times New Roman" w:cs="Times New Roman"/>
        </w:rPr>
        <w:t xml:space="preserve"> powsta</w:t>
      </w:r>
      <w:r w:rsidR="00326A19">
        <w:rPr>
          <w:rFonts w:eastAsia="Times New Roman" w:cs="Times New Roman"/>
        </w:rPr>
        <w:t>nie</w:t>
      </w:r>
      <w:r w:rsidRPr="00C5549D">
        <w:rPr>
          <w:rFonts w:eastAsia="Times New Roman" w:cs="Times New Roman"/>
        </w:rPr>
        <w:t xml:space="preserve">, gdy przychody faktycznie osiągnięte w </w:t>
      </w:r>
      <w:r w:rsidR="00C377E4">
        <w:rPr>
          <w:rFonts w:eastAsia="Times New Roman" w:cs="Times New Roman"/>
        </w:rPr>
        <w:t>okresie rozliczeniowym</w:t>
      </w:r>
      <w:r w:rsidRPr="00C5549D">
        <w:rPr>
          <w:rFonts w:eastAsia="Times New Roman" w:cs="Times New Roman"/>
        </w:rPr>
        <w:t xml:space="preserve"> przewyż</w:t>
      </w:r>
      <w:r w:rsidR="00326A19">
        <w:rPr>
          <w:rFonts w:eastAsia="Times New Roman" w:cs="Times New Roman"/>
        </w:rPr>
        <w:t>szą</w:t>
      </w:r>
      <w:r w:rsidRPr="00C5549D">
        <w:rPr>
          <w:rFonts w:eastAsia="Times New Roman" w:cs="Times New Roman"/>
        </w:rPr>
        <w:t xml:space="preserve"> przychody hipotetyczne obliczone przy zastosowaniu marży referencyjnej</w:t>
      </w:r>
      <w:r w:rsidR="00C53E50" w:rsidRPr="00C53E50">
        <w:rPr>
          <w:rFonts w:eastAsia="Times New Roman" w:cs="Times New Roman"/>
        </w:rPr>
        <w:t>. Mechanizm ten zapobiega opodatkowaniu podmiotów, które – mimo prowadzenia działalności</w:t>
      </w:r>
      <w:r w:rsidR="008A078F">
        <w:rPr>
          <w:rFonts w:eastAsia="Times New Roman" w:cs="Times New Roman"/>
        </w:rPr>
        <w:t xml:space="preserve"> w obszarach objętych zakresem przedmiotowym projektowanej ustawy </w:t>
      </w:r>
      <w:r w:rsidR="00C53E50" w:rsidRPr="00C53E50">
        <w:rPr>
          <w:rFonts w:eastAsia="Times New Roman" w:cs="Times New Roman"/>
        </w:rPr>
        <w:t xml:space="preserve">– nie osiągnęły </w:t>
      </w:r>
      <w:r w:rsidR="009D1C08">
        <w:rPr>
          <w:rFonts w:eastAsia="Times New Roman" w:cs="Times New Roman"/>
        </w:rPr>
        <w:t xml:space="preserve">faktycznie </w:t>
      </w:r>
      <w:r w:rsidR="00C53E50" w:rsidRPr="00C53E50">
        <w:rPr>
          <w:rFonts w:eastAsia="Times New Roman" w:cs="Times New Roman"/>
        </w:rPr>
        <w:t>przychodów o</w:t>
      </w:r>
      <w:r w:rsidR="008A078F">
        <w:rPr>
          <w:rFonts w:eastAsia="Times New Roman" w:cs="Times New Roman"/>
        </w:rPr>
        <w:t> </w:t>
      </w:r>
      <w:r w:rsidR="00C53E50" w:rsidRPr="00C53E50">
        <w:rPr>
          <w:rFonts w:eastAsia="Times New Roman" w:cs="Times New Roman"/>
        </w:rPr>
        <w:t>nadzwyczajnym charakterze.</w:t>
      </w:r>
      <w:r>
        <w:rPr>
          <w:rFonts w:eastAsia="Times New Roman" w:cs="Times New Roman"/>
        </w:rPr>
        <w:t xml:space="preserve"> </w:t>
      </w:r>
      <w:r w:rsidRPr="00C5549D">
        <w:rPr>
          <w:rFonts w:eastAsia="Times New Roman" w:cs="Times New Roman"/>
        </w:rPr>
        <w:t xml:space="preserve">Zaliczki na podatek </w:t>
      </w:r>
      <w:r w:rsidR="00326A19">
        <w:rPr>
          <w:rFonts w:eastAsia="Times New Roman" w:cs="Times New Roman"/>
        </w:rPr>
        <w:t xml:space="preserve">będą </w:t>
      </w:r>
      <w:r w:rsidRPr="00C5549D">
        <w:rPr>
          <w:rFonts w:eastAsia="Times New Roman" w:cs="Times New Roman"/>
        </w:rPr>
        <w:t>oblicza</w:t>
      </w:r>
      <w:r w:rsidR="00326A19">
        <w:rPr>
          <w:rFonts w:eastAsia="Times New Roman" w:cs="Times New Roman"/>
        </w:rPr>
        <w:t>ne</w:t>
      </w:r>
      <w:r w:rsidRPr="00C5549D">
        <w:rPr>
          <w:rFonts w:eastAsia="Times New Roman" w:cs="Times New Roman"/>
        </w:rPr>
        <w:t xml:space="preserve"> i wpłaca</w:t>
      </w:r>
      <w:r w:rsidR="00326A19">
        <w:rPr>
          <w:rFonts w:eastAsia="Times New Roman" w:cs="Times New Roman"/>
        </w:rPr>
        <w:t>ne</w:t>
      </w:r>
      <w:r w:rsidRPr="00C5549D">
        <w:rPr>
          <w:rFonts w:eastAsia="Times New Roman" w:cs="Times New Roman"/>
        </w:rPr>
        <w:t xml:space="preserve"> narastająco, co oznacza, że różnica między przychodami faktycznymi a hipotetycznymi </w:t>
      </w:r>
      <w:r w:rsidR="00326A19">
        <w:rPr>
          <w:rFonts w:eastAsia="Times New Roman" w:cs="Times New Roman"/>
        </w:rPr>
        <w:t>będzie</w:t>
      </w:r>
      <w:r w:rsidRPr="00C5549D">
        <w:rPr>
          <w:rFonts w:eastAsia="Times New Roman" w:cs="Times New Roman"/>
        </w:rPr>
        <w:t xml:space="preserve"> obliczana od początku </w:t>
      </w:r>
      <w:r w:rsidR="00750789" w:rsidRPr="00CB0F13">
        <w:rPr>
          <w:rFonts w:eastAsia="Times New Roman" w:cs="Times New Roman"/>
        </w:rPr>
        <w:t xml:space="preserve">roku podatkowego </w:t>
      </w:r>
      <w:r w:rsidRPr="00CB0F13">
        <w:rPr>
          <w:rFonts w:eastAsia="Times New Roman" w:cs="Times New Roman"/>
        </w:rPr>
        <w:t>do końca każ</w:t>
      </w:r>
      <w:r w:rsidRPr="00C5549D">
        <w:rPr>
          <w:rFonts w:eastAsia="Times New Roman" w:cs="Times New Roman"/>
        </w:rPr>
        <w:t xml:space="preserve">dego kolejnego miesiąca. Jeżeli w danym miesiącu narastająca nadwyżka zmniejszy się lub zniknie – wskutek pogorszenia </w:t>
      </w:r>
      <w:r w:rsidR="00490234">
        <w:rPr>
          <w:rFonts w:eastAsia="Times New Roman" w:cs="Times New Roman"/>
        </w:rPr>
        <w:t xml:space="preserve">skumulowanej </w:t>
      </w:r>
      <w:r w:rsidRPr="00C5549D">
        <w:rPr>
          <w:rFonts w:eastAsia="Times New Roman" w:cs="Times New Roman"/>
        </w:rPr>
        <w:t xml:space="preserve">marży – zaliczka za ten miesiąc </w:t>
      </w:r>
      <w:r w:rsidR="00490234">
        <w:rPr>
          <w:rFonts w:eastAsia="Times New Roman" w:cs="Times New Roman"/>
        </w:rPr>
        <w:t>nie wystąpi</w:t>
      </w:r>
      <w:r w:rsidRPr="00C5549D">
        <w:rPr>
          <w:rFonts w:eastAsia="Times New Roman" w:cs="Times New Roman"/>
        </w:rPr>
        <w:t xml:space="preserve">, a wcześniej wpłacone środki </w:t>
      </w:r>
      <w:r w:rsidR="00490234">
        <w:rPr>
          <w:rFonts w:eastAsia="Times New Roman" w:cs="Times New Roman"/>
        </w:rPr>
        <w:t>będą</w:t>
      </w:r>
      <w:r w:rsidR="00490234" w:rsidRPr="00C5549D">
        <w:rPr>
          <w:rFonts w:eastAsia="Times New Roman" w:cs="Times New Roman"/>
        </w:rPr>
        <w:t xml:space="preserve"> </w:t>
      </w:r>
      <w:r w:rsidRPr="00C5549D">
        <w:rPr>
          <w:rFonts w:eastAsia="Times New Roman" w:cs="Times New Roman"/>
        </w:rPr>
        <w:t>rozliczane w ramach zeznania rocznego składanego do 30</w:t>
      </w:r>
      <w:r w:rsidR="00991F02">
        <w:rPr>
          <w:rFonts w:eastAsia="Times New Roman" w:cs="Times New Roman"/>
        </w:rPr>
        <w:t> </w:t>
      </w:r>
      <w:r w:rsidRPr="00C5549D">
        <w:rPr>
          <w:rFonts w:eastAsia="Times New Roman" w:cs="Times New Roman"/>
        </w:rPr>
        <w:t>kwietnia 2027 r.</w:t>
      </w:r>
      <w:r w:rsidR="00750789">
        <w:rPr>
          <w:rFonts w:eastAsia="Times New Roman" w:cs="Times New Roman"/>
        </w:rPr>
        <w:t xml:space="preserve"> Przy czym </w:t>
      </w:r>
      <w:r w:rsidR="00490234">
        <w:rPr>
          <w:rFonts w:eastAsia="Times New Roman" w:cs="Times New Roman"/>
        </w:rPr>
        <w:t xml:space="preserve">projekt </w:t>
      </w:r>
      <w:r w:rsidR="00750789">
        <w:rPr>
          <w:rFonts w:eastAsia="Times New Roman" w:cs="Times New Roman"/>
        </w:rPr>
        <w:t>przewiduje szczególne zasady obliczenia pierwszej zaliczki. Zapłata zobowiązania z tytułu pierwszej zaliczki</w:t>
      </w:r>
      <w:r w:rsidR="00444E32">
        <w:rPr>
          <w:rFonts w:eastAsia="Times New Roman" w:cs="Times New Roman"/>
        </w:rPr>
        <w:t xml:space="preserve"> –</w:t>
      </w:r>
      <w:r w:rsidR="00750789">
        <w:rPr>
          <w:rFonts w:eastAsia="Times New Roman" w:cs="Times New Roman"/>
        </w:rPr>
        <w:t xml:space="preserve"> </w:t>
      </w:r>
      <w:r w:rsidR="00750789">
        <w:rPr>
          <w:rFonts w:eastAsia="Times New Roman" w:cs="Times New Roman"/>
          <w:szCs w:val="24"/>
        </w:rPr>
        <w:t>obejmując</w:t>
      </w:r>
      <w:r w:rsidR="00490234">
        <w:rPr>
          <w:rFonts w:eastAsia="Times New Roman" w:cs="Times New Roman"/>
          <w:szCs w:val="24"/>
        </w:rPr>
        <w:t>ej</w:t>
      </w:r>
      <w:r w:rsidR="00750789">
        <w:rPr>
          <w:rFonts w:eastAsia="Times New Roman" w:cs="Times New Roman"/>
          <w:szCs w:val="24"/>
        </w:rPr>
        <w:t xml:space="preserve"> okres od 1 marca do 31 lipca 2026 r. – będzie wpłacana</w:t>
      </w:r>
      <w:r w:rsidR="00226B40">
        <w:rPr>
          <w:rFonts w:eastAsia="Times New Roman" w:cs="Times New Roman"/>
          <w:szCs w:val="24"/>
        </w:rPr>
        <w:t>,</w:t>
      </w:r>
      <w:r w:rsidR="00750789">
        <w:rPr>
          <w:rFonts w:eastAsia="Times New Roman" w:cs="Times New Roman"/>
          <w:szCs w:val="24"/>
        </w:rPr>
        <w:t xml:space="preserve"> poczynając od września 2026 r.</w:t>
      </w:r>
      <w:r w:rsidR="00444E32">
        <w:rPr>
          <w:rFonts w:eastAsia="Times New Roman" w:cs="Times New Roman"/>
          <w:szCs w:val="24"/>
        </w:rPr>
        <w:t>,</w:t>
      </w:r>
      <w:r w:rsidR="00750789">
        <w:rPr>
          <w:rFonts w:eastAsia="Times New Roman" w:cs="Times New Roman"/>
          <w:szCs w:val="24"/>
        </w:rPr>
        <w:t xml:space="preserve"> w czterech równych </w:t>
      </w:r>
      <w:r w:rsidR="00750789">
        <w:rPr>
          <w:rFonts w:eastAsia="Times New Roman" w:cs="Times New Roman"/>
          <w:szCs w:val="24"/>
        </w:rPr>
        <w:lastRenderedPageBreak/>
        <w:t>częściach, w</w:t>
      </w:r>
      <w:r w:rsidR="00490234">
        <w:rPr>
          <w:rFonts w:eastAsia="Times New Roman" w:cs="Times New Roman"/>
          <w:szCs w:val="24"/>
        </w:rPr>
        <w:t> </w:t>
      </w:r>
      <w:r w:rsidR="00750789">
        <w:rPr>
          <w:rFonts w:eastAsia="Times New Roman" w:cs="Times New Roman"/>
          <w:szCs w:val="24"/>
        </w:rPr>
        <w:t>terminach płatności zaliczek za kolejne miesiące (wrzesień–grudzień 2026 r.), niezależnie od tego, czy w danym miesiącu powstał obowiązek zapłaty zaliczki bieżącej.</w:t>
      </w:r>
      <w:r w:rsidR="00490234">
        <w:rPr>
          <w:rFonts w:eastAsia="Times New Roman" w:cs="Times New Roman"/>
          <w:szCs w:val="24"/>
        </w:rPr>
        <w:t xml:space="preserve"> Rozwiązanie to ma na celu złagodzenie podatnikom uciążliwości związanej z potencjalną koniecznością zapłaty jednorazowo zaliczki obejmującej okres kilku miesięcy. Zmniejsza ono tym samym ryzyko zaburzeń płynnościowych po stronie przedsiębiorców objętych projektowaną regulacją. </w:t>
      </w:r>
    </w:p>
    <w:p w14:paraId="5C2CBBDA" w14:textId="23DC1BE4" w:rsidR="00C53E50" w:rsidRDefault="009D1C08" w:rsidP="00A3474D">
      <w:pPr>
        <w:spacing w:after="160"/>
        <w:jc w:val="both"/>
        <w:rPr>
          <w:rFonts w:eastAsia="Times New Roman" w:cs="Times New Roman"/>
        </w:rPr>
      </w:pPr>
      <w:r>
        <w:rPr>
          <w:rFonts w:eastAsia="Times New Roman" w:cs="Times New Roman"/>
        </w:rPr>
        <w:t>Proponuje się, aby stawka podatku wynosiła</w:t>
      </w:r>
      <w:r w:rsidR="00C53E50" w:rsidRPr="00C53E50">
        <w:rPr>
          <w:rFonts w:eastAsia="Times New Roman" w:cs="Times New Roman"/>
        </w:rPr>
        <w:t xml:space="preserve"> </w:t>
      </w:r>
      <w:r w:rsidR="00E80E95">
        <w:rPr>
          <w:rFonts w:eastAsia="Times New Roman" w:cs="Times New Roman"/>
        </w:rPr>
        <w:t>60</w:t>
      </w:r>
      <w:r w:rsidR="00C53E50" w:rsidRPr="00C53E50">
        <w:rPr>
          <w:rFonts w:eastAsia="Times New Roman" w:cs="Times New Roman"/>
        </w:rPr>
        <w:t xml:space="preserve">% tak </w:t>
      </w:r>
      <w:r>
        <w:rPr>
          <w:rFonts w:eastAsia="Times New Roman" w:cs="Times New Roman"/>
        </w:rPr>
        <w:t>określonej</w:t>
      </w:r>
      <w:r w:rsidR="00C53E50" w:rsidRPr="00C53E50">
        <w:rPr>
          <w:rFonts w:eastAsia="Times New Roman" w:cs="Times New Roman"/>
        </w:rPr>
        <w:t xml:space="preserve"> podstawy opodatkowania, co</w:t>
      </w:r>
      <w:r>
        <w:rPr>
          <w:rFonts w:eastAsia="Times New Roman" w:cs="Times New Roman"/>
        </w:rPr>
        <w:t> </w:t>
      </w:r>
      <w:r w:rsidR="00C53E50" w:rsidRPr="00C53E50">
        <w:rPr>
          <w:rFonts w:eastAsia="Times New Roman" w:cs="Times New Roman"/>
        </w:rPr>
        <w:t>proporcjonalnie odzwierciedla skalę nieoczekiwanych korzyści, przy jednoczesnym pozostawieniu podatnikowi</w:t>
      </w:r>
      <w:r w:rsidR="00580E5B">
        <w:rPr>
          <w:rFonts w:eastAsia="Times New Roman" w:cs="Times New Roman"/>
        </w:rPr>
        <w:t xml:space="preserve"> możliwości dysponowania</w:t>
      </w:r>
      <w:r w:rsidR="00C53E50" w:rsidRPr="00C53E50">
        <w:rPr>
          <w:rFonts w:eastAsia="Times New Roman" w:cs="Times New Roman"/>
        </w:rPr>
        <w:t xml:space="preserve"> </w:t>
      </w:r>
      <w:r>
        <w:rPr>
          <w:rFonts w:eastAsia="Times New Roman" w:cs="Times New Roman"/>
        </w:rPr>
        <w:t xml:space="preserve">istotnej części nadzwyczajnego zysku. </w:t>
      </w:r>
    </w:p>
    <w:p w14:paraId="5B6022AE" w14:textId="284A5EE0" w:rsidR="00EC1F83" w:rsidRDefault="00D72DC6" w:rsidP="00D72DC6">
      <w:pPr>
        <w:spacing w:after="160"/>
        <w:jc w:val="both"/>
        <w:rPr>
          <w:rFonts w:eastAsia="Times New Roman" w:cs="Times New Roman"/>
        </w:rPr>
      </w:pPr>
      <w:r w:rsidRPr="00D72DC6">
        <w:rPr>
          <w:rFonts w:eastAsia="Times New Roman" w:cs="Times New Roman"/>
        </w:rPr>
        <w:t xml:space="preserve">Odrębnego wyjaśnienia wymaga kontekst czasowy </w:t>
      </w:r>
      <w:r w:rsidR="00AD7B68">
        <w:rPr>
          <w:rFonts w:eastAsia="Times New Roman" w:cs="Times New Roman"/>
        </w:rPr>
        <w:t>obowiązków płynących z propozycji omawianego podatku</w:t>
      </w:r>
      <w:r w:rsidRPr="00D72DC6">
        <w:rPr>
          <w:rFonts w:eastAsia="Times New Roman" w:cs="Times New Roman"/>
        </w:rPr>
        <w:t>. Projektowana regulacja przewiduje objęcie opodatkowaniem nadzwyczajnych zysków osiągniętych od dnia 1 marca 2026 r., podczas gdy samo wejście w</w:t>
      </w:r>
      <w:r w:rsidR="00B53C38">
        <w:rPr>
          <w:rFonts w:eastAsia="Times New Roman" w:cs="Times New Roman"/>
        </w:rPr>
        <w:t> </w:t>
      </w:r>
      <w:r w:rsidRPr="00D72DC6">
        <w:rPr>
          <w:rFonts w:eastAsia="Times New Roman" w:cs="Times New Roman"/>
        </w:rPr>
        <w:t xml:space="preserve">życie ustawy nastąpi w momencie późniejszym. Konstrukcja ta implikuje konieczność oceny projektu przez pryzmat wynikającej z art. 2 Konstytucji RP zasady demokratycznego państwa prawnego, w tym w szczególności </w:t>
      </w:r>
      <w:r w:rsidR="00F158B3">
        <w:rPr>
          <w:rFonts w:eastAsia="Times New Roman" w:cs="Times New Roman"/>
        </w:rPr>
        <w:t>wywodzonej z</w:t>
      </w:r>
      <w:r w:rsidRPr="00D72DC6">
        <w:rPr>
          <w:rFonts w:eastAsia="Times New Roman" w:cs="Times New Roman"/>
        </w:rPr>
        <w:t xml:space="preserve"> tej zasady, reguły niedziałania prawa wstecz (</w:t>
      </w:r>
      <w:r w:rsidRPr="00510A80">
        <w:rPr>
          <w:rFonts w:eastAsia="Times New Roman" w:cs="Times New Roman"/>
          <w:i/>
          <w:iCs/>
        </w:rPr>
        <w:t>lex retro non agit</w:t>
      </w:r>
      <w:r w:rsidRPr="00D72DC6">
        <w:rPr>
          <w:rFonts w:eastAsia="Times New Roman" w:cs="Times New Roman"/>
        </w:rPr>
        <w:t>). W tym kontekście należy podkreślić, że zgodnie z dorobkiem orzeczniczym Trybunału Konstytucyjnego</w:t>
      </w:r>
      <w:r>
        <w:rPr>
          <w:rStyle w:val="Odwoanieprzypisudolnego"/>
          <w:rFonts w:eastAsia="Times New Roman" w:cs="Times New Roman"/>
        </w:rPr>
        <w:footnoteReference w:id="1"/>
      </w:r>
      <w:r w:rsidR="00A76E45" w:rsidRPr="008F3601">
        <w:rPr>
          <w:rFonts w:eastAsia="Times New Roman" w:cs="Times New Roman"/>
          <w:vertAlign w:val="superscript"/>
        </w:rPr>
        <w:t>)</w:t>
      </w:r>
      <w:r w:rsidRPr="00D72DC6">
        <w:rPr>
          <w:rFonts w:eastAsia="Times New Roman" w:cs="Times New Roman"/>
        </w:rPr>
        <w:t xml:space="preserve"> zasada niedziałania prawa wstecz nie ma</w:t>
      </w:r>
      <w:r w:rsidR="001A3BD9">
        <w:rPr>
          <w:rFonts w:eastAsia="Times New Roman" w:cs="Times New Roman"/>
        </w:rPr>
        <w:t xml:space="preserve"> na gruncie prawa podatkowego</w:t>
      </w:r>
      <w:r w:rsidR="001A3BD9">
        <w:rPr>
          <w:rStyle w:val="Odwoanieprzypisudolnego"/>
          <w:rFonts w:eastAsia="Times New Roman" w:cs="Times New Roman"/>
        </w:rPr>
        <w:footnoteReference w:id="2"/>
      </w:r>
      <w:r w:rsidR="00A76E45" w:rsidRPr="008F3601">
        <w:rPr>
          <w:rFonts w:eastAsia="Times New Roman" w:cs="Times New Roman"/>
          <w:vertAlign w:val="superscript"/>
        </w:rPr>
        <w:t>)</w:t>
      </w:r>
      <w:r w:rsidRPr="00D72DC6">
        <w:rPr>
          <w:rFonts w:eastAsia="Times New Roman" w:cs="Times New Roman"/>
        </w:rPr>
        <w:t xml:space="preserve"> waloru absolutnego i dopuszcza się odstępstwa od funkcjonowania tej zasady w ściśle określonych warunkach.</w:t>
      </w:r>
      <w:r w:rsidR="001A3BD9">
        <w:rPr>
          <w:rFonts w:eastAsia="Times New Roman" w:cs="Times New Roman"/>
        </w:rPr>
        <w:t xml:space="preserve"> </w:t>
      </w:r>
      <w:r w:rsidRPr="00D72DC6">
        <w:rPr>
          <w:rFonts w:eastAsia="Times New Roman" w:cs="Times New Roman"/>
        </w:rPr>
        <w:t xml:space="preserve">W odniesieniu do prawa podatkowego uznaje się, iż odstąpienie od zasady </w:t>
      </w:r>
      <w:r w:rsidRPr="00510A80">
        <w:rPr>
          <w:rFonts w:eastAsia="Times New Roman" w:cs="Times New Roman"/>
          <w:i/>
          <w:iCs/>
        </w:rPr>
        <w:t>lex retro non agit</w:t>
      </w:r>
      <w:r w:rsidRPr="00D72DC6">
        <w:rPr>
          <w:rFonts w:eastAsia="Times New Roman" w:cs="Times New Roman"/>
        </w:rPr>
        <w:t xml:space="preserve"> jest dopuszczalne, jeżeli jest to konieczne dla realizacji lub ochrony innych wartości konstytucyjnych o szczególnej doniosłości. </w:t>
      </w:r>
    </w:p>
    <w:p w14:paraId="3FC56156" w14:textId="48268872" w:rsidR="00D72DC6" w:rsidRDefault="00D72DC6" w:rsidP="00D72DC6">
      <w:pPr>
        <w:spacing w:after="160"/>
        <w:jc w:val="both"/>
        <w:rPr>
          <w:rFonts w:eastAsia="Times New Roman" w:cs="Times New Roman"/>
        </w:rPr>
      </w:pPr>
      <w:r w:rsidRPr="006E6A52">
        <w:rPr>
          <w:rFonts w:eastAsia="Times New Roman" w:cs="Times New Roman"/>
        </w:rPr>
        <w:t xml:space="preserve">Zgodnie z przedstawionymi </w:t>
      </w:r>
      <w:r w:rsidR="00291831" w:rsidRPr="006E6A52">
        <w:rPr>
          <w:rFonts w:eastAsia="Times New Roman" w:cs="Times New Roman"/>
        </w:rPr>
        <w:t>powyżej</w:t>
      </w:r>
      <w:r w:rsidRPr="006E6A52">
        <w:rPr>
          <w:rFonts w:eastAsia="Times New Roman" w:cs="Times New Roman"/>
        </w:rPr>
        <w:t xml:space="preserve"> wyjaśnieniami, w obecnej</w:t>
      </w:r>
      <w:r w:rsidRPr="00D72DC6">
        <w:rPr>
          <w:rFonts w:eastAsia="Times New Roman" w:cs="Times New Roman"/>
        </w:rPr>
        <w:t xml:space="preserve">, nadzwyczajnej sytuacji społeczno-gospodarczej, za odstąpieniem od zasady </w:t>
      </w:r>
      <w:r w:rsidRPr="00247929">
        <w:rPr>
          <w:rFonts w:eastAsia="Times New Roman" w:cs="Times New Roman"/>
          <w:i/>
          <w:iCs/>
        </w:rPr>
        <w:t>lex retro non agit</w:t>
      </w:r>
      <w:r w:rsidRPr="00D72DC6">
        <w:rPr>
          <w:rFonts w:eastAsia="Times New Roman" w:cs="Times New Roman"/>
        </w:rPr>
        <w:t xml:space="preserve"> i objęciem podatkiem okresu od 1 marca 2026 r. jednoznacznie przemawia konieczność zadośćuczynienia fundamentalnym normom inkorporowanym w art. 2 Konstytucji RP, to jest zasadom sprawiedliwości społecznej oraz równości</w:t>
      </w:r>
      <w:r w:rsidR="00B663C1">
        <w:rPr>
          <w:rFonts w:eastAsia="Times New Roman" w:cs="Times New Roman"/>
        </w:rPr>
        <w:t xml:space="preserve">, </w:t>
      </w:r>
      <w:r w:rsidR="00281B96">
        <w:rPr>
          <w:rFonts w:eastAsia="Times New Roman" w:cs="Times New Roman"/>
        </w:rPr>
        <w:t>jak również wzgląd na konieczność zachowania równowagi budżetowej, która w świetle orzecznictwa Trybunału Konstytucyjnego również jest wartością konstytucyjną (wyrok TK w sprawie o sygn. K 1/12 z dnia 12 grudnia 2012 r</w:t>
      </w:r>
      <w:r w:rsidR="00B73282">
        <w:rPr>
          <w:rFonts w:eastAsia="Times New Roman" w:cs="Times New Roman"/>
        </w:rPr>
        <w:t>.</w:t>
      </w:r>
      <w:r w:rsidR="007A1BB4">
        <w:rPr>
          <w:rFonts w:eastAsia="Times New Roman" w:cs="Times New Roman"/>
        </w:rPr>
        <w:t>).</w:t>
      </w:r>
      <w:r w:rsidRPr="00D72DC6">
        <w:rPr>
          <w:rFonts w:eastAsia="Times New Roman" w:cs="Times New Roman"/>
        </w:rPr>
        <w:t xml:space="preserve"> </w:t>
      </w:r>
      <w:r w:rsidR="00A6569E" w:rsidRPr="00635DDB">
        <w:rPr>
          <w:rFonts w:eastAsia="Times New Roman" w:cs="Times New Roman"/>
        </w:rPr>
        <w:t xml:space="preserve">Jak wskazano na wstępie, ciężar </w:t>
      </w:r>
      <w:r w:rsidR="00507962">
        <w:rPr>
          <w:rFonts w:eastAsia="Times New Roman" w:cs="Times New Roman"/>
        </w:rPr>
        <w:t xml:space="preserve">finansowy będący następstwem </w:t>
      </w:r>
      <w:r w:rsidR="00A6569E" w:rsidRPr="00635DDB">
        <w:rPr>
          <w:rFonts w:eastAsia="Times New Roman" w:cs="Times New Roman"/>
        </w:rPr>
        <w:t xml:space="preserve">sytuacji nadzwyczajnej związanej z konfliktem na Bliskim Wschodzie powinien równomiernie obciążać ogół społeczeństwa i </w:t>
      </w:r>
      <w:r w:rsidR="00A6569E" w:rsidRPr="00635DDB">
        <w:rPr>
          <w:rFonts w:eastAsia="Times New Roman" w:cs="Times New Roman"/>
        </w:rPr>
        <w:lastRenderedPageBreak/>
        <w:t>podmiotów gospodarczych. Nie jest natomiast zgodna z tymi zasadami sytuacja, w której wąska grupa (przedsiębiorstwa działające w sektorze paliwowym i ich właściciele) osiąga z tego tytułu istotne korzyści kosztem konsumentów i pozostałych przedsiębiorstw.</w:t>
      </w:r>
      <w:r w:rsidR="00A6569E">
        <w:rPr>
          <w:rFonts w:eastAsia="Times New Roman" w:cs="Times New Roman"/>
        </w:rPr>
        <w:t xml:space="preserve"> </w:t>
      </w:r>
      <w:r w:rsidRPr="00A6569E">
        <w:rPr>
          <w:rFonts w:eastAsia="Times New Roman" w:cs="Times New Roman"/>
        </w:rPr>
        <w:t>Z</w:t>
      </w:r>
      <w:r w:rsidRPr="00D72DC6">
        <w:rPr>
          <w:rFonts w:eastAsia="Times New Roman" w:cs="Times New Roman"/>
        </w:rPr>
        <w:t>aproponowana konstrukcja stanowi wyraz „dążenia organów władzy publicznej do zachowania równowagi w stosunkach społecznych”</w:t>
      </w:r>
      <w:r w:rsidR="00D24AAB">
        <w:rPr>
          <w:rStyle w:val="Odwoanieprzypisudolnego"/>
          <w:rFonts w:eastAsia="Times New Roman" w:cs="Times New Roman"/>
        </w:rPr>
        <w:footnoteReference w:id="3"/>
      </w:r>
      <w:r w:rsidR="00A76E45" w:rsidRPr="00B472EA">
        <w:rPr>
          <w:rFonts w:eastAsia="Times New Roman" w:cs="Times New Roman"/>
          <w:vertAlign w:val="superscript"/>
        </w:rPr>
        <w:t>)</w:t>
      </w:r>
      <w:r w:rsidRPr="00D72DC6">
        <w:rPr>
          <w:rFonts w:eastAsia="Times New Roman" w:cs="Times New Roman"/>
        </w:rPr>
        <w:t xml:space="preserve"> , naruszonej przez zewnętrzny wstrząs geopolityczny, którego beneficjentami jest</w:t>
      </w:r>
      <w:r w:rsidR="00291831">
        <w:rPr>
          <w:rFonts w:eastAsia="Times New Roman" w:cs="Times New Roman"/>
        </w:rPr>
        <w:t xml:space="preserve"> </w:t>
      </w:r>
      <w:r w:rsidRPr="00D72DC6">
        <w:rPr>
          <w:rFonts w:eastAsia="Times New Roman" w:cs="Times New Roman"/>
        </w:rPr>
        <w:t xml:space="preserve">wąska grupa przedsiębiorców. </w:t>
      </w:r>
    </w:p>
    <w:p w14:paraId="54F19276" w14:textId="094D6BC9" w:rsidR="00860D89" w:rsidRDefault="00860D89" w:rsidP="00D72DC6">
      <w:pPr>
        <w:spacing w:after="160"/>
        <w:jc w:val="both"/>
        <w:rPr>
          <w:rFonts w:eastAsia="Times New Roman" w:cs="Times New Roman"/>
        </w:rPr>
      </w:pPr>
      <w:r>
        <w:rPr>
          <w:rFonts w:eastAsia="Times New Roman" w:cs="Times New Roman"/>
        </w:rPr>
        <w:t>Niezależnie od powyższego należy zwrócić uwagę na funkcjonujące w doktrynie prawa rozróżnienie pomiędzy r</w:t>
      </w:r>
      <w:r w:rsidRPr="00860D89">
        <w:rPr>
          <w:rFonts w:eastAsia="Times New Roman" w:cs="Times New Roman"/>
        </w:rPr>
        <w:t>etroaktywnoś</w:t>
      </w:r>
      <w:r>
        <w:rPr>
          <w:rFonts w:eastAsia="Times New Roman" w:cs="Times New Roman"/>
        </w:rPr>
        <w:t xml:space="preserve">cią, czyli </w:t>
      </w:r>
      <w:r w:rsidRPr="00860D89">
        <w:rPr>
          <w:rFonts w:eastAsia="Times New Roman" w:cs="Times New Roman"/>
        </w:rPr>
        <w:t>działanie</w:t>
      </w:r>
      <w:r>
        <w:rPr>
          <w:rFonts w:eastAsia="Times New Roman" w:cs="Times New Roman"/>
        </w:rPr>
        <w:t>m</w:t>
      </w:r>
      <w:r w:rsidRPr="00860D89">
        <w:rPr>
          <w:rFonts w:eastAsia="Times New Roman" w:cs="Times New Roman"/>
        </w:rPr>
        <w:t xml:space="preserve"> prawa wstecz</w:t>
      </w:r>
      <w:r>
        <w:rPr>
          <w:rFonts w:eastAsia="Times New Roman" w:cs="Times New Roman"/>
        </w:rPr>
        <w:t xml:space="preserve">, </w:t>
      </w:r>
      <w:r w:rsidRPr="00860D89">
        <w:rPr>
          <w:rFonts w:eastAsia="Times New Roman" w:cs="Times New Roman"/>
        </w:rPr>
        <w:t>oznacza</w:t>
      </w:r>
      <w:r>
        <w:rPr>
          <w:rFonts w:eastAsia="Times New Roman" w:cs="Times New Roman"/>
        </w:rPr>
        <w:t>jąc</w:t>
      </w:r>
      <w:r w:rsidR="00750789">
        <w:rPr>
          <w:rFonts w:eastAsia="Times New Roman" w:cs="Times New Roman"/>
        </w:rPr>
        <w:t>ym</w:t>
      </w:r>
      <w:r w:rsidRPr="00860D89">
        <w:rPr>
          <w:rFonts w:eastAsia="Times New Roman" w:cs="Times New Roman"/>
        </w:rPr>
        <w:t xml:space="preserve"> stosowanie nowych przepisów do zdarzeń już zakończonych</w:t>
      </w:r>
      <w:r>
        <w:rPr>
          <w:rFonts w:eastAsia="Times New Roman" w:cs="Times New Roman"/>
        </w:rPr>
        <w:t>, a r</w:t>
      </w:r>
      <w:r w:rsidRPr="00860D89">
        <w:rPr>
          <w:rFonts w:eastAsia="Times New Roman" w:cs="Times New Roman"/>
        </w:rPr>
        <w:t>etrospektywnoś</w:t>
      </w:r>
      <w:r>
        <w:rPr>
          <w:rFonts w:eastAsia="Times New Roman" w:cs="Times New Roman"/>
        </w:rPr>
        <w:t>ci</w:t>
      </w:r>
      <w:r w:rsidR="00750789">
        <w:rPr>
          <w:rFonts w:eastAsia="Times New Roman" w:cs="Times New Roman"/>
        </w:rPr>
        <w:t>ą</w:t>
      </w:r>
      <w:r>
        <w:rPr>
          <w:rFonts w:eastAsia="Times New Roman" w:cs="Times New Roman"/>
        </w:rPr>
        <w:t xml:space="preserve"> regulacji, (nazywan</w:t>
      </w:r>
      <w:r w:rsidR="00750789">
        <w:rPr>
          <w:rFonts w:eastAsia="Times New Roman" w:cs="Times New Roman"/>
        </w:rPr>
        <w:t>ą</w:t>
      </w:r>
      <w:r>
        <w:rPr>
          <w:rFonts w:eastAsia="Times New Roman" w:cs="Times New Roman"/>
        </w:rPr>
        <w:t xml:space="preserve"> inaczej </w:t>
      </w:r>
      <w:r w:rsidRPr="00860D89">
        <w:rPr>
          <w:rFonts w:eastAsia="Times New Roman" w:cs="Times New Roman"/>
        </w:rPr>
        <w:t>retroaktywnoś</w:t>
      </w:r>
      <w:r>
        <w:rPr>
          <w:rFonts w:eastAsia="Times New Roman" w:cs="Times New Roman"/>
        </w:rPr>
        <w:t>cią</w:t>
      </w:r>
      <w:r w:rsidRPr="00860D89">
        <w:rPr>
          <w:rFonts w:eastAsia="Times New Roman" w:cs="Times New Roman"/>
        </w:rPr>
        <w:t xml:space="preserve"> pozorn</w:t>
      </w:r>
      <w:r>
        <w:rPr>
          <w:rFonts w:eastAsia="Times New Roman" w:cs="Times New Roman"/>
        </w:rPr>
        <w:t>ą</w:t>
      </w:r>
      <w:r w:rsidRPr="00860D89">
        <w:rPr>
          <w:rFonts w:eastAsia="Times New Roman" w:cs="Times New Roman"/>
        </w:rPr>
        <w:t>) polega</w:t>
      </w:r>
      <w:r>
        <w:rPr>
          <w:rFonts w:eastAsia="Times New Roman" w:cs="Times New Roman"/>
        </w:rPr>
        <w:t>jącą</w:t>
      </w:r>
      <w:r w:rsidRPr="00860D89">
        <w:rPr>
          <w:rFonts w:eastAsia="Times New Roman" w:cs="Times New Roman"/>
        </w:rPr>
        <w:t xml:space="preserve"> na stosowaniu nowych przepisów do trwających stosunków prawnych (zapoczątkowanych przed zmianą prawa)</w:t>
      </w:r>
      <w:r>
        <w:rPr>
          <w:rFonts w:eastAsia="Times New Roman" w:cs="Times New Roman"/>
        </w:rPr>
        <w:t xml:space="preserve">. Z tą drugą sytuacją wiąże się mniejsze ryzyko naruszenia standardów konstytucyjnych. W tym kontekście należy zwrócić uwagę, iż zaproponowany w projekcie okres rozliczeniowy nie zostanie w całości zakończony </w:t>
      </w:r>
      <w:r w:rsidR="00750789">
        <w:rPr>
          <w:rFonts w:eastAsia="Times New Roman" w:cs="Times New Roman"/>
        </w:rPr>
        <w:t xml:space="preserve">przed </w:t>
      </w:r>
      <w:r>
        <w:rPr>
          <w:rFonts w:eastAsia="Times New Roman" w:cs="Times New Roman"/>
        </w:rPr>
        <w:t xml:space="preserve">przyjętą datą wejścia </w:t>
      </w:r>
      <w:r w:rsidR="00911429">
        <w:rPr>
          <w:rFonts w:eastAsia="Times New Roman" w:cs="Times New Roman"/>
        </w:rPr>
        <w:t xml:space="preserve">w życie </w:t>
      </w:r>
      <w:r>
        <w:rPr>
          <w:rFonts w:eastAsia="Times New Roman" w:cs="Times New Roman"/>
        </w:rPr>
        <w:t xml:space="preserve">ustawy. Nie ma zatem pewności, czy podatek od nadzwyczajnych zysków faktycznie u konkretnego podatnika wystąpi.  </w:t>
      </w:r>
    </w:p>
    <w:p w14:paraId="72F57A94" w14:textId="6F1B8F80" w:rsidR="00B84D3C" w:rsidRDefault="006A292C" w:rsidP="008F3601">
      <w:pPr>
        <w:spacing w:after="360"/>
        <w:jc w:val="both"/>
        <w:rPr>
          <w:rFonts w:eastAsia="Times New Roman" w:cs="Times New Roman"/>
        </w:rPr>
      </w:pPr>
      <w:r>
        <w:rPr>
          <w:rFonts w:eastAsia="Times New Roman" w:cs="Times New Roman"/>
        </w:rPr>
        <w:t xml:space="preserve">Ponadto należy podkreślić, iż </w:t>
      </w:r>
      <w:r w:rsidR="00EC1F83">
        <w:rPr>
          <w:rFonts w:eastAsia="Times New Roman" w:cs="Times New Roman"/>
        </w:rPr>
        <w:t>zgodnie z utrwalonym podejściem Trybunału Konstytucyjnego s</w:t>
      </w:r>
      <w:r w:rsidR="00EC1F83" w:rsidRPr="00EC1F83">
        <w:rPr>
          <w:rFonts w:eastAsia="Times New Roman" w:cs="Times New Roman"/>
        </w:rPr>
        <w:t>tanowienie przepisów retroaktywnych, które pogarszają sytuację adresatów norm, jest szczególnie trudne do akceptacji, kiedy problem rozwiązywany przez te regulacje był znany ustawodawcy wcześniej i mógł być rozwiązany z wyprzedzeniem bez użycia przepisów działających wstecz (zob. orzeczenia z: 19 października 1993 r., sygn. K. 14/92, OTK w 1992</w:t>
      </w:r>
      <w:r w:rsidR="00A76E45">
        <w:rPr>
          <w:rFonts w:eastAsia="Times New Roman" w:cs="Times New Roman"/>
        </w:rPr>
        <w:t> </w:t>
      </w:r>
      <w:r w:rsidR="00EC1F83" w:rsidRPr="00EC1F83">
        <w:rPr>
          <w:rFonts w:eastAsia="Times New Roman" w:cs="Times New Roman"/>
        </w:rPr>
        <w:t xml:space="preserve">r., poz. 35; 29 marca 1994 r., sygn. K. 13/93, OTK w 1994 r., poz. 6). </w:t>
      </w:r>
      <w:r w:rsidR="00EC1F83">
        <w:rPr>
          <w:rFonts w:eastAsia="Times New Roman" w:cs="Times New Roman"/>
        </w:rPr>
        <w:t>Taka sytuacja nie ma miejsca w przypadku omawianego projektu. Jak wyjaśniono na wstępie, projekt ten stanowi reakcję na zdarzenie, którego nie można było przewidzieć i na które ani ustawodawca, ani adresaci tej regulacji nie mieli wpływu.</w:t>
      </w:r>
      <w:r w:rsidR="00717294">
        <w:rPr>
          <w:rFonts w:eastAsia="Times New Roman" w:cs="Times New Roman"/>
        </w:rPr>
        <w:t xml:space="preserve"> </w:t>
      </w:r>
      <w:r w:rsidR="00B84D3C">
        <w:rPr>
          <w:rFonts w:eastAsia="Times New Roman" w:cs="Times New Roman"/>
        </w:rPr>
        <w:t xml:space="preserve">Trudno zatem uznać, że w tym zakresie podatnicy przed marcem br. mogli mieć uzasadnione oczekiwania osiągniecia nadzwyczajnych zysków. </w:t>
      </w:r>
      <w:r w:rsidR="00C53516">
        <w:rPr>
          <w:rFonts w:eastAsia="Times New Roman" w:cs="Times New Roman"/>
        </w:rPr>
        <w:t>Nie budzi również wątpliwości, że szczególny charakter projektowanego podatku, jakim jest opodatkowanie „nadzwyczajnych” zysków</w:t>
      </w:r>
      <w:r w:rsidR="00911429">
        <w:rPr>
          <w:rFonts w:eastAsia="Times New Roman" w:cs="Times New Roman"/>
        </w:rPr>
        <w:t>,</w:t>
      </w:r>
      <w:r w:rsidR="00C53516">
        <w:rPr>
          <w:rFonts w:eastAsia="Times New Roman" w:cs="Times New Roman"/>
        </w:rPr>
        <w:t xml:space="preserve"> </w:t>
      </w:r>
      <w:r w:rsidR="002148D7">
        <w:rPr>
          <w:rFonts w:eastAsia="Times New Roman" w:cs="Times New Roman"/>
        </w:rPr>
        <w:t xml:space="preserve">wymaga rozwiązań ekstraordynaryjnych. </w:t>
      </w:r>
      <w:r w:rsidR="00D1179F">
        <w:rPr>
          <w:rFonts w:eastAsia="Times New Roman" w:cs="Times New Roman"/>
        </w:rPr>
        <w:t>Nieprzewidywalność zdarzeń, z którymi wiąże się ich osiągnięcie</w:t>
      </w:r>
      <w:r w:rsidR="00C75BCE">
        <w:rPr>
          <w:rFonts w:eastAsia="Times New Roman" w:cs="Times New Roman"/>
        </w:rPr>
        <w:t>,</w:t>
      </w:r>
      <w:r w:rsidR="00D1179F">
        <w:rPr>
          <w:rFonts w:eastAsia="Times New Roman" w:cs="Times New Roman"/>
        </w:rPr>
        <w:t xml:space="preserve"> powoduje, że</w:t>
      </w:r>
      <w:r w:rsidR="00C60668">
        <w:rPr>
          <w:rFonts w:eastAsia="Times New Roman" w:cs="Times New Roman"/>
        </w:rPr>
        <w:t xml:space="preserve"> niejako</w:t>
      </w:r>
      <w:r w:rsidR="00D1179F">
        <w:rPr>
          <w:rFonts w:eastAsia="Times New Roman" w:cs="Times New Roman"/>
        </w:rPr>
        <w:t xml:space="preserve"> </w:t>
      </w:r>
      <w:r w:rsidR="00C60668" w:rsidRPr="00635DDB">
        <w:rPr>
          <w:rFonts w:eastAsia="Times New Roman" w:cs="Times New Roman"/>
          <w:i/>
          <w:iCs/>
        </w:rPr>
        <w:t>ex definitione</w:t>
      </w:r>
      <w:r w:rsidR="00C60668">
        <w:rPr>
          <w:rFonts w:eastAsia="Times New Roman" w:cs="Times New Roman"/>
        </w:rPr>
        <w:t xml:space="preserve"> nie jest możliwe wdrożenie tego rodzaju rozwiązań na przyszłość (ekonomicznie będą to bowiem już inne zyski niż osiągnięte w związku z sytuacją nadzwyczajną).  </w:t>
      </w:r>
      <w:r w:rsidR="00D1179F">
        <w:rPr>
          <w:rFonts w:eastAsia="Times New Roman" w:cs="Times New Roman"/>
        </w:rPr>
        <w:t xml:space="preserve"> </w:t>
      </w:r>
    </w:p>
    <w:p w14:paraId="7BBB49F9" w14:textId="65624924" w:rsidR="00EC1F83" w:rsidRDefault="006A292C" w:rsidP="008F3601">
      <w:pPr>
        <w:spacing w:after="120"/>
        <w:jc w:val="both"/>
        <w:rPr>
          <w:rFonts w:eastAsia="Times New Roman" w:cs="Times New Roman"/>
        </w:rPr>
      </w:pPr>
      <w:r>
        <w:rPr>
          <w:rFonts w:eastAsia="Times New Roman" w:cs="Times New Roman"/>
        </w:rPr>
        <w:lastRenderedPageBreak/>
        <w:t xml:space="preserve">Z orzecznictwa Trybunału Konstytucyjnego wynika również, że (dopuszczalna) </w:t>
      </w:r>
      <w:r w:rsidR="00EC1F83" w:rsidRPr="00EC1F83">
        <w:rPr>
          <w:rFonts w:eastAsia="Times New Roman" w:cs="Times New Roman"/>
        </w:rPr>
        <w:t>retroaktywność musi być konieczna (niezbędna) dla realizacji (urzeczywistniania)</w:t>
      </w:r>
      <w:r>
        <w:rPr>
          <w:rStyle w:val="Odwoanieprzypisudolnego"/>
          <w:rFonts w:eastAsia="Times New Roman" w:cs="Times New Roman"/>
        </w:rPr>
        <w:footnoteReference w:id="4"/>
      </w:r>
      <w:r w:rsidR="00A76E45" w:rsidRPr="00B472EA">
        <w:rPr>
          <w:rFonts w:eastAsia="Times New Roman" w:cs="Times New Roman"/>
          <w:vertAlign w:val="superscript"/>
        </w:rPr>
        <w:t>)</w:t>
      </w:r>
      <w:r>
        <w:rPr>
          <w:rFonts w:eastAsia="Times New Roman" w:cs="Times New Roman"/>
        </w:rPr>
        <w:t xml:space="preserve"> </w:t>
      </w:r>
      <w:r w:rsidR="00EC1F83" w:rsidRPr="00EC1F83">
        <w:rPr>
          <w:rFonts w:eastAsia="Times New Roman" w:cs="Times New Roman"/>
        </w:rPr>
        <w:t>lub ochrony</w:t>
      </w:r>
      <w:r>
        <w:rPr>
          <w:rStyle w:val="Odwoanieprzypisudolnego"/>
          <w:rFonts w:eastAsia="Times New Roman" w:cs="Times New Roman"/>
        </w:rPr>
        <w:footnoteReference w:id="5"/>
      </w:r>
      <w:r w:rsidR="00A76E45" w:rsidRPr="00B472EA">
        <w:rPr>
          <w:rFonts w:eastAsia="Times New Roman" w:cs="Times New Roman"/>
          <w:vertAlign w:val="superscript"/>
        </w:rPr>
        <w:t>)</w:t>
      </w:r>
      <w:r w:rsidR="00EC1F83" w:rsidRPr="00EC1F83">
        <w:rPr>
          <w:rFonts w:eastAsia="Times New Roman" w:cs="Times New Roman"/>
        </w:rPr>
        <w:t xml:space="preserve"> konkretnych wartości konstytucyjnych w tym sensie, że realizacja (ochrona) tych wartości nie jest możliwa bez wstecznego działania prawa. Te inne wartości konstytucyjne muszą być szczególnie cenne (por. cytowany już wyrok w sprawie sygn. SK 19/06) i ważniejsze od wartości chronionej zakazem retroakcji (por. powołany wyrok w sprawie o sygn. P. 4/99 oraz wyrok z 5 września 2007 r., sygn. P 21/06, OTK ZU nr 8/A/2007, poz. 96). W konkretnych wypadkach wartością taką może być np. sprawiedliwość społeczna (por. orzeczenie z 24 lipca 1990 r., sygn. K. 5/90, OTK w 1990 r., poz. 4)</w:t>
      </w:r>
      <w:r w:rsidR="000A2C5E">
        <w:rPr>
          <w:rFonts w:eastAsia="Times New Roman" w:cs="Times New Roman"/>
        </w:rPr>
        <w:t xml:space="preserve">. </w:t>
      </w:r>
    </w:p>
    <w:p w14:paraId="54888BB4" w14:textId="7EC32211" w:rsidR="005A1DF9" w:rsidRDefault="005A1DF9" w:rsidP="008F3601">
      <w:pPr>
        <w:spacing w:before="220" w:after="160"/>
        <w:rPr>
          <w:rFonts w:eastAsia="Times New Roman" w:cs="Times New Roman"/>
        </w:rPr>
      </w:pPr>
      <w:r>
        <w:rPr>
          <w:b/>
          <w:bCs/>
        </w:rPr>
        <w:t>I</w:t>
      </w:r>
      <w:r w:rsidR="005264BA">
        <w:rPr>
          <w:b/>
          <w:bCs/>
        </w:rPr>
        <w:t>V</w:t>
      </w:r>
      <w:r>
        <w:rPr>
          <w:b/>
          <w:bCs/>
        </w:rPr>
        <w:t>. Szczegółowe omówienie przepisów projektu ustawy</w:t>
      </w:r>
    </w:p>
    <w:p w14:paraId="1037DE5A" w14:textId="0F5D14BE" w:rsidR="00955E1E" w:rsidRPr="00955E1E" w:rsidRDefault="00955E1E" w:rsidP="005A1DF9">
      <w:pPr>
        <w:spacing w:after="160"/>
        <w:jc w:val="both"/>
        <w:rPr>
          <w:rFonts w:eastAsia="Times New Roman" w:cs="Times New Roman"/>
        </w:rPr>
      </w:pPr>
      <w:r>
        <w:rPr>
          <w:b/>
          <w:bCs/>
        </w:rPr>
        <w:t>Tytuł ustawy</w:t>
      </w:r>
      <w:r w:rsidRPr="008F3601">
        <w:t xml:space="preserve"> </w:t>
      </w:r>
      <w:r w:rsidR="006A35B6">
        <w:rPr>
          <w:b/>
          <w:bCs/>
        </w:rPr>
        <w:t>–</w:t>
      </w:r>
      <w:r w:rsidRPr="008F3601">
        <w:t xml:space="preserve"> </w:t>
      </w:r>
      <w:r>
        <w:rPr>
          <w:rFonts w:eastAsia="Times New Roman" w:cs="Times New Roman"/>
        </w:rPr>
        <w:t xml:space="preserve">epizodyczny charakter omawianej daniny został podkreślony w tytule projektu ustawy poprzez odesłanie do wskazanego okresu jej obowiązywania.  </w:t>
      </w:r>
    </w:p>
    <w:p w14:paraId="4EE94788" w14:textId="00F17E97" w:rsidR="00A84FDB" w:rsidRDefault="005A1DF9" w:rsidP="005A1DF9">
      <w:pPr>
        <w:spacing w:after="160"/>
        <w:jc w:val="both"/>
      </w:pPr>
      <w:r>
        <w:rPr>
          <w:b/>
          <w:bCs/>
        </w:rPr>
        <w:t>Art. 1</w:t>
      </w:r>
      <w:r>
        <w:t xml:space="preserve"> –</w:t>
      </w:r>
      <w:r w:rsidR="00247929">
        <w:t xml:space="preserve"> </w:t>
      </w:r>
      <w:r>
        <w:t>określa przedmiot regulacji</w:t>
      </w:r>
      <w:r w:rsidR="00205C70">
        <w:t xml:space="preserve">. Opodatkowaniu podatkiem od nadzwyczajnych zysków podlegają zyski osiągnięte w </w:t>
      </w:r>
      <w:r w:rsidR="007C632C">
        <w:t xml:space="preserve">okresie </w:t>
      </w:r>
      <w:r w:rsidR="00205C70">
        <w:t>od 1 marca 2026 r. do 31 grudnia 2026 r. w związku z</w:t>
      </w:r>
      <w:r w:rsidR="00901B7E">
        <w:t>e zbywaniem</w:t>
      </w:r>
      <w:r w:rsidR="00205C70">
        <w:t xml:space="preserve"> paliw ciekłych.</w:t>
      </w:r>
      <w:r w:rsidR="00F83BF6">
        <w:t xml:space="preserve"> </w:t>
      </w:r>
      <w:r w:rsidR="00F83BF6" w:rsidRPr="00F83BF6">
        <w:t xml:space="preserve">Przepis ten </w:t>
      </w:r>
      <w:r w:rsidR="00955E1E">
        <w:t>wprowadza</w:t>
      </w:r>
      <w:r w:rsidR="00F83BF6" w:rsidRPr="00F83BF6">
        <w:t xml:space="preserve"> również skróconą nazwę daniny – „podatek od nadzwyczajnych zysków” – stosowaną konsekwentnie w dalszych przepisach ustawy.</w:t>
      </w:r>
    </w:p>
    <w:p w14:paraId="614E5731" w14:textId="41531B75" w:rsidR="00313295" w:rsidRDefault="005A1DF9" w:rsidP="005A1DF9">
      <w:pPr>
        <w:spacing w:after="160"/>
        <w:jc w:val="both"/>
        <w:rPr>
          <w:b/>
          <w:bCs/>
        </w:rPr>
      </w:pPr>
      <w:r w:rsidRPr="00A84FDB">
        <w:rPr>
          <w:b/>
          <w:bCs/>
        </w:rPr>
        <w:t xml:space="preserve">Art. </w:t>
      </w:r>
      <w:r w:rsidR="00F158B3">
        <w:rPr>
          <w:b/>
          <w:bCs/>
        </w:rPr>
        <w:t>2</w:t>
      </w:r>
      <w:r w:rsidR="00F158B3" w:rsidRPr="008F3601">
        <w:t xml:space="preserve"> </w:t>
      </w:r>
      <w:r w:rsidR="005056E5" w:rsidRPr="00B54F4B">
        <w:t>–</w:t>
      </w:r>
      <w:r w:rsidR="00247929">
        <w:t xml:space="preserve"> </w:t>
      </w:r>
      <w:r w:rsidR="009F206B">
        <w:t xml:space="preserve">zawiera słowniczek </w:t>
      </w:r>
      <w:r w:rsidR="00B760BB">
        <w:t>podstawowych pojęć używanych w ustawie.</w:t>
      </w:r>
      <w:r w:rsidR="00B760BB">
        <w:rPr>
          <w:b/>
          <w:bCs/>
        </w:rPr>
        <w:t xml:space="preserve"> </w:t>
      </w:r>
    </w:p>
    <w:p w14:paraId="2DDEB3D6" w14:textId="6B9A830E" w:rsidR="009F206B" w:rsidRDefault="003D2504" w:rsidP="005A1DF9">
      <w:pPr>
        <w:spacing w:after="160"/>
        <w:jc w:val="both"/>
      </w:pPr>
      <w:r>
        <w:t>Regulacj</w:t>
      </w:r>
      <w:r w:rsidR="00D25920">
        <w:t>ę</w:t>
      </w:r>
      <w:r>
        <w:t xml:space="preserve"> tę otwiera </w:t>
      </w:r>
      <w:r w:rsidR="00A24E87">
        <w:t>pojęcie</w:t>
      </w:r>
      <w:r w:rsidR="009F206B">
        <w:t xml:space="preserve"> kosztów, które </w:t>
      </w:r>
      <w:r w:rsidR="001C7625">
        <w:t>z</w:t>
      </w:r>
      <w:r w:rsidR="009F206B">
        <w:t xml:space="preserve">definiowano jako koszty w rozumieniu ustawy </w:t>
      </w:r>
      <w:r w:rsidR="00D91894" w:rsidRPr="00062D84">
        <w:t xml:space="preserve">z dnia 29 września 1994 r. </w:t>
      </w:r>
      <w:r w:rsidR="009F206B">
        <w:t>o</w:t>
      </w:r>
      <w:r w:rsidR="00313295">
        <w:t> </w:t>
      </w:r>
      <w:r w:rsidR="009F206B">
        <w:t xml:space="preserve">rachunkowości </w:t>
      </w:r>
      <w:r w:rsidR="00D91894" w:rsidRPr="00062D84">
        <w:t>(Dz.</w:t>
      </w:r>
      <w:r w:rsidR="00D91894">
        <w:t> </w:t>
      </w:r>
      <w:r w:rsidR="00D91894" w:rsidRPr="00062D84">
        <w:t>U. z 2026 r. poz. 522</w:t>
      </w:r>
      <w:r w:rsidR="00D91894">
        <w:t>,</w:t>
      </w:r>
      <w:r w:rsidR="00CA0B4C">
        <w:t xml:space="preserve"> z późn. zm.</w:t>
      </w:r>
      <w:r w:rsidR="00D91894" w:rsidRPr="00062D84">
        <w:t>)</w:t>
      </w:r>
      <w:r w:rsidR="00D91894">
        <w:t xml:space="preserve">, zwanej dalej: „ustawą o rachunkowości”, </w:t>
      </w:r>
      <w:r w:rsidR="009F206B">
        <w:t>lub standardów, o których mowa w art. 2 ust. 3 tej ustawy, określone na podstawie prawidłowo prowadzonych ksiąg rachunkowych.</w:t>
      </w:r>
      <w:r w:rsidR="00313295">
        <w:t xml:space="preserve"> Wyjątkowo, w przypadku gdy podatnik nie był w danym okresie zobowiązany do prowadzenia ksiąg rachunkowych</w:t>
      </w:r>
      <w:r w:rsidR="00D91894">
        <w:t>,</w:t>
      </w:r>
      <w:r w:rsidR="00313295">
        <w:t xml:space="preserve"> projekt dopuszcza w tym zakresie posłużenie się ewidencją prowadzoną przez podatnika do celów podatku dochodowego. Ta sama zasada odnosi się do definicji przychodów. </w:t>
      </w:r>
      <w:r w:rsidR="00B901F1" w:rsidRPr="00F505B6">
        <w:t>Umożliwia to objęcie opodatkowaniem również podatników, którzy nie są zobowiązani do prowadzenia pełnej rachunkowości, przy jednoczesnym zapewnieniu wiarygodnej podstawy obliczeniowej opartej na danych podatkowych</w:t>
      </w:r>
      <w:r w:rsidR="00B901F1">
        <w:t xml:space="preserve">. </w:t>
      </w:r>
    </w:p>
    <w:p w14:paraId="1C7F4516" w14:textId="4B9217DC" w:rsidR="00B901F1" w:rsidRDefault="009F206B" w:rsidP="005A1DF9">
      <w:pPr>
        <w:spacing w:after="160"/>
        <w:jc w:val="both"/>
      </w:pPr>
      <w:r>
        <w:t xml:space="preserve">Pkt 2 zawiera </w:t>
      </w:r>
      <w:r w:rsidR="003D2504">
        <w:t>definicj</w:t>
      </w:r>
      <w:r>
        <w:t>ę</w:t>
      </w:r>
      <w:r w:rsidR="003D2504">
        <w:t xml:space="preserve"> paliw ciekłych, które to pojęcie należy rozumieć zgodnie </w:t>
      </w:r>
      <w:r w:rsidR="00A24E87">
        <w:t>z treścią</w:t>
      </w:r>
      <w:r w:rsidR="003D2504">
        <w:t xml:space="preserve"> art.</w:t>
      </w:r>
      <w:r w:rsidR="00991F02">
        <w:t> </w:t>
      </w:r>
      <w:r w:rsidR="003D2504">
        <w:t xml:space="preserve">2 ust. 1 pkt 4 ustawy z dnia 25 sierpnia 2006 r. o systemie monitorowania i kontrolowania jakości </w:t>
      </w:r>
      <w:r w:rsidR="003D2504">
        <w:lastRenderedPageBreak/>
        <w:t xml:space="preserve">paliw (Dz. U. z 2025 r. poz. 1529). Odwołanie do definicji zawartej w tej ustawie zapewnia spójność terminologiczną z obowiązującym systemem prawnym i eliminuje ryzyko rozbieżności interpretacyjnych co do zakresu regulacji. </w:t>
      </w:r>
      <w:r w:rsidR="004760B7">
        <w:t>Omawiana definicja</w:t>
      </w:r>
      <w:r w:rsidR="004760B7" w:rsidRPr="004760B7">
        <w:t xml:space="preserve"> wyraźnie wyłącza z zakresu pojęcia paliw ciekłych oleje opałowe zdefiniowane odrębnie w art. 2 ust. 1 pkt 8 i 9 przywołanej ustawy, co precyzyjnie zawęża krąg podmiotów zobowiązanych do branży faktycznie korzystającej z nadzwyczajnych marż spowodowanych kryzysem.</w:t>
      </w:r>
    </w:p>
    <w:p w14:paraId="48CC07AC" w14:textId="278E632C" w:rsidR="004642DD" w:rsidRDefault="004642DD" w:rsidP="005A1DF9">
      <w:pPr>
        <w:spacing w:after="160"/>
        <w:jc w:val="both"/>
      </w:pPr>
      <w:r>
        <w:t>Treścią pkt 3 analizowanego artykułu jest określenie znaczenia terminu</w:t>
      </w:r>
      <w:r w:rsidR="00A24E87">
        <w:t xml:space="preserve"> </w:t>
      </w:r>
      <w:r w:rsidR="009B6F36">
        <w:t>„</w:t>
      </w:r>
      <w:r>
        <w:t>podmiot</w:t>
      </w:r>
      <w:r w:rsidR="009B6F36">
        <w:t>”</w:t>
      </w:r>
      <w:r>
        <w:t xml:space="preserve">, które to pojęcie na gruncie projektowanych przepisów oznacza osobę fizyczną, osobę prawną </w:t>
      </w:r>
      <w:r w:rsidR="00A24E87">
        <w:t>lub</w:t>
      </w:r>
      <w:r>
        <w:t xml:space="preserve"> jednostkę organizacyjną niebędącą osobą prawną.</w:t>
      </w:r>
    </w:p>
    <w:p w14:paraId="7DFFCF29" w14:textId="1D77D9D7" w:rsidR="00F12B48" w:rsidRDefault="00F12B48" w:rsidP="005A1DF9">
      <w:pPr>
        <w:spacing w:after="160"/>
        <w:jc w:val="both"/>
      </w:pPr>
      <w:r>
        <w:t>Przychody zdefiniowano</w:t>
      </w:r>
      <w:r w:rsidR="009F206B">
        <w:t xml:space="preserve"> w ramach pkt </w:t>
      </w:r>
      <w:r w:rsidR="004642DD">
        <w:t>4</w:t>
      </w:r>
      <w:r>
        <w:t xml:space="preserve"> poprzez odesłanie do znaczenia tego terminu funkcjonującego na gruncie art. 3 ust. 1 pkt 30a ustawy o rachunkowości. W kontekście zakresu podmiotowego projektowanej daniny oznacza to tym samym, że jednostki stosujące przepisy ustawy o rachunkowości powinny utożsamiać przychód, o którym mowa w projektowanych przepisach</w:t>
      </w:r>
      <w:r w:rsidR="00CA0686">
        <w:t>,</w:t>
      </w:r>
      <w:r>
        <w:t xml:space="preserve"> z przychodem netto ze sprzedaży towarów i produktów, z uwzględnieniem dotacji, opustów, rabatów i innych zwiększeń lub zmniejszeń, bez podatku VAT i innych podatków bezpośrednio związanych z obrotem. Z kolei podmioty stosujące Międzynarodowe Standardy Rachunkowości powinny obliczać przychód w oparciu o przychody umów z klientami w</w:t>
      </w:r>
      <w:r w:rsidR="00B901F1">
        <w:t> </w:t>
      </w:r>
      <w:r>
        <w:t>rozumieniu MSR (art. 3 ust.</w:t>
      </w:r>
      <w:r w:rsidR="009B6F36">
        <w:t xml:space="preserve"> 1</w:t>
      </w:r>
      <w:r>
        <w:t xml:space="preserve"> pkt 30a lit. b ustawy o rachunkowości). Zaproponowany kształt definicji zapewnia spójne traktowanie jednostek stosujących krajowe i międzynarodowe standardy rachunkowości. </w:t>
      </w:r>
    </w:p>
    <w:p w14:paraId="2C2FF2E9" w14:textId="20535FB0" w:rsidR="001704B2" w:rsidRDefault="001C7625" w:rsidP="005A1DF9">
      <w:pPr>
        <w:spacing w:after="160"/>
        <w:jc w:val="both"/>
      </w:pPr>
      <w:r>
        <w:t>W odniesieniu do przychodów i kosztów</w:t>
      </w:r>
      <w:r w:rsidR="00B901F1">
        <w:t>, odpowiednio, osiąganych albo ponoszonych</w:t>
      </w:r>
      <w:r>
        <w:t xml:space="preserve"> </w:t>
      </w:r>
      <w:r w:rsidR="00B901F1">
        <w:t xml:space="preserve">w relacjach z podmiotami powiązanymi </w:t>
      </w:r>
      <w:r>
        <w:t>ich wysokość powinna być ustalona zgodnie z zasadą ceny rynkowej</w:t>
      </w:r>
      <w:r w:rsidR="00B901F1">
        <w:t xml:space="preserve">, wynikającą z ustawy </w:t>
      </w:r>
      <w:r w:rsidR="0086725B">
        <w:t xml:space="preserve">z dnia 26 lipca 1991 r. </w:t>
      </w:r>
      <w:r w:rsidR="00B901F1">
        <w:t xml:space="preserve">o podatku dochodowym od osób fizycznych </w:t>
      </w:r>
      <w:r w:rsidR="0086725B" w:rsidRPr="00062D84" w:rsidDel="009A1C8F">
        <w:t>(Dz. U. z 2026 r. poz. 592</w:t>
      </w:r>
      <w:r w:rsidR="00CA0B4C">
        <w:t>, z późn. zm.</w:t>
      </w:r>
      <w:r w:rsidR="0086725B" w:rsidRPr="00062D84" w:rsidDel="009A1C8F">
        <w:t xml:space="preserve">) </w:t>
      </w:r>
      <w:r w:rsidR="00B901F1">
        <w:t xml:space="preserve">oraz ustawy </w:t>
      </w:r>
      <w:r w:rsidR="0086725B">
        <w:t xml:space="preserve">z dnia 15 lutego 1992 r. </w:t>
      </w:r>
      <w:r w:rsidR="00B901F1">
        <w:t xml:space="preserve">o podatku dochodowym od osób prawnych </w:t>
      </w:r>
      <w:r w:rsidR="0086725B" w:rsidRPr="00062D84">
        <w:t>(Dz. U. z 2026 r. poz.</w:t>
      </w:r>
      <w:r w:rsidR="0086725B">
        <w:t> </w:t>
      </w:r>
      <w:r w:rsidR="0086725B" w:rsidRPr="00062D84">
        <w:t>554</w:t>
      </w:r>
      <w:r w:rsidR="00CA0B4C">
        <w:t>, z późn. zm.</w:t>
      </w:r>
      <w:r w:rsidR="0086725B" w:rsidRPr="00062D84">
        <w:t>)</w:t>
      </w:r>
      <w:r>
        <w:t xml:space="preserve"> (</w:t>
      </w:r>
      <w:r w:rsidR="00F505B6">
        <w:t xml:space="preserve">wyjaśnionej </w:t>
      </w:r>
      <w:r>
        <w:t xml:space="preserve">w ramach wieńczącego katalog definicji ustawowych pkt </w:t>
      </w:r>
      <w:r w:rsidR="002F3359">
        <w:t>6</w:t>
      </w:r>
      <w:r>
        <w:t>)</w:t>
      </w:r>
      <w:r w:rsidR="000121D9">
        <w:t xml:space="preserve">. </w:t>
      </w:r>
      <w:r w:rsidR="008F780E">
        <w:t>Uwzględnianie dyspozycji płynących z zasady ceny rynkowej zmierza do wyeliminowania ryzyka</w:t>
      </w:r>
      <w:r w:rsidR="008F780E" w:rsidRPr="00DD167A">
        <w:t xml:space="preserve"> manipulacji marżą (wartościami przychodów i kosztów) </w:t>
      </w:r>
      <w:r w:rsidR="008F780E">
        <w:t xml:space="preserve">między podmiotami powiązanymi </w:t>
      </w:r>
      <w:r w:rsidR="008F780E" w:rsidRPr="00DD167A">
        <w:t>w</w:t>
      </w:r>
      <w:r w:rsidR="008F780E">
        <w:t> </w:t>
      </w:r>
      <w:r w:rsidR="008F780E" w:rsidRPr="00DD167A">
        <w:t xml:space="preserve">celu uniknięcia opodatkowania </w:t>
      </w:r>
      <w:r w:rsidR="008F780E">
        <w:t>projektowaną regulacją (sztucznego zmniejszenia wykazywanej marży na sprzedaży paliw ciekłych). Jednocześnie wszystkie pojęcia dotyczące stosowania zasady cen</w:t>
      </w:r>
      <w:r w:rsidR="00CC7E81">
        <w:t>y</w:t>
      </w:r>
      <w:r w:rsidR="008F780E">
        <w:t xml:space="preserve"> rynkowej powinny być rozumiane zgodnie z przepisami Rozdziału 1a ustawy </w:t>
      </w:r>
      <w:r w:rsidR="00CC7E81">
        <w:t xml:space="preserve">z dnia 15 lutego 1992 r. </w:t>
      </w:r>
      <w:r w:rsidR="008F780E">
        <w:t>o podatku dochodowym od osób prawnych oraz Rozdziału 4b ustawy</w:t>
      </w:r>
      <w:r w:rsidR="00CC7E81">
        <w:t xml:space="preserve"> z dnia 26 lipca 1991 r. </w:t>
      </w:r>
      <w:r w:rsidR="008F780E">
        <w:t>o podatku dochodowym od osób fizycznych</w:t>
      </w:r>
      <w:r w:rsidR="001704B2">
        <w:t>.</w:t>
      </w:r>
    </w:p>
    <w:p w14:paraId="124F21E7" w14:textId="398A9CC8" w:rsidR="0081106B" w:rsidRPr="00635DDB" w:rsidRDefault="006F2A44" w:rsidP="005A1DF9">
      <w:pPr>
        <w:spacing w:after="160"/>
        <w:jc w:val="both"/>
        <w:rPr>
          <w:bCs/>
        </w:rPr>
      </w:pPr>
      <w:r>
        <w:lastRenderedPageBreak/>
        <w:t>Treści</w:t>
      </w:r>
      <w:r w:rsidR="009B6F36">
        <w:t>ą</w:t>
      </w:r>
      <w:r>
        <w:t xml:space="preserve"> pkt </w:t>
      </w:r>
      <w:r w:rsidR="004760B7">
        <w:t xml:space="preserve">5 </w:t>
      </w:r>
      <w:r>
        <w:t>jest wyjaśnienie, w jaki sposób należy rozumieć termin wytwarzani</w:t>
      </w:r>
      <w:r w:rsidR="00F85D1D">
        <w:t>e paliw ciekłych</w:t>
      </w:r>
      <w:r w:rsidR="004760B7">
        <w:t>.</w:t>
      </w:r>
      <w:r>
        <w:t xml:space="preserve"> Zgodnie z treścią tego przepisu wytwarzanie</w:t>
      </w:r>
      <w:r w:rsidR="00F85D1D">
        <w:t>m paliw ciekłych</w:t>
      </w:r>
      <w:r>
        <w:t xml:space="preserve"> na potrzeby projektowanej regulacji </w:t>
      </w:r>
      <w:r w:rsidR="00F85D1D">
        <w:t xml:space="preserve">jest </w:t>
      </w:r>
      <w:r w:rsidR="00F85D1D" w:rsidRPr="00F85D1D">
        <w:rPr>
          <w:bCs/>
        </w:rPr>
        <w:t xml:space="preserve">produkcja </w:t>
      </w:r>
      <w:r w:rsidR="00F85D1D">
        <w:rPr>
          <w:bCs/>
        </w:rPr>
        <w:t xml:space="preserve">takich </w:t>
      </w:r>
      <w:r w:rsidR="00F85D1D" w:rsidRPr="00F85D1D">
        <w:rPr>
          <w:bCs/>
        </w:rPr>
        <w:t>paliw w instalacjach wytwarzania paliw ciekłych, w rozumieniu art. 3 pkt 10e ustawy z dnia 10 kwietnia 1997 r. – Prawo energetyczne (Dz. U. z</w:t>
      </w:r>
      <w:r w:rsidR="00561532">
        <w:rPr>
          <w:bCs/>
        </w:rPr>
        <w:t> </w:t>
      </w:r>
      <w:r w:rsidR="00F85D1D" w:rsidRPr="00F85D1D">
        <w:rPr>
          <w:bCs/>
        </w:rPr>
        <w:t>2026 r. poz. 43, 516 i 607), w procesie przerobu ropy naftowej</w:t>
      </w:r>
      <w:r w:rsidR="00F85D1D">
        <w:rPr>
          <w:bCs/>
        </w:rPr>
        <w:t xml:space="preserve">. Jest to zatem definicja węższa niż definicja „wytwarzania” zawarta w art. 3 pkt 45 lit. b ustawy </w:t>
      </w:r>
      <w:r w:rsidR="000A37AF">
        <w:rPr>
          <w:bCs/>
        </w:rPr>
        <w:t xml:space="preserve">z dnia 10 kwietnia 1997 r. </w:t>
      </w:r>
      <w:r w:rsidR="00F85D1D">
        <w:rPr>
          <w:bCs/>
        </w:rPr>
        <w:t xml:space="preserve">– Prawo energetyczne, gdyż nie obejmuje ona innych sposobów wytwarzania paliw ciekłych niż następujących poprzez proces przerobu (rafinacji) ropy naftowej. </w:t>
      </w:r>
      <w:r w:rsidRPr="0081106B">
        <w:t>Z</w:t>
      </w:r>
      <w:r w:rsidR="0081106B">
        <w:t> </w:t>
      </w:r>
      <w:r w:rsidRPr="0081106B">
        <w:t xml:space="preserve">uwagi na tak ukształtowaną treść </w:t>
      </w:r>
      <w:r w:rsidR="00F85D1D">
        <w:t xml:space="preserve">omawianej </w:t>
      </w:r>
      <w:r w:rsidRPr="0081106B">
        <w:t xml:space="preserve">definicji poza jej zakresem znajduje się wytwarzanie paliw ciekłych prowadzone </w:t>
      </w:r>
      <w:r w:rsidR="00F85D1D">
        <w:t xml:space="preserve">m.in. </w:t>
      </w:r>
      <w:r w:rsidRPr="0081106B">
        <w:t>w</w:t>
      </w:r>
      <w:r w:rsidR="00561532">
        <w:t> </w:t>
      </w:r>
      <w:r w:rsidRPr="0081106B">
        <w:t xml:space="preserve">procesach </w:t>
      </w:r>
      <w:r w:rsidR="0081106B" w:rsidRPr="0081106B">
        <w:t>mieszani</w:t>
      </w:r>
      <w:r w:rsidR="0081106B">
        <w:t>a</w:t>
      </w:r>
      <w:r w:rsidR="0081106B" w:rsidRPr="0081106B">
        <w:t xml:space="preserve"> komponentów lub paliw ciekłych lub poprzez mieszanie komponentów z paliwami ciekłymi</w:t>
      </w:r>
      <w:r w:rsidR="0081106B">
        <w:t xml:space="preserve"> (tzw. </w:t>
      </w:r>
      <w:r w:rsidR="0081106B" w:rsidRPr="008F3601">
        <w:rPr>
          <w:i/>
          <w:iCs/>
        </w:rPr>
        <w:t>blending</w:t>
      </w:r>
      <w:r w:rsidR="0081106B">
        <w:t xml:space="preserve">). </w:t>
      </w:r>
    </w:p>
    <w:p w14:paraId="163EBFCB" w14:textId="15AD8731" w:rsidR="00B760BB" w:rsidRDefault="006113E5" w:rsidP="005A1DF9">
      <w:pPr>
        <w:spacing w:after="160"/>
        <w:jc w:val="both"/>
      </w:pPr>
      <w:r>
        <w:rPr>
          <w:b/>
          <w:bCs/>
        </w:rPr>
        <w:t xml:space="preserve">Art. </w:t>
      </w:r>
      <w:r w:rsidR="00F158B3">
        <w:rPr>
          <w:b/>
          <w:bCs/>
        </w:rPr>
        <w:t>3</w:t>
      </w:r>
      <w:r w:rsidR="00CA0686" w:rsidRPr="008F3601">
        <w:t xml:space="preserve"> </w:t>
      </w:r>
      <w:r w:rsidR="00CA0686">
        <w:t>–</w:t>
      </w:r>
      <w:r w:rsidR="00247929">
        <w:t xml:space="preserve"> </w:t>
      </w:r>
      <w:r w:rsidR="00205C70">
        <w:t xml:space="preserve">przesądza, że wpływy z omawianego podatku </w:t>
      </w:r>
      <w:r w:rsidR="003E4E08">
        <w:t xml:space="preserve">stanowią dochód </w:t>
      </w:r>
      <w:r w:rsidR="00205C70">
        <w:t>budżet</w:t>
      </w:r>
      <w:r w:rsidR="00F649F2">
        <w:t>u</w:t>
      </w:r>
      <w:r w:rsidR="00205C70">
        <w:t xml:space="preserve"> państwa</w:t>
      </w:r>
      <w:r w:rsidR="00B760BB">
        <w:t>.</w:t>
      </w:r>
    </w:p>
    <w:p w14:paraId="37C8A5ED" w14:textId="569CE585" w:rsidR="00F158B3" w:rsidRPr="00F158B3" w:rsidRDefault="00F158B3" w:rsidP="00F158B3">
      <w:pPr>
        <w:spacing w:after="160"/>
        <w:jc w:val="both"/>
      </w:pPr>
      <w:r w:rsidRPr="00AD5D2A">
        <w:rPr>
          <w:b/>
          <w:bCs/>
        </w:rPr>
        <w:t xml:space="preserve">Art. </w:t>
      </w:r>
      <w:r>
        <w:rPr>
          <w:b/>
          <w:bCs/>
        </w:rPr>
        <w:t>4</w:t>
      </w:r>
      <w:r>
        <w:t xml:space="preserve"> </w:t>
      </w:r>
      <w:r w:rsidRPr="00B54F4B">
        <w:t>– określa rok podatkowy jako okres od dnia 1 marca 2026 r. do dnia 31 grudnia 2026 r.</w:t>
      </w:r>
    </w:p>
    <w:p w14:paraId="110C98FB" w14:textId="45199CE8" w:rsidR="006567F6" w:rsidRDefault="005264BA" w:rsidP="005A1DF9">
      <w:pPr>
        <w:spacing w:after="160"/>
        <w:jc w:val="both"/>
      </w:pPr>
      <w:r>
        <w:rPr>
          <w:b/>
          <w:bCs/>
        </w:rPr>
        <w:t xml:space="preserve">Art. </w:t>
      </w:r>
      <w:r w:rsidR="004760B7">
        <w:rPr>
          <w:b/>
          <w:bCs/>
        </w:rPr>
        <w:t>5</w:t>
      </w:r>
      <w:r w:rsidR="004760B7">
        <w:t xml:space="preserve"> </w:t>
      </w:r>
      <w:r>
        <w:t xml:space="preserve">– </w:t>
      </w:r>
      <w:r w:rsidR="00247929">
        <w:t>określa</w:t>
      </w:r>
      <w:r w:rsidR="00662527">
        <w:t xml:space="preserve"> kr</w:t>
      </w:r>
      <w:r w:rsidR="00247929">
        <w:t>ąg</w:t>
      </w:r>
      <w:r w:rsidR="00662527">
        <w:t xml:space="preserve"> </w:t>
      </w:r>
      <w:r>
        <w:t xml:space="preserve">podatników podatku od nadzwyczajnych zysków. </w:t>
      </w:r>
      <w:r w:rsidR="009E786F">
        <w:t xml:space="preserve">Zakres podmiotowy regulacji obejmuje dwie kategorie podatników. Pierwszą stanowią </w:t>
      </w:r>
      <w:r w:rsidR="00662527">
        <w:t xml:space="preserve">podmioty </w:t>
      </w:r>
      <w:r w:rsidR="009E786F">
        <w:t>prowadząc</w:t>
      </w:r>
      <w:r w:rsidR="00662527">
        <w:t>e</w:t>
      </w:r>
      <w:r w:rsidR="009E786F">
        <w:t xml:space="preserve"> na terytorium Rzeczypospolitej Polskiej</w:t>
      </w:r>
      <w:r w:rsidR="00A24E87">
        <w:t xml:space="preserve"> </w:t>
      </w:r>
      <w:r w:rsidR="00A24E87" w:rsidRPr="007709E7">
        <w:t>(samodzielnie lub za pośrednictwem innego podmiotu</w:t>
      </w:r>
      <w:r w:rsidR="00A24E87">
        <w:t>)</w:t>
      </w:r>
      <w:r w:rsidR="009E786F">
        <w:t xml:space="preserve"> działalność w zakresie wytwarzania paliw ciekłych</w:t>
      </w:r>
      <w:r w:rsidR="003E4E08">
        <w:t xml:space="preserve"> (w rozumieniu omawianej ustawy)</w:t>
      </w:r>
      <w:r w:rsidR="009E786F" w:rsidRPr="007709E7">
        <w:t>.</w:t>
      </w:r>
      <w:r w:rsidR="00A24E87">
        <w:t xml:space="preserve"> </w:t>
      </w:r>
      <w:r w:rsidR="009E786F">
        <w:t xml:space="preserve">Drugą kategorię </w:t>
      </w:r>
      <w:r w:rsidR="004642DD">
        <w:t xml:space="preserve">stanowią </w:t>
      </w:r>
      <w:r w:rsidR="00662527">
        <w:t xml:space="preserve">podmioty </w:t>
      </w:r>
      <w:r w:rsidR="009E786F">
        <w:t>dokonując</w:t>
      </w:r>
      <w:r w:rsidR="00662527">
        <w:t>e</w:t>
      </w:r>
      <w:r w:rsidR="009E786F">
        <w:t xml:space="preserve"> </w:t>
      </w:r>
      <w:r w:rsidR="00D24AAB">
        <w:t xml:space="preserve">zbycia </w:t>
      </w:r>
      <w:r w:rsidR="00AF6983">
        <w:t>paliw ciekłych</w:t>
      </w:r>
      <w:r w:rsidR="00084034">
        <w:t xml:space="preserve"> </w:t>
      </w:r>
      <w:r w:rsidR="002F3359">
        <w:t>na podstawie koncesji</w:t>
      </w:r>
      <w:r w:rsidR="007709E7" w:rsidRPr="007709E7">
        <w:t xml:space="preserve"> na obrót paliwami ciekłymi z zagranicą</w:t>
      </w:r>
      <w:r w:rsidR="009E786F">
        <w:t>.</w:t>
      </w:r>
      <w:r>
        <w:t xml:space="preserve"> </w:t>
      </w:r>
      <w:r w:rsidR="003E4E08">
        <w:t>Chodzi tym samym o podmioty posiadające tak</w:t>
      </w:r>
      <w:r w:rsidR="006A160F">
        <w:t>ą</w:t>
      </w:r>
      <w:r w:rsidR="003E4E08">
        <w:t xml:space="preserve"> koncesję</w:t>
      </w:r>
      <w:r w:rsidR="00831832">
        <w:t>,</w:t>
      </w:r>
      <w:r w:rsidR="003E4E08">
        <w:t xml:space="preserve"> dokonujące importu lub nabycia wspólnotowego paliw ciekłych</w:t>
      </w:r>
      <w:r w:rsidR="00831832">
        <w:t xml:space="preserve"> (jako ich właściciel)</w:t>
      </w:r>
      <w:r w:rsidR="003E4E08">
        <w:t xml:space="preserve">. </w:t>
      </w:r>
      <w:r w:rsidR="00AF6983" w:rsidRPr="00592A67">
        <w:t>Należy</w:t>
      </w:r>
      <w:r w:rsidR="00DA3912" w:rsidRPr="00592A67">
        <w:t xml:space="preserve"> przy tym wskazać</w:t>
      </w:r>
      <w:r w:rsidR="00AF6983" w:rsidRPr="00592A67">
        <w:t xml:space="preserve"> także, że ustawa znajdzie zastosowanie do podmiotów</w:t>
      </w:r>
      <w:r w:rsidR="00247929">
        <w:t xml:space="preserve"> (podatników)</w:t>
      </w:r>
      <w:r w:rsidR="00AF6983" w:rsidRPr="00592A67">
        <w:t>, które rozpoczęły prowadzenie działalności</w:t>
      </w:r>
      <w:r w:rsidR="00E01900" w:rsidRPr="00592A67">
        <w:t xml:space="preserve"> objętej jej zakresem przedmiotowym w jakimkolwiek momencie</w:t>
      </w:r>
      <w:r w:rsidR="00AF6983" w:rsidRPr="00592A67">
        <w:t xml:space="preserve"> </w:t>
      </w:r>
      <w:r w:rsidR="00945034" w:rsidRPr="00592A67">
        <w:t xml:space="preserve">okresu rozliczeniowego, tj. </w:t>
      </w:r>
      <w:r w:rsidR="005F5A0D" w:rsidRPr="00592A67">
        <w:t>między</w:t>
      </w:r>
      <w:r w:rsidR="00AF6983" w:rsidRPr="00592A67">
        <w:t xml:space="preserve"> 1 marca 2026</w:t>
      </w:r>
      <w:r w:rsidR="00831832">
        <w:t> </w:t>
      </w:r>
      <w:r w:rsidR="00AF6983" w:rsidRPr="00592A67">
        <w:t xml:space="preserve">r. </w:t>
      </w:r>
      <w:r w:rsidR="005F5A0D" w:rsidRPr="00592A67">
        <w:t>a</w:t>
      </w:r>
      <w:r w:rsidR="00AF6983" w:rsidRPr="00592A67">
        <w:t xml:space="preserve"> 31 grudnia 2026 r</w:t>
      </w:r>
      <w:r w:rsidR="007B6DC4">
        <w:t xml:space="preserve">. </w:t>
      </w:r>
    </w:p>
    <w:p w14:paraId="5721299E" w14:textId="71EDBB91" w:rsidR="00831832" w:rsidRDefault="006A61C1" w:rsidP="005A1DF9">
      <w:pPr>
        <w:spacing w:after="160"/>
        <w:jc w:val="both"/>
      </w:pPr>
      <w:r w:rsidRPr="006A61C1">
        <w:rPr>
          <w:b/>
          <w:bCs/>
        </w:rPr>
        <w:t xml:space="preserve">Art. </w:t>
      </w:r>
      <w:r w:rsidR="002F3359">
        <w:rPr>
          <w:b/>
          <w:bCs/>
        </w:rPr>
        <w:t>6</w:t>
      </w:r>
      <w:r w:rsidR="002F3359" w:rsidRPr="006A61C1">
        <w:t xml:space="preserve"> </w:t>
      </w:r>
      <w:r w:rsidRPr="006A61C1">
        <w:t>–</w:t>
      </w:r>
      <w:r w:rsidR="00247929">
        <w:t xml:space="preserve"> </w:t>
      </w:r>
      <w:r w:rsidRPr="006A61C1">
        <w:t>określa przedmiot opodatkowania</w:t>
      </w:r>
      <w:r w:rsidR="002F3359">
        <w:t xml:space="preserve"> podatkiem od nadzwyczajnych zysków</w:t>
      </w:r>
      <w:r w:rsidR="00831832">
        <w:t xml:space="preserve">, którym są </w:t>
      </w:r>
      <w:r w:rsidR="00247929">
        <w:t>przych</w:t>
      </w:r>
      <w:r w:rsidR="00831832">
        <w:t>ody</w:t>
      </w:r>
      <w:r w:rsidR="002F3359">
        <w:t xml:space="preserve"> osiągnięt</w:t>
      </w:r>
      <w:r w:rsidR="00831832">
        <w:t>e</w:t>
      </w:r>
      <w:r w:rsidR="002F3359">
        <w:t xml:space="preserve"> przez podatnika z tytułu zbycia paliw ciekłych na terytorium Rzeczypospolitej Polskiej</w:t>
      </w:r>
      <w:r w:rsidR="007B6DC4">
        <w:t xml:space="preserve">. </w:t>
      </w:r>
      <w:r w:rsidR="00261D21">
        <w:t>Przepis ten należy czytać „w powiązaniu” z art. 7 określającym</w:t>
      </w:r>
      <w:r w:rsidR="006A160F">
        <w:t>,</w:t>
      </w:r>
      <w:r w:rsidR="00261D21">
        <w:t xml:space="preserve"> co jest podstawą opodatkowania. Przedmiot opodatkowania to bowiem bardzo ogólna kategoria prawna. W kontekście wysokości zobowiązania dużo istotniejszy jest sposób</w:t>
      </w:r>
      <w:r w:rsidR="004D3233">
        <w:t xml:space="preserve"> określania podstawy opodatkowania, gdyż zawiera konkretną formułę jego wyliczania. Tym samym wskazanie w art. 6 na kategorię „przychodów” nie może być odczytywane jako równoznaczne z opodatkowaniem </w:t>
      </w:r>
      <w:r w:rsidR="00A73C18">
        <w:t xml:space="preserve">proponowanym </w:t>
      </w:r>
      <w:r w:rsidR="004D3233">
        <w:t xml:space="preserve">podatkiem „czystych przychodów” podatnika. To co podlega opodatkowaniu wynika z całokształtu regulacji projektu, w szczególności z formuły </w:t>
      </w:r>
      <w:r w:rsidR="004D3233">
        <w:lastRenderedPageBreak/>
        <w:t>wyliczania podstawy opodatkowania (zob. wyjaśnienia do art. 7), a ta uwzględnia konieczność oparcia się na bieżących kosztach ponoszonych przez podatnika</w:t>
      </w:r>
      <w:r w:rsidR="00A73C18">
        <w:t xml:space="preserve"> (zob. wzór na obliczenia przychodów hipotetycznych – art. 7 ust. 2)</w:t>
      </w:r>
      <w:r w:rsidR="004D3233">
        <w:t>.</w:t>
      </w:r>
      <w:r w:rsidR="00A73C18">
        <w:t xml:space="preserve"> Tym samym faktycznie opodatkowywany jest nie przychód</w:t>
      </w:r>
      <w:r w:rsidR="006A160F">
        <w:t>,</w:t>
      </w:r>
      <w:r w:rsidR="00A73C18">
        <w:t xml:space="preserve"> lecz zysk (nadwyżka przychodów nad kosztami).</w:t>
      </w:r>
    </w:p>
    <w:p w14:paraId="6CCEE17F" w14:textId="22ABFDFE" w:rsidR="00592A67" w:rsidRDefault="00592A67" w:rsidP="00B4007E">
      <w:pPr>
        <w:spacing w:after="160"/>
        <w:jc w:val="both"/>
      </w:pPr>
      <w:r>
        <w:t xml:space="preserve">W kontekście art. </w:t>
      </w:r>
      <w:r w:rsidR="002F3359">
        <w:t xml:space="preserve">5 </w:t>
      </w:r>
      <w:r>
        <w:t xml:space="preserve">i </w:t>
      </w:r>
      <w:r w:rsidR="00A03ED4">
        <w:t xml:space="preserve">art. </w:t>
      </w:r>
      <w:r w:rsidR="002F3359">
        <w:t xml:space="preserve">6 </w:t>
      </w:r>
      <w:r w:rsidR="00247929">
        <w:t xml:space="preserve">(określające zakres podmiotowy i przedmiotowy) </w:t>
      </w:r>
      <w:r>
        <w:t>należy zaznaczyć, że przepisy te powinny być interpretowane łącznie</w:t>
      </w:r>
      <w:r w:rsidR="00247929">
        <w:t>, gdyż dopiero po spełnieniu warunków określonych w tych przepisach przychody określonego podmiotu zostaną objęte zakresem ustawy</w:t>
      </w:r>
      <w:r>
        <w:t xml:space="preserve">. </w:t>
      </w:r>
      <w:r w:rsidR="00831832">
        <w:t>Co istotne zakresem przedmiotowym objęte będą wszystkie przychody podatnika ze zbycia (sprzedaży) paliw ciekłych (w rozumieniu projektu ustawy), a nie tylko te</w:t>
      </w:r>
      <w:r w:rsidR="00806560">
        <w:t>,</w:t>
      </w:r>
      <w:r w:rsidR="00831832">
        <w:t xml:space="preserve"> które „pochodzą” ze sprzedaży paliw ciekłych wytworzonych czy też zaimportowanych/nabytych wewnątrzwspólnotowo przez podatnika (innymi słowy </w:t>
      </w:r>
      <w:r w:rsidR="004D1EF8">
        <w:t xml:space="preserve">– nie tylko te wytworzone albo nabyte </w:t>
      </w:r>
      <w:r w:rsidR="00831832">
        <w:t>„przez siebie”).</w:t>
      </w:r>
      <w:r w:rsidR="004D1EF8">
        <w:t xml:space="preserve"> Przyjęcie takiego rozwiązania wynika </w:t>
      </w:r>
      <w:r w:rsidR="00806560">
        <w:t xml:space="preserve">z </w:t>
      </w:r>
      <w:r w:rsidR="004D1EF8">
        <w:t xml:space="preserve">uwzględnienia aspektów praktycznych, a mianowicie istotnych problemów w ustaleniu podstawy opodatkowania w przypadku konieczności „śledzenia” poszczególnych „strumieni” przychodów. </w:t>
      </w:r>
      <w:r w:rsidR="00B4007E">
        <w:t>Odmienne rozwiązanie wymagałoby od podatników prowadzenia dodatkowych (prawdopodobnie statystycznych) ewidencji i kwalifikacji. Przyjęcie, że podatnicy (w uproszczeniu wytwórcy i sprowadzający paliwa z zagranicy) uwzględnialiby wyłącznie swoją produkcję w Polsce oraz towary nabyte spoza Polski, implikowałoby konieczność wyodrębniania z kalkulacji paliw ciekłych zakupionych przez nich w Polsce, co rodziłoby pytania w zakresie metod kolejności „rozchodu” przy oznaczaniu kraju pochodzenia paliwa, innego podatkowego traktowania danych partii takiego samego produktu, wprowadzając koniecznoś</w:t>
      </w:r>
      <w:r w:rsidR="00B52AFF">
        <w:t>ć</w:t>
      </w:r>
      <w:r w:rsidR="00B4007E">
        <w:t xml:space="preserve"> prowadzenia dodatkowych ewidencji, wskaźników etc. i – co ważniejsze, wprowadzałoby asymetrię w podejściu do części wyniku realizowanego na takich samych produktach.</w:t>
      </w:r>
    </w:p>
    <w:p w14:paraId="05116FC3" w14:textId="3B3BB73D" w:rsidR="007E4746" w:rsidRDefault="007E4746" w:rsidP="00B4007E">
      <w:pPr>
        <w:spacing w:after="160"/>
        <w:jc w:val="both"/>
      </w:pPr>
      <w:r>
        <w:t xml:space="preserve">Z tego względu przyjęto w omawianym zakresie rozwiązanie uproszczone, niewymagające prowadzenia dodatkowych ewidencji i kalkulacji. Rozwiązanie to rzutuje na sposób kalkulacji wskaźników, o których mowa w art. 7.  </w:t>
      </w:r>
    </w:p>
    <w:p w14:paraId="4CF405BE" w14:textId="7CF18150" w:rsidR="00090147" w:rsidRDefault="00090147" w:rsidP="00090147">
      <w:pPr>
        <w:spacing w:after="160"/>
        <w:jc w:val="both"/>
      </w:pPr>
      <w:r w:rsidRPr="00B16D60">
        <w:rPr>
          <w:b/>
          <w:bCs/>
        </w:rPr>
        <w:t xml:space="preserve">Art. </w:t>
      </w:r>
      <w:r w:rsidR="002F3359">
        <w:rPr>
          <w:b/>
          <w:bCs/>
        </w:rPr>
        <w:t>7</w:t>
      </w:r>
      <w:r w:rsidR="002F3359">
        <w:t xml:space="preserve"> </w:t>
      </w:r>
      <w:r>
        <w:t xml:space="preserve">– </w:t>
      </w:r>
      <w:r w:rsidR="00C57A1B">
        <w:t>określa</w:t>
      </w:r>
      <w:r>
        <w:t xml:space="preserve"> podstawę opodatkowania podatkiem od nadzwyczajnych zysków oraz reguluje zasady jej obliczania, stanowiąc oś konstrukcyjną całej regulacji.</w:t>
      </w:r>
    </w:p>
    <w:p w14:paraId="488D31F3" w14:textId="3BA1B435" w:rsidR="00090147" w:rsidRDefault="00090147" w:rsidP="00090147">
      <w:pPr>
        <w:spacing w:after="160"/>
        <w:jc w:val="both"/>
      </w:pPr>
      <w:r>
        <w:t xml:space="preserve">Projektowany mechanizm opiera się na porównaniu dwóch wielkości: przychodów, które podatnik faktycznie </w:t>
      </w:r>
      <w:r w:rsidRPr="00ED1049">
        <w:t xml:space="preserve">osiągnął </w:t>
      </w:r>
      <w:r w:rsidR="002F3359" w:rsidRPr="00ED1049">
        <w:t>w roku podatkowym</w:t>
      </w:r>
      <w:r w:rsidRPr="00ED1049">
        <w:t xml:space="preserve"> </w:t>
      </w:r>
      <w:r>
        <w:t xml:space="preserve">ze zbycia paliw ciekłych (przychody faktyczne), z przychodami, które osiągnąłby, gdyby jego marża sprzedaży kształtowała się na poziomie historycznym powiększonym o dopuszczalny narzut (przychody hipotetyczne). Jeżeli </w:t>
      </w:r>
      <w:r>
        <w:lastRenderedPageBreak/>
        <w:t>przychody faktyczne przewyższają przychody hipotetyczne, powstała nadwyżka stanowi podstawę opodatkowania.</w:t>
      </w:r>
    </w:p>
    <w:p w14:paraId="20B574AD" w14:textId="57FAD851" w:rsidR="002123B9" w:rsidRDefault="002123B9" w:rsidP="002123B9">
      <w:pPr>
        <w:spacing w:after="160"/>
        <w:jc w:val="both"/>
      </w:pPr>
      <w:r>
        <w:t>W kontekście przychodów faktycznych należy zaznaczyć, że pojęcie to nie powinno być rozumiane jako odejście od zasady memoriału właściwej dla ujmowania przychodów w</w:t>
      </w:r>
      <w:r w:rsidR="00ED1049">
        <w:t> </w:t>
      </w:r>
      <w:r>
        <w:t xml:space="preserve">rachunkowości oraz w podatkach dochodowych. Celem projektowanej regulacji nie jest wprowadzenie kasowego sposobu rozpoznawania przychodów, lecz ustanowienie — wyłącznie na potrzeby obliczenia podatku od nadzwyczajnych zysków </w:t>
      </w:r>
      <w:r w:rsidR="0030692B">
        <w:t>–</w:t>
      </w:r>
      <w:r>
        <w:t xml:space="preserve"> kategorii przychodów ze zbycia paliw ciekłych osiągniętych przez podatnika w roku podatkowym objętym ustawą. Pojęcie to służy odróżnieniu przychodów rzeczywiście przypisanych do działalności objętej zakresem ustawy od przychodów hipotetycznych, obliczanych przy zastosowaniu marży referencyjnej.</w:t>
      </w:r>
    </w:p>
    <w:p w14:paraId="665D477E" w14:textId="2ADADCFA" w:rsidR="002123B9" w:rsidRDefault="002123B9" w:rsidP="002123B9">
      <w:pPr>
        <w:spacing w:after="160"/>
        <w:jc w:val="both"/>
      </w:pPr>
      <w:r>
        <w:t xml:space="preserve">Przychody faktyczne należy zatem rozumieć jako przychody należne podatnikowi z tytułu zbycia paliw ciekłych w roku podatkowym, ustalone zgodnie z właściwymi zasadami rachunkowości, niezależnie od momentu faktycznego otrzymania zapłaty. Takie rozumienie pozostaje spójne z zasadą memoriału, zgodnie z którą przychody przypisywane są do okresu, którego dotyczą, a nie do okresu, w którym nastąpił przepływ środków pieniężnych. </w:t>
      </w:r>
      <w:r w:rsidRPr="002123B9">
        <w:t xml:space="preserve">Wprowadzenie w art. 6 ust. 1 projektu odwołania do przychodów faktycznie osiągniętych ma zatem charakter konstrukcyjny i porządkujący. Służy ono określeniu kategorii przychodów stanowiących punkt wyjścia do porównania z przychodami hipotetycznymi, a nie modyfikacji zasad ich rozpoznawania w </w:t>
      </w:r>
      <w:r>
        <w:t>czasie.</w:t>
      </w:r>
    </w:p>
    <w:p w14:paraId="6BC20EA4" w14:textId="6181D3D4" w:rsidR="00090147" w:rsidRDefault="00090147" w:rsidP="00090147">
      <w:pPr>
        <w:spacing w:after="160"/>
        <w:jc w:val="both"/>
      </w:pPr>
      <w:r>
        <w:t>Przychody hipotetyczne oblicza się na podstawie wzoru wskazanego w ust. 2. Iloraz kosztów faktycznych i wyrażenia (1 – marża referencyjna / 100%) odzwierciedla kwotę przychodów, jaką podatnik osiągnąłby</w:t>
      </w:r>
      <w:r w:rsidR="00CC61E8">
        <w:t>,</w:t>
      </w:r>
      <w:r>
        <w:t xml:space="preserve"> stosując marżę referencyjną. Koszty faktyczne</w:t>
      </w:r>
      <w:r w:rsidR="00C700F1">
        <w:t xml:space="preserve"> oznaczają</w:t>
      </w:r>
      <w:r>
        <w:t xml:space="preserve"> przy tym koszty związane z przychodami faktycznymi, stanowiące cenę nabycia lub koszt wytworzenia paliw ciekłych. Takie ujęcie sprawia, że – z samej sw</w:t>
      </w:r>
      <w:r w:rsidR="006F5237">
        <w:t>oj</w:t>
      </w:r>
      <w:r>
        <w:t>ej istoty – koszty sprzedaży i ogólnego zarządu nie wchodzą do podstawy kalkulacji, nie stanowią bowiem ceny nabycia ani kosztu wytworzenia w rozumieniu przepisów o rachunkowości.</w:t>
      </w:r>
    </w:p>
    <w:p w14:paraId="0EB8A1D7" w14:textId="58F7AFB3" w:rsidR="00090147" w:rsidRDefault="00B80865" w:rsidP="00090147">
      <w:pPr>
        <w:spacing w:after="160"/>
        <w:jc w:val="both"/>
      </w:pPr>
      <w:r w:rsidRPr="00B80865">
        <w:t>Punktem wyjścia dla ustalenia marży referencyjnej jest obliczenie średniej marży sprzedaży (ŚMS) podatnika, wyrażonej jako procentowy udział zysku ze sprzedaży paliw ciekłych w przychodach z tej sprzedaży osiągniętych w 2025 r.</w:t>
      </w:r>
      <w:r w:rsidR="00412DDD">
        <w:t xml:space="preserve"> </w:t>
      </w:r>
      <w:r w:rsidR="00090147">
        <w:t xml:space="preserve">Tak ustalona ŚMS odzwierciedla rzeczywistą, historyczną rentowność danego podatnika w warunkach poprzedzających kryzys. Jest to zarazem jeden z nielicznych na przestrzeni ostatnich lat okresów wolnych od zdarzeń nadzwyczajnych, które mogłyby zaburzyć historyczny poziom marż, przez co stanowi </w:t>
      </w:r>
      <w:r w:rsidR="00090147">
        <w:lastRenderedPageBreak/>
        <w:t>miarodajny punkt odniesienia. Marżę referencyjną ustala się następnie jako ŚMS powiększoną o 20%</w:t>
      </w:r>
      <w:r w:rsidR="00945034">
        <w:t xml:space="preserve"> (</w:t>
      </w:r>
      <w:r w:rsidR="00945034" w:rsidRPr="00945034">
        <w:t>Marża referencyjna = ŚMS * 1,2</w:t>
      </w:r>
      <w:r w:rsidR="00945034">
        <w:t>)</w:t>
      </w:r>
      <w:r w:rsidR="00090147">
        <w:t>, co pełni funkcję ochronną: opodatkowaniu nie podlegają zyski wynikające ze zwykłych wahań rynkowych lub standardowego wzrostu efektywności operacyjnej, lecz wyłącznie nadwyżka ponad rozsądnie wyznaczony próg. Zarówno ŚMS, jak i marżę referencyjną oblicza się z dokładnością do dwóch miejsc po przecinku, o czym stanowi ust. 4 omawianego przepisu.</w:t>
      </w:r>
    </w:p>
    <w:p w14:paraId="678F61A0" w14:textId="16863EFB" w:rsidR="00945034" w:rsidRPr="00945034" w:rsidRDefault="00945034" w:rsidP="00090147">
      <w:pPr>
        <w:spacing w:after="160"/>
        <w:jc w:val="both"/>
      </w:pPr>
      <w:r>
        <w:t>Definicja ma</w:t>
      </w:r>
      <w:r w:rsidR="007B6DC4">
        <w:t>rż</w:t>
      </w:r>
      <w:r>
        <w:t>y referencyjnej przewiduje również dolny próg 2</w:t>
      </w:r>
      <w:r w:rsidR="007B6DC4">
        <w:t>,00</w:t>
      </w:r>
      <w:r>
        <w:t>%</w:t>
      </w:r>
      <w:r w:rsidR="007B6DC4">
        <w:t xml:space="preserve">. </w:t>
      </w:r>
      <w:r w:rsidRPr="00945034">
        <w:t>Rozwiązanie to obejmuje dwie sytuacje: po pierwsze przypadek, gdy marża referencyjna obliczona ze wzoru byłaby niższa niż 2% – co mogłoby wystąpić u podatników operujących historycznie na bardzo niskich marżach lub ze stratą; po drugie przypadek podatników</w:t>
      </w:r>
      <w:r w:rsidR="00B83D78">
        <w:t>,</w:t>
      </w:r>
      <w:r w:rsidRPr="00945034">
        <w:t xml:space="preserve"> </w:t>
      </w:r>
      <w:r w:rsidR="00C51E1E">
        <w:rPr>
          <w:rFonts w:eastAsia="Times New Roman" w:cs="Times New Roman"/>
          <w:szCs w:val="24"/>
        </w:rPr>
        <w:t>którzy nie prowadzili w 2025 r. działalności w zakresie, o którym mowa w art. 5, a zatem</w:t>
      </w:r>
      <w:r w:rsidR="006567F6">
        <w:rPr>
          <w:rFonts w:eastAsia="Times New Roman" w:cs="Times New Roman"/>
          <w:szCs w:val="24"/>
        </w:rPr>
        <w:t xml:space="preserve"> </w:t>
      </w:r>
      <w:r w:rsidRPr="00945034">
        <w:t>nie dysponują danymi historycznymi umożliwiającymi obliczenie ŚMS. W obu przypadkach przyjmuje się, że marża referencyjna wynosi 2</w:t>
      </w:r>
      <w:r w:rsidR="007B6DC4">
        <w:t>,00</w:t>
      </w:r>
      <w:r w:rsidRPr="00945034">
        <w:t>%.</w:t>
      </w:r>
    </w:p>
    <w:p w14:paraId="7707993C" w14:textId="38BF95D6" w:rsidR="005F2B0B" w:rsidRPr="0097171E" w:rsidRDefault="00090147" w:rsidP="00247929">
      <w:pPr>
        <w:spacing w:after="160"/>
        <w:jc w:val="both"/>
      </w:pPr>
      <w:r>
        <w:t>Ustęp</w:t>
      </w:r>
      <w:r w:rsidR="00646BDB">
        <w:t xml:space="preserve"> </w:t>
      </w:r>
      <w:r w:rsidR="00247929">
        <w:t>5</w:t>
      </w:r>
      <w:r>
        <w:t xml:space="preserve"> </w:t>
      </w:r>
      <w:r w:rsidR="00C51E1E">
        <w:rPr>
          <w:rFonts w:eastAsia="Times New Roman" w:cs="Times New Roman"/>
          <w:szCs w:val="24"/>
        </w:rPr>
        <w:t xml:space="preserve">reguluje szczegółowe zasady ustalania przychodów i kosztów </w:t>
      </w:r>
      <w:r>
        <w:t>– zarówno faktycznych, jak i referencyjnych</w:t>
      </w:r>
      <w:r w:rsidR="00C51E1E">
        <w:t>.</w:t>
      </w:r>
      <w:r w:rsidR="005F2B0B">
        <w:t xml:space="preserve"> </w:t>
      </w:r>
      <w:r w:rsidR="00CE2835" w:rsidRPr="00CE2835">
        <w:t xml:space="preserve">Celem niniejszego przepisu jest zagwarantowanie, że powinność uiszczenia podatku będzie skorelowana z faktyczną, ostateczną rentownością podatnika, a nie jedynie nominalnymi strumieniami przychodowymi lub poniesionymi kosztami, określanymi w oderwaniu od pełnej </w:t>
      </w:r>
      <w:r w:rsidR="00CE2835" w:rsidRPr="0097171E">
        <w:t>ekonomiki prowadzonej działalności.</w:t>
      </w:r>
    </w:p>
    <w:p w14:paraId="654662B9" w14:textId="03684CD4" w:rsidR="00247929" w:rsidRDefault="00F975D2" w:rsidP="00247929">
      <w:pPr>
        <w:spacing w:after="160"/>
        <w:jc w:val="both"/>
      </w:pPr>
      <w:r w:rsidRPr="00EC56E6">
        <w:t>W treści</w:t>
      </w:r>
      <w:r w:rsidR="005F2B0B" w:rsidRPr="00EC56E6">
        <w:t xml:space="preserve"> otwierającego ust. 5 pkt 1</w:t>
      </w:r>
      <w:r w:rsidR="00B8700F" w:rsidRPr="00EC56E6">
        <w:t xml:space="preserve"> lit. a</w:t>
      </w:r>
      <w:r w:rsidRPr="00EC56E6">
        <w:t xml:space="preserve"> przewiduje się obowiązek określania wysokości</w:t>
      </w:r>
      <w:r>
        <w:t xml:space="preserve"> przychodów i kosztów z uwzględnieniem</w:t>
      </w:r>
      <w:r w:rsidR="00090147">
        <w:t xml:space="preserve"> wyniku na pochodnych instrumentach finansowych służących zabezpieczeniu tych przychodów i kosztów</w:t>
      </w:r>
      <w:r>
        <w:t xml:space="preserve">, z wyłączeniem wycen tych instrumentów. Taki kształt regulacji </w:t>
      </w:r>
      <w:r w:rsidR="005F2B0B">
        <w:t>zapewnia</w:t>
      </w:r>
      <w:r>
        <w:t>, iż proponowana</w:t>
      </w:r>
      <w:r w:rsidR="005F2B0B">
        <w:t xml:space="preserve"> danina</w:t>
      </w:r>
      <w:r>
        <w:t xml:space="preserve"> </w:t>
      </w:r>
      <w:r w:rsidR="005F2B0B">
        <w:t>uwzględnia</w:t>
      </w:r>
      <w:r w:rsidR="00090147">
        <w:t xml:space="preserve"> realia rynkowe handlu surowcami, w których transakcje zabezpieczające (</w:t>
      </w:r>
      <w:r w:rsidR="00090147" w:rsidRPr="008F3601">
        <w:rPr>
          <w:i/>
          <w:iCs/>
        </w:rPr>
        <w:t>hedging</w:t>
      </w:r>
      <w:r w:rsidR="00090147">
        <w:t>) stanowią powszechny i</w:t>
      </w:r>
      <w:r w:rsidR="007B6DC4">
        <w:t> </w:t>
      </w:r>
      <w:r w:rsidR="00090147">
        <w:t>gospodarczo uzasadniony element zarządzania ryzykiem cenowym</w:t>
      </w:r>
      <w:r w:rsidR="007B6DC4">
        <w:t xml:space="preserve"> i kosztowym</w:t>
      </w:r>
      <w:r w:rsidR="00090147">
        <w:t>, że podatek dotyczy faktycznej, ostatecznej rentowności podatnika, a nie jedynie nominalnych strumieni przychodowych</w:t>
      </w:r>
      <w:r w:rsidR="007B6DC4">
        <w:t xml:space="preserve"> lub poniesionych kosztów</w:t>
      </w:r>
      <w:r w:rsidR="00090147">
        <w:t xml:space="preserve"> oderwanych od pełnej ekonomiki prowadzonej działalności. </w:t>
      </w:r>
    </w:p>
    <w:p w14:paraId="6F3652B9" w14:textId="25F785FD" w:rsidR="00F975D2" w:rsidRDefault="00F975D2" w:rsidP="00B54F4B">
      <w:pPr>
        <w:jc w:val="both"/>
        <w:rPr>
          <w:rFonts w:eastAsia="Times New Roman" w:cs="Times New Roman"/>
          <w:szCs w:val="24"/>
        </w:rPr>
      </w:pPr>
      <w:r>
        <w:t xml:space="preserve">Z kolei w treści zamykającego analizowany ustęp pkt </w:t>
      </w:r>
      <w:r w:rsidR="00B8700F">
        <w:t>1 lit. b</w:t>
      </w:r>
      <w:r>
        <w:t xml:space="preserve"> wskazano, że przy ustalaniu przychodów i kosztów na potrzeby projektowanego podatku należy uwzględniać </w:t>
      </w:r>
      <w:r>
        <w:rPr>
          <w:rFonts w:eastAsia="Times New Roman" w:cs="Times New Roman"/>
          <w:szCs w:val="24"/>
        </w:rPr>
        <w:t>koszty realizacji obowiązków wynikających z odrębnych przepisów związanych z prowadzoną działalnością objętą ustawą, co gwarantuje, że podstawa opodatkowania nie jest zawyżana kosztem niezbędnych wydatków regulacyjnych</w:t>
      </w:r>
      <w:r w:rsidR="005F2B0B">
        <w:rPr>
          <w:rFonts w:eastAsia="Times New Roman" w:cs="Times New Roman"/>
          <w:szCs w:val="24"/>
        </w:rPr>
        <w:t xml:space="preserve">. </w:t>
      </w:r>
      <w:r w:rsidR="00412DDD">
        <w:rPr>
          <w:rFonts w:eastAsia="Times New Roman" w:cs="Times New Roman"/>
          <w:szCs w:val="24"/>
        </w:rPr>
        <w:t xml:space="preserve">Chodzi w tym zakresie o liczne obowiązki </w:t>
      </w:r>
      <w:r w:rsidR="00412DDD">
        <w:rPr>
          <w:rFonts w:eastAsia="Times New Roman" w:cs="Times New Roman"/>
          <w:szCs w:val="24"/>
        </w:rPr>
        <w:lastRenderedPageBreak/>
        <w:t>nałożone na podmioty zajmujące się wytwarzaniem oraz importem paliw ciekłych, w szczególności wynikające z następujących ustaw:</w:t>
      </w:r>
    </w:p>
    <w:p w14:paraId="6FD09605" w14:textId="575354EF" w:rsidR="00412DDD" w:rsidRPr="00412DDD" w:rsidRDefault="00412DDD" w:rsidP="00B54F4B">
      <w:pPr>
        <w:pStyle w:val="Akapitzlist"/>
        <w:numPr>
          <w:ilvl w:val="0"/>
          <w:numId w:val="4"/>
        </w:numPr>
        <w:spacing w:after="160"/>
        <w:jc w:val="both"/>
        <w:rPr>
          <w:rFonts w:eastAsia="Times New Roman" w:cs="Times New Roman"/>
          <w:szCs w:val="24"/>
        </w:rPr>
      </w:pPr>
      <w:r w:rsidRPr="00412DDD">
        <w:rPr>
          <w:rFonts w:eastAsia="Times New Roman" w:cs="Times New Roman"/>
          <w:szCs w:val="24"/>
        </w:rPr>
        <w:t xml:space="preserve">ustawy z dnia 10 kwietnia 1997 r. </w:t>
      </w:r>
      <w:r w:rsidR="00B8700F">
        <w:rPr>
          <w:rFonts w:eastAsia="Times New Roman" w:cs="Times New Roman"/>
          <w:szCs w:val="24"/>
        </w:rPr>
        <w:t xml:space="preserve">– </w:t>
      </w:r>
      <w:r w:rsidRPr="00412DDD">
        <w:rPr>
          <w:rFonts w:eastAsia="Times New Roman" w:cs="Times New Roman"/>
          <w:szCs w:val="24"/>
        </w:rPr>
        <w:t>Prawo energetyczne</w:t>
      </w:r>
      <w:r>
        <w:rPr>
          <w:rFonts w:eastAsia="Times New Roman" w:cs="Times New Roman"/>
          <w:szCs w:val="24"/>
        </w:rPr>
        <w:t>;</w:t>
      </w:r>
    </w:p>
    <w:p w14:paraId="30182C30" w14:textId="28091C1D" w:rsidR="00412DDD" w:rsidRPr="00412DDD" w:rsidRDefault="00412DDD" w:rsidP="00B54F4B">
      <w:pPr>
        <w:pStyle w:val="Akapitzlist"/>
        <w:numPr>
          <w:ilvl w:val="0"/>
          <w:numId w:val="4"/>
        </w:numPr>
        <w:spacing w:after="160"/>
        <w:jc w:val="both"/>
        <w:rPr>
          <w:rFonts w:eastAsia="Times New Roman" w:cs="Times New Roman"/>
          <w:szCs w:val="24"/>
        </w:rPr>
      </w:pPr>
      <w:r w:rsidRPr="00412DDD">
        <w:rPr>
          <w:rFonts w:eastAsia="Times New Roman" w:cs="Times New Roman"/>
          <w:szCs w:val="24"/>
        </w:rPr>
        <w:t>ustawy z dnia 25 sierpnia 2006 r. o biokomponentach i biopaliwach ciekłych</w:t>
      </w:r>
      <w:r>
        <w:rPr>
          <w:rFonts w:eastAsia="Times New Roman" w:cs="Times New Roman"/>
          <w:szCs w:val="24"/>
        </w:rPr>
        <w:t xml:space="preserve">; </w:t>
      </w:r>
    </w:p>
    <w:p w14:paraId="2A640D46" w14:textId="00D20C58" w:rsidR="00412DDD" w:rsidRPr="00412DDD" w:rsidRDefault="00412DDD" w:rsidP="00B54F4B">
      <w:pPr>
        <w:pStyle w:val="Akapitzlist"/>
        <w:numPr>
          <w:ilvl w:val="0"/>
          <w:numId w:val="4"/>
        </w:numPr>
        <w:spacing w:after="160"/>
        <w:jc w:val="both"/>
        <w:rPr>
          <w:rFonts w:eastAsia="Times New Roman" w:cs="Times New Roman"/>
          <w:szCs w:val="24"/>
        </w:rPr>
      </w:pPr>
      <w:r w:rsidRPr="00412DDD">
        <w:rPr>
          <w:rFonts w:eastAsia="Times New Roman" w:cs="Times New Roman"/>
          <w:szCs w:val="24"/>
        </w:rPr>
        <w:t>ustawy z dnia 16 lutego 2007 r. o zapasach ropy naftowej, produktów naftowych i gazu ziemnego oraz zasadach postępowania w sytuacjach zagrożenia bezpieczeństwa paliwowego państwa i zakłóceń na rynku naftowym</w:t>
      </w:r>
      <w:r>
        <w:rPr>
          <w:rFonts w:eastAsia="Times New Roman" w:cs="Times New Roman"/>
          <w:szCs w:val="24"/>
        </w:rPr>
        <w:t xml:space="preserve">; </w:t>
      </w:r>
    </w:p>
    <w:p w14:paraId="5B5DF61E" w14:textId="07E6A03E" w:rsidR="00412DDD" w:rsidRPr="00412DDD" w:rsidRDefault="00412DDD" w:rsidP="00B54F4B">
      <w:pPr>
        <w:pStyle w:val="Akapitzlist"/>
        <w:numPr>
          <w:ilvl w:val="0"/>
          <w:numId w:val="4"/>
        </w:numPr>
        <w:spacing w:after="160"/>
        <w:jc w:val="both"/>
        <w:rPr>
          <w:rFonts w:eastAsia="Times New Roman" w:cs="Times New Roman"/>
          <w:szCs w:val="24"/>
        </w:rPr>
      </w:pPr>
      <w:r w:rsidRPr="00412DDD">
        <w:rPr>
          <w:rFonts w:eastAsia="Times New Roman" w:cs="Times New Roman"/>
          <w:szCs w:val="24"/>
        </w:rPr>
        <w:t>ustawy z dnia 20 maja 2016 r. o efektywności energetycznej</w:t>
      </w:r>
      <w:r>
        <w:rPr>
          <w:rFonts w:eastAsia="Times New Roman" w:cs="Times New Roman"/>
          <w:szCs w:val="24"/>
        </w:rPr>
        <w:t>;</w:t>
      </w:r>
    </w:p>
    <w:p w14:paraId="3EB7C5E0" w14:textId="702F3E2B" w:rsidR="00412DDD" w:rsidRPr="00412DDD" w:rsidRDefault="00412DDD" w:rsidP="00B54F4B">
      <w:pPr>
        <w:pStyle w:val="Akapitzlist"/>
        <w:numPr>
          <w:ilvl w:val="0"/>
          <w:numId w:val="4"/>
        </w:numPr>
        <w:spacing w:after="160"/>
        <w:jc w:val="both"/>
        <w:rPr>
          <w:rFonts w:eastAsia="Times New Roman" w:cs="Times New Roman"/>
          <w:szCs w:val="24"/>
        </w:rPr>
      </w:pPr>
      <w:r w:rsidRPr="00412DDD">
        <w:rPr>
          <w:rFonts w:eastAsia="Times New Roman" w:cs="Times New Roman"/>
          <w:szCs w:val="24"/>
        </w:rPr>
        <w:t>ustawy z dnia 6 grudnia 2008 r. o podatku akcyzowym</w:t>
      </w:r>
      <w:r>
        <w:rPr>
          <w:rFonts w:eastAsia="Times New Roman" w:cs="Times New Roman"/>
          <w:szCs w:val="24"/>
        </w:rPr>
        <w:t xml:space="preserve">; </w:t>
      </w:r>
    </w:p>
    <w:p w14:paraId="2B2EE836" w14:textId="535801C2" w:rsidR="00412DDD" w:rsidRPr="00C37CA2" w:rsidRDefault="00412DDD" w:rsidP="00B54F4B">
      <w:pPr>
        <w:pStyle w:val="Akapitzlist"/>
        <w:numPr>
          <w:ilvl w:val="0"/>
          <w:numId w:val="4"/>
        </w:numPr>
        <w:spacing w:after="160"/>
        <w:jc w:val="both"/>
        <w:rPr>
          <w:rFonts w:eastAsia="Times New Roman" w:cs="Times New Roman"/>
          <w:szCs w:val="24"/>
        </w:rPr>
      </w:pPr>
      <w:r w:rsidRPr="00412DDD">
        <w:rPr>
          <w:rFonts w:eastAsia="Times New Roman" w:cs="Times New Roman"/>
          <w:szCs w:val="24"/>
        </w:rPr>
        <w:t xml:space="preserve">ustawy z dnia 27 października 1994 r. o autostradach płatnych oraz o Krajowym Funduszu Drogowym </w:t>
      </w:r>
      <w:r w:rsidR="006A35B6">
        <w:rPr>
          <w:rFonts w:eastAsia="Times New Roman" w:cs="Times New Roman"/>
          <w:szCs w:val="24"/>
        </w:rPr>
        <w:t>–</w:t>
      </w:r>
      <w:r w:rsidRPr="00412DDD">
        <w:rPr>
          <w:rFonts w:eastAsia="Times New Roman" w:cs="Times New Roman"/>
          <w:szCs w:val="24"/>
        </w:rPr>
        <w:t xml:space="preserve"> w zakresie opłaty paliwowej, o której mowa w art. 37h tej ustawy;</w:t>
      </w:r>
    </w:p>
    <w:p w14:paraId="6D2AAB4E" w14:textId="40AF5FC0" w:rsidR="00412DDD" w:rsidRPr="00B54F4B" w:rsidRDefault="00412DDD" w:rsidP="00B54F4B">
      <w:pPr>
        <w:pStyle w:val="Akapitzlist"/>
        <w:numPr>
          <w:ilvl w:val="0"/>
          <w:numId w:val="4"/>
        </w:numPr>
        <w:spacing w:after="160"/>
        <w:jc w:val="both"/>
        <w:rPr>
          <w:rFonts w:eastAsia="Times New Roman" w:cs="Times New Roman"/>
          <w:szCs w:val="24"/>
        </w:rPr>
      </w:pPr>
      <w:r w:rsidRPr="002078D1">
        <w:rPr>
          <w:rFonts w:eastAsia="Times New Roman" w:cs="Times New Roman"/>
          <w:szCs w:val="24"/>
        </w:rPr>
        <w:t xml:space="preserve">ustawy z dnia 27 kwietnia 2001 r. </w:t>
      </w:r>
      <w:r w:rsidR="00A03ED4">
        <w:rPr>
          <w:rFonts w:eastAsia="Times New Roman" w:cs="Times New Roman"/>
          <w:szCs w:val="24"/>
        </w:rPr>
        <w:t xml:space="preserve">– </w:t>
      </w:r>
      <w:r w:rsidRPr="002078D1">
        <w:rPr>
          <w:rFonts w:eastAsia="Times New Roman" w:cs="Times New Roman"/>
          <w:szCs w:val="24"/>
        </w:rPr>
        <w:t xml:space="preserve">Prawo ochrony środowiska. </w:t>
      </w:r>
      <w:r w:rsidRPr="00B54F4B">
        <w:rPr>
          <w:rFonts w:eastAsia="Times New Roman" w:cs="Times New Roman"/>
          <w:szCs w:val="24"/>
        </w:rPr>
        <w:t xml:space="preserve"> </w:t>
      </w:r>
    </w:p>
    <w:p w14:paraId="406B25BF" w14:textId="77777777" w:rsidR="00B8700F" w:rsidRDefault="00B8700F" w:rsidP="00B54F4B">
      <w:pPr>
        <w:spacing w:after="160"/>
        <w:jc w:val="both"/>
      </w:pPr>
      <w:r>
        <w:t xml:space="preserve">W treści art. 7 ust. 5 pkt 2 </w:t>
      </w:r>
      <w:r w:rsidRPr="00F975D2">
        <w:t>wyłącz</w:t>
      </w:r>
      <w:r>
        <w:t>ono</w:t>
      </w:r>
      <w:r w:rsidRPr="00F975D2">
        <w:t xml:space="preserve"> niezrealizowane przychody i koszty, w szczególności wyceny do wartości godziwej, niezrealizowane różnice kursowe oraz wyceny wartości zapasów paliw ciekłych – pozycje te nie odzwierciedlają faktycznych przepływów pieniężnych i nie powinny wpływać na wysokość daniny</w:t>
      </w:r>
      <w:r>
        <w:t xml:space="preserve">.  </w:t>
      </w:r>
    </w:p>
    <w:p w14:paraId="135A3D0E" w14:textId="724857C6" w:rsidR="00412DDD" w:rsidRDefault="00412DDD" w:rsidP="00F83BF6">
      <w:pPr>
        <w:spacing w:after="160"/>
        <w:jc w:val="both"/>
      </w:pPr>
      <w:r>
        <w:t>Co istotne w kontekście obliczania wskaźników określonych w art. 7 (marża referencyjna, średni</w:t>
      </w:r>
      <w:r w:rsidR="00CA1203">
        <w:t>a</w:t>
      </w:r>
      <w:r>
        <w:t xml:space="preserve"> marża sprzedaży etc.) ujęcie obciążeń wynikających w ww</w:t>
      </w:r>
      <w:r w:rsidR="004867A5">
        <w:t>.</w:t>
      </w:r>
      <w:r>
        <w:t xml:space="preserve"> ustaw musi być dokonywane w sposób spójny</w:t>
      </w:r>
      <w:r w:rsidR="00A03ED4">
        <w:t>,</w:t>
      </w:r>
      <w:r>
        <w:t xml:space="preserve"> tj. zarówno w bazie kosztowej branej pod uwagę </w:t>
      </w:r>
      <w:r w:rsidR="006403C8">
        <w:t>przy kalkulacji marży referencyjnej, jak i ŚMS</w:t>
      </w:r>
      <w:r>
        <w:t xml:space="preserve">. </w:t>
      </w:r>
      <w:r w:rsidR="006403C8">
        <w:t>Nie chodzi w tym zakresie o kwotę tych kosztów (która z oczywistych względów będzie inna), lecz o ich rodzaj (o ile nie mamy do</w:t>
      </w:r>
      <w:r w:rsidR="00B8700F">
        <w:t xml:space="preserve"> </w:t>
      </w:r>
      <w:r w:rsidR="006403C8">
        <w:t>czynienia z nowym obciążeniem, nieistniejący</w:t>
      </w:r>
      <w:r w:rsidR="00C21528">
        <w:t>m</w:t>
      </w:r>
      <w:r w:rsidR="006403C8">
        <w:t xml:space="preserve"> w roku 2025).</w:t>
      </w:r>
    </w:p>
    <w:p w14:paraId="743C832F" w14:textId="5A3BBF71" w:rsidR="00682874" w:rsidRDefault="00682874" w:rsidP="00F83BF6">
      <w:pPr>
        <w:spacing w:after="160"/>
        <w:jc w:val="both"/>
      </w:pPr>
      <w:r>
        <w:t>Ustęp 6 uzupełnia zasady ustalania przychodów faktycznych i referencyjnych o regulację dotyczącą umów związanych ze sprzedażą paliw ciekłych, obejmujących w szczególności instrumenty finansowe w rozumieniu ustawy z dnia 29 lipca 2005 r. o obrocie instrumentami finansowymi (Dz. U. z 2024 r. poz. 722), w których dodatkowe rozliczenia pieniężne zależą od ilości lub wartości sprzedanych paliw ciekłych. Przy ustalaniu przychodów faktycznych i</w:t>
      </w:r>
      <w:r w:rsidR="00532503">
        <w:t> </w:t>
      </w:r>
      <w:r>
        <w:t>referencyjnych</w:t>
      </w:r>
      <w:r w:rsidR="00014C85">
        <w:t xml:space="preserve"> należy uwzględnić także wynik wygenerowany na tego typu transakcjach</w:t>
      </w:r>
      <w:r>
        <w:t>.</w:t>
      </w:r>
    </w:p>
    <w:p w14:paraId="5BD15119" w14:textId="4B2FB056" w:rsidR="00F83BF6" w:rsidRDefault="00F83BF6" w:rsidP="00F83BF6">
      <w:pPr>
        <w:spacing w:after="160"/>
        <w:jc w:val="both"/>
      </w:pPr>
      <w:r>
        <w:t xml:space="preserve">Ustęp </w:t>
      </w:r>
      <w:r w:rsidR="00682874">
        <w:t>7</w:t>
      </w:r>
      <w:r>
        <w:t xml:space="preserve"> wprowadza zasadę proporcjonalnego podziału kosztów na wypadek, gdy nie jest możliwe ich jednoznaczne przypisanie do przychodów ze sprzedaży paliw ciekłych. W takiej sytuacji koszty ustala się w stosunku odpowiadającym udziałowi przychodów ze sprzedaży </w:t>
      </w:r>
      <w:r>
        <w:lastRenderedPageBreak/>
        <w:t>paliw ciekłych w łącznych przychodach podatnika</w:t>
      </w:r>
      <w:r w:rsidR="00532503">
        <w:t xml:space="preserve"> ze sprzedaży towarów i produktów (a zatem „przychodów”, zgodnie z ich definicją zawartą w art. 2 pkt 4 projektu)</w:t>
      </w:r>
      <w:r>
        <w:t>. Rozwiązanie to eliminuje ryzyko dowolności przy alokacji kosztów wspólnych, zapewniając metodologiczną spójność obliczania podstawy opodatkowania.</w:t>
      </w:r>
      <w:r w:rsidR="00F975D2">
        <w:t xml:space="preserve"> </w:t>
      </w:r>
    </w:p>
    <w:p w14:paraId="0FE0E9AC" w14:textId="6A49816F" w:rsidR="00F83BF6" w:rsidRDefault="00F83BF6" w:rsidP="00F83BF6">
      <w:pPr>
        <w:spacing w:after="160"/>
        <w:jc w:val="both"/>
      </w:pPr>
      <w:r>
        <w:t xml:space="preserve">Ustęp </w:t>
      </w:r>
      <w:r w:rsidR="00682874">
        <w:t>8</w:t>
      </w:r>
      <w:r>
        <w:t xml:space="preserve"> reguluje sytuację podatników, którzy prowadzili działalność, o której mowa w art. 5, jedynie przez część roku 2025. W takim przypadku do obliczenia ŚMS uwzględnia się wyłącznie miesiące, w których działalność ta była faktycznie prowadzona. Przepis ten uszczelnia regulację i eliminuje ryzyko zniekształcenia marży referencyjnej przez miesiące, w których podatnik jeszcze lub już nie prowadził działalności objętej ustawą</w:t>
      </w:r>
      <w:r w:rsidR="00CE25C7">
        <w:t>.</w:t>
      </w:r>
    </w:p>
    <w:p w14:paraId="26022B5C" w14:textId="0F8F3540" w:rsidR="00247929" w:rsidRDefault="00247929" w:rsidP="00247929">
      <w:pPr>
        <w:spacing w:after="160"/>
        <w:jc w:val="both"/>
      </w:pPr>
      <w:r>
        <w:t xml:space="preserve">Ustęp </w:t>
      </w:r>
      <w:r w:rsidR="00682874">
        <w:t>9</w:t>
      </w:r>
      <w:r w:rsidR="00F83BF6">
        <w:t xml:space="preserve"> </w:t>
      </w:r>
      <w:r>
        <w:t xml:space="preserve">zapewnia ciągłość stosowania mechanizmu w przypadku podmiotów powstałych w wyniku działań restrukturyzacyjnych, przejmujących lub łączących się z innymi podatnikami. </w:t>
      </w:r>
    </w:p>
    <w:p w14:paraId="1CD74352" w14:textId="3E5C09E8" w:rsidR="00995EAF" w:rsidRDefault="00995EAF" w:rsidP="005C32AD">
      <w:pPr>
        <w:spacing w:after="160"/>
        <w:jc w:val="both"/>
      </w:pPr>
      <w:r>
        <w:rPr>
          <w:b/>
          <w:bCs/>
        </w:rPr>
        <w:t xml:space="preserve">Art. </w:t>
      </w:r>
      <w:r w:rsidR="00CE2835">
        <w:rPr>
          <w:b/>
          <w:bCs/>
        </w:rPr>
        <w:t>8</w:t>
      </w:r>
      <w:r w:rsidR="00CE2835" w:rsidRPr="008F3601">
        <w:t xml:space="preserve"> </w:t>
      </w:r>
      <w:r>
        <w:t xml:space="preserve">– </w:t>
      </w:r>
      <w:r w:rsidR="00143F2D">
        <w:t>określa</w:t>
      </w:r>
      <w:r>
        <w:t xml:space="preserve"> stawkę podatku od nadzwyczajnych zysków na poziomie </w:t>
      </w:r>
      <w:r w:rsidR="00C032FF">
        <w:t>60</w:t>
      </w:r>
      <w:r>
        <w:t>% podstawy opodatkowania. Mechanizm ten zapewnia istotny stopień redystrybucji środków w</w:t>
      </w:r>
      <w:r w:rsidR="005575DC">
        <w:t> </w:t>
      </w:r>
      <w:r>
        <w:t xml:space="preserve">celu łagodzenia skutków kryzysu, równocześnie pozostawiając </w:t>
      </w:r>
      <w:r w:rsidR="0054661F">
        <w:t xml:space="preserve">adekwatną </w:t>
      </w:r>
      <w:r>
        <w:t>część nadmiarowych zysków do wyłącznej dyspozycji podatnika.</w:t>
      </w:r>
      <w:r w:rsidR="00C032FF">
        <w:t xml:space="preserve"> </w:t>
      </w:r>
    </w:p>
    <w:p w14:paraId="1D1F11D3" w14:textId="6018A7C3" w:rsidR="007E5B6A" w:rsidRDefault="007E5B6A" w:rsidP="005C32AD">
      <w:pPr>
        <w:spacing w:after="160"/>
        <w:jc w:val="both"/>
      </w:pPr>
      <w:r w:rsidRPr="007E5B6A">
        <w:t xml:space="preserve">Ustalenie stawki na tym poziomie należy oceniać z uwzględnieniem konstrukcji całej daniny. Podatek nie obejmuje bowiem całości wyniku finansowego podatnika ani całości marży osiąganej w toku prowadzonej działalności gospodarczej. Opodatkowaniu podlega wyłącznie nadwyżka przychodów faktycznych ponad przychody hipotetyczne obliczone przy zastosowaniu marży referencyjnej, tj. marży historycznej powiększonej o 20%. Oznacza to, że zwykła, referencyjna rentowność podatnika, a także dodatkowy bufor odpowiadający 20% historycznej marży, pozostają poza zakresem </w:t>
      </w:r>
      <w:r w:rsidR="00B8700F">
        <w:t>wprowadzanego podatku</w:t>
      </w:r>
      <w:r w:rsidRPr="007E5B6A">
        <w:t>. W konsekwencji stawka 60% odnosi się wyłącznie do tej części korzyści ekonomicznej, która przekracza poziom uznany przez projektodawcę za odpowiadający normalnym warunkom rynkowym</w:t>
      </w:r>
      <w:r w:rsidR="00C431FD">
        <w:t xml:space="preserve"> i nie jest tożsama z efektywną stopą opodatkowania</w:t>
      </w:r>
      <w:r w:rsidRPr="007E5B6A">
        <w:t>.</w:t>
      </w:r>
      <w:r>
        <w:t xml:space="preserve"> Zaproponowana wysokość</w:t>
      </w:r>
      <w:r w:rsidRPr="007E5B6A">
        <w:t xml:space="preserve"> stawk</w:t>
      </w:r>
      <w:r>
        <w:t>i</w:t>
      </w:r>
      <w:r w:rsidRPr="007E5B6A">
        <w:t xml:space="preserve"> realizuje</w:t>
      </w:r>
      <w:r>
        <w:t xml:space="preserve"> zatem</w:t>
      </w:r>
      <w:r w:rsidRPr="007E5B6A">
        <w:t xml:space="preserve"> funkcję redystrybucyjną podatku, nie prowadząc jednocześnie do opodatkowania standardowego wyniku działalności</w:t>
      </w:r>
      <w:r>
        <w:t>.</w:t>
      </w:r>
      <w:r w:rsidR="00E67B0F">
        <w:t xml:space="preserve"> Taka sama wysokość „bufora” została przyjęta w</w:t>
      </w:r>
      <w:r w:rsidR="006865D1">
        <w:t> </w:t>
      </w:r>
      <w:r w:rsidR="00E67B0F">
        <w:t>przepisach unijnych z 2022 r. (w zakresie składki solidarnościowej)</w:t>
      </w:r>
      <w:r w:rsidR="00E67B0F">
        <w:rPr>
          <w:rStyle w:val="Odwoanieprzypisudolnego"/>
        </w:rPr>
        <w:footnoteReference w:id="6"/>
      </w:r>
      <w:r w:rsidR="00A76E45" w:rsidRPr="00B472EA">
        <w:rPr>
          <w:rFonts w:eastAsia="Times New Roman" w:cs="Times New Roman"/>
          <w:vertAlign w:val="superscript"/>
        </w:rPr>
        <w:t>)</w:t>
      </w:r>
      <w:r w:rsidR="00E67B0F">
        <w:t xml:space="preserve"> oraz wdrażającej je ustawie </w:t>
      </w:r>
      <w:r w:rsidR="00741F8F">
        <w:t xml:space="preserve">z </w:t>
      </w:r>
      <w:r w:rsidR="00E67B0F" w:rsidRPr="00C03110">
        <w:rPr>
          <w:color w:val="000000"/>
        </w:rPr>
        <w:t xml:space="preserve">dnia 16 sierpnia 2023 r. o zmianie ustawy o szczególnych rozwiązaniach służących </w:t>
      </w:r>
      <w:r w:rsidR="00E67B0F" w:rsidRPr="00C03110">
        <w:rPr>
          <w:color w:val="000000"/>
        </w:rPr>
        <w:lastRenderedPageBreak/>
        <w:t>ochronie odbiorców energii elektrycznej w 2023 roku w związku z sytuacją na rynku energii elektrycznej oraz niektórych innych ustaw (Dz.</w:t>
      </w:r>
      <w:r w:rsidR="004867A5">
        <w:rPr>
          <w:color w:val="000000"/>
        </w:rPr>
        <w:t xml:space="preserve"> </w:t>
      </w:r>
      <w:r w:rsidR="00E67B0F" w:rsidRPr="00C03110">
        <w:rPr>
          <w:color w:val="000000"/>
        </w:rPr>
        <w:t xml:space="preserve">U. </w:t>
      </w:r>
      <w:r w:rsidR="00741F8F">
        <w:rPr>
          <w:color w:val="000000"/>
        </w:rPr>
        <w:t xml:space="preserve">z </w:t>
      </w:r>
      <w:r w:rsidR="00E67B0F" w:rsidRPr="00C03110">
        <w:rPr>
          <w:color w:val="000000"/>
        </w:rPr>
        <w:t xml:space="preserve">2023 </w:t>
      </w:r>
      <w:r w:rsidR="00741F8F">
        <w:rPr>
          <w:color w:val="000000"/>
        </w:rPr>
        <w:t xml:space="preserve">r. </w:t>
      </w:r>
      <w:r w:rsidR="00E67B0F" w:rsidRPr="00C03110">
        <w:rPr>
          <w:color w:val="000000"/>
        </w:rPr>
        <w:t>poz. 1785).</w:t>
      </w:r>
    </w:p>
    <w:p w14:paraId="39EFBDF9" w14:textId="412C4930" w:rsidR="007E5B6A" w:rsidRDefault="007E5B6A" w:rsidP="005C32AD">
      <w:pPr>
        <w:spacing w:after="160"/>
        <w:jc w:val="both"/>
      </w:pPr>
      <w:r>
        <w:t xml:space="preserve">Należy przy tym zaznaczyć, że ocena proporcjonalności zaproponowanej stawki powinna </w:t>
      </w:r>
      <w:r w:rsidRPr="007E5B6A">
        <w:t>być dokonywana również w szerszym kontekście</w:t>
      </w:r>
      <w:r>
        <w:t>, obejmującym całokształt działań osłonowych p</w:t>
      </w:r>
      <w:r w:rsidRPr="007E5B6A">
        <w:t xml:space="preserve">odjętych w reakcji na wzrost cen paliw. </w:t>
      </w:r>
      <w:r w:rsidR="00F83BF6">
        <w:t>Ciężar realizowanych działań osłonowych</w:t>
      </w:r>
      <w:r w:rsidRPr="007E5B6A">
        <w:t xml:space="preserve"> ponoszony jest przez budżet państwa, a więc pośrednio przez ogół podatników. </w:t>
      </w:r>
      <w:r w:rsidR="00F83BF6">
        <w:t>Wprowadzone mechanizmy osłonowe</w:t>
      </w:r>
      <w:r w:rsidRPr="007E5B6A">
        <w:t xml:space="preserve"> służą ograniczeniu ciężarów ekonomicznych ponoszonych przez gospodarstwa domowe oraz przedsiębiorców korzystających z paliw w bieżącej działalności, w szczególności w transporcie, produkcji i świadczeniu usług.</w:t>
      </w:r>
      <w:r w:rsidR="00F83BF6">
        <w:t xml:space="preserve"> </w:t>
      </w:r>
      <w:r w:rsidR="00F83BF6" w:rsidRPr="00F83BF6">
        <w:t>Skoro zatem koszty działań osłonowych są finansowane ze środków publicznych, zasadne jest, aby podmioty, które w tych samych nadzwyczajnych warunkach rynkowych osiągnęły ponadprzeciętne korzyści, partycypowały w finansowaniu skutków kryzysu</w:t>
      </w:r>
      <w:r w:rsidR="007F0FF9">
        <w:t>.</w:t>
      </w:r>
    </w:p>
    <w:p w14:paraId="20C284D5" w14:textId="2FA4B486" w:rsidR="007E5B6A" w:rsidRDefault="007E5B6A" w:rsidP="005C32AD">
      <w:pPr>
        <w:spacing w:after="160"/>
        <w:jc w:val="both"/>
      </w:pPr>
      <w:r w:rsidRPr="007E5B6A">
        <w:t xml:space="preserve">W tym ujęciu stawka 60% stanowi rozwiązanie proporcjonalne, wyważające interes publiczny oraz interes podatników objętych regulacją. Z jednej strony pozwala na </w:t>
      </w:r>
      <w:r w:rsidR="00C431FD">
        <w:t>„</w:t>
      </w:r>
      <w:r w:rsidRPr="007E5B6A">
        <w:t>odzyskanie</w:t>
      </w:r>
      <w:r w:rsidR="00C431FD">
        <w:t>”</w:t>
      </w:r>
      <w:r w:rsidRPr="007E5B6A">
        <w:t xml:space="preserve"> istotnej części nadzwyczajnych korzyści i częściową kompensację ubytku dochodów publicznych wynikającego z zastosowania obniżek VAT i akcyzy. Z drugiej strony nie obejmuje zwykłej rentowności działalności gospodarczej, lecz jedynie nadwyżkę ponad poziom referencyjny, dodatkowo powiększony o 20%. Tym samym projektowana stawka pozostaje adekwatna do celu regulacji, którym jest sprawiedliwe rozłożenie ciężarów nadzwyczajnej sytuacji rynkowej pomiędzy ogół podatników korzystających z działań osłonowych a podmioty uzyskujące w tym okresie ponadprzeciętne zyski</w:t>
      </w:r>
      <w:r w:rsidR="00406F2F">
        <w:t>.</w:t>
      </w:r>
    </w:p>
    <w:p w14:paraId="2BA92583" w14:textId="372170B5" w:rsidR="00675006" w:rsidRDefault="00675006" w:rsidP="005C32AD">
      <w:pPr>
        <w:spacing w:after="160"/>
        <w:jc w:val="both"/>
      </w:pPr>
      <w:bookmarkStart w:id="0" w:name="_Hlk230933193"/>
      <w:r w:rsidRPr="00675006">
        <w:rPr>
          <w:b/>
          <w:bCs/>
        </w:rPr>
        <w:t xml:space="preserve">Art. </w:t>
      </w:r>
      <w:r w:rsidR="00CE2835">
        <w:rPr>
          <w:b/>
          <w:bCs/>
        </w:rPr>
        <w:t>9</w:t>
      </w:r>
      <w:r w:rsidR="00CE2835" w:rsidRPr="008F3601">
        <w:t xml:space="preserve"> </w:t>
      </w:r>
      <w:r w:rsidR="00CC61E8">
        <w:t>–</w:t>
      </w:r>
      <w:r w:rsidR="00143F2D">
        <w:t xml:space="preserve"> </w:t>
      </w:r>
      <w:r w:rsidRPr="00B55F88">
        <w:t>określa obowiązki podatnika w zakresie rozliczenia podatku od nadzwyczajnych zysków</w:t>
      </w:r>
      <w:r>
        <w:t xml:space="preserve">. </w:t>
      </w:r>
    </w:p>
    <w:p w14:paraId="26A60FC9" w14:textId="5B0088EF" w:rsidR="00675006" w:rsidRDefault="00675006" w:rsidP="005C32AD">
      <w:pPr>
        <w:spacing w:after="160"/>
        <w:jc w:val="both"/>
      </w:pPr>
      <w:r>
        <w:t xml:space="preserve">Pierwszym jest obliczanie i wpłacanie na rachunek właściwego naczelnika urzędu skarbowego miesięcznych zaliczek na podatek, obliczanych narastająco. Mechanizm narastający oznacza, że zaliczka należna za dany miesiąc nie jest obliczana wyłącznie od wyników tego miesiąca, lecz stanowi różnicę między podatkiem obliczonym od początku </w:t>
      </w:r>
      <w:r w:rsidR="00C377E4">
        <w:t>okresu rozliczeniowego</w:t>
      </w:r>
      <w:r>
        <w:t xml:space="preserve"> do końca danego miesiąca a sumą zaliczek uprzednio wpłaconych. Jeżeli podatek obliczony narastająco w danym miesiącu jest niższy od sumy dotychczas wpłaconych zaliczek, zaliczka za ten miesiąc wynosi zero, a nadpłata jest rozliczana przy kolejnych zaliczkach lub w ramach rocznego zeznania podatkowego. Mechanizm ten koreluje z konstrukcją podstawy opodatkowania określoną w art. </w:t>
      </w:r>
      <w:r w:rsidR="00CE2835">
        <w:t>7</w:t>
      </w:r>
      <w:r>
        <w:t xml:space="preserve">, której </w:t>
      </w:r>
      <w:r w:rsidR="00E51EC8">
        <w:t>ostateczną</w:t>
      </w:r>
      <w:r>
        <w:t xml:space="preserve"> wysokość można ustalić dopiero po </w:t>
      </w:r>
      <w:r>
        <w:lastRenderedPageBreak/>
        <w:t xml:space="preserve">zakończeniu roku podatkowego, gdy znane są ostateczne wartości przychodów i kosztów za cały okres objęty ustawą. </w:t>
      </w:r>
    </w:p>
    <w:p w14:paraId="320300CD" w14:textId="3E921224" w:rsidR="00CE2835" w:rsidRDefault="00CE2835" w:rsidP="005C32AD">
      <w:pPr>
        <w:spacing w:after="160"/>
        <w:jc w:val="both"/>
      </w:pPr>
      <w:r>
        <w:rPr>
          <w:rFonts w:eastAsia="Times New Roman" w:cs="Times New Roman"/>
          <w:szCs w:val="24"/>
        </w:rPr>
        <w:t xml:space="preserve">Terminy wpłaty zaliczek konkretyzuje ustęp 2: do 25. dnia miesiąca za miesiąc poprzedni. </w:t>
      </w:r>
      <w:r w:rsidR="00792F77">
        <w:t xml:space="preserve">Przepis ten ustanawia jednak również regułę szczególną dotyczącą pierwszej zaliczki. </w:t>
      </w:r>
      <w:r w:rsidR="00792F77">
        <w:rPr>
          <w:rFonts w:eastAsia="Times New Roman" w:cs="Times New Roman"/>
          <w:szCs w:val="24"/>
        </w:rPr>
        <w:t>Z</w:t>
      </w:r>
      <w:r>
        <w:rPr>
          <w:rFonts w:eastAsia="Times New Roman" w:cs="Times New Roman"/>
          <w:szCs w:val="24"/>
        </w:rPr>
        <w:t>aliczka</w:t>
      </w:r>
      <w:r w:rsidR="00792F77">
        <w:rPr>
          <w:rFonts w:eastAsia="Times New Roman" w:cs="Times New Roman"/>
          <w:szCs w:val="24"/>
        </w:rPr>
        <w:t xml:space="preserve"> ta</w:t>
      </w:r>
      <w:r>
        <w:rPr>
          <w:rFonts w:eastAsia="Times New Roman" w:cs="Times New Roman"/>
          <w:szCs w:val="24"/>
        </w:rPr>
        <w:t xml:space="preserve"> – obejmująca narastająco cały okres od dnia 1 marca 2026 r. do dnia 31 lipca 2026 r. – </w:t>
      </w:r>
      <w:r w:rsidR="00C431FD">
        <w:rPr>
          <w:rFonts w:eastAsia="Times New Roman" w:cs="Times New Roman"/>
          <w:szCs w:val="24"/>
        </w:rPr>
        <w:t>będzie</w:t>
      </w:r>
      <w:r>
        <w:rPr>
          <w:rFonts w:eastAsia="Times New Roman" w:cs="Times New Roman"/>
          <w:szCs w:val="24"/>
        </w:rPr>
        <w:t xml:space="preserve"> wpłacana poczynając od września 2026 r. w czterech równych częściach, w</w:t>
      </w:r>
      <w:r w:rsidR="00C431FD">
        <w:rPr>
          <w:rFonts w:eastAsia="Times New Roman" w:cs="Times New Roman"/>
          <w:szCs w:val="24"/>
        </w:rPr>
        <w:t> </w:t>
      </w:r>
      <w:r>
        <w:rPr>
          <w:rFonts w:eastAsia="Times New Roman" w:cs="Times New Roman"/>
          <w:szCs w:val="24"/>
        </w:rPr>
        <w:t>terminach płatności zaliczek za poszczególne miesiące (wrzesień–grudzień 2026 r.), niezależnie od tego, czy w danym miesiącu powstał obowiązek zapłaty zaliczki bieżącej. Rozłożenie pierwszej zaliczki na cztery raty zamiast jednorazowej wpłaty istotnie łagodzi jednorazowe obciążenie finansowe podatników</w:t>
      </w:r>
      <w:r w:rsidR="00932219">
        <w:rPr>
          <w:rFonts w:eastAsia="Times New Roman" w:cs="Times New Roman"/>
          <w:szCs w:val="24"/>
        </w:rPr>
        <w:t>.</w:t>
      </w:r>
      <w:r>
        <w:rPr>
          <w:rFonts w:eastAsia="Times New Roman" w:cs="Times New Roman"/>
          <w:szCs w:val="24"/>
        </w:rPr>
        <w:t xml:space="preserve"> </w:t>
      </w:r>
    </w:p>
    <w:p w14:paraId="66258BB1" w14:textId="0935D11F" w:rsidR="00646BDB" w:rsidRDefault="00CE2835" w:rsidP="005C32AD">
      <w:pPr>
        <w:spacing w:after="160"/>
        <w:jc w:val="both"/>
      </w:pPr>
      <w:r>
        <w:t>Ust. 1 pkt 2 ustanawia obowiązek złożenia</w:t>
      </w:r>
      <w:r w:rsidR="00675006">
        <w:t xml:space="preserve"> zeznania o wysokości podatku od nadzwyczajnych zysków do dnia 30 kwietnia 2027 r.</w:t>
      </w:r>
      <w:r w:rsidR="00143F2D">
        <w:t xml:space="preserve"> Zeznanie będzie składane wyłącznie elektronicznie w sposób określony w przepisach</w:t>
      </w:r>
      <w:r w:rsidR="00B8700F">
        <w:t xml:space="preserve"> odrębnych, a więc przepisach</w:t>
      </w:r>
      <w:r w:rsidR="00143F2D">
        <w:t xml:space="preserve"> wykonawczych wydanych na podstawie art. 3b Ordynacji podatkowej</w:t>
      </w:r>
      <w:r w:rsidR="00B8700F">
        <w:t xml:space="preserve"> oraz przepisach ustawy </w:t>
      </w:r>
      <w:r w:rsidR="00E74082">
        <w:t xml:space="preserve">z </w:t>
      </w:r>
      <w:r w:rsidR="005E337B">
        <w:t xml:space="preserve">dnia </w:t>
      </w:r>
      <w:r w:rsidR="00E74082">
        <w:t xml:space="preserve">16 listopada 2016 r. </w:t>
      </w:r>
      <w:r w:rsidR="00B8700F">
        <w:t>o Krajowej Administracji Skarbowej</w:t>
      </w:r>
      <w:r w:rsidR="005E337B">
        <w:t xml:space="preserve">, </w:t>
      </w:r>
      <w:r w:rsidR="00E74082">
        <w:t>regulujących e-Urząd Skarbowy.</w:t>
      </w:r>
    </w:p>
    <w:p w14:paraId="47132667" w14:textId="29696E39" w:rsidR="00675006" w:rsidRDefault="00E74082" w:rsidP="005C32AD">
      <w:pPr>
        <w:spacing w:after="160"/>
        <w:jc w:val="both"/>
      </w:pPr>
      <w:r>
        <w:t>U</w:t>
      </w:r>
      <w:r w:rsidR="00646BDB">
        <w:t xml:space="preserve">st. 1 pkt 3 </w:t>
      </w:r>
      <w:r w:rsidR="00143F2D">
        <w:t>wprowadza obowiązek</w:t>
      </w:r>
      <w:r w:rsidR="00675006">
        <w:t xml:space="preserve"> obliczeni</w:t>
      </w:r>
      <w:r w:rsidR="00646BDB">
        <w:t>a</w:t>
      </w:r>
      <w:r w:rsidR="00675006">
        <w:t xml:space="preserve"> i wpła</w:t>
      </w:r>
      <w:r w:rsidR="00646BDB">
        <w:t>ty</w:t>
      </w:r>
      <w:r w:rsidR="00675006">
        <w:t xml:space="preserve"> –</w:t>
      </w:r>
      <w:r w:rsidR="00646BDB">
        <w:t xml:space="preserve"> również do 30 kwietnia 2027 r. </w:t>
      </w:r>
      <w:r w:rsidR="00675006">
        <w:t>– należnego podatku od nadzwyczajnych zysków albo różnicy między podatkiem należnym a sumą wpłaconych zaliczek. Oparcie poboru podatku na mechanizmie samoobliczenia eliminuje konieczność angażowania organów podatkowych w bieżący wymiar daniny, wpisując się w standardy krajowego prawa podatkowego i gwarantując efektywność poboru.</w:t>
      </w:r>
    </w:p>
    <w:p w14:paraId="0AD80EE0" w14:textId="4A82A315" w:rsidR="00792F77" w:rsidRDefault="00792F77" w:rsidP="00792F77">
      <w:pPr>
        <w:spacing w:after="160"/>
        <w:jc w:val="both"/>
      </w:pPr>
      <w:r>
        <w:t>Ustęp 3 nakłada na podatnika obowiązek złożenia zeznania w dniu zaprzestania prowadzenia działalności, jeżeli następuje ono przed upływem terminu określonego w ust. 1 pkt 2. Przepis ten gwarantuje ciągłość poboru należności podatkowych w przypadku wcześniejszego zakończenia działalności objętej ustawą.</w:t>
      </w:r>
    </w:p>
    <w:p w14:paraId="7EEEDC82" w14:textId="70A43780" w:rsidR="00792F77" w:rsidRPr="00646BDB" w:rsidRDefault="00792F77" w:rsidP="00792F77">
      <w:pPr>
        <w:spacing w:after="160"/>
        <w:jc w:val="both"/>
      </w:pPr>
      <w:r>
        <w:t>Ustępy 4–6 regulują zasady zwrotu nadpłaty. Nadpłata powstaje z dniem złożenia zeznania i</w:t>
      </w:r>
      <w:r w:rsidR="00C431FD">
        <w:t> </w:t>
      </w:r>
      <w:r>
        <w:t>podlega zwrotowi w terminie 3 miesięcy od dnia jego złożenia, a w przypadku wniosku o</w:t>
      </w:r>
      <w:r w:rsidR="00C431FD">
        <w:t> </w:t>
      </w:r>
      <w:r>
        <w:t>stwierdzenie nadpłaty ze skorygowanym zeznaniem – w terminie 2 miesięcy od dnia złożenia wniosku (niewcześniej jednak niż w terminie 3 miesięcy od złożenia pierwotnego zeznania). Oprocentowanie nadpłaty przysługuje od dnia jej powstania, jeżeli nie została zwrócona w terminie 3 miesięcy od dnia złożenia zeznania lub od dnia skorygowania zeznania. Zaliczenie nadpłaty na poczet zaległości podatkowych następuje z dniem jej powstania</w:t>
      </w:r>
      <w:r w:rsidR="00D32B15">
        <w:t>.</w:t>
      </w:r>
    </w:p>
    <w:bookmarkEnd w:id="0"/>
    <w:p w14:paraId="5882D78D" w14:textId="3386CD3B" w:rsidR="001A6200" w:rsidRDefault="00AA3CF6" w:rsidP="00995EAF">
      <w:pPr>
        <w:spacing w:after="160"/>
        <w:jc w:val="both"/>
      </w:pPr>
      <w:r w:rsidRPr="00AA3CF6">
        <w:rPr>
          <w:b/>
          <w:bCs/>
        </w:rPr>
        <w:lastRenderedPageBreak/>
        <w:t xml:space="preserve">Art. </w:t>
      </w:r>
      <w:r w:rsidR="00792F77">
        <w:rPr>
          <w:b/>
          <w:bCs/>
        </w:rPr>
        <w:t>10</w:t>
      </w:r>
      <w:r w:rsidR="001A6200">
        <w:t xml:space="preserve"> –</w:t>
      </w:r>
      <w:r w:rsidR="00143F2D">
        <w:t xml:space="preserve"> </w:t>
      </w:r>
      <w:r w:rsidR="001A6200">
        <w:t xml:space="preserve">reguluje formalnoprawną stronę rocznego rozliczenia podatku od nadzwyczajnych zysków.  </w:t>
      </w:r>
    </w:p>
    <w:p w14:paraId="27F75ED1" w14:textId="79EBFB85" w:rsidR="00D25920" w:rsidRDefault="001A6200" w:rsidP="00AA3CF6">
      <w:pPr>
        <w:spacing w:after="160"/>
        <w:jc w:val="both"/>
      </w:pPr>
      <w:r>
        <w:t xml:space="preserve">Ustęp 1 określa </w:t>
      </w:r>
      <w:r w:rsidR="00E74082">
        <w:t>zakres danych przekazywanych w zeznaniu</w:t>
      </w:r>
      <w:r>
        <w:t xml:space="preserve"> </w:t>
      </w:r>
      <w:r w:rsidR="00E74082">
        <w:t xml:space="preserve">o wysokości </w:t>
      </w:r>
      <w:r w:rsidR="009E3237">
        <w:t>podatku od</w:t>
      </w:r>
      <w:r>
        <w:t xml:space="preserve"> nadzwyczajnych zysków</w:t>
      </w:r>
      <w:r w:rsidR="00E74082">
        <w:t>, tj.</w:t>
      </w:r>
      <w:r>
        <w:t xml:space="preserve"> dane identyfikacyjne podatnika oraz dane niezbędne do obliczenia i zapłaty podatku. Tak sformułowany wymóg zapewnia organom podatkowym możliwość weryfikacji prawidłowości samoobliczenia bez nakładania na podatnika obciążeń dokumentacyjnych wykraczających poza zakres niezbędny dla celów kontrolnych. Ustęp 2 zawiera natomiast delegację ustawową dla ministra właściwego do spraw finansów publicznych do określenia, w drodze rozporządzenia, szczegółowego zakresu danych zeznania wraz z niezbędnymi pouczeniami.</w:t>
      </w:r>
    </w:p>
    <w:p w14:paraId="1078C976" w14:textId="0DA33B37" w:rsidR="00AA3CF6" w:rsidRDefault="00AA3CF6" w:rsidP="00AA3CF6">
      <w:pPr>
        <w:spacing w:after="160"/>
        <w:jc w:val="both"/>
      </w:pPr>
      <w:r w:rsidRPr="00AA3CF6">
        <w:rPr>
          <w:b/>
          <w:bCs/>
        </w:rPr>
        <w:t xml:space="preserve">Art. </w:t>
      </w:r>
      <w:r w:rsidR="00792F77" w:rsidRPr="00AA3CF6">
        <w:rPr>
          <w:b/>
          <w:bCs/>
        </w:rPr>
        <w:t>1</w:t>
      </w:r>
      <w:r w:rsidR="00792F77">
        <w:rPr>
          <w:b/>
          <w:bCs/>
        </w:rPr>
        <w:t>1</w:t>
      </w:r>
      <w:r w:rsidR="00792F77" w:rsidRPr="00AA3CF6">
        <w:rPr>
          <w:b/>
          <w:bCs/>
        </w:rPr>
        <w:t xml:space="preserve"> </w:t>
      </w:r>
      <w:r w:rsidRPr="00AA3CF6">
        <w:rPr>
          <w:b/>
          <w:bCs/>
        </w:rPr>
        <w:t xml:space="preserve">i </w:t>
      </w:r>
      <w:r w:rsidR="00143F2D">
        <w:rPr>
          <w:b/>
          <w:bCs/>
        </w:rPr>
        <w:t xml:space="preserve">art. </w:t>
      </w:r>
      <w:r w:rsidR="00792F77" w:rsidRPr="00AA3CF6">
        <w:rPr>
          <w:b/>
          <w:bCs/>
        </w:rPr>
        <w:t>1</w:t>
      </w:r>
      <w:r w:rsidR="00792F77">
        <w:rPr>
          <w:b/>
          <w:bCs/>
        </w:rPr>
        <w:t>2</w:t>
      </w:r>
      <w:r w:rsidR="00792F77" w:rsidRPr="008F3601">
        <w:t xml:space="preserve"> </w:t>
      </w:r>
      <w:r w:rsidRPr="00AA3CF6">
        <w:rPr>
          <w:b/>
          <w:bCs/>
        </w:rPr>
        <w:t>–</w:t>
      </w:r>
      <w:r w:rsidR="009E3237">
        <w:rPr>
          <w:b/>
          <w:bCs/>
        </w:rPr>
        <w:t xml:space="preserve"> </w:t>
      </w:r>
      <w:r w:rsidRPr="00B55F88">
        <w:t xml:space="preserve">wprowadzają zmiany, odpowiednio, w ustawie </w:t>
      </w:r>
      <w:r w:rsidR="00D32B15">
        <w:t xml:space="preserve">z dnia 26 lipca 1991 r. </w:t>
      </w:r>
      <w:r w:rsidRPr="00B55F88">
        <w:t xml:space="preserve">o podatku dochodowym od osób fizycznych oraz w ustawie </w:t>
      </w:r>
      <w:r w:rsidR="00D32B15">
        <w:t xml:space="preserve">z dnia 15 lutego 1992 r. </w:t>
      </w:r>
      <w:r w:rsidRPr="00B55F88">
        <w:t>o podatku dochodowym od osób prawnych, wyłączając podatek od nadzwyczajnych zysków z kosztów uzyskania przychodów w obydwu podatkach dochodowych.</w:t>
      </w:r>
      <w:r w:rsidR="006A0D70">
        <w:t xml:space="preserve"> </w:t>
      </w:r>
      <w:r w:rsidR="006A0D70" w:rsidRPr="00337BE3">
        <w:t>Celem obu regulacji jest wyeliminowanie sytuacji, w której zapłata podatku od nadzwyczajnych zysków skutkowałaby pomniejszeniem podstawy opodatkowania podatkiem dochodowym, co prowadziłoby do częściowej kompensaty tej daniny i istotnego osłabienia jej skuteczności fiskalnej i redystrybucyjnej</w:t>
      </w:r>
      <w:r w:rsidR="00DA3912">
        <w:t xml:space="preserve">. </w:t>
      </w:r>
    </w:p>
    <w:p w14:paraId="3A1B7165" w14:textId="557C31FD" w:rsidR="006A0D70" w:rsidRDefault="00AA3CF6" w:rsidP="006A0D70">
      <w:pPr>
        <w:spacing w:after="160"/>
        <w:jc w:val="both"/>
      </w:pPr>
      <w:r w:rsidRPr="00DA3912">
        <w:rPr>
          <w:b/>
          <w:bCs/>
        </w:rPr>
        <w:t xml:space="preserve">Art. </w:t>
      </w:r>
      <w:r w:rsidR="00792F77" w:rsidRPr="00DA3912">
        <w:rPr>
          <w:b/>
          <w:bCs/>
        </w:rPr>
        <w:t>1</w:t>
      </w:r>
      <w:r w:rsidR="00792F77">
        <w:rPr>
          <w:b/>
          <w:bCs/>
        </w:rPr>
        <w:t>3</w:t>
      </w:r>
      <w:r w:rsidR="00792F77">
        <w:t xml:space="preserve"> </w:t>
      </w:r>
      <w:r>
        <w:t>–</w:t>
      </w:r>
      <w:r w:rsidR="00143F2D">
        <w:t xml:space="preserve"> </w:t>
      </w:r>
      <w:r w:rsidR="006A0D70">
        <w:t>określa termin wejścia w życie projektowanej ustawy. Ustawa wejdzie w życie z</w:t>
      </w:r>
      <w:r w:rsidR="00D0310B">
        <w:t> </w:t>
      </w:r>
      <w:r w:rsidR="006A0D70">
        <w:t xml:space="preserve">dniem 1 </w:t>
      </w:r>
      <w:r w:rsidR="007B6DC4">
        <w:t>sierpnia</w:t>
      </w:r>
      <w:r w:rsidR="006A0D70">
        <w:t xml:space="preserve"> 2026 r.</w:t>
      </w:r>
    </w:p>
    <w:p w14:paraId="3A0EA6F1" w14:textId="73A66B9F" w:rsidR="00F43E13" w:rsidRDefault="00F43E13" w:rsidP="00F43E13">
      <w:pPr>
        <w:spacing w:before="320" w:after="160"/>
        <w:rPr>
          <w:rFonts w:eastAsia="Times New Roman" w:cs="Times New Roman"/>
        </w:rPr>
      </w:pPr>
      <w:r>
        <w:rPr>
          <w:b/>
          <w:bCs/>
        </w:rPr>
        <w:t xml:space="preserve">V. </w:t>
      </w:r>
      <w:r w:rsidR="000C44F3">
        <w:rPr>
          <w:b/>
          <w:bCs/>
        </w:rPr>
        <w:t>Informacje dodatkowe</w:t>
      </w:r>
    </w:p>
    <w:p w14:paraId="2D969A1B" w14:textId="503FE174" w:rsidR="005A1DF9" w:rsidRDefault="00F43E13" w:rsidP="006D273B">
      <w:pPr>
        <w:spacing w:before="120"/>
        <w:jc w:val="both"/>
      </w:pPr>
      <w:r w:rsidRPr="00F43E13">
        <w:t>Projekt ustawy jest zgodny z prawem Unii Europejskiej i nie podlega obowiązkowi przedstawienia właściwym instytucjom Unii Europejskiej, w tym Europejskiemu Bankowi Centralnemu, w celu uzyskania opinii, dokonania powiadomienia, konsultacji albo uzgodnienia.</w:t>
      </w:r>
    </w:p>
    <w:p w14:paraId="3EE17768" w14:textId="1896A3C9" w:rsidR="00D36F26" w:rsidRDefault="001A0B6D" w:rsidP="00D36F26">
      <w:pPr>
        <w:spacing w:before="120"/>
        <w:jc w:val="both"/>
      </w:pPr>
      <w:r>
        <w:t>U</w:t>
      </w:r>
      <w:r w:rsidR="00D36F26">
        <w:t xml:space="preserve">stawa </w:t>
      </w:r>
      <w:r>
        <w:t>obejmuje sw</w:t>
      </w:r>
      <w:r w:rsidR="006D7C22">
        <w:t>oi</w:t>
      </w:r>
      <w:r>
        <w:t xml:space="preserve">m zakresem także </w:t>
      </w:r>
      <w:r w:rsidR="00D36F26">
        <w:t>mikro</w:t>
      </w:r>
      <w:r w:rsidR="0071427C">
        <w:t>-</w:t>
      </w:r>
      <w:r w:rsidR="00D36F26">
        <w:t>, małych i</w:t>
      </w:r>
      <w:r w:rsidR="005575DC">
        <w:t> </w:t>
      </w:r>
      <w:r w:rsidR="00D36F26">
        <w:t>średnich przedsiębiorców</w:t>
      </w:r>
      <w:r>
        <w:t xml:space="preserve">. Nie nakłada natomiast żadnych obowiązków na </w:t>
      </w:r>
      <w:r w:rsidR="00D36F26">
        <w:t>obywateli</w:t>
      </w:r>
      <w:r>
        <w:t>,</w:t>
      </w:r>
      <w:r w:rsidR="00D36F26">
        <w:t xml:space="preserve"> ani</w:t>
      </w:r>
      <w:r>
        <w:t xml:space="preserve"> na</w:t>
      </w:r>
      <w:r w:rsidR="00D36F26">
        <w:t xml:space="preserve"> gospodarstwa domowe. </w:t>
      </w:r>
    </w:p>
    <w:p w14:paraId="3DB8FAEE" w14:textId="760703D9" w:rsidR="00D36F26" w:rsidRDefault="00D36F26" w:rsidP="00D36F26">
      <w:pPr>
        <w:spacing w:before="120"/>
        <w:jc w:val="both"/>
      </w:pPr>
      <w:r>
        <w:t xml:space="preserve">Wpływy z podatku od nadzwyczajnych zysków zasilą budżet państwa, </w:t>
      </w:r>
      <w:r w:rsidR="00877788">
        <w:t xml:space="preserve">wspierając </w:t>
      </w:r>
      <w:r>
        <w:t>finansowani</w:t>
      </w:r>
      <w:r w:rsidR="00877788">
        <w:t>e</w:t>
      </w:r>
      <w:r>
        <w:t xml:space="preserve"> działań osłonowych prowadzonych w odpowiedzi na kryzys energetyczny. Pozwoli to na sfinansowanie wprowadzonych środków łagodzących skutki wzrostu cen paliw. Sektor małych i średnich przedsiębiorstw, szczególnie narażony na wzrost kosztów transportu i energii, odnosi </w:t>
      </w:r>
      <w:r>
        <w:lastRenderedPageBreak/>
        <w:t>wymierne korzyści z utrzymania tych programów, które w istotny sposób ograniczają presję kosztową w tej grupie podmiotów. Analogicznie gospodarstwa domowe – zwłaszcza te o niższych dochodach, dla których wydatki na paliwo i energię stanowią znaczącą część budżetu – korzystają na podtrzymaniu osłon cenowych finansowanych ze środków pozyskanych od podmiotów, które na kryzysie bezpośrednio skorzystały.</w:t>
      </w:r>
      <w:r w:rsidR="00E14FC3">
        <w:t xml:space="preserve"> Powyższe realizuje, wskazywaną już uprzednio</w:t>
      </w:r>
      <w:r w:rsidR="00CC4AA5">
        <w:t>,</w:t>
      </w:r>
      <w:r w:rsidR="00E14FC3">
        <w:t xml:space="preserve"> zasadę sprawiedliwości społecznej.  </w:t>
      </w:r>
    </w:p>
    <w:p w14:paraId="4B9EA294" w14:textId="68C50676" w:rsidR="00143F2D" w:rsidRDefault="00E64A1E" w:rsidP="006D273B">
      <w:pPr>
        <w:spacing w:before="120"/>
        <w:jc w:val="both"/>
      </w:pPr>
      <w:r w:rsidRPr="00E64A1E">
        <w:t xml:space="preserve">Projekt ustawy nie podlega procedurze notyfikacji aktów prawnych, określonej w przepisach </w:t>
      </w:r>
      <w:bookmarkStart w:id="1" w:name="_Hlk228971017"/>
      <w:r w:rsidRPr="00E64A1E">
        <w:t xml:space="preserve">rozporządzenia Rady Ministrów z dnia 23 grudnia 2002 r. w sprawie </w:t>
      </w:r>
      <w:r w:rsidR="0071427C">
        <w:t xml:space="preserve">sposobu </w:t>
      </w:r>
      <w:r w:rsidRPr="00E64A1E">
        <w:t xml:space="preserve">funkcjonowania krajowego systemu notyfikacji norm i aktów prawnych (Dz. U. poz. 2039, z późn. zm.). </w:t>
      </w:r>
      <w:bookmarkEnd w:id="1"/>
    </w:p>
    <w:p w14:paraId="7B17C03B" w14:textId="636C44F7" w:rsidR="00E64A1E" w:rsidRDefault="00E64A1E" w:rsidP="006D273B">
      <w:pPr>
        <w:spacing w:before="120"/>
        <w:jc w:val="both"/>
      </w:pPr>
      <w:r w:rsidRPr="00E64A1E">
        <w:t>Projekt nie stwarza zagrożeń korupcyjnych.</w:t>
      </w:r>
    </w:p>
    <w:sectPr w:rsidR="00E64A1E" w:rsidSect="00BC796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4164" w14:textId="77777777" w:rsidR="00C42016" w:rsidRDefault="00C42016" w:rsidP="006532BE">
      <w:pPr>
        <w:spacing w:line="240" w:lineRule="auto"/>
      </w:pPr>
      <w:r>
        <w:separator/>
      </w:r>
    </w:p>
  </w:endnote>
  <w:endnote w:type="continuationSeparator" w:id="0">
    <w:p w14:paraId="15DBA0A7" w14:textId="77777777" w:rsidR="00C42016" w:rsidRDefault="00C42016" w:rsidP="00653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305662"/>
      <w:docPartObj>
        <w:docPartGallery w:val="Page Numbers (Bottom of Page)"/>
        <w:docPartUnique/>
      </w:docPartObj>
    </w:sdtPr>
    <w:sdtEndPr/>
    <w:sdtContent>
      <w:p w14:paraId="0D76B157" w14:textId="602F9EE6" w:rsidR="00BC7969" w:rsidRDefault="00BC7969">
        <w:pPr>
          <w:pStyle w:val="Stopka"/>
          <w:jc w:val="center"/>
        </w:pPr>
        <w:r>
          <w:fldChar w:fldCharType="begin"/>
        </w:r>
        <w:r>
          <w:instrText>PAGE   \* MERGEFORMAT</w:instrText>
        </w:r>
        <w:r>
          <w:fldChar w:fldCharType="separate"/>
        </w:r>
        <w:r>
          <w:t>2</w:t>
        </w:r>
        <w:r>
          <w:fldChar w:fldCharType="end"/>
        </w:r>
      </w:p>
    </w:sdtContent>
  </w:sdt>
  <w:p w14:paraId="2BFB1C0D" w14:textId="77777777" w:rsidR="00592A67" w:rsidRDefault="00592A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3DC7" w14:textId="77777777" w:rsidR="00C42016" w:rsidRDefault="00C42016" w:rsidP="006532BE">
      <w:pPr>
        <w:spacing w:line="240" w:lineRule="auto"/>
      </w:pPr>
      <w:r>
        <w:separator/>
      </w:r>
    </w:p>
  </w:footnote>
  <w:footnote w:type="continuationSeparator" w:id="0">
    <w:p w14:paraId="17F297B3" w14:textId="77777777" w:rsidR="00C42016" w:rsidRDefault="00C42016" w:rsidP="006532BE">
      <w:pPr>
        <w:spacing w:line="240" w:lineRule="auto"/>
      </w:pPr>
      <w:r>
        <w:continuationSeparator/>
      </w:r>
    </w:p>
  </w:footnote>
  <w:footnote w:id="1">
    <w:p w14:paraId="5959F756" w14:textId="21877A4C" w:rsidR="00D72DC6" w:rsidRDefault="00D72DC6" w:rsidP="007E0595">
      <w:pPr>
        <w:pStyle w:val="Tekstprzypisudolnego"/>
        <w:tabs>
          <w:tab w:val="left" w:pos="0"/>
          <w:tab w:val="left" w:pos="142"/>
        </w:tabs>
        <w:jc w:val="both"/>
      </w:pPr>
      <w:r>
        <w:rPr>
          <w:rStyle w:val="Odwoanieprzypisudolnego"/>
        </w:rPr>
        <w:footnoteRef/>
      </w:r>
      <w:r w:rsidR="00A76E45" w:rsidRPr="00B472EA">
        <w:rPr>
          <w:rFonts w:eastAsia="Times New Roman" w:cs="Times New Roman"/>
          <w:vertAlign w:val="superscript"/>
        </w:rPr>
        <w:t>)</w:t>
      </w:r>
      <w:r w:rsidR="007E0595">
        <w:tab/>
      </w:r>
      <w:r w:rsidR="00247929">
        <w:t>w</w:t>
      </w:r>
      <w:r w:rsidRPr="00B56482">
        <w:t>yrok Trybunału Konstytucyjnego z dnia 19 listopada 2008 r., sygn. akt Kp 2/08</w:t>
      </w:r>
    </w:p>
  </w:footnote>
  <w:footnote w:id="2">
    <w:p w14:paraId="5B11C26A" w14:textId="19333FC6" w:rsidR="001A3BD9" w:rsidRPr="001A3BD9" w:rsidRDefault="001A3BD9" w:rsidP="007E0595">
      <w:pPr>
        <w:pStyle w:val="Tekstprzypisudolnego"/>
        <w:tabs>
          <w:tab w:val="left" w:pos="142"/>
        </w:tabs>
        <w:ind w:left="142" w:hanging="142"/>
        <w:jc w:val="both"/>
        <w:rPr>
          <w:rFonts w:eastAsia="Times New Roman" w:cs="Times New Roman"/>
        </w:rPr>
      </w:pPr>
      <w:r>
        <w:rPr>
          <w:rStyle w:val="Odwoanieprzypisudolnego"/>
        </w:rPr>
        <w:footnoteRef/>
      </w:r>
      <w:r w:rsidR="00A76E45" w:rsidRPr="00B472EA">
        <w:rPr>
          <w:rFonts w:eastAsia="Times New Roman" w:cs="Times New Roman"/>
          <w:vertAlign w:val="superscript"/>
        </w:rPr>
        <w:t>)</w:t>
      </w:r>
      <w:r w:rsidR="007E0595">
        <w:tab/>
      </w:r>
      <w:r>
        <w:t xml:space="preserve">w przeciwieństwie do prawa karnego (materialnego), gdzie </w:t>
      </w:r>
      <w:r w:rsidRPr="00D72DC6">
        <w:rPr>
          <w:rFonts w:eastAsia="Times New Roman" w:cs="Times New Roman"/>
        </w:rPr>
        <w:t xml:space="preserve">zasada </w:t>
      </w:r>
      <w:r w:rsidRPr="008F3601">
        <w:rPr>
          <w:rFonts w:eastAsia="Times New Roman" w:cs="Times New Roman"/>
          <w:i/>
          <w:iCs/>
        </w:rPr>
        <w:t>lex retro non agit</w:t>
      </w:r>
      <w:r w:rsidRPr="00D72DC6">
        <w:rPr>
          <w:rFonts w:eastAsia="Times New Roman" w:cs="Times New Roman"/>
        </w:rPr>
        <w:t xml:space="preserve"> ma charakter bezwzględny i nie doznaje żadnych wyjątków</w:t>
      </w:r>
      <w:r>
        <w:rPr>
          <w:rFonts w:eastAsia="Times New Roman" w:cs="Times New Roman"/>
        </w:rPr>
        <w:t>.</w:t>
      </w:r>
    </w:p>
  </w:footnote>
  <w:footnote w:id="3">
    <w:p w14:paraId="11904485" w14:textId="53136B52" w:rsidR="00D24AAB" w:rsidRDefault="00D24AAB" w:rsidP="00BC7969">
      <w:pPr>
        <w:pStyle w:val="Tekstprzypisudolnego"/>
        <w:tabs>
          <w:tab w:val="left" w:pos="142"/>
        </w:tabs>
        <w:jc w:val="both"/>
      </w:pPr>
      <w:r>
        <w:rPr>
          <w:rStyle w:val="Odwoanieprzypisudolnego"/>
        </w:rPr>
        <w:footnoteRef/>
      </w:r>
      <w:r w:rsidR="00A76E45" w:rsidRPr="00B472EA">
        <w:rPr>
          <w:rFonts w:eastAsia="Times New Roman" w:cs="Times New Roman"/>
          <w:vertAlign w:val="superscript"/>
        </w:rPr>
        <w:t>)</w:t>
      </w:r>
      <w:r w:rsidR="00BC7969">
        <w:tab/>
      </w:r>
      <w:r w:rsidR="00247929">
        <w:t>w</w:t>
      </w:r>
      <w:r>
        <w:t>yrok Trybunał</w:t>
      </w:r>
      <w:r w:rsidR="008F0D1E">
        <w:t>u</w:t>
      </w:r>
      <w:r>
        <w:t xml:space="preserve"> Konstytucyjnego z dnia 12 kwietnia 2000 r., sygn. akt K8/98</w:t>
      </w:r>
    </w:p>
  </w:footnote>
  <w:footnote w:id="4">
    <w:p w14:paraId="6DC6535B" w14:textId="2B0918BC" w:rsidR="006A292C" w:rsidRDefault="006A292C" w:rsidP="008F3601">
      <w:pPr>
        <w:pStyle w:val="Tekstprzypisudolnego"/>
        <w:tabs>
          <w:tab w:val="left" w:pos="284"/>
        </w:tabs>
        <w:ind w:left="142" w:hanging="142"/>
        <w:jc w:val="both"/>
      </w:pPr>
      <w:r>
        <w:rPr>
          <w:rStyle w:val="Odwoanieprzypisudolnego"/>
        </w:rPr>
        <w:footnoteRef/>
      </w:r>
      <w:r w:rsidR="00A76E45" w:rsidRPr="00B472EA">
        <w:rPr>
          <w:rFonts w:eastAsia="Times New Roman" w:cs="Times New Roman"/>
          <w:vertAlign w:val="superscript"/>
        </w:rPr>
        <w:t>)</w:t>
      </w:r>
      <w:r w:rsidR="00BC7969">
        <w:tab/>
      </w:r>
      <w:r w:rsidRPr="00EC1F83">
        <w:rPr>
          <w:rFonts w:eastAsia="Times New Roman" w:cs="Times New Roman"/>
        </w:rPr>
        <w:t>wyroki z: 31 stycznia 2000 r., sygn. P. 4/99, OTK ZU nr 1/2001, poz. 5; 24 czerwca 2008 r., sygn. SK 16/06, OTK ZU nr 5/A/2008, poz. 85</w:t>
      </w:r>
      <w:r>
        <w:rPr>
          <w:rFonts w:eastAsia="Times New Roman" w:cs="Times New Roman"/>
        </w:rPr>
        <w:t xml:space="preserve"> </w:t>
      </w:r>
    </w:p>
  </w:footnote>
  <w:footnote w:id="5">
    <w:p w14:paraId="1029602A" w14:textId="2DF1D9F0" w:rsidR="006A292C" w:rsidRDefault="006A292C" w:rsidP="008F3601">
      <w:pPr>
        <w:pStyle w:val="Tekstprzypisudolnego"/>
        <w:tabs>
          <w:tab w:val="left" w:pos="142"/>
        </w:tabs>
        <w:jc w:val="both"/>
      </w:pPr>
      <w:r>
        <w:rPr>
          <w:rStyle w:val="Odwoanieprzypisudolnego"/>
        </w:rPr>
        <w:footnoteRef/>
      </w:r>
      <w:r w:rsidR="00A76E45" w:rsidRPr="00B472EA">
        <w:rPr>
          <w:rFonts w:eastAsia="Times New Roman" w:cs="Times New Roman"/>
          <w:vertAlign w:val="superscript"/>
        </w:rPr>
        <w:t>)</w:t>
      </w:r>
      <w:r w:rsidR="00BC7969">
        <w:tab/>
      </w:r>
      <w:r w:rsidRPr="00EC1F83">
        <w:rPr>
          <w:rFonts w:eastAsia="Times New Roman" w:cs="Times New Roman"/>
        </w:rPr>
        <w:t>wyrok z 19 marca 2007 r., sygn. K 47/05, OTK ZU nr 3/A/2007, poz. 27</w:t>
      </w:r>
    </w:p>
  </w:footnote>
  <w:footnote w:id="6">
    <w:p w14:paraId="4BD26C2D" w14:textId="751B8007" w:rsidR="00E67B0F" w:rsidRPr="00741F8F" w:rsidRDefault="00E67B0F" w:rsidP="00BC7969">
      <w:pPr>
        <w:pStyle w:val="Tekstprzypisudolnego"/>
        <w:tabs>
          <w:tab w:val="left" w:pos="142"/>
        </w:tabs>
        <w:ind w:left="142" w:hanging="142"/>
        <w:jc w:val="both"/>
      </w:pPr>
      <w:r>
        <w:rPr>
          <w:rStyle w:val="Odwoanieprzypisudolnego"/>
        </w:rPr>
        <w:footnoteRef/>
      </w:r>
      <w:r w:rsidR="00C669B5" w:rsidRPr="00B472EA">
        <w:rPr>
          <w:rFonts w:eastAsia="Times New Roman" w:cs="Times New Roman"/>
          <w:vertAlign w:val="superscript"/>
        </w:rPr>
        <w:t>)</w:t>
      </w:r>
      <w:r w:rsidR="00BC7969">
        <w:tab/>
      </w:r>
      <w:r w:rsidRPr="00C03110">
        <w:rPr>
          <w:color w:val="000000"/>
        </w:rPr>
        <w:t>rozporządzeni</w:t>
      </w:r>
      <w:r>
        <w:rPr>
          <w:color w:val="000000"/>
        </w:rPr>
        <w:t>e</w:t>
      </w:r>
      <w:r w:rsidRPr="00C03110">
        <w:rPr>
          <w:color w:val="000000"/>
        </w:rPr>
        <w:t xml:space="preserve"> Rady (UE) 2022/1854 z dnia 6 października 2022 r</w:t>
      </w:r>
      <w:r w:rsidRPr="00C03110">
        <w:rPr>
          <w:i/>
          <w:iCs/>
          <w:color w:val="000000"/>
        </w:rPr>
        <w:t xml:space="preserve">. </w:t>
      </w:r>
      <w:r w:rsidRPr="008F3601">
        <w:rPr>
          <w:color w:val="000000"/>
        </w:rPr>
        <w:t>w sprawie interwencji w sytuacji nadzwyczajnej w celu rozwiązania problemu wysokich cen energii (Dz.</w:t>
      </w:r>
      <w:r w:rsidR="00741F8F">
        <w:rPr>
          <w:color w:val="000000"/>
        </w:rPr>
        <w:t xml:space="preserve"> </w:t>
      </w:r>
      <w:r w:rsidRPr="008F3601">
        <w:rPr>
          <w:color w:val="000000"/>
        </w:rPr>
        <w:t>U</w:t>
      </w:r>
      <w:r w:rsidR="00741F8F">
        <w:rPr>
          <w:color w:val="000000"/>
        </w:rPr>
        <w:t>rz</w:t>
      </w:r>
      <w:r w:rsidRPr="008F3601">
        <w:rPr>
          <w:color w:val="000000"/>
        </w:rPr>
        <w:t>.</w:t>
      </w:r>
      <w:r w:rsidR="00741F8F">
        <w:rPr>
          <w:color w:val="000000"/>
        </w:rPr>
        <w:t xml:space="preserve"> </w:t>
      </w:r>
      <w:r w:rsidRPr="008F3601">
        <w:rPr>
          <w:color w:val="000000"/>
        </w:rPr>
        <w:t>UE</w:t>
      </w:r>
      <w:r w:rsidR="00741F8F">
        <w:rPr>
          <w:color w:val="000000"/>
        </w:rPr>
        <w:t xml:space="preserve"> </w:t>
      </w:r>
      <w:r w:rsidRPr="008F3601">
        <w:rPr>
          <w:color w:val="000000"/>
        </w:rPr>
        <w:t>L</w:t>
      </w:r>
      <w:r w:rsidR="00741F8F">
        <w:rPr>
          <w:color w:val="000000"/>
        </w:rPr>
        <w:t xml:space="preserve"> </w:t>
      </w:r>
      <w:r w:rsidRPr="008F3601">
        <w:rPr>
          <w:color w:val="000000"/>
        </w:rPr>
        <w:t>2022.261I.1)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B07"/>
    <w:multiLevelType w:val="hybridMultilevel"/>
    <w:tmpl w:val="68087D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2F04A5"/>
    <w:multiLevelType w:val="hybridMultilevel"/>
    <w:tmpl w:val="B3622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7E66F6"/>
    <w:multiLevelType w:val="hybridMultilevel"/>
    <w:tmpl w:val="B3622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0070C6"/>
    <w:multiLevelType w:val="hybridMultilevel"/>
    <w:tmpl w:val="32BA6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0355079">
    <w:abstractNumId w:val="2"/>
  </w:num>
  <w:num w:numId="2" w16cid:durableId="1886287310">
    <w:abstractNumId w:val="0"/>
  </w:num>
  <w:num w:numId="3" w16cid:durableId="438184132">
    <w:abstractNumId w:val="1"/>
  </w:num>
  <w:num w:numId="4" w16cid:durableId="854466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E5"/>
    <w:rsid w:val="000121D9"/>
    <w:rsid w:val="00014C85"/>
    <w:rsid w:val="00021504"/>
    <w:rsid w:val="00033BAA"/>
    <w:rsid w:val="000526C5"/>
    <w:rsid w:val="00052C8D"/>
    <w:rsid w:val="000727AF"/>
    <w:rsid w:val="00084034"/>
    <w:rsid w:val="00090147"/>
    <w:rsid w:val="000A2C5E"/>
    <w:rsid w:val="000A37AF"/>
    <w:rsid w:val="000B0110"/>
    <w:rsid w:val="000B72D7"/>
    <w:rsid w:val="000B72EF"/>
    <w:rsid w:val="000C44F3"/>
    <w:rsid w:val="000C5ADD"/>
    <w:rsid w:val="000C5CA7"/>
    <w:rsid w:val="000D5388"/>
    <w:rsid w:val="000D5B87"/>
    <w:rsid w:val="000F169A"/>
    <w:rsid w:val="001102A8"/>
    <w:rsid w:val="00110B6C"/>
    <w:rsid w:val="0012001B"/>
    <w:rsid w:val="0013357B"/>
    <w:rsid w:val="00143F2D"/>
    <w:rsid w:val="00145890"/>
    <w:rsid w:val="00153D56"/>
    <w:rsid w:val="00156583"/>
    <w:rsid w:val="0016656F"/>
    <w:rsid w:val="001704B2"/>
    <w:rsid w:val="00171C57"/>
    <w:rsid w:val="001909F5"/>
    <w:rsid w:val="00194706"/>
    <w:rsid w:val="001A0B6D"/>
    <w:rsid w:val="001A3BD9"/>
    <w:rsid w:val="001A6200"/>
    <w:rsid w:val="001A628E"/>
    <w:rsid w:val="001A6733"/>
    <w:rsid w:val="001B4F79"/>
    <w:rsid w:val="001C7625"/>
    <w:rsid w:val="001D67EC"/>
    <w:rsid w:val="00200E5B"/>
    <w:rsid w:val="0020358E"/>
    <w:rsid w:val="00205C70"/>
    <w:rsid w:val="002078D1"/>
    <w:rsid w:val="00207A19"/>
    <w:rsid w:val="002123B9"/>
    <w:rsid w:val="002148D7"/>
    <w:rsid w:val="00226B40"/>
    <w:rsid w:val="002373DD"/>
    <w:rsid w:val="00241322"/>
    <w:rsid w:val="00247929"/>
    <w:rsid w:val="00260002"/>
    <w:rsid w:val="00261D21"/>
    <w:rsid w:val="00273677"/>
    <w:rsid w:val="00281B96"/>
    <w:rsid w:val="002861FA"/>
    <w:rsid w:val="00291831"/>
    <w:rsid w:val="0029328D"/>
    <w:rsid w:val="002A11A0"/>
    <w:rsid w:val="002A2915"/>
    <w:rsid w:val="002A7E6B"/>
    <w:rsid w:val="002C029E"/>
    <w:rsid w:val="002C4153"/>
    <w:rsid w:val="002C4FBD"/>
    <w:rsid w:val="002E2F6D"/>
    <w:rsid w:val="002E6F02"/>
    <w:rsid w:val="002F3359"/>
    <w:rsid w:val="002F429F"/>
    <w:rsid w:val="002F623F"/>
    <w:rsid w:val="002F7112"/>
    <w:rsid w:val="002F7C7D"/>
    <w:rsid w:val="00306381"/>
    <w:rsid w:val="0030692B"/>
    <w:rsid w:val="00313295"/>
    <w:rsid w:val="00317445"/>
    <w:rsid w:val="00326A19"/>
    <w:rsid w:val="003441D8"/>
    <w:rsid w:val="00352304"/>
    <w:rsid w:val="00366B13"/>
    <w:rsid w:val="00373D52"/>
    <w:rsid w:val="00374030"/>
    <w:rsid w:val="003D2504"/>
    <w:rsid w:val="003D5402"/>
    <w:rsid w:val="003E18F4"/>
    <w:rsid w:val="003E4E08"/>
    <w:rsid w:val="0040343F"/>
    <w:rsid w:val="00406F2F"/>
    <w:rsid w:val="00412DDD"/>
    <w:rsid w:val="004151CB"/>
    <w:rsid w:val="004231DD"/>
    <w:rsid w:val="00434848"/>
    <w:rsid w:val="00444E32"/>
    <w:rsid w:val="00450EAB"/>
    <w:rsid w:val="00450F8D"/>
    <w:rsid w:val="00456977"/>
    <w:rsid w:val="004573D8"/>
    <w:rsid w:val="004642DD"/>
    <w:rsid w:val="00470B58"/>
    <w:rsid w:val="004760B7"/>
    <w:rsid w:val="004867A5"/>
    <w:rsid w:val="00490234"/>
    <w:rsid w:val="004C14B3"/>
    <w:rsid w:val="004C1582"/>
    <w:rsid w:val="004C6B7C"/>
    <w:rsid w:val="004D0525"/>
    <w:rsid w:val="004D1EF8"/>
    <w:rsid w:val="004D3233"/>
    <w:rsid w:val="004E4619"/>
    <w:rsid w:val="004E6F0B"/>
    <w:rsid w:val="0050507B"/>
    <w:rsid w:val="00505440"/>
    <w:rsid w:val="005056E5"/>
    <w:rsid w:val="00507962"/>
    <w:rsid w:val="00510A80"/>
    <w:rsid w:val="00520BCF"/>
    <w:rsid w:val="0052223F"/>
    <w:rsid w:val="00522790"/>
    <w:rsid w:val="0052302D"/>
    <w:rsid w:val="005264BA"/>
    <w:rsid w:val="00532503"/>
    <w:rsid w:val="00533FCD"/>
    <w:rsid w:val="005374BD"/>
    <w:rsid w:val="005457C8"/>
    <w:rsid w:val="0054661F"/>
    <w:rsid w:val="005575DC"/>
    <w:rsid w:val="00561532"/>
    <w:rsid w:val="00580E5B"/>
    <w:rsid w:val="00592A67"/>
    <w:rsid w:val="005A1DF9"/>
    <w:rsid w:val="005A4499"/>
    <w:rsid w:val="005C0412"/>
    <w:rsid w:val="005C32AD"/>
    <w:rsid w:val="005E21B1"/>
    <w:rsid w:val="005E337B"/>
    <w:rsid w:val="005E66D2"/>
    <w:rsid w:val="005F2B0B"/>
    <w:rsid w:val="005F5A0D"/>
    <w:rsid w:val="00607DBB"/>
    <w:rsid w:val="006113E5"/>
    <w:rsid w:val="0061176F"/>
    <w:rsid w:val="0062485E"/>
    <w:rsid w:val="00635DDB"/>
    <w:rsid w:val="006403C8"/>
    <w:rsid w:val="00646BDB"/>
    <w:rsid w:val="00650E6E"/>
    <w:rsid w:val="006532BE"/>
    <w:rsid w:val="006567F6"/>
    <w:rsid w:val="00662527"/>
    <w:rsid w:val="00666605"/>
    <w:rsid w:val="00675006"/>
    <w:rsid w:val="00681162"/>
    <w:rsid w:val="00682874"/>
    <w:rsid w:val="006865D1"/>
    <w:rsid w:val="00695A26"/>
    <w:rsid w:val="006A0D70"/>
    <w:rsid w:val="006A160F"/>
    <w:rsid w:val="006A292C"/>
    <w:rsid w:val="006A35B6"/>
    <w:rsid w:val="006A61C1"/>
    <w:rsid w:val="006B2987"/>
    <w:rsid w:val="006C7BC3"/>
    <w:rsid w:val="006D21EB"/>
    <w:rsid w:val="006D273B"/>
    <w:rsid w:val="006D3724"/>
    <w:rsid w:val="006D544E"/>
    <w:rsid w:val="006D7C22"/>
    <w:rsid w:val="006E1D3E"/>
    <w:rsid w:val="006E3F08"/>
    <w:rsid w:val="006E51FB"/>
    <w:rsid w:val="006E6A52"/>
    <w:rsid w:val="006F0136"/>
    <w:rsid w:val="006F2A44"/>
    <w:rsid w:val="006F33EC"/>
    <w:rsid w:val="006F5237"/>
    <w:rsid w:val="006F65BF"/>
    <w:rsid w:val="00705862"/>
    <w:rsid w:val="0071427C"/>
    <w:rsid w:val="00717294"/>
    <w:rsid w:val="00741846"/>
    <w:rsid w:val="00741F8F"/>
    <w:rsid w:val="00746AC2"/>
    <w:rsid w:val="00750789"/>
    <w:rsid w:val="0076794C"/>
    <w:rsid w:val="007709E7"/>
    <w:rsid w:val="0079020D"/>
    <w:rsid w:val="00792F77"/>
    <w:rsid w:val="007A1BB4"/>
    <w:rsid w:val="007B6DC4"/>
    <w:rsid w:val="007C632C"/>
    <w:rsid w:val="007C7539"/>
    <w:rsid w:val="007D429C"/>
    <w:rsid w:val="007D7E32"/>
    <w:rsid w:val="007E0595"/>
    <w:rsid w:val="007E4746"/>
    <w:rsid w:val="007E5B6A"/>
    <w:rsid w:val="007F0465"/>
    <w:rsid w:val="007F0FF9"/>
    <w:rsid w:val="007F2EAB"/>
    <w:rsid w:val="00806560"/>
    <w:rsid w:val="0081106B"/>
    <w:rsid w:val="00821CA6"/>
    <w:rsid w:val="00831545"/>
    <w:rsid w:val="00831832"/>
    <w:rsid w:val="008319B1"/>
    <w:rsid w:val="00860D89"/>
    <w:rsid w:val="00861738"/>
    <w:rsid w:val="0086725B"/>
    <w:rsid w:val="00872DF7"/>
    <w:rsid w:val="008771F2"/>
    <w:rsid w:val="00877788"/>
    <w:rsid w:val="0088719E"/>
    <w:rsid w:val="008929A7"/>
    <w:rsid w:val="008A078F"/>
    <w:rsid w:val="008B6360"/>
    <w:rsid w:val="008C7A3E"/>
    <w:rsid w:val="008D5978"/>
    <w:rsid w:val="008E1FF9"/>
    <w:rsid w:val="008F0D1E"/>
    <w:rsid w:val="008F3601"/>
    <w:rsid w:val="008F780E"/>
    <w:rsid w:val="00901B7E"/>
    <w:rsid w:val="00905A04"/>
    <w:rsid w:val="00910296"/>
    <w:rsid w:val="00911429"/>
    <w:rsid w:val="00916875"/>
    <w:rsid w:val="00932219"/>
    <w:rsid w:val="00935B2B"/>
    <w:rsid w:val="00936A1B"/>
    <w:rsid w:val="00936CF9"/>
    <w:rsid w:val="00944DBE"/>
    <w:rsid w:val="00945034"/>
    <w:rsid w:val="00952D93"/>
    <w:rsid w:val="0095495D"/>
    <w:rsid w:val="00955E1E"/>
    <w:rsid w:val="00956FF0"/>
    <w:rsid w:val="00970DE8"/>
    <w:rsid w:val="0097171E"/>
    <w:rsid w:val="0097261C"/>
    <w:rsid w:val="00987128"/>
    <w:rsid w:val="00991F02"/>
    <w:rsid w:val="00995EAF"/>
    <w:rsid w:val="00996DE6"/>
    <w:rsid w:val="009B5340"/>
    <w:rsid w:val="009B6F36"/>
    <w:rsid w:val="009C74E1"/>
    <w:rsid w:val="009C7C33"/>
    <w:rsid w:val="009D0D01"/>
    <w:rsid w:val="009D1C08"/>
    <w:rsid w:val="009D336D"/>
    <w:rsid w:val="009E1C4F"/>
    <w:rsid w:val="009E3237"/>
    <w:rsid w:val="009E786F"/>
    <w:rsid w:val="009F206B"/>
    <w:rsid w:val="009F5F36"/>
    <w:rsid w:val="00A03ED4"/>
    <w:rsid w:val="00A10FB3"/>
    <w:rsid w:val="00A13722"/>
    <w:rsid w:val="00A21E41"/>
    <w:rsid w:val="00A24E87"/>
    <w:rsid w:val="00A3474D"/>
    <w:rsid w:val="00A5039F"/>
    <w:rsid w:val="00A5451B"/>
    <w:rsid w:val="00A6569E"/>
    <w:rsid w:val="00A73A2F"/>
    <w:rsid w:val="00A73C18"/>
    <w:rsid w:val="00A75D7E"/>
    <w:rsid w:val="00A76E45"/>
    <w:rsid w:val="00A84FDB"/>
    <w:rsid w:val="00AA36B2"/>
    <w:rsid w:val="00AA3CF6"/>
    <w:rsid w:val="00AB1791"/>
    <w:rsid w:val="00AB216B"/>
    <w:rsid w:val="00AB21C7"/>
    <w:rsid w:val="00AC1714"/>
    <w:rsid w:val="00AD4987"/>
    <w:rsid w:val="00AD5D2A"/>
    <w:rsid w:val="00AD7B68"/>
    <w:rsid w:val="00AF6983"/>
    <w:rsid w:val="00B00B7B"/>
    <w:rsid w:val="00B05C68"/>
    <w:rsid w:val="00B05D19"/>
    <w:rsid w:val="00B157F6"/>
    <w:rsid w:val="00B16D60"/>
    <w:rsid w:val="00B16FFE"/>
    <w:rsid w:val="00B3388E"/>
    <w:rsid w:val="00B4007E"/>
    <w:rsid w:val="00B50E67"/>
    <w:rsid w:val="00B52AFF"/>
    <w:rsid w:val="00B53C38"/>
    <w:rsid w:val="00B54F4B"/>
    <w:rsid w:val="00B55F88"/>
    <w:rsid w:val="00B565F4"/>
    <w:rsid w:val="00B652AB"/>
    <w:rsid w:val="00B659E8"/>
    <w:rsid w:val="00B663C1"/>
    <w:rsid w:val="00B72393"/>
    <w:rsid w:val="00B73282"/>
    <w:rsid w:val="00B75C6B"/>
    <w:rsid w:val="00B760BB"/>
    <w:rsid w:val="00B80865"/>
    <w:rsid w:val="00B83D78"/>
    <w:rsid w:val="00B84D3C"/>
    <w:rsid w:val="00B85531"/>
    <w:rsid w:val="00B8700F"/>
    <w:rsid w:val="00B901F1"/>
    <w:rsid w:val="00B926F6"/>
    <w:rsid w:val="00BA2422"/>
    <w:rsid w:val="00BA566A"/>
    <w:rsid w:val="00BB2CAC"/>
    <w:rsid w:val="00BB3020"/>
    <w:rsid w:val="00BC752C"/>
    <w:rsid w:val="00BC7969"/>
    <w:rsid w:val="00BD17C4"/>
    <w:rsid w:val="00BD4DF7"/>
    <w:rsid w:val="00C032FF"/>
    <w:rsid w:val="00C21528"/>
    <w:rsid w:val="00C27103"/>
    <w:rsid w:val="00C3314F"/>
    <w:rsid w:val="00C377E4"/>
    <w:rsid w:val="00C37CA2"/>
    <w:rsid w:val="00C41912"/>
    <w:rsid w:val="00C41980"/>
    <w:rsid w:val="00C42016"/>
    <w:rsid w:val="00C431FD"/>
    <w:rsid w:val="00C5031C"/>
    <w:rsid w:val="00C51E1E"/>
    <w:rsid w:val="00C53516"/>
    <w:rsid w:val="00C53E50"/>
    <w:rsid w:val="00C5549D"/>
    <w:rsid w:val="00C575CC"/>
    <w:rsid w:val="00C57A1B"/>
    <w:rsid w:val="00C60668"/>
    <w:rsid w:val="00C6679C"/>
    <w:rsid w:val="00C669B5"/>
    <w:rsid w:val="00C700F1"/>
    <w:rsid w:val="00C751D3"/>
    <w:rsid w:val="00C75BCE"/>
    <w:rsid w:val="00C87F7E"/>
    <w:rsid w:val="00C92D68"/>
    <w:rsid w:val="00CA0686"/>
    <w:rsid w:val="00CA0B4C"/>
    <w:rsid w:val="00CA1203"/>
    <w:rsid w:val="00CA1492"/>
    <w:rsid w:val="00CB0F13"/>
    <w:rsid w:val="00CC1E5F"/>
    <w:rsid w:val="00CC4AA5"/>
    <w:rsid w:val="00CC61E8"/>
    <w:rsid w:val="00CC7E81"/>
    <w:rsid w:val="00CD7FFE"/>
    <w:rsid w:val="00CE25C7"/>
    <w:rsid w:val="00CE2835"/>
    <w:rsid w:val="00D0310B"/>
    <w:rsid w:val="00D06ED3"/>
    <w:rsid w:val="00D1179F"/>
    <w:rsid w:val="00D176B6"/>
    <w:rsid w:val="00D24AAB"/>
    <w:rsid w:val="00D24C0B"/>
    <w:rsid w:val="00D25920"/>
    <w:rsid w:val="00D32B15"/>
    <w:rsid w:val="00D36F26"/>
    <w:rsid w:val="00D40EA4"/>
    <w:rsid w:val="00D5436B"/>
    <w:rsid w:val="00D559B4"/>
    <w:rsid w:val="00D72DC6"/>
    <w:rsid w:val="00D7668D"/>
    <w:rsid w:val="00D91894"/>
    <w:rsid w:val="00D926C6"/>
    <w:rsid w:val="00DA3912"/>
    <w:rsid w:val="00DA6B61"/>
    <w:rsid w:val="00DB5EB0"/>
    <w:rsid w:val="00DB66ED"/>
    <w:rsid w:val="00DC5063"/>
    <w:rsid w:val="00DD167A"/>
    <w:rsid w:val="00DD3E14"/>
    <w:rsid w:val="00E01900"/>
    <w:rsid w:val="00E12228"/>
    <w:rsid w:val="00E13110"/>
    <w:rsid w:val="00E1490D"/>
    <w:rsid w:val="00E14FC3"/>
    <w:rsid w:val="00E45488"/>
    <w:rsid w:val="00E46315"/>
    <w:rsid w:val="00E51EC8"/>
    <w:rsid w:val="00E55199"/>
    <w:rsid w:val="00E64A1E"/>
    <w:rsid w:val="00E67B0F"/>
    <w:rsid w:val="00E72D93"/>
    <w:rsid w:val="00E73DC1"/>
    <w:rsid w:val="00E74082"/>
    <w:rsid w:val="00E80E95"/>
    <w:rsid w:val="00E813CD"/>
    <w:rsid w:val="00E81C0C"/>
    <w:rsid w:val="00E87046"/>
    <w:rsid w:val="00E902AC"/>
    <w:rsid w:val="00E902F0"/>
    <w:rsid w:val="00EA0A5F"/>
    <w:rsid w:val="00EA7EE5"/>
    <w:rsid w:val="00EC1F83"/>
    <w:rsid w:val="00EC56E6"/>
    <w:rsid w:val="00ED1049"/>
    <w:rsid w:val="00ED3BE0"/>
    <w:rsid w:val="00EF7FE6"/>
    <w:rsid w:val="00F04F20"/>
    <w:rsid w:val="00F12B48"/>
    <w:rsid w:val="00F158B3"/>
    <w:rsid w:val="00F30468"/>
    <w:rsid w:val="00F43E13"/>
    <w:rsid w:val="00F505B6"/>
    <w:rsid w:val="00F572E8"/>
    <w:rsid w:val="00F60E4B"/>
    <w:rsid w:val="00F649F2"/>
    <w:rsid w:val="00F83BF6"/>
    <w:rsid w:val="00F85D1D"/>
    <w:rsid w:val="00F900DC"/>
    <w:rsid w:val="00F94368"/>
    <w:rsid w:val="00F95B26"/>
    <w:rsid w:val="00F975D2"/>
    <w:rsid w:val="00F97968"/>
    <w:rsid w:val="00FD32FF"/>
    <w:rsid w:val="00FE23B4"/>
    <w:rsid w:val="00FE2BEA"/>
    <w:rsid w:val="00FE3E88"/>
    <w:rsid w:val="00FF1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C268F"/>
  <w15:chartTrackingRefBased/>
  <w15:docId w15:val="{8FC2E7ED-7890-4CCA-97B0-DA5821A8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6B2"/>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B5EB0"/>
    <w:rPr>
      <w:sz w:val="16"/>
      <w:szCs w:val="16"/>
    </w:rPr>
  </w:style>
  <w:style w:type="paragraph" w:styleId="Tekstkomentarza">
    <w:name w:val="annotation text"/>
    <w:basedOn w:val="Normalny"/>
    <w:link w:val="TekstkomentarzaZnak"/>
    <w:uiPriority w:val="99"/>
    <w:semiHidden/>
    <w:unhideWhenUsed/>
    <w:rsid w:val="00DB5EB0"/>
    <w:pPr>
      <w:spacing w:line="240" w:lineRule="auto"/>
    </w:pPr>
    <w:rPr>
      <w:sz w:val="20"/>
    </w:rPr>
  </w:style>
  <w:style w:type="character" w:customStyle="1" w:styleId="TekstkomentarzaZnak">
    <w:name w:val="Tekst komentarza Znak"/>
    <w:basedOn w:val="Domylnaczcionkaakapitu"/>
    <w:link w:val="Tekstkomentarza"/>
    <w:uiPriority w:val="99"/>
    <w:semiHidden/>
    <w:rsid w:val="00DB5EB0"/>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B5EB0"/>
    <w:rPr>
      <w:b/>
      <w:bCs/>
    </w:rPr>
  </w:style>
  <w:style w:type="character" w:customStyle="1" w:styleId="TematkomentarzaZnak">
    <w:name w:val="Temat komentarza Znak"/>
    <w:basedOn w:val="TekstkomentarzaZnak"/>
    <w:link w:val="Tematkomentarza"/>
    <w:uiPriority w:val="99"/>
    <w:semiHidden/>
    <w:rsid w:val="00DB5EB0"/>
    <w:rPr>
      <w:rFonts w:ascii="Times New Roman" w:eastAsiaTheme="minorEastAsia" w:hAnsi="Times New Roman" w:cs="Arial"/>
      <w:b/>
      <w:bCs/>
      <w:sz w:val="20"/>
      <w:szCs w:val="20"/>
      <w:lang w:eastAsia="pl-PL"/>
    </w:rPr>
  </w:style>
  <w:style w:type="paragraph" w:styleId="Akapitzlist">
    <w:name w:val="List Paragraph"/>
    <w:basedOn w:val="Normalny"/>
    <w:uiPriority w:val="34"/>
    <w:qFormat/>
    <w:rsid w:val="00DD167A"/>
    <w:pPr>
      <w:ind w:left="720"/>
      <w:contextualSpacing/>
    </w:pPr>
  </w:style>
  <w:style w:type="paragraph" w:styleId="Tekstprzypisudolnego">
    <w:name w:val="footnote text"/>
    <w:basedOn w:val="Normalny"/>
    <w:link w:val="TekstprzypisudolnegoZnak"/>
    <w:uiPriority w:val="99"/>
    <w:semiHidden/>
    <w:unhideWhenUsed/>
    <w:rsid w:val="00D72DC6"/>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D72DC6"/>
    <w:rPr>
      <w:rFonts w:ascii="Times New Roman" w:eastAsiaTheme="minorEastAsia" w:hAnsi="Times New Roman" w:cs="Arial"/>
      <w:sz w:val="20"/>
      <w:szCs w:val="20"/>
      <w:lang w:eastAsia="pl-PL"/>
    </w:rPr>
  </w:style>
  <w:style w:type="character" w:styleId="Odwoanieprzypisudolnego">
    <w:name w:val="footnote reference"/>
    <w:basedOn w:val="Domylnaczcionkaakapitu"/>
    <w:uiPriority w:val="99"/>
    <w:semiHidden/>
    <w:unhideWhenUsed/>
    <w:rsid w:val="00D72DC6"/>
    <w:rPr>
      <w:vertAlign w:val="superscript"/>
    </w:rPr>
  </w:style>
  <w:style w:type="character" w:customStyle="1" w:styleId="citation-235">
    <w:name w:val="citation-235"/>
    <w:basedOn w:val="Domylnaczcionkaakapitu"/>
    <w:rsid w:val="008D5978"/>
  </w:style>
  <w:style w:type="paragraph" w:styleId="Nagwek">
    <w:name w:val="header"/>
    <w:basedOn w:val="Normalny"/>
    <w:link w:val="NagwekZnak"/>
    <w:uiPriority w:val="99"/>
    <w:unhideWhenUsed/>
    <w:rsid w:val="00592A67"/>
    <w:pPr>
      <w:tabs>
        <w:tab w:val="center" w:pos="4536"/>
        <w:tab w:val="right" w:pos="9072"/>
      </w:tabs>
      <w:spacing w:line="240" w:lineRule="auto"/>
    </w:pPr>
  </w:style>
  <w:style w:type="character" w:customStyle="1" w:styleId="NagwekZnak">
    <w:name w:val="Nagłówek Znak"/>
    <w:basedOn w:val="Domylnaczcionkaakapitu"/>
    <w:link w:val="Nagwek"/>
    <w:uiPriority w:val="99"/>
    <w:rsid w:val="00592A67"/>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592A67"/>
    <w:pPr>
      <w:tabs>
        <w:tab w:val="center" w:pos="4536"/>
        <w:tab w:val="right" w:pos="9072"/>
      </w:tabs>
      <w:spacing w:line="240" w:lineRule="auto"/>
    </w:pPr>
  </w:style>
  <w:style w:type="character" w:customStyle="1" w:styleId="StopkaZnak">
    <w:name w:val="Stopka Znak"/>
    <w:basedOn w:val="Domylnaczcionkaakapitu"/>
    <w:link w:val="Stopka"/>
    <w:uiPriority w:val="99"/>
    <w:rsid w:val="00592A67"/>
    <w:rPr>
      <w:rFonts w:ascii="Times New Roman" w:eastAsiaTheme="minorEastAsia" w:hAnsi="Times New Roman" w:cs="Arial"/>
      <w:sz w:val="24"/>
      <w:szCs w:val="20"/>
      <w:lang w:eastAsia="pl-PL"/>
    </w:rPr>
  </w:style>
  <w:style w:type="paragraph" w:styleId="Tekstprzypisukocowego">
    <w:name w:val="endnote text"/>
    <w:basedOn w:val="Normalny"/>
    <w:link w:val="TekstprzypisukocowegoZnak"/>
    <w:uiPriority w:val="99"/>
    <w:semiHidden/>
    <w:unhideWhenUsed/>
    <w:rsid w:val="00247929"/>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47929"/>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247929"/>
    <w:rPr>
      <w:vertAlign w:val="superscript"/>
    </w:rPr>
  </w:style>
  <w:style w:type="paragraph" w:styleId="Poprawka">
    <w:name w:val="Revision"/>
    <w:hidden/>
    <w:uiPriority w:val="99"/>
    <w:semiHidden/>
    <w:rsid w:val="006A35B6"/>
    <w:pPr>
      <w:spacing w:after="0" w:line="240" w:lineRule="auto"/>
    </w:pPr>
    <w:rPr>
      <w:rFonts w:ascii="Times New Roman" w:eastAsiaTheme="minorEastAsia" w:hAnsi="Times New Roman" w:cs="Arial"/>
      <w:sz w:val="24"/>
      <w:szCs w:val="20"/>
      <w:lang w:eastAsia="pl-PL"/>
    </w:rPr>
  </w:style>
  <w:style w:type="paragraph" w:styleId="Tekstdymka">
    <w:name w:val="Balloon Text"/>
    <w:basedOn w:val="Normalny"/>
    <w:link w:val="TekstdymkaZnak"/>
    <w:uiPriority w:val="99"/>
    <w:semiHidden/>
    <w:unhideWhenUsed/>
    <w:rsid w:val="006F33E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33EC"/>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1129">
      <w:bodyDiv w:val="1"/>
      <w:marLeft w:val="0"/>
      <w:marRight w:val="0"/>
      <w:marTop w:val="0"/>
      <w:marBottom w:val="0"/>
      <w:divBdr>
        <w:top w:val="none" w:sz="0" w:space="0" w:color="auto"/>
        <w:left w:val="none" w:sz="0" w:space="0" w:color="auto"/>
        <w:bottom w:val="none" w:sz="0" w:space="0" w:color="auto"/>
        <w:right w:val="none" w:sz="0" w:space="0" w:color="auto"/>
      </w:divBdr>
      <w:divsChild>
        <w:div w:id="2049453720">
          <w:marLeft w:val="0"/>
          <w:marRight w:val="0"/>
          <w:marTop w:val="0"/>
          <w:marBottom w:val="0"/>
          <w:divBdr>
            <w:top w:val="none" w:sz="0" w:space="0" w:color="auto"/>
            <w:left w:val="none" w:sz="0" w:space="0" w:color="auto"/>
            <w:bottom w:val="none" w:sz="0" w:space="0" w:color="auto"/>
            <w:right w:val="none" w:sz="0" w:space="0" w:color="auto"/>
          </w:divBdr>
        </w:div>
      </w:divsChild>
    </w:div>
    <w:div w:id="157770740">
      <w:bodyDiv w:val="1"/>
      <w:marLeft w:val="0"/>
      <w:marRight w:val="0"/>
      <w:marTop w:val="0"/>
      <w:marBottom w:val="0"/>
      <w:divBdr>
        <w:top w:val="none" w:sz="0" w:space="0" w:color="auto"/>
        <w:left w:val="none" w:sz="0" w:space="0" w:color="auto"/>
        <w:bottom w:val="none" w:sz="0" w:space="0" w:color="auto"/>
        <w:right w:val="none" w:sz="0" w:space="0" w:color="auto"/>
      </w:divBdr>
      <w:divsChild>
        <w:div w:id="317730993">
          <w:marLeft w:val="0"/>
          <w:marRight w:val="0"/>
          <w:marTop w:val="0"/>
          <w:marBottom w:val="0"/>
          <w:divBdr>
            <w:top w:val="none" w:sz="0" w:space="0" w:color="auto"/>
            <w:left w:val="none" w:sz="0" w:space="0" w:color="auto"/>
            <w:bottom w:val="none" w:sz="0" w:space="0" w:color="auto"/>
            <w:right w:val="none" w:sz="0" w:space="0" w:color="auto"/>
          </w:divBdr>
        </w:div>
      </w:divsChild>
    </w:div>
    <w:div w:id="173301259">
      <w:bodyDiv w:val="1"/>
      <w:marLeft w:val="0"/>
      <w:marRight w:val="0"/>
      <w:marTop w:val="0"/>
      <w:marBottom w:val="0"/>
      <w:divBdr>
        <w:top w:val="none" w:sz="0" w:space="0" w:color="auto"/>
        <w:left w:val="none" w:sz="0" w:space="0" w:color="auto"/>
        <w:bottom w:val="none" w:sz="0" w:space="0" w:color="auto"/>
        <w:right w:val="none" w:sz="0" w:space="0" w:color="auto"/>
      </w:divBdr>
    </w:div>
    <w:div w:id="216864265">
      <w:bodyDiv w:val="1"/>
      <w:marLeft w:val="0"/>
      <w:marRight w:val="0"/>
      <w:marTop w:val="0"/>
      <w:marBottom w:val="0"/>
      <w:divBdr>
        <w:top w:val="none" w:sz="0" w:space="0" w:color="auto"/>
        <w:left w:val="none" w:sz="0" w:space="0" w:color="auto"/>
        <w:bottom w:val="none" w:sz="0" w:space="0" w:color="auto"/>
        <w:right w:val="none" w:sz="0" w:space="0" w:color="auto"/>
      </w:divBdr>
      <w:divsChild>
        <w:div w:id="1563445767">
          <w:marLeft w:val="0"/>
          <w:marRight w:val="0"/>
          <w:marTop w:val="0"/>
          <w:marBottom w:val="0"/>
          <w:divBdr>
            <w:top w:val="none" w:sz="0" w:space="0" w:color="auto"/>
            <w:left w:val="none" w:sz="0" w:space="0" w:color="auto"/>
            <w:bottom w:val="none" w:sz="0" w:space="0" w:color="auto"/>
            <w:right w:val="none" w:sz="0" w:space="0" w:color="auto"/>
          </w:divBdr>
        </w:div>
      </w:divsChild>
    </w:div>
    <w:div w:id="231426873">
      <w:bodyDiv w:val="1"/>
      <w:marLeft w:val="0"/>
      <w:marRight w:val="0"/>
      <w:marTop w:val="0"/>
      <w:marBottom w:val="0"/>
      <w:divBdr>
        <w:top w:val="none" w:sz="0" w:space="0" w:color="auto"/>
        <w:left w:val="none" w:sz="0" w:space="0" w:color="auto"/>
        <w:bottom w:val="none" w:sz="0" w:space="0" w:color="auto"/>
        <w:right w:val="none" w:sz="0" w:space="0" w:color="auto"/>
      </w:divBdr>
    </w:div>
    <w:div w:id="249894491">
      <w:bodyDiv w:val="1"/>
      <w:marLeft w:val="0"/>
      <w:marRight w:val="0"/>
      <w:marTop w:val="0"/>
      <w:marBottom w:val="0"/>
      <w:divBdr>
        <w:top w:val="none" w:sz="0" w:space="0" w:color="auto"/>
        <w:left w:val="none" w:sz="0" w:space="0" w:color="auto"/>
        <w:bottom w:val="none" w:sz="0" w:space="0" w:color="auto"/>
        <w:right w:val="none" w:sz="0" w:space="0" w:color="auto"/>
      </w:divBdr>
    </w:div>
    <w:div w:id="289552414">
      <w:bodyDiv w:val="1"/>
      <w:marLeft w:val="0"/>
      <w:marRight w:val="0"/>
      <w:marTop w:val="0"/>
      <w:marBottom w:val="0"/>
      <w:divBdr>
        <w:top w:val="none" w:sz="0" w:space="0" w:color="auto"/>
        <w:left w:val="none" w:sz="0" w:space="0" w:color="auto"/>
        <w:bottom w:val="none" w:sz="0" w:space="0" w:color="auto"/>
        <w:right w:val="none" w:sz="0" w:space="0" w:color="auto"/>
      </w:divBdr>
      <w:divsChild>
        <w:div w:id="970401622">
          <w:marLeft w:val="0"/>
          <w:marRight w:val="0"/>
          <w:marTop w:val="0"/>
          <w:marBottom w:val="0"/>
          <w:divBdr>
            <w:top w:val="none" w:sz="0" w:space="0" w:color="auto"/>
            <w:left w:val="none" w:sz="0" w:space="0" w:color="auto"/>
            <w:bottom w:val="none" w:sz="0" w:space="0" w:color="auto"/>
            <w:right w:val="none" w:sz="0" w:space="0" w:color="auto"/>
          </w:divBdr>
        </w:div>
      </w:divsChild>
    </w:div>
    <w:div w:id="292104688">
      <w:bodyDiv w:val="1"/>
      <w:marLeft w:val="0"/>
      <w:marRight w:val="0"/>
      <w:marTop w:val="0"/>
      <w:marBottom w:val="0"/>
      <w:divBdr>
        <w:top w:val="none" w:sz="0" w:space="0" w:color="auto"/>
        <w:left w:val="none" w:sz="0" w:space="0" w:color="auto"/>
        <w:bottom w:val="none" w:sz="0" w:space="0" w:color="auto"/>
        <w:right w:val="none" w:sz="0" w:space="0" w:color="auto"/>
      </w:divBdr>
    </w:div>
    <w:div w:id="300309120">
      <w:bodyDiv w:val="1"/>
      <w:marLeft w:val="0"/>
      <w:marRight w:val="0"/>
      <w:marTop w:val="0"/>
      <w:marBottom w:val="0"/>
      <w:divBdr>
        <w:top w:val="none" w:sz="0" w:space="0" w:color="auto"/>
        <w:left w:val="none" w:sz="0" w:space="0" w:color="auto"/>
        <w:bottom w:val="none" w:sz="0" w:space="0" w:color="auto"/>
        <w:right w:val="none" w:sz="0" w:space="0" w:color="auto"/>
      </w:divBdr>
    </w:div>
    <w:div w:id="311249966">
      <w:bodyDiv w:val="1"/>
      <w:marLeft w:val="0"/>
      <w:marRight w:val="0"/>
      <w:marTop w:val="0"/>
      <w:marBottom w:val="0"/>
      <w:divBdr>
        <w:top w:val="none" w:sz="0" w:space="0" w:color="auto"/>
        <w:left w:val="none" w:sz="0" w:space="0" w:color="auto"/>
        <w:bottom w:val="none" w:sz="0" w:space="0" w:color="auto"/>
        <w:right w:val="none" w:sz="0" w:space="0" w:color="auto"/>
      </w:divBdr>
    </w:div>
    <w:div w:id="493881975">
      <w:bodyDiv w:val="1"/>
      <w:marLeft w:val="0"/>
      <w:marRight w:val="0"/>
      <w:marTop w:val="0"/>
      <w:marBottom w:val="0"/>
      <w:divBdr>
        <w:top w:val="none" w:sz="0" w:space="0" w:color="auto"/>
        <w:left w:val="none" w:sz="0" w:space="0" w:color="auto"/>
        <w:bottom w:val="none" w:sz="0" w:space="0" w:color="auto"/>
        <w:right w:val="none" w:sz="0" w:space="0" w:color="auto"/>
      </w:divBdr>
      <w:divsChild>
        <w:div w:id="1645042225">
          <w:marLeft w:val="0"/>
          <w:marRight w:val="0"/>
          <w:marTop w:val="0"/>
          <w:marBottom w:val="0"/>
          <w:divBdr>
            <w:top w:val="none" w:sz="0" w:space="0" w:color="auto"/>
            <w:left w:val="none" w:sz="0" w:space="0" w:color="auto"/>
            <w:bottom w:val="none" w:sz="0" w:space="0" w:color="auto"/>
            <w:right w:val="none" w:sz="0" w:space="0" w:color="auto"/>
          </w:divBdr>
        </w:div>
      </w:divsChild>
    </w:div>
    <w:div w:id="526872544">
      <w:bodyDiv w:val="1"/>
      <w:marLeft w:val="0"/>
      <w:marRight w:val="0"/>
      <w:marTop w:val="0"/>
      <w:marBottom w:val="0"/>
      <w:divBdr>
        <w:top w:val="none" w:sz="0" w:space="0" w:color="auto"/>
        <w:left w:val="none" w:sz="0" w:space="0" w:color="auto"/>
        <w:bottom w:val="none" w:sz="0" w:space="0" w:color="auto"/>
        <w:right w:val="none" w:sz="0" w:space="0" w:color="auto"/>
      </w:divBdr>
      <w:divsChild>
        <w:div w:id="1360349160">
          <w:marLeft w:val="0"/>
          <w:marRight w:val="0"/>
          <w:marTop w:val="0"/>
          <w:marBottom w:val="0"/>
          <w:divBdr>
            <w:top w:val="none" w:sz="0" w:space="0" w:color="auto"/>
            <w:left w:val="none" w:sz="0" w:space="0" w:color="auto"/>
            <w:bottom w:val="none" w:sz="0" w:space="0" w:color="auto"/>
            <w:right w:val="none" w:sz="0" w:space="0" w:color="auto"/>
          </w:divBdr>
        </w:div>
      </w:divsChild>
    </w:div>
    <w:div w:id="583341401">
      <w:bodyDiv w:val="1"/>
      <w:marLeft w:val="0"/>
      <w:marRight w:val="0"/>
      <w:marTop w:val="0"/>
      <w:marBottom w:val="0"/>
      <w:divBdr>
        <w:top w:val="none" w:sz="0" w:space="0" w:color="auto"/>
        <w:left w:val="none" w:sz="0" w:space="0" w:color="auto"/>
        <w:bottom w:val="none" w:sz="0" w:space="0" w:color="auto"/>
        <w:right w:val="none" w:sz="0" w:space="0" w:color="auto"/>
      </w:divBdr>
      <w:divsChild>
        <w:div w:id="807935103">
          <w:marLeft w:val="0"/>
          <w:marRight w:val="0"/>
          <w:marTop w:val="0"/>
          <w:marBottom w:val="0"/>
          <w:divBdr>
            <w:top w:val="none" w:sz="0" w:space="0" w:color="auto"/>
            <w:left w:val="none" w:sz="0" w:space="0" w:color="auto"/>
            <w:bottom w:val="none" w:sz="0" w:space="0" w:color="auto"/>
            <w:right w:val="none" w:sz="0" w:space="0" w:color="auto"/>
          </w:divBdr>
        </w:div>
        <w:div w:id="1110315981">
          <w:marLeft w:val="0"/>
          <w:marRight w:val="0"/>
          <w:marTop w:val="0"/>
          <w:marBottom w:val="0"/>
          <w:divBdr>
            <w:top w:val="none" w:sz="0" w:space="0" w:color="auto"/>
            <w:left w:val="none" w:sz="0" w:space="0" w:color="auto"/>
            <w:bottom w:val="none" w:sz="0" w:space="0" w:color="auto"/>
            <w:right w:val="none" w:sz="0" w:space="0" w:color="auto"/>
          </w:divBdr>
        </w:div>
      </w:divsChild>
    </w:div>
    <w:div w:id="611010735">
      <w:bodyDiv w:val="1"/>
      <w:marLeft w:val="0"/>
      <w:marRight w:val="0"/>
      <w:marTop w:val="0"/>
      <w:marBottom w:val="0"/>
      <w:divBdr>
        <w:top w:val="none" w:sz="0" w:space="0" w:color="auto"/>
        <w:left w:val="none" w:sz="0" w:space="0" w:color="auto"/>
        <w:bottom w:val="none" w:sz="0" w:space="0" w:color="auto"/>
        <w:right w:val="none" w:sz="0" w:space="0" w:color="auto"/>
      </w:divBdr>
    </w:div>
    <w:div w:id="807208971">
      <w:bodyDiv w:val="1"/>
      <w:marLeft w:val="0"/>
      <w:marRight w:val="0"/>
      <w:marTop w:val="0"/>
      <w:marBottom w:val="0"/>
      <w:divBdr>
        <w:top w:val="none" w:sz="0" w:space="0" w:color="auto"/>
        <w:left w:val="none" w:sz="0" w:space="0" w:color="auto"/>
        <w:bottom w:val="none" w:sz="0" w:space="0" w:color="auto"/>
        <w:right w:val="none" w:sz="0" w:space="0" w:color="auto"/>
      </w:divBdr>
      <w:divsChild>
        <w:div w:id="1511606001">
          <w:marLeft w:val="0"/>
          <w:marRight w:val="0"/>
          <w:marTop w:val="0"/>
          <w:marBottom w:val="0"/>
          <w:divBdr>
            <w:top w:val="none" w:sz="0" w:space="0" w:color="auto"/>
            <w:left w:val="none" w:sz="0" w:space="0" w:color="auto"/>
            <w:bottom w:val="none" w:sz="0" w:space="0" w:color="auto"/>
            <w:right w:val="none" w:sz="0" w:space="0" w:color="auto"/>
          </w:divBdr>
        </w:div>
      </w:divsChild>
    </w:div>
    <w:div w:id="807747074">
      <w:bodyDiv w:val="1"/>
      <w:marLeft w:val="0"/>
      <w:marRight w:val="0"/>
      <w:marTop w:val="0"/>
      <w:marBottom w:val="0"/>
      <w:divBdr>
        <w:top w:val="none" w:sz="0" w:space="0" w:color="auto"/>
        <w:left w:val="none" w:sz="0" w:space="0" w:color="auto"/>
        <w:bottom w:val="none" w:sz="0" w:space="0" w:color="auto"/>
        <w:right w:val="none" w:sz="0" w:space="0" w:color="auto"/>
      </w:divBdr>
    </w:div>
    <w:div w:id="825050058">
      <w:bodyDiv w:val="1"/>
      <w:marLeft w:val="0"/>
      <w:marRight w:val="0"/>
      <w:marTop w:val="0"/>
      <w:marBottom w:val="0"/>
      <w:divBdr>
        <w:top w:val="none" w:sz="0" w:space="0" w:color="auto"/>
        <w:left w:val="none" w:sz="0" w:space="0" w:color="auto"/>
        <w:bottom w:val="none" w:sz="0" w:space="0" w:color="auto"/>
        <w:right w:val="none" w:sz="0" w:space="0" w:color="auto"/>
      </w:divBdr>
    </w:div>
    <w:div w:id="827205669">
      <w:bodyDiv w:val="1"/>
      <w:marLeft w:val="0"/>
      <w:marRight w:val="0"/>
      <w:marTop w:val="0"/>
      <w:marBottom w:val="0"/>
      <w:divBdr>
        <w:top w:val="none" w:sz="0" w:space="0" w:color="auto"/>
        <w:left w:val="none" w:sz="0" w:space="0" w:color="auto"/>
        <w:bottom w:val="none" w:sz="0" w:space="0" w:color="auto"/>
        <w:right w:val="none" w:sz="0" w:space="0" w:color="auto"/>
      </w:divBdr>
    </w:div>
    <w:div w:id="871529664">
      <w:bodyDiv w:val="1"/>
      <w:marLeft w:val="0"/>
      <w:marRight w:val="0"/>
      <w:marTop w:val="0"/>
      <w:marBottom w:val="0"/>
      <w:divBdr>
        <w:top w:val="none" w:sz="0" w:space="0" w:color="auto"/>
        <w:left w:val="none" w:sz="0" w:space="0" w:color="auto"/>
        <w:bottom w:val="none" w:sz="0" w:space="0" w:color="auto"/>
        <w:right w:val="none" w:sz="0" w:space="0" w:color="auto"/>
      </w:divBdr>
    </w:div>
    <w:div w:id="973025060">
      <w:bodyDiv w:val="1"/>
      <w:marLeft w:val="0"/>
      <w:marRight w:val="0"/>
      <w:marTop w:val="0"/>
      <w:marBottom w:val="0"/>
      <w:divBdr>
        <w:top w:val="none" w:sz="0" w:space="0" w:color="auto"/>
        <w:left w:val="none" w:sz="0" w:space="0" w:color="auto"/>
        <w:bottom w:val="none" w:sz="0" w:space="0" w:color="auto"/>
        <w:right w:val="none" w:sz="0" w:space="0" w:color="auto"/>
      </w:divBdr>
      <w:divsChild>
        <w:div w:id="507406108">
          <w:marLeft w:val="0"/>
          <w:marRight w:val="0"/>
          <w:marTop w:val="0"/>
          <w:marBottom w:val="0"/>
          <w:divBdr>
            <w:top w:val="none" w:sz="0" w:space="0" w:color="auto"/>
            <w:left w:val="none" w:sz="0" w:space="0" w:color="auto"/>
            <w:bottom w:val="none" w:sz="0" w:space="0" w:color="auto"/>
            <w:right w:val="none" w:sz="0" w:space="0" w:color="auto"/>
          </w:divBdr>
        </w:div>
      </w:divsChild>
    </w:div>
    <w:div w:id="987368312">
      <w:bodyDiv w:val="1"/>
      <w:marLeft w:val="0"/>
      <w:marRight w:val="0"/>
      <w:marTop w:val="0"/>
      <w:marBottom w:val="0"/>
      <w:divBdr>
        <w:top w:val="none" w:sz="0" w:space="0" w:color="auto"/>
        <w:left w:val="none" w:sz="0" w:space="0" w:color="auto"/>
        <w:bottom w:val="none" w:sz="0" w:space="0" w:color="auto"/>
        <w:right w:val="none" w:sz="0" w:space="0" w:color="auto"/>
      </w:divBdr>
    </w:div>
    <w:div w:id="1018193819">
      <w:bodyDiv w:val="1"/>
      <w:marLeft w:val="0"/>
      <w:marRight w:val="0"/>
      <w:marTop w:val="0"/>
      <w:marBottom w:val="0"/>
      <w:divBdr>
        <w:top w:val="none" w:sz="0" w:space="0" w:color="auto"/>
        <w:left w:val="none" w:sz="0" w:space="0" w:color="auto"/>
        <w:bottom w:val="none" w:sz="0" w:space="0" w:color="auto"/>
        <w:right w:val="none" w:sz="0" w:space="0" w:color="auto"/>
      </w:divBdr>
    </w:div>
    <w:div w:id="1030834619">
      <w:bodyDiv w:val="1"/>
      <w:marLeft w:val="0"/>
      <w:marRight w:val="0"/>
      <w:marTop w:val="0"/>
      <w:marBottom w:val="0"/>
      <w:divBdr>
        <w:top w:val="none" w:sz="0" w:space="0" w:color="auto"/>
        <w:left w:val="none" w:sz="0" w:space="0" w:color="auto"/>
        <w:bottom w:val="none" w:sz="0" w:space="0" w:color="auto"/>
        <w:right w:val="none" w:sz="0" w:space="0" w:color="auto"/>
      </w:divBdr>
      <w:divsChild>
        <w:div w:id="968707910">
          <w:marLeft w:val="0"/>
          <w:marRight w:val="0"/>
          <w:marTop w:val="0"/>
          <w:marBottom w:val="0"/>
          <w:divBdr>
            <w:top w:val="none" w:sz="0" w:space="0" w:color="auto"/>
            <w:left w:val="none" w:sz="0" w:space="0" w:color="auto"/>
            <w:bottom w:val="none" w:sz="0" w:space="0" w:color="auto"/>
            <w:right w:val="none" w:sz="0" w:space="0" w:color="auto"/>
          </w:divBdr>
          <w:divsChild>
            <w:div w:id="421032903">
              <w:marLeft w:val="0"/>
              <w:marRight w:val="0"/>
              <w:marTop w:val="0"/>
              <w:marBottom w:val="0"/>
              <w:divBdr>
                <w:top w:val="none" w:sz="0" w:space="0" w:color="auto"/>
                <w:left w:val="none" w:sz="0" w:space="0" w:color="auto"/>
                <w:bottom w:val="none" w:sz="0" w:space="0" w:color="auto"/>
                <w:right w:val="none" w:sz="0" w:space="0" w:color="auto"/>
              </w:divBdr>
              <w:divsChild>
                <w:div w:id="586774033">
                  <w:marLeft w:val="0"/>
                  <w:marRight w:val="0"/>
                  <w:marTop w:val="0"/>
                  <w:marBottom w:val="0"/>
                  <w:divBdr>
                    <w:top w:val="none" w:sz="0" w:space="0" w:color="auto"/>
                    <w:left w:val="none" w:sz="0" w:space="0" w:color="auto"/>
                    <w:bottom w:val="none" w:sz="0" w:space="0" w:color="auto"/>
                    <w:right w:val="none" w:sz="0" w:space="0" w:color="auto"/>
                  </w:divBdr>
                  <w:divsChild>
                    <w:div w:id="982075922">
                      <w:marLeft w:val="0"/>
                      <w:marRight w:val="0"/>
                      <w:marTop w:val="0"/>
                      <w:marBottom w:val="0"/>
                      <w:divBdr>
                        <w:top w:val="none" w:sz="0" w:space="0" w:color="auto"/>
                        <w:left w:val="none" w:sz="0" w:space="0" w:color="auto"/>
                        <w:bottom w:val="none" w:sz="0" w:space="0" w:color="auto"/>
                        <w:right w:val="none" w:sz="0" w:space="0" w:color="auto"/>
                      </w:divBdr>
                      <w:divsChild>
                        <w:div w:id="1109817941">
                          <w:marLeft w:val="0"/>
                          <w:marRight w:val="0"/>
                          <w:marTop w:val="0"/>
                          <w:marBottom w:val="0"/>
                          <w:divBdr>
                            <w:top w:val="none" w:sz="0" w:space="0" w:color="auto"/>
                            <w:left w:val="none" w:sz="0" w:space="0" w:color="auto"/>
                            <w:bottom w:val="none" w:sz="0" w:space="0" w:color="auto"/>
                            <w:right w:val="none" w:sz="0" w:space="0" w:color="auto"/>
                          </w:divBdr>
                          <w:divsChild>
                            <w:div w:id="1568177786">
                              <w:marLeft w:val="0"/>
                              <w:marRight w:val="0"/>
                              <w:marTop w:val="0"/>
                              <w:marBottom w:val="0"/>
                              <w:divBdr>
                                <w:top w:val="none" w:sz="0" w:space="0" w:color="auto"/>
                                <w:left w:val="none" w:sz="0" w:space="0" w:color="auto"/>
                                <w:bottom w:val="none" w:sz="0" w:space="0" w:color="auto"/>
                                <w:right w:val="none" w:sz="0" w:space="0" w:color="auto"/>
                              </w:divBdr>
                              <w:divsChild>
                                <w:div w:id="103497565">
                                  <w:marLeft w:val="0"/>
                                  <w:marRight w:val="0"/>
                                  <w:marTop w:val="0"/>
                                  <w:marBottom w:val="0"/>
                                  <w:divBdr>
                                    <w:top w:val="none" w:sz="0" w:space="0" w:color="auto"/>
                                    <w:left w:val="none" w:sz="0" w:space="0" w:color="auto"/>
                                    <w:bottom w:val="none" w:sz="0" w:space="0" w:color="auto"/>
                                    <w:right w:val="none" w:sz="0" w:space="0" w:color="auto"/>
                                  </w:divBdr>
                                  <w:divsChild>
                                    <w:div w:id="376127683">
                                      <w:marLeft w:val="0"/>
                                      <w:marRight w:val="0"/>
                                      <w:marTop w:val="0"/>
                                      <w:marBottom w:val="0"/>
                                      <w:divBdr>
                                        <w:top w:val="none" w:sz="0" w:space="0" w:color="auto"/>
                                        <w:left w:val="none" w:sz="0" w:space="0" w:color="auto"/>
                                        <w:bottom w:val="none" w:sz="0" w:space="0" w:color="auto"/>
                                        <w:right w:val="none" w:sz="0" w:space="0" w:color="auto"/>
                                      </w:divBdr>
                                      <w:divsChild>
                                        <w:div w:id="1086462108">
                                          <w:marLeft w:val="0"/>
                                          <w:marRight w:val="0"/>
                                          <w:marTop w:val="0"/>
                                          <w:marBottom w:val="0"/>
                                          <w:divBdr>
                                            <w:top w:val="none" w:sz="0" w:space="0" w:color="auto"/>
                                            <w:left w:val="none" w:sz="0" w:space="0" w:color="auto"/>
                                            <w:bottom w:val="none" w:sz="0" w:space="0" w:color="auto"/>
                                            <w:right w:val="none" w:sz="0" w:space="0" w:color="auto"/>
                                          </w:divBdr>
                                          <w:divsChild>
                                            <w:div w:id="480928183">
                                              <w:marLeft w:val="0"/>
                                              <w:marRight w:val="0"/>
                                              <w:marTop w:val="0"/>
                                              <w:marBottom w:val="0"/>
                                              <w:divBdr>
                                                <w:top w:val="none" w:sz="0" w:space="0" w:color="auto"/>
                                                <w:left w:val="none" w:sz="0" w:space="0" w:color="auto"/>
                                                <w:bottom w:val="none" w:sz="0" w:space="0" w:color="auto"/>
                                                <w:right w:val="none" w:sz="0" w:space="0" w:color="auto"/>
                                              </w:divBdr>
                                              <w:divsChild>
                                                <w:div w:id="1122260775">
                                                  <w:marLeft w:val="0"/>
                                                  <w:marRight w:val="0"/>
                                                  <w:marTop w:val="0"/>
                                                  <w:marBottom w:val="0"/>
                                                  <w:divBdr>
                                                    <w:top w:val="none" w:sz="0" w:space="0" w:color="auto"/>
                                                    <w:left w:val="none" w:sz="0" w:space="0" w:color="auto"/>
                                                    <w:bottom w:val="none" w:sz="0" w:space="0" w:color="auto"/>
                                                    <w:right w:val="none" w:sz="0" w:space="0" w:color="auto"/>
                                                  </w:divBdr>
                                                  <w:divsChild>
                                                    <w:div w:id="222521770">
                                                      <w:marLeft w:val="0"/>
                                                      <w:marRight w:val="0"/>
                                                      <w:marTop w:val="0"/>
                                                      <w:marBottom w:val="0"/>
                                                      <w:divBdr>
                                                        <w:top w:val="none" w:sz="0" w:space="0" w:color="auto"/>
                                                        <w:left w:val="none" w:sz="0" w:space="0" w:color="auto"/>
                                                        <w:bottom w:val="none" w:sz="0" w:space="0" w:color="auto"/>
                                                        <w:right w:val="none" w:sz="0" w:space="0" w:color="auto"/>
                                                      </w:divBdr>
                                                      <w:divsChild>
                                                        <w:div w:id="8994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82549">
                          <w:marLeft w:val="0"/>
                          <w:marRight w:val="0"/>
                          <w:marTop w:val="0"/>
                          <w:marBottom w:val="0"/>
                          <w:divBdr>
                            <w:top w:val="none" w:sz="0" w:space="0" w:color="auto"/>
                            <w:left w:val="none" w:sz="0" w:space="0" w:color="auto"/>
                            <w:bottom w:val="none" w:sz="0" w:space="0" w:color="auto"/>
                            <w:right w:val="none" w:sz="0" w:space="0" w:color="auto"/>
                          </w:divBdr>
                          <w:divsChild>
                            <w:div w:id="444538882">
                              <w:marLeft w:val="0"/>
                              <w:marRight w:val="0"/>
                              <w:marTop w:val="0"/>
                              <w:marBottom w:val="0"/>
                              <w:divBdr>
                                <w:top w:val="none" w:sz="0" w:space="0" w:color="auto"/>
                                <w:left w:val="none" w:sz="0" w:space="0" w:color="auto"/>
                                <w:bottom w:val="none" w:sz="0" w:space="0" w:color="auto"/>
                                <w:right w:val="none" w:sz="0" w:space="0" w:color="auto"/>
                              </w:divBdr>
                              <w:divsChild>
                                <w:div w:id="368459804">
                                  <w:marLeft w:val="0"/>
                                  <w:marRight w:val="0"/>
                                  <w:marTop w:val="0"/>
                                  <w:marBottom w:val="0"/>
                                  <w:divBdr>
                                    <w:top w:val="none" w:sz="0" w:space="0" w:color="auto"/>
                                    <w:left w:val="none" w:sz="0" w:space="0" w:color="auto"/>
                                    <w:bottom w:val="none" w:sz="0" w:space="0" w:color="auto"/>
                                    <w:right w:val="none" w:sz="0" w:space="0" w:color="auto"/>
                                  </w:divBdr>
                                  <w:divsChild>
                                    <w:div w:id="10630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327874">
      <w:bodyDiv w:val="1"/>
      <w:marLeft w:val="0"/>
      <w:marRight w:val="0"/>
      <w:marTop w:val="0"/>
      <w:marBottom w:val="0"/>
      <w:divBdr>
        <w:top w:val="none" w:sz="0" w:space="0" w:color="auto"/>
        <w:left w:val="none" w:sz="0" w:space="0" w:color="auto"/>
        <w:bottom w:val="none" w:sz="0" w:space="0" w:color="auto"/>
        <w:right w:val="none" w:sz="0" w:space="0" w:color="auto"/>
      </w:divBdr>
    </w:div>
    <w:div w:id="1119910091">
      <w:bodyDiv w:val="1"/>
      <w:marLeft w:val="0"/>
      <w:marRight w:val="0"/>
      <w:marTop w:val="0"/>
      <w:marBottom w:val="0"/>
      <w:divBdr>
        <w:top w:val="none" w:sz="0" w:space="0" w:color="auto"/>
        <w:left w:val="none" w:sz="0" w:space="0" w:color="auto"/>
        <w:bottom w:val="none" w:sz="0" w:space="0" w:color="auto"/>
        <w:right w:val="none" w:sz="0" w:space="0" w:color="auto"/>
      </w:divBdr>
    </w:div>
    <w:div w:id="1192718475">
      <w:bodyDiv w:val="1"/>
      <w:marLeft w:val="0"/>
      <w:marRight w:val="0"/>
      <w:marTop w:val="0"/>
      <w:marBottom w:val="0"/>
      <w:divBdr>
        <w:top w:val="none" w:sz="0" w:space="0" w:color="auto"/>
        <w:left w:val="none" w:sz="0" w:space="0" w:color="auto"/>
        <w:bottom w:val="none" w:sz="0" w:space="0" w:color="auto"/>
        <w:right w:val="none" w:sz="0" w:space="0" w:color="auto"/>
      </w:divBdr>
    </w:div>
    <w:div w:id="1220483484">
      <w:bodyDiv w:val="1"/>
      <w:marLeft w:val="0"/>
      <w:marRight w:val="0"/>
      <w:marTop w:val="0"/>
      <w:marBottom w:val="0"/>
      <w:divBdr>
        <w:top w:val="none" w:sz="0" w:space="0" w:color="auto"/>
        <w:left w:val="none" w:sz="0" w:space="0" w:color="auto"/>
        <w:bottom w:val="none" w:sz="0" w:space="0" w:color="auto"/>
        <w:right w:val="none" w:sz="0" w:space="0" w:color="auto"/>
      </w:divBdr>
    </w:div>
    <w:div w:id="1276792040">
      <w:bodyDiv w:val="1"/>
      <w:marLeft w:val="0"/>
      <w:marRight w:val="0"/>
      <w:marTop w:val="0"/>
      <w:marBottom w:val="0"/>
      <w:divBdr>
        <w:top w:val="none" w:sz="0" w:space="0" w:color="auto"/>
        <w:left w:val="none" w:sz="0" w:space="0" w:color="auto"/>
        <w:bottom w:val="none" w:sz="0" w:space="0" w:color="auto"/>
        <w:right w:val="none" w:sz="0" w:space="0" w:color="auto"/>
      </w:divBdr>
    </w:div>
    <w:div w:id="1461342180">
      <w:bodyDiv w:val="1"/>
      <w:marLeft w:val="0"/>
      <w:marRight w:val="0"/>
      <w:marTop w:val="0"/>
      <w:marBottom w:val="0"/>
      <w:divBdr>
        <w:top w:val="none" w:sz="0" w:space="0" w:color="auto"/>
        <w:left w:val="none" w:sz="0" w:space="0" w:color="auto"/>
        <w:bottom w:val="none" w:sz="0" w:space="0" w:color="auto"/>
        <w:right w:val="none" w:sz="0" w:space="0" w:color="auto"/>
      </w:divBdr>
    </w:div>
    <w:div w:id="1564219297">
      <w:bodyDiv w:val="1"/>
      <w:marLeft w:val="0"/>
      <w:marRight w:val="0"/>
      <w:marTop w:val="0"/>
      <w:marBottom w:val="0"/>
      <w:divBdr>
        <w:top w:val="none" w:sz="0" w:space="0" w:color="auto"/>
        <w:left w:val="none" w:sz="0" w:space="0" w:color="auto"/>
        <w:bottom w:val="none" w:sz="0" w:space="0" w:color="auto"/>
        <w:right w:val="none" w:sz="0" w:space="0" w:color="auto"/>
      </w:divBdr>
    </w:div>
    <w:div w:id="1575895485">
      <w:bodyDiv w:val="1"/>
      <w:marLeft w:val="0"/>
      <w:marRight w:val="0"/>
      <w:marTop w:val="0"/>
      <w:marBottom w:val="0"/>
      <w:divBdr>
        <w:top w:val="none" w:sz="0" w:space="0" w:color="auto"/>
        <w:left w:val="none" w:sz="0" w:space="0" w:color="auto"/>
        <w:bottom w:val="none" w:sz="0" w:space="0" w:color="auto"/>
        <w:right w:val="none" w:sz="0" w:space="0" w:color="auto"/>
      </w:divBdr>
    </w:div>
    <w:div w:id="1576621489">
      <w:bodyDiv w:val="1"/>
      <w:marLeft w:val="0"/>
      <w:marRight w:val="0"/>
      <w:marTop w:val="0"/>
      <w:marBottom w:val="0"/>
      <w:divBdr>
        <w:top w:val="none" w:sz="0" w:space="0" w:color="auto"/>
        <w:left w:val="none" w:sz="0" w:space="0" w:color="auto"/>
        <w:bottom w:val="none" w:sz="0" w:space="0" w:color="auto"/>
        <w:right w:val="none" w:sz="0" w:space="0" w:color="auto"/>
      </w:divBdr>
      <w:divsChild>
        <w:div w:id="630290286">
          <w:marLeft w:val="0"/>
          <w:marRight w:val="0"/>
          <w:marTop w:val="0"/>
          <w:marBottom w:val="0"/>
          <w:divBdr>
            <w:top w:val="none" w:sz="0" w:space="0" w:color="auto"/>
            <w:left w:val="none" w:sz="0" w:space="0" w:color="auto"/>
            <w:bottom w:val="none" w:sz="0" w:space="0" w:color="auto"/>
            <w:right w:val="none" w:sz="0" w:space="0" w:color="auto"/>
          </w:divBdr>
        </w:div>
      </w:divsChild>
    </w:div>
    <w:div w:id="1580360381">
      <w:bodyDiv w:val="1"/>
      <w:marLeft w:val="0"/>
      <w:marRight w:val="0"/>
      <w:marTop w:val="0"/>
      <w:marBottom w:val="0"/>
      <w:divBdr>
        <w:top w:val="none" w:sz="0" w:space="0" w:color="auto"/>
        <w:left w:val="none" w:sz="0" w:space="0" w:color="auto"/>
        <w:bottom w:val="none" w:sz="0" w:space="0" w:color="auto"/>
        <w:right w:val="none" w:sz="0" w:space="0" w:color="auto"/>
      </w:divBdr>
    </w:div>
    <w:div w:id="1661813849">
      <w:bodyDiv w:val="1"/>
      <w:marLeft w:val="0"/>
      <w:marRight w:val="0"/>
      <w:marTop w:val="0"/>
      <w:marBottom w:val="0"/>
      <w:divBdr>
        <w:top w:val="none" w:sz="0" w:space="0" w:color="auto"/>
        <w:left w:val="none" w:sz="0" w:space="0" w:color="auto"/>
        <w:bottom w:val="none" w:sz="0" w:space="0" w:color="auto"/>
        <w:right w:val="none" w:sz="0" w:space="0" w:color="auto"/>
      </w:divBdr>
    </w:div>
    <w:div w:id="1666083242">
      <w:bodyDiv w:val="1"/>
      <w:marLeft w:val="0"/>
      <w:marRight w:val="0"/>
      <w:marTop w:val="0"/>
      <w:marBottom w:val="0"/>
      <w:divBdr>
        <w:top w:val="none" w:sz="0" w:space="0" w:color="auto"/>
        <w:left w:val="none" w:sz="0" w:space="0" w:color="auto"/>
        <w:bottom w:val="none" w:sz="0" w:space="0" w:color="auto"/>
        <w:right w:val="none" w:sz="0" w:space="0" w:color="auto"/>
      </w:divBdr>
      <w:divsChild>
        <w:div w:id="1197081943">
          <w:marLeft w:val="0"/>
          <w:marRight w:val="0"/>
          <w:marTop w:val="0"/>
          <w:marBottom w:val="0"/>
          <w:divBdr>
            <w:top w:val="none" w:sz="0" w:space="0" w:color="auto"/>
            <w:left w:val="none" w:sz="0" w:space="0" w:color="auto"/>
            <w:bottom w:val="none" w:sz="0" w:space="0" w:color="auto"/>
            <w:right w:val="none" w:sz="0" w:space="0" w:color="auto"/>
          </w:divBdr>
        </w:div>
      </w:divsChild>
    </w:div>
    <w:div w:id="1719477323">
      <w:bodyDiv w:val="1"/>
      <w:marLeft w:val="0"/>
      <w:marRight w:val="0"/>
      <w:marTop w:val="0"/>
      <w:marBottom w:val="0"/>
      <w:divBdr>
        <w:top w:val="none" w:sz="0" w:space="0" w:color="auto"/>
        <w:left w:val="none" w:sz="0" w:space="0" w:color="auto"/>
        <w:bottom w:val="none" w:sz="0" w:space="0" w:color="auto"/>
        <w:right w:val="none" w:sz="0" w:space="0" w:color="auto"/>
      </w:divBdr>
    </w:div>
    <w:div w:id="1730104259">
      <w:bodyDiv w:val="1"/>
      <w:marLeft w:val="0"/>
      <w:marRight w:val="0"/>
      <w:marTop w:val="0"/>
      <w:marBottom w:val="0"/>
      <w:divBdr>
        <w:top w:val="none" w:sz="0" w:space="0" w:color="auto"/>
        <w:left w:val="none" w:sz="0" w:space="0" w:color="auto"/>
        <w:bottom w:val="none" w:sz="0" w:space="0" w:color="auto"/>
        <w:right w:val="none" w:sz="0" w:space="0" w:color="auto"/>
      </w:divBdr>
    </w:div>
    <w:div w:id="1750080968">
      <w:bodyDiv w:val="1"/>
      <w:marLeft w:val="0"/>
      <w:marRight w:val="0"/>
      <w:marTop w:val="0"/>
      <w:marBottom w:val="0"/>
      <w:divBdr>
        <w:top w:val="none" w:sz="0" w:space="0" w:color="auto"/>
        <w:left w:val="none" w:sz="0" w:space="0" w:color="auto"/>
        <w:bottom w:val="none" w:sz="0" w:space="0" w:color="auto"/>
        <w:right w:val="none" w:sz="0" w:space="0" w:color="auto"/>
      </w:divBdr>
    </w:div>
    <w:div w:id="1758135921">
      <w:bodyDiv w:val="1"/>
      <w:marLeft w:val="0"/>
      <w:marRight w:val="0"/>
      <w:marTop w:val="0"/>
      <w:marBottom w:val="0"/>
      <w:divBdr>
        <w:top w:val="none" w:sz="0" w:space="0" w:color="auto"/>
        <w:left w:val="none" w:sz="0" w:space="0" w:color="auto"/>
        <w:bottom w:val="none" w:sz="0" w:space="0" w:color="auto"/>
        <w:right w:val="none" w:sz="0" w:space="0" w:color="auto"/>
      </w:divBdr>
    </w:div>
    <w:div w:id="1771584030">
      <w:bodyDiv w:val="1"/>
      <w:marLeft w:val="0"/>
      <w:marRight w:val="0"/>
      <w:marTop w:val="0"/>
      <w:marBottom w:val="0"/>
      <w:divBdr>
        <w:top w:val="none" w:sz="0" w:space="0" w:color="auto"/>
        <w:left w:val="none" w:sz="0" w:space="0" w:color="auto"/>
        <w:bottom w:val="none" w:sz="0" w:space="0" w:color="auto"/>
        <w:right w:val="none" w:sz="0" w:space="0" w:color="auto"/>
      </w:divBdr>
    </w:div>
    <w:div w:id="1837720025">
      <w:bodyDiv w:val="1"/>
      <w:marLeft w:val="0"/>
      <w:marRight w:val="0"/>
      <w:marTop w:val="0"/>
      <w:marBottom w:val="0"/>
      <w:divBdr>
        <w:top w:val="none" w:sz="0" w:space="0" w:color="auto"/>
        <w:left w:val="none" w:sz="0" w:space="0" w:color="auto"/>
        <w:bottom w:val="none" w:sz="0" w:space="0" w:color="auto"/>
        <w:right w:val="none" w:sz="0" w:space="0" w:color="auto"/>
      </w:divBdr>
    </w:div>
    <w:div w:id="1876967465">
      <w:bodyDiv w:val="1"/>
      <w:marLeft w:val="0"/>
      <w:marRight w:val="0"/>
      <w:marTop w:val="0"/>
      <w:marBottom w:val="0"/>
      <w:divBdr>
        <w:top w:val="none" w:sz="0" w:space="0" w:color="auto"/>
        <w:left w:val="none" w:sz="0" w:space="0" w:color="auto"/>
        <w:bottom w:val="none" w:sz="0" w:space="0" w:color="auto"/>
        <w:right w:val="none" w:sz="0" w:space="0" w:color="auto"/>
      </w:divBdr>
    </w:div>
    <w:div w:id="1885213926">
      <w:bodyDiv w:val="1"/>
      <w:marLeft w:val="0"/>
      <w:marRight w:val="0"/>
      <w:marTop w:val="0"/>
      <w:marBottom w:val="0"/>
      <w:divBdr>
        <w:top w:val="none" w:sz="0" w:space="0" w:color="auto"/>
        <w:left w:val="none" w:sz="0" w:space="0" w:color="auto"/>
        <w:bottom w:val="none" w:sz="0" w:space="0" w:color="auto"/>
        <w:right w:val="none" w:sz="0" w:space="0" w:color="auto"/>
      </w:divBdr>
      <w:divsChild>
        <w:div w:id="428353091">
          <w:marLeft w:val="0"/>
          <w:marRight w:val="0"/>
          <w:marTop w:val="0"/>
          <w:marBottom w:val="0"/>
          <w:divBdr>
            <w:top w:val="none" w:sz="0" w:space="0" w:color="auto"/>
            <w:left w:val="none" w:sz="0" w:space="0" w:color="auto"/>
            <w:bottom w:val="none" w:sz="0" w:space="0" w:color="auto"/>
            <w:right w:val="none" w:sz="0" w:space="0" w:color="auto"/>
          </w:divBdr>
        </w:div>
      </w:divsChild>
    </w:div>
    <w:div w:id="1916743593">
      <w:bodyDiv w:val="1"/>
      <w:marLeft w:val="0"/>
      <w:marRight w:val="0"/>
      <w:marTop w:val="0"/>
      <w:marBottom w:val="0"/>
      <w:divBdr>
        <w:top w:val="none" w:sz="0" w:space="0" w:color="auto"/>
        <w:left w:val="none" w:sz="0" w:space="0" w:color="auto"/>
        <w:bottom w:val="none" w:sz="0" w:space="0" w:color="auto"/>
        <w:right w:val="none" w:sz="0" w:space="0" w:color="auto"/>
      </w:divBdr>
      <w:divsChild>
        <w:div w:id="291643467">
          <w:marLeft w:val="0"/>
          <w:marRight w:val="0"/>
          <w:marTop w:val="0"/>
          <w:marBottom w:val="0"/>
          <w:divBdr>
            <w:top w:val="none" w:sz="0" w:space="0" w:color="auto"/>
            <w:left w:val="none" w:sz="0" w:space="0" w:color="auto"/>
            <w:bottom w:val="none" w:sz="0" w:space="0" w:color="auto"/>
            <w:right w:val="none" w:sz="0" w:space="0" w:color="auto"/>
          </w:divBdr>
        </w:div>
      </w:divsChild>
    </w:div>
    <w:div w:id="1933471879">
      <w:bodyDiv w:val="1"/>
      <w:marLeft w:val="0"/>
      <w:marRight w:val="0"/>
      <w:marTop w:val="0"/>
      <w:marBottom w:val="0"/>
      <w:divBdr>
        <w:top w:val="none" w:sz="0" w:space="0" w:color="auto"/>
        <w:left w:val="none" w:sz="0" w:space="0" w:color="auto"/>
        <w:bottom w:val="none" w:sz="0" w:space="0" w:color="auto"/>
        <w:right w:val="none" w:sz="0" w:space="0" w:color="auto"/>
      </w:divBdr>
      <w:divsChild>
        <w:div w:id="660230256">
          <w:marLeft w:val="0"/>
          <w:marRight w:val="0"/>
          <w:marTop w:val="0"/>
          <w:marBottom w:val="0"/>
          <w:divBdr>
            <w:top w:val="none" w:sz="0" w:space="0" w:color="auto"/>
            <w:left w:val="none" w:sz="0" w:space="0" w:color="auto"/>
            <w:bottom w:val="none" w:sz="0" w:space="0" w:color="auto"/>
            <w:right w:val="none" w:sz="0" w:space="0" w:color="auto"/>
          </w:divBdr>
        </w:div>
      </w:divsChild>
    </w:div>
    <w:div w:id="1957102299">
      <w:bodyDiv w:val="1"/>
      <w:marLeft w:val="0"/>
      <w:marRight w:val="0"/>
      <w:marTop w:val="0"/>
      <w:marBottom w:val="0"/>
      <w:divBdr>
        <w:top w:val="none" w:sz="0" w:space="0" w:color="auto"/>
        <w:left w:val="none" w:sz="0" w:space="0" w:color="auto"/>
        <w:bottom w:val="none" w:sz="0" w:space="0" w:color="auto"/>
        <w:right w:val="none" w:sz="0" w:space="0" w:color="auto"/>
      </w:divBdr>
    </w:div>
    <w:div w:id="1992707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8425">
          <w:marLeft w:val="0"/>
          <w:marRight w:val="0"/>
          <w:marTop w:val="0"/>
          <w:marBottom w:val="0"/>
          <w:divBdr>
            <w:top w:val="none" w:sz="0" w:space="0" w:color="auto"/>
            <w:left w:val="none" w:sz="0" w:space="0" w:color="auto"/>
            <w:bottom w:val="none" w:sz="0" w:space="0" w:color="auto"/>
            <w:right w:val="none" w:sz="0" w:space="0" w:color="auto"/>
          </w:divBdr>
        </w:div>
      </w:divsChild>
    </w:div>
    <w:div w:id="2008634324">
      <w:bodyDiv w:val="1"/>
      <w:marLeft w:val="0"/>
      <w:marRight w:val="0"/>
      <w:marTop w:val="0"/>
      <w:marBottom w:val="0"/>
      <w:divBdr>
        <w:top w:val="none" w:sz="0" w:space="0" w:color="auto"/>
        <w:left w:val="none" w:sz="0" w:space="0" w:color="auto"/>
        <w:bottom w:val="none" w:sz="0" w:space="0" w:color="auto"/>
        <w:right w:val="none" w:sz="0" w:space="0" w:color="auto"/>
      </w:divBdr>
    </w:div>
    <w:div w:id="2046784274">
      <w:bodyDiv w:val="1"/>
      <w:marLeft w:val="0"/>
      <w:marRight w:val="0"/>
      <w:marTop w:val="0"/>
      <w:marBottom w:val="0"/>
      <w:divBdr>
        <w:top w:val="none" w:sz="0" w:space="0" w:color="auto"/>
        <w:left w:val="none" w:sz="0" w:space="0" w:color="auto"/>
        <w:bottom w:val="none" w:sz="0" w:space="0" w:color="auto"/>
        <w:right w:val="none" w:sz="0" w:space="0" w:color="auto"/>
      </w:divBdr>
    </w:div>
    <w:div w:id="2063167772">
      <w:bodyDiv w:val="1"/>
      <w:marLeft w:val="0"/>
      <w:marRight w:val="0"/>
      <w:marTop w:val="0"/>
      <w:marBottom w:val="0"/>
      <w:divBdr>
        <w:top w:val="none" w:sz="0" w:space="0" w:color="auto"/>
        <w:left w:val="none" w:sz="0" w:space="0" w:color="auto"/>
        <w:bottom w:val="none" w:sz="0" w:space="0" w:color="auto"/>
        <w:right w:val="none" w:sz="0" w:space="0" w:color="auto"/>
      </w:divBdr>
    </w:div>
    <w:div w:id="2079014237">
      <w:bodyDiv w:val="1"/>
      <w:marLeft w:val="0"/>
      <w:marRight w:val="0"/>
      <w:marTop w:val="0"/>
      <w:marBottom w:val="0"/>
      <w:divBdr>
        <w:top w:val="none" w:sz="0" w:space="0" w:color="auto"/>
        <w:left w:val="none" w:sz="0" w:space="0" w:color="auto"/>
        <w:bottom w:val="none" w:sz="0" w:space="0" w:color="auto"/>
        <w:right w:val="none" w:sz="0" w:space="0" w:color="auto"/>
      </w:divBdr>
    </w:div>
    <w:div w:id="2100639051">
      <w:bodyDiv w:val="1"/>
      <w:marLeft w:val="0"/>
      <w:marRight w:val="0"/>
      <w:marTop w:val="0"/>
      <w:marBottom w:val="0"/>
      <w:divBdr>
        <w:top w:val="none" w:sz="0" w:space="0" w:color="auto"/>
        <w:left w:val="none" w:sz="0" w:space="0" w:color="auto"/>
        <w:bottom w:val="none" w:sz="0" w:space="0" w:color="auto"/>
        <w:right w:val="none" w:sz="0" w:space="0" w:color="auto"/>
      </w:divBdr>
    </w:div>
    <w:div w:id="21300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BCBF-4A8F-43DA-B045-2788C0B2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6314</Words>
  <Characters>37889</Characters>
  <Application>Microsoft Office Word</Application>
  <DocSecurity>4</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Łukasiak Przemysław</dc:creator>
  <cp:keywords/>
  <dc:description/>
  <cp:lastModifiedBy>Wójcik Aleksandra</cp:lastModifiedBy>
  <cp:revision>2</cp:revision>
  <dcterms:created xsi:type="dcterms:W3CDTF">2026-06-16T11:57:00Z</dcterms:created>
  <dcterms:modified xsi:type="dcterms:W3CDTF">2026-06-16T11:57:00Z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UxC4dwLulzfINJ8nQH+xvX5LNGipWa4BRSZhPgxsCvmx7LDRMDpdKVzclJjFArwClUXFcPwx7ctURCasBUobKw==</vt:lpwstr>
  </property>
  <property fmtid="{D5CDD505-2E9C-101B-9397-08002B2CF9AE}" pid="4" name="MFClassificationDate">
    <vt:lpwstr>2026-05-05T13:26:11.7625447+02:00</vt:lpwstr>
  </property>
  <property fmtid="{D5CDD505-2E9C-101B-9397-08002B2CF9AE}" pid="5" name="MFClassifiedBySID">
    <vt:lpwstr>UxC4dwLulzfINJ8nQH+xvX5LNGipWa4BRSZhPgxsCvm42mrIC/DSDv0ggS+FjUN/2v1BBotkLlY5aAiEhoi6uX4+Phxari2j7KLYDzedEu9zDPRApm1gLsLZ8Pkx8qfx</vt:lpwstr>
  </property>
  <property fmtid="{D5CDD505-2E9C-101B-9397-08002B2CF9AE}" pid="6" name="MFGRNItemId">
    <vt:lpwstr>GRN-f87b70f7-6a83-41a4-98f7-3f185cbfe698</vt:lpwstr>
  </property>
  <property fmtid="{D5CDD505-2E9C-101B-9397-08002B2CF9AE}" pid="7" name="MFHash">
    <vt:lpwstr>05UrGe/BWY/swig2R0Q5goKnrk+YxWRrzioL70aauNI=</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