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4FA7" w14:textId="77777777" w:rsidR="00A00DF8" w:rsidRPr="002B56D8" w:rsidRDefault="00A00DF8" w:rsidP="00102EEE">
      <w:pPr>
        <w:suppressAutoHyphens/>
        <w:autoSpaceDN w:val="0"/>
        <w:spacing w:before="120" w:after="0" w:line="360" w:lineRule="auto"/>
        <w:jc w:val="center"/>
        <w:textAlignment w:val="baseline"/>
        <w:rPr>
          <w:rFonts w:ascii="Times New Roman" w:eastAsia="Times New Roman" w:hAnsi="Times New Roman" w:cs="Times New Roman"/>
          <w:bCs/>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UZASADNIENIE</w:t>
      </w:r>
    </w:p>
    <w:p w14:paraId="7225A2CA" w14:textId="256350B9" w:rsidR="00A00DF8" w:rsidRPr="002B56D8" w:rsidRDefault="00A00DF8" w:rsidP="00102EEE">
      <w:pPr>
        <w:spacing w:before="120" w:after="0" w:line="360" w:lineRule="auto"/>
        <w:jc w:val="both"/>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W ustawie </w:t>
      </w:r>
      <w:r w:rsidR="00330285" w:rsidRPr="00330285">
        <w:rPr>
          <w:rFonts w:ascii="Times New Roman" w:eastAsia="Times New Roman" w:hAnsi="Times New Roman" w:cs="Times New Roman"/>
          <w:kern w:val="3"/>
          <w:sz w:val="24"/>
          <w:szCs w:val="24"/>
          <w:lang w:eastAsia="pl-PL"/>
          <w14:ligatures w14:val="none"/>
        </w:rPr>
        <w:t xml:space="preserve">z dnia 18 lipca 2002 r. </w:t>
      </w:r>
      <w:r w:rsidRPr="002B56D8">
        <w:rPr>
          <w:rFonts w:ascii="Times New Roman" w:eastAsia="Times New Roman" w:hAnsi="Times New Roman" w:cs="Times New Roman"/>
          <w:kern w:val="3"/>
          <w:sz w:val="24"/>
          <w:szCs w:val="24"/>
          <w:lang w:eastAsia="pl-PL"/>
          <w14:ligatures w14:val="none"/>
        </w:rPr>
        <w:t xml:space="preserve">o świadczeniu usług drogą elektroniczną </w:t>
      </w:r>
      <w:r w:rsidR="00330285" w:rsidRPr="00330285">
        <w:rPr>
          <w:rFonts w:ascii="Times New Roman" w:eastAsia="Times New Roman" w:hAnsi="Times New Roman" w:cs="Times New Roman"/>
          <w:kern w:val="3"/>
          <w:sz w:val="24"/>
          <w:szCs w:val="24"/>
          <w:lang w:eastAsia="pl-PL"/>
          <w14:ligatures w14:val="none"/>
        </w:rPr>
        <w:t xml:space="preserve">(Dz. U. z 2024 r. poz. 1513) </w:t>
      </w:r>
      <w:r w:rsidRPr="002B56D8">
        <w:rPr>
          <w:rFonts w:ascii="Times New Roman" w:eastAsia="Times New Roman" w:hAnsi="Times New Roman" w:cs="Times New Roman"/>
          <w:kern w:val="3"/>
          <w:sz w:val="24"/>
          <w:szCs w:val="24"/>
          <w:lang w:eastAsia="pl-PL"/>
          <w14:ligatures w14:val="none"/>
        </w:rPr>
        <w:t>proponuje się dodanie rozdziału 2a, który umożliwi stosowanie art. 9 rozporządzenia Parlamentu Europejskiego i Rady (UE) 2022/2065 z dnia 19 października 2022 r. w sprawie jednolitego rynku usług cyfrowych oraz zmiany dyrektywy 2000/31/WE (akt o usługach cyfrowych)</w:t>
      </w:r>
      <w:r w:rsidR="00330285">
        <w:rPr>
          <w:rFonts w:ascii="Times New Roman" w:eastAsia="Times New Roman" w:hAnsi="Times New Roman" w:cs="Times New Roman"/>
          <w:kern w:val="3"/>
          <w:sz w:val="24"/>
          <w:szCs w:val="24"/>
          <w:lang w:eastAsia="pl-PL"/>
          <w14:ligatures w14:val="none"/>
        </w:rPr>
        <w:t xml:space="preserve"> </w:t>
      </w:r>
      <w:r w:rsidR="00330285" w:rsidRPr="00330285">
        <w:rPr>
          <w:rFonts w:ascii="Times New Roman" w:eastAsia="Times New Roman" w:hAnsi="Times New Roman" w:cs="Times New Roman"/>
          <w:kern w:val="3"/>
          <w:sz w:val="24"/>
          <w:szCs w:val="24"/>
          <w:lang w:eastAsia="pl-PL"/>
          <w14:ligatures w14:val="none"/>
        </w:rPr>
        <w:t>(Dz. Urz. UE L 277 z 27.10.2022, str. 1, z późn. zm.)</w:t>
      </w:r>
      <w:r w:rsidRPr="002B56D8">
        <w:rPr>
          <w:rFonts w:ascii="Times New Roman" w:eastAsia="Times New Roman" w:hAnsi="Times New Roman" w:cs="Times New Roman"/>
          <w:kern w:val="3"/>
          <w:sz w:val="24"/>
          <w:szCs w:val="24"/>
          <w:lang w:eastAsia="pl-PL"/>
          <w14:ligatures w14:val="none"/>
        </w:rPr>
        <w:t xml:space="preserve">, zwanego dalej „Rozporządzeniem”. Przepis ten stanowi w swojej istocie konkretyzację orzecznictwa TSUE, w szczególności zapoczątkowanego wyrokiem TSUE w sprawie UPC </w:t>
      </w:r>
      <w:proofErr w:type="spellStart"/>
      <w:r w:rsidRPr="002B56D8">
        <w:rPr>
          <w:rFonts w:ascii="Times New Roman" w:eastAsia="Times New Roman" w:hAnsi="Times New Roman" w:cs="Times New Roman"/>
          <w:kern w:val="3"/>
          <w:sz w:val="24"/>
          <w:szCs w:val="24"/>
          <w:lang w:eastAsia="pl-PL"/>
          <w14:ligatures w14:val="none"/>
        </w:rPr>
        <w:t>Telekabel</w:t>
      </w:r>
      <w:proofErr w:type="spellEnd"/>
      <w:r w:rsidRPr="002B56D8">
        <w:rPr>
          <w:rFonts w:ascii="Times New Roman" w:eastAsia="Times New Roman" w:hAnsi="Times New Roman" w:cs="Times New Roman"/>
          <w:kern w:val="3"/>
          <w:sz w:val="24"/>
          <w:szCs w:val="24"/>
          <w:lang w:eastAsia="pl-PL"/>
          <w14:ligatures w14:val="none"/>
        </w:rPr>
        <w:t xml:space="preserve"> Wien (C-314/12), kształtującego się na podstawie stosowania art. 8 ust. 3 dyrektywy 2001/29/WE Parlamentu Europejskiego i Rady z dnia 22 maja 2001 r. w sprawie harmonizacji niektórych aspektów praw autorskich i pokrewnych w społeczeństwie informacyjnym (Dz. Urz. </w:t>
      </w:r>
      <w:r w:rsidR="00462AD0">
        <w:rPr>
          <w:rFonts w:ascii="Times New Roman" w:eastAsia="Times New Roman" w:hAnsi="Times New Roman" w:cs="Times New Roman"/>
          <w:kern w:val="3"/>
          <w:sz w:val="24"/>
          <w:szCs w:val="24"/>
          <w:lang w:eastAsia="pl-PL"/>
          <w14:ligatures w14:val="none"/>
        </w:rPr>
        <w:t>W</w:t>
      </w:r>
      <w:r w:rsidRPr="002B56D8">
        <w:rPr>
          <w:rFonts w:ascii="Times New Roman" w:eastAsia="Times New Roman" w:hAnsi="Times New Roman" w:cs="Times New Roman"/>
          <w:kern w:val="3"/>
          <w:sz w:val="24"/>
          <w:szCs w:val="24"/>
          <w:lang w:eastAsia="pl-PL"/>
          <w14:ligatures w14:val="none"/>
        </w:rPr>
        <w:t>E L 167 z 22.06.2001, str. 10</w:t>
      </w:r>
      <w:r w:rsidR="00462AD0">
        <w:rPr>
          <w:rFonts w:ascii="Times New Roman" w:eastAsia="Times New Roman" w:hAnsi="Times New Roman" w:cs="Times New Roman"/>
          <w:kern w:val="3"/>
          <w:sz w:val="24"/>
          <w:szCs w:val="24"/>
          <w:lang w:eastAsia="pl-PL"/>
          <w14:ligatures w14:val="none"/>
        </w:rPr>
        <w:t xml:space="preserve"> – Dz. Urz. UE </w:t>
      </w:r>
      <w:r w:rsidR="00462AD0" w:rsidRPr="00462AD0">
        <w:rPr>
          <w:rFonts w:ascii="Times New Roman" w:eastAsia="Times New Roman" w:hAnsi="Times New Roman" w:cs="Times New Roman"/>
          <w:kern w:val="3"/>
          <w:sz w:val="24"/>
          <w:szCs w:val="24"/>
          <w:lang w:eastAsia="pl-PL"/>
          <w14:ligatures w14:val="none"/>
        </w:rPr>
        <w:t>Polskie wydanie specjalne</w:t>
      </w:r>
      <w:r w:rsidR="00462AD0">
        <w:rPr>
          <w:rFonts w:ascii="Times New Roman" w:eastAsia="Times New Roman" w:hAnsi="Times New Roman" w:cs="Times New Roman"/>
          <w:kern w:val="3"/>
          <w:sz w:val="24"/>
          <w:szCs w:val="24"/>
          <w:lang w:eastAsia="pl-PL"/>
          <w14:ligatures w14:val="none"/>
        </w:rPr>
        <w:t xml:space="preserve"> rozdz.</w:t>
      </w:r>
      <w:r w:rsidR="00462AD0" w:rsidRPr="00462AD0">
        <w:rPr>
          <w:rFonts w:ascii="Times New Roman" w:eastAsia="Times New Roman" w:hAnsi="Times New Roman" w:cs="Times New Roman"/>
          <w:kern w:val="3"/>
          <w:sz w:val="24"/>
          <w:szCs w:val="24"/>
          <w:lang w:eastAsia="pl-PL"/>
          <w14:ligatures w14:val="none"/>
        </w:rPr>
        <w:t xml:space="preserve"> 17</w:t>
      </w:r>
      <w:r w:rsidR="00462AD0">
        <w:rPr>
          <w:rFonts w:ascii="Times New Roman" w:eastAsia="Times New Roman" w:hAnsi="Times New Roman" w:cs="Times New Roman"/>
          <w:kern w:val="3"/>
          <w:sz w:val="24"/>
          <w:szCs w:val="24"/>
          <w:lang w:eastAsia="pl-PL"/>
          <w14:ligatures w14:val="none"/>
        </w:rPr>
        <w:t>,</w:t>
      </w:r>
      <w:r w:rsidR="00462AD0" w:rsidRPr="00462AD0">
        <w:rPr>
          <w:rFonts w:ascii="Times New Roman" w:eastAsia="Times New Roman" w:hAnsi="Times New Roman" w:cs="Times New Roman"/>
          <w:kern w:val="3"/>
          <w:sz w:val="24"/>
          <w:szCs w:val="24"/>
          <w:lang w:eastAsia="pl-PL"/>
          <w14:ligatures w14:val="none"/>
        </w:rPr>
        <w:t xml:space="preserve"> </w:t>
      </w:r>
      <w:r w:rsidR="00462AD0">
        <w:rPr>
          <w:rFonts w:ascii="Times New Roman" w:eastAsia="Times New Roman" w:hAnsi="Times New Roman" w:cs="Times New Roman"/>
          <w:kern w:val="3"/>
          <w:sz w:val="24"/>
          <w:szCs w:val="24"/>
          <w:lang w:eastAsia="pl-PL"/>
          <w14:ligatures w14:val="none"/>
        </w:rPr>
        <w:t>t.</w:t>
      </w:r>
      <w:r w:rsidR="00462AD0" w:rsidRPr="00462AD0">
        <w:rPr>
          <w:rFonts w:ascii="Times New Roman" w:eastAsia="Times New Roman" w:hAnsi="Times New Roman" w:cs="Times New Roman"/>
          <w:kern w:val="3"/>
          <w:sz w:val="24"/>
          <w:szCs w:val="24"/>
          <w:lang w:eastAsia="pl-PL"/>
          <w14:ligatures w14:val="none"/>
        </w:rPr>
        <w:t xml:space="preserve"> </w:t>
      </w:r>
      <w:r w:rsidR="00462AD0">
        <w:rPr>
          <w:rFonts w:ascii="Times New Roman" w:eastAsia="Times New Roman" w:hAnsi="Times New Roman" w:cs="Times New Roman"/>
          <w:kern w:val="3"/>
          <w:sz w:val="24"/>
          <w:szCs w:val="24"/>
          <w:lang w:eastAsia="pl-PL"/>
          <w14:ligatures w14:val="none"/>
        </w:rPr>
        <w:t>1, str.</w:t>
      </w:r>
      <w:r w:rsidR="00462AD0" w:rsidRPr="00462AD0">
        <w:rPr>
          <w:rFonts w:ascii="Times New Roman" w:eastAsia="Times New Roman" w:hAnsi="Times New Roman" w:cs="Times New Roman"/>
          <w:kern w:val="3"/>
          <w:sz w:val="24"/>
          <w:szCs w:val="24"/>
          <w:lang w:eastAsia="pl-PL"/>
          <w14:ligatures w14:val="none"/>
        </w:rPr>
        <w:t xml:space="preserve"> 230</w:t>
      </w:r>
      <w:r w:rsidRPr="002B56D8">
        <w:rPr>
          <w:rFonts w:ascii="Times New Roman" w:eastAsia="Times New Roman" w:hAnsi="Times New Roman" w:cs="Times New Roman"/>
          <w:kern w:val="3"/>
          <w:sz w:val="24"/>
          <w:szCs w:val="24"/>
          <w:lang w:eastAsia="pl-PL"/>
          <w14:ligatures w14:val="none"/>
        </w:rPr>
        <w:t xml:space="preserve">, z późn zm.). </w:t>
      </w:r>
    </w:p>
    <w:p w14:paraId="28E31985" w14:textId="77777777" w:rsidR="00A00DF8" w:rsidRPr="002B56D8" w:rsidRDefault="00A00DF8" w:rsidP="00102EEE">
      <w:pPr>
        <w:spacing w:before="120" w:after="0" w:line="360" w:lineRule="auto"/>
        <w:jc w:val="both"/>
        <w:rPr>
          <w:rFonts w:ascii="Times New Roman" w:eastAsia="Times New Roman" w:hAnsi="Times New Roman" w:cs="Times New Roman"/>
          <w:color w:val="000000"/>
          <w:kern w:val="3"/>
          <w:sz w:val="24"/>
          <w:szCs w:val="24"/>
          <w:lang w:eastAsia="pl-PL"/>
          <w14:ligatures w14:val="none"/>
        </w:rPr>
      </w:pPr>
      <w:r w:rsidRPr="002B56D8">
        <w:rPr>
          <w:rFonts w:ascii="Times New Roman" w:eastAsia="Times New Roman" w:hAnsi="Times New Roman" w:cs="Times New Roman"/>
          <w:color w:val="000000"/>
          <w:kern w:val="3"/>
          <w:sz w:val="24"/>
          <w:szCs w:val="24"/>
          <w:lang w:eastAsia="pl-PL"/>
          <w14:ligatures w14:val="none"/>
        </w:rPr>
        <w:t>W prawie polskim nie istnieje szczególna podstawa prawna, która umożliwiałaby złożenie wniosku do sądu lub organu administracji o wydanie nakazu podjęcia działań przeciwko nielegalnym treściom udostępnianym w internecie. Do wyjątków należą:</w:t>
      </w:r>
    </w:p>
    <w:p w14:paraId="2B56B9CA" w14:textId="2A92C181" w:rsidR="00A00DF8" w:rsidRPr="002B56D8" w:rsidRDefault="00A00DF8" w:rsidP="00102EEE">
      <w:pPr>
        <w:numPr>
          <w:ilvl w:val="0"/>
          <w:numId w:val="3"/>
        </w:numPr>
        <w:suppressAutoHyphens/>
        <w:autoSpaceDE w:val="0"/>
        <w:autoSpaceDN w:val="0"/>
        <w:adjustRightInd w:val="0"/>
        <w:spacing w:after="0" w:line="360" w:lineRule="auto"/>
        <w:ind w:left="397" w:hanging="397"/>
        <w:jc w:val="both"/>
        <w:textAlignment w:val="baseline"/>
        <w:rPr>
          <w:rFonts w:ascii="Times New Roman" w:eastAsia="Calibri" w:hAnsi="Times New Roman" w:cs="Times New Roman"/>
          <w:color w:val="000000"/>
          <w:kern w:val="3"/>
          <w:sz w:val="24"/>
          <w:szCs w:val="24"/>
          <w14:ligatures w14:val="none"/>
        </w:rPr>
      </w:pPr>
      <w:r w:rsidRPr="002B56D8">
        <w:rPr>
          <w:rFonts w:ascii="Times New Roman" w:eastAsia="Calibri" w:hAnsi="Times New Roman" w:cs="Times New Roman"/>
          <w:color w:val="000000"/>
          <w:kern w:val="3"/>
          <w:sz w:val="24"/>
          <w:szCs w:val="24"/>
          <w14:ligatures w14:val="none"/>
        </w:rPr>
        <w:t xml:space="preserve">art. 53 ustawy z dnia 12 lipca 2024 r. </w:t>
      </w:r>
      <w:r w:rsidR="00C91298">
        <w:rPr>
          <w:rFonts w:ascii="Times New Roman" w:eastAsia="Calibri" w:hAnsi="Times New Roman" w:cs="Times New Roman"/>
          <w:color w:val="000000"/>
          <w:kern w:val="3"/>
          <w:sz w:val="24"/>
          <w:szCs w:val="24"/>
          <w14:ligatures w14:val="none"/>
        </w:rPr>
        <w:t>–</w:t>
      </w:r>
      <w:r w:rsidRPr="002B56D8">
        <w:rPr>
          <w:rFonts w:ascii="Times New Roman" w:eastAsia="Calibri" w:hAnsi="Times New Roman" w:cs="Times New Roman"/>
          <w:color w:val="000000"/>
          <w:kern w:val="3"/>
          <w:sz w:val="24"/>
          <w:szCs w:val="24"/>
          <w14:ligatures w14:val="none"/>
        </w:rPr>
        <w:t xml:space="preserve"> Prawo komunikacji elektronicznej (Dz.</w:t>
      </w:r>
      <w:r w:rsidR="00C91298">
        <w:rPr>
          <w:rFonts w:ascii="Times New Roman" w:eastAsia="Calibri" w:hAnsi="Times New Roman" w:cs="Times New Roman"/>
          <w:color w:val="000000"/>
          <w:kern w:val="3"/>
          <w:sz w:val="24"/>
          <w:szCs w:val="24"/>
          <w14:ligatures w14:val="none"/>
        </w:rPr>
        <w:t xml:space="preserve"> </w:t>
      </w:r>
      <w:r w:rsidRPr="002B56D8">
        <w:rPr>
          <w:rFonts w:ascii="Times New Roman" w:eastAsia="Calibri" w:hAnsi="Times New Roman" w:cs="Times New Roman"/>
          <w:color w:val="000000"/>
          <w:kern w:val="3"/>
          <w:sz w:val="24"/>
          <w:szCs w:val="24"/>
          <w14:ligatures w14:val="none"/>
        </w:rPr>
        <w:t>U. poz. 1221</w:t>
      </w:r>
      <w:r w:rsidR="0061549E">
        <w:rPr>
          <w:rFonts w:ascii="Times New Roman" w:eastAsia="Calibri" w:hAnsi="Times New Roman" w:cs="Times New Roman"/>
          <w:color w:val="000000"/>
          <w:kern w:val="3"/>
          <w:sz w:val="24"/>
          <w:szCs w:val="24"/>
          <w14:ligatures w14:val="none"/>
        </w:rPr>
        <w:t xml:space="preserve">, </w:t>
      </w:r>
      <w:r w:rsidR="0061549E" w:rsidRPr="0061549E">
        <w:rPr>
          <w:rFonts w:ascii="Times New Roman" w:eastAsia="Calibri" w:hAnsi="Times New Roman" w:cs="Times New Roman"/>
          <w:color w:val="000000"/>
          <w:kern w:val="3"/>
          <w:sz w:val="24"/>
          <w:szCs w:val="24"/>
          <w14:ligatures w14:val="none"/>
        </w:rPr>
        <w:t>z późn. zm.</w:t>
      </w:r>
      <w:r w:rsidRPr="002B56D8">
        <w:rPr>
          <w:rFonts w:ascii="Times New Roman" w:eastAsia="Calibri" w:hAnsi="Times New Roman" w:cs="Times New Roman"/>
          <w:color w:val="000000"/>
          <w:kern w:val="3"/>
          <w:sz w:val="24"/>
          <w:szCs w:val="24"/>
          <w14:ligatures w14:val="none"/>
        </w:rPr>
        <w:t>),</w:t>
      </w:r>
    </w:p>
    <w:p w14:paraId="3922563F" w14:textId="0CAB8B1C" w:rsidR="00A00DF8" w:rsidRPr="002B56D8" w:rsidRDefault="00A00DF8" w:rsidP="00102EEE">
      <w:pPr>
        <w:numPr>
          <w:ilvl w:val="0"/>
          <w:numId w:val="3"/>
        </w:numPr>
        <w:suppressAutoHyphens/>
        <w:autoSpaceDE w:val="0"/>
        <w:autoSpaceDN w:val="0"/>
        <w:adjustRightInd w:val="0"/>
        <w:spacing w:after="0" w:line="360" w:lineRule="auto"/>
        <w:ind w:left="397" w:hanging="397"/>
        <w:jc w:val="both"/>
        <w:textAlignment w:val="baseline"/>
        <w:rPr>
          <w:rFonts w:ascii="Times New Roman" w:eastAsia="Calibri" w:hAnsi="Times New Roman" w:cs="Times New Roman"/>
          <w:color w:val="000000"/>
          <w:kern w:val="3"/>
          <w:sz w:val="24"/>
          <w:szCs w:val="24"/>
          <w14:ligatures w14:val="none"/>
        </w:rPr>
      </w:pPr>
      <w:r w:rsidRPr="002B56D8">
        <w:rPr>
          <w:rFonts w:ascii="Times New Roman" w:eastAsia="Calibri" w:hAnsi="Times New Roman" w:cs="Times New Roman"/>
          <w:color w:val="000000"/>
          <w:kern w:val="3"/>
          <w:sz w:val="24"/>
          <w:szCs w:val="24"/>
          <w14:ligatures w14:val="none"/>
        </w:rPr>
        <w:t>art. 32c ustawy z dnia 24 maja 2002 r. o Agencji Bezpieczeństwa Wewnętrznego oraz Agencji Wywiadu (Dz. U. 2025 r. poz. 902</w:t>
      </w:r>
      <w:r w:rsidR="0061549E">
        <w:rPr>
          <w:rFonts w:ascii="Times New Roman" w:eastAsia="Calibri" w:hAnsi="Times New Roman" w:cs="Times New Roman"/>
          <w:color w:val="000000"/>
          <w:kern w:val="3"/>
          <w:sz w:val="24"/>
          <w:szCs w:val="24"/>
          <w14:ligatures w14:val="none"/>
        </w:rPr>
        <w:t>,</w:t>
      </w:r>
      <w:r w:rsidRPr="002B56D8">
        <w:rPr>
          <w:rFonts w:ascii="Times New Roman" w:eastAsia="Calibri" w:hAnsi="Times New Roman" w:cs="Times New Roman"/>
          <w:color w:val="000000"/>
          <w:kern w:val="3"/>
          <w:sz w:val="24"/>
          <w:szCs w:val="24"/>
          <w14:ligatures w14:val="none"/>
        </w:rPr>
        <w:t xml:space="preserve"> </w:t>
      </w:r>
      <w:r w:rsidR="0061549E" w:rsidRPr="0061549E">
        <w:rPr>
          <w:rFonts w:ascii="Times New Roman" w:eastAsia="Calibri" w:hAnsi="Times New Roman" w:cs="Times New Roman"/>
          <w:color w:val="000000"/>
          <w:kern w:val="3"/>
          <w:sz w:val="24"/>
          <w:szCs w:val="24"/>
          <w14:ligatures w14:val="none"/>
        </w:rPr>
        <w:t>z późn. zm.</w:t>
      </w:r>
      <w:r w:rsidRPr="002B56D8">
        <w:rPr>
          <w:rFonts w:ascii="Times New Roman" w:eastAsia="Calibri" w:hAnsi="Times New Roman" w:cs="Times New Roman"/>
          <w:color w:val="000000"/>
          <w:kern w:val="3"/>
          <w:sz w:val="24"/>
          <w:szCs w:val="24"/>
          <w14:ligatures w14:val="none"/>
        </w:rPr>
        <w:t xml:space="preserve">) (wdrożenie </w:t>
      </w:r>
      <w:r w:rsidR="00EA7A4A">
        <w:rPr>
          <w:rFonts w:ascii="Times New Roman" w:eastAsia="Calibri" w:hAnsi="Times New Roman" w:cs="Times New Roman"/>
          <w:color w:val="000000"/>
          <w:kern w:val="3"/>
          <w:sz w:val="24"/>
          <w:szCs w:val="24"/>
          <w14:ligatures w14:val="none"/>
        </w:rPr>
        <w:t>r</w:t>
      </w:r>
      <w:r w:rsidRPr="002B56D8">
        <w:rPr>
          <w:rFonts w:ascii="Times New Roman" w:eastAsia="Calibri" w:hAnsi="Times New Roman" w:cs="Times New Roman"/>
          <w:color w:val="000000"/>
          <w:kern w:val="3"/>
          <w:sz w:val="24"/>
          <w:szCs w:val="24"/>
          <w14:ligatures w14:val="none"/>
        </w:rPr>
        <w:t>ozporządzenia Parlamentu Europejskiego i Rady (UE) 2021/784 z dnia 29 kwietnia 2021</w:t>
      </w:r>
      <w:r w:rsidR="00EA7A4A">
        <w:rPr>
          <w:rFonts w:ascii="Times New Roman" w:eastAsia="Calibri" w:hAnsi="Times New Roman" w:cs="Times New Roman"/>
          <w:color w:val="000000"/>
          <w:kern w:val="3"/>
          <w:sz w:val="24"/>
          <w:szCs w:val="24"/>
          <w14:ligatures w14:val="none"/>
        </w:rPr>
        <w:t> </w:t>
      </w:r>
      <w:r w:rsidRPr="002B56D8">
        <w:rPr>
          <w:rFonts w:ascii="Times New Roman" w:eastAsia="Calibri" w:hAnsi="Times New Roman" w:cs="Times New Roman"/>
          <w:color w:val="000000"/>
          <w:kern w:val="3"/>
          <w:sz w:val="24"/>
          <w:szCs w:val="24"/>
          <w14:ligatures w14:val="none"/>
        </w:rPr>
        <w:t>r. w sprawie przeciwdziałania rozpowszechnianiu w internecie treści o charakterze terrorystycznym</w:t>
      </w:r>
      <w:r w:rsidR="00BB0CBA">
        <w:rPr>
          <w:rFonts w:ascii="Times New Roman" w:eastAsia="Calibri" w:hAnsi="Times New Roman" w:cs="Times New Roman"/>
          <w:color w:val="000000"/>
          <w:kern w:val="3"/>
          <w:sz w:val="24"/>
          <w:szCs w:val="24"/>
          <w14:ligatures w14:val="none"/>
        </w:rPr>
        <w:t xml:space="preserve">; Dz. Urz. UE L 172 z </w:t>
      </w:r>
      <w:r w:rsidR="00BB0CBA" w:rsidRPr="00BB0CBA">
        <w:rPr>
          <w:rFonts w:ascii="Times New Roman" w:eastAsia="Calibri" w:hAnsi="Times New Roman" w:cs="Times New Roman"/>
          <w:color w:val="000000"/>
          <w:kern w:val="3"/>
          <w:sz w:val="24"/>
          <w:szCs w:val="24"/>
          <w14:ligatures w14:val="none"/>
        </w:rPr>
        <w:t>17.</w:t>
      </w:r>
      <w:r w:rsidR="00BB0CBA">
        <w:rPr>
          <w:rFonts w:ascii="Times New Roman" w:eastAsia="Calibri" w:hAnsi="Times New Roman" w:cs="Times New Roman"/>
          <w:color w:val="000000"/>
          <w:kern w:val="3"/>
          <w:sz w:val="24"/>
          <w:szCs w:val="24"/>
          <w14:ligatures w14:val="none"/>
        </w:rPr>
        <w:t>0</w:t>
      </w:r>
      <w:r w:rsidR="00BB0CBA" w:rsidRPr="00BB0CBA">
        <w:rPr>
          <w:rFonts w:ascii="Times New Roman" w:eastAsia="Calibri" w:hAnsi="Times New Roman" w:cs="Times New Roman"/>
          <w:color w:val="000000"/>
          <w:kern w:val="3"/>
          <w:sz w:val="24"/>
          <w:szCs w:val="24"/>
          <w14:ligatures w14:val="none"/>
        </w:rPr>
        <w:t>5.2021</w:t>
      </w:r>
      <w:r w:rsidR="00BB0CBA">
        <w:rPr>
          <w:rFonts w:ascii="Times New Roman" w:eastAsia="Calibri" w:hAnsi="Times New Roman" w:cs="Times New Roman"/>
          <w:color w:val="000000"/>
          <w:kern w:val="3"/>
          <w:sz w:val="24"/>
          <w:szCs w:val="24"/>
          <w14:ligatures w14:val="none"/>
        </w:rPr>
        <w:t>, str. 79</w:t>
      </w:r>
      <w:r w:rsidRPr="002B56D8">
        <w:rPr>
          <w:rFonts w:ascii="Times New Roman" w:eastAsia="Calibri" w:hAnsi="Times New Roman" w:cs="Times New Roman"/>
          <w:color w:val="000000"/>
          <w:kern w:val="3"/>
          <w:sz w:val="24"/>
          <w:szCs w:val="24"/>
          <w14:ligatures w14:val="none"/>
        </w:rPr>
        <w:t>),</w:t>
      </w:r>
    </w:p>
    <w:p w14:paraId="75537CE2" w14:textId="7FA8CBE9" w:rsidR="00A00DF8" w:rsidRPr="002B56D8" w:rsidRDefault="00A00DF8" w:rsidP="00102EEE">
      <w:pPr>
        <w:numPr>
          <w:ilvl w:val="0"/>
          <w:numId w:val="3"/>
        </w:numPr>
        <w:suppressAutoHyphens/>
        <w:autoSpaceDE w:val="0"/>
        <w:autoSpaceDN w:val="0"/>
        <w:adjustRightInd w:val="0"/>
        <w:spacing w:after="0" w:line="360" w:lineRule="auto"/>
        <w:ind w:left="397" w:hanging="397"/>
        <w:jc w:val="both"/>
        <w:textAlignment w:val="baseline"/>
        <w:rPr>
          <w:rFonts w:ascii="Times New Roman" w:eastAsia="Calibri" w:hAnsi="Times New Roman" w:cs="Times New Roman"/>
          <w:color w:val="000000"/>
          <w:kern w:val="3"/>
          <w:sz w:val="24"/>
          <w:szCs w:val="24"/>
          <w14:ligatures w14:val="none"/>
        </w:rPr>
      </w:pPr>
      <w:r w:rsidRPr="002B56D8">
        <w:rPr>
          <w:rFonts w:ascii="Times New Roman" w:eastAsia="Calibri" w:hAnsi="Times New Roman" w:cs="Times New Roman"/>
          <w:color w:val="000000"/>
          <w:kern w:val="3"/>
          <w:sz w:val="24"/>
          <w:szCs w:val="24"/>
          <w14:ligatures w14:val="none"/>
        </w:rPr>
        <w:t>ustawa z dnia 28 lipca 2023 r. o zwalczaniu nadużyć w komunikacji elektronicznej (Dz. U. z 2024 r. poz. 1803</w:t>
      </w:r>
      <w:r w:rsidR="00EB74D3">
        <w:rPr>
          <w:rFonts w:ascii="Times New Roman" w:eastAsia="Calibri" w:hAnsi="Times New Roman" w:cs="Times New Roman"/>
          <w:color w:val="000000"/>
          <w:kern w:val="3"/>
          <w:sz w:val="24"/>
          <w:szCs w:val="24"/>
          <w14:ligatures w14:val="none"/>
        </w:rPr>
        <w:t>, z późn. zm.</w:t>
      </w:r>
      <w:r w:rsidRPr="002B56D8">
        <w:rPr>
          <w:rFonts w:ascii="Times New Roman" w:eastAsia="Calibri" w:hAnsi="Times New Roman" w:cs="Times New Roman"/>
          <w:color w:val="000000"/>
          <w:kern w:val="3"/>
          <w:sz w:val="24"/>
          <w:szCs w:val="24"/>
          <w14:ligatures w14:val="none"/>
        </w:rPr>
        <w:t>);</w:t>
      </w:r>
    </w:p>
    <w:p w14:paraId="1EEAEDAE" w14:textId="5782B63B" w:rsidR="00A00DF8" w:rsidRPr="002B56D8" w:rsidRDefault="00A00DF8" w:rsidP="00102EEE">
      <w:pPr>
        <w:numPr>
          <w:ilvl w:val="0"/>
          <w:numId w:val="3"/>
        </w:numPr>
        <w:suppressAutoHyphens/>
        <w:autoSpaceDE w:val="0"/>
        <w:autoSpaceDN w:val="0"/>
        <w:adjustRightInd w:val="0"/>
        <w:spacing w:after="0" w:line="360" w:lineRule="auto"/>
        <w:ind w:left="397" w:hanging="397"/>
        <w:jc w:val="both"/>
        <w:textAlignment w:val="baseline"/>
        <w:rPr>
          <w:rFonts w:ascii="Times New Roman" w:eastAsia="Calibri" w:hAnsi="Times New Roman" w:cs="Times New Roman"/>
          <w:color w:val="000000"/>
          <w:kern w:val="3"/>
          <w:sz w:val="24"/>
          <w:szCs w:val="24"/>
          <w14:ligatures w14:val="none"/>
        </w:rPr>
      </w:pPr>
      <w:r w:rsidRPr="002B56D8">
        <w:rPr>
          <w:rFonts w:ascii="Times New Roman" w:eastAsia="Calibri" w:hAnsi="Times New Roman" w:cs="Times New Roman"/>
          <w:color w:val="000000"/>
          <w:kern w:val="3"/>
          <w:sz w:val="24"/>
          <w:szCs w:val="24"/>
          <w14:ligatures w14:val="none"/>
        </w:rPr>
        <w:t>art. 47t ustawy z dnia 29 grudnia 1992 r. o radiofonii i telewizji (Dz. U. z 2022 r. poz. 1722</w:t>
      </w:r>
      <w:r w:rsidR="0061549E">
        <w:rPr>
          <w:rFonts w:ascii="Times New Roman" w:eastAsia="Calibri" w:hAnsi="Times New Roman" w:cs="Times New Roman"/>
          <w:color w:val="000000"/>
          <w:kern w:val="3"/>
          <w:sz w:val="24"/>
          <w:szCs w:val="24"/>
          <w14:ligatures w14:val="none"/>
        </w:rPr>
        <w:t>, z późn. zm.</w:t>
      </w:r>
      <w:r w:rsidRPr="002B56D8">
        <w:rPr>
          <w:rFonts w:ascii="Times New Roman" w:eastAsia="Calibri" w:hAnsi="Times New Roman" w:cs="Times New Roman"/>
          <w:color w:val="000000"/>
          <w:kern w:val="3"/>
          <w:sz w:val="24"/>
          <w:szCs w:val="24"/>
          <w14:ligatures w14:val="none"/>
        </w:rPr>
        <w:t>).</w:t>
      </w:r>
    </w:p>
    <w:p w14:paraId="35ACDE30" w14:textId="77777777"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Brak szczególnej procedury do wydawania nakazów w projekcie ustawy spowoduje, że ochrona prawna obywateli Rzeczypospolitej Polskiej będzie słabsza niż obywateli innych państw członkowskich Unii Europejskiej.</w:t>
      </w:r>
    </w:p>
    <w:p w14:paraId="43D4B732" w14:textId="0D1F1F7E"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Niniejszy projekt nie narusza przepisów ustawy z dnia 19 listopada 2009 r. o grach hazardowych (Dz.</w:t>
      </w:r>
      <w:r w:rsidR="00C91298">
        <w:rPr>
          <w:rFonts w:ascii="Times New Roman" w:eastAsia="Times New Roman" w:hAnsi="Times New Roman" w:cs="Times New Roman"/>
          <w:kern w:val="3"/>
          <w:sz w:val="24"/>
          <w:szCs w:val="24"/>
          <w:lang w:eastAsia="pl-PL"/>
          <w14:ligatures w14:val="none"/>
        </w:rPr>
        <w:t xml:space="preserve"> </w:t>
      </w:r>
      <w:r w:rsidRPr="002B56D8">
        <w:rPr>
          <w:rFonts w:ascii="Times New Roman" w:eastAsia="Times New Roman" w:hAnsi="Times New Roman" w:cs="Times New Roman"/>
          <w:kern w:val="3"/>
          <w:sz w:val="24"/>
          <w:szCs w:val="24"/>
          <w:lang w:eastAsia="pl-PL"/>
          <w14:ligatures w14:val="none"/>
        </w:rPr>
        <w:t>U. z 2025 r. poz. 595</w:t>
      </w:r>
      <w:r w:rsidR="00EB74D3">
        <w:rPr>
          <w:rFonts w:ascii="Times New Roman" w:eastAsia="Times New Roman" w:hAnsi="Times New Roman" w:cs="Times New Roman"/>
          <w:kern w:val="3"/>
          <w:sz w:val="24"/>
          <w:szCs w:val="24"/>
          <w:lang w:eastAsia="pl-PL"/>
          <w14:ligatures w14:val="none"/>
        </w:rPr>
        <w:t>,</w:t>
      </w:r>
      <w:r w:rsidR="00EB74D3" w:rsidRPr="00EB74D3">
        <w:t xml:space="preserve"> </w:t>
      </w:r>
      <w:r w:rsidR="00EB74D3" w:rsidRPr="00EB74D3">
        <w:rPr>
          <w:rFonts w:ascii="Times New Roman" w:eastAsia="Times New Roman" w:hAnsi="Times New Roman" w:cs="Times New Roman"/>
          <w:kern w:val="3"/>
          <w:sz w:val="24"/>
          <w:szCs w:val="24"/>
          <w:lang w:eastAsia="pl-PL"/>
          <w14:ligatures w14:val="none"/>
        </w:rPr>
        <w:t>z późn. zm.</w:t>
      </w:r>
      <w:r w:rsidRPr="002B56D8">
        <w:rPr>
          <w:rFonts w:ascii="Times New Roman" w:eastAsia="Times New Roman" w:hAnsi="Times New Roman" w:cs="Times New Roman"/>
          <w:kern w:val="3"/>
          <w:sz w:val="24"/>
          <w:szCs w:val="24"/>
          <w:lang w:eastAsia="pl-PL"/>
          <w14:ligatures w14:val="none"/>
        </w:rPr>
        <w:t xml:space="preserve">), które przewidują blokadę dostępu do </w:t>
      </w:r>
      <w:r w:rsidRPr="002B56D8">
        <w:rPr>
          <w:rFonts w:ascii="Times New Roman" w:eastAsia="Times New Roman" w:hAnsi="Times New Roman" w:cs="Times New Roman"/>
          <w:kern w:val="3"/>
          <w:sz w:val="24"/>
          <w:szCs w:val="24"/>
          <w:lang w:eastAsia="pl-PL"/>
          <w14:ligatures w14:val="none"/>
        </w:rPr>
        <w:lastRenderedPageBreak/>
        <w:t xml:space="preserve">strony internetowej wykorzystującej domenę wpisaną do Rejestru </w:t>
      </w:r>
      <w:r w:rsidR="00477B36">
        <w:rPr>
          <w:rFonts w:ascii="Times New Roman" w:eastAsia="Times New Roman" w:hAnsi="Times New Roman" w:cs="Times New Roman"/>
          <w:kern w:val="3"/>
          <w:sz w:val="24"/>
          <w:szCs w:val="24"/>
          <w:lang w:eastAsia="pl-PL"/>
          <w14:ligatures w14:val="none"/>
        </w:rPr>
        <w:t>d</w:t>
      </w:r>
      <w:r w:rsidRPr="002B56D8">
        <w:rPr>
          <w:rFonts w:ascii="Times New Roman" w:eastAsia="Times New Roman" w:hAnsi="Times New Roman" w:cs="Times New Roman"/>
          <w:kern w:val="3"/>
          <w:sz w:val="24"/>
          <w:szCs w:val="24"/>
          <w:lang w:eastAsia="pl-PL"/>
          <w14:ligatures w14:val="none"/>
        </w:rPr>
        <w:t xml:space="preserve">omen </w:t>
      </w:r>
      <w:r w:rsidR="00477B36">
        <w:rPr>
          <w:rFonts w:ascii="Times New Roman" w:eastAsia="Times New Roman" w:hAnsi="Times New Roman" w:cs="Times New Roman"/>
          <w:kern w:val="3"/>
          <w:sz w:val="24"/>
          <w:szCs w:val="24"/>
          <w:lang w:eastAsia="pl-PL"/>
          <w14:ligatures w14:val="none"/>
        </w:rPr>
        <w:t>s</w:t>
      </w:r>
      <w:r w:rsidRPr="002B56D8">
        <w:rPr>
          <w:rFonts w:ascii="Times New Roman" w:eastAsia="Times New Roman" w:hAnsi="Times New Roman" w:cs="Times New Roman"/>
          <w:kern w:val="3"/>
          <w:sz w:val="24"/>
          <w:szCs w:val="24"/>
          <w:lang w:eastAsia="pl-PL"/>
          <w14:ligatures w14:val="none"/>
        </w:rPr>
        <w:t xml:space="preserve">łużących do </w:t>
      </w:r>
      <w:r w:rsidR="00477B36">
        <w:rPr>
          <w:rFonts w:ascii="Times New Roman" w:eastAsia="Times New Roman" w:hAnsi="Times New Roman" w:cs="Times New Roman"/>
          <w:kern w:val="3"/>
          <w:sz w:val="24"/>
          <w:szCs w:val="24"/>
          <w:lang w:eastAsia="pl-PL"/>
          <w14:ligatures w14:val="none"/>
        </w:rPr>
        <w:t>o</w:t>
      </w:r>
      <w:r w:rsidRPr="002B56D8">
        <w:rPr>
          <w:rFonts w:ascii="Times New Roman" w:eastAsia="Times New Roman" w:hAnsi="Times New Roman" w:cs="Times New Roman"/>
          <w:kern w:val="3"/>
          <w:sz w:val="24"/>
          <w:szCs w:val="24"/>
          <w:lang w:eastAsia="pl-PL"/>
          <w14:ligatures w14:val="none"/>
        </w:rPr>
        <w:t xml:space="preserve">ferowania </w:t>
      </w:r>
      <w:r w:rsidR="00477B36">
        <w:rPr>
          <w:rFonts w:ascii="Times New Roman" w:eastAsia="Times New Roman" w:hAnsi="Times New Roman" w:cs="Times New Roman"/>
          <w:kern w:val="3"/>
          <w:sz w:val="24"/>
          <w:szCs w:val="24"/>
          <w:lang w:eastAsia="pl-PL"/>
          <w14:ligatures w14:val="none"/>
        </w:rPr>
        <w:t>g</w:t>
      </w:r>
      <w:r w:rsidRPr="002B56D8">
        <w:rPr>
          <w:rFonts w:ascii="Times New Roman" w:eastAsia="Times New Roman" w:hAnsi="Times New Roman" w:cs="Times New Roman"/>
          <w:kern w:val="3"/>
          <w:sz w:val="24"/>
          <w:szCs w:val="24"/>
          <w:lang w:eastAsia="pl-PL"/>
          <w14:ligatures w14:val="none"/>
        </w:rPr>
        <w:t xml:space="preserve">ier </w:t>
      </w:r>
      <w:r w:rsidR="00477B36">
        <w:rPr>
          <w:rFonts w:ascii="Times New Roman" w:eastAsia="Times New Roman" w:hAnsi="Times New Roman" w:cs="Times New Roman"/>
          <w:kern w:val="3"/>
          <w:sz w:val="24"/>
          <w:szCs w:val="24"/>
          <w:lang w:eastAsia="pl-PL"/>
          <w14:ligatures w14:val="none"/>
        </w:rPr>
        <w:t>h</w:t>
      </w:r>
      <w:r w:rsidRPr="002B56D8">
        <w:rPr>
          <w:rFonts w:ascii="Times New Roman" w:eastAsia="Times New Roman" w:hAnsi="Times New Roman" w:cs="Times New Roman"/>
          <w:kern w:val="3"/>
          <w:sz w:val="24"/>
          <w:szCs w:val="24"/>
          <w:lang w:eastAsia="pl-PL"/>
          <w14:ligatures w14:val="none"/>
        </w:rPr>
        <w:t xml:space="preserve">azardowych </w:t>
      </w:r>
      <w:r w:rsidR="00477B36">
        <w:rPr>
          <w:rFonts w:ascii="Times New Roman" w:eastAsia="Times New Roman" w:hAnsi="Times New Roman" w:cs="Times New Roman"/>
          <w:kern w:val="3"/>
          <w:sz w:val="24"/>
          <w:szCs w:val="24"/>
          <w:lang w:eastAsia="pl-PL"/>
          <w14:ligatures w14:val="none"/>
        </w:rPr>
        <w:t>n</w:t>
      </w:r>
      <w:r w:rsidRPr="002B56D8">
        <w:rPr>
          <w:rFonts w:ascii="Times New Roman" w:eastAsia="Times New Roman" w:hAnsi="Times New Roman" w:cs="Times New Roman"/>
          <w:kern w:val="3"/>
          <w:sz w:val="24"/>
          <w:szCs w:val="24"/>
          <w:lang w:eastAsia="pl-PL"/>
          <w14:ligatures w14:val="none"/>
        </w:rPr>
        <w:t xml:space="preserve">iezgodnie z </w:t>
      </w:r>
      <w:r w:rsidR="00477B36">
        <w:rPr>
          <w:rFonts w:ascii="Times New Roman" w:eastAsia="Times New Roman" w:hAnsi="Times New Roman" w:cs="Times New Roman"/>
          <w:kern w:val="3"/>
          <w:sz w:val="24"/>
          <w:szCs w:val="24"/>
          <w:lang w:eastAsia="pl-PL"/>
          <w14:ligatures w14:val="none"/>
        </w:rPr>
        <w:t>u</w:t>
      </w:r>
      <w:r w:rsidRPr="002B56D8">
        <w:rPr>
          <w:rFonts w:ascii="Times New Roman" w:eastAsia="Times New Roman" w:hAnsi="Times New Roman" w:cs="Times New Roman"/>
          <w:kern w:val="3"/>
          <w:sz w:val="24"/>
          <w:szCs w:val="24"/>
          <w:lang w:eastAsia="pl-PL"/>
          <w14:ligatures w14:val="none"/>
        </w:rPr>
        <w:t xml:space="preserve">stawą o </w:t>
      </w:r>
      <w:proofErr w:type="spellStart"/>
      <w:r w:rsidR="00477B36">
        <w:rPr>
          <w:rFonts w:ascii="Times New Roman" w:eastAsia="Times New Roman" w:hAnsi="Times New Roman" w:cs="Times New Roman"/>
          <w:kern w:val="3"/>
          <w:sz w:val="24"/>
          <w:szCs w:val="24"/>
          <w:lang w:eastAsia="pl-PL"/>
          <w14:ligatures w14:val="none"/>
        </w:rPr>
        <w:t>r</w:t>
      </w:r>
      <w:r w:rsidRPr="002B56D8">
        <w:rPr>
          <w:rFonts w:ascii="Times New Roman" w:eastAsia="Times New Roman" w:hAnsi="Times New Roman" w:cs="Times New Roman"/>
          <w:kern w:val="3"/>
          <w:sz w:val="24"/>
          <w:szCs w:val="24"/>
          <w:lang w:eastAsia="pl-PL"/>
          <w14:ligatures w14:val="none"/>
        </w:rPr>
        <w:t>rach</w:t>
      </w:r>
      <w:proofErr w:type="spellEnd"/>
      <w:r w:rsidRPr="002B56D8">
        <w:rPr>
          <w:rFonts w:ascii="Times New Roman" w:eastAsia="Times New Roman" w:hAnsi="Times New Roman" w:cs="Times New Roman"/>
          <w:kern w:val="3"/>
          <w:sz w:val="24"/>
          <w:szCs w:val="24"/>
          <w:lang w:eastAsia="pl-PL"/>
          <w14:ligatures w14:val="none"/>
        </w:rPr>
        <w:t xml:space="preserve"> </w:t>
      </w:r>
      <w:r w:rsidR="00477B36">
        <w:rPr>
          <w:rFonts w:ascii="Times New Roman" w:eastAsia="Times New Roman" w:hAnsi="Times New Roman" w:cs="Times New Roman"/>
          <w:kern w:val="3"/>
          <w:sz w:val="24"/>
          <w:szCs w:val="24"/>
          <w:lang w:eastAsia="pl-PL"/>
          <w14:ligatures w14:val="none"/>
        </w:rPr>
        <w:t>h</w:t>
      </w:r>
      <w:r w:rsidRPr="002B56D8">
        <w:rPr>
          <w:rFonts w:ascii="Times New Roman" w:eastAsia="Times New Roman" w:hAnsi="Times New Roman" w:cs="Times New Roman"/>
          <w:kern w:val="3"/>
          <w:sz w:val="24"/>
          <w:szCs w:val="24"/>
          <w:lang w:eastAsia="pl-PL"/>
          <w14:ligatures w14:val="none"/>
        </w:rPr>
        <w:t>azardowych dostępn</w:t>
      </w:r>
      <w:r w:rsidR="00477B36">
        <w:rPr>
          <w:rFonts w:ascii="Times New Roman" w:eastAsia="Times New Roman" w:hAnsi="Times New Roman" w:cs="Times New Roman"/>
          <w:kern w:val="3"/>
          <w:sz w:val="24"/>
          <w:szCs w:val="24"/>
          <w:lang w:eastAsia="pl-PL"/>
          <w14:ligatures w14:val="none"/>
        </w:rPr>
        <w:t>ego</w:t>
      </w:r>
      <w:r w:rsidRPr="002B56D8">
        <w:rPr>
          <w:rFonts w:ascii="Times New Roman" w:eastAsia="Times New Roman" w:hAnsi="Times New Roman" w:cs="Times New Roman"/>
          <w:kern w:val="3"/>
          <w:sz w:val="24"/>
          <w:szCs w:val="24"/>
          <w:lang w:eastAsia="pl-PL"/>
          <w14:ligatures w14:val="none"/>
        </w:rPr>
        <w:t xml:space="preserve"> na stronie hazard.mf.gov.pl. Wpisowi do rejestru podlega nazwa domeny internetowej, która </w:t>
      </w:r>
      <w:r w:rsidR="00924F45" w:rsidRPr="002B56D8">
        <w:rPr>
          <w:rFonts w:ascii="Times New Roman" w:eastAsia="Times New Roman" w:hAnsi="Times New Roman" w:cs="Times New Roman"/>
          <w:kern w:val="3"/>
          <w:sz w:val="24"/>
          <w:szCs w:val="24"/>
          <w:lang w:eastAsia="pl-PL"/>
          <w14:ligatures w14:val="none"/>
        </w:rPr>
        <w:t xml:space="preserve">jest </w:t>
      </w:r>
      <w:r w:rsidRPr="002B56D8">
        <w:rPr>
          <w:rFonts w:ascii="Times New Roman" w:eastAsia="Times New Roman" w:hAnsi="Times New Roman" w:cs="Times New Roman"/>
          <w:kern w:val="3"/>
          <w:sz w:val="24"/>
          <w:szCs w:val="24"/>
          <w:lang w:eastAsia="pl-PL"/>
          <w14:ligatures w14:val="none"/>
        </w:rPr>
        <w:t>wykorzystywana do urządzania gier hazardowych</w:t>
      </w:r>
      <w:r w:rsidR="00924F45">
        <w:rPr>
          <w:rFonts w:ascii="Times New Roman" w:eastAsia="Times New Roman" w:hAnsi="Times New Roman" w:cs="Times New Roman"/>
          <w:kern w:val="3"/>
          <w:sz w:val="24"/>
          <w:szCs w:val="24"/>
          <w:lang w:eastAsia="pl-PL"/>
          <w14:ligatures w14:val="none"/>
        </w:rPr>
        <w:t>,</w:t>
      </w:r>
      <w:r w:rsidRPr="002B56D8">
        <w:rPr>
          <w:rFonts w:ascii="Times New Roman" w:eastAsia="Times New Roman" w:hAnsi="Times New Roman" w:cs="Times New Roman"/>
          <w:kern w:val="3"/>
          <w:sz w:val="24"/>
          <w:szCs w:val="24"/>
          <w:lang w:eastAsia="pl-PL"/>
          <w14:ligatures w14:val="none"/>
        </w:rPr>
        <w:t xml:space="preserve"> lub służącej do reklamowania lub promowania gier hazardowych niezgodnie z przepisami prawa dostępnej dla znajdujących się na terytorium Rzeczypospolitej Polskiej użytkowników sieci </w:t>
      </w:r>
      <w:proofErr w:type="spellStart"/>
      <w:r w:rsidR="00924F45">
        <w:rPr>
          <w:rFonts w:ascii="Times New Roman" w:eastAsia="Times New Roman" w:hAnsi="Times New Roman" w:cs="Times New Roman"/>
          <w:kern w:val="3"/>
          <w:sz w:val="24"/>
          <w:szCs w:val="24"/>
          <w:lang w:eastAsia="pl-PL"/>
          <w14:ligatures w14:val="none"/>
        </w:rPr>
        <w:t>i</w:t>
      </w:r>
      <w:r w:rsidRPr="002B56D8">
        <w:rPr>
          <w:rFonts w:ascii="Times New Roman" w:eastAsia="Times New Roman" w:hAnsi="Times New Roman" w:cs="Times New Roman"/>
          <w:kern w:val="3"/>
          <w:sz w:val="24"/>
          <w:szCs w:val="24"/>
          <w:lang w:eastAsia="pl-PL"/>
          <w14:ligatures w14:val="none"/>
        </w:rPr>
        <w:t>nternet</w:t>
      </w:r>
      <w:proofErr w:type="spellEnd"/>
      <w:r w:rsidRPr="002B56D8">
        <w:rPr>
          <w:rFonts w:ascii="Times New Roman" w:eastAsia="Times New Roman" w:hAnsi="Times New Roman" w:cs="Times New Roman"/>
          <w:kern w:val="3"/>
          <w:sz w:val="24"/>
          <w:szCs w:val="24"/>
          <w:lang w:eastAsia="pl-PL"/>
          <w14:ligatures w14:val="none"/>
        </w:rPr>
        <w:t>. Zakresy zastosowania obu regulacji mają zatem charakter rozłączny.</w:t>
      </w:r>
    </w:p>
    <w:p w14:paraId="5284D83F" w14:textId="4D8326AB" w:rsidR="00A00DF8" w:rsidRPr="002B56D8" w:rsidRDefault="00A00DF8" w:rsidP="00EC620A">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Projekt ustawy uprawnia prokuratora, Policję, organ Krajowej Administracji Skarbowej, Straż Graniczną w zakresie przestępstw określonych w art. 189a (handel ludźmi), art. 264 § 2–4 (nielegalne przekroczenie granicy) oraz art. 264</w:t>
      </w:r>
      <w:proofErr w:type="gramStart"/>
      <w:r w:rsidRPr="002B56D8">
        <w:rPr>
          <w:rFonts w:ascii="Times New Roman" w:eastAsia="Times New Roman" w:hAnsi="Times New Roman" w:cs="Times New Roman"/>
          <w:kern w:val="3"/>
          <w:sz w:val="24"/>
          <w:szCs w:val="24"/>
          <w:lang w:eastAsia="pl-PL"/>
          <w14:ligatures w14:val="none"/>
        </w:rPr>
        <w:t>a  (</w:t>
      </w:r>
      <w:proofErr w:type="gramEnd"/>
      <w:r w:rsidRPr="002B56D8">
        <w:rPr>
          <w:rFonts w:ascii="Times New Roman" w:eastAsia="Times New Roman" w:hAnsi="Times New Roman" w:cs="Times New Roman"/>
          <w:kern w:val="3"/>
          <w:sz w:val="24"/>
          <w:szCs w:val="24"/>
          <w:lang w:eastAsia="pl-PL"/>
          <w14:ligatures w14:val="none"/>
        </w:rPr>
        <w:t xml:space="preserve">umożliwienie nielegalnego pobytu na terytorium RP) </w:t>
      </w:r>
      <w:r w:rsidR="001703CA" w:rsidRPr="00AE179F">
        <w:rPr>
          <w:rFonts w:ascii="Times New Roman" w:eastAsia="Times New Roman" w:hAnsi="Times New Roman" w:cs="Times New Roman"/>
          <w:kern w:val="3"/>
          <w:sz w:val="24"/>
          <w:szCs w:val="24"/>
          <w:lang w:eastAsia="pl-PL"/>
          <w14:ligatures w14:val="none"/>
        </w:rPr>
        <w:t xml:space="preserve">ustawy z dnia 6 czerwca 1997 r. – </w:t>
      </w:r>
      <w:r w:rsidR="001703CA" w:rsidRPr="002B56D8">
        <w:rPr>
          <w:rFonts w:ascii="Times New Roman" w:eastAsia="Times New Roman" w:hAnsi="Times New Roman" w:cs="Times New Roman"/>
          <w:kern w:val="3"/>
          <w:sz w:val="24"/>
          <w:szCs w:val="24"/>
          <w:lang w:eastAsia="pl-PL"/>
          <w14:ligatures w14:val="none"/>
        </w:rPr>
        <w:t>Kodeks karn</w:t>
      </w:r>
      <w:r w:rsidR="001703CA">
        <w:rPr>
          <w:rFonts w:ascii="Times New Roman" w:eastAsia="Times New Roman" w:hAnsi="Times New Roman" w:cs="Times New Roman"/>
          <w:kern w:val="3"/>
          <w:sz w:val="24"/>
          <w:szCs w:val="24"/>
          <w:lang w:eastAsia="pl-PL"/>
          <w14:ligatures w14:val="none"/>
        </w:rPr>
        <w:t xml:space="preserve">y (Dz. U. z 2025 r. poz. </w:t>
      </w:r>
      <w:r w:rsidR="001703CA" w:rsidRPr="001703CA">
        <w:rPr>
          <w:rFonts w:ascii="Times New Roman" w:eastAsia="Times New Roman" w:hAnsi="Times New Roman" w:cs="Times New Roman"/>
          <w:kern w:val="3"/>
          <w:sz w:val="24"/>
          <w:szCs w:val="24"/>
          <w:lang w:eastAsia="pl-PL"/>
          <w14:ligatures w14:val="none"/>
        </w:rPr>
        <w:t>poz. 383</w:t>
      </w:r>
      <w:r w:rsidR="001703CA">
        <w:rPr>
          <w:rFonts w:ascii="Times New Roman" w:eastAsia="Times New Roman" w:hAnsi="Times New Roman" w:cs="Times New Roman"/>
          <w:kern w:val="3"/>
          <w:sz w:val="24"/>
          <w:szCs w:val="24"/>
          <w:lang w:eastAsia="pl-PL"/>
          <w14:ligatures w14:val="none"/>
        </w:rPr>
        <w:t xml:space="preserve">, z późn. zm.), </w:t>
      </w:r>
      <w:r w:rsidRPr="002B56D8">
        <w:rPr>
          <w:rFonts w:ascii="Times New Roman" w:eastAsia="Times New Roman" w:hAnsi="Times New Roman" w:cs="Times New Roman"/>
          <w:kern w:val="3"/>
          <w:sz w:val="24"/>
          <w:szCs w:val="24"/>
          <w:lang w:eastAsia="pl-PL"/>
          <w14:ligatures w14:val="none"/>
        </w:rPr>
        <w:t>usługobiorc</w:t>
      </w:r>
      <w:r w:rsidRPr="002B56D8">
        <w:rPr>
          <w:rFonts w:ascii="Times New Roman" w:eastAsia="MS Mincho" w:hAnsi="Times New Roman" w:cs="Times New Roman"/>
          <w:kern w:val="0"/>
          <w:sz w:val="24"/>
          <w:szCs w:val="24"/>
          <w:lang w:eastAsia="pl-PL"/>
          <w14:ligatures w14:val="none"/>
        </w:rPr>
        <w:t xml:space="preserve">ę oraz uprawnionego z tytułu praw autorskich lub praw pokrewnych </w:t>
      </w:r>
      <w:r w:rsidRPr="002B56D8">
        <w:rPr>
          <w:rFonts w:ascii="Times New Roman" w:eastAsia="Times New Roman" w:hAnsi="Times New Roman" w:cs="Times New Roman"/>
          <w:kern w:val="3"/>
          <w:sz w:val="24"/>
          <w:szCs w:val="24"/>
          <w:lang w:eastAsia="pl-PL"/>
          <w14:ligatures w14:val="none"/>
        </w:rPr>
        <w:t xml:space="preserve">do złożenia wniosku o wydanie nakazu podjęcia działań przeciwko nielegalnym treściom polegającego na uniemożliwieniu dostępu do nielegalnych treści występujących w usłudze świadczonej przez dostawcę usług pośrednich, których rozpowszechnianie może wyczerpywać znamiona czynu zabronionego, a także nawołujących do popełnienia czynu zabronionego. W projekcie </w:t>
      </w:r>
      <w:r w:rsidR="002B4B75" w:rsidRPr="002B56D8">
        <w:rPr>
          <w:rFonts w:ascii="Times New Roman" w:eastAsia="Times New Roman" w:hAnsi="Times New Roman" w:cs="Times New Roman"/>
          <w:kern w:val="3"/>
          <w:sz w:val="24"/>
          <w:szCs w:val="24"/>
          <w:lang w:eastAsia="pl-PL"/>
          <w14:ligatures w14:val="none"/>
        </w:rPr>
        <w:t xml:space="preserve">zostały enumeratywnie </w:t>
      </w:r>
      <w:r w:rsidRPr="002B56D8">
        <w:rPr>
          <w:rFonts w:ascii="Times New Roman" w:eastAsia="Times New Roman" w:hAnsi="Times New Roman" w:cs="Times New Roman"/>
          <w:kern w:val="3"/>
          <w:sz w:val="24"/>
          <w:szCs w:val="24"/>
          <w:lang w:eastAsia="pl-PL"/>
          <w14:ligatures w14:val="none"/>
        </w:rPr>
        <w:t>wymienione czyny zabronione, których dotyczy procedura nakazowa:</w:t>
      </w:r>
    </w:p>
    <w:p w14:paraId="4D68D5FB" w14:textId="3B6F58F8"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art. 119 § 1 Kodeksu karnego, który dotyczy stosowania przemocy lub groźby </w:t>
      </w:r>
      <w:r w:rsidR="003E77B7">
        <w:rPr>
          <w:rFonts w:ascii="Times New Roman" w:eastAsia="Calibri" w:hAnsi="Times New Roman" w:cs="Times New Roman"/>
          <w:kern w:val="3"/>
          <w:sz w:val="24"/>
          <w:szCs w:val="24"/>
          <w14:ligatures w14:val="none"/>
        </w:rPr>
        <w:t>bezprawnej</w:t>
      </w:r>
      <w:r w:rsidR="003E77B7" w:rsidRPr="002B56D8">
        <w:rPr>
          <w:rFonts w:ascii="Times New Roman" w:eastAsia="Calibri" w:hAnsi="Times New Roman" w:cs="Times New Roman"/>
          <w:kern w:val="3"/>
          <w:sz w:val="24"/>
          <w:szCs w:val="24"/>
          <w14:ligatures w14:val="none"/>
        </w:rPr>
        <w:t xml:space="preserve"> </w:t>
      </w:r>
      <w:r w:rsidRPr="002B56D8">
        <w:rPr>
          <w:rFonts w:ascii="Times New Roman" w:eastAsia="Calibri" w:hAnsi="Times New Roman" w:cs="Times New Roman"/>
          <w:kern w:val="3"/>
          <w:sz w:val="24"/>
          <w:szCs w:val="24"/>
          <w14:ligatures w14:val="none"/>
        </w:rPr>
        <w:t>ze względu na rasę, pochodzenie narodowe lub etniczne, wyznanie bądź bezwyznaniowość i przynależność polityczną. Może obejmować groźby i nękanie w mediach społecznościowych lub innych platformach internetowych;</w:t>
      </w:r>
    </w:p>
    <w:p w14:paraId="49E5EA01" w14:textId="39B4FCAF"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148a § 1 Kodeksu karnego, który dotyczy przyjęcia zleceni</w:t>
      </w:r>
      <w:r w:rsidR="003E77B7">
        <w:rPr>
          <w:rFonts w:ascii="Times New Roman" w:eastAsia="Calibri" w:hAnsi="Times New Roman" w:cs="Times New Roman"/>
          <w:kern w:val="3"/>
          <w:sz w:val="24"/>
          <w:szCs w:val="24"/>
          <w14:ligatures w14:val="none"/>
        </w:rPr>
        <w:t>a</w:t>
      </w:r>
      <w:r w:rsidRPr="002B56D8">
        <w:rPr>
          <w:rFonts w:ascii="Times New Roman" w:eastAsia="Calibri" w:hAnsi="Times New Roman" w:cs="Times New Roman"/>
          <w:kern w:val="3"/>
          <w:sz w:val="24"/>
          <w:szCs w:val="24"/>
          <w14:ligatures w14:val="none"/>
        </w:rPr>
        <w:t xml:space="preserve"> zabójstwa człowieka w zamian za udzieloną lub obiecaną korzyść majątkową lub osobistą;</w:t>
      </w:r>
    </w:p>
    <w:p w14:paraId="144F10D1"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151 Kodeksu karnego, który obejmuje namowę lub pomoc w doprowadzeniu do samobójstwa. Może obejmować cyberbullying, namawianie do samobójstwa w ramach platform społecznościowych, co jest szczególnie niebezpieczne w odniesieniu do młodych użytkowników sieci;</w:t>
      </w:r>
    </w:p>
    <w:p w14:paraId="3844DD58"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156a Kodeksu karnego, który dotyczy nakłaniania innej osoby do spowodowania u niej ciężkiego uszczerbku na zdrowiu;</w:t>
      </w:r>
    </w:p>
    <w:p w14:paraId="44EC5462"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189a Kodeksu karnego, który dotyczy handlu ludźmi, którego elementem może być werbunek za pośrednictwem usług świadczonych przez dostawców usług pośrednich;</w:t>
      </w:r>
    </w:p>
    <w:p w14:paraId="396DFE28" w14:textId="33FEF16F"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lastRenderedPageBreak/>
        <w:t xml:space="preserve">art. 190 § 1 Kodeksu karnego, który dotyczy stosowania groźby </w:t>
      </w:r>
      <w:r w:rsidR="005C1C75">
        <w:rPr>
          <w:rFonts w:ascii="Times New Roman" w:eastAsia="Calibri" w:hAnsi="Times New Roman" w:cs="Times New Roman"/>
          <w:kern w:val="3"/>
          <w:sz w:val="24"/>
          <w:szCs w:val="24"/>
          <w14:ligatures w14:val="none"/>
        </w:rPr>
        <w:t>bezprawnej</w:t>
      </w:r>
      <w:r w:rsidRPr="002B56D8">
        <w:rPr>
          <w:rFonts w:ascii="Times New Roman" w:eastAsia="Calibri" w:hAnsi="Times New Roman" w:cs="Times New Roman"/>
          <w:kern w:val="3"/>
          <w:sz w:val="24"/>
          <w:szCs w:val="24"/>
          <w14:ligatures w14:val="none"/>
        </w:rPr>
        <w:t xml:space="preserve">, tj. popełnienia przestępstwa na szkodę osoby lub </w:t>
      </w:r>
      <w:r w:rsidR="005C1C75" w:rsidRPr="005C1C75">
        <w:rPr>
          <w:rFonts w:ascii="Times New Roman" w:eastAsia="Calibri" w:hAnsi="Times New Roman" w:cs="Times New Roman"/>
          <w:kern w:val="3"/>
          <w:sz w:val="24"/>
          <w:szCs w:val="24"/>
          <w14:ligatures w14:val="none"/>
        </w:rPr>
        <w:t>osoby dla niej najbliższej</w:t>
      </w:r>
      <w:r w:rsidRPr="002B56D8">
        <w:rPr>
          <w:rFonts w:ascii="Times New Roman" w:eastAsia="Calibri" w:hAnsi="Times New Roman" w:cs="Times New Roman"/>
          <w:kern w:val="3"/>
          <w:sz w:val="24"/>
          <w:szCs w:val="24"/>
          <w14:ligatures w14:val="none"/>
        </w:rPr>
        <w:t>. W kontekście możliwości popełnienia tego przestępstwa online będzie to obejmowało wiadomości umieszczane w ramach portali społecznościowych;</w:t>
      </w:r>
    </w:p>
    <w:p w14:paraId="4BBC141B" w14:textId="78E85AD1"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190a § 2 Kodeksu karnego, który obejmuje wykorzystanie wizerunku pokrzywdzonego, tak jakby uczynił to on sam w swoim imieniu, przez co wyrządza jej szkodę majątkową lub osobistą;</w:t>
      </w:r>
    </w:p>
    <w:p w14:paraId="095C25E8"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191a § 1 Kodeksu karnego, który obejmuje utrwalanie wizerunku nagiej osoby lub osoby w trakcie czynności seksualnej, używając w tym celu wobec niej przemocy, groźby bezprawnej lub podstępu, albo rozpowszechnianie wizerunku nagiej osoby lub osoby w trakcie czynności seksualnej bez jej zgody; </w:t>
      </w:r>
    </w:p>
    <w:p w14:paraId="2F26DD72" w14:textId="5681015F"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art. 200 § 3 i 5 Kodeksu karnego, który dotyczy </w:t>
      </w:r>
      <w:r w:rsidR="0090178B">
        <w:rPr>
          <w:rFonts w:ascii="Times New Roman" w:eastAsia="Calibri" w:hAnsi="Times New Roman" w:cs="Times New Roman"/>
          <w:kern w:val="3"/>
          <w:sz w:val="24"/>
          <w:szCs w:val="24"/>
          <w14:ligatures w14:val="none"/>
        </w:rPr>
        <w:t xml:space="preserve">m.in. </w:t>
      </w:r>
      <w:r w:rsidRPr="002B56D8">
        <w:rPr>
          <w:rFonts w:ascii="Times New Roman" w:eastAsia="Calibri" w:hAnsi="Times New Roman" w:cs="Times New Roman"/>
          <w:kern w:val="3"/>
          <w:sz w:val="24"/>
          <w:szCs w:val="24"/>
          <w14:ligatures w14:val="none"/>
        </w:rPr>
        <w:t>prezentowania małoletniemu poniżej lat</w:t>
      </w:r>
      <w:r w:rsidR="00EA7A4A">
        <w:rPr>
          <w:rFonts w:ascii="Times New Roman" w:eastAsia="Calibri" w:hAnsi="Times New Roman" w:cs="Times New Roman"/>
          <w:kern w:val="3"/>
          <w:sz w:val="24"/>
          <w:szCs w:val="24"/>
          <w14:ligatures w14:val="none"/>
        </w:rPr>
        <w:t> </w:t>
      </w:r>
      <w:r w:rsidRPr="002B56D8">
        <w:rPr>
          <w:rFonts w:ascii="Times New Roman" w:eastAsia="Calibri" w:hAnsi="Times New Roman" w:cs="Times New Roman"/>
          <w:kern w:val="3"/>
          <w:sz w:val="24"/>
          <w:szCs w:val="24"/>
          <w14:ligatures w14:val="none"/>
        </w:rPr>
        <w:t>15 treści pornograficznych albo rozpowszechniania treści pornograficznych w sposób umożliwiający takiemu małoletniemu zapoznanie się z nimi;</w:t>
      </w:r>
    </w:p>
    <w:p w14:paraId="010A1FAE" w14:textId="45FB30CC"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200a Kodeksu karnego, który dotyczy nawiązywania kontaktu z małoletnim poniżej 15 lat, za pośrednictwem systemu teleinformatycznego lub sieci telekomunikacyjnej, w celu popełnienia przestępstwa seksualnego. Obejmuje on grooming, czyli nawiązywanie kontaktu z dziećmi przez internet w celu wykorzystania seksualnego;</w:t>
      </w:r>
    </w:p>
    <w:p w14:paraId="7C6E11B3" w14:textId="4CB976CB"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art. 200b Kodeksu karnego, który dotyczy publicznego propagowania lub pochwalania </w:t>
      </w:r>
      <w:proofErr w:type="spellStart"/>
      <w:r w:rsidRPr="002B56D8">
        <w:rPr>
          <w:rFonts w:ascii="Times New Roman" w:eastAsia="Calibri" w:hAnsi="Times New Roman" w:cs="Times New Roman"/>
          <w:kern w:val="3"/>
          <w:sz w:val="24"/>
          <w:szCs w:val="24"/>
          <w14:ligatures w14:val="none"/>
        </w:rPr>
        <w:t>zachowań</w:t>
      </w:r>
      <w:proofErr w:type="spellEnd"/>
      <w:r w:rsidRPr="002B56D8">
        <w:rPr>
          <w:rFonts w:ascii="Times New Roman" w:eastAsia="Calibri" w:hAnsi="Times New Roman" w:cs="Times New Roman"/>
          <w:kern w:val="3"/>
          <w:sz w:val="24"/>
          <w:szCs w:val="24"/>
          <w14:ligatures w14:val="none"/>
        </w:rPr>
        <w:t xml:space="preserve"> o charakterze pedofilskim. Obejmuje on publikowanie treści pedofilskich;</w:t>
      </w:r>
    </w:p>
    <w:p w14:paraId="25AA08C6" w14:textId="710B2B8A"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art. 202 § 1, 3–4c Kodeksu karnego, który dotyczy </w:t>
      </w:r>
      <w:r w:rsidR="00DA138B">
        <w:rPr>
          <w:rFonts w:ascii="Times New Roman" w:eastAsia="Calibri" w:hAnsi="Times New Roman" w:cs="Times New Roman"/>
          <w:kern w:val="3"/>
          <w:sz w:val="24"/>
          <w:szCs w:val="24"/>
          <w14:ligatures w14:val="none"/>
        </w:rPr>
        <w:t xml:space="preserve">w szczególności </w:t>
      </w:r>
      <w:r w:rsidRPr="002B56D8">
        <w:rPr>
          <w:rFonts w:ascii="Times New Roman" w:eastAsia="Calibri" w:hAnsi="Times New Roman" w:cs="Times New Roman"/>
          <w:kern w:val="3"/>
          <w:sz w:val="24"/>
          <w:szCs w:val="24"/>
          <w14:ligatures w14:val="none"/>
        </w:rPr>
        <w:t>publicznego prezentowania, produkcji, rozpowszechniania, przechowywania treści pornograficznych, zwłaszcza z udziałem małoletnich. W kontekście możliwości popełnienia tego przestępstwa obejmuje on dystrybucję pornografii dziecięcej przez internet, przechowywanie takich treści na serwerach;</w:t>
      </w:r>
    </w:p>
    <w:p w14:paraId="071F65FB" w14:textId="2E1E6F62"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224a Kodeksu karnego, który dotyczy zawiadomieni</w:t>
      </w:r>
      <w:r w:rsidR="00EA7A4A">
        <w:rPr>
          <w:rFonts w:ascii="Times New Roman" w:eastAsia="Calibri" w:hAnsi="Times New Roman" w:cs="Times New Roman"/>
          <w:kern w:val="3"/>
          <w:sz w:val="24"/>
          <w:szCs w:val="24"/>
          <w14:ligatures w14:val="none"/>
        </w:rPr>
        <w:t>a</w:t>
      </w:r>
      <w:r w:rsidRPr="002B56D8">
        <w:rPr>
          <w:rFonts w:ascii="Times New Roman" w:eastAsia="Calibri" w:hAnsi="Times New Roman" w:cs="Times New Roman"/>
          <w:kern w:val="3"/>
          <w:sz w:val="24"/>
          <w:szCs w:val="24"/>
          <w14:ligatures w14:val="none"/>
        </w:rPr>
        <w:t xml:space="preserve"> o nieistniejącym zagrożeniu, wywołującego działania instytucji publicznych. Obejmuje on rozsyłanie fałszywych alarmów bombowych przez media społecznościowe;</w:t>
      </w:r>
    </w:p>
    <w:p w14:paraId="5A97FDB0" w14:textId="60A3BC38"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256 § 1–2 Kodeksu karnego, który dotyczy przestępstw związanych z propagowaniem totalitarnych ideologii (nazizmu, komunizmu, faszyzmu lub innego ustroju totalitarnego) oraz nawoływani</w:t>
      </w:r>
      <w:r w:rsidR="002C6D7F">
        <w:rPr>
          <w:rFonts w:ascii="Times New Roman" w:eastAsia="Calibri" w:hAnsi="Times New Roman" w:cs="Times New Roman"/>
          <w:kern w:val="3"/>
          <w:sz w:val="24"/>
          <w:szCs w:val="24"/>
          <w14:ligatures w14:val="none"/>
        </w:rPr>
        <w:t>a</w:t>
      </w:r>
      <w:r w:rsidRPr="002B56D8">
        <w:rPr>
          <w:rFonts w:ascii="Times New Roman" w:eastAsia="Calibri" w:hAnsi="Times New Roman" w:cs="Times New Roman"/>
          <w:kern w:val="3"/>
          <w:sz w:val="24"/>
          <w:szCs w:val="24"/>
          <w14:ligatures w14:val="none"/>
        </w:rPr>
        <w:t xml:space="preserve"> do nienawiści na tle różnic narodowościowych, etnicznych, rasowych, wyznaniowych albo ze względu na bezwyznaniowość. Obejmuje on treści propagujące totalitaryzm w internecie, zachęcanie do aktów przemocy, może obejmować tworzenie </w:t>
      </w:r>
      <w:r w:rsidRPr="002B56D8">
        <w:rPr>
          <w:rFonts w:ascii="Times New Roman" w:eastAsia="Calibri" w:hAnsi="Times New Roman" w:cs="Times New Roman"/>
          <w:kern w:val="3"/>
          <w:sz w:val="24"/>
          <w:szCs w:val="24"/>
          <w14:ligatures w14:val="none"/>
        </w:rPr>
        <w:lastRenderedPageBreak/>
        <w:t>i udostępnianie plików cyfrowych (np. zdjęć, filmów, dokumentów) zawierających takie treści;</w:t>
      </w:r>
    </w:p>
    <w:p w14:paraId="13EC28EC" w14:textId="03294E33"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257 Kodeksu karnego, który dotyczy publicznego znieważenia grupy ludności albo osoby lub naruszenia nietykalności cielesnej osoby z powodu przynależności narodowej, etnicznej, rasowej, wyznaniowej. Obejmuje on mowę nienawiści w mediach społecznościowych;</w:t>
      </w:r>
    </w:p>
    <w:p w14:paraId="65EAB35C" w14:textId="0478A456"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264 § 2</w:t>
      </w:r>
      <w:r w:rsidR="00C91298">
        <w:rPr>
          <w:rFonts w:ascii="Times New Roman" w:eastAsia="Calibri" w:hAnsi="Times New Roman" w:cs="Times New Roman"/>
          <w:kern w:val="3"/>
          <w:sz w:val="24"/>
          <w:szCs w:val="24"/>
          <w14:ligatures w14:val="none"/>
        </w:rPr>
        <w:t>–</w:t>
      </w:r>
      <w:r w:rsidRPr="002B56D8">
        <w:rPr>
          <w:rFonts w:ascii="Times New Roman" w:eastAsia="Calibri" w:hAnsi="Times New Roman" w:cs="Times New Roman"/>
          <w:kern w:val="3"/>
          <w:sz w:val="24"/>
          <w:szCs w:val="24"/>
          <w14:ligatures w14:val="none"/>
        </w:rPr>
        <w:t>4 (nielegalne przekroczenie granicy) i art. 264a Kodeksu karnego (umożliwienie nielegalnego pobytu na terytorium RP). Wykorzystywanie w tym zakresie różnorodnych platform internetowych jest zjawiskiem powszechnym, a istniejące mechanizmy pozwalające na ich zwalczanie są aktualnie niewystarczające i nieefektywne;</w:t>
      </w:r>
    </w:p>
    <w:p w14:paraId="77EFB127"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art. 286 § 1 i 2 Kodeksu karnego, który dotyczy doprowadzenia do niekorzystnego rozporządzenia mieniem przez wprowadzenie w błąd. Obejmuje on </w:t>
      </w:r>
      <w:proofErr w:type="spellStart"/>
      <w:r w:rsidRPr="002B56D8">
        <w:rPr>
          <w:rFonts w:ascii="Times New Roman" w:eastAsia="Calibri" w:hAnsi="Times New Roman" w:cs="Times New Roman"/>
          <w:kern w:val="3"/>
          <w:sz w:val="24"/>
          <w:szCs w:val="24"/>
          <w14:ligatures w14:val="none"/>
        </w:rPr>
        <w:t>phishing</w:t>
      </w:r>
      <w:proofErr w:type="spellEnd"/>
      <w:r w:rsidRPr="002B56D8">
        <w:rPr>
          <w:rFonts w:ascii="Times New Roman" w:eastAsia="Calibri" w:hAnsi="Times New Roman" w:cs="Times New Roman"/>
          <w:kern w:val="3"/>
          <w:sz w:val="24"/>
          <w:szCs w:val="24"/>
          <w14:ligatures w14:val="none"/>
        </w:rPr>
        <w:t>, oszustwa na platformach sprzedażowych;</w:t>
      </w:r>
    </w:p>
    <w:p w14:paraId="416C121D"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art. 287 § 1 Kodeksu karnego, który dotyczy oszustwa komputerowego. Obejmuje on działania polegające na bezprawnym wpływie na automatyczne przetwarzanie, gromadzenie lub przekazywanie danych informatycznych, a także na zmianie, usuwaniu lub wprowadzaniu nowych zapisów danych informatycznych, w celu osiągnięcia korzyści majątkowej lub wyrządzenia szkody; </w:t>
      </w:r>
    </w:p>
    <w:p w14:paraId="69FFC091"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116 ustawy z dnia 4 lutego 1994 r. o prawie autorskim i prawach pokrewnych (Dz. U. z 2025 r. poz. 24), który dotyczy naruszenia praw autorskich przez rozpowszechnianie utworów bez zgody autora. W ramach tego artykułu mieści się udostępnianie pirackich kopii filmów, muzyki, książek w ramach usług świadczonych przez dostawców usług pośrednich;</w:t>
      </w:r>
    </w:p>
    <w:p w14:paraId="138B794F" w14:textId="77777777"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art. 12c pkt 5 ustawy z dnia 9 listopada 1995 r. o ochronie zdrowia przed następstwami używania tytoniu i wyrobów tytoniowych (Dz. U. z 2024 r. poz. 1162, z późn. zm.), który obejmuje sprzedaż przez Internet wyrobów tytoniowych, papierosów elektronicznych i pojemników zapasowych oraz ich części, a także woreczków nikotynowych; </w:t>
      </w:r>
    </w:p>
    <w:p w14:paraId="68B97E20" w14:textId="308D1A9E" w:rsidR="00A00DF8" w:rsidRPr="002B56D8" w:rsidRDefault="00A00DF8" w:rsidP="00102EEE">
      <w:pPr>
        <w:numPr>
          <w:ilvl w:val="0"/>
          <w:numId w:val="1"/>
        </w:numPr>
        <w:suppressAutoHyphens/>
        <w:autoSpaceDE w:val="0"/>
        <w:autoSpaceDN w:val="0"/>
        <w:adjustRightInd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art. 305 ustawy z dnia 30 czerwca 2000 r. – Prawo własności przemysłowej (Dz. U. z</w:t>
      </w:r>
      <w:r w:rsidR="00EA7A4A">
        <w:rPr>
          <w:rFonts w:ascii="Times New Roman" w:eastAsia="Calibri" w:hAnsi="Times New Roman" w:cs="Times New Roman"/>
          <w:kern w:val="3"/>
          <w:sz w:val="24"/>
          <w:szCs w:val="24"/>
          <w14:ligatures w14:val="none"/>
        </w:rPr>
        <w:t> </w:t>
      </w:r>
      <w:r w:rsidRPr="002B56D8">
        <w:rPr>
          <w:rFonts w:ascii="Times New Roman" w:eastAsia="Calibri" w:hAnsi="Times New Roman" w:cs="Times New Roman"/>
          <w:kern w:val="3"/>
          <w:sz w:val="24"/>
          <w:szCs w:val="24"/>
          <w14:ligatures w14:val="none"/>
        </w:rPr>
        <w:t>2023</w:t>
      </w:r>
      <w:r w:rsidR="00EA7A4A">
        <w:rPr>
          <w:rFonts w:ascii="Times New Roman" w:eastAsia="Calibri" w:hAnsi="Times New Roman" w:cs="Times New Roman"/>
          <w:kern w:val="3"/>
          <w:sz w:val="24"/>
          <w:szCs w:val="24"/>
          <w14:ligatures w14:val="none"/>
        </w:rPr>
        <w:t> </w:t>
      </w:r>
      <w:r w:rsidRPr="002B56D8">
        <w:rPr>
          <w:rFonts w:ascii="Times New Roman" w:eastAsia="Calibri" w:hAnsi="Times New Roman" w:cs="Times New Roman"/>
          <w:kern w:val="3"/>
          <w:sz w:val="24"/>
          <w:szCs w:val="24"/>
          <w14:ligatures w14:val="none"/>
        </w:rPr>
        <w:t>r. poz. 1170), który dotyczy obrotu towarami oznaczonymi podrobionymi znakami towarowymi.</w:t>
      </w:r>
    </w:p>
    <w:p w14:paraId="2F2874D5" w14:textId="3042FD49" w:rsidR="00A00DF8" w:rsidRPr="002B56D8" w:rsidRDefault="00A00DF8" w:rsidP="00102EEE">
      <w:pPr>
        <w:suppressAutoHyphens/>
        <w:autoSpaceDN w:val="0"/>
        <w:spacing w:before="120" w:after="0" w:line="360" w:lineRule="auto"/>
        <w:ind w:left="66"/>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Wydanie nakazu może dotyczyć także treści odnoszących się do nielegalnej sprzedaży towarów lub nielegalnego świadczenia usług, które mogą wyczerpywać znamiona czynu </w:t>
      </w:r>
      <w:r w:rsidRPr="002B56D8">
        <w:rPr>
          <w:rFonts w:ascii="Times New Roman" w:eastAsia="Times New Roman" w:hAnsi="Times New Roman" w:cs="Times New Roman"/>
          <w:kern w:val="3"/>
          <w:sz w:val="24"/>
          <w:szCs w:val="24"/>
          <w:lang w:eastAsia="pl-PL"/>
          <w14:ligatures w14:val="none"/>
        </w:rPr>
        <w:lastRenderedPageBreak/>
        <w:t xml:space="preserve">zabronionego określonego w </w:t>
      </w:r>
      <w:r w:rsidR="00F610DB">
        <w:rPr>
          <w:rFonts w:ascii="Times New Roman" w:eastAsia="Times New Roman" w:hAnsi="Times New Roman" w:cs="Times New Roman"/>
          <w:kern w:val="3"/>
          <w:sz w:val="24"/>
          <w:szCs w:val="24"/>
          <w:lang w:eastAsia="pl-PL"/>
          <w14:ligatures w14:val="none"/>
        </w:rPr>
        <w:t xml:space="preserve">art. 54, art. 56, art. 62, art. 63a lub art. 87 </w:t>
      </w:r>
      <w:r w:rsidRPr="002B56D8">
        <w:rPr>
          <w:rFonts w:ascii="Times New Roman" w:eastAsia="Times New Roman" w:hAnsi="Times New Roman" w:cs="Times New Roman"/>
          <w:kern w:val="3"/>
          <w:sz w:val="24"/>
          <w:szCs w:val="24"/>
          <w:lang w:eastAsia="pl-PL"/>
          <w14:ligatures w14:val="none"/>
        </w:rPr>
        <w:t>ustaw</w:t>
      </w:r>
      <w:r w:rsidR="00F610DB">
        <w:rPr>
          <w:rFonts w:ascii="Times New Roman" w:eastAsia="Times New Roman" w:hAnsi="Times New Roman" w:cs="Times New Roman"/>
          <w:kern w:val="3"/>
          <w:sz w:val="24"/>
          <w:szCs w:val="24"/>
          <w:lang w:eastAsia="pl-PL"/>
          <w14:ligatures w14:val="none"/>
        </w:rPr>
        <w:t>y</w:t>
      </w:r>
      <w:r w:rsidRPr="002B56D8">
        <w:rPr>
          <w:rFonts w:ascii="Times New Roman" w:eastAsia="Times New Roman" w:hAnsi="Times New Roman" w:cs="Times New Roman"/>
          <w:kern w:val="3"/>
          <w:sz w:val="24"/>
          <w:szCs w:val="24"/>
          <w:lang w:eastAsia="pl-PL"/>
          <w14:ligatures w14:val="none"/>
        </w:rPr>
        <w:t xml:space="preserve"> z dnia 10 września 1999 r. – Kodeks karny skarbowy</w:t>
      </w:r>
      <w:r w:rsidR="00F610DB">
        <w:rPr>
          <w:rFonts w:ascii="Times New Roman" w:eastAsia="Times New Roman" w:hAnsi="Times New Roman" w:cs="Times New Roman"/>
          <w:kern w:val="3"/>
          <w:sz w:val="24"/>
          <w:szCs w:val="24"/>
          <w:lang w:eastAsia="pl-PL"/>
          <w14:ligatures w14:val="none"/>
        </w:rPr>
        <w:t xml:space="preserve"> (Dz. U. z 2026 r. poz. 347, z późn. zm.)</w:t>
      </w:r>
      <w:r w:rsidRPr="002B56D8">
        <w:rPr>
          <w:rFonts w:ascii="Times New Roman" w:eastAsia="Times New Roman" w:hAnsi="Times New Roman" w:cs="Times New Roman"/>
          <w:kern w:val="3"/>
          <w:sz w:val="24"/>
          <w:szCs w:val="24"/>
          <w:lang w:eastAsia="pl-PL"/>
          <w14:ligatures w14:val="none"/>
        </w:rPr>
        <w:t>.</w:t>
      </w:r>
    </w:p>
    <w:p w14:paraId="3E16D5BD" w14:textId="77777777" w:rsidR="00A00DF8" w:rsidRPr="002B56D8" w:rsidRDefault="00A00DF8" w:rsidP="00EC620A">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Kryteria, które zostały przyjęte przy enumeratywnym odesłaniu do konkretnych czynów zabronionych, są trzy: </w:t>
      </w:r>
    </w:p>
    <w:p w14:paraId="0D127CA5" w14:textId="77777777" w:rsidR="00A00DF8" w:rsidRPr="002B56D8" w:rsidRDefault="00A00DF8" w:rsidP="00102EEE">
      <w:pPr>
        <w:numPr>
          <w:ilvl w:val="0"/>
          <w:numId w:val="2"/>
        </w:numPr>
        <w:suppressAutoHyphens/>
        <w:autoSpaceDE w:val="0"/>
        <w:autoSpaceDN w:val="0"/>
        <w:adjustRightInd w:val="0"/>
        <w:spacing w:after="0" w:line="360" w:lineRule="auto"/>
        <w:ind w:left="397" w:hanging="397"/>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zakwalifikowanie danego przestępstwa jako przestępstwa internetowego rozumianego jako przestępstwo związane z </w:t>
      </w:r>
      <w:proofErr w:type="spellStart"/>
      <w:r w:rsidRPr="002B56D8">
        <w:rPr>
          <w:rFonts w:ascii="Times New Roman" w:eastAsia="Times New Roman" w:hAnsi="Times New Roman" w:cs="Times New Roman"/>
          <w:kern w:val="3"/>
          <w:sz w:val="24"/>
          <w:szCs w:val="24"/>
          <w:lang w:eastAsia="pl-PL"/>
          <w14:ligatures w14:val="none"/>
        </w:rPr>
        <w:t>internetem</w:t>
      </w:r>
      <w:proofErr w:type="spellEnd"/>
      <w:r w:rsidRPr="002B56D8">
        <w:rPr>
          <w:rFonts w:ascii="Times New Roman" w:eastAsia="Times New Roman" w:hAnsi="Times New Roman" w:cs="Times New Roman"/>
          <w:kern w:val="3"/>
          <w:sz w:val="24"/>
          <w:szCs w:val="24"/>
          <w:lang w:eastAsia="pl-PL"/>
          <w14:ligatures w14:val="none"/>
        </w:rPr>
        <w:t xml:space="preserve"> według sposobu działania (modus </w:t>
      </w:r>
      <w:proofErr w:type="spellStart"/>
      <w:r w:rsidRPr="002B56D8">
        <w:rPr>
          <w:rFonts w:ascii="Times New Roman" w:eastAsia="Times New Roman" w:hAnsi="Times New Roman" w:cs="Times New Roman"/>
          <w:kern w:val="3"/>
          <w:sz w:val="24"/>
          <w:szCs w:val="24"/>
          <w:lang w:eastAsia="pl-PL"/>
          <w14:ligatures w14:val="none"/>
        </w:rPr>
        <w:t>operandi</w:t>
      </w:r>
      <w:proofErr w:type="spellEnd"/>
      <w:r w:rsidRPr="002B56D8">
        <w:rPr>
          <w:rFonts w:ascii="Times New Roman" w:eastAsia="Times New Roman" w:hAnsi="Times New Roman" w:cs="Times New Roman"/>
          <w:kern w:val="3"/>
          <w:sz w:val="24"/>
          <w:szCs w:val="24"/>
          <w:lang w:eastAsia="pl-PL"/>
          <w14:ligatures w14:val="none"/>
        </w:rPr>
        <w:t>) sprawcy; </w:t>
      </w:r>
    </w:p>
    <w:p w14:paraId="19447646" w14:textId="77777777" w:rsidR="00A00DF8" w:rsidRPr="002B56D8" w:rsidRDefault="00A00DF8" w:rsidP="00102EEE">
      <w:pPr>
        <w:numPr>
          <w:ilvl w:val="0"/>
          <w:numId w:val="2"/>
        </w:numPr>
        <w:suppressAutoHyphens/>
        <w:autoSpaceDE w:val="0"/>
        <w:autoSpaceDN w:val="0"/>
        <w:adjustRightInd w:val="0"/>
        <w:spacing w:after="0" w:line="360" w:lineRule="auto"/>
        <w:ind w:left="397" w:hanging="397"/>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przestępstwo internetowe jest związane z rozpowszechnianiem treści; </w:t>
      </w:r>
    </w:p>
    <w:p w14:paraId="727A14F9" w14:textId="77777777" w:rsidR="00A00DF8" w:rsidRPr="002B56D8" w:rsidRDefault="00A00DF8" w:rsidP="00102EEE">
      <w:pPr>
        <w:numPr>
          <w:ilvl w:val="0"/>
          <w:numId w:val="2"/>
        </w:numPr>
        <w:suppressAutoHyphens/>
        <w:autoSpaceDE w:val="0"/>
        <w:autoSpaceDN w:val="0"/>
        <w:adjustRightInd w:val="0"/>
        <w:spacing w:after="0" w:line="360" w:lineRule="auto"/>
        <w:ind w:left="397" w:hanging="397"/>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uniemożliwienie dostępu do treści nie powoduje negatywnych skutków dla dyskursu obywatelskiego i procesów wyborczych. </w:t>
      </w:r>
    </w:p>
    <w:p w14:paraId="5083817A" w14:textId="5D56C26C"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Za </w:t>
      </w:r>
      <w:r w:rsidR="000F223D" w:rsidRPr="002B56D8">
        <w:rPr>
          <w:rFonts w:ascii="Times New Roman" w:eastAsia="Times New Roman" w:hAnsi="Times New Roman" w:cs="Times New Roman"/>
          <w:kern w:val="3"/>
          <w:sz w:val="24"/>
          <w:szCs w:val="24"/>
          <w:lang w:eastAsia="pl-PL"/>
          <w14:ligatures w14:val="none"/>
        </w:rPr>
        <w:t xml:space="preserve">właściwe </w:t>
      </w:r>
      <w:r w:rsidRPr="002B56D8">
        <w:rPr>
          <w:rFonts w:ascii="Times New Roman" w:eastAsia="Times New Roman" w:hAnsi="Times New Roman" w:cs="Times New Roman"/>
          <w:kern w:val="3"/>
          <w:sz w:val="24"/>
          <w:szCs w:val="24"/>
          <w:lang w:eastAsia="pl-PL"/>
          <w14:ligatures w14:val="none"/>
        </w:rPr>
        <w:t xml:space="preserve">organy do rozpatrzenia wniosku </w:t>
      </w:r>
      <w:r w:rsidR="000F223D" w:rsidRPr="002B56D8">
        <w:rPr>
          <w:rFonts w:ascii="Times New Roman" w:eastAsia="Times New Roman" w:hAnsi="Times New Roman" w:cs="Times New Roman"/>
          <w:kern w:val="3"/>
          <w:sz w:val="24"/>
          <w:szCs w:val="24"/>
          <w:lang w:eastAsia="pl-PL"/>
          <w14:ligatures w14:val="none"/>
        </w:rPr>
        <w:t xml:space="preserve">zostały </w:t>
      </w:r>
      <w:r w:rsidRPr="002B56D8">
        <w:rPr>
          <w:rFonts w:ascii="Times New Roman" w:eastAsia="Times New Roman" w:hAnsi="Times New Roman" w:cs="Times New Roman"/>
          <w:kern w:val="3"/>
          <w:sz w:val="24"/>
          <w:szCs w:val="24"/>
          <w:lang w:eastAsia="pl-PL"/>
          <w14:ligatures w14:val="none"/>
        </w:rPr>
        <w:t xml:space="preserve">uznane Przewodniczący Krajowej Rady Radiofonii i Telewizji </w:t>
      </w:r>
      <w:r w:rsidR="00AF0A09">
        <w:rPr>
          <w:rFonts w:ascii="Times New Roman" w:eastAsia="Times New Roman" w:hAnsi="Times New Roman" w:cs="Times New Roman"/>
          <w:kern w:val="3"/>
          <w:sz w:val="24"/>
          <w:szCs w:val="24"/>
          <w:lang w:eastAsia="pl-PL"/>
          <w14:ligatures w14:val="none"/>
        </w:rPr>
        <w:t xml:space="preserve">(Przewodniczący KRRiT) </w:t>
      </w:r>
      <w:r w:rsidRPr="002B56D8">
        <w:rPr>
          <w:rFonts w:ascii="Times New Roman" w:eastAsia="Times New Roman" w:hAnsi="Times New Roman" w:cs="Times New Roman"/>
          <w:kern w:val="3"/>
          <w:sz w:val="24"/>
          <w:szCs w:val="24"/>
          <w:lang w:eastAsia="pl-PL"/>
          <w14:ligatures w14:val="none"/>
        </w:rPr>
        <w:t>– w zakresie treści występujących w usłudze platform</w:t>
      </w:r>
      <w:r w:rsidR="000F223D">
        <w:rPr>
          <w:rFonts w:ascii="Times New Roman" w:eastAsia="Times New Roman" w:hAnsi="Times New Roman" w:cs="Times New Roman"/>
          <w:kern w:val="3"/>
          <w:sz w:val="24"/>
          <w:szCs w:val="24"/>
          <w:lang w:eastAsia="pl-PL"/>
          <w14:ligatures w14:val="none"/>
        </w:rPr>
        <w:t>y</w:t>
      </w:r>
      <w:r w:rsidRPr="002B56D8">
        <w:rPr>
          <w:rFonts w:ascii="Times New Roman" w:eastAsia="Times New Roman" w:hAnsi="Times New Roman" w:cs="Times New Roman"/>
          <w:kern w:val="3"/>
          <w:sz w:val="24"/>
          <w:szCs w:val="24"/>
          <w:lang w:eastAsia="pl-PL"/>
          <w14:ligatures w14:val="none"/>
        </w:rPr>
        <w:t xml:space="preserve"> udostępniania wideo oraz Prezes Urzędu Komunikacji Elektronicznej </w:t>
      </w:r>
      <w:r w:rsidR="00AF0A09">
        <w:rPr>
          <w:rFonts w:ascii="Times New Roman" w:eastAsia="Times New Roman" w:hAnsi="Times New Roman" w:cs="Times New Roman"/>
          <w:kern w:val="3"/>
          <w:sz w:val="24"/>
          <w:szCs w:val="24"/>
          <w:lang w:eastAsia="pl-PL"/>
          <w14:ligatures w14:val="none"/>
        </w:rPr>
        <w:t xml:space="preserve">(Prezes UKE) </w:t>
      </w:r>
      <w:r w:rsidRPr="002B56D8">
        <w:rPr>
          <w:rFonts w:ascii="Times New Roman" w:eastAsia="Times New Roman" w:hAnsi="Times New Roman" w:cs="Times New Roman"/>
          <w:kern w:val="3"/>
          <w:sz w:val="24"/>
          <w:szCs w:val="24"/>
          <w:lang w:eastAsia="pl-PL"/>
          <w14:ligatures w14:val="none"/>
        </w:rPr>
        <w:t>– w zakresie innych treści.</w:t>
      </w:r>
    </w:p>
    <w:p w14:paraId="600B0A3F" w14:textId="77777777"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Postępowanie w przedmiocie nakazu uniemożliwienia dostępu do nielegalnej treści powinno być skorelowane z postępowaniem w przedmiocie nakazania przywrócenia dostępu do treści, do której dostęp został bezzasadnie ograniczony. Wprowadzenie takich przepisów w prawie krajowym umożliwia wprost motyw 39 Rozporządzenia, który stanowi, że niniejsze rozporządzenie nie powinno zatem uniemożliwiać odpowiednim krajowym organom sądowym lub administracyjnym wydawania, na podstawie mającego zastosowanie prawa Unii lub prawa krajowego, nakazu przywrócenia treści, w </w:t>
      </w:r>
      <w:proofErr w:type="gramStart"/>
      <w:r w:rsidRPr="002B56D8">
        <w:rPr>
          <w:rFonts w:ascii="Times New Roman" w:eastAsia="Times New Roman" w:hAnsi="Times New Roman" w:cs="Times New Roman"/>
          <w:kern w:val="3"/>
          <w:sz w:val="24"/>
          <w:szCs w:val="24"/>
          <w:lang w:eastAsia="pl-PL"/>
          <w14:ligatures w14:val="none"/>
        </w:rPr>
        <w:t>przypadku</w:t>
      </w:r>
      <w:proofErr w:type="gramEnd"/>
      <w:r w:rsidRPr="002B56D8">
        <w:rPr>
          <w:rFonts w:ascii="Times New Roman" w:eastAsia="Times New Roman" w:hAnsi="Times New Roman" w:cs="Times New Roman"/>
          <w:kern w:val="3"/>
          <w:sz w:val="24"/>
          <w:szCs w:val="24"/>
          <w:lang w:eastAsia="pl-PL"/>
          <w14:ligatures w14:val="none"/>
        </w:rPr>
        <w:t xml:space="preserve"> gdy treści te były zgodne z warunkami korzystania z usług dostawcy usług pośrednich, ale zostały błędnie uznane przez tego dostawcę za nielegalne i usunięte.</w:t>
      </w:r>
    </w:p>
    <w:p w14:paraId="2295066E" w14:textId="3326EC42"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Usługobiorca będzie mógł złożyć wniosek do </w:t>
      </w:r>
      <w:r w:rsidR="004829F1" w:rsidRPr="002B56D8">
        <w:rPr>
          <w:rFonts w:ascii="Times New Roman" w:eastAsia="Times New Roman" w:hAnsi="Times New Roman" w:cs="Times New Roman"/>
          <w:kern w:val="3"/>
          <w:sz w:val="24"/>
          <w:szCs w:val="24"/>
          <w:lang w:eastAsia="pl-PL"/>
          <w14:ligatures w14:val="none"/>
        </w:rPr>
        <w:t xml:space="preserve">właściwego </w:t>
      </w:r>
      <w:r w:rsidRPr="002B56D8">
        <w:rPr>
          <w:rFonts w:ascii="Times New Roman" w:eastAsia="Times New Roman" w:hAnsi="Times New Roman" w:cs="Times New Roman"/>
          <w:kern w:val="3"/>
          <w:sz w:val="24"/>
          <w:szCs w:val="24"/>
          <w:lang w:eastAsia="pl-PL"/>
          <w14:ligatures w14:val="none"/>
        </w:rPr>
        <w:t xml:space="preserve">organu o wydanie nakazu usunięcia ograniczeń, o których mowa w art. 17 ust. </w:t>
      </w:r>
      <w:proofErr w:type="gramStart"/>
      <w:r w:rsidRPr="002B56D8">
        <w:rPr>
          <w:rFonts w:ascii="Times New Roman" w:eastAsia="Times New Roman" w:hAnsi="Times New Roman" w:cs="Times New Roman"/>
          <w:kern w:val="3"/>
          <w:sz w:val="24"/>
          <w:szCs w:val="24"/>
          <w:lang w:eastAsia="pl-PL"/>
          <w14:ligatures w14:val="none"/>
        </w:rPr>
        <w:t xml:space="preserve">1 </w:t>
      </w:r>
      <w:r w:rsidR="00DA4D16" w:rsidRPr="00DA4D16">
        <w:t xml:space="preserve"> </w:t>
      </w:r>
      <w:r w:rsidR="00DA4D16" w:rsidRPr="00DA4D16">
        <w:rPr>
          <w:rFonts w:ascii="Times New Roman" w:eastAsia="Times New Roman" w:hAnsi="Times New Roman" w:cs="Times New Roman"/>
          <w:kern w:val="3"/>
          <w:sz w:val="24"/>
          <w:szCs w:val="24"/>
          <w:lang w:eastAsia="pl-PL"/>
          <w14:ligatures w14:val="none"/>
        </w:rPr>
        <w:t>lub</w:t>
      </w:r>
      <w:proofErr w:type="gramEnd"/>
      <w:r w:rsidR="00DA4D16" w:rsidRPr="00DA4D16">
        <w:rPr>
          <w:rFonts w:ascii="Times New Roman" w:eastAsia="Times New Roman" w:hAnsi="Times New Roman" w:cs="Times New Roman"/>
          <w:kern w:val="3"/>
          <w:sz w:val="24"/>
          <w:szCs w:val="24"/>
          <w:lang w:eastAsia="pl-PL"/>
          <w14:ligatures w14:val="none"/>
        </w:rPr>
        <w:t xml:space="preserve"> art. 23 ust. 1 </w:t>
      </w:r>
      <w:r w:rsidRPr="002B56D8">
        <w:rPr>
          <w:rFonts w:ascii="Times New Roman" w:eastAsia="Times New Roman" w:hAnsi="Times New Roman" w:cs="Times New Roman"/>
          <w:kern w:val="3"/>
          <w:sz w:val="24"/>
          <w:szCs w:val="24"/>
          <w:lang w:eastAsia="pl-PL"/>
          <w14:ligatures w14:val="none"/>
        </w:rPr>
        <w:t>Rozporządzenia, nałożonych przez dostawcę usługi hostingu na usługobiorcę, jeżeli ograniczenia zostały nałożone ze względu na fakt, że informacje przekazane przez usługobiorcę stanowią potencjalnie nielegalną treść.</w:t>
      </w:r>
    </w:p>
    <w:p w14:paraId="4A2460E2" w14:textId="733B374C"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W celu umożliwienia wypełnienia przez dostawców usług hosting</w:t>
      </w:r>
      <w:r w:rsidR="00E85C10">
        <w:rPr>
          <w:rFonts w:ascii="Times New Roman" w:eastAsia="Times New Roman" w:hAnsi="Times New Roman" w:cs="Times New Roman"/>
          <w:kern w:val="3"/>
          <w:sz w:val="24"/>
          <w:szCs w:val="24"/>
          <w:lang w:eastAsia="pl-PL"/>
          <w14:ligatures w14:val="none"/>
        </w:rPr>
        <w:t>u</w:t>
      </w:r>
      <w:r w:rsidRPr="002B56D8">
        <w:rPr>
          <w:rFonts w:ascii="Times New Roman" w:eastAsia="Times New Roman" w:hAnsi="Times New Roman" w:cs="Times New Roman"/>
          <w:kern w:val="3"/>
          <w:sz w:val="24"/>
          <w:szCs w:val="24"/>
          <w:lang w:eastAsia="pl-PL"/>
          <w14:ligatures w14:val="none"/>
        </w:rPr>
        <w:t xml:space="preserve"> podjęcia </w:t>
      </w:r>
      <w:r w:rsidR="00E85C10" w:rsidRPr="002B56D8">
        <w:rPr>
          <w:rFonts w:ascii="Times New Roman" w:eastAsia="Times New Roman" w:hAnsi="Times New Roman" w:cs="Times New Roman"/>
          <w:kern w:val="3"/>
          <w:sz w:val="24"/>
          <w:szCs w:val="24"/>
          <w:lang w:eastAsia="pl-PL"/>
          <w14:ligatures w14:val="none"/>
        </w:rPr>
        <w:t>obowiązk</w:t>
      </w:r>
      <w:r w:rsidR="00E85C10">
        <w:rPr>
          <w:rFonts w:ascii="Times New Roman" w:eastAsia="Times New Roman" w:hAnsi="Times New Roman" w:cs="Times New Roman"/>
          <w:kern w:val="3"/>
          <w:sz w:val="24"/>
          <w:szCs w:val="24"/>
          <w:lang w:eastAsia="pl-PL"/>
          <w14:ligatures w14:val="none"/>
        </w:rPr>
        <w:t>u</w:t>
      </w:r>
      <w:r w:rsidR="00E85C10" w:rsidRPr="002B56D8">
        <w:rPr>
          <w:rFonts w:ascii="Times New Roman" w:eastAsia="Times New Roman" w:hAnsi="Times New Roman" w:cs="Times New Roman"/>
          <w:kern w:val="3"/>
          <w:sz w:val="24"/>
          <w:szCs w:val="24"/>
          <w:lang w:eastAsia="pl-PL"/>
          <w14:ligatures w14:val="none"/>
        </w:rPr>
        <w:t xml:space="preserve"> </w:t>
      </w:r>
      <w:r w:rsidRPr="002B56D8">
        <w:rPr>
          <w:rFonts w:ascii="Times New Roman" w:eastAsia="Times New Roman" w:hAnsi="Times New Roman" w:cs="Times New Roman"/>
          <w:kern w:val="3"/>
          <w:sz w:val="24"/>
          <w:szCs w:val="24"/>
          <w:lang w:eastAsia="pl-PL"/>
          <w14:ligatures w14:val="none"/>
        </w:rPr>
        <w:t xml:space="preserve">działań przeciwko nielegalnym treściom w ramach mechanizmu zgłaszania i działania (art. 16 Rozporządzenia) usługobiorca lub uprawniony z tytułu praw autorskich </w:t>
      </w:r>
      <w:r w:rsidR="00E85C10">
        <w:rPr>
          <w:rFonts w:ascii="Times New Roman" w:eastAsia="Times New Roman" w:hAnsi="Times New Roman" w:cs="Times New Roman"/>
          <w:kern w:val="3"/>
          <w:sz w:val="24"/>
          <w:szCs w:val="24"/>
          <w:lang w:eastAsia="pl-PL"/>
          <w14:ligatures w14:val="none"/>
        </w:rPr>
        <w:t xml:space="preserve">lub praw pokrewnych </w:t>
      </w:r>
      <w:r w:rsidRPr="002B56D8">
        <w:rPr>
          <w:rFonts w:ascii="Times New Roman" w:eastAsia="Times New Roman" w:hAnsi="Times New Roman" w:cs="Times New Roman"/>
          <w:kern w:val="3"/>
          <w:sz w:val="24"/>
          <w:szCs w:val="24"/>
          <w:lang w:eastAsia="pl-PL"/>
          <w14:ligatures w14:val="none"/>
        </w:rPr>
        <w:t xml:space="preserve">może złożyć wniosek o wydanie nakazu w terminie 14 dni od dnia otrzymania powiadomienia </w:t>
      </w:r>
      <w:r w:rsidRPr="002B56D8">
        <w:rPr>
          <w:rFonts w:ascii="Times New Roman" w:eastAsia="Times New Roman" w:hAnsi="Times New Roman" w:cs="Times New Roman"/>
          <w:kern w:val="3"/>
          <w:sz w:val="24"/>
          <w:szCs w:val="24"/>
          <w:lang w:eastAsia="pl-PL"/>
          <w14:ligatures w14:val="none"/>
        </w:rPr>
        <w:lastRenderedPageBreak/>
        <w:t>od dostawcy usługi hosting</w:t>
      </w:r>
      <w:r w:rsidR="00363971">
        <w:rPr>
          <w:rFonts w:ascii="Times New Roman" w:eastAsia="Times New Roman" w:hAnsi="Times New Roman" w:cs="Times New Roman"/>
          <w:kern w:val="3"/>
          <w:sz w:val="24"/>
          <w:szCs w:val="24"/>
          <w:lang w:eastAsia="pl-PL"/>
          <w14:ligatures w14:val="none"/>
        </w:rPr>
        <w:t>u</w:t>
      </w:r>
      <w:r w:rsidRPr="002B56D8">
        <w:rPr>
          <w:rFonts w:ascii="Times New Roman" w:eastAsia="Times New Roman" w:hAnsi="Times New Roman" w:cs="Times New Roman"/>
          <w:kern w:val="3"/>
          <w:sz w:val="24"/>
          <w:szCs w:val="24"/>
          <w:lang w:eastAsia="pl-PL"/>
          <w14:ligatures w14:val="none"/>
        </w:rPr>
        <w:t>, o którym mowa w art. 16 ust. 5 Rozporządzenia, czyli będące</w:t>
      </w:r>
      <w:r w:rsidR="00363971">
        <w:rPr>
          <w:rFonts w:ascii="Times New Roman" w:eastAsia="Times New Roman" w:hAnsi="Times New Roman" w:cs="Times New Roman"/>
          <w:kern w:val="3"/>
          <w:sz w:val="24"/>
          <w:szCs w:val="24"/>
          <w:lang w:eastAsia="pl-PL"/>
          <w14:ligatures w14:val="none"/>
        </w:rPr>
        <w:t>go</w:t>
      </w:r>
      <w:r w:rsidRPr="002B56D8">
        <w:rPr>
          <w:rFonts w:ascii="Times New Roman" w:eastAsia="Times New Roman" w:hAnsi="Times New Roman" w:cs="Times New Roman"/>
          <w:kern w:val="3"/>
          <w:sz w:val="24"/>
          <w:szCs w:val="24"/>
          <w:lang w:eastAsia="pl-PL"/>
          <w14:ligatures w14:val="none"/>
        </w:rPr>
        <w:t xml:space="preserve"> odpowiedzią na zgłoszenie.</w:t>
      </w:r>
    </w:p>
    <w:p w14:paraId="70A59D68" w14:textId="41C552F9"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W celu zabezpieczenia sytuacji, w której dostawca usług hosting</w:t>
      </w:r>
      <w:r w:rsidR="00282E6E">
        <w:rPr>
          <w:rFonts w:ascii="Times New Roman" w:eastAsia="Times New Roman" w:hAnsi="Times New Roman" w:cs="Times New Roman"/>
          <w:kern w:val="3"/>
          <w:sz w:val="24"/>
          <w:szCs w:val="24"/>
          <w:lang w:eastAsia="pl-PL"/>
          <w14:ligatures w14:val="none"/>
        </w:rPr>
        <w:t>u</w:t>
      </w:r>
      <w:r w:rsidRPr="002B56D8">
        <w:rPr>
          <w:rFonts w:ascii="Times New Roman" w:eastAsia="Times New Roman" w:hAnsi="Times New Roman" w:cs="Times New Roman"/>
          <w:kern w:val="3"/>
          <w:sz w:val="24"/>
          <w:szCs w:val="24"/>
          <w:lang w:eastAsia="pl-PL"/>
          <w14:ligatures w14:val="none"/>
        </w:rPr>
        <w:t xml:space="preserve"> nie informuje o swojej decyzji w stosunku do dokonanego zgłoszenia, termin na złożenie wniosku biegnie od drugiego dnia następującego po dniu zgłoszenia.</w:t>
      </w:r>
    </w:p>
    <w:p w14:paraId="1C94A0C9" w14:textId="1BB77F85"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W celu umożliwienia uzyskania pełniejszego obrazu sytuacji, do wniosku usługobiorca lub uprawniony z tytułu praw autorskich </w:t>
      </w:r>
      <w:r w:rsidR="00282E6E">
        <w:rPr>
          <w:rFonts w:ascii="Times New Roman" w:eastAsia="Times New Roman" w:hAnsi="Times New Roman" w:cs="Times New Roman"/>
          <w:kern w:val="3"/>
          <w:sz w:val="24"/>
          <w:szCs w:val="24"/>
          <w:lang w:eastAsia="pl-PL"/>
          <w14:ligatures w14:val="none"/>
        </w:rPr>
        <w:t xml:space="preserve">lub praw pokrewnych </w:t>
      </w:r>
      <w:r w:rsidRPr="002B56D8">
        <w:rPr>
          <w:rFonts w:ascii="Times New Roman" w:eastAsia="Times New Roman" w:hAnsi="Times New Roman" w:cs="Times New Roman"/>
          <w:kern w:val="3"/>
          <w:sz w:val="24"/>
          <w:szCs w:val="24"/>
          <w:lang w:eastAsia="pl-PL"/>
          <w14:ligatures w14:val="none"/>
        </w:rPr>
        <w:t xml:space="preserve">dołącza również informacje o sposobie rozpatrzenia zgłoszenia złożonego za pośrednictwem mechanizmu zgłaszania i działania. W tym samym celu </w:t>
      </w:r>
      <w:r w:rsidR="00C4090C" w:rsidRPr="002B56D8">
        <w:rPr>
          <w:rFonts w:ascii="Times New Roman" w:eastAsia="Times New Roman" w:hAnsi="Times New Roman" w:cs="Times New Roman"/>
          <w:kern w:val="3"/>
          <w:sz w:val="24"/>
          <w:szCs w:val="24"/>
          <w:lang w:eastAsia="pl-PL"/>
          <w14:ligatures w14:val="none"/>
        </w:rPr>
        <w:t xml:space="preserve">właściwy </w:t>
      </w:r>
      <w:r w:rsidRPr="002B56D8">
        <w:rPr>
          <w:rFonts w:ascii="Times New Roman" w:eastAsia="Times New Roman" w:hAnsi="Times New Roman" w:cs="Times New Roman"/>
          <w:kern w:val="3"/>
          <w:sz w:val="24"/>
          <w:szCs w:val="24"/>
          <w:lang w:eastAsia="pl-PL"/>
          <w14:ligatures w14:val="none"/>
        </w:rPr>
        <w:t>organ zawiadamia dostawcę usług pośrednich o wniesionym wniosku. Dostawca usług pośrednich jest obowiązany przekazać materiały, którymi dysponuje, dotyczące przedmiotu wniosku, a w przypadku usług hostingowych, w szczególności materiały zgromadzone w ramach mechanizmu zgłaszania i działania.</w:t>
      </w:r>
    </w:p>
    <w:p w14:paraId="0CE8F831" w14:textId="69A3CA7C"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W przypadku dostawców usługi hostingu postępowanie powinno być poprzedzone dobrowolną próbą załatwienia sprawy, dlatego też procedura administracyjna uzależnia możliwość jej uruchomienia od wykorzystania mechanizmu zgłaszania i działania, o którym mowa w art. 16 Rozporządzenia.</w:t>
      </w:r>
    </w:p>
    <w:p w14:paraId="608639FA" w14:textId="0A177AFB"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Stronami postępowania przed </w:t>
      </w:r>
      <w:r w:rsidR="001219A5" w:rsidRPr="002B56D8">
        <w:rPr>
          <w:rFonts w:ascii="Times New Roman" w:eastAsia="Times New Roman" w:hAnsi="Times New Roman" w:cs="Times New Roman"/>
          <w:kern w:val="3"/>
          <w:sz w:val="24"/>
          <w:szCs w:val="24"/>
          <w:lang w:eastAsia="pl-PL"/>
          <w14:ligatures w14:val="none"/>
        </w:rPr>
        <w:t xml:space="preserve">właściwym </w:t>
      </w:r>
      <w:r w:rsidRPr="002B56D8">
        <w:rPr>
          <w:rFonts w:ascii="Times New Roman" w:eastAsia="Times New Roman" w:hAnsi="Times New Roman" w:cs="Times New Roman"/>
          <w:kern w:val="3"/>
          <w:sz w:val="24"/>
          <w:szCs w:val="24"/>
          <w:lang w:eastAsia="pl-PL"/>
          <w14:ligatures w14:val="none"/>
        </w:rPr>
        <w:t>organem do rozpatrzenia wniosku są wnioskodawca, dostawca usług pośrednich oraz usługobiorca, który umieścił treść będącą przedmiotem wniosku. Jednocześnie dostawca usług pośrednich będzie obowiązany do przekazania zawiadomienia o wniesionym wniosku usługobiorcy, który opublikował treść. Usługobiorca ten będzie miał z kolei możliwość przedstawienia stanowiska w sprawie w terminie 2 dni od otrzymania zawiadomienia. Rozwi</w:t>
      </w:r>
      <w:r w:rsidRPr="002B56D8">
        <w:rPr>
          <w:rFonts w:ascii="Times New Roman" w:eastAsia="Times New Roman" w:hAnsi="Times New Roman" w:cs="Times New Roman" w:hint="eastAsia"/>
          <w:kern w:val="3"/>
          <w:sz w:val="24"/>
          <w:szCs w:val="24"/>
          <w:lang w:eastAsia="pl-PL"/>
          <w14:ligatures w14:val="none"/>
        </w:rPr>
        <w:t>ą</w:t>
      </w:r>
      <w:r w:rsidRPr="002B56D8">
        <w:rPr>
          <w:rFonts w:ascii="Times New Roman" w:eastAsia="Times New Roman" w:hAnsi="Times New Roman" w:cs="Times New Roman"/>
          <w:kern w:val="3"/>
          <w:sz w:val="24"/>
          <w:szCs w:val="24"/>
          <w:lang w:eastAsia="pl-PL"/>
          <w14:ligatures w14:val="none"/>
        </w:rPr>
        <w:t>zanie to z jednej strony odpowiada na potrzeb</w:t>
      </w:r>
      <w:r w:rsidRPr="002B56D8">
        <w:rPr>
          <w:rFonts w:ascii="Times New Roman" w:eastAsia="Times New Roman" w:hAnsi="Times New Roman" w:cs="Times New Roman" w:hint="eastAsia"/>
          <w:kern w:val="3"/>
          <w:sz w:val="24"/>
          <w:szCs w:val="24"/>
          <w:lang w:eastAsia="pl-PL"/>
          <w14:ligatures w14:val="none"/>
        </w:rPr>
        <w:t>ę</w:t>
      </w:r>
      <w:r w:rsidRPr="002B56D8">
        <w:rPr>
          <w:rFonts w:ascii="Times New Roman" w:eastAsia="Times New Roman" w:hAnsi="Times New Roman" w:cs="Times New Roman"/>
          <w:kern w:val="3"/>
          <w:sz w:val="24"/>
          <w:szCs w:val="24"/>
          <w:lang w:eastAsia="pl-PL"/>
          <w14:ligatures w14:val="none"/>
        </w:rPr>
        <w:t xml:space="preserve"> uznania praw u</w:t>
      </w:r>
      <w:r w:rsidRPr="002B56D8">
        <w:rPr>
          <w:rFonts w:ascii="Times New Roman" w:eastAsia="Times New Roman" w:hAnsi="Times New Roman" w:cs="Times New Roman" w:hint="eastAsia"/>
          <w:kern w:val="3"/>
          <w:sz w:val="24"/>
          <w:szCs w:val="24"/>
          <w:lang w:eastAsia="pl-PL"/>
          <w14:ligatures w14:val="none"/>
        </w:rPr>
        <w:t>ż</w:t>
      </w:r>
      <w:r w:rsidRPr="002B56D8">
        <w:rPr>
          <w:rFonts w:ascii="Times New Roman" w:eastAsia="Times New Roman" w:hAnsi="Times New Roman" w:cs="Times New Roman"/>
          <w:kern w:val="3"/>
          <w:sz w:val="24"/>
          <w:szCs w:val="24"/>
          <w:lang w:eastAsia="pl-PL"/>
          <w14:ligatures w14:val="none"/>
        </w:rPr>
        <w:t>ytkownika, a z drugiej strony umo</w:t>
      </w:r>
      <w:r w:rsidRPr="002B56D8">
        <w:rPr>
          <w:rFonts w:ascii="Times New Roman" w:eastAsia="Times New Roman" w:hAnsi="Times New Roman" w:cs="Times New Roman" w:hint="eastAsia"/>
          <w:kern w:val="3"/>
          <w:sz w:val="24"/>
          <w:szCs w:val="24"/>
          <w:lang w:eastAsia="pl-PL"/>
          <w14:ligatures w14:val="none"/>
        </w:rPr>
        <w:t>ż</w:t>
      </w:r>
      <w:r w:rsidRPr="002B56D8">
        <w:rPr>
          <w:rFonts w:ascii="Times New Roman" w:eastAsia="Times New Roman" w:hAnsi="Times New Roman" w:cs="Times New Roman"/>
          <w:kern w:val="3"/>
          <w:sz w:val="24"/>
          <w:szCs w:val="24"/>
          <w:lang w:eastAsia="pl-PL"/>
          <w14:ligatures w14:val="none"/>
        </w:rPr>
        <w:t xml:space="preserve">liwi sprawne procedowanie. </w:t>
      </w:r>
    </w:p>
    <w:p w14:paraId="186B2548" w14:textId="7861C9CD"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Postępowanie dowodowe</w:t>
      </w:r>
      <w:r w:rsidR="004C0F44">
        <w:rPr>
          <w:rFonts w:ascii="Times New Roman" w:eastAsia="Times New Roman" w:hAnsi="Times New Roman" w:cs="Times New Roman"/>
          <w:kern w:val="3"/>
          <w:sz w:val="24"/>
          <w:szCs w:val="24"/>
          <w:lang w:eastAsia="pl-PL"/>
          <w14:ligatures w14:val="none"/>
        </w:rPr>
        <w:t>,</w:t>
      </w:r>
      <w:r w:rsidRPr="002B56D8">
        <w:rPr>
          <w:rFonts w:ascii="Times New Roman" w:eastAsia="Times New Roman" w:hAnsi="Times New Roman" w:cs="Times New Roman"/>
          <w:kern w:val="3"/>
          <w:sz w:val="24"/>
          <w:szCs w:val="24"/>
          <w:lang w:eastAsia="pl-PL"/>
          <w14:ligatures w14:val="none"/>
        </w:rPr>
        <w:t xml:space="preserve"> co do zasady</w:t>
      </w:r>
      <w:r w:rsidR="004C0F44">
        <w:rPr>
          <w:rFonts w:ascii="Times New Roman" w:eastAsia="Times New Roman" w:hAnsi="Times New Roman" w:cs="Times New Roman"/>
          <w:kern w:val="3"/>
          <w:sz w:val="24"/>
          <w:szCs w:val="24"/>
          <w:lang w:eastAsia="pl-PL"/>
          <w14:ligatures w14:val="none"/>
        </w:rPr>
        <w:t>,</w:t>
      </w:r>
      <w:r w:rsidRPr="002B56D8">
        <w:rPr>
          <w:rFonts w:ascii="Times New Roman" w:eastAsia="Times New Roman" w:hAnsi="Times New Roman" w:cs="Times New Roman"/>
          <w:kern w:val="3"/>
          <w:sz w:val="24"/>
          <w:szCs w:val="24"/>
          <w:lang w:eastAsia="pl-PL"/>
          <w14:ligatures w14:val="none"/>
        </w:rPr>
        <w:t xml:space="preserve"> </w:t>
      </w:r>
      <w:r w:rsidR="004C0F44" w:rsidRPr="002B56D8">
        <w:rPr>
          <w:rFonts w:ascii="Times New Roman" w:eastAsia="Times New Roman" w:hAnsi="Times New Roman" w:cs="Times New Roman"/>
          <w:kern w:val="3"/>
          <w:sz w:val="24"/>
          <w:szCs w:val="24"/>
          <w:lang w:eastAsia="pl-PL"/>
          <w14:ligatures w14:val="none"/>
        </w:rPr>
        <w:t xml:space="preserve">jest </w:t>
      </w:r>
      <w:r w:rsidRPr="002B56D8">
        <w:rPr>
          <w:rFonts w:ascii="Times New Roman" w:eastAsia="Times New Roman" w:hAnsi="Times New Roman" w:cs="Times New Roman"/>
          <w:kern w:val="3"/>
          <w:sz w:val="24"/>
          <w:szCs w:val="24"/>
          <w:lang w:eastAsia="pl-PL"/>
          <w14:ligatures w14:val="none"/>
        </w:rPr>
        <w:t xml:space="preserve">ograniczone do dowodów przekazanych przez wnioskodawcę łącznie z wnioskiem, dowodów przedstawionych przez dostawcę usług pośrednich, w szczególności materiałów zgromadzonych w ramach mechanizmu zgłaszania i działania, dowodów przekazanych przez usługobiorcę oraz dowodów możliwych do ustalenia na podstawie </w:t>
      </w:r>
      <w:r w:rsidR="008505A2">
        <w:rPr>
          <w:rFonts w:ascii="Times New Roman" w:eastAsia="Times New Roman" w:hAnsi="Times New Roman" w:cs="Times New Roman"/>
          <w:kern w:val="3"/>
          <w:sz w:val="24"/>
          <w:szCs w:val="24"/>
          <w:lang w:eastAsia="pl-PL"/>
          <w14:ligatures w14:val="none"/>
        </w:rPr>
        <w:t>materiałów</w:t>
      </w:r>
      <w:r w:rsidRPr="002B56D8">
        <w:rPr>
          <w:rFonts w:ascii="Times New Roman" w:eastAsia="Times New Roman" w:hAnsi="Times New Roman" w:cs="Times New Roman"/>
          <w:kern w:val="3"/>
          <w:sz w:val="24"/>
          <w:szCs w:val="24"/>
          <w:lang w:eastAsia="pl-PL"/>
          <w14:ligatures w14:val="none"/>
        </w:rPr>
        <w:t xml:space="preserve">, którymi dysponuje </w:t>
      </w:r>
      <w:r w:rsidR="008505A2" w:rsidRPr="002B56D8">
        <w:rPr>
          <w:rFonts w:ascii="Times New Roman" w:eastAsia="Times New Roman" w:hAnsi="Times New Roman" w:cs="Times New Roman"/>
          <w:kern w:val="3"/>
          <w:sz w:val="24"/>
          <w:szCs w:val="24"/>
          <w:lang w:eastAsia="pl-PL"/>
          <w14:ligatures w14:val="none"/>
        </w:rPr>
        <w:t xml:space="preserve">właściwy </w:t>
      </w:r>
      <w:r w:rsidRPr="002B56D8">
        <w:rPr>
          <w:rFonts w:ascii="Times New Roman" w:eastAsia="Times New Roman" w:hAnsi="Times New Roman" w:cs="Times New Roman"/>
          <w:kern w:val="3"/>
          <w:sz w:val="24"/>
          <w:szCs w:val="24"/>
          <w:lang w:eastAsia="pl-PL"/>
          <w14:ligatures w14:val="none"/>
        </w:rPr>
        <w:t>organ. Wnioskodawca jest obowiązany przedstawić wszystkie dowody najpóźniej wraz z wniesieniem wniosku, pod rygorem utraty prawa do ich powoływania w toku dalszego postępowania. Dowody zgłoszone z naruszeniem tego obowiązku podlegają pominięciu, chyba że strona uprawdopodobni, iż ich powołanie w</w:t>
      </w:r>
      <w:r w:rsidR="008505A2">
        <w:rPr>
          <w:rFonts w:ascii="Times New Roman" w:eastAsia="Times New Roman" w:hAnsi="Times New Roman" w:cs="Times New Roman"/>
          <w:kern w:val="3"/>
          <w:sz w:val="24"/>
          <w:szCs w:val="24"/>
          <w:lang w:eastAsia="pl-PL"/>
          <w14:ligatures w14:val="none"/>
        </w:rPr>
        <w:t>raz z</w:t>
      </w:r>
      <w:r w:rsidRPr="002B56D8">
        <w:rPr>
          <w:rFonts w:ascii="Times New Roman" w:eastAsia="Times New Roman" w:hAnsi="Times New Roman" w:cs="Times New Roman"/>
          <w:kern w:val="3"/>
          <w:sz w:val="24"/>
          <w:szCs w:val="24"/>
          <w:lang w:eastAsia="pl-PL"/>
          <w14:ligatures w14:val="none"/>
        </w:rPr>
        <w:t xml:space="preserve"> wniosk</w:t>
      </w:r>
      <w:r w:rsidR="008505A2">
        <w:rPr>
          <w:rFonts w:ascii="Times New Roman" w:eastAsia="Times New Roman" w:hAnsi="Times New Roman" w:cs="Times New Roman"/>
          <w:kern w:val="3"/>
          <w:sz w:val="24"/>
          <w:szCs w:val="24"/>
          <w:lang w:eastAsia="pl-PL"/>
          <w14:ligatures w14:val="none"/>
        </w:rPr>
        <w:t>iem</w:t>
      </w:r>
      <w:r w:rsidRPr="002B56D8">
        <w:rPr>
          <w:rFonts w:ascii="Times New Roman" w:eastAsia="Times New Roman" w:hAnsi="Times New Roman" w:cs="Times New Roman"/>
          <w:kern w:val="3"/>
          <w:sz w:val="24"/>
          <w:szCs w:val="24"/>
          <w:lang w:eastAsia="pl-PL"/>
          <w14:ligatures w14:val="none"/>
        </w:rPr>
        <w:t xml:space="preserve"> nie było możliwe. </w:t>
      </w:r>
      <w:r w:rsidR="008505A2">
        <w:rPr>
          <w:rFonts w:ascii="Times New Roman" w:eastAsia="Times New Roman" w:hAnsi="Times New Roman" w:cs="Times New Roman"/>
          <w:kern w:val="3"/>
          <w:sz w:val="24"/>
          <w:szCs w:val="24"/>
          <w:lang w:eastAsia="pl-PL"/>
          <w14:ligatures w14:val="none"/>
        </w:rPr>
        <w:t>Właściwy o</w:t>
      </w:r>
      <w:r w:rsidRPr="002B56D8">
        <w:rPr>
          <w:rFonts w:ascii="Times New Roman" w:eastAsia="Times New Roman" w:hAnsi="Times New Roman" w:cs="Times New Roman"/>
          <w:kern w:val="3"/>
          <w:sz w:val="24"/>
          <w:szCs w:val="24"/>
          <w:lang w:eastAsia="pl-PL"/>
          <w14:ligatures w14:val="none"/>
        </w:rPr>
        <w:t xml:space="preserve">rgan może przeprowadzić dowód z zeznań </w:t>
      </w:r>
      <w:r w:rsidRPr="002B56D8">
        <w:rPr>
          <w:rFonts w:ascii="Times New Roman" w:eastAsia="Times New Roman" w:hAnsi="Times New Roman" w:cs="Times New Roman"/>
          <w:kern w:val="3"/>
          <w:sz w:val="24"/>
          <w:szCs w:val="24"/>
          <w:lang w:eastAsia="pl-PL"/>
          <w14:ligatures w14:val="none"/>
        </w:rPr>
        <w:lastRenderedPageBreak/>
        <w:t>świadków, przesłuchania stron, opinii biegłych oraz oględzin tylko w sprawach szczególnie skomplikowanych. Wskazane regulacje modyfikują przepisy dotyczące dowodów, przewidziane w ustawie z dnia 14 czerwca 1960 r. – Kodeks postępowania administracyjnego (Dz. U. z 2025 r. poz. 1691).</w:t>
      </w:r>
    </w:p>
    <w:p w14:paraId="6181FF7D" w14:textId="5A87AC4A" w:rsidR="00A00DF8" w:rsidRPr="002B56D8" w:rsidRDefault="00A00DF8" w:rsidP="00EC620A">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Skutkiem przeprowadzonego postępowania może być wydanie przez </w:t>
      </w:r>
      <w:r w:rsidR="000C0BE6" w:rsidRPr="002B56D8">
        <w:rPr>
          <w:rFonts w:ascii="Times New Roman" w:eastAsia="Times New Roman" w:hAnsi="Times New Roman" w:cs="Times New Roman"/>
          <w:kern w:val="3"/>
          <w:sz w:val="24"/>
          <w:szCs w:val="24"/>
          <w:lang w:eastAsia="pl-PL"/>
          <w14:ligatures w14:val="none"/>
        </w:rPr>
        <w:t xml:space="preserve">właściwy </w:t>
      </w:r>
      <w:r w:rsidRPr="002B56D8">
        <w:rPr>
          <w:rFonts w:ascii="Times New Roman" w:eastAsia="Times New Roman" w:hAnsi="Times New Roman" w:cs="Times New Roman"/>
          <w:kern w:val="3"/>
          <w:sz w:val="24"/>
          <w:szCs w:val="24"/>
          <w:lang w:eastAsia="pl-PL"/>
          <w14:ligatures w14:val="none"/>
        </w:rPr>
        <w:t>organ do rozpatrzenia wniosku decyzji zawierającej:</w:t>
      </w:r>
    </w:p>
    <w:p w14:paraId="5333516D" w14:textId="4694B116" w:rsidR="00A00DF8" w:rsidRPr="002B56D8" w:rsidRDefault="00A00DF8" w:rsidP="00102EEE">
      <w:pPr>
        <w:numPr>
          <w:ilvl w:val="0"/>
          <w:numId w:val="1"/>
        </w:numPr>
        <w:suppressAutoHyphens/>
        <w:autoSpaceDE w:val="0"/>
        <w:autoSpaceDN w:val="0"/>
        <w:adjustRightInd w:val="0"/>
        <w:spacing w:after="0" w:line="360" w:lineRule="auto"/>
        <w:ind w:left="397" w:hanging="397"/>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nakaz uniemożliwienia dostępu do nielegalnych treści (</w:t>
      </w:r>
      <w:r w:rsidR="000C0BE6">
        <w:rPr>
          <w:rFonts w:ascii="Times New Roman" w:eastAsia="Calibri" w:hAnsi="Times New Roman" w:cs="Times New Roman"/>
          <w:kern w:val="3"/>
          <w:sz w:val="24"/>
          <w:szCs w:val="24"/>
          <w14:ligatures w14:val="none"/>
        </w:rPr>
        <w:t xml:space="preserve">właściwy organ </w:t>
      </w:r>
      <w:r w:rsidRPr="002B56D8">
        <w:rPr>
          <w:rFonts w:ascii="Times New Roman" w:eastAsia="Calibri" w:hAnsi="Times New Roman" w:cs="Times New Roman"/>
          <w:kern w:val="3"/>
          <w:sz w:val="24"/>
          <w:szCs w:val="24"/>
          <w14:ligatures w14:val="none"/>
        </w:rPr>
        <w:t>może przy tym określić zakres uniemożliwienia dostępu do treści – w przypadku nielegalnych treści, których rozpowszechnianie może wyczerpywać znamiona czynu zabronionego, o którym mowa w art. 116 ustawy z dnia 4 lutego 1994 r. o prawie autorskich i prawach pokrewnych);</w:t>
      </w:r>
    </w:p>
    <w:p w14:paraId="72C79577" w14:textId="21E9859A" w:rsidR="00A00DF8" w:rsidRPr="002B56D8" w:rsidRDefault="00A00DF8" w:rsidP="00102EEE">
      <w:pPr>
        <w:numPr>
          <w:ilvl w:val="0"/>
          <w:numId w:val="1"/>
        </w:numPr>
        <w:suppressAutoHyphens/>
        <w:autoSpaceDE w:val="0"/>
        <w:autoSpaceDN w:val="0"/>
        <w:adjustRightInd w:val="0"/>
        <w:spacing w:after="0" w:line="360" w:lineRule="auto"/>
        <w:ind w:left="425" w:hanging="357"/>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 xml:space="preserve">nakaz usunięcia ograniczeń, o których mowa w art. 17 ust. </w:t>
      </w:r>
      <w:proofErr w:type="gramStart"/>
      <w:r w:rsidRPr="002B56D8">
        <w:rPr>
          <w:rFonts w:ascii="Times New Roman" w:eastAsia="Calibri" w:hAnsi="Times New Roman" w:cs="Times New Roman"/>
          <w:kern w:val="3"/>
          <w:sz w:val="24"/>
          <w:szCs w:val="24"/>
          <w14:ligatures w14:val="none"/>
        </w:rPr>
        <w:t xml:space="preserve">1 </w:t>
      </w:r>
      <w:r w:rsidR="000C0BE6">
        <w:rPr>
          <w:rFonts w:ascii="Times New Roman" w:eastAsia="Calibri" w:hAnsi="Times New Roman" w:cs="Times New Roman"/>
          <w:kern w:val="3"/>
          <w:sz w:val="24"/>
          <w:szCs w:val="24"/>
          <w14:ligatures w14:val="none"/>
        </w:rPr>
        <w:t xml:space="preserve"> lub</w:t>
      </w:r>
      <w:proofErr w:type="gramEnd"/>
      <w:r w:rsidR="000C0BE6">
        <w:rPr>
          <w:rFonts w:ascii="Times New Roman" w:eastAsia="Calibri" w:hAnsi="Times New Roman" w:cs="Times New Roman"/>
          <w:kern w:val="3"/>
          <w:sz w:val="24"/>
          <w:szCs w:val="24"/>
          <w14:ligatures w14:val="none"/>
        </w:rPr>
        <w:t xml:space="preserve"> art. 23 ust. 1 Rozporządzenia</w:t>
      </w:r>
      <w:r w:rsidRPr="002B56D8">
        <w:rPr>
          <w:rFonts w:ascii="Times New Roman" w:eastAsia="Calibri" w:hAnsi="Times New Roman" w:cs="Times New Roman"/>
          <w:kern w:val="3"/>
          <w:sz w:val="24"/>
          <w:szCs w:val="24"/>
          <w14:ligatures w14:val="none"/>
        </w:rPr>
        <w:t>;</w:t>
      </w:r>
    </w:p>
    <w:p w14:paraId="6DBDF262" w14:textId="77777777" w:rsidR="00A00DF8" w:rsidRPr="002B56D8" w:rsidRDefault="00A00DF8" w:rsidP="00102EEE">
      <w:pPr>
        <w:numPr>
          <w:ilvl w:val="0"/>
          <w:numId w:val="1"/>
        </w:numPr>
        <w:suppressAutoHyphens/>
        <w:autoSpaceDE w:val="0"/>
        <w:autoSpaceDN w:val="0"/>
        <w:adjustRightInd w:val="0"/>
        <w:spacing w:after="0" w:line="360" w:lineRule="auto"/>
        <w:ind w:left="425" w:hanging="357"/>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odmowę nakazu uniemożliwienia dostępu do treści;</w:t>
      </w:r>
    </w:p>
    <w:p w14:paraId="2B08990E" w14:textId="77777777" w:rsidR="00A00DF8" w:rsidRPr="002B56D8" w:rsidRDefault="00A00DF8" w:rsidP="00102EEE">
      <w:pPr>
        <w:numPr>
          <w:ilvl w:val="0"/>
          <w:numId w:val="1"/>
        </w:numPr>
        <w:suppressAutoHyphens/>
        <w:autoSpaceDE w:val="0"/>
        <w:autoSpaceDN w:val="0"/>
        <w:adjustRightInd w:val="0"/>
        <w:spacing w:after="0" w:line="360" w:lineRule="auto"/>
        <w:ind w:left="425" w:hanging="357"/>
        <w:jc w:val="both"/>
        <w:textAlignment w:val="baseline"/>
        <w:rPr>
          <w:rFonts w:ascii="Times New Roman" w:eastAsia="Calibri" w:hAnsi="Times New Roman" w:cs="Times New Roman"/>
          <w:kern w:val="3"/>
          <w:sz w:val="24"/>
          <w:szCs w:val="24"/>
          <w14:ligatures w14:val="none"/>
        </w:rPr>
      </w:pPr>
      <w:r w:rsidRPr="002B56D8">
        <w:rPr>
          <w:rFonts w:ascii="Times New Roman" w:eastAsia="Calibri" w:hAnsi="Times New Roman" w:cs="Times New Roman"/>
          <w:kern w:val="3"/>
          <w:sz w:val="24"/>
          <w:szCs w:val="24"/>
          <w14:ligatures w14:val="none"/>
        </w:rPr>
        <w:t>odmowę nakazu usunięcia ograniczeń.</w:t>
      </w:r>
    </w:p>
    <w:p w14:paraId="03E486E1" w14:textId="16B71BF2"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W przypadku braku innych skutecznych środków, które mogą doprowadzić do wykonania decyzji nakazującej uniemożliwienie dostępu do nielegalnych treści, w stosunku do nielegalnych treści występujących w usłudze, o której mowa w art. 4 Rozporządzenia, </w:t>
      </w:r>
      <w:r w:rsidR="002C4391" w:rsidRPr="002B56D8">
        <w:rPr>
          <w:rFonts w:ascii="Times New Roman" w:eastAsia="Times New Roman" w:hAnsi="Times New Roman" w:cs="Times New Roman"/>
          <w:kern w:val="3"/>
          <w:sz w:val="24"/>
          <w:szCs w:val="24"/>
          <w:lang w:eastAsia="pl-PL"/>
          <w14:ligatures w14:val="none"/>
        </w:rPr>
        <w:t xml:space="preserve">właściwy </w:t>
      </w:r>
      <w:r w:rsidRPr="002B56D8">
        <w:rPr>
          <w:rFonts w:ascii="Times New Roman" w:eastAsia="Times New Roman" w:hAnsi="Times New Roman" w:cs="Times New Roman"/>
          <w:kern w:val="3"/>
          <w:sz w:val="24"/>
          <w:szCs w:val="24"/>
          <w:lang w:eastAsia="pl-PL"/>
          <w14:ligatures w14:val="none"/>
        </w:rPr>
        <w:t>organ do rozpatrzenia wniosku może zgłosić domenę internetową na listę ostrzeżeń, o której mowa w art. 20 ust. 1 ustawy z dnia 28 lipca 2023 r. o zwalczaniu nadużyć w komunikacji elektronicznej (Dz. U. z 2024 r. poz. 1803) – takie rozwiązanie dotyczy tych stron internetowych, których mechanizm działania jest oparty na publikacji treści naruszających cudze prawa, w szczególności publikując bez uprawnień cudze utwory.</w:t>
      </w:r>
    </w:p>
    <w:p w14:paraId="71172294" w14:textId="77777777"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Rozwiązanie zawarte w projektowanym art. 11m ust. 2 dotyczy sytuacji, w których mamy do czynienia z rozszerzoną odpowiedzialnością dostawców usług pośrednich, o której mowa w art. 22</w:t>
      </w:r>
      <w:r w:rsidRPr="002B56D8">
        <w:rPr>
          <w:rFonts w:ascii="Times New Roman" w:eastAsia="Times New Roman" w:hAnsi="Times New Roman" w:cs="Times New Roman"/>
          <w:kern w:val="3"/>
          <w:sz w:val="24"/>
          <w:szCs w:val="24"/>
          <w:vertAlign w:val="superscript"/>
          <w:lang w:eastAsia="pl-PL"/>
          <w14:ligatures w14:val="none"/>
        </w:rPr>
        <w:t xml:space="preserve">2 </w:t>
      </w:r>
      <w:r w:rsidRPr="002B56D8">
        <w:rPr>
          <w:rFonts w:ascii="Times New Roman" w:eastAsia="Times New Roman" w:hAnsi="Times New Roman" w:cs="Times New Roman"/>
          <w:kern w:val="3"/>
          <w:sz w:val="24"/>
          <w:szCs w:val="24"/>
          <w:lang w:eastAsia="pl-PL"/>
          <w14:ligatures w14:val="none"/>
        </w:rPr>
        <w:t>ust. 1 pkt 3 ustawy z dnia 4 lutego 1994 r. o prawie autorskim i prawach pokrewnych – dostawca ma obowiązek dołożenia należytej staranności, aby uniemożliwić w przyszłości dostęp do zgłoszonych wcześniej nielegalnych treści.</w:t>
      </w:r>
    </w:p>
    <w:p w14:paraId="1F96747D" w14:textId="6C1FE688" w:rsidR="00A00DF8" w:rsidRPr="002B56D8" w:rsidRDefault="00A00DF8" w:rsidP="00102EEE">
      <w:pPr>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2B56D8">
        <w:rPr>
          <w:rFonts w:ascii="Times New Roman" w:eastAsia="Times New Roman" w:hAnsi="Times New Roman" w:cs="Times New Roman"/>
          <w:kern w:val="0"/>
          <w:sz w:val="24"/>
          <w:szCs w:val="24"/>
          <w:lang w:eastAsia="pl-PL"/>
          <w14:ligatures w14:val="none"/>
        </w:rPr>
        <w:t xml:space="preserve">W art. 11m ust. </w:t>
      </w:r>
      <w:r w:rsidR="00460D8B">
        <w:rPr>
          <w:rFonts w:ascii="Times New Roman" w:eastAsia="Times New Roman" w:hAnsi="Times New Roman" w:cs="Times New Roman"/>
          <w:kern w:val="0"/>
          <w:sz w:val="24"/>
          <w:szCs w:val="24"/>
          <w:lang w:eastAsia="pl-PL"/>
          <w14:ligatures w14:val="none"/>
        </w:rPr>
        <w:t>4</w:t>
      </w:r>
      <w:r w:rsidRPr="002B56D8">
        <w:rPr>
          <w:rFonts w:ascii="Times New Roman" w:eastAsia="Times New Roman" w:hAnsi="Times New Roman" w:cs="Times New Roman"/>
          <w:kern w:val="0"/>
          <w:sz w:val="24"/>
          <w:szCs w:val="24"/>
          <w:lang w:eastAsia="pl-PL"/>
          <w14:ligatures w14:val="none"/>
        </w:rPr>
        <w:t xml:space="preserve"> projektowanej ustawy przewidziano publikację decyzji, o której mowa w art. 11m ust. 1</w:t>
      </w:r>
      <w:r w:rsidR="00460D8B">
        <w:rPr>
          <w:rFonts w:ascii="Times New Roman" w:eastAsia="Times New Roman" w:hAnsi="Times New Roman" w:cs="Times New Roman"/>
          <w:kern w:val="0"/>
          <w:sz w:val="24"/>
          <w:szCs w:val="24"/>
          <w:lang w:eastAsia="pl-PL"/>
          <w14:ligatures w14:val="none"/>
        </w:rPr>
        <w:t xml:space="preserve"> pkt 1</w:t>
      </w:r>
      <w:r w:rsidRPr="002B56D8">
        <w:rPr>
          <w:rFonts w:ascii="Times New Roman" w:eastAsia="Times New Roman" w:hAnsi="Times New Roman" w:cs="Times New Roman"/>
          <w:kern w:val="0"/>
          <w:sz w:val="24"/>
          <w:szCs w:val="24"/>
          <w:lang w:eastAsia="pl-PL"/>
          <w14:ligatures w14:val="none"/>
        </w:rPr>
        <w:t xml:space="preserve">, przez właściwy organ na stronie internetowej urzędu obsługującego ten organ. Rozwiązanie ma na celu osiągnięcie pełnej transparentności funkcjonowania Prezesa UKE i Przewodniczącego KRRiT w zakresie wydawanych nakazów. Transparentność ta jest kluczowa dla odpowiedniego i rzetelnego procesu wydawania decyzji. Przepis zainspirowany jest </w:t>
      </w:r>
      <w:r w:rsidRPr="002B56D8">
        <w:rPr>
          <w:rFonts w:ascii="Times New Roman" w:eastAsia="Times New Roman" w:hAnsi="Times New Roman" w:cs="Times New Roman"/>
          <w:kern w:val="0"/>
          <w:sz w:val="24"/>
          <w:szCs w:val="24"/>
          <w:lang w:eastAsia="pl-PL"/>
          <w14:ligatures w14:val="none"/>
        </w:rPr>
        <w:lastRenderedPageBreak/>
        <w:t>analogicznym przepisem z ustawy z dnia 16 lutego 2007 r.</w:t>
      </w:r>
      <w:r w:rsidR="00841BB9">
        <w:rPr>
          <w:rFonts w:ascii="Times New Roman" w:eastAsia="Times New Roman" w:hAnsi="Times New Roman" w:cs="Times New Roman"/>
          <w:kern w:val="0"/>
          <w:sz w:val="24"/>
          <w:szCs w:val="24"/>
          <w:lang w:eastAsia="pl-PL"/>
          <w14:ligatures w14:val="none"/>
        </w:rPr>
        <w:t xml:space="preserve"> o ochronie konkurencji i konsumentów</w:t>
      </w:r>
      <w:r w:rsidRPr="002B56D8">
        <w:rPr>
          <w:rFonts w:ascii="Times New Roman" w:eastAsia="Times New Roman" w:hAnsi="Times New Roman" w:cs="Times New Roman"/>
          <w:kern w:val="0"/>
          <w:sz w:val="24"/>
          <w:szCs w:val="24"/>
          <w:lang w:eastAsia="pl-PL"/>
          <w14:ligatures w14:val="none"/>
        </w:rPr>
        <w:t>, który wiąże obecnie Prezesa UOKiK obowiązkiem publikacji wydawanych decyzji</w:t>
      </w:r>
      <w:r w:rsidR="00E417E9">
        <w:rPr>
          <w:rFonts w:ascii="Times New Roman" w:eastAsia="Times New Roman" w:hAnsi="Times New Roman" w:cs="Times New Roman"/>
          <w:kern w:val="0"/>
          <w:sz w:val="24"/>
          <w:szCs w:val="24"/>
          <w:lang w:eastAsia="pl-PL"/>
          <w14:ligatures w14:val="none"/>
        </w:rPr>
        <w:t xml:space="preserve"> (art. 31b)</w:t>
      </w:r>
      <w:r w:rsidRPr="002B56D8">
        <w:rPr>
          <w:rFonts w:ascii="Times New Roman" w:eastAsia="Times New Roman" w:hAnsi="Times New Roman" w:cs="Times New Roman"/>
          <w:kern w:val="0"/>
          <w:sz w:val="24"/>
          <w:szCs w:val="24"/>
          <w:lang w:eastAsia="pl-PL"/>
          <w14:ligatures w14:val="none"/>
        </w:rPr>
        <w:t>.</w:t>
      </w:r>
    </w:p>
    <w:p w14:paraId="69FFA877" w14:textId="4A088ECF" w:rsidR="00A00DF8" w:rsidRPr="002B56D8" w:rsidRDefault="00A00DF8" w:rsidP="00102EEE">
      <w:pPr>
        <w:autoSpaceDE w:val="0"/>
        <w:autoSpaceDN w:val="0"/>
        <w:adjustRightInd w:val="0"/>
        <w:spacing w:before="120" w:after="0" w:line="360" w:lineRule="auto"/>
        <w:jc w:val="both"/>
        <w:rPr>
          <w:rFonts w:ascii="Times New Roman" w:eastAsia="MS Mincho" w:hAnsi="Times New Roman" w:cs="Times New Roman"/>
          <w:kern w:val="0"/>
          <w:sz w:val="24"/>
          <w:szCs w:val="24"/>
          <w:lang w:eastAsia="pl-PL"/>
          <w14:ligatures w14:val="none"/>
        </w:rPr>
      </w:pPr>
      <w:r w:rsidRPr="002B56D8">
        <w:rPr>
          <w:rFonts w:ascii="Times New Roman" w:eastAsia="Times New Roman" w:hAnsi="Times New Roman" w:cs="Times New Roman"/>
          <w:kern w:val="0"/>
          <w:sz w:val="24"/>
          <w:szCs w:val="24"/>
          <w:lang w:eastAsia="pl-PL"/>
          <w14:ligatures w14:val="none"/>
        </w:rPr>
        <w:t xml:space="preserve">W art. 11n przewidziano utworzenie odrębnego rejestru domen </w:t>
      </w:r>
      <w:r w:rsidR="003A2037">
        <w:rPr>
          <w:rFonts w:ascii="Times New Roman" w:eastAsia="Times New Roman" w:hAnsi="Times New Roman" w:cs="Times New Roman"/>
          <w:kern w:val="0"/>
          <w:sz w:val="24"/>
          <w:szCs w:val="24"/>
          <w:lang w:eastAsia="pl-PL"/>
          <w14:ligatures w14:val="none"/>
        </w:rPr>
        <w:t xml:space="preserve">internetowych </w:t>
      </w:r>
      <w:r w:rsidRPr="002B56D8">
        <w:rPr>
          <w:rFonts w:ascii="Times New Roman" w:eastAsia="Times New Roman" w:hAnsi="Times New Roman" w:cs="Times New Roman"/>
          <w:kern w:val="0"/>
          <w:sz w:val="24"/>
          <w:szCs w:val="24"/>
          <w:lang w:eastAsia="pl-PL"/>
          <w14:ligatures w14:val="none"/>
        </w:rPr>
        <w:t xml:space="preserve">wykorzystywanych do rozpowszechniania nielegalnych treści prowadzonego przez Prezesa UKE. Celem </w:t>
      </w:r>
      <w:r w:rsidR="003A2037">
        <w:rPr>
          <w:rFonts w:ascii="Times New Roman" w:eastAsia="Times New Roman" w:hAnsi="Times New Roman" w:cs="Times New Roman"/>
          <w:kern w:val="0"/>
          <w:sz w:val="24"/>
          <w:szCs w:val="24"/>
          <w:lang w:eastAsia="pl-PL"/>
          <w14:ligatures w14:val="none"/>
        </w:rPr>
        <w:t>P</w:t>
      </w:r>
      <w:r w:rsidRPr="002B56D8">
        <w:rPr>
          <w:rFonts w:ascii="Times New Roman" w:eastAsia="Times New Roman" w:hAnsi="Times New Roman" w:cs="Times New Roman"/>
          <w:kern w:val="0"/>
          <w:sz w:val="24"/>
          <w:szCs w:val="24"/>
          <w:lang w:eastAsia="pl-PL"/>
          <w14:ligatures w14:val="none"/>
        </w:rPr>
        <w:t>rojektodawcy jest zapewnienie ograniczonego dostępu do rejestru, z uwagi na chęć uniknięcia promowania domen, które mogą mieć charakter przestępczy i które mogłyby stanowić zachętę do obchodzenia blok</w:t>
      </w:r>
      <w:r w:rsidRPr="002B56D8">
        <w:rPr>
          <w:rFonts w:ascii="Times New Roman" w:eastAsia="MS Mincho" w:hAnsi="Times New Roman" w:cs="Times New Roman"/>
          <w:kern w:val="0"/>
          <w:sz w:val="24"/>
          <w:szCs w:val="24"/>
          <w:lang w:eastAsia="pl-PL"/>
          <w14:ligatures w14:val="none"/>
        </w:rPr>
        <w:t xml:space="preserve">ady. Do dokonania wpisu do rejestru </w:t>
      </w:r>
      <w:r w:rsidRPr="002B56D8">
        <w:rPr>
          <w:rFonts w:ascii="Times New Roman" w:eastAsia="Times New Roman" w:hAnsi="Times New Roman" w:cs="Times New Roman"/>
          <w:kern w:val="0"/>
          <w:sz w:val="24"/>
          <w:szCs w:val="24"/>
          <w:lang w:eastAsia="pl-PL"/>
          <w14:ligatures w14:val="none"/>
        </w:rPr>
        <w:t xml:space="preserve">niezbędna </w:t>
      </w:r>
      <w:r w:rsidRPr="002B56D8">
        <w:rPr>
          <w:rFonts w:ascii="Times New Roman" w:eastAsia="MS Mincho" w:hAnsi="Times New Roman" w:cs="Times New Roman"/>
          <w:kern w:val="0"/>
          <w:sz w:val="24"/>
          <w:szCs w:val="24"/>
          <w:lang w:eastAsia="pl-PL"/>
          <w14:ligatures w14:val="none"/>
        </w:rPr>
        <w:t>będzie jedynie nazwa takiej domeny. W</w:t>
      </w:r>
      <w:r w:rsidRPr="002B56D8">
        <w:rPr>
          <w:rFonts w:ascii="Times New Roman" w:eastAsia="Times New Roman" w:hAnsi="Times New Roman" w:cs="Times New Roman"/>
          <w:kern w:val="0"/>
          <w:sz w:val="24"/>
          <w:szCs w:val="24"/>
          <w:lang w:eastAsia="pl-PL"/>
          <w14:ligatures w14:val="none"/>
        </w:rPr>
        <w:t>pis domeny internetowej do rejestru stanowi czynność materialno</w:t>
      </w:r>
      <w:r w:rsidR="003A2037">
        <w:rPr>
          <w:rFonts w:ascii="Times New Roman" w:eastAsia="Times New Roman" w:hAnsi="Times New Roman" w:cs="Times New Roman"/>
          <w:kern w:val="0"/>
          <w:sz w:val="24"/>
          <w:szCs w:val="24"/>
          <w:lang w:eastAsia="pl-PL"/>
          <w14:ligatures w14:val="none"/>
        </w:rPr>
        <w:t>-</w:t>
      </w:r>
      <w:r w:rsidRPr="002B56D8">
        <w:rPr>
          <w:rFonts w:ascii="Times New Roman" w:eastAsia="Times New Roman" w:hAnsi="Times New Roman" w:cs="Times New Roman"/>
          <w:kern w:val="0"/>
          <w:sz w:val="24"/>
          <w:szCs w:val="24"/>
          <w:lang w:eastAsia="pl-PL"/>
          <w14:ligatures w14:val="none"/>
        </w:rPr>
        <w:t xml:space="preserve">techniczną. </w:t>
      </w:r>
      <w:r w:rsidRPr="002B56D8">
        <w:rPr>
          <w:rFonts w:ascii="Times New Roman" w:eastAsia="MS Mincho" w:hAnsi="Times New Roman" w:cs="Times New Roman"/>
          <w:kern w:val="0"/>
          <w:sz w:val="24"/>
          <w:szCs w:val="24"/>
          <w:lang w:eastAsia="pl-PL"/>
          <w14:ligatures w14:val="none"/>
        </w:rPr>
        <w:t xml:space="preserve">W kwestii określenia zakresu podmiotowego adresatów obowiązków technicznych </w:t>
      </w:r>
      <w:r w:rsidRPr="002B56D8">
        <w:rPr>
          <w:rFonts w:ascii="Times New Roman" w:eastAsia="Times New Roman" w:hAnsi="Times New Roman" w:cs="Times New Roman"/>
          <w:kern w:val="0"/>
          <w:sz w:val="24"/>
          <w:szCs w:val="24"/>
          <w:lang w:eastAsia="pl-PL"/>
          <w14:ligatures w14:val="none"/>
        </w:rPr>
        <w:t>dotyczącyc</w:t>
      </w:r>
      <w:r w:rsidRPr="002B56D8">
        <w:rPr>
          <w:rFonts w:ascii="Times New Roman" w:eastAsia="MS Mincho" w:hAnsi="Times New Roman" w:cs="Times New Roman"/>
          <w:kern w:val="0"/>
          <w:sz w:val="24"/>
          <w:szCs w:val="24"/>
          <w:lang w:eastAsia="pl-PL"/>
          <w14:ligatures w14:val="none"/>
        </w:rPr>
        <w:t>h rejestru domen zastosowano analogiczne rozwiązani</w:t>
      </w:r>
      <w:r w:rsidR="00B35BE0">
        <w:rPr>
          <w:rFonts w:ascii="Times New Roman" w:eastAsia="MS Mincho" w:hAnsi="Times New Roman" w:cs="Times New Roman"/>
          <w:kern w:val="0"/>
          <w:sz w:val="24"/>
          <w:szCs w:val="24"/>
          <w:lang w:eastAsia="pl-PL"/>
          <w14:ligatures w14:val="none"/>
        </w:rPr>
        <w:t>a</w:t>
      </w:r>
      <w:r w:rsidRPr="002B56D8">
        <w:rPr>
          <w:rFonts w:ascii="Times New Roman" w:eastAsia="MS Mincho" w:hAnsi="Times New Roman" w:cs="Times New Roman"/>
          <w:kern w:val="0"/>
          <w:sz w:val="24"/>
          <w:szCs w:val="24"/>
          <w:lang w:eastAsia="pl-PL"/>
          <w14:ligatures w14:val="none"/>
        </w:rPr>
        <w:t xml:space="preserve"> jak w </w:t>
      </w:r>
      <w:r w:rsidR="00B35BE0" w:rsidRPr="002B56D8">
        <w:rPr>
          <w:rFonts w:ascii="Times New Roman" w:eastAsia="MS Mincho" w:hAnsi="Times New Roman" w:cs="Times New Roman"/>
          <w:kern w:val="0"/>
          <w:sz w:val="24"/>
          <w:szCs w:val="24"/>
          <w:lang w:eastAsia="pl-PL"/>
          <w14:ligatures w14:val="none"/>
        </w:rPr>
        <w:t>obowiązują</w:t>
      </w:r>
      <w:r w:rsidR="00B35BE0">
        <w:rPr>
          <w:rFonts w:ascii="Times New Roman" w:eastAsia="MS Mincho" w:hAnsi="Times New Roman" w:cs="Times New Roman"/>
          <w:kern w:val="0"/>
          <w:sz w:val="24"/>
          <w:szCs w:val="24"/>
          <w:lang w:eastAsia="pl-PL"/>
          <w14:ligatures w14:val="none"/>
        </w:rPr>
        <w:t>cej</w:t>
      </w:r>
      <w:r w:rsidR="00B35BE0" w:rsidRPr="002B56D8">
        <w:rPr>
          <w:rFonts w:ascii="Times New Roman" w:eastAsia="MS Mincho" w:hAnsi="Times New Roman" w:cs="Times New Roman"/>
          <w:kern w:val="0"/>
          <w:sz w:val="24"/>
          <w:szCs w:val="24"/>
          <w:lang w:eastAsia="pl-PL"/>
          <w14:ligatures w14:val="none"/>
        </w:rPr>
        <w:t xml:space="preserve"> </w:t>
      </w:r>
      <w:r w:rsidRPr="002B56D8">
        <w:rPr>
          <w:rFonts w:ascii="Times New Roman" w:eastAsia="MS Mincho" w:hAnsi="Times New Roman" w:cs="Times New Roman"/>
          <w:kern w:val="0"/>
          <w:sz w:val="24"/>
          <w:szCs w:val="24"/>
          <w:lang w:eastAsia="pl-PL"/>
          <w14:ligatures w14:val="none"/>
        </w:rPr>
        <w:t>ustawie z dnia 19 listopada 2009 r. o grach hazardowych oraz w ustawie z dnia 28 lipca 2023</w:t>
      </w:r>
      <w:r w:rsidR="00B35BE0">
        <w:rPr>
          <w:rFonts w:ascii="Times New Roman" w:eastAsia="MS Mincho" w:hAnsi="Times New Roman" w:cs="Times New Roman"/>
          <w:kern w:val="0"/>
          <w:sz w:val="24"/>
          <w:szCs w:val="24"/>
          <w:lang w:eastAsia="pl-PL"/>
          <w14:ligatures w14:val="none"/>
        </w:rPr>
        <w:t> </w:t>
      </w:r>
      <w:r w:rsidRPr="002B56D8">
        <w:rPr>
          <w:rFonts w:ascii="Times New Roman" w:eastAsia="MS Mincho" w:hAnsi="Times New Roman" w:cs="Times New Roman"/>
          <w:kern w:val="0"/>
          <w:sz w:val="24"/>
          <w:szCs w:val="24"/>
          <w:lang w:eastAsia="pl-PL"/>
          <w14:ligatures w14:val="none"/>
        </w:rPr>
        <w:t>r. o zwalczaniu nadużyć w komunikacji elektronicznej. Automatyczne przekazanie przedsiębiorcy telekomunikacyjnemu informacji zawartych w rejestrze będzie następowało dzięki podpięciu się przedsiębiorców do rejestru.</w:t>
      </w:r>
    </w:p>
    <w:p w14:paraId="0FEEBAE5" w14:textId="77777777"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MS Mincho" w:hAnsi="Times New Roman" w:cs="Times New Roman"/>
          <w:kern w:val="0"/>
          <w:sz w:val="24"/>
          <w:szCs w:val="24"/>
          <w:lang w:eastAsia="pl-PL"/>
          <w14:ligatures w14:val="none"/>
        </w:rPr>
        <w:t>Aby zapewnić stronom postępowan</w:t>
      </w:r>
      <w:r w:rsidRPr="002B56D8">
        <w:rPr>
          <w:rFonts w:ascii="Times New Roman" w:eastAsia="Times New Roman" w:hAnsi="Times New Roman" w:cs="Times New Roman"/>
          <w:kern w:val="3"/>
          <w:sz w:val="24"/>
          <w:szCs w:val="24"/>
          <w:lang w:eastAsia="pl-PL"/>
          <w14:ligatures w14:val="none"/>
        </w:rPr>
        <w:t>ia ścieżkę odwoławczą, została wprowadzona możliwość wniesienia sprzeciwu do sądu powszechnego, który rozpatrzy go w trybie nieprocesowym.</w:t>
      </w:r>
    </w:p>
    <w:p w14:paraId="5484989D" w14:textId="5F752003"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Rozpatrzenie sprzeciwu powinno nastąpić w postępowaniu nieprocesowym, ponieważ nie występuje tu klasyczny spór o prawo. Projekt zapewnia wysoki standard ochrony usługobiorców, ponieważ sąd będzie badał</w:t>
      </w:r>
      <w:r w:rsidR="002343BD">
        <w:rPr>
          <w:rFonts w:ascii="Times New Roman" w:eastAsia="Times New Roman" w:hAnsi="Times New Roman" w:cs="Times New Roman"/>
          <w:kern w:val="3"/>
          <w:sz w:val="24"/>
          <w:szCs w:val="24"/>
          <w:lang w:eastAsia="pl-PL"/>
          <w14:ligatures w14:val="none"/>
        </w:rPr>
        <w:t>,</w:t>
      </w:r>
      <w:r w:rsidRPr="002B56D8">
        <w:rPr>
          <w:rFonts w:ascii="Times New Roman" w:eastAsia="Times New Roman" w:hAnsi="Times New Roman" w:cs="Times New Roman"/>
          <w:kern w:val="3"/>
          <w:sz w:val="24"/>
          <w:szCs w:val="24"/>
          <w:lang w:eastAsia="pl-PL"/>
          <w14:ligatures w14:val="none"/>
        </w:rPr>
        <w:t xml:space="preserve"> czy dana treść informacji wypełnia znamiona czynu zabronionego, określonego w art. 11a, a więc przez odwołanie do kryterium obiektywnego. Powierzając sądom realizację tego społecznie ważnego zadania, </w:t>
      </w:r>
      <w:r w:rsidR="002343BD">
        <w:rPr>
          <w:rFonts w:ascii="Times New Roman" w:eastAsia="Times New Roman" w:hAnsi="Times New Roman" w:cs="Times New Roman"/>
          <w:kern w:val="3"/>
          <w:sz w:val="24"/>
          <w:szCs w:val="24"/>
          <w:lang w:eastAsia="pl-PL"/>
          <w14:ligatures w14:val="none"/>
        </w:rPr>
        <w:t>P</w:t>
      </w:r>
      <w:r w:rsidRPr="002B56D8">
        <w:rPr>
          <w:rFonts w:ascii="Times New Roman" w:eastAsia="Times New Roman" w:hAnsi="Times New Roman" w:cs="Times New Roman"/>
          <w:kern w:val="3"/>
          <w:sz w:val="24"/>
          <w:szCs w:val="24"/>
          <w:lang w:eastAsia="pl-PL"/>
          <w14:ligatures w14:val="none"/>
        </w:rPr>
        <w:t xml:space="preserve">rojektodawca kieruje się dynamiką szkód wyrządzanych przez rozpowszechnianie nielegalnych treści w internecie. </w:t>
      </w:r>
    </w:p>
    <w:p w14:paraId="7DDFAC6D" w14:textId="2B59FB51"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Z wyjątkiem przypadku, o którym mowa w projektowanym art. 11m ust. 3, decyzji nie można nadać rygoru natychmiastowej wykonalności.</w:t>
      </w:r>
      <w:r w:rsidRPr="002B56D8">
        <w:rPr>
          <w:rFonts w:ascii="Times New Roman" w:eastAsia="Times New Roman" w:hAnsi="Times New Roman" w:cs="Times New Roman"/>
          <w:sz w:val="24"/>
          <w:szCs w:val="24"/>
          <w:lang w:eastAsia="pl-PL"/>
        </w:rPr>
        <w:t xml:space="preserve"> Brak możliwości zastosowania rygoru natychmiastowej wykonalności w przypadku wydania nakazu uniemożliwienia dostępu do nielegalnej treści jest uzasadniony zapewnieniem skuteczniejszej kontroli sądowej decyzji podejmowanych przez Prezesa UKE lub Przewodniczącego </w:t>
      </w:r>
      <w:r w:rsidR="002343BD">
        <w:rPr>
          <w:rFonts w:ascii="Times New Roman" w:eastAsia="Times New Roman" w:hAnsi="Times New Roman" w:cs="Times New Roman"/>
          <w:sz w:val="24"/>
          <w:szCs w:val="24"/>
          <w:lang w:eastAsia="pl-PL"/>
        </w:rPr>
        <w:t>KRRiT</w:t>
      </w:r>
      <w:r w:rsidRPr="002B56D8">
        <w:rPr>
          <w:rFonts w:ascii="Times New Roman" w:eastAsia="Times New Roman" w:hAnsi="Times New Roman" w:cs="Times New Roman"/>
          <w:sz w:val="24"/>
          <w:szCs w:val="24"/>
          <w:lang w:eastAsia="pl-PL"/>
        </w:rPr>
        <w:t>. Takie rozwiązanie jest korzystne dla autora zakwestionowanej treści, daje bowiem czas na wniesienie sprzeciwu do sądu powszechnego, bez ponoszenia negatywnych konsekwencji związanych z wykonaniem decyzji administracyjnej. Analogicznie do wydanej decyzji w zakresie usunięcia ograniczeń nałożonych przez dostawcę usług pośrednich na usługobiorcę, proponowany przepis umożliwi wniesienie sprzeciwu od decyzji bez konieczności wykonania jej przed rozstrzygnięciem sądu.</w:t>
      </w:r>
    </w:p>
    <w:p w14:paraId="08E6D94C" w14:textId="63BCB4BF"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lastRenderedPageBreak/>
        <w:t>Projektując regulacje dotyczące postępowania nakazowego</w:t>
      </w:r>
      <w:r w:rsidR="002343BD">
        <w:rPr>
          <w:rFonts w:ascii="Times New Roman" w:eastAsia="Times New Roman" w:hAnsi="Times New Roman" w:cs="Times New Roman"/>
          <w:kern w:val="3"/>
          <w:sz w:val="24"/>
          <w:szCs w:val="24"/>
          <w:lang w:eastAsia="pl-PL"/>
          <w14:ligatures w14:val="none"/>
        </w:rPr>
        <w:t>,</w:t>
      </w:r>
      <w:r w:rsidRPr="002B56D8">
        <w:rPr>
          <w:rFonts w:ascii="Times New Roman" w:eastAsia="Times New Roman" w:hAnsi="Times New Roman" w:cs="Times New Roman"/>
          <w:kern w:val="3"/>
          <w:sz w:val="24"/>
          <w:szCs w:val="24"/>
          <w:lang w:eastAsia="pl-PL"/>
          <w14:ligatures w14:val="none"/>
        </w:rPr>
        <w:t xml:space="preserve"> </w:t>
      </w:r>
      <w:r w:rsidR="002343BD">
        <w:rPr>
          <w:rFonts w:ascii="Times New Roman" w:eastAsia="Times New Roman" w:hAnsi="Times New Roman" w:cs="Times New Roman"/>
          <w:kern w:val="3"/>
          <w:sz w:val="24"/>
          <w:szCs w:val="24"/>
          <w:lang w:eastAsia="pl-PL"/>
          <w14:ligatures w14:val="none"/>
        </w:rPr>
        <w:t>P</w:t>
      </w:r>
      <w:r w:rsidRPr="002B56D8">
        <w:rPr>
          <w:rFonts w:ascii="Times New Roman" w:eastAsia="Times New Roman" w:hAnsi="Times New Roman" w:cs="Times New Roman"/>
          <w:kern w:val="3"/>
          <w:sz w:val="24"/>
          <w:szCs w:val="24"/>
          <w:lang w:eastAsia="pl-PL"/>
          <w14:ligatures w14:val="none"/>
        </w:rPr>
        <w:t>rojektodawca kierował się realną potrzebą wprowadzenia w polskim systemie prawnym przystających do funkcjonujących obecnie w sieci form komunikacji środków prawnych zapewniających jak najszybszą ochronę prawną. Dzięki przyjętemu modelowi postępowania wnioskodawcy zyskają możliwość uzyskania bardzo szybkiej ochrony prawnej.</w:t>
      </w:r>
    </w:p>
    <w:p w14:paraId="1B2AEA4A" w14:textId="107405DA"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Mając zatem na względzie specyfikę postępowania w sprawie wydania nakazów blokowania dostępu do nielegalnych treści</w:t>
      </w:r>
      <w:r w:rsidR="00B35BE0">
        <w:rPr>
          <w:rFonts w:ascii="Times New Roman" w:eastAsia="Times New Roman" w:hAnsi="Times New Roman" w:cs="Times New Roman"/>
          <w:kern w:val="3"/>
          <w:sz w:val="24"/>
          <w:szCs w:val="24"/>
          <w:lang w:eastAsia="pl-PL"/>
          <w14:ligatures w14:val="none"/>
        </w:rPr>
        <w:t>,</w:t>
      </w:r>
      <w:r w:rsidRPr="002B56D8">
        <w:rPr>
          <w:rFonts w:ascii="Times New Roman" w:eastAsia="Times New Roman" w:hAnsi="Times New Roman" w:cs="Times New Roman"/>
          <w:kern w:val="3"/>
          <w:sz w:val="24"/>
          <w:szCs w:val="24"/>
          <w:lang w:eastAsia="pl-PL"/>
          <w14:ligatures w14:val="none"/>
        </w:rPr>
        <w:t xml:space="preserve"> uznano, że odesłanie do szeregu przepisów ustawy </w:t>
      </w:r>
      <w:r w:rsidR="004F23A0">
        <w:rPr>
          <w:rFonts w:ascii="Times New Roman" w:eastAsia="Times New Roman" w:hAnsi="Times New Roman" w:cs="Times New Roman"/>
          <w:kern w:val="3"/>
          <w:sz w:val="24"/>
          <w:szCs w:val="24"/>
          <w:lang w:eastAsia="pl-PL"/>
          <w14:ligatures w14:val="none"/>
        </w:rPr>
        <w:t>z dnia 14 czerwca 1960 r. – Kodeks postępowania administracyjnego</w:t>
      </w:r>
      <w:r w:rsidRPr="002B56D8">
        <w:rPr>
          <w:rFonts w:ascii="Times New Roman" w:eastAsia="Times New Roman" w:hAnsi="Times New Roman" w:cs="Times New Roman"/>
          <w:kern w:val="3"/>
          <w:sz w:val="24"/>
          <w:szCs w:val="24"/>
          <w:lang w:eastAsia="pl-PL"/>
          <w14:ligatures w14:val="none"/>
        </w:rPr>
        <w:t xml:space="preserve"> nie byłoby celowe. W szczególności należy zwrócić uwagę, iż w projekcie ustawy zawarto autonomiczne regulacje odnoszące się </w:t>
      </w:r>
      <w:r w:rsidR="004F23A0">
        <w:rPr>
          <w:rFonts w:ascii="Times New Roman" w:eastAsia="Times New Roman" w:hAnsi="Times New Roman" w:cs="Times New Roman"/>
          <w:kern w:val="3"/>
          <w:sz w:val="24"/>
          <w:szCs w:val="24"/>
          <w:lang w:eastAsia="pl-PL"/>
          <w14:ligatures w14:val="none"/>
        </w:rPr>
        <w:t>m.in.</w:t>
      </w:r>
      <w:r w:rsidRPr="002B56D8">
        <w:rPr>
          <w:rFonts w:ascii="Times New Roman" w:eastAsia="Times New Roman" w:hAnsi="Times New Roman" w:cs="Times New Roman"/>
          <w:kern w:val="3"/>
          <w:sz w:val="24"/>
          <w:szCs w:val="24"/>
          <w:lang w:eastAsia="pl-PL"/>
          <w14:ligatures w14:val="none"/>
        </w:rPr>
        <w:t xml:space="preserve"> do oznaczenia stron postępowania, do katalogu dowodów, których dopuszczenie jest możliwe przed Prezesem UKE, a także ich trybu procedowania. Specyfika postępowania w sprawie nakazów blokowania dostępu do nielegalnych treści, ze względów „technicznych”, np. z uwagi na czas trwania postępowania, nie pozwala na udział organizacji społecznych, zasady wysłuchania stron oraz zawiera autonomiczną regulację np. co do tego, kto jest stroną i w jakiej formie następuje przedstawienie stanowiska strony.</w:t>
      </w:r>
    </w:p>
    <w:p w14:paraId="586ADCC4" w14:textId="0752A926" w:rsidR="00A00DF8" w:rsidRPr="002B56D8" w:rsidRDefault="00A00DF8" w:rsidP="00102EEE">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2B56D8">
        <w:rPr>
          <w:rFonts w:ascii="Times New Roman" w:eastAsia="Times New Roman" w:hAnsi="Times New Roman" w:cs="Times New Roman"/>
          <w:kern w:val="0"/>
          <w:sz w:val="24"/>
          <w:szCs w:val="24"/>
          <w:lang w:eastAsia="pl-PL"/>
          <w14:ligatures w14:val="none"/>
        </w:rPr>
        <w:t xml:space="preserve">W art. 11r wskazano, że uprawnienia Policji, o których mowa w </w:t>
      </w:r>
      <w:r w:rsidR="00747EFE">
        <w:rPr>
          <w:rFonts w:ascii="Times New Roman" w:eastAsia="Times New Roman" w:hAnsi="Times New Roman" w:cs="Times New Roman"/>
          <w:kern w:val="0"/>
          <w:sz w:val="24"/>
          <w:szCs w:val="24"/>
          <w:lang w:eastAsia="pl-PL"/>
          <w14:ligatures w14:val="none"/>
        </w:rPr>
        <w:t>rozdziale 2a</w:t>
      </w:r>
      <w:r w:rsidRPr="002B56D8">
        <w:rPr>
          <w:rFonts w:ascii="Times New Roman" w:eastAsia="Times New Roman" w:hAnsi="Times New Roman" w:cs="Times New Roman"/>
          <w:kern w:val="0"/>
          <w:sz w:val="24"/>
          <w:szCs w:val="24"/>
          <w:lang w:eastAsia="pl-PL"/>
          <w14:ligatures w14:val="none"/>
        </w:rPr>
        <w:t>, przysługują także organom Straży Granicznej w zakresie wniosku o wydanie nakazu podjęcia działań przeciwko nielegalnym treściom polegając</w:t>
      </w:r>
      <w:r w:rsidR="00747EFE">
        <w:rPr>
          <w:rFonts w:ascii="Times New Roman" w:eastAsia="Times New Roman" w:hAnsi="Times New Roman" w:cs="Times New Roman"/>
          <w:kern w:val="0"/>
          <w:sz w:val="24"/>
          <w:szCs w:val="24"/>
          <w:lang w:eastAsia="pl-PL"/>
          <w14:ligatures w14:val="none"/>
        </w:rPr>
        <w:t>ych</w:t>
      </w:r>
      <w:r w:rsidRPr="002B56D8">
        <w:rPr>
          <w:rFonts w:ascii="Times New Roman" w:eastAsia="Times New Roman" w:hAnsi="Times New Roman" w:cs="Times New Roman"/>
          <w:kern w:val="0"/>
          <w:sz w:val="24"/>
          <w:szCs w:val="24"/>
          <w:lang w:eastAsia="pl-PL"/>
          <w14:ligatures w14:val="none"/>
        </w:rPr>
        <w:t xml:space="preserve"> na uniemożliwieniu dostępu do nielegalnych treści występujących w usłudze świadczonej przez dostawcę usług pośrednich, których rozpowszechnianie może wyczerpywać znamiona czynu zabronionego określonego w art. 189a (przestępstwo handlu ludźmi), art. 264 § 2–4 (nielegalne przekroczenie granicy) lub art. 264a (umożliwienie nielegalnego pobytu na terytorium RP) ustawy z dnia 6 czerwca 1997 r. – Kodeks karny.</w:t>
      </w:r>
    </w:p>
    <w:p w14:paraId="16A43AC6" w14:textId="092FC02B"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Projekt ustawy nie zawiera przepisów technicznych w rozumieniu przepisów </w:t>
      </w:r>
      <w:r w:rsidR="00B35BE0">
        <w:rPr>
          <w:rFonts w:ascii="Times New Roman" w:eastAsia="Times New Roman" w:hAnsi="Times New Roman" w:cs="Times New Roman"/>
          <w:kern w:val="3"/>
          <w:sz w:val="24"/>
          <w:szCs w:val="24"/>
          <w:lang w:eastAsia="pl-PL"/>
          <w14:ligatures w14:val="none"/>
        </w:rPr>
        <w:t>r</w:t>
      </w:r>
      <w:r w:rsidRPr="002B56D8">
        <w:rPr>
          <w:rFonts w:ascii="Times New Roman" w:eastAsia="Times New Roman" w:hAnsi="Times New Roman" w:cs="Times New Roman"/>
          <w:kern w:val="3"/>
          <w:sz w:val="24"/>
          <w:szCs w:val="24"/>
          <w:lang w:eastAsia="pl-PL"/>
          <w14:ligatures w14:val="none"/>
        </w:rPr>
        <w:t>ozporządzenia Rady Ministrów z dnia 23 grudnia 2002 r. w sprawie sposobu funkcjonowania krajowego systemu notyfikacji norm i aktów prawnych (Dz. U. poz. 2039, z późn. zm.) i w związku z tym nie podlega procedurze notyfikacji.</w:t>
      </w:r>
    </w:p>
    <w:p w14:paraId="356F832A" w14:textId="07EBEF4A"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 xml:space="preserve">Projekt ustawy jest zgodny z przepisami prawa </w:t>
      </w:r>
      <w:r w:rsidR="00290BCF">
        <w:rPr>
          <w:rFonts w:ascii="Times New Roman" w:eastAsia="Times New Roman" w:hAnsi="Times New Roman" w:cs="Times New Roman"/>
          <w:kern w:val="3"/>
          <w:sz w:val="24"/>
          <w:szCs w:val="24"/>
          <w:lang w:eastAsia="pl-PL"/>
          <w14:ligatures w14:val="none"/>
        </w:rPr>
        <w:t>UE</w:t>
      </w:r>
      <w:r w:rsidRPr="002B56D8">
        <w:rPr>
          <w:rFonts w:ascii="Times New Roman" w:eastAsia="Times New Roman" w:hAnsi="Times New Roman" w:cs="Times New Roman"/>
          <w:kern w:val="3"/>
          <w:sz w:val="24"/>
          <w:szCs w:val="24"/>
          <w:lang w:eastAsia="pl-PL"/>
          <w14:ligatures w14:val="none"/>
        </w:rPr>
        <w:t xml:space="preserve"> i służy ich stosowaniu.</w:t>
      </w:r>
    </w:p>
    <w:p w14:paraId="1207B5CE" w14:textId="77777777"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Projekt ustawy nie podlega przedstawieniu właściwym organom i instytucjom Unii Europejskiej, w tym Europejskiemu Bankowi Centralnemu, w celu uzyskania opinii, dokonania powiadomienia, konsultacji albo uzgodnienia.</w:t>
      </w:r>
    </w:p>
    <w:p w14:paraId="4CD6679E" w14:textId="0147B02B"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lastRenderedPageBreak/>
        <w:t xml:space="preserve">Wejście w życie ustawy będzie miało wpływ na funkcjonowanie gospodarki i przedsiębiorczość, w tym funkcjonowanie </w:t>
      </w:r>
      <w:proofErr w:type="spellStart"/>
      <w:r w:rsidRPr="002B56D8">
        <w:rPr>
          <w:rFonts w:ascii="Times New Roman" w:eastAsia="Times New Roman" w:hAnsi="Times New Roman" w:cs="Times New Roman"/>
          <w:kern w:val="3"/>
          <w:sz w:val="24"/>
          <w:szCs w:val="24"/>
          <w:lang w:eastAsia="pl-PL"/>
          <w14:ligatures w14:val="none"/>
        </w:rPr>
        <w:t>mikroprzedsiębiorców</w:t>
      </w:r>
      <w:proofErr w:type="spellEnd"/>
      <w:r w:rsidRPr="002B56D8">
        <w:rPr>
          <w:rFonts w:ascii="Times New Roman" w:eastAsia="Times New Roman" w:hAnsi="Times New Roman" w:cs="Times New Roman"/>
          <w:kern w:val="3"/>
          <w:sz w:val="24"/>
          <w:szCs w:val="24"/>
          <w:lang w:eastAsia="pl-PL"/>
          <w14:ligatures w14:val="none"/>
        </w:rPr>
        <w:t xml:space="preserve">, małych i średnich przedsiębiorców w związku z wyposażeniem właściwych organów w kompetencje kontrolne, zmierzające do zapewnienia skuteczności i egzekwowalności przepisów Rozporządzenia. Tym samym, w związku z wynikiem kontroli przeprowadzonej przez właściwy organ, podmioty zobowiązane </w:t>
      </w:r>
      <w:r w:rsidR="00B35BE0">
        <w:rPr>
          <w:rFonts w:ascii="Times New Roman" w:eastAsia="Times New Roman" w:hAnsi="Times New Roman" w:cs="Times New Roman"/>
          <w:kern w:val="3"/>
          <w:sz w:val="24"/>
          <w:szCs w:val="24"/>
          <w:lang w:eastAsia="pl-PL"/>
          <w14:ligatures w14:val="none"/>
        </w:rPr>
        <w:t xml:space="preserve">są </w:t>
      </w:r>
      <w:r w:rsidRPr="002B56D8">
        <w:rPr>
          <w:rFonts w:ascii="Times New Roman" w:eastAsia="Times New Roman" w:hAnsi="Times New Roman" w:cs="Times New Roman"/>
          <w:kern w:val="3"/>
          <w:sz w:val="24"/>
          <w:szCs w:val="24"/>
          <w:lang w:eastAsia="pl-PL"/>
          <w14:ligatures w14:val="none"/>
        </w:rPr>
        <w:t>do przestrzegania przepisów Rozporządzenia.</w:t>
      </w:r>
    </w:p>
    <w:p w14:paraId="5851F2B0" w14:textId="363E23A2" w:rsidR="00A00DF8" w:rsidRPr="002B56D8" w:rsidRDefault="00A00DF8" w:rsidP="00102E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2B56D8">
        <w:rPr>
          <w:rFonts w:ascii="Times New Roman" w:eastAsia="Times New Roman" w:hAnsi="Times New Roman" w:cs="Times New Roman"/>
          <w:kern w:val="3"/>
          <w:sz w:val="24"/>
          <w:szCs w:val="24"/>
          <w:lang w:eastAsia="pl-PL"/>
          <w14:ligatures w14:val="none"/>
        </w:rPr>
        <w:t>Wejście w życie ustawy będzie miało wpływ na rodzinę, obywateli, gospodarstwa domowe, osoby starsze oraz osoby niepełnosprawne – użytkownicy usług oferowanych przez usługodawców, np. użytkownicy platform społecznościowych, w związku z wejściem w życie Rozporządzenia zostaną wyposażeni w możliwość złożenia wniosku o podjęcie działań polegających na uniemożliwieniu dostępu do nielegalnych treści rozpowszechnianych za pośrednictwem usług świadczonych przez dostawców usług pośrednich.</w:t>
      </w:r>
    </w:p>
    <w:p w14:paraId="2DA42E6A" w14:textId="0E29DCC2" w:rsidR="00BF022C" w:rsidRPr="00102EEE" w:rsidRDefault="00A00DF8" w:rsidP="00102EEE">
      <w:pPr>
        <w:spacing w:before="120" w:after="0" w:line="360" w:lineRule="auto"/>
        <w:jc w:val="both"/>
        <w:rPr>
          <w:rFonts w:ascii="Times New Roman" w:hAnsi="Times New Roman" w:cs="Times New Roman"/>
          <w:sz w:val="24"/>
          <w:szCs w:val="24"/>
        </w:rPr>
      </w:pPr>
      <w:r w:rsidRPr="002B56D8">
        <w:rPr>
          <w:rFonts w:ascii="Times New Roman" w:eastAsia="Times New Roman" w:hAnsi="Times New Roman" w:cs="Times New Roman"/>
          <w:kern w:val="3"/>
          <w:sz w:val="24"/>
          <w:szCs w:val="24"/>
          <w:lang w:eastAsia="pl-PL"/>
          <w14:ligatures w14:val="none"/>
        </w:rPr>
        <w:t>Projekt ustawy stosownie do wymogów art. 5 ustawy z dnia 7 lipca 2005 r. o działalności lobbingowej w procesie stanowienia prawa (Dz. U. z 2025 r. poz. 677</w:t>
      </w:r>
      <w:r w:rsidR="00A704A8">
        <w:rPr>
          <w:rFonts w:ascii="Times New Roman" w:eastAsia="Times New Roman" w:hAnsi="Times New Roman" w:cs="Times New Roman"/>
          <w:kern w:val="3"/>
          <w:sz w:val="24"/>
          <w:szCs w:val="24"/>
          <w:lang w:eastAsia="pl-PL"/>
          <w14:ligatures w14:val="none"/>
        </w:rPr>
        <w:t>, z późn. zm.</w:t>
      </w:r>
      <w:r w:rsidRPr="002B56D8">
        <w:rPr>
          <w:rFonts w:ascii="Times New Roman" w:eastAsia="Times New Roman" w:hAnsi="Times New Roman" w:cs="Times New Roman"/>
          <w:kern w:val="3"/>
          <w:sz w:val="24"/>
          <w:szCs w:val="24"/>
          <w:lang w:eastAsia="pl-PL"/>
          <w14:ligatures w14:val="none"/>
        </w:rPr>
        <w:t>) oraz zgodnie z § 52 ust. 1 uchwały nr 190 Rady Ministrów z dnia 29 października 2013 r. – Regulamin pracy Rady Ministrów (M.P. z 2026 r. poz. 404) został zamieszczony w Biuletynie Informacji Publicznej na stronie podmiotowej Rządowego Centrum Legislacji, w serwisie Rządowy Proces Legislacyjny.</w:t>
      </w:r>
    </w:p>
    <w:sectPr w:rsidR="00BF022C" w:rsidRPr="00102EEE" w:rsidSect="002B56D8">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51F1" w14:textId="77777777" w:rsidR="00D20500" w:rsidRDefault="00D20500" w:rsidP="002B56D8">
      <w:pPr>
        <w:spacing w:after="0" w:line="240" w:lineRule="auto"/>
      </w:pPr>
      <w:r>
        <w:separator/>
      </w:r>
    </w:p>
  </w:endnote>
  <w:endnote w:type="continuationSeparator" w:id="0">
    <w:p w14:paraId="7C825F35" w14:textId="77777777" w:rsidR="00D20500" w:rsidRDefault="00D20500" w:rsidP="002B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81085"/>
      <w:docPartObj>
        <w:docPartGallery w:val="Page Numbers (Bottom of Page)"/>
        <w:docPartUnique/>
      </w:docPartObj>
    </w:sdtPr>
    <w:sdtEndPr>
      <w:rPr>
        <w:rFonts w:ascii="Times New Roman" w:hAnsi="Times New Roman" w:cs="Times New Roman"/>
        <w:sz w:val="24"/>
        <w:szCs w:val="24"/>
      </w:rPr>
    </w:sdtEndPr>
    <w:sdtContent>
      <w:p w14:paraId="2BE210E0" w14:textId="73B1BE36" w:rsidR="002B56D8" w:rsidRPr="002B56D8" w:rsidRDefault="002B56D8">
        <w:pPr>
          <w:pStyle w:val="Stopka"/>
          <w:jc w:val="center"/>
          <w:rPr>
            <w:rFonts w:ascii="Times New Roman" w:hAnsi="Times New Roman" w:cs="Times New Roman"/>
            <w:sz w:val="24"/>
            <w:szCs w:val="24"/>
          </w:rPr>
        </w:pPr>
        <w:r w:rsidRPr="002B56D8">
          <w:rPr>
            <w:rFonts w:ascii="Times New Roman" w:hAnsi="Times New Roman" w:cs="Times New Roman"/>
            <w:sz w:val="24"/>
            <w:szCs w:val="24"/>
          </w:rPr>
          <w:fldChar w:fldCharType="begin"/>
        </w:r>
        <w:r w:rsidRPr="002B56D8">
          <w:rPr>
            <w:rFonts w:ascii="Times New Roman" w:hAnsi="Times New Roman" w:cs="Times New Roman"/>
            <w:sz w:val="24"/>
            <w:szCs w:val="24"/>
          </w:rPr>
          <w:instrText>PAGE   \* MERGEFORMAT</w:instrText>
        </w:r>
        <w:r w:rsidRPr="002B56D8">
          <w:rPr>
            <w:rFonts w:ascii="Times New Roman" w:hAnsi="Times New Roman" w:cs="Times New Roman"/>
            <w:sz w:val="24"/>
            <w:szCs w:val="24"/>
          </w:rPr>
          <w:fldChar w:fldCharType="separate"/>
        </w:r>
        <w:r w:rsidRPr="002B56D8">
          <w:rPr>
            <w:rFonts w:ascii="Times New Roman" w:hAnsi="Times New Roman" w:cs="Times New Roman"/>
            <w:sz w:val="24"/>
            <w:szCs w:val="24"/>
          </w:rPr>
          <w:t>2</w:t>
        </w:r>
        <w:r w:rsidRPr="002B56D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4BFE" w14:textId="77777777" w:rsidR="00D20500" w:rsidRDefault="00D20500" w:rsidP="002B56D8">
      <w:pPr>
        <w:spacing w:after="0" w:line="240" w:lineRule="auto"/>
      </w:pPr>
      <w:r>
        <w:separator/>
      </w:r>
    </w:p>
  </w:footnote>
  <w:footnote w:type="continuationSeparator" w:id="0">
    <w:p w14:paraId="41091CDD" w14:textId="77777777" w:rsidR="00D20500" w:rsidRDefault="00D20500" w:rsidP="002B5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03"/>
    <w:multiLevelType w:val="hybridMultilevel"/>
    <w:tmpl w:val="7652B0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ECE0DA8"/>
    <w:multiLevelType w:val="hybridMultilevel"/>
    <w:tmpl w:val="B4FCB9B2"/>
    <w:lvl w:ilvl="0" w:tplc="8CC847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798826A4"/>
    <w:multiLevelType w:val="hybridMultilevel"/>
    <w:tmpl w:val="24761314"/>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435050634">
    <w:abstractNumId w:val="1"/>
  </w:num>
  <w:num w:numId="2" w16cid:durableId="539754622">
    <w:abstractNumId w:val="0"/>
  </w:num>
  <w:num w:numId="3" w16cid:durableId="107035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F8"/>
    <w:rsid w:val="00027A9B"/>
    <w:rsid w:val="00060302"/>
    <w:rsid w:val="000C0BE6"/>
    <w:rsid w:val="000C7A6F"/>
    <w:rsid w:val="000F223D"/>
    <w:rsid w:val="00102EEE"/>
    <w:rsid w:val="00112936"/>
    <w:rsid w:val="001219A5"/>
    <w:rsid w:val="001703CA"/>
    <w:rsid w:val="00196B81"/>
    <w:rsid w:val="002343BD"/>
    <w:rsid w:val="00265EB6"/>
    <w:rsid w:val="00282E6E"/>
    <w:rsid w:val="0028411F"/>
    <w:rsid w:val="00290BCF"/>
    <w:rsid w:val="002B4B75"/>
    <w:rsid w:val="002B56D8"/>
    <w:rsid w:val="002C4391"/>
    <w:rsid w:val="002C6D7F"/>
    <w:rsid w:val="00330285"/>
    <w:rsid w:val="00363971"/>
    <w:rsid w:val="003A2037"/>
    <w:rsid w:val="003E77B7"/>
    <w:rsid w:val="0041709C"/>
    <w:rsid w:val="004349C4"/>
    <w:rsid w:val="00460D8B"/>
    <w:rsid w:val="00462AD0"/>
    <w:rsid w:val="00477B36"/>
    <w:rsid w:val="004829F1"/>
    <w:rsid w:val="004C0F44"/>
    <w:rsid w:val="004C2931"/>
    <w:rsid w:val="004D46AE"/>
    <w:rsid w:val="004F23A0"/>
    <w:rsid w:val="00546D97"/>
    <w:rsid w:val="00554C93"/>
    <w:rsid w:val="005C1C75"/>
    <w:rsid w:val="005F40DF"/>
    <w:rsid w:val="0061549E"/>
    <w:rsid w:val="00692229"/>
    <w:rsid w:val="00747EFE"/>
    <w:rsid w:val="00796B26"/>
    <w:rsid w:val="00833EDE"/>
    <w:rsid w:val="00841BB9"/>
    <w:rsid w:val="008505A2"/>
    <w:rsid w:val="008B7311"/>
    <w:rsid w:val="008E6BA6"/>
    <w:rsid w:val="0090178B"/>
    <w:rsid w:val="00924F45"/>
    <w:rsid w:val="00A00DF8"/>
    <w:rsid w:val="00A704A8"/>
    <w:rsid w:val="00AE179F"/>
    <w:rsid w:val="00AF0A09"/>
    <w:rsid w:val="00B014FB"/>
    <w:rsid w:val="00B112E2"/>
    <w:rsid w:val="00B35BE0"/>
    <w:rsid w:val="00BB0CBA"/>
    <w:rsid w:val="00BC03D2"/>
    <w:rsid w:val="00BF022C"/>
    <w:rsid w:val="00C4090C"/>
    <w:rsid w:val="00C73971"/>
    <w:rsid w:val="00C91298"/>
    <w:rsid w:val="00D20500"/>
    <w:rsid w:val="00DA138B"/>
    <w:rsid w:val="00DA4D16"/>
    <w:rsid w:val="00E417E9"/>
    <w:rsid w:val="00E4721A"/>
    <w:rsid w:val="00E85C10"/>
    <w:rsid w:val="00EA7A4A"/>
    <w:rsid w:val="00EB74D3"/>
    <w:rsid w:val="00EC620A"/>
    <w:rsid w:val="00ED0784"/>
    <w:rsid w:val="00F10ECB"/>
    <w:rsid w:val="00F610DB"/>
    <w:rsid w:val="00F93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0DD4"/>
  <w15:chartTrackingRefBased/>
  <w15:docId w15:val="{D4021CF0-D38A-4999-88DC-9127AFBA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0D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A00D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A00DF8"/>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A00DF8"/>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A00DF8"/>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A00D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0D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0D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0D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0DF8"/>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A00DF8"/>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A00DF8"/>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A00DF8"/>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A00DF8"/>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A00D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0D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0D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0DF8"/>
    <w:rPr>
      <w:rFonts w:eastAsiaTheme="majorEastAsia" w:cstheme="majorBidi"/>
      <w:color w:val="272727" w:themeColor="text1" w:themeTint="D8"/>
    </w:rPr>
  </w:style>
  <w:style w:type="paragraph" w:styleId="Tytu">
    <w:name w:val="Title"/>
    <w:basedOn w:val="Normalny"/>
    <w:next w:val="Normalny"/>
    <w:link w:val="TytuZnak"/>
    <w:uiPriority w:val="10"/>
    <w:qFormat/>
    <w:rsid w:val="00A00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0D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0D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0D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0DF8"/>
    <w:pPr>
      <w:spacing w:before="160"/>
      <w:jc w:val="center"/>
    </w:pPr>
    <w:rPr>
      <w:i/>
      <w:iCs/>
      <w:color w:val="404040" w:themeColor="text1" w:themeTint="BF"/>
    </w:rPr>
  </w:style>
  <w:style w:type="character" w:customStyle="1" w:styleId="CytatZnak">
    <w:name w:val="Cytat Znak"/>
    <w:basedOn w:val="Domylnaczcionkaakapitu"/>
    <w:link w:val="Cytat"/>
    <w:uiPriority w:val="29"/>
    <w:rsid w:val="00A00DF8"/>
    <w:rPr>
      <w:i/>
      <w:iCs/>
      <w:color w:val="404040" w:themeColor="text1" w:themeTint="BF"/>
    </w:rPr>
  </w:style>
  <w:style w:type="paragraph" w:styleId="Akapitzlist">
    <w:name w:val="List Paragraph"/>
    <w:basedOn w:val="Normalny"/>
    <w:uiPriority w:val="34"/>
    <w:qFormat/>
    <w:rsid w:val="00A00DF8"/>
    <w:pPr>
      <w:ind w:left="720"/>
      <w:contextualSpacing/>
    </w:pPr>
  </w:style>
  <w:style w:type="character" w:styleId="Wyrnienieintensywne">
    <w:name w:val="Intense Emphasis"/>
    <w:basedOn w:val="Domylnaczcionkaakapitu"/>
    <w:uiPriority w:val="21"/>
    <w:qFormat/>
    <w:rsid w:val="00A00DF8"/>
    <w:rPr>
      <w:i/>
      <w:iCs/>
      <w:color w:val="2E74B5" w:themeColor="accent1" w:themeShade="BF"/>
    </w:rPr>
  </w:style>
  <w:style w:type="paragraph" w:styleId="Cytatintensywny">
    <w:name w:val="Intense Quote"/>
    <w:basedOn w:val="Normalny"/>
    <w:next w:val="Normalny"/>
    <w:link w:val="CytatintensywnyZnak"/>
    <w:uiPriority w:val="30"/>
    <w:qFormat/>
    <w:rsid w:val="00A00D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A00DF8"/>
    <w:rPr>
      <w:i/>
      <w:iCs/>
      <w:color w:val="2E74B5" w:themeColor="accent1" w:themeShade="BF"/>
    </w:rPr>
  </w:style>
  <w:style w:type="character" w:styleId="Odwoanieintensywne">
    <w:name w:val="Intense Reference"/>
    <w:basedOn w:val="Domylnaczcionkaakapitu"/>
    <w:uiPriority w:val="32"/>
    <w:qFormat/>
    <w:rsid w:val="00A00DF8"/>
    <w:rPr>
      <w:b/>
      <w:bCs/>
      <w:smallCaps/>
      <w:color w:val="2E74B5" w:themeColor="accent1" w:themeShade="BF"/>
      <w:spacing w:val="5"/>
    </w:rPr>
  </w:style>
  <w:style w:type="paragraph" w:styleId="Nagwek">
    <w:name w:val="header"/>
    <w:basedOn w:val="Normalny"/>
    <w:link w:val="NagwekZnak"/>
    <w:uiPriority w:val="99"/>
    <w:unhideWhenUsed/>
    <w:rsid w:val="002B56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6D8"/>
  </w:style>
  <w:style w:type="paragraph" w:styleId="Stopka">
    <w:name w:val="footer"/>
    <w:basedOn w:val="Normalny"/>
    <w:link w:val="StopkaZnak"/>
    <w:uiPriority w:val="99"/>
    <w:unhideWhenUsed/>
    <w:rsid w:val="002B56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6D8"/>
  </w:style>
  <w:style w:type="paragraph" w:styleId="Poprawka">
    <w:name w:val="Revision"/>
    <w:hidden/>
    <w:uiPriority w:val="99"/>
    <w:semiHidden/>
    <w:rsid w:val="002B5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3358</Words>
  <Characters>20153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Ćwiek Katarzyna</dc:creator>
  <cp:keywords/>
  <dc:description/>
  <cp:lastModifiedBy>KW</cp:lastModifiedBy>
  <cp:revision>2</cp:revision>
  <dcterms:created xsi:type="dcterms:W3CDTF">2026-06-04T22:42:00Z</dcterms:created>
  <dcterms:modified xsi:type="dcterms:W3CDTF">2026-06-04T22:42:00Z</dcterms:modified>
</cp:coreProperties>
</file>