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F868" w14:textId="77777777" w:rsidR="009F169D" w:rsidRPr="0075467F" w:rsidRDefault="009F169D" w:rsidP="0075467F">
      <w:pPr>
        <w:widowControl w:val="0"/>
        <w:spacing w:before="120" w:after="0" w:line="360" w:lineRule="auto"/>
        <w:jc w:val="center"/>
        <w:rPr>
          <w:rFonts w:ascii="Times New Roman" w:eastAsia="Times New Roman" w:hAnsi="Times New Roman" w:cs="Times New Roman"/>
          <w:caps/>
          <w:kern w:val="0"/>
          <w:lang w:eastAsia="pl-PL" w:bidi="pl-PL"/>
          <w14:ligatures w14:val="none"/>
        </w:rPr>
      </w:pPr>
      <w:r w:rsidRPr="0075467F">
        <w:rPr>
          <w:rFonts w:ascii="Times New Roman" w:eastAsia="Times New Roman" w:hAnsi="Times New Roman" w:cs="Times New Roman"/>
          <w:caps/>
          <w:kern w:val="0"/>
          <w:lang w:eastAsia="pl-PL" w:bidi="pl-PL"/>
          <w14:ligatures w14:val="none"/>
        </w:rPr>
        <w:t>Uzasadnienie</w:t>
      </w:r>
    </w:p>
    <w:p w14:paraId="3E197317" w14:textId="77777777" w:rsidR="009F169D" w:rsidRPr="008A0E40" w:rsidRDefault="009F169D" w:rsidP="0075467F">
      <w:pPr>
        <w:widowControl w:val="0"/>
        <w:numPr>
          <w:ilvl w:val="0"/>
          <w:numId w:val="1"/>
        </w:numPr>
        <w:tabs>
          <w:tab w:val="left" w:pos="758"/>
        </w:tabs>
        <w:spacing w:before="120" w:after="0" w:line="360" w:lineRule="auto"/>
        <w:ind w:firstLine="2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b/>
          <w:bCs/>
          <w:kern w:val="0"/>
          <w:lang w:eastAsia="pl-PL" w:bidi="pl-PL"/>
          <w14:ligatures w14:val="none"/>
        </w:rPr>
        <w:t>Część ogólna</w:t>
      </w:r>
    </w:p>
    <w:p w14:paraId="716113DE" w14:textId="77777777" w:rsidR="009F169D" w:rsidRPr="008A0E40" w:rsidRDefault="009F169D" w:rsidP="0075467F">
      <w:pPr>
        <w:widowControl w:val="0"/>
        <w:numPr>
          <w:ilvl w:val="0"/>
          <w:numId w:val="2"/>
        </w:numPr>
        <w:tabs>
          <w:tab w:val="left" w:pos="1461"/>
        </w:tabs>
        <w:spacing w:before="120" w:after="0" w:line="360" w:lineRule="auto"/>
        <w:ind w:left="709"/>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b/>
          <w:bCs/>
          <w:kern w:val="0"/>
          <w:lang w:eastAsia="pl-PL" w:bidi="pl-PL"/>
          <w14:ligatures w14:val="none"/>
        </w:rPr>
        <w:t>Cel regulacji</w:t>
      </w:r>
    </w:p>
    <w:p w14:paraId="344415AC" w14:textId="28A5D906" w:rsidR="009F169D" w:rsidRPr="008A0E40" w:rsidRDefault="009F169D" w:rsidP="0075467F">
      <w:pPr>
        <w:widowControl w:val="0"/>
        <w:spacing w:before="120" w:after="0" w:line="360" w:lineRule="auto"/>
        <w:ind w:firstLine="709"/>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Niniejsza regulacja</w:t>
      </w:r>
      <w:r w:rsidR="00D60477" w:rsidRPr="008A0E40">
        <w:rPr>
          <w:rFonts w:ascii="Times New Roman" w:eastAsia="Times New Roman" w:hAnsi="Times New Roman" w:cs="Times New Roman"/>
          <w:kern w:val="0"/>
          <w:lang w:eastAsia="pl-PL" w:bidi="pl-PL"/>
          <w14:ligatures w14:val="none"/>
        </w:rPr>
        <w:t xml:space="preserve"> </w:t>
      </w:r>
      <w:r w:rsidRPr="008A0E40">
        <w:rPr>
          <w:rFonts w:ascii="Times New Roman" w:eastAsia="Times New Roman" w:hAnsi="Times New Roman" w:cs="Times New Roman"/>
          <w:kern w:val="0"/>
          <w:lang w:eastAsia="pl-PL" w:bidi="pl-PL"/>
          <w14:ligatures w14:val="none"/>
        </w:rPr>
        <w:t>stanowi implementację Dyrektywy Parlamentu Europejskiego i</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Rady (UE) 2022/2381 z dnia 23 listopada 2022 r. w sprawie poprawy równowagi płci wśród dyrektorów spółek giełdowych oraz powiązanych środków (Dz. Urz. UE L 315 z 07.12.2022, str. 44), (dalej jako: „dyrektywa”).</w:t>
      </w:r>
    </w:p>
    <w:p w14:paraId="33004239" w14:textId="7607D14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Dyrektywa ma na celu usprawnienie stosowania zasady równości szans kobiet i</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mężczyzn na stanowiskach kierowniczych, przez ustalenie wymogów dotyczących procesu selekcji kandydatów na te stanowiska. Przepisy dyrektywy odnoszą się do niedostatecznie reprezentowanej płci w organach spółek, a więc dotyczą zarówno mężczyzn, jak i kobiet. W praktyce jednak to kobiety są niedostatecznie reprezentowaną płcią na stanowiskach kierowniczych spółek. Według Europejskiego Instytutu ds. Równości Kobiet i Mężczyzn w 2021 r. kobiety stanowiły średnio 30,6 % członków organów w największych spółkach giełdowych (motyw 18 dyrektywy).</w:t>
      </w:r>
    </w:p>
    <w:p w14:paraId="2BF95D46"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b/>
          <w:bCs/>
          <w:kern w:val="0"/>
          <w:lang w:eastAsia="pl-PL" w:bidi="pl-PL"/>
          <w14:ligatures w14:val="none"/>
        </w:rPr>
        <w:t>Tabela</w:t>
      </w:r>
      <w:r w:rsidRPr="008A0E40">
        <w:rPr>
          <w:rFonts w:ascii="Times New Roman" w:eastAsia="Times New Roman" w:hAnsi="Times New Roman" w:cs="Times New Roman"/>
          <w:kern w:val="0"/>
          <w:lang w:eastAsia="pl-PL" w:bidi="pl-PL"/>
          <w14:ligatures w14:val="none"/>
        </w:rPr>
        <w:t>: Udział kobiet i mężczyzn w organach największych spółek giełdowych w UE w 2023 r.</w:t>
      </w:r>
    </w:p>
    <w:p w14:paraId="187C14BC" w14:textId="77777777" w:rsidR="009F169D" w:rsidRPr="0075467F" w:rsidRDefault="009F169D" w:rsidP="0075467F">
      <w:pPr>
        <w:widowControl w:val="0"/>
        <w:spacing w:before="120" w:after="0" w:line="360" w:lineRule="auto"/>
        <w:jc w:val="center"/>
        <w:rPr>
          <w:rFonts w:ascii="Times New Roman" w:eastAsia="Courier New" w:hAnsi="Times New Roman" w:cs="Times New Roman"/>
          <w:color w:val="000000"/>
          <w:kern w:val="0"/>
          <w:lang w:eastAsia="pl-PL" w:bidi="pl-PL"/>
          <w14:ligatures w14:val="none"/>
        </w:rPr>
      </w:pPr>
      <w:r w:rsidRPr="0075467F">
        <w:rPr>
          <w:rFonts w:ascii="Times New Roman" w:eastAsia="Courier New" w:hAnsi="Times New Roman" w:cs="Times New Roman"/>
          <w:noProof/>
          <w:color w:val="000000"/>
          <w:kern w:val="0"/>
          <w:lang w:eastAsia="pl-PL" w:bidi="pl-PL"/>
          <w14:ligatures w14:val="none"/>
        </w:rPr>
        <w:drawing>
          <wp:inline distT="0" distB="0" distL="0" distR="0" wp14:anchorId="7A3CE827" wp14:editId="0DA31596">
            <wp:extent cx="5620385" cy="22186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620385" cy="2218690"/>
                    </a:xfrm>
                    <a:prstGeom prst="rect">
                      <a:avLst/>
                    </a:prstGeom>
                  </pic:spPr>
                </pic:pic>
              </a:graphicData>
            </a:graphic>
          </wp:inline>
        </w:drawing>
      </w:r>
    </w:p>
    <w:p w14:paraId="6B341CA7" w14:textId="77777777" w:rsidR="009F169D" w:rsidRPr="0075467F" w:rsidRDefault="009F169D" w:rsidP="0075467F">
      <w:pPr>
        <w:widowControl w:val="0"/>
        <w:spacing w:after="0" w:line="360" w:lineRule="auto"/>
        <w:rPr>
          <w:rFonts w:ascii="Times New Roman" w:eastAsia="Arial" w:hAnsi="Times New Roman" w:cs="Times New Roman"/>
          <w:color w:val="545454"/>
          <w:kern w:val="0"/>
          <w:sz w:val="20"/>
          <w:szCs w:val="20"/>
          <w:lang w:val="en-GB" w:eastAsia="pl-PL" w:bidi="pl-PL"/>
          <w14:ligatures w14:val="none"/>
        </w:rPr>
      </w:pPr>
      <w:r w:rsidRPr="0075467F">
        <w:rPr>
          <w:rFonts w:ascii="Times New Roman" w:eastAsia="Arial" w:hAnsi="Times New Roman" w:cs="Times New Roman"/>
          <w:color w:val="868686"/>
          <w:kern w:val="0"/>
          <w:sz w:val="20"/>
          <w:szCs w:val="20"/>
          <w:lang w:val="en-GB" w:eastAsia="pl-PL" w:bidi="pl-PL"/>
          <w14:ligatures w14:val="none"/>
        </w:rPr>
        <w:t xml:space="preserve">BE BG CZ DK DE EE IE EL ES FR HR </w:t>
      </w:r>
      <w:r w:rsidRPr="0075467F">
        <w:rPr>
          <w:rFonts w:ascii="Times New Roman" w:eastAsia="Arial" w:hAnsi="Times New Roman" w:cs="Times New Roman"/>
          <w:color w:val="B4B4B4"/>
          <w:kern w:val="0"/>
          <w:sz w:val="20"/>
          <w:szCs w:val="20"/>
          <w:lang w:val="en-GB" w:eastAsia="pl-PL" w:bidi="pl-PL"/>
          <w14:ligatures w14:val="none"/>
        </w:rPr>
        <w:t xml:space="preserve">IT </w:t>
      </w:r>
      <w:r w:rsidRPr="0075467F">
        <w:rPr>
          <w:rFonts w:ascii="Times New Roman" w:eastAsia="Arial" w:hAnsi="Times New Roman" w:cs="Times New Roman"/>
          <w:color w:val="868686"/>
          <w:kern w:val="0"/>
          <w:sz w:val="20"/>
          <w:szCs w:val="20"/>
          <w:lang w:val="en-GB" w:eastAsia="pl-PL" w:bidi="pl-PL"/>
          <w14:ligatures w14:val="none"/>
        </w:rPr>
        <w:t xml:space="preserve">CY LV </w:t>
      </w:r>
      <w:r w:rsidRPr="0075467F">
        <w:rPr>
          <w:rFonts w:ascii="Times New Roman" w:eastAsia="Arial" w:hAnsi="Times New Roman" w:cs="Times New Roman"/>
          <w:color w:val="B4B4B4"/>
          <w:kern w:val="0"/>
          <w:sz w:val="20"/>
          <w:szCs w:val="20"/>
          <w:lang w:val="en-GB" w:eastAsia="pl-PL" w:bidi="pl-PL"/>
          <w14:ligatures w14:val="none"/>
        </w:rPr>
        <w:t xml:space="preserve">LT </w:t>
      </w:r>
      <w:r w:rsidRPr="0075467F">
        <w:rPr>
          <w:rFonts w:ascii="Times New Roman" w:eastAsia="Arial" w:hAnsi="Times New Roman" w:cs="Times New Roman"/>
          <w:color w:val="868686"/>
          <w:kern w:val="0"/>
          <w:sz w:val="20"/>
          <w:szCs w:val="20"/>
          <w:lang w:val="en-GB" w:eastAsia="pl-PL" w:bidi="pl-PL"/>
          <w14:ligatures w14:val="none"/>
        </w:rPr>
        <w:t xml:space="preserve">LU </w:t>
      </w:r>
      <w:r w:rsidRPr="0075467F">
        <w:rPr>
          <w:rFonts w:ascii="Times New Roman" w:eastAsia="Arial" w:hAnsi="Times New Roman" w:cs="Times New Roman"/>
          <w:color w:val="B4B4B4"/>
          <w:kern w:val="0"/>
          <w:sz w:val="20"/>
          <w:szCs w:val="20"/>
          <w:lang w:val="en-GB" w:eastAsia="pl-PL" w:bidi="pl-PL"/>
          <w14:ligatures w14:val="none"/>
        </w:rPr>
        <w:t xml:space="preserve">HU </w:t>
      </w:r>
      <w:r w:rsidRPr="0075467F">
        <w:rPr>
          <w:rFonts w:ascii="Times New Roman" w:eastAsia="Arial" w:hAnsi="Times New Roman" w:cs="Times New Roman"/>
          <w:color w:val="868686"/>
          <w:kern w:val="0"/>
          <w:sz w:val="20"/>
          <w:szCs w:val="20"/>
          <w:lang w:val="en-GB" w:eastAsia="pl-PL" w:bidi="pl-PL"/>
          <w14:ligatures w14:val="none"/>
        </w:rPr>
        <w:t>MT NL AT PL PT RO SI SK FI SE</w:t>
      </w:r>
    </w:p>
    <w:p w14:paraId="493C20E3" w14:textId="77777777" w:rsidR="009F169D" w:rsidRPr="0075467F" w:rsidRDefault="009F169D" w:rsidP="0075467F">
      <w:pPr>
        <w:widowControl w:val="0"/>
        <w:spacing w:after="0" w:line="360" w:lineRule="auto"/>
        <w:jc w:val="both"/>
        <w:rPr>
          <w:rFonts w:ascii="Times New Roman" w:eastAsia="Arial" w:hAnsi="Times New Roman" w:cs="Times New Roman"/>
          <w:color w:val="545454"/>
          <w:kern w:val="0"/>
          <w:sz w:val="20"/>
          <w:szCs w:val="20"/>
          <w:lang w:val="en-GB" w:eastAsia="pl-PL" w:bidi="pl-PL"/>
          <w14:ligatures w14:val="none"/>
        </w:rPr>
      </w:pPr>
      <w:r w:rsidRPr="0075467F">
        <w:rPr>
          <w:rFonts w:ascii="Times New Roman" w:eastAsia="Arial" w:hAnsi="Times New Roman" w:cs="Times New Roman"/>
          <w:color w:val="545454"/>
          <w:kern w:val="0"/>
          <w:sz w:val="20"/>
          <w:szCs w:val="20"/>
          <w:lang w:val="en-GB" w:eastAsia="pl-PL" w:bidi="pl-PL"/>
          <w14:ligatures w14:val="none"/>
        </w:rPr>
        <w:t xml:space="preserve">EIGE's </w:t>
      </w:r>
      <w:r w:rsidRPr="0075467F">
        <w:rPr>
          <w:rFonts w:ascii="Times New Roman" w:eastAsia="Arial" w:hAnsi="Times New Roman" w:cs="Times New Roman"/>
          <w:color w:val="3B3B3B"/>
          <w:kern w:val="0"/>
          <w:sz w:val="20"/>
          <w:szCs w:val="20"/>
          <w:lang w:val="en-GB" w:eastAsia="pl-PL" w:bidi="pl-PL"/>
          <w14:ligatures w14:val="none"/>
        </w:rPr>
        <w:t xml:space="preserve">Gender Statistics Database - </w:t>
      </w:r>
      <w:r w:rsidRPr="0075467F">
        <w:rPr>
          <w:rFonts w:ascii="Times New Roman" w:eastAsia="Arial" w:hAnsi="Times New Roman" w:cs="Times New Roman"/>
          <w:color w:val="545454"/>
          <w:kern w:val="0"/>
          <w:sz w:val="20"/>
          <w:szCs w:val="20"/>
          <w:lang w:val="en-GB" w:eastAsia="pl-PL" w:bidi="pl-PL"/>
          <w14:ligatures w14:val="none"/>
        </w:rPr>
        <w:t xml:space="preserve">lndicator:Largest </w:t>
      </w:r>
      <w:r w:rsidRPr="0075467F">
        <w:rPr>
          <w:rFonts w:ascii="Times New Roman" w:eastAsia="Arial" w:hAnsi="Times New Roman" w:cs="Times New Roman"/>
          <w:color w:val="3B3B3B"/>
          <w:kern w:val="0"/>
          <w:sz w:val="20"/>
          <w:szCs w:val="20"/>
          <w:lang w:val="en-GB" w:eastAsia="pl-PL" w:bidi="pl-PL"/>
          <w14:ligatures w14:val="none"/>
        </w:rPr>
        <w:t xml:space="preserve">listed </w:t>
      </w:r>
      <w:r w:rsidRPr="0075467F">
        <w:rPr>
          <w:rFonts w:ascii="Times New Roman" w:eastAsia="Arial" w:hAnsi="Times New Roman" w:cs="Times New Roman"/>
          <w:color w:val="545454"/>
          <w:kern w:val="0"/>
          <w:sz w:val="20"/>
          <w:szCs w:val="20"/>
          <w:lang w:val="en-GB" w:eastAsia="pl-PL" w:bidi="pl-PL"/>
          <w14:ligatures w14:val="none"/>
        </w:rPr>
        <w:t xml:space="preserve">companies: </w:t>
      </w:r>
      <w:r w:rsidRPr="0075467F">
        <w:rPr>
          <w:rFonts w:ascii="Times New Roman" w:eastAsia="Arial" w:hAnsi="Times New Roman" w:cs="Times New Roman"/>
          <w:color w:val="3B3B3B"/>
          <w:kern w:val="0"/>
          <w:sz w:val="20"/>
          <w:szCs w:val="20"/>
          <w:lang w:val="en-GB" w:eastAsia="pl-PL" w:bidi="pl-PL"/>
          <w14:ligatures w14:val="none"/>
        </w:rPr>
        <w:t xml:space="preserve">presidents. </w:t>
      </w:r>
      <w:r w:rsidRPr="0075467F">
        <w:rPr>
          <w:rFonts w:ascii="Times New Roman" w:eastAsia="Arial" w:hAnsi="Times New Roman" w:cs="Times New Roman"/>
          <w:color w:val="545454"/>
          <w:kern w:val="0"/>
          <w:sz w:val="20"/>
          <w:szCs w:val="20"/>
          <w:lang w:val="en-GB" w:eastAsia="pl-PL" w:bidi="pl-PL"/>
          <w14:ligatures w14:val="none"/>
        </w:rPr>
        <w:t xml:space="preserve">board members </w:t>
      </w:r>
      <w:r w:rsidRPr="0075467F">
        <w:rPr>
          <w:rFonts w:ascii="Times New Roman" w:eastAsia="Arial" w:hAnsi="Times New Roman" w:cs="Times New Roman"/>
          <w:color w:val="3B3B3B"/>
          <w:kern w:val="0"/>
          <w:sz w:val="20"/>
          <w:szCs w:val="20"/>
          <w:lang w:val="en-GB" w:eastAsia="pl-PL" w:bidi="pl-PL"/>
          <w14:ligatures w14:val="none"/>
        </w:rPr>
        <w:t xml:space="preserve">and </w:t>
      </w:r>
      <w:r w:rsidRPr="0075467F">
        <w:rPr>
          <w:rFonts w:ascii="Times New Roman" w:eastAsia="Arial" w:hAnsi="Times New Roman" w:cs="Times New Roman"/>
          <w:color w:val="545454"/>
          <w:kern w:val="0"/>
          <w:sz w:val="20"/>
          <w:szCs w:val="20"/>
          <w:lang w:val="en-GB" w:eastAsia="pl-PL" w:bidi="pl-PL"/>
          <w14:ligatures w14:val="none"/>
        </w:rPr>
        <w:t>employee representatives</w:t>
      </w:r>
    </w:p>
    <w:p w14:paraId="22C685CC" w14:textId="77777777" w:rsidR="009F169D" w:rsidRPr="0075467F" w:rsidRDefault="009F169D" w:rsidP="0075467F">
      <w:pPr>
        <w:widowControl w:val="0"/>
        <w:spacing w:after="0" w:line="360" w:lineRule="auto"/>
        <w:rPr>
          <w:rFonts w:ascii="Times New Roman" w:eastAsia="Arial" w:hAnsi="Times New Roman" w:cs="Times New Roman"/>
          <w:color w:val="545454"/>
          <w:kern w:val="0"/>
          <w:sz w:val="20"/>
          <w:szCs w:val="20"/>
          <w:lang w:val="en-GB" w:eastAsia="pl-PL" w:bidi="pl-PL"/>
          <w14:ligatures w14:val="none"/>
        </w:rPr>
      </w:pPr>
      <w:r w:rsidRPr="0075467F">
        <w:rPr>
          <w:rFonts w:ascii="Times New Roman" w:eastAsia="Arial" w:hAnsi="Times New Roman" w:cs="Times New Roman"/>
          <w:color w:val="545454"/>
          <w:kern w:val="0"/>
          <w:sz w:val="20"/>
          <w:szCs w:val="20"/>
          <w:lang w:val="en-GB" w:eastAsia="pl-PL" w:bidi="pl-PL"/>
          <w14:ligatures w14:val="none"/>
        </w:rPr>
        <w:t xml:space="preserve">Source: European </w:t>
      </w:r>
      <w:r w:rsidRPr="0075467F">
        <w:rPr>
          <w:rFonts w:ascii="Times New Roman" w:eastAsia="Arial" w:hAnsi="Times New Roman" w:cs="Times New Roman"/>
          <w:color w:val="868686"/>
          <w:kern w:val="0"/>
          <w:sz w:val="20"/>
          <w:szCs w:val="20"/>
          <w:lang w:val="en-GB" w:eastAsia="pl-PL" w:bidi="pl-PL"/>
          <w14:ligatures w14:val="none"/>
        </w:rPr>
        <w:t xml:space="preserve">Institute for </w:t>
      </w:r>
      <w:r w:rsidRPr="0075467F">
        <w:rPr>
          <w:rFonts w:ascii="Times New Roman" w:eastAsia="Arial" w:hAnsi="Times New Roman" w:cs="Times New Roman"/>
          <w:color w:val="545454"/>
          <w:kern w:val="0"/>
          <w:sz w:val="20"/>
          <w:szCs w:val="20"/>
          <w:lang w:val="en-GB" w:eastAsia="pl-PL" w:bidi="pl-PL"/>
          <w14:ligatures w14:val="none"/>
        </w:rPr>
        <w:t>Gender Equality.</w:t>
      </w:r>
    </w:p>
    <w:p w14:paraId="3507BB14" w14:textId="77777777" w:rsidR="009F169D" w:rsidRPr="0075467F" w:rsidRDefault="009F169D" w:rsidP="0075467F">
      <w:pPr>
        <w:widowControl w:val="0"/>
        <w:spacing w:after="0" w:line="360" w:lineRule="auto"/>
        <w:rPr>
          <w:rFonts w:ascii="Times New Roman" w:eastAsia="Arial" w:hAnsi="Times New Roman" w:cs="Times New Roman"/>
          <w:color w:val="545454"/>
          <w:kern w:val="0"/>
          <w:sz w:val="20"/>
          <w:szCs w:val="20"/>
          <w:lang w:eastAsia="pl-PL" w:bidi="pl-PL"/>
          <w14:ligatures w14:val="none"/>
        </w:rPr>
      </w:pPr>
      <w:r w:rsidRPr="0075467F">
        <w:rPr>
          <w:rFonts w:ascii="Times New Roman" w:eastAsia="Arial" w:hAnsi="Times New Roman" w:cs="Times New Roman"/>
          <w:color w:val="545454"/>
          <w:kern w:val="0"/>
          <w:sz w:val="20"/>
          <w:szCs w:val="20"/>
          <w:lang w:eastAsia="pl-PL" w:bidi="pl-PL"/>
          <w14:ligatures w14:val="none"/>
        </w:rPr>
        <w:t xml:space="preserve">OSTATNIE </w:t>
      </w:r>
      <w:r w:rsidRPr="0075467F">
        <w:rPr>
          <w:rFonts w:ascii="Times New Roman" w:eastAsia="Arial" w:hAnsi="Times New Roman" w:cs="Times New Roman"/>
          <w:color w:val="3B3B3B"/>
          <w:kern w:val="0"/>
          <w:sz w:val="20"/>
          <w:szCs w:val="20"/>
          <w:lang w:eastAsia="pl-PL" w:bidi="pl-PL"/>
          <w14:ligatures w14:val="none"/>
        </w:rPr>
        <w:t xml:space="preserve">PRZESŁANIE: </w:t>
      </w:r>
      <w:r w:rsidRPr="0075467F">
        <w:rPr>
          <w:rFonts w:ascii="Times New Roman" w:eastAsia="Arial" w:hAnsi="Times New Roman" w:cs="Times New Roman"/>
          <w:color w:val="545454"/>
          <w:kern w:val="0"/>
          <w:sz w:val="20"/>
          <w:szCs w:val="20"/>
          <w:lang w:eastAsia="pl-PL" w:bidi="pl-PL"/>
          <w14:ligatures w14:val="none"/>
        </w:rPr>
        <w:t>12.12.2023</w:t>
      </w:r>
    </w:p>
    <w:p w14:paraId="04A0AB30" w14:textId="30028549" w:rsidR="009F169D" w:rsidRPr="008A0E40" w:rsidRDefault="003239C1" w:rsidP="0075467F">
      <w:pPr>
        <w:widowControl w:val="0"/>
        <w:spacing w:before="120" w:after="0" w:line="360" w:lineRule="auto"/>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kolor </w:t>
      </w:r>
      <w:r w:rsidR="009F169D" w:rsidRPr="008A0E40">
        <w:rPr>
          <w:rFonts w:ascii="Times New Roman" w:eastAsia="Times New Roman" w:hAnsi="Times New Roman" w:cs="Times New Roman"/>
          <w:kern w:val="0"/>
          <w:lang w:eastAsia="pl-PL" w:bidi="pl-PL"/>
          <w14:ligatures w14:val="none"/>
        </w:rPr>
        <w:t xml:space="preserve">żółty </w:t>
      </w:r>
      <w:r w:rsidR="00397B9E">
        <w:rPr>
          <w:rFonts w:ascii="Times New Roman" w:eastAsia="Times New Roman" w:hAnsi="Times New Roman" w:cs="Times New Roman"/>
          <w:kern w:val="0"/>
          <w:lang w:eastAsia="pl-PL" w:bidi="pl-PL"/>
          <w14:ligatures w14:val="none"/>
        </w:rPr>
        <w:t>–</w:t>
      </w:r>
      <w:r w:rsidR="009F169D" w:rsidRPr="008A0E40">
        <w:rPr>
          <w:rFonts w:ascii="Times New Roman" w:eastAsia="Times New Roman" w:hAnsi="Times New Roman" w:cs="Times New Roman"/>
          <w:kern w:val="0"/>
          <w:lang w:eastAsia="pl-PL" w:bidi="pl-PL"/>
          <w14:ligatures w14:val="none"/>
        </w:rPr>
        <w:t xml:space="preserve"> kobiety, kolor niebieski </w:t>
      </w:r>
      <w:r w:rsidR="00397B9E">
        <w:rPr>
          <w:rFonts w:ascii="Times New Roman" w:eastAsia="Times New Roman" w:hAnsi="Times New Roman" w:cs="Times New Roman"/>
          <w:kern w:val="0"/>
          <w:lang w:eastAsia="pl-PL" w:bidi="pl-PL"/>
          <w14:ligatures w14:val="none"/>
        </w:rPr>
        <w:t>–</w:t>
      </w:r>
      <w:r w:rsidR="009F169D" w:rsidRPr="008A0E40">
        <w:rPr>
          <w:rFonts w:ascii="Times New Roman" w:eastAsia="Times New Roman" w:hAnsi="Times New Roman" w:cs="Times New Roman"/>
          <w:kern w:val="0"/>
          <w:lang w:eastAsia="pl-PL" w:bidi="pl-PL"/>
          <w14:ligatures w14:val="none"/>
        </w:rPr>
        <w:t xml:space="preserve"> mężczyźni</w:t>
      </w:r>
    </w:p>
    <w:p w14:paraId="22D3F767" w14:textId="77777777" w:rsidR="009F169D" w:rsidRPr="008A0E40" w:rsidRDefault="009F169D" w:rsidP="0075467F">
      <w:pPr>
        <w:widowControl w:val="0"/>
        <w:spacing w:before="120" w:after="0" w:line="360" w:lineRule="auto"/>
        <w:ind w:firstLine="709"/>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lastRenderedPageBreak/>
        <w:t>W motywach dyrektywy prawodawca europejski wskazał, że obecność kobiet w organach spółek usprawnia ład korporacyjny, ponieważ bardziej zróżnicowane i zbiorowe podejście łączące szersze spektrum różnych punktów widzenia ma korzystny wpływ na wyniki pracy zespołowej i jakość procesów decyzyjnych. Przeprowadzone badania wykazały także, że różnorodność zapewnia także proaktywny model biznesowy, bardziej wyważone decyzje oraz wyższe standardy zawodowe w organach spółek, które lepiej odzwierciedlają realia społeczne i potrzeby konsumentów (motyw 16 dyrektywy).</w:t>
      </w:r>
    </w:p>
    <w:p w14:paraId="38C6EF47" w14:textId="77777777" w:rsidR="009F169D" w:rsidRPr="008A0E40" w:rsidRDefault="009F169D" w:rsidP="0075467F">
      <w:pPr>
        <w:widowControl w:val="0"/>
        <w:spacing w:before="120" w:after="0" w:line="360" w:lineRule="auto"/>
        <w:ind w:firstLine="709"/>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Prawodawca europejski, ustanawiając środki mające na celu osiągnięcie bardziej zrównoważonej reprezentacji kobiet i mężczyzn w organach spółek instrumentem w postaci dyrektywy, nie ma na celu szczegółowej harmonizacji krajowych przepisów dotyczących procesu selekcji kandydatów na stanowiska kierownicze w organach spółek, ale wprowadzenie minimalnych wymagań dla spółek giełdowych w zakresie selekcji tych kandydatów w oparciu o przejrzyste, niedyskryminacyjne zasady.</w:t>
      </w:r>
    </w:p>
    <w:p w14:paraId="42D64DDC" w14:textId="6BC01729"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Przepis artykułu 2 dyrektywy wyłącza ze swojego zakresu stosowania mikro-, małe i</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średnie przedsiębiorstwa zatrudniające mniej niż 250 pracowników, których roczny obrót nie przekracza 50 mln euro lub których całkowity bilans roczny nie przekracza 43 mln euro. Oznacza to, że tylko te spółki giełdowe, które mają 250 pracowników i więcej oraz spełniają jeden z progów finansowych</w:t>
      </w:r>
      <w:r w:rsidR="00397B9E">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będą objęte wymogami dyrektywy. Szacuje się, że w przypadku Polski będzie to mniej niż połowa spółek obecnie notowanych na Giełdzie Papierów Wartościowych.</w:t>
      </w:r>
    </w:p>
    <w:p w14:paraId="3275CD4F" w14:textId="00454E34"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Zgodnie z art. 5 dyrektywy niepóźniej niż 30 czerwca 2026 r. wszystkie duże spółki notowane na rynkach regulowanych UE będą zobowiązane do podjęcia działań zmierzających do zapewnienia równowagi płci w organach spółek. Aby osiągnąć cele dyrektywy</w:t>
      </w:r>
      <w:r w:rsidR="00397B9E">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prawodawca europejski określa w art. 5 także dwa alternatywne progi, do osiągnięcia których mogą dążyć państwa członkowskie.</w:t>
      </w:r>
    </w:p>
    <w:p w14:paraId="6C52281D" w14:textId="53B6ABA7"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pierwszym przypadku przedstawiciele niedostatecznie reprezentowanej płci będą musieli zajmować co najmniej 40 % stanowisk dyrektorów niewykonawczych (art. 5 ust. 1 lit.</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a), a w drugim przypadku, tj. jeżeli państwa członkowskie zdecydują się zamiast tego zastosować nowe zasady zarówno do dyrektorów niewykonawczych, jak i dyrektorów wykonawczych, próg będzie wynosił co najmniej 33 % wszystkich stanowisk dyrektorskich w spółce notowanej na giełdzie (art. 5 ust. 1 lit. b). Państwa członkowskie, które wybiorą pierwsze ze wskazanych rozwiązań i zastosują dyrektywę wyłącznie do dyrektorów </w:t>
      </w:r>
      <w:r w:rsidRPr="008A0E40">
        <w:rPr>
          <w:rFonts w:ascii="Times New Roman" w:eastAsia="Times New Roman" w:hAnsi="Times New Roman" w:cs="Times New Roman"/>
          <w:kern w:val="0"/>
          <w:lang w:eastAsia="pl-PL" w:bidi="pl-PL"/>
          <w14:ligatures w14:val="none"/>
        </w:rPr>
        <w:lastRenderedPageBreak/>
        <w:t>niewykonawczych, nadal będą zobowiązane do ustalenia minimalnych indywidualnych celów dla spółek notowanych na giełdzie, aby poprawić równowagę płci również wśród dyrektorów wykonawczych (art. 5 ust. 2).</w:t>
      </w:r>
    </w:p>
    <w:p w14:paraId="26D9C744" w14:textId="21E41A55"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Aby zapobiec sytuacji, w której niedostatecznie reprezentowana płeć osiąga lepsze wyniki niż druga płeć, co ponownie doprowadziłoby do braku równowagi, niezależnie od</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hipotezy przyjętej przez państwa członkowskie, odsetek niedostatecznie reprezentowanej płci nie może przekraczać 49 %.</w:t>
      </w:r>
    </w:p>
    <w:p w14:paraId="0BBE3062" w14:textId="3550BE0C"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Przepis artykuł 6 dyrektywy określa narzędzia wymagane od spółek giełdowych służące osiągnięciu celu dyrektywy, skupiające się głównie na procedurze wyboru </w:t>
      </w:r>
      <w:r w:rsidR="009476FF" w:rsidRPr="008A0E40">
        <w:rPr>
          <w:rFonts w:ascii="Times New Roman" w:eastAsia="Times New Roman" w:hAnsi="Times New Roman" w:cs="Times New Roman"/>
          <w:kern w:val="0"/>
          <w:lang w:eastAsia="pl-PL" w:bidi="pl-PL"/>
          <w14:ligatures w14:val="none"/>
        </w:rPr>
        <w:t>kandydatów,</w:t>
      </w:r>
      <w:r w:rsidRPr="008A0E40">
        <w:rPr>
          <w:rFonts w:ascii="Times New Roman" w:eastAsia="Times New Roman" w:hAnsi="Times New Roman" w:cs="Times New Roman"/>
          <w:kern w:val="0"/>
          <w:lang w:eastAsia="pl-PL" w:bidi="pl-PL"/>
          <w14:ligatures w14:val="none"/>
        </w:rPr>
        <w:t xml:space="preserve"> a także na przygotowaniu ogłoszeń o naborze, fazie wstępnej selekcji, fazie obiektywnej oceny kandydatów (pod kątem przydatności, kompetencji i wyników zawodowych).</w:t>
      </w:r>
    </w:p>
    <w:p w14:paraId="1A52C751" w14:textId="12716F91"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Jeśli chodzi o zapewnienie skuteczności wprowadzonych rozwiązań, dyrektywa wymaga od państw członkowskich zapewnienia środków o charakterze sankcyjnym w stosunku do spółek, które nie spełniają wprowadzonych wymogów (w szczególności za naruszenia art.</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5 ust.</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2 oraz art. 6 i </w:t>
      </w:r>
      <w:r w:rsidR="00397B9E">
        <w:rPr>
          <w:rFonts w:ascii="Times New Roman" w:eastAsia="Times New Roman" w:hAnsi="Times New Roman" w:cs="Times New Roman"/>
          <w:kern w:val="0"/>
          <w:lang w:eastAsia="pl-PL" w:bidi="pl-PL"/>
          <w14:ligatures w14:val="none"/>
        </w:rPr>
        <w:t xml:space="preserve">art. </w:t>
      </w:r>
      <w:r w:rsidRPr="008A0E40">
        <w:rPr>
          <w:rFonts w:ascii="Times New Roman" w:eastAsia="Times New Roman" w:hAnsi="Times New Roman" w:cs="Times New Roman"/>
          <w:kern w:val="0"/>
          <w:lang w:eastAsia="pl-PL" w:bidi="pl-PL"/>
          <w14:ligatures w14:val="none"/>
        </w:rPr>
        <w:t>7 dyrektywy)</w:t>
      </w:r>
      <w:r w:rsidR="00397B9E">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oraz powiadomienia Komisji Europejskiej o przyjętych rozwiązaniach w tym zakresie do dnia 28 grudnia 2024 r. Termin ten pokrywa się z terminem transpozycji dyrektywy, tj. państwa członkowskie miały obowiązek przyjęcia i opublikowania w terminie do 28 grudnia 2024 r. przepisów prawnych, wykonawczych i administracyjnych niezbędnych do wykonania dyrektywy (art. 11); natomiast spółki giełdowe objęte nową regulacją będą zobowiązane do osiągnięcia celów określonych w dyrektywie – w oparciu 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ustawodawstwo krajowe – do dnia 30 czerwca 2026 r. (art. 5 dyrektywy).</w:t>
      </w:r>
    </w:p>
    <w:p w14:paraId="632AED19" w14:textId="6D8FBE40" w:rsidR="00C97EDE" w:rsidRPr="008A0E40" w:rsidRDefault="009F169D" w:rsidP="0075467F">
      <w:pPr>
        <w:widowControl w:val="0"/>
        <w:numPr>
          <w:ilvl w:val="0"/>
          <w:numId w:val="2"/>
        </w:numPr>
        <w:tabs>
          <w:tab w:val="left" w:pos="0"/>
        </w:tabs>
        <w:spacing w:before="120" w:after="0" w:line="360" w:lineRule="auto"/>
        <w:jc w:val="center"/>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b/>
          <w:bCs/>
          <w:kern w:val="0"/>
          <w:lang w:eastAsia="pl-PL" w:bidi="pl-PL"/>
          <w14:ligatures w14:val="none"/>
        </w:rPr>
        <w:t>Sposób implementacji oraz umiejscowienie przepisów dyrektywy</w:t>
      </w:r>
    </w:p>
    <w:p w14:paraId="656F1ABE" w14:textId="43457156"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 toku prac projektowych rozważano kwestię, czy implementacja dyrektywy powinna nastąpić w odrębnej ustawie regulującej kwestię równowagi płci w organach spółek giełdowych czy też w drodze zmian przepisów </w:t>
      </w:r>
      <w:bookmarkStart w:id="0" w:name="_Hlk189656551"/>
      <w:r w:rsidRPr="008A0E40">
        <w:rPr>
          <w:rFonts w:ascii="Times New Roman" w:eastAsia="Times New Roman" w:hAnsi="Times New Roman" w:cs="Times New Roman"/>
          <w:kern w:val="0"/>
          <w:lang w:eastAsia="pl-PL" w:bidi="pl-PL"/>
          <w14:ligatures w14:val="none"/>
        </w:rPr>
        <w:t xml:space="preserve">ustawy z dnia 3 grudnia 2010 r. </w:t>
      </w:r>
      <w:bookmarkEnd w:id="0"/>
      <w:r w:rsidRPr="008A0E40">
        <w:rPr>
          <w:rFonts w:ascii="Times New Roman" w:eastAsia="Times New Roman" w:hAnsi="Times New Roman" w:cs="Times New Roman"/>
          <w:kern w:val="0"/>
          <w:lang w:eastAsia="pl-PL" w:bidi="pl-PL"/>
          <w14:ligatures w14:val="none"/>
        </w:rPr>
        <w:t>o wdrożeniu niektórych przepisów Unii Europejskiej w zakresie równego traktowania (</w:t>
      </w:r>
      <w:r w:rsidR="00670272" w:rsidRPr="008A0E40">
        <w:rPr>
          <w:rFonts w:ascii="Times New Roman" w:eastAsia="Times New Roman" w:hAnsi="Times New Roman" w:cs="Times New Roman"/>
          <w:kern w:val="0"/>
          <w:lang w:eastAsia="pl-PL" w:bidi="pl-PL"/>
          <w14:ligatures w14:val="none"/>
        </w:rPr>
        <w:t>Dz. U. z 2025 r. poz. 1452</w:t>
      </w:r>
      <w:r w:rsidR="003239C1" w:rsidRPr="008A0E40">
        <w:rPr>
          <w:rFonts w:ascii="Times New Roman" w:eastAsia="Times New Roman" w:hAnsi="Times New Roman" w:cs="Times New Roman"/>
          <w:kern w:val="0"/>
          <w:lang w:eastAsia="pl-PL" w:bidi="pl-PL"/>
          <w14:ligatures w14:val="none"/>
        </w:rPr>
        <w:t>,</w:t>
      </w:r>
      <w:r w:rsidR="00FD2D17" w:rsidRPr="0075467F">
        <w:rPr>
          <w:rFonts w:ascii="Times New Roman" w:hAnsi="Times New Roman" w:cs="Times New Roman"/>
        </w:rPr>
        <w:t xml:space="preserve"> </w:t>
      </w:r>
      <w:r w:rsidR="003239C1" w:rsidRPr="008A0E40">
        <w:rPr>
          <w:rFonts w:ascii="Times New Roman" w:eastAsia="Times New Roman" w:hAnsi="Times New Roman" w:cs="Times New Roman"/>
          <w:kern w:val="0"/>
          <w:lang w:eastAsia="pl-PL" w:bidi="pl-PL"/>
          <w14:ligatures w14:val="none"/>
        </w:rPr>
        <w:t>z późn. zm.</w:t>
      </w:r>
      <w:r w:rsidRPr="008A0E40">
        <w:rPr>
          <w:rFonts w:ascii="Times New Roman" w:eastAsia="Times New Roman" w:hAnsi="Times New Roman" w:cs="Times New Roman"/>
          <w:kern w:val="0"/>
          <w:lang w:eastAsia="pl-PL" w:bidi="pl-PL"/>
          <w14:ligatures w14:val="none"/>
        </w:rPr>
        <w:t>) lub ustawy z dnia 29 lipca 2005 r. o ofercie publicznej i warunkach wprowadzania instrumentów finansowych do zorganizowanego systemu obrotu oraz</w:t>
      </w:r>
      <w:r w:rsidR="0005343B" w:rsidRPr="008A0E40">
        <w:rPr>
          <w:rFonts w:ascii="Times New Roman" w:eastAsia="Times New Roman" w:hAnsi="Times New Roman" w:cs="Times New Roman"/>
          <w:kern w:val="0"/>
          <w:lang w:eastAsia="pl-PL" w:bidi="pl-PL"/>
          <w14:ligatures w14:val="none"/>
        </w:rPr>
        <w:t xml:space="preserve"> </w:t>
      </w:r>
      <w:r w:rsidRPr="008A0E40">
        <w:rPr>
          <w:rFonts w:ascii="Times New Roman" w:eastAsia="Times New Roman" w:hAnsi="Times New Roman" w:cs="Times New Roman"/>
          <w:kern w:val="0"/>
          <w:lang w:eastAsia="pl-PL" w:bidi="pl-PL"/>
          <w14:ligatures w14:val="none"/>
        </w:rPr>
        <w:t>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spółkach publicznych (</w:t>
      </w:r>
      <w:r w:rsidR="000B2422" w:rsidRPr="008A0E40">
        <w:rPr>
          <w:rFonts w:ascii="Times New Roman" w:eastAsia="Times New Roman" w:hAnsi="Times New Roman" w:cs="Times New Roman"/>
          <w:kern w:val="0"/>
          <w:lang w:eastAsia="pl-PL" w:bidi="pl-PL"/>
          <w14:ligatures w14:val="none"/>
        </w:rPr>
        <w:t>Dz. U. z 2025 r. poz. 592</w:t>
      </w:r>
      <w:r w:rsidR="003239C1" w:rsidRPr="008A0E40">
        <w:rPr>
          <w:rFonts w:ascii="Times New Roman" w:eastAsia="Times New Roman" w:hAnsi="Times New Roman" w:cs="Times New Roman"/>
          <w:kern w:val="0"/>
          <w:lang w:eastAsia="pl-PL" w:bidi="pl-PL"/>
          <w14:ligatures w14:val="none"/>
        </w:rPr>
        <w:t>,</w:t>
      </w:r>
      <w:r w:rsidR="00CE1C50" w:rsidRPr="008A0E40">
        <w:rPr>
          <w:rFonts w:ascii="Times New Roman" w:eastAsia="Times New Roman" w:hAnsi="Times New Roman" w:cs="Times New Roman"/>
          <w:kern w:val="0"/>
          <w:lang w:eastAsia="pl-PL" w:bidi="pl-PL"/>
          <w14:ligatures w14:val="none"/>
        </w:rPr>
        <w:t xml:space="preserve"> </w:t>
      </w:r>
      <w:r w:rsidR="003239C1" w:rsidRPr="008A0E40">
        <w:rPr>
          <w:rFonts w:ascii="Times New Roman" w:eastAsia="Times New Roman" w:hAnsi="Times New Roman" w:cs="Times New Roman"/>
          <w:kern w:val="0"/>
          <w:lang w:eastAsia="pl-PL" w:bidi="pl-PL"/>
          <w14:ligatures w14:val="none"/>
        </w:rPr>
        <w:t>z późn. zm.</w:t>
      </w:r>
      <w:r w:rsidRPr="008A0E40">
        <w:rPr>
          <w:rFonts w:ascii="Times New Roman" w:eastAsia="Times New Roman" w:hAnsi="Times New Roman" w:cs="Times New Roman"/>
          <w:kern w:val="0"/>
          <w:lang w:eastAsia="pl-PL" w:bidi="pl-PL"/>
          <w14:ligatures w14:val="none"/>
        </w:rPr>
        <w:t>), dalej</w:t>
      </w:r>
      <w:r w:rsidR="00C97EDE" w:rsidRPr="008A0E40">
        <w:rPr>
          <w:rFonts w:ascii="Times New Roman" w:eastAsia="Times New Roman" w:hAnsi="Times New Roman" w:cs="Times New Roman"/>
          <w:kern w:val="0"/>
          <w:lang w:eastAsia="pl-PL" w:bidi="pl-PL"/>
          <w14:ligatures w14:val="none"/>
        </w:rPr>
        <w:t xml:space="preserve"> jako</w:t>
      </w:r>
      <w:r w:rsidRPr="008A0E40">
        <w:rPr>
          <w:rFonts w:ascii="Times New Roman" w:eastAsia="Times New Roman" w:hAnsi="Times New Roman" w:cs="Times New Roman"/>
          <w:kern w:val="0"/>
          <w:lang w:eastAsia="pl-PL" w:bidi="pl-PL"/>
          <w14:ligatures w14:val="none"/>
        </w:rPr>
        <w:t>: „u.ofer. publ.”.</w:t>
      </w:r>
    </w:p>
    <w:p w14:paraId="7261CB27" w14:textId="543E10DE"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 przyjęciem pierwszego z wymienionych sposobów implementacji dyrektywy przemawiałby m.in. jej interdyscyplinarny charakter, który przejawia się głównie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regulowaniu materii mieszczących się poza materią prawa gospodarczego, w szczególności w zakresie praw człowieka (równouprawnienia kobiet i mężczyzn) oraz zatrudnienia.</w:t>
      </w:r>
    </w:p>
    <w:p w14:paraId="2CBB9918" w14:textId="3B4C12A9" w:rsidR="009F169D" w:rsidRPr="00397B9E"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397B9E">
        <w:rPr>
          <w:rFonts w:ascii="Times New Roman" w:eastAsia="Times New Roman" w:hAnsi="Times New Roman" w:cs="Times New Roman"/>
          <w:kern w:val="0"/>
          <w:lang w:eastAsia="pl-PL" w:bidi="pl-PL"/>
          <w14:ligatures w14:val="none"/>
        </w:rPr>
        <w:t>Uzasadnieniem kolejnego rozwiązania byłby zakres przedmiotowy ustawy z dnia 3</w:t>
      </w:r>
      <w:r w:rsidR="0005343B" w:rsidRPr="00397B9E">
        <w:rPr>
          <w:rFonts w:ascii="Times New Roman" w:eastAsia="Times New Roman" w:hAnsi="Times New Roman" w:cs="Times New Roman"/>
          <w:kern w:val="0"/>
          <w:lang w:eastAsia="pl-PL" w:bidi="pl-PL"/>
          <w14:ligatures w14:val="none"/>
        </w:rPr>
        <w:t> </w:t>
      </w:r>
      <w:r w:rsidRPr="00397B9E">
        <w:rPr>
          <w:rFonts w:ascii="Times New Roman" w:eastAsia="Times New Roman" w:hAnsi="Times New Roman" w:cs="Times New Roman"/>
          <w:kern w:val="0"/>
          <w:lang w:eastAsia="pl-PL" w:bidi="pl-PL"/>
          <w14:ligatures w14:val="none"/>
        </w:rPr>
        <w:t>grudnia 2010 r. o wdrożeniu niektórych przepisów Unii Europejskiej w zakresie równego traktowania.</w:t>
      </w:r>
    </w:p>
    <w:p w14:paraId="33ED065C" w14:textId="651A2387"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Ostatecznie przyjęto jednak, że optymalnym rozwiązaniem jest implementowanie dyrektywy zasadniczo przez zmianę przepisów u.ofer. publ. Za przyjęciem tego rozwiązania przemawiały następujące argumenty:</w:t>
      </w:r>
    </w:p>
    <w:p w14:paraId="2719CCB1" w14:textId="77777777" w:rsidR="009F169D" w:rsidRPr="008A0E40" w:rsidRDefault="009F169D" w:rsidP="0075467F">
      <w:pPr>
        <w:widowControl w:val="0"/>
        <w:numPr>
          <w:ilvl w:val="0"/>
          <w:numId w:val="3"/>
        </w:numPr>
        <w:tabs>
          <w:tab w:val="left" w:pos="721"/>
        </w:tabs>
        <w:spacing w:before="120" w:after="0" w:line="360" w:lineRule="auto"/>
        <w:ind w:left="720" w:hanging="3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dotychczasowa praktyka wskazuje, że najbardziej typowym sposobem implementacji dyrektyw z zakresu europejskiego prawa spółek jest dokonywanie jej przez zmianę przepisów regulujących funkcjonowanie spółek krajowych. Konsekwencja w stosowaniu tej metodologii wpłynie pozytywnie na przejrzystość i stabilność systemu prawnego;</w:t>
      </w:r>
    </w:p>
    <w:p w14:paraId="23CE70E7" w14:textId="407F0C0C" w:rsidR="009F169D" w:rsidRPr="008A0E40" w:rsidRDefault="009F169D" w:rsidP="0075467F">
      <w:pPr>
        <w:widowControl w:val="0"/>
        <w:numPr>
          <w:ilvl w:val="0"/>
          <w:numId w:val="3"/>
        </w:numPr>
        <w:tabs>
          <w:tab w:val="left" w:pos="721"/>
        </w:tabs>
        <w:spacing w:before="120" w:after="0" w:line="360" w:lineRule="auto"/>
        <w:ind w:left="720" w:hanging="3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związku z tym, że zakres podmiotowy dyrektywy obejmuje jedynie spółki giełdowe, a</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u.ofer. publ. reguluje kwestie dotyczące tych spółek, implementacja dyrektywy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odrębnej ustawie prowadziłaby do zjawiska dezintegracji regulacji odnoszącej do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szczególnej kategorii spółek, co mogłoby powodować problemy w procesie stosowania tych przepisów;</w:t>
      </w:r>
    </w:p>
    <w:p w14:paraId="41CE1626" w14:textId="77777777" w:rsidR="009F169D" w:rsidRPr="008A0E40" w:rsidRDefault="009F169D" w:rsidP="0075467F">
      <w:pPr>
        <w:widowControl w:val="0"/>
        <w:numPr>
          <w:ilvl w:val="0"/>
          <w:numId w:val="3"/>
        </w:numPr>
        <w:tabs>
          <w:tab w:val="left" w:pos="721"/>
        </w:tabs>
        <w:spacing w:before="120" w:after="0" w:line="360" w:lineRule="auto"/>
        <w:ind w:left="720" w:hanging="3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implementacja dyrektywy zasadniczo w ustawie innej niż u.ofer. publ. powodowałaby również problemy w praktyce dla uczestników obrotu (tj. dla przedsiębiorców), którzy od lat stosują przepisy odnoszące się do spółek giełdowych.</w:t>
      </w:r>
    </w:p>
    <w:p w14:paraId="1A348D8B" w14:textId="01565CCE"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 integracją implementacji dyrektywy z u.ofer. publ. przemawiają zatem względy systemowe, praktyczne, jak również związane z potrzebą zachowania stabilności i</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przejrzystości systemu prawnego, co jest szczególnie istotne dla adresatów tych norm oraz stosujących je organów, jak również względy ekonomiki legislacyjnej.</w:t>
      </w:r>
    </w:p>
    <w:p w14:paraId="6D26C9E3" w14:textId="0F42FE52"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Mając na uwadze systematykę u.ofer. publ., niniejszy projekt przewiduje dodanie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tej</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ustawie rozdziału 4aa „Polityka </w:t>
      </w:r>
      <w:r w:rsidR="00A11772" w:rsidRPr="008A0E40">
        <w:rPr>
          <w:rFonts w:ascii="Times New Roman" w:eastAsia="Times New Roman" w:hAnsi="Times New Roman" w:cs="Times New Roman"/>
          <w:kern w:val="0"/>
          <w:lang w:eastAsia="pl-PL" w:bidi="pl-PL"/>
          <w14:ligatures w14:val="none"/>
        </w:rPr>
        <w:t xml:space="preserve">równowagi płci w organach </w:t>
      </w:r>
      <w:r w:rsidRPr="008A0E40">
        <w:rPr>
          <w:rFonts w:ascii="Times New Roman" w:eastAsia="Times New Roman" w:hAnsi="Times New Roman" w:cs="Times New Roman"/>
          <w:kern w:val="0"/>
          <w:lang w:eastAsia="pl-PL" w:bidi="pl-PL"/>
          <w14:ligatures w14:val="none"/>
        </w:rPr>
        <w:t>spółki”.</w:t>
      </w:r>
    </w:p>
    <w:p w14:paraId="5D67027B" w14:textId="5A19CA61" w:rsidR="00713B22" w:rsidRPr="008A0E40" w:rsidRDefault="009F169D" w:rsidP="0075467F">
      <w:pPr>
        <w:widowControl w:val="0"/>
        <w:spacing w:before="120" w:after="0" w:line="360" w:lineRule="auto"/>
        <w:ind w:firstLine="284"/>
        <w:jc w:val="both"/>
        <w:rPr>
          <w:rFonts w:ascii="Times New Roman" w:eastAsia="Times New Roman" w:hAnsi="Times New Roman" w:cs="Times New Roman"/>
          <w:b/>
          <w:bCs/>
          <w:kern w:val="0"/>
          <w:lang w:eastAsia="pl-PL" w:bidi="pl-PL"/>
          <w14:ligatures w14:val="none"/>
        </w:rPr>
      </w:pPr>
      <w:r w:rsidRPr="008A0E40">
        <w:rPr>
          <w:rFonts w:ascii="Times New Roman" w:eastAsia="Times New Roman" w:hAnsi="Times New Roman" w:cs="Times New Roman"/>
          <w:b/>
          <w:bCs/>
          <w:kern w:val="0"/>
          <w:lang w:eastAsia="pl-PL" w:bidi="pl-PL"/>
          <w14:ligatures w14:val="none"/>
        </w:rPr>
        <w:t>II.</w:t>
      </w:r>
      <w:r w:rsidR="00397B9E">
        <w:rPr>
          <w:rFonts w:ascii="Times New Roman" w:eastAsia="Times New Roman" w:hAnsi="Times New Roman" w:cs="Times New Roman"/>
          <w:b/>
          <w:bCs/>
          <w:kern w:val="0"/>
          <w:lang w:eastAsia="pl-PL" w:bidi="pl-PL"/>
          <w14:ligatures w14:val="none"/>
        </w:rPr>
        <w:tab/>
      </w:r>
      <w:r w:rsidRPr="008A0E40">
        <w:rPr>
          <w:rFonts w:ascii="Times New Roman" w:eastAsia="Times New Roman" w:hAnsi="Times New Roman" w:cs="Times New Roman"/>
          <w:b/>
          <w:bCs/>
          <w:kern w:val="0"/>
          <w:lang w:eastAsia="pl-PL" w:bidi="pl-PL"/>
          <w14:ligatures w14:val="none"/>
        </w:rPr>
        <w:t>Część szczegółowa – proponowane zmiany przepisów krajowych</w:t>
      </w:r>
    </w:p>
    <w:p w14:paraId="3F3C1E71"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Zakres podmiotowy regulacji pokrywa się z zakresem dyrektywy i dotyczy wyłącznie spółki giełdowej, która spełnia łącznie dwa warunki:</w:t>
      </w:r>
    </w:p>
    <w:p w14:paraId="0068B078" w14:textId="77777777" w:rsidR="009F169D" w:rsidRPr="008A0E40" w:rsidRDefault="009F169D" w:rsidP="0075467F">
      <w:pPr>
        <w:widowControl w:val="0"/>
        <w:numPr>
          <w:ilvl w:val="0"/>
          <w:numId w:val="4"/>
        </w:numPr>
        <w:tabs>
          <w:tab w:val="left" w:pos="755"/>
        </w:tabs>
        <w:spacing w:before="120" w:after="0" w:line="360" w:lineRule="auto"/>
        <w:ind w:firstLine="40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ma siedzibę w Rzeczypospolitej Polskiej oraz</w:t>
      </w:r>
    </w:p>
    <w:p w14:paraId="4B468FC9" w14:textId="2A75D8C9" w:rsidR="009F169D" w:rsidRPr="008A0E40" w:rsidRDefault="009F169D" w:rsidP="0075467F">
      <w:pPr>
        <w:widowControl w:val="0"/>
        <w:numPr>
          <w:ilvl w:val="0"/>
          <w:numId w:val="4"/>
        </w:numPr>
        <w:tabs>
          <w:tab w:val="left" w:pos="755"/>
        </w:tabs>
        <w:spacing w:before="120" w:after="0" w:line="360" w:lineRule="auto"/>
        <w:ind w:left="720" w:hanging="3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co najmniej jedna jej akcja jest dopuszczona do obrotu na rynku regulowanym w rozumieniu art. 4 ust. 1 pkt 21 dyrektywy Parlamentu Europejskiego i Rady 2014/65/UE z dnia 15 maja 2014 r. w sprawie rynków instrumentów finansowych oraz zmieniając</w:t>
      </w:r>
      <w:r w:rsidR="00503165">
        <w:rPr>
          <w:rFonts w:ascii="Times New Roman" w:eastAsia="Times New Roman" w:hAnsi="Times New Roman" w:cs="Times New Roman"/>
          <w:kern w:val="0"/>
          <w:lang w:eastAsia="pl-PL" w:bidi="pl-PL"/>
          <w14:ligatures w14:val="none"/>
        </w:rPr>
        <w:t>ej</w:t>
      </w:r>
      <w:r w:rsidRPr="008A0E40">
        <w:rPr>
          <w:rFonts w:ascii="Times New Roman" w:eastAsia="Times New Roman" w:hAnsi="Times New Roman" w:cs="Times New Roman"/>
          <w:kern w:val="0"/>
          <w:lang w:eastAsia="pl-PL" w:bidi="pl-PL"/>
          <w14:ligatures w14:val="none"/>
        </w:rPr>
        <w:t xml:space="preserve"> dyrektywę 2002/92/WE i dyrektywę 2011/61/UE (wersja przekształcona) (Dz. Urz. UE. L 173 z 12.06.2014, str. 349, z późn. zm.) w co najmniej jednym z państw członkowskich Unii Europejskiej.</w:t>
      </w:r>
    </w:p>
    <w:p w14:paraId="6D06E198" w14:textId="0EBE6312"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 obowiązku stosowania tych rozwiązań zostali wyłączeni, zgodnie z dyrektywą</w:t>
      </w:r>
      <w:r w:rsidR="00503165">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mikroprzedsiębiorcy oraz mali i średni przedsiębiorcy w rozumieniu ustawy z dnia 6 marca 2018 r. – Prawo przedsiębiorców (</w:t>
      </w:r>
      <w:r w:rsidR="002E72D4" w:rsidRPr="008A0E40">
        <w:rPr>
          <w:rFonts w:ascii="Times New Roman" w:eastAsia="Times New Roman" w:hAnsi="Times New Roman" w:cs="Times New Roman"/>
          <w:kern w:val="0"/>
          <w:lang w:eastAsia="pl-PL" w:bidi="pl-PL"/>
          <w14:ligatures w14:val="none"/>
        </w:rPr>
        <w:t xml:space="preserve">Dz. U. z 2025 r. poz. 1480, </w:t>
      </w:r>
      <w:r w:rsidR="003F7E11" w:rsidRPr="008A0E40">
        <w:rPr>
          <w:rFonts w:ascii="Times New Roman" w:eastAsia="Times New Roman" w:hAnsi="Times New Roman" w:cs="Times New Roman"/>
          <w:kern w:val="0"/>
          <w:lang w:eastAsia="pl-PL" w:bidi="pl-PL"/>
          <w14:ligatures w14:val="none"/>
        </w:rPr>
        <w:t>z późn. zm.</w:t>
      </w:r>
      <w:r w:rsidRPr="008A0E40">
        <w:rPr>
          <w:rFonts w:ascii="Times New Roman" w:eastAsia="Times New Roman" w:hAnsi="Times New Roman" w:cs="Times New Roman"/>
          <w:kern w:val="0"/>
          <w:lang w:eastAsia="pl-PL" w:bidi="pl-PL"/>
          <w14:ligatures w14:val="none"/>
        </w:rPr>
        <w:t>).</w:t>
      </w:r>
    </w:p>
    <w:p w14:paraId="3C0968B3" w14:textId="2982D164"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 uwagi na to, że regulacja odnosi się do stosunków korporacyjnych podmiotów prawa prywatnego, projektodawca nie zdecydował się na rozszerzenie jej zakresu podmiotowego. W przypadku spółek giełdowych stosowanie wprowadzanych regulacji nie powinno być nadmiernie utrudnione, ponieważ już obecnie „Dobre Praktyki Spółek Notowanych na GPW 2021”, do których stosowania zobowiązały się spółki publiczne</w:t>
      </w:r>
      <w:r w:rsidR="002A0A7D">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przewidują, że spółki te będą posiadać politykę różnorodności w odniesieniu do składu personalnego zarządu oraz rady nadzorczej. Spółka publiczna jest zatem zobowiązana określić cele oraz kryteria różnorodności m.in. w obszarze płci. Stosownie do „Dobrych Praktyk Spółek Notowanych na GPW 2021”, udział mniejszości w danym organie na poziomie nieniższym niż 30 % jest warunkiem zapewnienia różnorodności w organach spółki.</w:t>
      </w:r>
    </w:p>
    <w:p w14:paraId="500264D5"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Jak wskazano w uzasadnieniu dyrektywy spółki giełdowe mają szczególne znaczenie gospodarcze, widoczność oraz wpływ na cały rynek. Spółki te ustanawiają standardy w odniesieniu do gospodarki w szerszym rozumieniu i oczekuje się, że ich praktyki będą stanowić przykład dla innych rodzajów spółek. Publiczny charakter spółek giełdowych uzasadnia, z uwagi na interes publiczny, objęcie ich regulacjami w większym stopniu (motyw 27 dyrektywy).</w:t>
      </w:r>
    </w:p>
    <w:p w14:paraId="06E31600" w14:textId="6F541A51" w:rsidR="009F169D" w:rsidRPr="002A0A7D" w:rsidRDefault="009F169D" w:rsidP="0069220D">
      <w:pPr>
        <w:widowControl w:val="0"/>
        <w:spacing w:after="0" w:line="360" w:lineRule="auto"/>
        <w:ind w:firstLine="72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Ponadto ze sprawozdania Pełnomocnika Rządu </w:t>
      </w:r>
      <w:r w:rsidR="00DC7061" w:rsidRPr="008A0E40">
        <w:rPr>
          <w:rFonts w:ascii="Times New Roman" w:eastAsia="Times New Roman" w:hAnsi="Times New Roman" w:cs="Times New Roman"/>
          <w:kern w:val="0"/>
          <w:lang w:eastAsia="pl-PL" w:bidi="pl-PL"/>
          <w14:ligatures w14:val="none"/>
        </w:rPr>
        <w:t xml:space="preserve">do spraw </w:t>
      </w:r>
      <w:r w:rsidRPr="008A0E40">
        <w:rPr>
          <w:rFonts w:ascii="Times New Roman" w:eastAsia="Times New Roman" w:hAnsi="Times New Roman" w:cs="Times New Roman"/>
          <w:kern w:val="0"/>
          <w:lang w:eastAsia="pl-PL" w:bidi="pl-PL"/>
          <w14:ligatures w14:val="none"/>
        </w:rPr>
        <w:t>Równego Traktowania za</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okres 1 styczeń 2022 r. – 31 grudzień 2022 r. wynika, że: „</w:t>
      </w:r>
      <w:r w:rsidRPr="008A0E40">
        <w:rPr>
          <w:rFonts w:ascii="Times New Roman" w:eastAsia="Times New Roman" w:hAnsi="Times New Roman" w:cs="Times New Roman"/>
          <w:i/>
          <w:iCs/>
          <w:kern w:val="0"/>
          <w:lang w:eastAsia="pl-PL" w:bidi="pl-PL"/>
          <w14:ligatures w14:val="none"/>
        </w:rPr>
        <w:t xml:space="preserve">obecnie w Polsce kobiety stanowią 26 % członków rad nadzorczych spółek, ale aż 36 % przewodniczących rad nadzorczych (najlepszy wynik w UE) oraz 16 % członków zarządów spółek giełdowych. Natomiast wśród ogółu menedżerów w Polsce prawie osiągnięto pełną równość </w:t>
      </w:r>
      <w:r w:rsidR="002A0A7D">
        <w:rPr>
          <w:rFonts w:ascii="Times New Roman" w:eastAsia="Times New Roman" w:hAnsi="Times New Roman" w:cs="Times New Roman"/>
          <w:i/>
          <w:iCs/>
          <w:kern w:val="0"/>
          <w:lang w:eastAsia="pl-PL" w:bidi="pl-PL"/>
          <w14:ligatures w14:val="none"/>
        </w:rPr>
        <w:t>–</w:t>
      </w:r>
      <w:r w:rsidRPr="008A0E40">
        <w:rPr>
          <w:rFonts w:ascii="Times New Roman" w:eastAsia="Times New Roman" w:hAnsi="Times New Roman" w:cs="Times New Roman"/>
          <w:i/>
          <w:iCs/>
          <w:kern w:val="0"/>
          <w:lang w:eastAsia="pl-PL" w:bidi="pl-PL"/>
          <w14:ligatures w14:val="none"/>
        </w:rPr>
        <w:t xml:space="preserve"> w badaniu Eurostatu z</w:t>
      </w:r>
      <w:r w:rsidR="0005343B" w:rsidRPr="008A0E40">
        <w:rPr>
          <w:rFonts w:ascii="Times New Roman" w:eastAsia="Times New Roman" w:hAnsi="Times New Roman" w:cs="Times New Roman"/>
          <w:i/>
          <w:iCs/>
          <w:kern w:val="0"/>
          <w:lang w:eastAsia="pl-PL" w:bidi="pl-PL"/>
          <w14:ligatures w14:val="none"/>
        </w:rPr>
        <w:t> </w:t>
      </w:r>
      <w:r w:rsidRPr="008A0E40">
        <w:rPr>
          <w:rFonts w:ascii="Times New Roman" w:eastAsia="Times New Roman" w:hAnsi="Times New Roman" w:cs="Times New Roman"/>
          <w:i/>
          <w:iCs/>
          <w:kern w:val="0"/>
          <w:lang w:eastAsia="pl-PL" w:bidi="pl-PL"/>
          <w14:ligatures w14:val="none"/>
        </w:rPr>
        <w:t>3</w:t>
      </w:r>
      <w:r w:rsidR="0005343B" w:rsidRPr="008A0E40">
        <w:rPr>
          <w:rFonts w:ascii="Times New Roman" w:eastAsia="Times New Roman" w:hAnsi="Times New Roman" w:cs="Times New Roman"/>
          <w:i/>
          <w:iCs/>
          <w:kern w:val="0"/>
          <w:lang w:eastAsia="pl-PL" w:bidi="pl-PL"/>
          <w14:ligatures w14:val="none"/>
        </w:rPr>
        <w:t> </w:t>
      </w:r>
      <w:r w:rsidRPr="008A0E40">
        <w:rPr>
          <w:rFonts w:ascii="Times New Roman" w:eastAsia="Times New Roman" w:hAnsi="Times New Roman" w:cs="Times New Roman"/>
          <w:i/>
          <w:iCs/>
          <w:kern w:val="0"/>
          <w:lang w:eastAsia="pl-PL" w:bidi="pl-PL"/>
          <w14:ligatures w14:val="none"/>
        </w:rPr>
        <w:t>kwartału 2020 r. Polska zajęła drugie miejsce w UE z wynikiem 44 % kobiet na</w:t>
      </w:r>
      <w:r w:rsidR="0005343B" w:rsidRPr="008A0E40">
        <w:rPr>
          <w:rFonts w:ascii="Times New Roman" w:eastAsia="Times New Roman" w:hAnsi="Times New Roman" w:cs="Times New Roman"/>
          <w:i/>
          <w:iCs/>
          <w:kern w:val="0"/>
          <w:lang w:eastAsia="pl-PL" w:bidi="pl-PL"/>
          <w14:ligatures w14:val="none"/>
        </w:rPr>
        <w:t> </w:t>
      </w:r>
      <w:r w:rsidRPr="008A0E40">
        <w:rPr>
          <w:rFonts w:ascii="Times New Roman" w:eastAsia="Times New Roman" w:hAnsi="Times New Roman" w:cs="Times New Roman"/>
          <w:i/>
          <w:iCs/>
          <w:kern w:val="0"/>
          <w:lang w:eastAsia="pl-PL" w:bidi="pl-PL"/>
          <w14:ligatures w14:val="none"/>
        </w:rPr>
        <w:t>stanowiskach kierowniczych, tuż za Łotwą (45 %)</w:t>
      </w:r>
      <w:r w:rsidRPr="008A0E40">
        <w:rPr>
          <w:rFonts w:ascii="Times New Roman" w:eastAsia="Times New Roman" w:hAnsi="Times New Roman" w:cs="Times New Roman"/>
          <w:kern w:val="0"/>
          <w:lang w:eastAsia="pl-PL" w:bidi="pl-PL"/>
          <w14:ligatures w14:val="none"/>
        </w:rPr>
        <w:t>.” [Sprawozdania – Pełnomocnik Rządu do</w:t>
      </w:r>
      <w:r w:rsidR="0005343B" w:rsidRPr="008A0E40">
        <w:rPr>
          <w:rFonts w:ascii="Times New Roman" w:eastAsia="Times New Roman" w:hAnsi="Times New Roman" w:cs="Times New Roman"/>
          <w:kern w:val="0"/>
          <w:lang w:eastAsia="pl-PL" w:bidi="pl-PL"/>
          <w14:ligatures w14:val="none"/>
        </w:rPr>
        <w:t> </w:t>
      </w:r>
      <w:r w:rsidR="005E23A2" w:rsidRPr="008A0E40">
        <w:rPr>
          <w:rFonts w:ascii="Times New Roman" w:eastAsia="Times New Roman" w:hAnsi="Times New Roman" w:cs="Times New Roman"/>
          <w:kern w:val="0"/>
          <w:lang w:eastAsia="pl-PL" w:bidi="pl-PL"/>
          <w14:ligatures w14:val="none"/>
        </w:rPr>
        <w:t>s</w:t>
      </w:r>
      <w:r w:rsidRPr="008A0E40">
        <w:rPr>
          <w:rFonts w:ascii="Times New Roman" w:eastAsia="Times New Roman" w:hAnsi="Times New Roman" w:cs="Times New Roman"/>
          <w:kern w:val="0"/>
          <w:lang w:eastAsia="pl-PL" w:bidi="pl-PL"/>
          <w14:ligatures w14:val="none"/>
        </w:rPr>
        <w:t xml:space="preserve">praw Równego Traktowania </w:t>
      </w:r>
      <w:r w:rsidR="002A0A7D">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Portal Gov.pl (</w:t>
      </w:r>
      <w:r w:rsidR="00E056D8" w:rsidRPr="008A0E40">
        <w:rPr>
          <w:rFonts w:ascii="Times New Roman" w:eastAsia="Times New Roman" w:hAnsi="Times New Roman" w:cs="Times New Roman"/>
          <w:kern w:val="0"/>
          <w:lang w:eastAsia="pl-PL" w:bidi="pl-PL"/>
          <w14:ligatures w14:val="none"/>
        </w:rPr>
        <w:t>www.gov.pl</w:t>
      </w:r>
      <w:r w:rsidRPr="008A0E40">
        <w:rPr>
          <w:rFonts w:ascii="Times New Roman" w:eastAsia="Times New Roman" w:hAnsi="Times New Roman" w:cs="Times New Roman"/>
          <w:kern w:val="0"/>
          <w:lang w:eastAsia="pl-PL" w:bidi="pl-PL"/>
          <w14:ligatures w14:val="none"/>
        </w:rPr>
        <w:t>), s. 12–13].</w:t>
      </w:r>
    </w:p>
    <w:p w14:paraId="50CFB093" w14:textId="2D85D24B"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związku z tym, że w spółkach giełdowych występuje zarówno dualistyczny, jak i monistyczny system zarządzania (spółka europejska), w projektowanym art. 90gb ust.</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3 u.ofer. publ. sprecyzowano pojęcie organów spółki w celu zapewnienia prawidłowego stosowania wprowadzanych regulacji. Przyjęte rozwiązanie umożliwi prawidłowe określenie zakresu stosowania ustawy. Ponadto w projektowanym art. 90gb ust. 4 u.ofer. publ. przewidziano definicję płci niedostatecznie reprezentowanej w organach spółki jako tej, której przedstawiciele zajmują niewięcej niż 49 % łącznej liczby stanowisk w tych organach.</w:t>
      </w:r>
    </w:p>
    <w:p w14:paraId="4AB5E88B" w14:textId="08828213"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 uzasadnieniu dyrektywy prawodawca europejski podkreślił, że ważne jest, aby każda spółka giełdowa opracowała politykę równości płci, tak aby osiągnąć bardziej zrównoważoną reprezentację płci na wszystkich szczeblach (motyw 26 dyrektywy). W celu zapewnienia prawidłowej równowagi płci w organach spółek objętych regulacją w projektowanym art. 90gd u.ofer. publ. przewidziano, że walne zgromadzenie spółki </w:t>
      </w:r>
      <w:r w:rsidR="0005343B" w:rsidRPr="008A0E40">
        <w:rPr>
          <w:rFonts w:ascii="Times New Roman" w:eastAsia="Times New Roman" w:hAnsi="Times New Roman" w:cs="Times New Roman"/>
          <w:kern w:val="0"/>
          <w:lang w:eastAsia="pl-PL" w:bidi="pl-PL"/>
          <w14:ligatures w14:val="none"/>
        </w:rPr>
        <w:t xml:space="preserve">jest </w:t>
      </w:r>
      <w:r w:rsidRPr="008A0E40">
        <w:rPr>
          <w:rFonts w:ascii="Times New Roman" w:eastAsia="Times New Roman" w:hAnsi="Times New Roman" w:cs="Times New Roman"/>
          <w:kern w:val="0"/>
          <w:lang w:eastAsia="pl-PL" w:bidi="pl-PL"/>
          <w14:ligatures w14:val="none"/>
        </w:rPr>
        <w:t>zobowiązane do przyjęcia,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drodze uchwały, polityki </w:t>
      </w:r>
      <w:r w:rsidR="002D2411" w:rsidRPr="008A0E40">
        <w:rPr>
          <w:rFonts w:ascii="Times New Roman" w:eastAsia="Times New Roman" w:hAnsi="Times New Roman" w:cs="Times New Roman"/>
          <w:kern w:val="0"/>
          <w:lang w:eastAsia="pl-PL" w:bidi="pl-PL"/>
          <w14:ligatures w14:val="none"/>
        </w:rPr>
        <w:t>równowagi płci</w:t>
      </w:r>
      <w:r w:rsidRPr="008A0E40">
        <w:rPr>
          <w:rFonts w:ascii="Times New Roman" w:eastAsia="Times New Roman" w:hAnsi="Times New Roman" w:cs="Times New Roman"/>
          <w:kern w:val="0"/>
          <w:lang w:eastAsia="pl-PL" w:bidi="pl-PL"/>
          <w14:ligatures w14:val="none"/>
        </w:rPr>
        <w:t xml:space="preserve"> w zarządzie oraz radzie nadzorczej spółki, której celem jest zapewnienie równowagi płci w organach spółki.</w:t>
      </w:r>
    </w:p>
    <w:p w14:paraId="3FA700FA" w14:textId="63F68D46"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Walne zgromadzenie spółki jest organem stanowiącym, o najszerszych kompetencjach, na którym mogą wykonywać swoje uprawnienia korporacyjne akcjonariusze. W związku z tym w ocenie projektodawcy organ ten powinien określać politykę </w:t>
      </w:r>
      <w:r w:rsidR="002D2411" w:rsidRPr="008A0E40">
        <w:rPr>
          <w:rFonts w:ascii="Times New Roman" w:eastAsia="Times New Roman" w:hAnsi="Times New Roman" w:cs="Times New Roman"/>
          <w:kern w:val="0"/>
          <w:lang w:eastAsia="pl-PL" w:bidi="pl-PL"/>
          <w14:ligatures w14:val="none"/>
        </w:rPr>
        <w:t xml:space="preserve">równowagi płci </w:t>
      </w:r>
      <w:r w:rsidRPr="008A0E40">
        <w:rPr>
          <w:rFonts w:ascii="Times New Roman" w:eastAsia="Times New Roman" w:hAnsi="Times New Roman" w:cs="Times New Roman"/>
          <w:kern w:val="0"/>
          <w:lang w:eastAsia="pl-PL" w:bidi="pl-PL"/>
          <w14:ligatures w14:val="none"/>
        </w:rPr>
        <w:t>w organach spółki w celu zapewnienia prawidłowego funkcjonowania spółki oraz jej optymalnego rozwoju.</w:t>
      </w:r>
    </w:p>
    <w:p w14:paraId="04DD408E" w14:textId="11C4D511"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 </w:t>
      </w:r>
      <w:r w:rsidR="008E20AA" w:rsidRPr="008A0E40">
        <w:rPr>
          <w:rFonts w:ascii="Times New Roman" w:eastAsia="Times New Roman" w:hAnsi="Times New Roman" w:cs="Times New Roman"/>
          <w:kern w:val="0"/>
          <w:lang w:eastAsia="pl-PL" w:bidi="pl-PL"/>
          <w14:ligatures w14:val="none"/>
        </w:rPr>
        <w:t xml:space="preserve">projektowanym </w:t>
      </w:r>
      <w:r w:rsidRPr="008A0E40">
        <w:rPr>
          <w:rFonts w:ascii="Times New Roman" w:eastAsia="Times New Roman" w:hAnsi="Times New Roman" w:cs="Times New Roman"/>
          <w:kern w:val="0"/>
          <w:lang w:eastAsia="pl-PL" w:bidi="pl-PL"/>
          <w14:ligatures w14:val="none"/>
        </w:rPr>
        <w:t xml:space="preserve">art. 90gc </w:t>
      </w:r>
      <w:r w:rsidR="008E20AA" w:rsidRPr="008A0E40">
        <w:rPr>
          <w:rFonts w:ascii="Times New Roman" w:eastAsia="Times New Roman" w:hAnsi="Times New Roman" w:cs="Times New Roman"/>
          <w:kern w:val="0"/>
          <w:lang w:eastAsia="pl-PL" w:bidi="pl-PL"/>
          <w14:ligatures w14:val="none"/>
        </w:rPr>
        <w:t>u.ofer. publ.</w:t>
      </w:r>
      <w:r w:rsidR="008E20AA" w:rsidRPr="008A0E40">
        <w:rPr>
          <w:rFonts w:ascii="Times New Roman" w:eastAsia="Times New Roman" w:hAnsi="Times New Roman" w:cs="Times New Roman"/>
          <w:color w:val="000000"/>
          <w:kern w:val="0"/>
          <w:lang w:eastAsia="pl-PL" w:bidi="pl-PL"/>
          <w14:ligatures w14:val="none"/>
        </w:rPr>
        <w:t xml:space="preserve"> </w:t>
      </w:r>
      <w:r w:rsidRPr="008A0E40">
        <w:rPr>
          <w:rFonts w:ascii="Times New Roman" w:eastAsia="Times New Roman" w:hAnsi="Times New Roman" w:cs="Times New Roman"/>
          <w:kern w:val="0"/>
          <w:lang w:eastAsia="pl-PL" w:bidi="pl-PL"/>
          <w14:ligatures w14:val="none"/>
        </w:rPr>
        <w:t>określono minimalny procentowy udział osób należących do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określonej płci w łącznej liczbie członków organów w spółce. Minimalna liczba stanowisk zajmowanych przez osoby należące do niedostatecznie reprezentowanej płci powinna być niemniejsza niż liczba najbardziej zbliżon</w:t>
      </w:r>
      <w:r w:rsidR="002A0A7D">
        <w:rPr>
          <w:rFonts w:ascii="Times New Roman" w:eastAsia="Times New Roman" w:hAnsi="Times New Roman" w:cs="Times New Roman"/>
          <w:kern w:val="0"/>
          <w:lang w:eastAsia="pl-PL" w:bidi="pl-PL"/>
          <w14:ligatures w14:val="none"/>
        </w:rPr>
        <w:t>a</w:t>
      </w:r>
      <w:r w:rsidRPr="008A0E40">
        <w:rPr>
          <w:rFonts w:ascii="Times New Roman" w:eastAsia="Times New Roman" w:hAnsi="Times New Roman" w:cs="Times New Roman"/>
          <w:kern w:val="0"/>
          <w:lang w:eastAsia="pl-PL" w:bidi="pl-PL"/>
          <w14:ligatures w14:val="none"/>
        </w:rPr>
        <w:t xml:space="preserve"> do odsetka 33 % liczby wszystkich stanowisk w organach spółki. Ponadto w tym przepisie przewidziano, że osoby należące do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niedostatecznie reprezentowanej płci zajmują stanowiska w każdym z organów spółki.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celu uproszczenia procesu ustalania liczbowej równowagi płci w organach spółek łączne liczby stanowisk w organach spółki, które powinny być zajmowane przez osoby należące do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niedostatecznie reprezentowanej płci przypisane dla spółek o różnych liczbach wszystkich stanowisk w organach, został</w:t>
      </w:r>
      <w:r w:rsidR="002D2411" w:rsidRPr="008A0E40">
        <w:rPr>
          <w:rFonts w:ascii="Times New Roman" w:eastAsia="Times New Roman" w:hAnsi="Times New Roman" w:cs="Times New Roman"/>
          <w:kern w:val="0"/>
          <w:lang w:eastAsia="pl-PL" w:bidi="pl-PL"/>
          <w14:ligatures w14:val="none"/>
        </w:rPr>
        <w:t>y</w:t>
      </w:r>
      <w:r w:rsidRPr="008A0E40">
        <w:rPr>
          <w:rFonts w:ascii="Times New Roman" w:eastAsia="Times New Roman" w:hAnsi="Times New Roman" w:cs="Times New Roman"/>
          <w:kern w:val="0"/>
          <w:lang w:eastAsia="pl-PL" w:bidi="pl-PL"/>
          <w14:ligatures w14:val="none"/>
        </w:rPr>
        <w:t xml:space="preserve"> określon</w:t>
      </w:r>
      <w:r w:rsidR="002D2411" w:rsidRPr="008A0E40">
        <w:rPr>
          <w:rFonts w:ascii="Times New Roman" w:eastAsia="Times New Roman" w:hAnsi="Times New Roman" w:cs="Times New Roman"/>
          <w:kern w:val="0"/>
          <w:lang w:eastAsia="pl-PL" w:bidi="pl-PL"/>
          <w14:ligatures w14:val="none"/>
        </w:rPr>
        <w:t>e</w:t>
      </w:r>
      <w:r w:rsidRPr="008A0E40">
        <w:rPr>
          <w:rFonts w:ascii="Times New Roman" w:eastAsia="Times New Roman" w:hAnsi="Times New Roman" w:cs="Times New Roman"/>
          <w:kern w:val="0"/>
          <w:lang w:eastAsia="pl-PL" w:bidi="pl-PL"/>
          <w14:ligatures w14:val="none"/>
        </w:rPr>
        <w:t xml:space="preserve"> w załączniku do dyrektywy, do którego odsyła proj</w:t>
      </w:r>
      <w:r w:rsidR="0005343B" w:rsidRPr="008A0E40">
        <w:rPr>
          <w:rFonts w:ascii="Times New Roman" w:eastAsia="Times New Roman" w:hAnsi="Times New Roman" w:cs="Times New Roman"/>
          <w:kern w:val="0"/>
          <w:lang w:eastAsia="pl-PL" w:bidi="pl-PL"/>
          <w14:ligatures w14:val="none"/>
        </w:rPr>
        <w:t>ektowany</w:t>
      </w:r>
      <w:r w:rsidRPr="008A0E40">
        <w:rPr>
          <w:rFonts w:ascii="Times New Roman" w:eastAsia="Times New Roman" w:hAnsi="Times New Roman" w:cs="Times New Roman"/>
          <w:kern w:val="0"/>
          <w:lang w:eastAsia="pl-PL" w:bidi="pl-PL"/>
          <w14:ligatures w14:val="none"/>
        </w:rPr>
        <w:t xml:space="preserve"> art. 90gc ust. 3</w:t>
      </w:r>
      <w:r w:rsidR="008E20AA" w:rsidRPr="008A0E40">
        <w:rPr>
          <w:rFonts w:ascii="Times New Roman" w:eastAsia="Times New Roman" w:hAnsi="Times New Roman" w:cs="Times New Roman"/>
          <w:kern w:val="0"/>
          <w:lang w:eastAsia="pl-PL" w:bidi="pl-PL"/>
          <w14:ligatures w14:val="none"/>
        </w:rPr>
        <w:t xml:space="preserve"> u.ofer. publ.</w:t>
      </w:r>
      <w:r w:rsidRPr="008A0E40">
        <w:rPr>
          <w:rFonts w:ascii="Times New Roman" w:eastAsia="Times New Roman" w:hAnsi="Times New Roman" w:cs="Times New Roman"/>
          <w:kern w:val="0"/>
          <w:lang w:eastAsia="pl-PL" w:bidi="pl-PL"/>
          <w14:ligatures w14:val="none"/>
        </w:rPr>
        <w:t xml:space="preserve"> Z uwagi na określoną przepisami prawa minimalną liczebność rad nadzorczych publicznych spółek akcyjnych oraz rad administrujących publicznych spółek europejskich w polskich warunkach zastosowanie znajdą zawarte w załączniku liczby dla spółek o łącznej liczbie stanowisk niemniejszej niż 5 </w:t>
      </w:r>
      <w:r w:rsidR="002D2411" w:rsidRPr="008A0E40">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zgodnie z art. 33 ust. 1 ustawy z dnia 4</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marca 2005 r. o europejskim zgrupowaniu interesów gospodarczych i spółce europejskiej (</w:t>
      </w:r>
      <w:r w:rsidR="00217E0A" w:rsidRPr="008A0E40">
        <w:rPr>
          <w:rFonts w:ascii="Times New Roman" w:eastAsia="Times New Roman" w:hAnsi="Times New Roman" w:cs="Times New Roman"/>
          <w:kern w:val="0"/>
          <w:lang w:eastAsia="pl-PL" w:bidi="pl-PL"/>
          <w14:ligatures w14:val="none"/>
        </w:rPr>
        <w:t>Dz.</w:t>
      </w:r>
      <w:r w:rsidR="00D262ED" w:rsidRPr="008A0E40">
        <w:rPr>
          <w:rFonts w:ascii="Times New Roman" w:eastAsia="Times New Roman" w:hAnsi="Times New Roman" w:cs="Times New Roman"/>
          <w:kern w:val="0"/>
          <w:lang w:eastAsia="pl-PL" w:bidi="pl-PL"/>
          <w14:ligatures w14:val="none"/>
        </w:rPr>
        <w:t xml:space="preserve"> </w:t>
      </w:r>
      <w:r w:rsidR="00217E0A" w:rsidRPr="008A0E40">
        <w:rPr>
          <w:rFonts w:ascii="Times New Roman" w:eastAsia="Times New Roman" w:hAnsi="Times New Roman" w:cs="Times New Roman"/>
          <w:kern w:val="0"/>
          <w:lang w:eastAsia="pl-PL" w:bidi="pl-PL"/>
          <w14:ligatures w14:val="none"/>
        </w:rPr>
        <w:t xml:space="preserve">U. </w:t>
      </w:r>
      <w:r w:rsidR="00D262ED" w:rsidRPr="008A0E40">
        <w:rPr>
          <w:rFonts w:ascii="Times New Roman" w:eastAsia="Times New Roman" w:hAnsi="Times New Roman" w:cs="Times New Roman"/>
          <w:kern w:val="0"/>
          <w:lang w:eastAsia="pl-PL" w:bidi="pl-PL"/>
          <w14:ligatures w14:val="none"/>
        </w:rPr>
        <w:t xml:space="preserve">z </w:t>
      </w:r>
      <w:r w:rsidR="00217E0A" w:rsidRPr="008A0E40">
        <w:rPr>
          <w:rFonts w:ascii="Times New Roman" w:eastAsia="Times New Roman" w:hAnsi="Times New Roman" w:cs="Times New Roman"/>
          <w:kern w:val="0"/>
          <w:lang w:eastAsia="pl-PL" w:bidi="pl-PL"/>
          <w14:ligatures w14:val="none"/>
        </w:rPr>
        <w:t>2026 r. poz. 583</w:t>
      </w:r>
      <w:r w:rsidRPr="008A0E40">
        <w:rPr>
          <w:rFonts w:ascii="Times New Roman" w:eastAsia="Times New Roman" w:hAnsi="Times New Roman" w:cs="Times New Roman"/>
          <w:kern w:val="0"/>
          <w:lang w:eastAsia="pl-PL" w:bidi="pl-PL"/>
          <w14:ligatures w14:val="none"/>
        </w:rPr>
        <w:t>) rada administrująca publicznej spółki europejskiej składa się co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najmniej z pięciu członków</w:t>
      </w:r>
      <w:r w:rsidR="002D2411" w:rsidRPr="008A0E40">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w:t>
      </w:r>
    </w:p>
    <w:p w14:paraId="370230DF" w14:textId="77777777"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przepisie art. 5 dyrektywa pozostawia państwom członkowskim wybór w zakresie określenia minimalnej liczby stanowisk, które powinny być zajmowane przez osoby należące do niedostatecznie reprezentowanej płci, do których osiągniecia będą zobowiązane spółki objęte regulacją:</w:t>
      </w:r>
    </w:p>
    <w:p w14:paraId="6A19B812" w14:textId="77777777" w:rsidR="009F169D" w:rsidRPr="008A0E40" w:rsidRDefault="009F169D" w:rsidP="0075467F">
      <w:pPr>
        <w:widowControl w:val="0"/>
        <w:numPr>
          <w:ilvl w:val="0"/>
          <w:numId w:val="5"/>
        </w:numPr>
        <w:tabs>
          <w:tab w:val="left" w:pos="730"/>
        </w:tabs>
        <w:spacing w:before="120" w:after="0" w:line="360" w:lineRule="auto"/>
        <w:ind w:left="720" w:hanging="3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zajmowanie przez osoby niedostatecznie reprezentowanej płci co najmniej 40 % stanowisk dyrektorów niewykonawczych (a więc członków organów nadzoru) lub</w:t>
      </w:r>
    </w:p>
    <w:p w14:paraId="77B77B4E" w14:textId="77777777" w:rsidR="009F169D" w:rsidRPr="008A0E40" w:rsidRDefault="009F169D" w:rsidP="0075467F">
      <w:pPr>
        <w:widowControl w:val="0"/>
        <w:numPr>
          <w:ilvl w:val="0"/>
          <w:numId w:val="5"/>
        </w:numPr>
        <w:tabs>
          <w:tab w:val="left" w:pos="730"/>
        </w:tabs>
        <w:spacing w:before="120" w:after="0" w:line="360" w:lineRule="auto"/>
        <w:ind w:left="720" w:hanging="3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zajmowanie przez osoby niedostatecznie reprezentowanej płci co najmniej 33 % wszystkich stanowisk, w tym zarówno dyrektorów niewykonawczych, jak i wykonawczych (a więc członków organu reprezentacji).</w:t>
      </w:r>
    </w:p>
    <w:p w14:paraId="55024756" w14:textId="07511A77"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Projekt </w:t>
      </w:r>
      <w:r w:rsidR="00901D79" w:rsidRPr="008A0E40">
        <w:rPr>
          <w:rFonts w:ascii="Times New Roman" w:eastAsia="Times New Roman" w:hAnsi="Times New Roman" w:cs="Times New Roman"/>
          <w:kern w:val="0"/>
          <w:lang w:eastAsia="pl-PL" w:bidi="pl-PL"/>
          <w14:ligatures w14:val="none"/>
        </w:rPr>
        <w:t xml:space="preserve">ustawy </w:t>
      </w:r>
      <w:r w:rsidRPr="008A0E40">
        <w:rPr>
          <w:rFonts w:ascii="Times New Roman" w:eastAsia="Times New Roman" w:hAnsi="Times New Roman" w:cs="Times New Roman"/>
          <w:kern w:val="0"/>
          <w:lang w:eastAsia="pl-PL" w:bidi="pl-PL"/>
          <w14:ligatures w14:val="none"/>
        </w:rPr>
        <w:t>zakłada osiągnięcie przez spółki objęte regulacją stanu, w którym osoby reprezentujące niedostatecznie reprezentowaną płeć będą zajmowały stanowiska w organach spółki w liczbie co najmniej 33 % wszystkich stanowisk w organach i niewiększej niż 49 % liczby wszystkich stanowisk w organach spółki. Jednocześnie w celu zapewnienia udziału osób należących do niedostatecznie reprezentowanej płci w obu organach spółki, w powołanym przepisie</w:t>
      </w:r>
      <w:r w:rsidR="003D095B">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wskazano, że osoby te zajmują stanowiska w każdym z organów spółki. Do obliczenia liczby stanowisk w danym organie spółki, które powinny być zajmowane przez przedstawicieli niedostatecznie reprezentowanej płci należy:</w:t>
      </w:r>
    </w:p>
    <w:p w14:paraId="53778C93" w14:textId="472EAF90" w:rsidR="009F169D" w:rsidRPr="008A0E40" w:rsidRDefault="00BA2722" w:rsidP="0075467F">
      <w:pPr>
        <w:widowControl w:val="0"/>
        <w:spacing w:before="120" w:after="0" w:line="360" w:lineRule="auto"/>
        <w:ind w:left="709" w:hanging="425"/>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1)</w:t>
      </w:r>
      <w:r w:rsidR="003D095B">
        <w:rPr>
          <w:rFonts w:ascii="Times New Roman" w:eastAsia="Times New Roman" w:hAnsi="Times New Roman" w:cs="Times New Roman"/>
          <w:kern w:val="0"/>
          <w:lang w:eastAsia="pl-PL" w:bidi="pl-PL"/>
          <w14:ligatures w14:val="none"/>
        </w:rPr>
        <w:tab/>
      </w:r>
      <w:r w:rsidR="009F169D" w:rsidRPr="008A0E40">
        <w:rPr>
          <w:rFonts w:ascii="Times New Roman" w:eastAsia="Times New Roman" w:hAnsi="Times New Roman" w:cs="Times New Roman"/>
          <w:kern w:val="0"/>
          <w:lang w:eastAsia="pl-PL" w:bidi="pl-PL"/>
          <w14:ligatures w14:val="none"/>
        </w:rPr>
        <w:t>obliczyć łączną liczbę stanowisk w organach spółki zajmowanych przez osoby należące do niedostatecznie reprezentowanej płci – zgodnie z</w:t>
      </w:r>
      <w:r w:rsidR="00901D79" w:rsidRPr="008A0E40">
        <w:rPr>
          <w:rFonts w:ascii="Times New Roman" w:eastAsia="Times New Roman" w:hAnsi="Times New Roman" w:cs="Times New Roman"/>
          <w:kern w:val="0"/>
          <w:lang w:eastAsia="pl-PL" w:bidi="pl-PL"/>
          <w14:ligatures w14:val="none"/>
        </w:rPr>
        <w:t xml:space="preserve"> projektowanym art. 90gc</w:t>
      </w:r>
      <w:r w:rsidR="009F169D" w:rsidRPr="008A0E40">
        <w:rPr>
          <w:rFonts w:ascii="Times New Roman" w:eastAsia="Times New Roman" w:hAnsi="Times New Roman" w:cs="Times New Roman"/>
          <w:kern w:val="0"/>
          <w:lang w:eastAsia="pl-PL" w:bidi="pl-PL"/>
          <w14:ligatures w14:val="none"/>
        </w:rPr>
        <w:t xml:space="preserve"> ust. 2 pkt 1 oraz ust. 3, a następnie</w:t>
      </w:r>
    </w:p>
    <w:p w14:paraId="2C58D78B" w14:textId="7E614B3C" w:rsidR="009F169D" w:rsidRPr="008A0E40" w:rsidRDefault="00BA2722" w:rsidP="0075467F">
      <w:pPr>
        <w:widowControl w:val="0"/>
        <w:tabs>
          <w:tab w:val="left" w:pos="1057"/>
        </w:tabs>
        <w:spacing w:before="120" w:after="0" w:line="360" w:lineRule="auto"/>
        <w:ind w:left="709" w:hanging="425"/>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2)</w:t>
      </w:r>
      <w:r w:rsidR="003D095B">
        <w:rPr>
          <w:rFonts w:ascii="Times New Roman" w:eastAsia="Times New Roman" w:hAnsi="Times New Roman" w:cs="Times New Roman"/>
          <w:kern w:val="0"/>
          <w:lang w:eastAsia="pl-PL" w:bidi="pl-PL"/>
          <w14:ligatures w14:val="none"/>
        </w:rPr>
        <w:tab/>
      </w:r>
      <w:r w:rsidR="009F169D" w:rsidRPr="008A0E40">
        <w:rPr>
          <w:rFonts w:ascii="Times New Roman" w:eastAsia="Times New Roman" w:hAnsi="Times New Roman" w:cs="Times New Roman"/>
          <w:kern w:val="0"/>
          <w:lang w:eastAsia="pl-PL" w:bidi="pl-PL"/>
          <w14:ligatures w14:val="none"/>
        </w:rPr>
        <w:t>rozdzielić łączną liczbę stanowisk zajmowanych przez osoby należące do</w:t>
      </w:r>
      <w:r w:rsidR="0005343B" w:rsidRPr="008A0E40">
        <w:rPr>
          <w:rFonts w:ascii="Times New Roman" w:eastAsia="Times New Roman" w:hAnsi="Times New Roman" w:cs="Times New Roman"/>
          <w:kern w:val="0"/>
          <w:lang w:eastAsia="pl-PL" w:bidi="pl-PL"/>
          <w14:ligatures w14:val="none"/>
        </w:rPr>
        <w:t> </w:t>
      </w:r>
      <w:r w:rsidR="009F169D" w:rsidRPr="008A0E40">
        <w:rPr>
          <w:rFonts w:ascii="Times New Roman" w:eastAsia="Times New Roman" w:hAnsi="Times New Roman" w:cs="Times New Roman"/>
          <w:kern w:val="0"/>
          <w:lang w:eastAsia="pl-PL" w:bidi="pl-PL"/>
          <w14:ligatures w14:val="none"/>
        </w:rPr>
        <w:t xml:space="preserve">niedostatecznie reprezentowanej płci, obliczoną zgodnie z </w:t>
      </w:r>
      <w:r w:rsidR="00901D79" w:rsidRPr="008A0E40">
        <w:rPr>
          <w:rFonts w:ascii="Times New Roman" w:eastAsia="Times New Roman" w:hAnsi="Times New Roman" w:cs="Times New Roman"/>
          <w:kern w:val="0"/>
          <w:lang w:eastAsia="pl-PL" w:bidi="pl-PL"/>
          <w14:ligatures w14:val="none"/>
        </w:rPr>
        <w:t xml:space="preserve">projektowanym art. 90gc </w:t>
      </w:r>
      <w:r w:rsidR="009F169D" w:rsidRPr="008A0E40">
        <w:rPr>
          <w:rFonts w:ascii="Times New Roman" w:eastAsia="Times New Roman" w:hAnsi="Times New Roman" w:cs="Times New Roman"/>
          <w:kern w:val="0"/>
          <w:lang w:eastAsia="pl-PL" w:bidi="pl-PL"/>
          <w14:ligatures w14:val="none"/>
        </w:rPr>
        <w:t>ust. 2 pkt 1 oraz ust. 3, między organy spółki wg zasady, że w składzie każdego organu spółki znajdą się osoby należące do</w:t>
      </w:r>
      <w:r w:rsidR="0005343B" w:rsidRPr="008A0E40">
        <w:rPr>
          <w:rFonts w:ascii="Times New Roman" w:eastAsia="Times New Roman" w:hAnsi="Times New Roman" w:cs="Times New Roman"/>
          <w:kern w:val="0"/>
          <w:lang w:eastAsia="pl-PL" w:bidi="pl-PL"/>
          <w14:ligatures w14:val="none"/>
        </w:rPr>
        <w:t> </w:t>
      </w:r>
      <w:r w:rsidR="009F169D" w:rsidRPr="008A0E40">
        <w:rPr>
          <w:rFonts w:ascii="Times New Roman" w:eastAsia="Times New Roman" w:hAnsi="Times New Roman" w:cs="Times New Roman"/>
          <w:kern w:val="0"/>
          <w:lang w:eastAsia="pl-PL" w:bidi="pl-PL"/>
          <w14:ligatures w14:val="none"/>
        </w:rPr>
        <w:t>niedostatecznie reprezentowanej płci. Za przyjęciem takiego rozwiązania przemawiają następujące argumenty:</w:t>
      </w:r>
    </w:p>
    <w:p w14:paraId="6751B7CD" w14:textId="5839B6B5" w:rsidR="009F169D" w:rsidRPr="008A0E40" w:rsidRDefault="009F169D" w:rsidP="0075467F">
      <w:pPr>
        <w:widowControl w:val="0"/>
        <w:numPr>
          <w:ilvl w:val="0"/>
          <w:numId w:val="7"/>
        </w:numPr>
        <w:tabs>
          <w:tab w:val="left" w:pos="1276"/>
        </w:tabs>
        <w:spacing w:before="120" w:after="0" w:line="360" w:lineRule="auto"/>
        <w:ind w:left="1276" w:hanging="536"/>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celem dyrektywy jest osiągnięcie równowagi płci w procesach decyzyjnych spółki (por. motyw 8 dyrektywy), ponieważ udział kobiet i mężczyzn w tych procesach pozwala na pełne wykorzystanie różnorodności zasobów obu płci. Tożsamy cel przyświecał projektodawcy, który dążył do zapewnienia udziału kobiet zarówno w</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organach nadzoru spółek giełdowych, jak też w organach, które reprezentują spółki w stosunkach zewnętrznych oraz prowadzą sprawy spółki;</w:t>
      </w:r>
    </w:p>
    <w:p w14:paraId="4505182D" w14:textId="164965FC" w:rsidR="009F169D" w:rsidRPr="008A0E40" w:rsidRDefault="009F169D" w:rsidP="0075467F">
      <w:pPr>
        <w:widowControl w:val="0"/>
        <w:numPr>
          <w:ilvl w:val="0"/>
          <w:numId w:val="7"/>
        </w:numPr>
        <w:tabs>
          <w:tab w:val="left" w:pos="1276"/>
        </w:tabs>
        <w:spacing w:before="120" w:after="0" w:line="360" w:lineRule="auto"/>
        <w:ind w:left="1276" w:hanging="536"/>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przyjęte rozwiązanie zapewni rzeczywisty wpływ obu płci na funkcjonowanie i rozwój spółek giełdowych;</w:t>
      </w:r>
    </w:p>
    <w:p w14:paraId="6F7D54FB" w14:textId="3770128B" w:rsidR="009F169D" w:rsidRPr="008A0E40" w:rsidRDefault="009F169D" w:rsidP="0075467F">
      <w:pPr>
        <w:widowControl w:val="0"/>
        <w:numPr>
          <w:ilvl w:val="0"/>
          <w:numId w:val="7"/>
        </w:numPr>
        <w:tabs>
          <w:tab w:val="left" w:pos="1276"/>
        </w:tabs>
        <w:spacing w:before="120" w:after="0" w:line="360" w:lineRule="auto"/>
        <w:ind w:left="1276" w:hanging="536"/>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zgodnie z dyrektywą przyjęcie rozwiązania przewidzianego w art. 5 ust. 1 lit. a, a więc odsetka 40 % stanowisk niewykonawczych (w organach nadzoru spółki) nie zwalnia podmiotów objętych zakresem dyrektywy z obowiązku dążenia do</w:t>
      </w:r>
      <w:r w:rsidR="0005343B"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osiągnięcia udziału 33 % wszystkich stanowisk zarówno w zarządzie, jak też w radzie nadzorczej spółki (art. 5 ust. 2 dyrektywy)</w:t>
      </w:r>
      <w:r w:rsidR="00EA3491" w:rsidRPr="008A0E40">
        <w:rPr>
          <w:rFonts w:ascii="Times New Roman" w:eastAsia="Times New Roman" w:hAnsi="Times New Roman" w:cs="Times New Roman"/>
          <w:kern w:val="0"/>
          <w:lang w:eastAsia="pl-PL" w:bidi="pl-PL"/>
          <w14:ligatures w14:val="none"/>
        </w:rPr>
        <w:t>;</w:t>
      </w:r>
    </w:p>
    <w:p w14:paraId="36320AD5" w14:textId="039FF3F7" w:rsidR="009F169D" w:rsidRPr="008A0E40" w:rsidRDefault="009F169D" w:rsidP="0075467F">
      <w:pPr>
        <w:widowControl w:val="0"/>
        <w:numPr>
          <w:ilvl w:val="0"/>
          <w:numId w:val="7"/>
        </w:numPr>
        <w:tabs>
          <w:tab w:val="left" w:pos="1276"/>
        </w:tabs>
        <w:spacing w:before="120" w:after="0" w:line="360" w:lineRule="auto"/>
        <w:ind w:left="1276" w:hanging="536"/>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2021 r. eksperci z zakresu spółek giełdowych opracowali „Politykę różnorodności, która odnosi się również do równowagi płci”. Przyjęto w niej, że</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kobiety powinny zajmować co najmniej 30 % </w:t>
      </w:r>
      <w:r w:rsidRPr="008A0E40">
        <w:rPr>
          <w:rFonts w:ascii="Times New Roman" w:eastAsia="Times New Roman" w:hAnsi="Times New Roman" w:cs="Times New Roman"/>
          <w:b/>
          <w:bCs/>
          <w:kern w:val="0"/>
          <w:u w:val="single"/>
          <w:lang w:eastAsia="pl-PL" w:bidi="pl-PL"/>
          <w14:ligatures w14:val="none"/>
        </w:rPr>
        <w:t>w danym</w:t>
      </w:r>
      <w:r w:rsidRPr="008A0E40">
        <w:rPr>
          <w:rFonts w:ascii="Times New Roman" w:eastAsia="Times New Roman" w:hAnsi="Times New Roman" w:cs="Times New Roman"/>
          <w:b/>
          <w:bCs/>
          <w:kern w:val="0"/>
          <w:lang w:eastAsia="pl-PL" w:bidi="pl-PL"/>
          <w14:ligatures w14:val="none"/>
        </w:rPr>
        <w:t xml:space="preserve"> </w:t>
      </w:r>
      <w:r w:rsidRPr="008A0E40">
        <w:rPr>
          <w:rFonts w:ascii="Times New Roman" w:eastAsia="Times New Roman" w:hAnsi="Times New Roman" w:cs="Times New Roman"/>
          <w:kern w:val="0"/>
          <w:lang w:eastAsia="pl-PL" w:bidi="pl-PL"/>
          <w14:ligatures w14:val="none"/>
        </w:rPr>
        <w:t>organie. Przyjęte w</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projekcie ustawy rozwiązanie zmierza do osiągnięcia tego celu przez ustanowienie obowiązku przeznaczenia dla osób należących do płci niedostatecznie reprezentowanej co najmniej jednego stanowiska w każdym organie spółki i podąża za już wyznaczonym trendem, którego celem było zapewnienie odpowiedniej reprezentacji płci zarówno w organie reprezentacji spółki, jak też w organie nadzoru.</w:t>
      </w:r>
    </w:p>
    <w:p w14:paraId="38D66BB7" w14:textId="482BD74D" w:rsidR="009F169D" w:rsidRPr="008A0E40" w:rsidRDefault="009F169D" w:rsidP="0075467F">
      <w:pPr>
        <w:widowControl w:val="0"/>
        <w:spacing w:before="120" w:after="0" w:line="360" w:lineRule="auto"/>
        <w:ind w:firstLine="76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 celu zapewnienia realizacji obowiązków nakładanych na spółki giełdowe objęte regulacją, jak też w celu ułatwienia osiągnięcia wymaganego udziału reprezentantów obu płci w organach spółek, projekt </w:t>
      </w:r>
      <w:r w:rsidR="00901D79" w:rsidRPr="008A0E40">
        <w:rPr>
          <w:rFonts w:ascii="Times New Roman" w:eastAsia="Times New Roman" w:hAnsi="Times New Roman" w:cs="Times New Roman"/>
          <w:kern w:val="0"/>
          <w:lang w:eastAsia="pl-PL" w:bidi="pl-PL"/>
          <w14:ligatures w14:val="none"/>
        </w:rPr>
        <w:t xml:space="preserve">ustawy </w:t>
      </w:r>
      <w:r w:rsidRPr="008A0E40">
        <w:rPr>
          <w:rFonts w:ascii="Times New Roman" w:eastAsia="Times New Roman" w:hAnsi="Times New Roman" w:cs="Times New Roman"/>
          <w:kern w:val="0"/>
          <w:lang w:eastAsia="pl-PL" w:bidi="pl-PL"/>
          <w14:ligatures w14:val="none"/>
        </w:rPr>
        <w:t>określa ogólne zasady i kryteria</w:t>
      </w:r>
      <w:r w:rsidR="0006401F">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jakimi powinny kierować się spółki przy wyborze członków organu reprezentacji oraz organu nadzoru.</w:t>
      </w:r>
    </w:p>
    <w:p w14:paraId="14EF1942" w14:textId="76C029AF" w:rsidR="009F169D" w:rsidRPr="008A0E40" w:rsidRDefault="009F169D" w:rsidP="0075467F">
      <w:pPr>
        <w:widowControl w:val="0"/>
        <w:spacing w:before="120" w:after="0" w:line="360" w:lineRule="auto"/>
        <w:ind w:firstLine="76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 xml:space="preserve">W projektowanym art. 90gd u.ofer.publ. wskazano, że polityka </w:t>
      </w:r>
      <w:r w:rsidR="00861BFA" w:rsidRPr="008A0E40">
        <w:rPr>
          <w:rFonts w:ascii="Times New Roman" w:eastAsia="Times New Roman" w:hAnsi="Times New Roman" w:cs="Times New Roman"/>
          <w:kern w:val="0"/>
          <w:lang w:eastAsia="pl-PL" w:bidi="pl-PL"/>
          <w14:ligatures w14:val="none"/>
        </w:rPr>
        <w:t xml:space="preserve">równowagi płci </w:t>
      </w:r>
      <w:r w:rsidRPr="008A0E40">
        <w:rPr>
          <w:rFonts w:ascii="Times New Roman" w:eastAsia="Times New Roman" w:hAnsi="Times New Roman" w:cs="Times New Roman"/>
          <w:kern w:val="0"/>
          <w:lang w:eastAsia="pl-PL" w:bidi="pl-PL"/>
          <w14:ligatures w14:val="none"/>
        </w:rPr>
        <w:t xml:space="preserve">powinna określać w szczególności zasady procesu doboru osoby na określone stanowisko w organie mające na celu spełnienie wymogów określonych w </w:t>
      </w:r>
      <w:r w:rsidR="00DC7061" w:rsidRPr="008A0E40">
        <w:rPr>
          <w:rFonts w:ascii="Times New Roman" w:eastAsia="Times New Roman" w:hAnsi="Times New Roman" w:cs="Times New Roman"/>
          <w:kern w:val="0"/>
          <w:lang w:eastAsia="pl-PL" w:bidi="pl-PL"/>
          <w14:ligatures w14:val="none"/>
        </w:rPr>
        <w:t xml:space="preserve">projektowanym </w:t>
      </w:r>
      <w:r w:rsidRPr="008A0E40">
        <w:rPr>
          <w:rFonts w:ascii="Times New Roman" w:eastAsia="Times New Roman" w:hAnsi="Times New Roman" w:cs="Times New Roman"/>
          <w:kern w:val="0"/>
          <w:lang w:eastAsia="pl-PL" w:bidi="pl-PL"/>
          <w14:ligatures w14:val="none"/>
        </w:rPr>
        <w:t>art. 90gc ust. 2</w:t>
      </w:r>
      <w:r w:rsidR="007F3968" w:rsidRPr="008A0E40">
        <w:rPr>
          <w:rFonts w:ascii="Times New Roman" w:eastAsia="Times New Roman" w:hAnsi="Times New Roman" w:cs="Times New Roman"/>
          <w:kern w:val="0"/>
          <w:lang w:eastAsia="pl-PL" w:bidi="pl-PL"/>
          <w14:ligatures w14:val="none"/>
        </w:rPr>
        <w:t xml:space="preserve"> u.ofer.publ.</w:t>
      </w:r>
      <w:r w:rsidRPr="008A0E40">
        <w:rPr>
          <w:rFonts w:ascii="Times New Roman" w:eastAsia="Times New Roman" w:hAnsi="Times New Roman" w:cs="Times New Roman"/>
          <w:kern w:val="0"/>
          <w:lang w:eastAsia="pl-PL" w:bidi="pl-PL"/>
          <w14:ligatures w14:val="none"/>
        </w:rPr>
        <w:t>, zasady wskazywania kandydatów do organów spółek, programy rozwoju kariery dla kobiet i</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mężczyzn, strategię zarządzania zasobami ludzkimi.</w:t>
      </w:r>
    </w:p>
    <w:p w14:paraId="33A8C149" w14:textId="7CC1A98B" w:rsidR="009F169D" w:rsidRPr="008A0E40" w:rsidRDefault="009F169D" w:rsidP="0075467F">
      <w:pPr>
        <w:widowControl w:val="0"/>
        <w:spacing w:before="120" w:after="0" w:line="360" w:lineRule="auto"/>
        <w:ind w:firstLine="76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Ponadto określono, że w przypadku dokonywania wyboru między kandydatami posiadającymi równorzędne kwalifikacje, pierwszeństwo przyznaje się kandydatowi należącemu do niedostatecznie reprezentowanej płci. Przepis przewiduje dodatkowo odstępstwa od przyjętych zasad wyboru członków organu, tj. w sytuacji, gdy za wyborem kandydata płci przeciwnej przemawiają inne zasady dotyczące różnorodności określone w</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przepisach prawa, oparte o kryteria niemające charakteru dyskryminacyjnego (projektowany art. 90ge ust. 3</w:t>
      </w:r>
      <w:r w:rsidR="008E20AA" w:rsidRPr="008A0E40">
        <w:rPr>
          <w:rFonts w:ascii="Times New Roman" w:eastAsia="Times New Roman" w:hAnsi="Times New Roman" w:cs="Times New Roman"/>
          <w:kern w:val="0"/>
          <w:lang w:eastAsia="pl-PL" w:bidi="pl-PL"/>
          <w14:ligatures w14:val="none"/>
        </w:rPr>
        <w:t xml:space="preserve"> u.ofer. publ.</w:t>
      </w:r>
      <w:r w:rsidRPr="008A0E40">
        <w:rPr>
          <w:rFonts w:ascii="Times New Roman" w:eastAsia="Times New Roman" w:hAnsi="Times New Roman" w:cs="Times New Roman"/>
          <w:kern w:val="0"/>
          <w:lang w:eastAsia="pl-PL" w:bidi="pl-PL"/>
          <w14:ligatures w14:val="none"/>
        </w:rPr>
        <w:t>). Przepis art. 90ge ust. 3</w:t>
      </w:r>
      <w:r w:rsidR="008E20AA" w:rsidRPr="008A0E40">
        <w:rPr>
          <w:rFonts w:ascii="Times New Roman" w:eastAsia="Times New Roman" w:hAnsi="Times New Roman" w:cs="Times New Roman"/>
          <w:kern w:val="0"/>
          <w:lang w:eastAsia="pl-PL" w:bidi="pl-PL"/>
          <w14:ligatures w14:val="none"/>
        </w:rPr>
        <w:t xml:space="preserve"> u.ofer. publ.</w:t>
      </w:r>
      <w:r w:rsidRPr="008A0E40">
        <w:rPr>
          <w:rFonts w:ascii="Times New Roman" w:eastAsia="Times New Roman" w:hAnsi="Times New Roman" w:cs="Times New Roman"/>
          <w:kern w:val="0"/>
          <w:lang w:eastAsia="pl-PL" w:bidi="pl-PL"/>
          <w14:ligatures w14:val="none"/>
        </w:rPr>
        <w:t xml:space="preserve"> należy przy tym interpretować w świetle art. 6 ust. 2 dyrektywy, jak też w odniesieniu do jej celów, co oznacza, że</w:t>
      </w:r>
      <w:r w:rsidR="008E20AA"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zastosowanie odstępstwa od</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ustanowionych reguł wyboru członków organu reprezentacji i</w:t>
      </w:r>
      <w:r w:rsidR="008E20AA"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organu nadzoru nie może być dowolne i wymaga istnienia ważkich powodów uzasadniających podjętą decyzję.</w:t>
      </w:r>
    </w:p>
    <w:p w14:paraId="6C0BCBDC" w14:textId="6C88F5D3" w:rsidR="009F169D"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Zapewniając odpowiednią ochronę interesów osób ubiegających się o stanowisko członka organu reprezentacji lub nadzoru spółki</w:t>
      </w:r>
      <w:r w:rsidR="0006401F">
        <w:rPr>
          <w:rFonts w:ascii="Times New Roman" w:eastAsia="Times New Roman" w:hAnsi="Times New Roman" w:cs="Times New Roman"/>
          <w:kern w:val="0"/>
          <w:lang w:eastAsia="pl-PL" w:bidi="pl-PL"/>
          <w14:ligatures w14:val="none"/>
        </w:rPr>
        <w:t>,</w:t>
      </w:r>
      <w:r w:rsidRPr="008A0E40">
        <w:rPr>
          <w:rFonts w:ascii="Times New Roman" w:eastAsia="Times New Roman" w:hAnsi="Times New Roman" w:cs="Times New Roman"/>
          <w:kern w:val="0"/>
          <w:lang w:eastAsia="pl-PL" w:bidi="pl-PL"/>
          <w14:ligatures w14:val="none"/>
        </w:rPr>
        <w:t xml:space="preserve"> projekt </w:t>
      </w:r>
      <w:r w:rsidR="00901D79" w:rsidRPr="008A0E40">
        <w:rPr>
          <w:rFonts w:ascii="Times New Roman" w:eastAsia="Times New Roman" w:hAnsi="Times New Roman" w:cs="Times New Roman"/>
          <w:kern w:val="0"/>
          <w:lang w:eastAsia="pl-PL" w:bidi="pl-PL"/>
          <w14:ligatures w14:val="none"/>
        </w:rPr>
        <w:t xml:space="preserve">ustawy </w:t>
      </w:r>
      <w:r w:rsidRPr="008A0E40">
        <w:rPr>
          <w:rFonts w:ascii="Times New Roman" w:eastAsia="Times New Roman" w:hAnsi="Times New Roman" w:cs="Times New Roman"/>
          <w:kern w:val="0"/>
          <w:lang w:eastAsia="pl-PL" w:bidi="pl-PL"/>
          <w14:ligatures w14:val="none"/>
        </w:rPr>
        <w:t>przewiduje (art. 90gf</w:t>
      </w:r>
      <w:r w:rsidR="008E20AA" w:rsidRPr="008A0E40">
        <w:rPr>
          <w:rFonts w:ascii="Times New Roman" w:eastAsia="Times New Roman" w:hAnsi="Times New Roman" w:cs="Times New Roman"/>
          <w:kern w:val="0"/>
          <w:lang w:eastAsia="pl-PL" w:bidi="pl-PL"/>
          <w14:ligatures w14:val="none"/>
        </w:rPr>
        <w:t xml:space="preserve"> u.ofer. publ.</w:t>
      </w:r>
      <w:r w:rsidRPr="008A0E40">
        <w:rPr>
          <w:rFonts w:ascii="Times New Roman" w:eastAsia="Times New Roman" w:hAnsi="Times New Roman" w:cs="Times New Roman"/>
          <w:kern w:val="0"/>
          <w:lang w:eastAsia="pl-PL" w:bidi="pl-PL"/>
          <w14:ligatures w14:val="none"/>
        </w:rPr>
        <w:t>), że</w:t>
      </w:r>
      <w:r w:rsidR="008E20AA"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osoba, wobec której spółka naruszyła wymogi, o których mowa w </w:t>
      </w:r>
      <w:r w:rsidR="00901D79" w:rsidRPr="008A0E40">
        <w:rPr>
          <w:rFonts w:ascii="Times New Roman" w:eastAsia="Times New Roman" w:hAnsi="Times New Roman" w:cs="Times New Roman"/>
          <w:kern w:val="0"/>
          <w:lang w:eastAsia="pl-PL" w:bidi="pl-PL"/>
          <w14:ligatures w14:val="none"/>
        </w:rPr>
        <w:t xml:space="preserve">projektowanym </w:t>
      </w:r>
      <w:r w:rsidRPr="008A0E40">
        <w:rPr>
          <w:rFonts w:ascii="Times New Roman" w:eastAsia="Times New Roman" w:hAnsi="Times New Roman" w:cs="Times New Roman"/>
          <w:kern w:val="0"/>
          <w:lang w:eastAsia="pl-PL" w:bidi="pl-PL"/>
          <w14:ligatures w14:val="none"/>
        </w:rPr>
        <w:t>art. 90ge ust. 1–3</w:t>
      </w:r>
      <w:r w:rsidR="007F3968" w:rsidRPr="008A0E40">
        <w:rPr>
          <w:rFonts w:ascii="Times New Roman" w:eastAsia="Times New Roman" w:hAnsi="Times New Roman" w:cs="Times New Roman"/>
          <w:kern w:val="0"/>
          <w:lang w:eastAsia="pl-PL" w:bidi="pl-PL"/>
          <w14:ligatures w14:val="none"/>
        </w:rPr>
        <w:t xml:space="preserve"> u.ofer.publ.</w:t>
      </w:r>
      <w:r w:rsidRPr="008A0E40">
        <w:rPr>
          <w:rFonts w:ascii="Times New Roman" w:eastAsia="Times New Roman" w:hAnsi="Times New Roman" w:cs="Times New Roman"/>
          <w:kern w:val="0"/>
          <w:lang w:eastAsia="pl-PL" w:bidi="pl-PL"/>
          <w14:ligatures w14:val="none"/>
        </w:rPr>
        <w:t>, ma prawo do odszkodowania w wysokości nieniższej niż minimalne wynagrodzenie za pracę ustalone na</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podstawie odrębnych przepisów na dzień zakończenia procesu doboru na stanowisko w</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organie spółki oraz do zadośćuczynienia za</w:t>
      </w:r>
      <w:r w:rsidR="00901D79"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doznaną krzywdę.</w:t>
      </w:r>
    </w:p>
    <w:p w14:paraId="1B98958F" w14:textId="2816110E" w:rsidR="009F169D"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Projektowany przepis ustanawia jedynie minimalną wysokość odszkodowania za</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naruszenie wymogów</w:t>
      </w:r>
      <w:r w:rsidR="008E20AA" w:rsidRPr="008A0E40">
        <w:rPr>
          <w:rFonts w:ascii="Times New Roman" w:eastAsia="Times New Roman" w:hAnsi="Times New Roman" w:cs="Times New Roman"/>
          <w:kern w:val="0"/>
          <w:lang w:eastAsia="pl-PL" w:bidi="pl-PL"/>
          <w14:ligatures w14:val="none"/>
        </w:rPr>
        <w:t xml:space="preserve">, o których mowa w art. </w:t>
      </w:r>
      <w:r w:rsidRPr="008A0E40">
        <w:rPr>
          <w:rFonts w:ascii="Times New Roman" w:eastAsia="Times New Roman" w:hAnsi="Times New Roman" w:cs="Times New Roman"/>
          <w:kern w:val="0"/>
          <w:lang w:eastAsia="pl-PL" w:bidi="pl-PL"/>
          <w14:ligatures w14:val="none"/>
        </w:rPr>
        <w:t>90ge ust. 1–3 u.ofer.publ. Stanowi ona minimalne wynagrodzenie za</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pracę ustalone na podstawie odrębnych przepisów. Oznacza to, że regulacja nie określa górnego limitu, do jakiego sąd może ustalić wysokość odszkodowania w konkretnej sprawie. Wskazać jednak należy, że wysokość odszkodowania powinna być ustalona w granicy wysokości poniesionej szkody. Obowiązkiem sądu jest także zachowywanie odpowiedniej proporcji między odszkodowaniem a rodzajem naruszenia. Jednocześnie sam fakt naruszenia wymogów określonych w art. 90ge ust. 1–3 u.ofer.publ. uzasadnia </w:t>
      </w:r>
      <w:r w:rsidRPr="008A0E40">
        <w:rPr>
          <w:rFonts w:ascii="Times New Roman" w:eastAsia="Times New Roman" w:hAnsi="Times New Roman" w:cs="Times New Roman"/>
          <w:i/>
          <w:iCs/>
          <w:kern w:val="0"/>
          <w:lang w:eastAsia="pl-PL" w:bidi="pl-PL"/>
          <w14:ligatures w14:val="none"/>
        </w:rPr>
        <w:t>per se</w:t>
      </w:r>
      <w:r w:rsidRPr="008A0E40">
        <w:rPr>
          <w:rFonts w:ascii="Times New Roman" w:eastAsia="Times New Roman" w:hAnsi="Times New Roman" w:cs="Times New Roman"/>
          <w:kern w:val="0"/>
          <w:lang w:eastAsia="pl-PL" w:bidi="pl-PL"/>
          <w14:ligatures w14:val="none"/>
        </w:rPr>
        <w:t xml:space="preserve"> roszczenie odszkodowawcze. Projektowane przepisy stanowią ponadto, że w sprawach o</w:t>
      </w:r>
      <w:r w:rsidR="008E20AA"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 xml:space="preserve">naruszenie wymogów określonych w art. 90ge ust. 1–3 u.ofer.publ. będą miały </w:t>
      </w:r>
      <w:r w:rsidR="007F3968" w:rsidRPr="008A0E40">
        <w:rPr>
          <w:rFonts w:ascii="Times New Roman" w:eastAsia="Times New Roman" w:hAnsi="Times New Roman" w:cs="Times New Roman"/>
          <w:kern w:val="0"/>
          <w:lang w:eastAsia="pl-PL" w:bidi="pl-PL"/>
          <w14:ligatures w14:val="none"/>
        </w:rPr>
        <w:t xml:space="preserve">zastosowanie </w:t>
      </w:r>
      <w:r w:rsidRPr="008A0E40">
        <w:rPr>
          <w:rFonts w:ascii="Times New Roman" w:eastAsia="Times New Roman" w:hAnsi="Times New Roman" w:cs="Times New Roman"/>
          <w:kern w:val="0"/>
          <w:lang w:eastAsia="pl-PL" w:bidi="pl-PL"/>
          <w14:ligatures w14:val="none"/>
        </w:rPr>
        <w:t xml:space="preserve">przepisy </w:t>
      </w:r>
      <w:r w:rsidR="008E20AA" w:rsidRPr="008A0E40">
        <w:rPr>
          <w:rFonts w:ascii="Times New Roman" w:hAnsi="Times New Roman" w:cs="Times New Roman"/>
        </w:rPr>
        <w:t>ustawy z dnia 23 kwietnia 1964 r. – Kodeks cywilny (</w:t>
      </w:r>
      <w:r w:rsidR="00076FE0" w:rsidRPr="008A0E40">
        <w:rPr>
          <w:rFonts w:ascii="Times New Roman" w:hAnsi="Times New Roman" w:cs="Times New Roman"/>
        </w:rPr>
        <w:t>Dz. U. z 2025 r. poz. 1071,</w:t>
      </w:r>
      <w:r w:rsidR="009F08EE" w:rsidRPr="008A0E40">
        <w:rPr>
          <w:rFonts w:ascii="Times New Roman" w:hAnsi="Times New Roman" w:cs="Times New Roman"/>
        </w:rPr>
        <w:t xml:space="preserve"> z późn. zm.). </w:t>
      </w:r>
    </w:p>
    <w:p w14:paraId="47AE524F" w14:textId="5FFCDE19" w:rsidR="009F169D"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projekcie ustawy wprowadzono również odmienne zasady w odniesieniu do ciężaru dowodu. Osoba, która zarzuca naruszenie obowiązujących wymogów, ma obowiązek jedynie uprawdopodobnić fakt posiadania kwalifikacji równorzędnych kwalifikacjom wybranego kandydata należącego do płci przeciwnej. W przypadku uprawdopodobnienia tych okoliczności spółka jest obowiązana wykazać, że nie dopuściła się tego naruszenia (</w:t>
      </w:r>
      <w:r w:rsidR="00DC7061" w:rsidRPr="008A0E40">
        <w:rPr>
          <w:rFonts w:ascii="Times New Roman" w:eastAsia="Times New Roman" w:hAnsi="Times New Roman" w:cs="Times New Roman"/>
          <w:kern w:val="0"/>
          <w:lang w:eastAsia="pl-PL" w:bidi="pl-PL"/>
          <w14:ligatures w14:val="none"/>
        </w:rPr>
        <w:t xml:space="preserve">projektowany </w:t>
      </w:r>
      <w:r w:rsidRPr="008A0E40">
        <w:rPr>
          <w:rFonts w:ascii="Times New Roman" w:eastAsia="Times New Roman" w:hAnsi="Times New Roman" w:cs="Times New Roman"/>
          <w:kern w:val="0"/>
          <w:lang w:eastAsia="pl-PL" w:bidi="pl-PL"/>
          <w14:ligatures w14:val="none"/>
        </w:rPr>
        <w:t>art. 90gg</w:t>
      </w:r>
      <w:r w:rsidR="007F3968" w:rsidRPr="008A0E40">
        <w:rPr>
          <w:rFonts w:ascii="Times New Roman" w:eastAsia="Times New Roman" w:hAnsi="Times New Roman" w:cs="Times New Roman"/>
          <w:kern w:val="0"/>
          <w:lang w:eastAsia="pl-PL" w:bidi="pl-PL"/>
          <w14:ligatures w14:val="none"/>
        </w:rPr>
        <w:t xml:space="preserve"> u.ofer.publ.</w:t>
      </w:r>
      <w:r w:rsidRPr="008A0E40">
        <w:rPr>
          <w:rFonts w:ascii="Times New Roman" w:eastAsia="Times New Roman" w:hAnsi="Times New Roman" w:cs="Times New Roman"/>
          <w:kern w:val="0"/>
          <w:lang w:eastAsia="pl-PL" w:bidi="pl-PL"/>
          <w14:ligatures w14:val="none"/>
        </w:rPr>
        <w:t>). Przewidziana zasada dotycząca ciężaru dowodu znalazła się w art. 6 ust. 4 dyrektywy.</w:t>
      </w:r>
    </w:p>
    <w:p w14:paraId="059885DB" w14:textId="171D7ECB" w:rsidR="009F169D"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Proponowane rozwiązania są analogiczne jak w art. 13–16 ustawy</w:t>
      </w:r>
      <w:r w:rsidR="00007BF9" w:rsidRPr="008A0E40">
        <w:rPr>
          <w:rFonts w:ascii="Times New Roman" w:eastAsia="Times New Roman" w:hAnsi="Times New Roman" w:cs="Times New Roman"/>
          <w:kern w:val="0"/>
          <w:lang w:eastAsia="pl-PL" w:bidi="pl-PL"/>
          <w14:ligatures w14:val="none"/>
        </w:rPr>
        <w:t xml:space="preserve"> z dnia 3 grudnia 2010 r. </w:t>
      </w:r>
      <w:r w:rsidRPr="008A0E40">
        <w:rPr>
          <w:rFonts w:ascii="Times New Roman" w:eastAsia="Times New Roman" w:hAnsi="Times New Roman" w:cs="Times New Roman"/>
          <w:kern w:val="0"/>
          <w:lang w:eastAsia="pl-PL" w:bidi="pl-PL"/>
          <w14:ligatures w14:val="none"/>
        </w:rPr>
        <w:t xml:space="preserve">o wdrożeniu niektórych przepisów Unii Europejskiej w zakresie równego traktowania czy też w art. 300 </w:t>
      </w:r>
      <w:r w:rsidR="007F3968" w:rsidRPr="008A0E40">
        <w:rPr>
          <w:rFonts w:ascii="Times New Roman" w:eastAsia="Times New Roman" w:hAnsi="Times New Roman" w:cs="Times New Roman"/>
          <w:kern w:val="0"/>
          <w:lang w:eastAsia="pl-PL" w:bidi="pl-PL"/>
          <w14:ligatures w14:val="none"/>
        </w:rPr>
        <w:t xml:space="preserve">ustawy </w:t>
      </w:r>
      <w:r w:rsidR="007F3968" w:rsidRPr="008A0E40">
        <w:rPr>
          <w:rFonts w:ascii="Times New Roman" w:hAnsi="Times New Roman" w:cs="Times New Roman"/>
        </w:rPr>
        <w:t>z dnia 26 czerwca 1974 r. – Kodeks pracy (</w:t>
      </w:r>
      <w:r w:rsidR="00BA555E" w:rsidRPr="008A0E40">
        <w:rPr>
          <w:rFonts w:ascii="Times New Roman" w:hAnsi="Times New Roman" w:cs="Times New Roman"/>
        </w:rPr>
        <w:t>Dz. U. z 2025 r. poz. 277</w:t>
      </w:r>
      <w:r w:rsidR="00821E07" w:rsidRPr="008A0E40">
        <w:rPr>
          <w:rFonts w:ascii="Times New Roman" w:hAnsi="Times New Roman" w:cs="Times New Roman"/>
        </w:rPr>
        <w:t>, z późn. zm.</w:t>
      </w:r>
      <w:r w:rsidR="007F3968" w:rsidRPr="008A0E40">
        <w:rPr>
          <w:rFonts w:ascii="Times New Roman" w:hAnsi="Times New Roman" w:cs="Times New Roman"/>
        </w:rPr>
        <w:t>)</w:t>
      </w:r>
      <w:r w:rsidRPr="008A0E40">
        <w:rPr>
          <w:rFonts w:ascii="Times New Roman" w:eastAsia="Times New Roman" w:hAnsi="Times New Roman" w:cs="Times New Roman"/>
          <w:kern w:val="0"/>
          <w:lang w:eastAsia="pl-PL" w:bidi="pl-PL"/>
          <w14:ligatures w14:val="none"/>
        </w:rPr>
        <w:t xml:space="preserve"> w celu zachowania jednolitości systemowej.</w:t>
      </w:r>
    </w:p>
    <w:p w14:paraId="4753DE47" w14:textId="3636B3A9" w:rsidR="009F169D"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projektowanym art. 90gi u.ofer.publ. nałożono na zarząd spółki obowiązek sporządzania w każdym roku kalendarzowym sprawozdania dotyczącego równowagi płci w organie reprezentacji oraz organie nadzoru spółki.</w:t>
      </w:r>
    </w:p>
    <w:p w14:paraId="1650656B" w14:textId="099863B4" w:rsidR="00DC6DF3" w:rsidRPr="008A0E40" w:rsidRDefault="009F169D" w:rsidP="0075467F">
      <w:pPr>
        <w:widowControl w:val="0"/>
        <w:spacing w:before="120" w:after="0" w:line="360" w:lineRule="auto"/>
        <w:ind w:firstLine="780"/>
        <w:jc w:val="both"/>
        <w:rPr>
          <w:rFonts w:ascii="Times New Roman" w:eastAsia="Times New Roman" w:hAnsi="Times New Roman" w:cs="Times New Roman"/>
          <w:kern w:val="0"/>
          <w:lang w:eastAsia="pl-PL" w:bidi="pl-PL"/>
          <w14:ligatures w14:val="none"/>
        </w:rPr>
      </w:pPr>
      <w:r w:rsidRPr="008A0E40">
        <w:rPr>
          <w:rFonts w:ascii="Times New Roman" w:eastAsia="Times New Roman" w:hAnsi="Times New Roman" w:cs="Times New Roman"/>
          <w:kern w:val="0"/>
          <w:lang w:eastAsia="pl-PL" w:bidi="pl-PL"/>
          <w14:ligatures w14:val="none"/>
        </w:rPr>
        <w:t>W celu zapewnienia rzetelnych informacji, a przede wszystkim realnej równowagi płci w organach spółek, w art. 1 pkt 4 projektu ustawy przewidziano</w:t>
      </w:r>
      <w:r w:rsidR="001E783D" w:rsidRPr="008A0E40">
        <w:rPr>
          <w:rFonts w:ascii="Times New Roman" w:eastAsia="Times New Roman" w:hAnsi="Times New Roman" w:cs="Times New Roman"/>
          <w:kern w:val="0"/>
          <w:lang w:eastAsia="pl-PL" w:bidi="pl-PL"/>
          <w14:ligatures w14:val="none"/>
        </w:rPr>
        <w:t xml:space="preserve"> zmianę art. 96e u.ofer.publ.</w:t>
      </w:r>
      <w:r w:rsidRPr="008A0E40">
        <w:rPr>
          <w:rFonts w:ascii="Times New Roman" w:eastAsia="Times New Roman" w:hAnsi="Times New Roman" w:cs="Times New Roman"/>
          <w:kern w:val="0"/>
          <w:lang w:eastAsia="pl-PL" w:bidi="pl-PL"/>
          <w14:ligatures w14:val="none"/>
        </w:rPr>
        <w:t xml:space="preserve">, </w:t>
      </w:r>
      <w:r w:rsidR="001E783D" w:rsidRPr="008A0E40">
        <w:rPr>
          <w:rFonts w:ascii="Times New Roman" w:eastAsia="Times New Roman" w:hAnsi="Times New Roman" w:cs="Times New Roman"/>
          <w:kern w:val="0"/>
          <w:lang w:eastAsia="pl-PL" w:bidi="pl-PL"/>
          <w14:ligatures w14:val="none"/>
        </w:rPr>
        <w:t xml:space="preserve"> poprzez wskazanie dodatkowych naruszeń, za które może zostać nałożona kara pieniężna, tj. </w:t>
      </w:r>
      <w:r w:rsidRPr="008A0E40">
        <w:rPr>
          <w:rFonts w:ascii="Times New Roman" w:eastAsia="Times New Roman" w:hAnsi="Times New Roman" w:cs="Times New Roman"/>
          <w:kern w:val="0"/>
          <w:lang w:eastAsia="pl-PL" w:bidi="pl-PL"/>
          <w14:ligatures w14:val="none"/>
        </w:rPr>
        <w:t>w przypadku niewykonania lub nienależytego wykonania przez spółkę obowiązków wynikających z projektowanych art.</w:t>
      </w:r>
      <w:r w:rsidR="007F3968" w:rsidRPr="008A0E40">
        <w:rPr>
          <w:rFonts w:ascii="Times New Roman" w:eastAsia="Times New Roman" w:hAnsi="Times New Roman" w:cs="Times New Roman"/>
          <w:kern w:val="0"/>
          <w:lang w:eastAsia="pl-PL" w:bidi="pl-PL"/>
          <w14:ligatures w14:val="none"/>
        </w:rPr>
        <w:t> </w:t>
      </w:r>
      <w:r w:rsidRPr="008A0E40">
        <w:rPr>
          <w:rFonts w:ascii="Times New Roman" w:eastAsia="Times New Roman" w:hAnsi="Times New Roman" w:cs="Times New Roman"/>
          <w:kern w:val="0"/>
          <w:lang w:eastAsia="pl-PL" w:bidi="pl-PL"/>
          <w14:ligatures w14:val="none"/>
        </w:rPr>
        <w:t>90g</w:t>
      </w:r>
      <w:r w:rsidR="001E783D" w:rsidRPr="008A0E40">
        <w:rPr>
          <w:rFonts w:ascii="Times New Roman" w:eastAsia="Times New Roman" w:hAnsi="Times New Roman" w:cs="Times New Roman"/>
          <w:kern w:val="0"/>
          <w:lang w:eastAsia="pl-PL" w:bidi="pl-PL"/>
          <w14:ligatures w14:val="none"/>
        </w:rPr>
        <w:t>e</w:t>
      </w:r>
      <w:r w:rsidRPr="008A0E40">
        <w:rPr>
          <w:rFonts w:ascii="Times New Roman" w:eastAsia="Times New Roman" w:hAnsi="Times New Roman" w:cs="Times New Roman"/>
          <w:kern w:val="0"/>
          <w:lang w:eastAsia="pl-PL" w:bidi="pl-PL"/>
          <w14:ligatures w14:val="none"/>
        </w:rPr>
        <w:t xml:space="preserve"> i art. 90gi</w:t>
      </w:r>
      <w:r w:rsidR="007F3968" w:rsidRPr="008A0E40">
        <w:rPr>
          <w:rFonts w:ascii="Times New Roman" w:eastAsia="Times New Roman" w:hAnsi="Times New Roman" w:cs="Times New Roman"/>
          <w:kern w:val="0"/>
          <w:lang w:eastAsia="pl-PL" w:bidi="pl-PL"/>
          <w14:ligatures w14:val="none"/>
        </w:rPr>
        <w:t xml:space="preserve"> u.ofer.publ.</w:t>
      </w:r>
      <w:r w:rsidR="006C5B51" w:rsidRPr="008A0E40">
        <w:rPr>
          <w:rFonts w:ascii="Times New Roman" w:eastAsia="Times New Roman" w:hAnsi="Times New Roman" w:cs="Times New Roman"/>
          <w:kern w:val="0"/>
          <w:lang w:eastAsia="pl-PL" w:bidi="pl-PL"/>
          <w14:ligatures w14:val="none"/>
        </w:rPr>
        <w:t xml:space="preserve"> przewidziano </w:t>
      </w:r>
      <w:r w:rsidR="005268F5" w:rsidRPr="008A0E40">
        <w:rPr>
          <w:rFonts w:ascii="Times New Roman" w:eastAsia="Times New Roman" w:hAnsi="Times New Roman" w:cs="Times New Roman"/>
          <w:kern w:val="0"/>
          <w:lang w:eastAsia="pl-PL" w:bidi="pl-PL"/>
          <w14:ligatures w14:val="none"/>
        </w:rPr>
        <w:t>sankcję w postaci kary pieniężnej w wysokości do</w:t>
      </w:r>
      <w:r w:rsidR="006C5B51" w:rsidRPr="008A0E40">
        <w:rPr>
          <w:rFonts w:ascii="Times New Roman" w:eastAsia="Times New Roman" w:hAnsi="Times New Roman" w:cs="Times New Roman"/>
          <w:kern w:val="0"/>
          <w:lang w:eastAsia="pl-PL" w:bidi="pl-PL"/>
          <w14:ligatures w14:val="none"/>
        </w:rPr>
        <w:t xml:space="preserve"> 5</w:t>
      </w:r>
      <w:r w:rsidR="005268F5" w:rsidRPr="008A0E40">
        <w:rPr>
          <w:rFonts w:ascii="Times New Roman" w:eastAsia="Times New Roman" w:hAnsi="Times New Roman" w:cs="Times New Roman"/>
          <w:kern w:val="0"/>
          <w:lang w:eastAsia="pl-PL" w:bidi="pl-PL"/>
          <w14:ligatures w14:val="none"/>
        </w:rPr>
        <w:t>00 000 zł.</w:t>
      </w:r>
      <w:r w:rsidR="008F6CC9" w:rsidRPr="008A0E40">
        <w:rPr>
          <w:rFonts w:ascii="Times New Roman" w:eastAsia="Times New Roman" w:hAnsi="Times New Roman" w:cs="Times New Roman"/>
          <w:kern w:val="0"/>
          <w:lang w:eastAsia="pl-PL" w:bidi="pl-PL"/>
          <w14:ligatures w14:val="none"/>
        </w:rPr>
        <w:t xml:space="preserve"> </w:t>
      </w:r>
      <w:r w:rsidR="00FA7F70" w:rsidRPr="008A0E40">
        <w:rPr>
          <w:rFonts w:ascii="Times New Roman" w:eastAsia="Times New Roman" w:hAnsi="Times New Roman" w:cs="Times New Roman"/>
          <w:kern w:val="0"/>
          <w:lang w:eastAsia="pl-PL" w:bidi="pl-PL"/>
          <w14:ligatures w14:val="none"/>
        </w:rPr>
        <w:t>Projektowane przepisy równościowe stanowią nowe rozwiązani</w:t>
      </w:r>
      <w:r w:rsidR="003D5B50" w:rsidRPr="008A0E40">
        <w:rPr>
          <w:rFonts w:ascii="Times New Roman" w:eastAsia="Times New Roman" w:hAnsi="Times New Roman" w:cs="Times New Roman"/>
          <w:kern w:val="0"/>
          <w:lang w:eastAsia="pl-PL" w:bidi="pl-PL"/>
          <w14:ligatures w14:val="none"/>
        </w:rPr>
        <w:t>e</w:t>
      </w:r>
      <w:r w:rsidR="00FA7F70" w:rsidRPr="008A0E40">
        <w:rPr>
          <w:rFonts w:ascii="Times New Roman" w:eastAsia="Times New Roman" w:hAnsi="Times New Roman" w:cs="Times New Roman"/>
          <w:kern w:val="0"/>
          <w:lang w:eastAsia="pl-PL" w:bidi="pl-PL"/>
          <w14:ligatures w14:val="none"/>
        </w:rPr>
        <w:t xml:space="preserve"> w polskim systemie prawnym, dlatego uznano, że sankcje za </w:t>
      </w:r>
      <w:r w:rsidR="00EB2013" w:rsidRPr="008A0E40">
        <w:rPr>
          <w:rFonts w:ascii="Times New Roman" w:eastAsia="Times New Roman" w:hAnsi="Times New Roman" w:cs="Times New Roman"/>
          <w:kern w:val="0"/>
          <w:lang w:eastAsia="pl-PL" w:bidi="pl-PL"/>
          <w14:ligatures w14:val="none"/>
        </w:rPr>
        <w:t xml:space="preserve">ich niewdrożenie </w:t>
      </w:r>
      <w:r w:rsidR="00FA7F70" w:rsidRPr="008A0E40">
        <w:rPr>
          <w:rFonts w:ascii="Times New Roman" w:eastAsia="Times New Roman" w:hAnsi="Times New Roman" w:cs="Times New Roman"/>
          <w:kern w:val="0"/>
          <w:lang w:eastAsia="pl-PL" w:bidi="pl-PL"/>
          <w14:ligatures w14:val="none"/>
        </w:rPr>
        <w:t>nie powi</w:t>
      </w:r>
      <w:r w:rsidR="00EB2013" w:rsidRPr="008A0E40">
        <w:rPr>
          <w:rFonts w:ascii="Times New Roman" w:eastAsia="Times New Roman" w:hAnsi="Times New Roman" w:cs="Times New Roman"/>
          <w:kern w:val="0"/>
          <w:lang w:eastAsia="pl-PL" w:bidi="pl-PL"/>
          <w14:ligatures w14:val="none"/>
        </w:rPr>
        <w:t>n</w:t>
      </w:r>
      <w:r w:rsidR="00FA7F70" w:rsidRPr="008A0E40">
        <w:rPr>
          <w:rFonts w:ascii="Times New Roman" w:eastAsia="Times New Roman" w:hAnsi="Times New Roman" w:cs="Times New Roman"/>
          <w:kern w:val="0"/>
          <w:lang w:eastAsia="pl-PL" w:bidi="pl-PL"/>
          <w14:ligatures w14:val="none"/>
        </w:rPr>
        <w:t xml:space="preserve">ny być </w:t>
      </w:r>
      <w:r w:rsidR="00EB2013" w:rsidRPr="008A0E40">
        <w:rPr>
          <w:rFonts w:ascii="Times New Roman" w:eastAsia="Times New Roman" w:hAnsi="Times New Roman" w:cs="Times New Roman"/>
          <w:kern w:val="0"/>
          <w:lang w:eastAsia="pl-PL" w:bidi="pl-PL"/>
          <w14:ligatures w14:val="none"/>
        </w:rPr>
        <w:t xml:space="preserve">nazbyt dolegliwe, gdyż to w interesie samych zainteresowanych powinno być ich wdrożenie. </w:t>
      </w:r>
      <w:r w:rsidR="007E3A18" w:rsidRPr="008A0E40">
        <w:rPr>
          <w:rFonts w:ascii="Times New Roman" w:eastAsia="Times New Roman" w:hAnsi="Times New Roman" w:cs="Times New Roman"/>
          <w:kern w:val="0"/>
          <w:lang w:eastAsia="pl-PL" w:bidi="pl-PL"/>
          <w14:ligatures w14:val="none"/>
        </w:rPr>
        <w:t>Spółki</w:t>
      </w:r>
      <w:r w:rsidR="006F7B70" w:rsidRPr="008A0E40">
        <w:rPr>
          <w:rFonts w:ascii="Times New Roman" w:eastAsia="Times New Roman" w:hAnsi="Times New Roman" w:cs="Times New Roman"/>
          <w:kern w:val="0"/>
          <w:lang w:eastAsia="pl-PL" w:bidi="pl-PL"/>
          <w14:ligatures w14:val="none"/>
        </w:rPr>
        <w:t xml:space="preserve">, które wdrożą projektowane </w:t>
      </w:r>
      <w:r w:rsidR="007E3A18" w:rsidRPr="008A0E40">
        <w:rPr>
          <w:rFonts w:ascii="Times New Roman" w:eastAsia="Times New Roman" w:hAnsi="Times New Roman" w:cs="Times New Roman"/>
          <w:kern w:val="0"/>
          <w:lang w:eastAsia="pl-PL" w:bidi="pl-PL"/>
          <w14:ligatures w14:val="none"/>
        </w:rPr>
        <w:t>przepisy</w:t>
      </w:r>
      <w:r w:rsidR="0006401F">
        <w:rPr>
          <w:rFonts w:ascii="Times New Roman" w:eastAsia="Times New Roman" w:hAnsi="Times New Roman" w:cs="Times New Roman"/>
          <w:kern w:val="0"/>
          <w:lang w:eastAsia="pl-PL" w:bidi="pl-PL"/>
          <w14:ligatures w14:val="none"/>
        </w:rPr>
        <w:t>,</w:t>
      </w:r>
      <w:r w:rsidR="007E3A18" w:rsidRPr="008A0E40">
        <w:rPr>
          <w:rFonts w:ascii="Times New Roman" w:eastAsia="Times New Roman" w:hAnsi="Times New Roman" w:cs="Times New Roman"/>
          <w:kern w:val="0"/>
          <w:lang w:eastAsia="pl-PL" w:bidi="pl-PL"/>
          <w14:ligatures w14:val="none"/>
        </w:rPr>
        <w:t xml:space="preserve"> </w:t>
      </w:r>
      <w:r w:rsidR="006F7B70" w:rsidRPr="008A0E40">
        <w:rPr>
          <w:rFonts w:ascii="Times New Roman" w:eastAsia="Times New Roman" w:hAnsi="Times New Roman" w:cs="Times New Roman"/>
          <w:kern w:val="0"/>
          <w:lang w:eastAsia="pl-PL" w:bidi="pl-PL"/>
          <w14:ligatures w14:val="none"/>
        </w:rPr>
        <w:t xml:space="preserve">będą </w:t>
      </w:r>
      <w:r w:rsidR="0047103C" w:rsidRPr="008A0E40">
        <w:rPr>
          <w:rFonts w:ascii="Times New Roman" w:eastAsia="Times New Roman" w:hAnsi="Times New Roman" w:cs="Times New Roman"/>
          <w:kern w:val="0"/>
          <w:lang w:eastAsia="pl-PL" w:bidi="pl-PL"/>
          <w14:ligatures w14:val="none"/>
        </w:rPr>
        <w:t>bowiem spełniać</w:t>
      </w:r>
      <w:r w:rsidR="006F7B70" w:rsidRPr="008A0E40">
        <w:rPr>
          <w:rFonts w:ascii="Times New Roman" w:eastAsia="Times New Roman" w:hAnsi="Times New Roman" w:cs="Times New Roman"/>
          <w:kern w:val="0"/>
          <w:lang w:eastAsia="pl-PL" w:bidi="pl-PL"/>
          <w14:ligatures w14:val="none"/>
        </w:rPr>
        <w:t xml:space="preserve"> standardy europejskie w zakresie </w:t>
      </w:r>
      <w:bookmarkStart w:id="1" w:name="_Hlk201757339"/>
      <w:r w:rsidR="006F7B70" w:rsidRPr="008A0E40">
        <w:rPr>
          <w:rFonts w:ascii="Times New Roman" w:eastAsia="Times New Roman" w:hAnsi="Times New Roman" w:cs="Times New Roman"/>
          <w:kern w:val="0"/>
          <w:lang w:eastAsia="pl-PL" w:bidi="pl-PL"/>
          <w14:ligatures w14:val="none"/>
        </w:rPr>
        <w:t>polityki równouprawnienia</w:t>
      </w:r>
      <w:r w:rsidR="007E3A18" w:rsidRPr="008A0E40">
        <w:rPr>
          <w:rFonts w:ascii="Times New Roman" w:eastAsia="Times New Roman" w:hAnsi="Times New Roman" w:cs="Times New Roman"/>
          <w:kern w:val="0"/>
          <w:lang w:eastAsia="pl-PL" w:bidi="pl-PL"/>
          <w14:ligatures w14:val="none"/>
        </w:rPr>
        <w:t xml:space="preserve"> </w:t>
      </w:r>
      <w:bookmarkEnd w:id="1"/>
      <w:r w:rsidR="007E3A18" w:rsidRPr="008A0E40">
        <w:rPr>
          <w:rFonts w:ascii="Times New Roman" w:eastAsia="Times New Roman" w:hAnsi="Times New Roman" w:cs="Times New Roman"/>
          <w:kern w:val="0"/>
          <w:lang w:eastAsia="pl-PL" w:bidi="pl-PL"/>
          <w14:ligatures w14:val="none"/>
        </w:rPr>
        <w:t>i w ramach prowadzonej działalności będą mogły informować o wprowadzonych standardach w</w:t>
      </w:r>
      <w:r w:rsidR="00B71F4E" w:rsidRPr="008A0E40">
        <w:rPr>
          <w:rFonts w:ascii="Times New Roman" w:eastAsia="Times New Roman" w:hAnsi="Times New Roman" w:cs="Times New Roman"/>
          <w:kern w:val="0"/>
          <w:lang w:eastAsia="pl-PL" w:bidi="pl-PL"/>
          <w14:ligatures w14:val="none"/>
        </w:rPr>
        <w:t xml:space="preserve">e wskazanym </w:t>
      </w:r>
      <w:r w:rsidR="007E3A18" w:rsidRPr="008A0E40">
        <w:rPr>
          <w:rFonts w:ascii="Times New Roman" w:eastAsia="Times New Roman" w:hAnsi="Times New Roman" w:cs="Times New Roman"/>
          <w:kern w:val="0"/>
          <w:lang w:eastAsia="pl-PL" w:bidi="pl-PL"/>
          <w14:ligatures w14:val="none"/>
        </w:rPr>
        <w:t xml:space="preserve">zakresie, co niewątpliwie </w:t>
      </w:r>
      <w:r w:rsidR="00BF4B5C" w:rsidRPr="008A0E40">
        <w:rPr>
          <w:rFonts w:ascii="Times New Roman" w:eastAsia="Times New Roman" w:hAnsi="Times New Roman" w:cs="Times New Roman"/>
          <w:kern w:val="0"/>
          <w:lang w:eastAsia="pl-PL" w:bidi="pl-PL"/>
          <w14:ligatures w14:val="none"/>
        </w:rPr>
        <w:t xml:space="preserve">będzie miało korzystne </w:t>
      </w:r>
      <w:r w:rsidR="007E3A18" w:rsidRPr="008A0E40">
        <w:rPr>
          <w:rFonts w:ascii="Times New Roman" w:eastAsia="Times New Roman" w:hAnsi="Times New Roman" w:cs="Times New Roman"/>
          <w:kern w:val="0"/>
          <w:lang w:eastAsia="pl-PL" w:bidi="pl-PL"/>
          <w14:ligatures w14:val="none"/>
        </w:rPr>
        <w:t>przełoż</w:t>
      </w:r>
      <w:r w:rsidR="00BF4B5C" w:rsidRPr="008A0E40">
        <w:rPr>
          <w:rFonts w:ascii="Times New Roman" w:eastAsia="Times New Roman" w:hAnsi="Times New Roman" w:cs="Times New Roman"/>
          <w:kern w:val="0"/>
          <w:lang w:eastAsia="pl-PL" w:bidi="pl-PL"/>
          <w14:ligatures w14:val="none"/>
        </w:rPr>
        <w:t xml:space="preserve">enie </w:t>
      </w:r>
      <w:r w:rsidR="007E3A18" w:rsidRPr="008A0E40">
        <w:rPr>
          <w:rFonts w:ascii="Times New Roman" w:eastAsia="Times New Roman" w:hAnsi="Times New Roman" w:cs="Times New Roman"/>
          <w:kern w:val="0"/>
          <w:lang w:eastAsia="pl-PL" w:bidi="pl-PL"/>
          <w14:ligatures w14:val="none"/>
        </w:rPr>
        <w:t xml:space="preserve">na </w:t>
      </w:r>
      <w:r w:rsidR="00CA2607" w:rsidRPr="008A0E40">
        <w:rPr>
          <w:rFonts w:ascii="Times New Roman" w:eastAsia="Times New Roman" w:hAnsi="Times New Roman" w:cs="Times New Roman"/>
          <w:kern w:val="0"/>
          <w:lang w:eastAsia="pl-PL" w:bidi="pl-PL"/>
          <w14:ligatures w14:val="none"/>
        </w:rPr>
        <w:t xml:space="preserve">ich </w:t>
      </w:r>
      <w:r w:rsidR="007E3A18" w:rsidRPr="008A0E40">
        <w:rPr>
          <w:rFonts w:ascii="Times New Roman" w:eastAsia="Times New Roman" w:hAnsi="Times New Roman" w:cs="Times New Roman"/>
          <w:kern w:val="0"/>
          <w:lang w:eastAsia="pl-PL" w:bidi="pl-PL"/>
          <w14:ligatures w14:val="none"/>
        </w:rPr>
        <w:t>postrzeganie w sferze medialnej</w:t>
      </w:r>
      <w:r w:rsidR="006F7B70" w:rsidRPr="008A0E40">
        <w:rPr>
          <w:rFonts w:ascii="Times New Roman" w:eastAsia="Times New Roman" w:hAnsi="Times New Roman" w:cs="Times New Roman"/>
          <w:kern w:val="0"/>
          <w:lang w:eastAsia="pl-PL" w:bidi="pl-PL"/>
          <w14:ligatures w14:val="none"/>
        </w:rPr>
        <w:t xml:space="preserve">. </w:t>
      </w:r>
      <w:r w:rsidR="00F856C0" w:rsidRPr="008A0E40">
        <w:rPr>
          <w:rFonts w:ascii="Times New Roman" w:eastAsia="Times New Roman" w:hAnsi="Times New Roman" w:cs="Times New Roman"/>
          <w:kern w:val="0"/>
          <w:lang w:eastAsia="pl-PL" w:bidi="pl-PL"/>
          <w14:ligatures w14:val="none"/>
        </w:rPr>
        <w:t xml:space="preserve">Należy w tym miejscu </w:t>
      </w:r>
      <w:r w:rsidR="00B802CB" w:rsidRPr="008A0E40">
        <w:rPr>
          <w:rFonts w:ascii="Times New Roman" w:eastAsia="Times New Roman" w:hAnsi="Times New Roman" w:cs="Times New Roman"/>
          <w:kern w:val="0"/>
          <w:lang w:eastAsia="pl-PL" w:bidi="pl-PL"/>
          <w14:ligatures w14:val="none"/>
        </w:rPr>
        <w:t>podkreślić</w:t>
      </w:r>
      <w:r w:rsidR="00F856C0" w:rsidRPr="008A0E40">
        <w:rPr>
          <w:rFonts w:ascii="Times New Roman" w:eastAsia="Times New Roman" w:hAnsi="Times New Roman" w:cs="Times New Roman"/>
          <w:kern w:val="0"/>
          <w:lang w:eastAsia="pl-PL" w:bidi="pl-PL"/>
          <w14:ligatures w14:val="none"/>
        </w:rPr>
        <w:t xml:space="preserve">, że do spraw dotyczących </w:t>
      </w:r>
      <w:r w:rsidR="00B802CB" w:rsidRPr="008A0E40">
        <w:rPr>
          <w:rFonts w:ascii="Times New Roman" w:eastAsia="Times New Roman" w:hAnsi="Times New Roman" w:cs="Times New Roman"/>
          <w:kern w:val="0"/>
          <w:lang w:eastAsia="pl-PL" w:bidi="pl-PL"/>
          <w14:ligatures w14:val="none"/>
        </w:rPr>
        <w:t xml:space="preserve">nakładania wskazanej wyżej kary pieniężnej będą miały zastosowanie przepisy </w:t>
      </w:r>
      <w:r w:rsidR="00DC6DF3" w:rsidRPr="008A0E40">
        <w:rPr>
          <w:rFonts w:ascii="Times New Roman" w:eastAsia="Times New Roman" w:hAnsi="Times New Roman" w:cs="Times New Roman"/>
          <w:kern w:val="0"/>
          <w:lang w:eastAsia="pl-PL" w:bidi="pl-PL"/>
          <w14:ligatures w14:val="none"/>
        </w:rPr>
        <w:t>ustawy z dnia 14 czerwca 1960 r. − Kodeks postępowania administracyjnego</w:t>
      </w:r>
      <w:r w:rsidR="003F28E0" w:rsidRPr="008A0E40">
        <w:rPr>
          <w:rFonts w:ascii="Times New Roman" w:eastAsia="Times New Roman" w:hAnsi="Times New Roman" w:cs="Times New Roman"/>
          <w:kern w:val="0"/>
          <w:lang w:eastAsia="pl-PL" w:bidi="pl-PL"/>
          <w14:ligatures w14:val="none"/>
        </w:rPr>
        <w:t xml:space="preserve"> (Dz. U. z 202</w:t>
      </w:r>
      <w:r w:rsidR="00300FC5" w:rsidRPr="008A0E40">
        <w:rPr>
          <w:rFonts w:ascii="Times New Roman" w:eastAsia="Times New Roman" w:hAnsi="Times New Roman" w:cs="Times New Roman"/>
          <w:kern w:val="0"/>
          <w:lang w:eastAsia="pl-PL" w:bidi="pl-PL"/>
          <w14:ligatures w14:val="none"/>
        </w:rPr>
        <w:t>5</w:t>
      </w:r>
      <w:r w:rsidR="003F28E0" w:rsidRPr="008A0E40">
        <w:rPr>
          <w:rFonts w:ascii="Times New Roman" w:eastAsia="Times New Roman" w:hAnsi="Times New Roman" w:cs="Times New Roman"/>
          <w:kern w:val="0"/>
          <w:lang w:eastAsia="pl-PL" w:bidi="pl-PL"/>
          <w14:ligatures w14:val="none"/>
        </w:rPr>
        <w:t xml:space="preserve"> r. poz. </w:t>
      </w:r>
      <w:r w:rsidR="00300FC5" w:rsidRPr="008A0E40">
        <w:rPr>
          <w:rFonts w:ascii="Times New Roman" w:eastAsia="Times New Roman" w:hAnsi="Times New Roman" w:cs="Times New Roman"/>
          <w:kern w:val="0"/>
          <w:lang w:eastAsia="pl-PL" w:bidi="pl-PL"/>
          <w14:ligatures w14:val="none"/>
        </w:rPr>
        <w:t>1691</w:t>
      </w:r>
      <w:r w:rsidR="001F07E6" w:rsidRPr="008A0E40">
        <w:rPr>
          <w:rFonts w:ascii="Times New Roman" w:eastAsia="Times New Roman" w:hAnsi="Times New Roman" w:cs="Times New Roman"/>
          <w:kern w:val="0"/>
          <w:lang w:eastAsia="pl-PL" w:bidi="pl-PL"/>
          <w14:ligatures w14:val="none"/>
        </w:rPr>
        <w:t>)</w:t>
      </w:r>
      <w:r w:rsidR="0059656C" w:rsidRPr="008A0E40">
        <w:rPr>
          <w:rFonts w:ascii="Times New Roman" w:eastAsia="Times New Roman" w:hAnsi="Times New Roman" w:cs="Times New Roman"/>
          <w:kern w:val="0"/>
          <w:lang w:eastAsia="pl-PL" w:bidi="pl-PL"/>
          <w14:ligatures w14:val="none"/>
        </w:rPr>
        <w:t>, w szczególności art. 189d, który określa przesłanki nakładania administracyjnej kary pieniężnej. Zgodnie z przywołanym przepisem</w:t>
      </w:r>
      <w:r w:rsidR="00F332BB">
        <w:rPr>
          <w:rFonts w:ascii="Times New Roman" w:eastAsia="Times New Roman" w:hAnsi="Times New Roman" w:cs="Times New Roman"/>
          <w:kern w:val="0"/>
          <w:lang w:eastAsia="pl-PL" w:bidi="pl-PL"/>
          <w14:ligatures w14:val="none"/>
        </w:rPr>
        <w:t>,</w:t>
      </w:r>
      <w:r w:rsidR="0059656C" w:rsidRPr="008A0E40">
        <w:rPr>
          <w:rFonts w:ascii="Times New Roman" w:eastAsia="Times New Roman" w:hAnsi="Times New Roman" w:cs="Times New Roman"/>
          <w:kern w:val="0"/>
          <w:lang w:eastAsia="pl-PL" w:bidi="pl-PL"/>
          <w14:ligatures w14:val="none"/>
        </w:rPr>
        <w:t xml:space="preserve"> wymierzając administracyjną karę pieniężną, organ administracji publicznej bierze pod uwagę: 1) wagę i okoliczności naruszenia prawa, w szczególności potrzebę ochrony życia lub zdrowia, ochrony mienia w znacznych rozmiarach lub ochrony ważnego interesu publicznego lub wyjątkowo ważnego interesu strony oraz czas trwania tego naruszenia; 2) częstotliwość niedopełniania w przeszłości obowiązku albo naruszania zakazu tego samego rodzaju co niedopełnienie obowiązku albo naruszenie zakazu, w następstwie którego ma być nałożona kara; 3) uprzednie ukaranie za to samo zachowanie za przestępstwo, przestępstwo skarbowe, wykroczenie lub wykroczenie skarbowe; 4) stopień przyczynienia się strony, na którą jest nakładana administracyjna kara pieniężna, do powstania naruszenia prawa; 5) działania podjęte przez stronę dobrowolnie w celu uniknięcia skutków naruszenia prawa; 6) wysokość korzyści, którą strona osiągnęła, lub straty, której uniknęła; 7) w przypadku osoby fizycznej – warunki osobiste strony, na którą administracyjna kara pieniężna jest nakładana.</w:t>
      </w:r>
      <w:r w:rsidR="000943B8" w:rsidRPr="008A0E40">
        <w:rPr>
          <w:rFonts w:ascii="Times New Roman" w:eastAsia="Times New Roman" w:hAnsi="Times New Roman" w:cs="Times New Roman"/>
          <w:kern w:val="0"/>
          <w:lang w:eastAsia="pl-PL" w:bidi="pl-PL"/>
          <w14:ligatures w14:val="none"/>
        </w:rPr>
        <w:t xml:space="preserve"> </w:t>
      </w:r>
      <w:r w:rsidR="00880EC2" w:rsidRPr="008A0E40">
        <w:rPr>
          <w:rFonts w:ascii="Times New Roman" w:eastAsia="Times New Roman" w:hAnsi="Times New Roman" w:cs="Times New Roman"/>
          <w:kern w:val="0"/>
          <w:lang w:eastAsia="pl-PL" w:bidi="pl-PL"/>
          <w14:ligatures w14:val="none"/>
        </w:rPr>
        <w:t xml:space="preserve">Warto także dodać, że spółka nie będzie podlegała karze, jeżeli do naruszenia prawa doszło wskutek działania siły wyższej, o czym stanowi art. 189e </w:t>
      </w:r>
      <w:bookmarkStart w:id="2" w:name="_Hlk201834397"/>
      <w:r w:rsidR="00880EC2" w:rsidRPr="008A0E40">
        <w:rPr>
          <w:rFonts w:ascii="Times New Roman" w:eastAsia="Times New Roman" w:hAnsi="Times New Roman" w:cs="Times New Roman"/>
          <w:kern w:val="0"/>
          <w:lang w:eastAsia="pl-PL" w:bidi="pl-PL"/>
          <w14:ligatures w14:val="none"/>
        </w:rPr>
        <w:t xml:space="preserve">ww. ustawy </w:t>
      </w:r>
      <w:bookmarkEnd w:id="2"/>
      <w:r w:rsidR="00880EC2" w:rsidRPr="008A0E40">
        <w:rPr>
          <w:rFonts w:ascii="Times New Roman" w:eastAsia="Times New Roman" w:hAnsi="Times New Roman" w:cs="Times New Roman"/>
          <w:kern w:val="0"/>
          <w:lang w:eastAsia="pl-PL" w:bidi="pl-PL"/>
          <w14:ligatures w14:val="none"/>
        </w:rPr>
        <w:t xml:space="preserve">oraz zgodnie z art. 189f ww. ustawy będzie możliwe odstąpienie od nałożenia kary </w:t>
      </w:r>
      <w:r w:rsidR="009B2EDE" w:rsidRPr="008A0E40">
        <w:rPr>
          <w:rFonts w:ascii="Times New Roman" w:eastAsia="Times New Roman" w:hAnsi="Times New Roman" w:cs="Times New Roman"/>
          <w:kern w:val="0"/>
          <w:lang w:eastAsia="pl-PL" w:bidi="pl-PL"/>
          <w14:ligatures w14:val="none"/>
        </w:rPr>
        <w:t>przykładowo,</w:t>
      </w:r>
      <w:r w:rsidR="00880EC2" w:rsidRPr="008A0E40">
        <w:rPr>
          <w:rFonts w:ascii="Times New Roman" w:eastAsia="Times New Roman" w:hAnsi="Times New Roman" w:cs="Times New Roman"/>
          <w:kern w:val="0"/>
          <w:lang w:eastAsia="pl-PL" w:bidi="pl-PL"/>
          <w14:ligatures w14:val="none"/>
        </w:rPr>
        <w:t xml:space="preserve"> jeżeli waga naruszenia prawa jest znikoma, a strona zaprzestała naruszania prawa.</w:t>
      </w:r>
    </w:p>
    <w:p w14:paraId="36B5CDB3" w14:textId="7859CFA0" w:rsidR="003E1158" w:rsidRPr="008A0E40" w:rsidRDefault="009F169D" w:rsidP="0075467F">
      <w:pPr>
        <w:pStyle w:val="Teksttreci0"/>
        <w:spacing w:before="120"/>
        <w:ind w:firstLine="740"/>
        <w:jc w:val="both"/>
        <w:rPr>
          <w:color w:val="000000"/>
          <w:kern w:val="0"/>
          <w:lang w:eastAsia="pl-PL" w:bidi="pl-PL"/>
          <w14:ligatures w14:val="none"/>
        </w:rPr>
      </w:pPr>
      <w:r w:rsidRPr="008A0E40">
        <w:rPr>
          <w:rFonts w:eastAsia="Courier New"/>
          <w:color w:val="000000"/>
          <w:kern w:val="0"/>
          <w:lang w:eastAsia="pl-PL" w:bidi="pl-PL"/>
          <w14:ligatures w14:val="none"/>
        </w:rPr>
        <w:t>W związku z tym, że art. 10 dyrektywy zobowiązuje państwa członkowskie do</w:t>
      </w:r>
      <w:r w:rsidR="00BA2E78" w:rsidRPr="008A0E40">
        <w:rPr>
          <w:rFonts w:eastAsia="Courier New"/>
          <w:color w:val="000000"/>
          <w:kern w:val="0"/>
          <w:lang w:eastAsia="pl-PL" w:bidi="pl-PL"/>
          <w14:ligatures w14:val="none"/>
        </w:rPr>
        <w:t> </w:t>
      </w:r>
      <w:r w:rsidRPr="008A0E40">
        <w:rPr>
          <w:rFonts w:eastAsia="Courier New"/>
          <w:color w:val="000000"/>
          <w:kern w:val="0"/>
          <w:lang w:eastAsia="pl-PL" w:bidi="pl-PL"/>
          <w14:ligatures w14:val="none"/>
        </w:rPr>
        <w:t>wyznaczenia organu/organów do spraw promowania, analizowania, monitorowania i</w:t>
      </w:r>
      <w:r w:rsidR="00BA2E78" w:rsidRPr="008A0E40">
        <w:rPr>
          <w:rFonts w:eastAsia="Courier New"/>
          <w:color w:val="000000"/>
          <w:kern w:val="0"/>
          <w:lang w:eastAsia="pl-PL" w:bidi="pl-PL"/>
          <w14:ligatures w14:val="none"/>
        </w:rPr>
        <w:t> </w:t>
      </w:r>
      <w:r w:rsidRPr="008A0E40">
        <w:rPr>
          <w:rFonts w:eastAsia="Courier New"/>
          <w:color w:val="000000"/>
          <w:kern w:val="0"/>
          <w:lang w:eastAsia="pl-PL" w:bidi="pl-PL"/>
          <w14:ligatures w14:val="none"/>
        </w:rPr>
        <w:t>wspierania równowagi płci w organach spółek giełdowych, którymi mogą być organy ds.</w:t>
      </w:r>
      <w:r w:rsidR="00BA2E78" w:rsidRPr="008A0E40">
        <w:rPr>
          <w:rFonts w:eastAsia="Courier New"/>
          <w:color w:val="000000"/>
          <w:kern w:val="0"/>
          <w:lang w:eastAsia="pl-PL" w:bidi="pl-PL"/>
          <w14:ligatures w14:val="none"/>
        </w:rPr>
        <w:t> </w:t>
      </w:r>
      <w:r w:rsidRPr="008A0E40">
        <w:rPr>
          <w:rFonts w:eastAsia="Courier New"/>
          <w:color w:val="000000"/>
          <w:kern w:val="0"/>
          <w:lang w:eastAsia="pl-PL" w:bidi="pl-PL"/>
          <w14:ligatures w14:val="none"/>
        </w:rPr>
        <w:t xml:space="preserve">równości, </w:t>
      </w:r>
      <w:r w:rsidRPr="008A0E40">
        <w:rPr>
          <w:color w:val="000000"/>
          <w:kern w:val="0"/>
          <w:lang w:eastAsia="pl-PL" w:bidi="pl-PL"/>
          <w14:ligatures w14:val="none"/>
        </w:rPr>
        <w:t xml:space="preserve">projektodawca zdecydował o powierzeniu nowych kompetencji i obowiązków </w:t>
      </w:r>
      <w:r w:rsidR="009976D9" w:rsidRPr="008A0E40">
        <w:rPr>
          <w:color w:val="000000"/>
          <w:kern w:val="0"/>
          <w:lang w:eastAsia="pl-PL" w:bidi="pl-PL"/>
          <w14:ligatures w14:val="none"/>
        </w:rPr>
        <w:t>podmiotowi zaliczanemu do administracji rządowej, któremu w ustawie z dnia 3 grudnia 2010</w:t>
      </w:r>
      <w:r w:rsidR="005828B4">
        <w:rPr>
          <w:color w:val="000000"/>
          <w:kern w:val="0"/>
          <w:lang w:eastAsia="pl-PL" w:bidi="pl-PL"/>
          <w14:ligatures w14:val="none"/>
        </w:rPr>
        <w:t> </w:t>
      </w:r>
      <w:r w:rsidR="009976D9" w:rsidRPr="008A0E40">
        <w:rPr>
          <w:color w:val="000000"/>
          <w:kern w:val="0"/>
          <w:lang w:eastAsia="pl-PL" w:bidi="pl-PL"/>
          <w14:ligatures w14:val="none"/>
        </w:rPr>
        <w:t>r. o wdrożeniu niektórych przepisów Unii Europejskiej w zakresie równego traktowania powierzono wykonywanie zadań dotyczących realizacji zasady równego traktowania</w:t>
      </w:r>
      <w:r w:rsidRPr="008A0E40">
        <w:rPr>
          <w:color w:val="000000"/>
          <w:kern w:val="0"/>
          <w:lang w:eastAsia="pl-PL" w:bidi="pl-PL"/>
          <w14:ligatures w14:val="none"/>
        </w:rPr>
        <w:t>.</w:t>
      </w:r>
      <w:r w:rsidR="0045560D" w:rsidRPr="008A0E40">
        <w:rPr>
          <w:color w:val="000000"/>
          <w:kern w:val="0"/>
          <w:lang w:eastAsia="pl-PL" w:bidi="pl-PL"/>
          <w14:ligatures w14:val="none"/>
        </w:rPr>
        <w:t xml:space="preserve"> </w:t>
      </w:r>
      <w:r w:rsidR="003E1158" w:rsidRPr="002742A6">
        <w:rPr>
          <w:color w:val="000000"/>
          <w:kern w:val="0"/>
          <w:lang w:eastAsia="pl-PL" w:bidi="pl-PL"/>
          <w14:ligatures w14:val="none"/>
        </w:rPr>
        <w:t xml:space="preserve">W projekcie zdecydowano się na </w:t>
      </w:r>
      <w:r w:rsidR="00C83AE0" w:rsidRPr="002742A6">
        <w:rPr>
          <w:color w:val="000000"/>
          <w:kern w:val="0"/>
          <w:lang w:eastAsia="pl-PL" w:bidi="pl-PL"/>
          <w14:ligatures w14:val="none"/>
        </w:rPr>
        <w:t>odniesienie do</w:t>
      </w:r>
      <w:r w:rsidR="007C11F4" w:rsidRPr="002742A6">
        <w:rPr>
          <w:color w:val="000000"/>
          <w:kern w:val="0"/>
          <w:lang w:eastAsia="pl-PL" w:bidi="pl-PL"/>
          <w14:ligatures w14:val="none"/>
        </w:rPr>
        <w:t xml:space="preserve"> </w:t>
      </w:r>
      <w:bookmarkStart w:id="3" w:name="_Hlk209615202"/>
      <w:r w:rsidR="007C11F4" w:rsidRPr="002742A6">
        <w:rPr>
          <w:color w:val="000000"/>
          <w:kern w:val="0"/>
          <w:lang w:eastAsia="pl-PL" w:bidi="pl-PL"/>
          <w14:ligatures w14:val="none"/>
        </w:rPr>
        <w:t xml:space="preserve">podmiotu zaliczanego do administracji rządowej, któremu w ustawie z dnia 3 grudnia 2010 r. o wdrożeniu niektórych przepisów Unii </w:t>
      </w:r>
      <w:r w:rsidR="007C11F4" w:rsidRPr="008A0E40">
        <w:rPr>
          <w:color w:val="000000"/>
          <w:kern w:val="0"/>
          <w:lang w:eastAsia="pl-PL" w:bidi="pl-PL"/>
          <w14:ligatures w14:val="none"/>
        </w:rPr>
        <w:t>Europejskiej w zakresie równego traktowania</w:t>
      </w:r>
      <w:bookmarkEnd w:id="3"/>
      <w:r w:rsidR="007C11F4" w:rsidRPr="008A0E40">
        <w:rPr>
          <w:color w:val="000000"/>
          <w:kern w:val="0"/>
          <w:lang w:eastAsia="pl-PL" w:bidi="pl-PL"/>
          <w14:ligatures w14:val="none"/>
        </w:rPr>
        <w:t xml:space="preserve"> </w:t>
      </w:r>
      <w:bookmarkStart w:id="4" w:name="_Hlk209615242"/>
      <w:r w:rsidR="007C11F4" w:rsidRPr="008A0E40">
        <w:rPr>
          <w:color w:val="000000"/>
          <w:kern w:val="0"/>
          <w:lang w:eastAsia="pl-PL" w:bidi="pl-PL"/>
          <w14:ligatures w14:val="none"/>
        </w:rPr>
        <w:t>powierzono wykonywanie zadań dotyczących realizacji zasady równego traktowania</w:t>
      </w:r>
      <w:bookmarkEnd w:id="4"/>
      <w:r w:rsidR="003E1158" w:rsidRPr="008A0E40">
        <w:rPr>
          <w:color w:val="000000"/>
          <w:kern w:val="0"/>
          <w:lang w:eastAsia="pl-PL" w:bidi="pl-PL"/>
          <w14:ligatures w14:val="none"/>
        </w:rPr>
        <w:t xml:space="preserve">. </w:t>
      </w:r>
      <w:r w:rsidR="007C11F4" w:rsidRPr="008A0E40">
        <w:rPr>
          <w:color w:val="000000"/>
          <w:kern w:val="0"/>
          <w:lang w:eastAsia="pl-PL" w:bidi="pl-PL"/>
          <w14:ligatures w14:val="none"/>
        </w:rPr>
        <w:t xml:space="preserve">Wymaga podkreślenia, iż </w:t>
      </w:r>
      <w:r w:rsidR="00684B0E" w:rsidRPr="008A0E40">
        <w:rPr>
          <w:color w:val="000000"/>
          <w:kern w:val="0"/>
          <w:lang w:eastAsia="pl-PL" w:bidi="pl-PL"/>
          <w14:ligatures w14:val="none"/>
        </w:rPr>
        <w:t xml:space="preserve">przepisy </w:t>
      </w:r>
      <w:r w:rsidR="007C11F4" w:rsidRPr="008A0E40">
        <w:rPr>
          <w:color w:val="000000"/>
          <w:kern w:val="0"/>
          <w:lang w:eastAsia="pl-PL" w:bidi="pl-PL"/>
          <w14:ligatures w14:val="none"/>
        </w:rPr>
        <w:t>wspomnian</w:t>
      </w:r>
      <w:r w:rsidR="00684B0E" w:rsidRPr="008A0E40">
        <w:rPr>
          <w:color w:val="000000"/>
          <w:kern w:val="0"/>
          <w:lang w:eastAsia="pl-PL" w:bidi="pl-PL"/>
          <w14:ligatures w14:val="none"/>
        </w:rPr>
        <w:t>ej</w:t>
      </w:r>
      <w:r w:rsidR="007C11F4" w:rsidRPr="008A0E40">
        <w:rPr>
          <w:color w:val="000000"/>
          <w:kern w:val="0"/>
          <w:lang w:eastAsia="pl-PL" w:bidi="pl-PL"/>
          <w14:ligatures w14:val="none"/>
        </w:rPr>
        <w:t xml:space="preserve"> </w:t>
      </w:r>
      <w:r w:rsidR="00B302B5" w:rsidRPr="008A0E40">
        <w:rPr>
          <w:color w:val="000000"/>
          <w:kern w:val="0"/>
          <w:lang w:eastAsia="pl-PL" w:bidi="pl-PL"/>
          <w14:ligatures w14:val="none"/>
        </w:rPr>
        <w:t>ustawy uleg</w:t>
      </w:r>
      <w:r w:rsidR="00D21243" w:rsidRPr="008A0E40">
        <w:rPr>
          <w:color w:val="000000"/>
          <w:kern w:val="0"/>
          <w:lang w:eastAsia="pl-PL" w:bidi="pl-PL"/>
          <w14:ligatures w14:val="none"/>
        </w:rPr>
        <w:t>ły</w:t>
      </w:r>
      <w:r w:rsidR="00B302B5" w:rsidRPr="008A0E40">
        <w:rPr>
          <w:color w:val="000000"/>
          <w:kern w:val="0"/>
          <w:lang w:eastAsia="pl-PL" w:bidi="pl-PL"/>
          <w14:ligatures w14:val="none"/>
        </w:rPr>
        <w:t xml:space="preserve"> zmianie w związku z</w:t>
      </w:r>
      <w:r w:rsidR="00D21243" w:rsidRPr="008A0E40">
        <w:t xml:space="preserve"> </w:t>
      </w:r>
      <w:r w:rsidR="004B77E2" w:rsidRPr="008A0E40">
        <w:t xml:space="preserve">uchwaleniem </w:t>
      </w:r>
      <w:r w:rsidR="00D21243" w:rsidRPr="008A0E40">
        <w:rPr>
          <w:color w:val="000000"/>
          <w:kern w:val="0"/>
          <w:lang w:eastAsia="pl-PL" w:bidi="pl-PL"/>
          <w14:ligatures w14:val="none"/>
        </w:rPr>
        <w:t>ustawy z dnia 9 stycznia 2026 r o zmianie niektórych ustaw związanych z funkcjonowaniem administracji rządowej (Dz. U. poz. 160), która w art.</w:t>
      </w:r>
      <w:r w:rsidR="002742A6">
        <w:rPr>
          <w:color w:val="000000"/>
          <w:kern w:val="0"/>
          <w:lang w:eastAsia="pl-PL" w:bidi="pl-PL"/>
          <w14:ligatures w14:val="none"/>
        </w:rPr>
        <w:t> </w:t>
      </w:r>
      <w:r w:rsidR="00D21243" w:rsidRPr="008A0E40">
        <w:rPr>
          <w:color w:val="000000"/>
          <w:kern w:val="0"/>
          <w:lang w:eastAsia="pl-PL" w:bidi="pl-PL"/>
          <w14:ligatures w14:val="none"/>
        </w:rPr>
        <w:t xml:space="preserve">12 wprowadziła zmianę ww. ustawy. </w:t>
      </w:r>
      <w:r w:rsidR="00684B0E" w:rsidRPr="008A0E40">
        <w:rPr>
          <w:color w:val="000000"/>
          <w:kern w:val="0"/>
          <w:lang w:eastAsia="pl-PL" w:bidi="pl-PL"/>
          <w14:ligatures w14:val="none"/>
        </w:rPr>
        <w:t xml:space="preserve">Zmiana ta </w:t>
      </w:r>
      <w:r w:rsidR="003E1158" w:rsidRPr="008A0E40">
        <w:rPr>
          <w:color w:val="000000"/>
          <w:kern w:val="0"/>
          <w:lang w:eastAsia="pl-PL" w:bidi="pl-PL"/>
          <w14:ligatures w14:val="none"/>
        </w:rPr>
        <w:t xml:space="preserve">przewiduje rozszerzenie katalogu podmiotów, które w ramach administracji rządowej będą mogły wykonywać zadania dotyczące realizacji zasady równego traktowania. Zgodnie z </w:t>
      </w:r>
      <w:r w:rsidR="000763E3" w:rsidRPr="008A0E40">
        <w:rPr>
          <w:color w:val="000000"/>
          <w:kern w:val="0"/>
          <w:lang w:eastAsia="pl-PL" w:bidi="pl-PL"/>
          <w14:ligatures w14:val="none"/>
        </w:rPr>
        <w:t>przywołan</w:t>
      </w:r>
      <w:r w:rsidR="000230B9" w:rsidRPr="008A0E40">
        <w:rPr>
          <w:color w:val="000000"/>
          <w:kern w:val="0"/>
          <w:lang w:eastAsia="pl-PL" w:bidi="pl-PL"/>
          <w14:ligatures w14:val="none"/>
        </w:rPr>
        <w:t>ą</w:t>
      </w:r>
      <w:r w:rsidR="000763E3" w:rsidRPr="008A0E40">
        <w:rPr>
          <w:color w:val="000000"/>
          <w:kern w:val="0"/>
          <w:lang w:eastAsia="pl-PL" w:bidi="pl-PL"/>
          <w14:ligatures w14:val="none"/>
        </w:rPr>
        <w:t xml:space="preserve"> wyżej </w:t>
      </w:r>
      <w:r w:rsidR="003E1158" w:rsidRPr="008A0E40">
        <w:rPr>
          <w:color w:val="000000"/>
          <w:kern w:val="0"/>
          <w:lang w:eastAsia="pl-PL" w:bidi="pl-PL"/>
          <w14:ligatures w14:val="none"/>
        </w:rPr>
        <w:t>ustaw</w:t>
      </w:r>
      <w:r w:rsidR="000230B9" w:rsidRPr="008A0E40">
        <w:rPr>
          <w:color w:val="000000"/>
          <w:kern w:val="0"/>
          <w:lang w:eastAsia="pl-PL" w:bidi="pl-PL"/>
          <w14:ligatures w14:val="none"/>
        </w:rPr>
        <w:t>ą</w:t>
      </w:r>
      <w:r w:rsidR="003E1158" w:rsidRPr="008A0E40">
        <w:rPr>
          <w:color w:val="000000"/>
          <w:kern w:val="0"/>
          <w:lang w:eastAsia="pl-PL" w:bidi="pl-PL"/>
          <w14:ligatures w14:val="none"/>
        </w:rPr>
        <w:t xml:space="preserve"> organem do spraw równego traktowania będzie mógł być członek Rady Ministrów, sekretarz stanu, podsekretarz stanu albo Pełnomocnik Rządu do Spraw Równ</w:t>
      </w:r>
      <w:r w:rsidR="00660D0B">
        <w:rPr>
          <w:color w:val="000000"/>
          <w:kern w:val="0"/>
          <w:lang w:eastAsia="pl-PL" w:bidi="pl-PL"/>
          <w14:ligatures w14:val="none"/>
        </w:rPr>
        <w:t>ości</w:t>
      </w:r>
      <w:r w:rsidR="003E1158" w:rsidRPr="008A0E40">
        <w:rPr>
          <w:color w:val="000000"/>
          <w:kern w:val="0"/>
          <w:lang w:eastAsia="pl-PL" w:bidi="pl-PL"/>
          <w14:ligatures w14:val="none"/>
        </w:rPr>
        <w:t>. Tym samym w projekcie ustawy nie można wprost odwołać się do konkretnego organu równościowego</w:t>
      </w:r>
      <w:r w:rsidR="00C83AE0" w:rsidRPr="008A0E40">
        <w:rPr>
          <w:color w:val="000000"/>
          <w:kern w:val="0"/>
          <w:lang w:eastAsia="pl-PL" w:bidi="pl-PL"/>
          <w14:ligatures w14:val="none"/>
        </w:rPr>
        <w:t xml:space="preserve">, a jedynie ogólnie </w:t>
      </w:r>
      <w:r w:rsidR="003E1158" w:rsidRPr="008A0E40">
        <w:rPr>
          <w:color w:val="000000"/>
          <w:kern w:val="0"/>
          <w:lang w:eastAsia="pl-PL" w:bidi="pl-PL"/>
          <w14:ligatures w14:val="none"/>
        </w:rPr>
        <w:t xml:space="preserve">do </w:t>
      </w:r>
      <w:r w:rsidR="00684B0E" w:rsidRPr="008A0E40">
        <w:rPr>
          <w:color w:val="000000"/>
          <w:kern w:val="0"/>
          <w:lang w:eastAsia="pl-PL" w:bidi="pl-PL"/>
          <w14:ligatures w14:val="none"/>
        </w:rPr>
        <w:t>podmiotu zaliczanego do administracji rządowej, któremu w ustawie z dnia 3 grudnia 2010 r. o wdrożeniu niektórych przepisów Unii Europejskiej w zakresie równego traktowania</w:t>
      </w:r>
      <w:r w:rsidR="00E01835" w:rsidRPr="0075467F">
        <w:rPr>
          <w:rFonts w:eastAsiaTheme="minorHAnsi"/>
          <w:color w:val="000000"/>
          <w:kern w:val="0"/>
          <w:lang w:eastAsia="pl-PL" w:bidi="pl-PL"/>
          <w14:ligatures w14:val="none"/>
        </w:rPr>
        <w:t xml:space="preserve"> </w:t>
      </w:r>
      <w:r w:rsidR="00E01835" w:rsidRPr="008A0E40">
        <w:rPr>
          <w:color w:val="000000"/>
          <w:kern w:val="0"/>
          <w:lang w:eastAsia="pl-PL" w:bidi="pl-PL"/>
          <w14:ligatures w14:val="none"/>
        </w:rPr>
        <w:t>powierzono wykonywanie zadań dotyczących realizacji zasady równego traktowania</w:t>
      </w:r>
      <w:r w:rsidR="00C83AE0" w:rsidRPr="008A0E40">
        <w:rPr>
          <w:color w:val="000000"/>
          <w:kern w:val="0"/>
          <w:lang w:eastAsia="pl-PL" w:bidi="pl-PL"/>
          <w14:ligatures w14:val="none"/>
        </w:rPr>
        <w:t>.</w:t>
      </w:r>
    </w:p>
    <w:p w14:paraId="0620DD14" w14:textId="287F223D" w:rsidR="009F169D" w:rsidRPr="008A0E40" w:rsidRDefault="009F169D" w:rsidP="0075467F">
      <w:pPr>
        <w:pStyle w:val="Teksttreci0"/>
        <w:spacing w:before="120"/>
        <w:ind w:firstLine="740"/>
        <w:jc w:val="both"/>
        <w:rPr>
          <w:color w:val="000000"/>
          <w:kern w:val="0"/>
          <w:lang w:eastAsia="pl-PL" w:bidi="pl-PL"/>
          <w14:ligatures w14:val="none"/>
        </w:rPr>
      </w:pPr>
      <w:r w:rsidRPr="008A0E40">
        <w:rPr>
          <w:color w:val="000000"/>
          <w:kern w:val="0"/>
          <w:lang w:eastAsia="pl-PL" w:bidi="pl-PL"/>
          <w14:ligatures w14:val="none"/>
        </w:rPr>
        <w:t>Zgodnie z ustawą z dnia 3 grudnia 2010 r. o wdrożeniu niektórych przepisów Unii Europejskiej w zakresie równego traktowania na mocy art. 18 powołanej ustawy organ ten jest uprawniony do wykonywania zadań dotyczących realizacji równego traktowania. Do z</w:t>
      </w:r>
      <w:r w:rsidR="008F6CC9" w:rsidRPr="008A0E40">
        <w:rPr>
          <w:color w:val="000000"/>
          <w:kern w:val="0"/>
          <w:lang w:eastAsia="pl-PL" w:bidi="pl-PL"/>
          <w14:ligatures w14:val="none"/>
        </w:rPr>
        <w:t>a</w:t>
      </w:r>
      <w:r w:rsidRPr="008A0E40">
        <w:rPr>
          <w:color w:val="000000"/>
          <w:kern w:val="0"/>
          <w:lang w:eastAsia="pl-PL" w:bidi="pl-PL"/>
          <w14:ligatures w14:val="none"/>
        </w:rPr>
        <w:t xml:space="preserve">dań </w:t>
      </w:r>
      <w:r w:rsidR="005D2F3A" w:rsidRPr="008A0E40">
        <w:rPr>
          <w:color w:val="000000"/>
          <w:kern w:val="0"/>
          <w:lang w:eastAsia="pl-PL" w:bidi="pl-PL"/>
          <w14:ligatures w14:val="none"/>
        </w:rPr>
        <w:t>podmiotu zaliczanego do administracji rządowej, któremu w ustawie z dnia 3 grudnia 2010 r. o wdrożeniu niektórych przepisów Unii Europejskiej w zakresie równego traktowania powierzono wykonywanie zadań dotyczących realizacji zasady równego traktowania</w:t>
      </w:r>
      <w:r w:rsidR="002742A6">
        <w:rPr>
          <w:color w:val="000000"/>
          <w:kern w:val="0"/>
          <w:lang w:eastAsia="pl-PL" w:bidi="pl-PL"/>
          <w14:ligatures w14:val="none"/>
        </w:rPr>
        <w:t>,</w:t>
      </w:r>
      <w:r w:rsidR="005D2F3A" w:rsidRPr="008A0E40">
        <w:rPr>
          <w:color w:val="000000"/>
          <w:kern w:val="0"/>
          <w:lang w:eastAsia="pl-PL" w:bidi="pl-PL"/>
          <w14:ligatures w14:val="none"/>
        </w:rPr>
        <w:t xml:space="preserve"> </w:t>
      </w:r>
      <w:r w:rsidRPr="008A0E40">
        <w:rPr>
          <w:color w:val="000000"/>
          <w:kern w:val="0"/>
          <w:lang w:eastAsia="pl-PL" w:bidi="pl-PL"/>
          <w14:ligatures w14:val="none"/>
        </w:rPr>
        <w:t>będą należeć: promowanie, dokonywanie analiz, monitorowanie i</w:t>
      </w:r>
      <w:r w:rsidR="00BA2E78" w:rsidRPr="008A0E40">
        <w:rPr>
          <w:color w:val="000000"/>
          <w:kern w:val="0"/>
          <w:lang w:eastAsia="pl-PL" w:bidi="pl-PL"/>
          <w14:ligatures w14:val="none"/>
        </w:rPr>
        <w:t> </w:t>
      </w:r>
      <w:r w:rsidRPr="008A0E40">
        <w:rPr>
          <w:color w:val="000000"/>
          <w:kern w:val="0"/>
          <w:lang w:eastAsia="pl-PL" w:bidi="pl-PL"/>
          <w14:ligatures w14:val="none"/>
        </w:rPr>
        <w:t>wspieranie równowagi płci w organach spółek publicznych, a także publikowanie wykazu spółek publicznych, które spełniają wymagania określone w projektowanym art. 90gc ust. 2 u.ofer. publ.</w:t>
      </w:r>
    </w:p>
    <w:p w14:paraId="35CE076E" w14:textId="30515467" w:rsidR="009F169D" w:rsidRPr="008A0E40" w:rsidRDefault="009F169D" w:rsidP="0075467F">
      <w:pPr>
        <w:widowControl w:val="0"/>
        <w:spacing w:before="120" w:after="0" w:line="360" w:lineRule="auto"/>
        <w:ind w:firstLine="74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Podkreślenia wymaga, że projekt ustawy nie przewiduje wygaśnięcia mandatów lub skrócenia kadencji członków organów, którzy będą pełnili swoje funkcje w dniu wejścia w</w:t>
      </w:r>
      <w:r w:rsidR="00BA2E78" w:rsidRPr="008A0E40">
        <w:rPr>
          <w:rFonts w:ascii="Times New Roman" w:eastAsia="Times New Roman" w:hAnsi="Times New Roman" w:cs="Times New Roman"/>
          <w:color w:val="000000"/>
          <w:kern w:val="0"/>
          <w:lang w:eastAsia="pl-PL" w:bidi="pl-PL"/>
          <w14:ligatures w14:val="none"/>
        </w:rPr>
        <w:t> </w:t>
      </w:r>
      <w:r w:rsidRPr="008A0E40">
        <w:rPr>
          <w:rFonts w:ascii="Times New Roman" w:eastAsia="Times New Roman" w:hAnsi="Times New Roman" w:cs="Times New Roman"/>
          <w:color w:val="000000"/>
          <w:kern w:val="0"/>
          <w:lang w:eastAsia="pl-PL" w:bidi="pl-PL"/>
          <w14:ligatures w14:val="none"/>
        </w:rPr>
        <w:t>życie ustawy. Nie przewiduje również sankcji w postaci kary pieniężnej</w:t>
      </w:r>
      <w:r w:rsidR="002742A6">
        <w:rPr>
          <w:rFonts w:ascii="Times New Roman" w:eastAsia="Times New Roman" w:hAnsi="Times New Roman" w:cs="Times New Roman"/>
          <w:color w:val="000000"/>
          <w:kern w:val="0"/>
          <w:lang w:eastAsia="pl-PL" w:bidi="pl-PL"/>
          <w14:ligatures w14:val="none"/>
        </w:rPr>
        <w:t>,</w:t>
      </w:r>
      <w:r w:rsidRPr="008A0E40">
        <w:rPr>
          <w:rFonts w:ascii="Times New Roman" w:eastAsia="Times New Roman" w:hAnsi="Times New Roman" w:cs="Times New Roman"/>
          <w:color w:val="000000"/>
          <w:kern w:val="0"/>
          <w:lang w:eastAsia="pl-PL" w:bidi="pl-PL"/>
          <w14:ligatures w14:val="none"/>
        </w:rPr>
        <w:t xml:space="preserve"> w przypadku gdy spółka nie osiągnie wymaganej równowagi płci określonej projektowanym art. 90gc ust. 2 u.ofer. publ.</w:t>
      </w:r>
    </w:p>
    <w:p w14:paraId="77C59C4F" w14:textId="55DB9A83" w:rsidR="00705688"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 xml:space="preserve">Zgodnie z projektowanym przepisem art. 90gh </w:t>
      </w:r>
      <w:r w:rsidR="00BA2E78" w:rsidRPr="008A0E40">
        <w:rPr>
          <w:rFonts w:ascii="Times New Roman" w:eastAsia="Times New Roman" w:hAnsi="Times New Roman" w:cs="Times New Roman"/>
          <w:kern w:val="0"/>
          <w:lang w:eastAsia="pl-PL" w:bidi="pl-PL"/>
          <w14:ligatures w14:val="none"/>
        </w:rPr>
        <w:t xml:space="preserve">u.ofer.publ. </w:t>
      </w:r>
      <w:r w:rsidRPr="008A0E40">
        <w:rPr>
          <w:rFonts w:ascii="Times New Roman" w:eastAsia="Times New Roman" w:hAnsi="Times New Roman" w:cs="Times New Roman"/>
          <w:color w:val="000000"/>
          <w:kern w:val="0"/>
          <w:lang w:eastAsia="pl-PL" w:bidi="pl-PL"/>
          <w14:ligatures w14:val="none"/>
        </w:rPr>
        <w:t xml:space="preserve">przepisów art. 90ge, </w:t>
      </w:r>
      <w:r w:rsidR="00BA2E78" w:rsidRPr="008A0E40">
        <w:rPr>
          <w:rFonts w:ascii="Times New Roman" w:eastAsia="Times New Roman" w:hAnsi="Times New Roman" w:cs="Times New Roman"/>
          <w:color w:val="000000"/>
          <w:kern w:val="0"/>
          <w:lang w:eastAsia="pl-PL" w:bidi="pl-PL"/>
          <w14:ligatures w14:val="none"/>
        </w:rPr>
        <w:t>art. </w:t>
      </w:r>
      <w:r w:rsidRPr="008A0E40">
        <w:rPr>
          <w:rFonts w:ascii="Times New Roman" w:eastAsia="Times New Roman" w:hAnsi="Times New Roman" w:cs="Times New Roman"/>
          <w:color w:val="000000"/>
          <w:kern w:val="0"/>
          <w:lang w:eastAsia="pl-PL" w:bidi="pl-PL"/>
          <w14:ligatures w14:val="none"/>
        </w:rPr>
        <w:t xml:space="preserve">90gf i art. 90gg </w:t>
      </w:r>
      <w:r w:rsidR="00BA2E78" w:rsidRPr="008A0E40">
        <w:rPr>
          <w:rFonts w:ascii="Times New Roman" w:eastAsia="Times New Roman" w:hAnsi="Times New Roman" w:cs="Times New Roman"/>
          <w:kern w:val="0"/>
          <w:lang w:eastAsia="pl-PL" w:bidi="pl-PL"/>
          <w14:ligatures w14:val="none"/>
        </w:rPr>
        <w:t xml:space="preserve">u.ofer.publ. </w:t>
      </w:r>
      <w:r w:rsidRPr="008A0E40">
        <w:rPr>
          <w:rFonts w:ascii="Times New Roman" w:eastAsia="Times New Roman" w:hAnsi="Times New Roman" w:cs="Times New Roman"/>
          <w:color w:val="000000"/>
          <w:kern w:val="0"/>
          <w:lang w:eastAsia="pl-PL" w:bidi="pl-PL"/>
          <w14:ligatures w14:val="none"/>
        </w:rPr>
        <w:t>nie stosuje się, jeżeli spółka osiągnęła właściwą reprezentację płci w swoich organach, zgodnie z art. 90gc ust. 2</w:t>
      </w:r>
      <w:r w:rsidR="00BA2E78" w:rsidRPr="008A0E40">
        <w:rPr>
          <w:rFonts w:ascii="Times New Roman" w:eastAsia="Times New Roman" w:hAnsi="Times New Roman" w:cs="Times New Roman"/>
          <w:kern w:val="0"/>
          <w:lang w:eastAsia="pl-PL" w:bidi="pl-PL"/>
          <w14:ligatures w14:val="none"/>
        </w:rPr>
        <w:t xml:space="preserve"> u.ofer.publ</w:t>
      </w:r>
      <w:r w:rsidRPr="008A0E40">
        <w:rPr>
          <w:rFonts w:ascii="Times New Roman" w:eastAsia="Times New Roman" w:hAnsi="Times New Roman" w:cs="Times New Roman"/>
          <w:color w:val="000000"/>
          <w:kern w:val="0"/>
          <w:lang w:eastAsia="pl-PL" w:bidi="pl-PL"/>
          <w14:ligatures w14:val="none"/>
        </w:rPr>
        <w:t>.</w:t>
      </w:r>
    </w:p>
    <w:p w14:paraId="5F9E6E64" w14:textId="77777777" w:rsidR="00AB5FFE" w:rsidRPr="008A0E40" w:rsidRDefault="00AB5FFE"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p>
    <w:p w14:paraId="37FA75F2" w14:textId="12B2FDF7" w:rsidR="009F169D" w:rsidRPr="008A0E40" w:rsidRDefault="009F169D" w:rsidP="0075467F">
      <w:pPr>
        <w:widowControl w:val="0"/>
        <w:spacing w:before="120" w:after="0" w:line="360" w:lineRule="auto"/>
        <w:ind w:firstLine="38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b/>
          <w:bCs/>
          <w:color w:val="000000"/>
          <w:kern w:val="0"/>
          <w:lang w:eastAsia="pl-PL" w:bidi="pl-PL"/>
          <w14:ligatures w14:val="none"/>
        </w:rPr>
        <w:t>III. Wejście w życie ustawy</w:t>
      </w:r>
    </w:p>
    <w:p w14:paraId="1E8B8461" w14:textId="5434F86E"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Zgodnie z art. 11 dyrektywy państwa członkowskie wprowadzają w życie przepisy ustawowe, wykonawcze i administracyjne niezbędne do wykonania niniejszej dyrektywy do</w:t>
      </w:r>
      <w:r w:rsidR="00BA2E78" w:rsidRPr="008A0E40">
        <w:rPr>
          <w:rFonts w:ascii="Times New Roman" w:eastAsia="Times New Roman" w:hAnsi="Times New Roman" w:cs="Times New Roman"/>
          <w:color w:val="000000"/>
          <w:kern w:val="0"/>
          <w:lang w:eastAsia="pl-PL" w:bidi="pl-PL"/>
          <w14:ligatures w14:val="none"/>
        </w:rPr>
        <w:t> </w:t>
      </w:r>
      <w:r w:rsidRPr="008A0E40">
        <w:rPr>
          <w:rFonts w:ascii="Times New Roman" w:eastAsia="Times New Roman" w:hAnsi="Times New Roman" w:cs="Times New Roman"/>
          <w:color w:val="000000"/>
          <w:kern w:val="0"/>
          <w:lang w:eastAsia="pl-PL" w:bidi="pl-PL"/>
          <w14:ligatures w14:val="none"/>
        </w:rPr>
        <w:t>dnia 28 grudnia 2024 r. Projekt przewiduje, że ustawa wejdzie w życie po upływie 14 dni od dnia jej ogłoszenia.</w:t>
      </w:r>
    </w:p>
    <w:p w14:paraId="7BD615E4"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Projekt ustawy nie podlega notyfikacji w trybie określonym w rozporządzeniu Rady Ministrów z dnia 23 grudnia 2002 r. w sprawie sposobu funkcjonowania krajowego systemu notyfikacji norm i aktów prawnych (Dz. U. poz. 2039, z późn. zm.).</w:t>
      </w:r>
    </w:p>
    <w:p w14:paraId="5F12D5FF" w14:textId="017DD5E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Zgodnie z ustawą z dnia 7 lipca 2005 r. o działalności lobbingowej w procesie stanowienia prawa (</w:t>
      </w:r>
      <w:r w:rsidR="004F249F" w:rsidRPr="008A0E40">
        <w:rPr>
          <w:rFonts w:ascii="Times New Roman" w:eastAsia="Times New Roman" w:hAnsi="Times New Roman" w:cs="Times New Roman"/>
          <w:color w:val="000000"/>
          <w:kern w:val="0"/>
          <w:lang w:eastAsia="pl-PL" w:bidi="pl-PL"/>
          <w14:ligatures w14:val="none"/>
        </w:rPr>
        <w:t>Dz. U. z 2025 r. poz. 677</w:t>
      </w:r>
      <w:r w:rsidR="003239C1" w:rsidRPr="008A0E40">
        <w:rPr>
          <w:rFonts w:ascii="Times New Roman" w:eastAsia="Times New Roman" w:hAnsi="Times New Roman" w:cs="Times New Roman"/>
          <w:kern w:val="0"/>
          <w:lang w:eastAsia="pl-PL" w:bidi="pl-PL"/>
          <w14:ligatures w14:val="none"/>
        </w:rPr>
        <w:t>, z późn. zm.</w:t>
      </w:r>
      <w:r w:rsidRPr="008A0E40">
        <w:rPr>
          <w:rFonts w:ascii="Times New Roman" w:eastAsia="Times New Roman" w:hAnsi="Times New Roman" w:cs="Times New Roman"/>
          <w:color w:val="000000"/>
          <w:kern w:val="0"/>
          <w:lang w:eastAsia="pl-PL" w:bidi="pl-PL"/>
          <w14:ligatures w14:val="none"/>
        </w:rPr>
        <w:t>), a także mając na uwadze § 52 uchwały nr 190 Rady Ministrów z dnia 29 października 2013 r. – Regulamin pracy Rady Ministrów (</w:t>
      </w:r>
      <w:r w:rsidR="00D53B58" w:rsidRPr="008A0E40">
        <w:rPr>
          <w:rFonts w:ascii="Times New Roman" w:eastAsia="Times New Roman" w:hAnsi="Times New Roman" w:cs="Times New Roman"/>
          <w:color w:val="000000"/>
          <w:kern w:val="0"/>
          <w:lang w:eastAsia="pl-PL" w:bidi="pl-PL"/>
          <w14:ligatures w14:val="none"/>
        </w:rPr>
        <w:t>M.P. z 2026 r. poz. 404</w:t>
      </w:r>
      <w:r w:rsidRPr="008A0E40">
        <w:rPr>
          <w:rFonts w:ascii="Times New Roman" w:eastAsia="Times New Roman" w:hAnsi="Times New Roman" w:cs="Times New Roman"/>
          <w:color w:val="000000"/>
          <w:kern w:val="0"/>
          <w:lang w:eastAsia="pl-PL" w:bidi="pl-PL"/>
          <w14:ligatures w14:val="none"/>
        </w:rPr>
        <w:t xml:space="preserve">), projekt </w:t>
      </w:r>
      <w:r w:rsidR="00A1306B" w:rsidRPr="008A0E40">
        <w:rPr>
          <w:rFonts w:ascii="Times New Roman" w:eastAsia="Times New Roman" w:hAnsi="Times New Roman" w:cs="Times New Roman"/>
          <w:color w:val="000000"/>
          <w:kern w:val="0"/>
          <w:lang w:eastAsia="pl-PL" w:bidi="pl-PL"/>
          <w14:ligatures w14:val="none"/>
        </w:rPr>
        <w:t xml:space="preserve">ustawy </w:t>
      </w:r>
      <w:r w:rsidRPr="008A0E40">
        <w:rPr>
          <w:rFonts w:ascii="Times New Roman" w:eastAsia="Times New Roman" w:hAnsi="Times New Roman" w:cs="Times New Roman"/>
          <w:color w:val="000000"/>
          <w:kern w:val="0"/>
          <w:lang w:eastAsia="pl-PL" w:bidi="pl-PL"/>
          <w14:ligatures w14:val="none"/>
        </w:rPr>
        <w:t>został zamieszczony w Biuletynie Informacji Publicznej na stronie podmiotowej Rządowego Centrum Legislacji, w serwisie Rządowy Proces Legislacyjny. W trybie art. 7 ww. ustawy nie wpłynęły zgłoszenia zainteresowania pracami nad projektem przedmiotowej ustawy.</w:t>
      </w:r>
    </w:p>
    <w:p w14:paraId="70A86F60" w14:textId="3E4DBD7C"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 xml:space="preserve">Projekt </w:t>
      </w:r>
      <w:r w:rsidR="00A1306B" w:rsidRPr="008A0E40">
        <w:rPr>
          <w:rFonts w:ascii="Times New Roman" w:eastAsia="Times New Roman" w:hAnsi="Times New Roman" w:cs="Times New Roman"/>
          <w:color w:val="000000"/>
          <w:kern w:val="0"/>
          <w:lang w:eastAsia="pl-PL" w:bidi="pl-PL"/>
          <w14:ligatures w14:val="none"/>
        </w:rPr>
        <w:t xml:space="preserve">ustawy </w:t>
      </w:r>
      <w:r w:rsidRPr="008A0E40">
        <w:rPr>
          <w:rFonts w:ascii="Times New Roman" w:eastAsia="Times New Roman" w:hAnsi="Times New Roman" w:cs="Times New Roman"/>
          <w:color w:val="000000"/>
          <w:kern w:val="0"/>
          <w:lang w:eastAsia="pl-PL" w:bidi="pl-PL"/>
          <w14:ligatures w14:val="none"/>
        </w:rPr>
        <w:t>nie wymaga przedstawienia organom i instytucjom Unii Europejskiej, w tym Europejskiemu Bankowi Centralnemu, w celu uzyskania opinii, dokonania powiadomienia, konsultacji albo uzgodnienia.</w:t>
      </w:r>
    </w:p>
    <w:p w14:paraId="08C5AA9E"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Projektowana ustawa nie jest sprzeczna z prawem Unii Europejskiej.</w:t>
      </w:r>
    </w:p>
    <w:p w14:paraId="222F22E0"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Projektowana ustawa nie będzie miała wpływu na działalność mikroprzedsiębiorców, małych i średnich przedsiębiorców.</w:t>
      </w:r>
    </w:p>
    <w:p w14:paraId="0559BD0D" w14:textId="0EFCC4FD"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 xml:space="preserve">Minister Spraw </w:t>
      </w:r>
      <w:r w:rsidR="00660D0B">
        <w:rPr>
          <w:rFonts w:ascii="Times New Roman" w:eastAsia="Times New Roman" w:hAnsi="Times New Roman" w:cs="Times New Roman"/>
          <w:color w:val="000000"/>
          <w:kern w:val="0"/>
          <w:lang w:eastAsia="pl-PL" w:bidi="pl-PL"/>
          <w14:ligatures w14:val="none"/>
        </w:rPr>
        <w:t xml:space="preserve">Zagranicznych </w:t>
      </w:r>
      <w:r w:rsidRPr="008A0E40">
        <w:rPr>
          <w:rFonts w:ascii="Times New Roman" w:eastAsia="Times New Roman" w:hAnsi="Times New Roman" w:cs="Times New Roman"/>
          <w:color w:val="000000"/>
          <w:kern w:val="0"/>
          <w:lang w:eastAsia="pl-PL" w:bidi="pl-PL"/>
          <w14:ligatures w14:val="none"/>
        </w:rPr>
        <w:t>przedłożył opinię dot. projektu ustawy (pismo z</w:t>
      </w:r>
      <w:r w:rsidR="008E20AA" w:rsidRPr="008A0E40">
        <w:rPr>
          <w:rFonts w:ascii="Times New Roman" w:eastAsia="Times New Roman" w:hAnsi="Times New Roman" w:cs="Times New Roman"/>
          <w:color w:val="000000"/>
          <w:kern w:val="0"/>
          <w:lang w:eastAsia="pl-PL" w:bidi="pl-PL"/>
          <w14:ligatures w14:val="none"/>
        </w:rPr>
        <w:t> </w:t>
      </w:r>
      <w:r w:rsidRPr="008A0E40">
        <w:rPr>
          <w:rFonts w:ascii="Times New Roman" w:eastAsia="Times New Roman" w:hAnsi="Times New Roman" w:cs="Times New Roman"/>
          <w:color w:val="000000"/>
          <w:kern w:val="0"/>
          <w:lang w:eastAsia="pl-PL" w:bidi="pl-PL"/>
          <w14:ligatures w14:val="none"/>
        </w:rPr>
        <w:t xml:space="preserve">dn. </w:t>
      </w:r>
      <w:r w:rsidR="00312636">
        <w:rPr>
          <w:rFonts w:ascii="Times New Roman" w:eastAsia="Times New Roman" w:hAnsi="Times New Roman" w:cs="Times New Roman"/>
          <w:color w:val="000000"/>
          <w:kern w:val="0"/>
          <w:lang w:eastAsia="pl-PL" w:bidi="pl-PL"/>
          <w14:ligatures w14:val="none"/>
        </w:rPr>
        <w:t>17</w:t>
      </w:r>
      <w:r w:rsidR="00312636" w:rsidRPr="008A0E40">
        <w:rPr>
          <w:rFonts w:ascii="Times New Roman" w:eastAsia="Times New Roman" w:hAnsi="Times New Roman" w:cs="Times New Roman"/>
          <w:color w:val="000000"/>
          <w:kern w:val="0"/>
          <w:lang w:eastAsia="pl-PL" w:bidi="pl-PL"/>
          <w14:ligatures w14:val="none"/>
        </w:rPr>
        <w:t xml:space="preserve"> </w:t>
      </w:r>
      <w:r w:rsidR="00725D32" w:rsidRPr="008A0E40">
        <w:rPr>
          <w:rFonts w:ascii="Times New Roman" w:eastAsia="Times New Roman" w:hAnsi="Times New Roman" w:cs="Times New Roman"/>
          <w:color w:val="000000"/>
          <w:kern w:val="0"/>
          <w:lang w:eastAsia="pl-PL" w:bidi="pl-PL"/>
          <w14:ligatures w14:val="none"/>
        </w:rPr>
        <w:t>kwietnia</w:t>
      </w:r>
      <w:r w:rsidRPr="008A0E40">
        <w:rPr>
          <w:rFonts w:ascii="Times New Roman" w:eastAsia="Times New Roman" w:hAnsi="Times New Roman" w:cs="Times New Roman"/>
          <w:color w:val="000000"/>
          <w:kern w:val="0"/>
          <w:lang w:eastAsia="pl-PL" w:bidi="pl-PL"/>
          <w14:ligatures w14:val="none"/>
        </w:rPr>
        <w:t xml:space="preserve"> 202</w:t>
      </w:r>
      <w:r w:rsidR="00725D32" w:rsidRPr="008A0E40">
        <w:rPr>
          <w:rFonts w:ascii="Times New Roman" w:eastAsia="Times New Roman" w:hAnsi="Times New Roman" w:cs="Times New Roman"/>
          <w:color w:val="000000"/>
          <w:kern w:val="0"/>
          <w:lang w:eastAsia="pl-PL" w:bidi="pl-PL"/>
          <w14:ligatures w14:val="none"/>
        </w:rPr>
        <w:t>6</w:t>
      </w:r>
      <w:r w:rsidRPr="008A0E40">
        <w:rPr>
          <w:rFonts w:ascii="Times New Roman" w:eastAsia="Times New Roman" w:hAnsi="Times New Roman" w:cs="Times New Roman"/>
          <w:color w:val="000000"/>
          <w:kern w:val="0"/>
          <w:lang w:eastAsia="pl-PL" w:bidi="pl-PL"/>
          <w14:ligatures w14:val="none"/>
        </w:rPr>
        <w:t xml:space="preserve"> r.).</w:t>
      </w:r>
    </w:p>
    <w:p w14:paraId="5EB64EBF" w14:textId="78E9DF7B"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Nie dokonano oceny OSR w trybie § 32 uchwały nr 190 Rady Ministrów z dnia 29</w:t>
      </w:r>
      <w:r w:rsidR="008E20AA" w:rsidRPr="008A0E40">
        <w:rPr>
          <w:rFonts w:ascii="Times New Roman" w:eastAsia="Times New Roman" w:hAnsi="Times New Roman" w:cs="Times New Roman"/>
          <w:color w:val="000000"/>
          <w:kern w:val="0"/>
          <w:lang w:eastAsia="pl-PL" w:bidi="pl-PL"/>
          <w14:ligatures w14:val="none"/>
        </w:rPr>
        <w:t> </w:t>
      </w:r>
      <w:r w:rsidRPr="008A0E40">
        <w:rPr>
          <w:rFonts w:ascii="Times New Roman" w:eastAsia="Times New Roman" w:hAnsi="Times New Roman" w:cs="Times New Roman"/>
          <w:color w:val="000000"/>
          <w:kern w:val="0"/>
          <w:lang w:eastAsia="pl-PL" w:bidi="pl-PL"/>
          <w14:ligatures w14:val="none"/>
        </w:rPr>
        <w:t>października 2013 r. – Regulamin pracy Rady Ministrów.</w:t>
      </w:r>
    </w:p>
    <w:p w14:paraId="12F7E9FA"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Nie ma możliwości podjęcia alternatywnych środków umożliwiających osiągnięcie zamierzonego celu.</w:t>
      </w:r>
    </w:p>
    <w:p w14:paraId="4BD7E793" w14:textId="77777777" w:rsidR="009F169D" w:rsidRPr="008A0E40" w:rsidRDefault="009F169D" w:rsidP="0075467F">
      <w:pPr>
        <w:widowControl w:val="0"/>
        <w:spacing w:before="120" w:after="0" w:line="360" w:lineRule="auto"/>
        <w:ind w:firstLine="720"/>
        <w:jc w:val="both"/>
        <w:rPr>
          <w:rFonts w:ascii="Times New Roman" w:eastAsia="Times New Roman" w:hAnsi="Times New Roman" w:cs="Times New Roman"/>
          <w:color w:val="000000"/>
          <w:kern w:val="0"/>
          <w:lang w:eastAsia="pl-PL" w:bidi="pl-PL"/>
          <w14:ligatures w14:val="none"/>
        </w:rPr>
      </w:pPr>
      <w:r w:rsidRPr="008A0E40">
        <w:rPr>
          <w:rFonts w:ascii="Times New Roman" w:eastAsia="Times New Roman" w:hAnsi="Times New Roman" w:cs="Times New Roman"/>
          <w:color w:val="000000"/>
          <w:kern w:val="0"/>
          <w:lang w:eastAsia="pl-PL" w:bidi="pl-PL"/>
          <w14:ligatures w14:val="none"/>
        </w:rPr>
        <w:t>Wejście w życie ustawy nie będzie miało negatywnego wpływu na konkurencyjność gospodarki i przedsiębiorczość, w tym na funkcjonowanie przedsiębiorstw, jak również nie będzie miało negatywnego wpływu na sytuację i rozwój regionalny.</w:t>
      </w:r>
    </w:p>
    <w:sectPr w:rsidR="009F169D" w:rsidRPr="008A0E40" w:rsidSect="0075467F">
      <w:footerReference w:type="defaul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D21F" w14:textId="77777777" w:rsidR="0060139A" w:rsidRDefault="0060139A" w:rsidP="009F169D">
      <w:pPr>
        <w:spacing w:after="0" w:line="240" w:lineRule="auto"/>
      </w:pPr>
      <w:r>
        <w:separator/>
      </w:r>
    </w:p>
  </w:endnote>
  <w:endnote w:type="continuationSeparator" w:id="0">
    <w:p w14:paraId="5DF162F8" w14:textId="77777777" w:rsidR="0060139A" w:rsidRDefault="0060139A" w:rsidP="009F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96495"/>
      <w:docPartObj>
        <w:docPartGallery w:val="Page Numbers (Bottom of Page)"/>
        <w:docPartUnique/>
      </w:docPartObj>
    </w:sdtPr>
    <w:sdtEndPr>
      <w:rPr>
        <w:rFonts w:ascii="Times New Roman" w:hAnsi="Times New Roman" w:cs="Times New Roman"/>
      </w:rPr>
    </w:sdtEndPr>
    <w:sdtContent>
      <w:p w14:paraId="7CFED6E7" w14:textId="0A033FD6" w:rsidR="009F169D" w:rsidRPr="008A0E40" w:rsidRDefault="008A0E40" w:rsidP="008A0E40">
        <w:pPr>
          <w:pStyle w:val="Stopka"/>
          <w:jc w:val="center"/>
          <w:rPr>
            <w:rFonts w:ascii="Times New Roman" w:hAnsi="Times New Roman" w:cs="Times New Roman"/>
          </w:rPr>
        </w:pPr>
        <w:r w:rsidRPr="008A0E40">
          <w:rPr>
            <w:rFonts w:ascii="Times New Roman" w:hAnsi="Times New Roman" w:cs="Times New Roman"/>
          </w:rPr>
          <w:fldChar w:fldCharType="begin"/>
        </w:r>
        <w:r w:rsidRPr="008A0E40">
          <w:rPr>
            <w:rFonts w:ascii="Times New Roman" w:hAnsi="Times New Roman" w:cs="Times New Roman"/>
          </w:rPr>
          <w:instrText>PAGE   \* MERGEFORMAT</w:instrText>
        </w:r>
        <w:r w:rsidRPr="008A0E40">
          <w:rPr>
            <w:rFonts w:ascii="Times New Roman" w:hAnsi="Times New Roman" w:cs="Times New Roman"/>
          </w:rPr>
          <w:fldChar w:fldCharType="separate"/>
        </w:r>
        <w:r w:rsidRPr="008A0E40">
          <w:rPr>
            <w:rFonts w:ascii="Times New Roman" w:hAnsi="Times New Roman" w:cs="Times New Roman"/>
          </w:rPr>
          <w:t>2</w:t>
        </w:r>
        <w:r w:rsidRPr="008A0E4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2E9B" w14:textId="77777777" w:rsidR="0060139A" w:rsidRDefault="0060139A" w:rsidP="009F169D">
      <w:pPr>
        <w:spacing w:after="0" w:line="240" w:lineRule="auto"/>
      </w:pPr>
      <w:r>
        <w:separator/>
      </w:r>
    </w:p>
  </w:footnote>
  <w:footnote w:type="continuationSeparator" w:id="0">
    <w:p w14:paraId="54582BE3" w14:textId="77777777" w:rsidR="0060139A" w:rsidRDefault="0060139A" w:rsidP="009F1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AC8"/>
    <w:multiLevelType w:val="multilevel"/>
    <w:tmpl w:val="DF7A07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7126B"/>
    <w:multiLevelType w:val="multilevel"/>
    <w:tmpl w:val="9702C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EB16DD"/>
    <w:multiLevelType w:val="multilevel"/>
    <w:tmpl w:val="879A9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4B727E"/>
    <w:multiLevelType w:val="hybridMultilevel"/>
    <w:tmpl w:val="162E4C98"/>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4" w15:restartNumberingAfterBreak="0">
    <w:nsid w:val="3F585838"/>
    <w:multiLevelType w:val="multilevel"/>
    <w:tmpl w:val="52085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051374"/>
    <w:multiLevelType w:val="multilevel"/>
    <w:tmpl w:val="1882948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87C90"/>
    <w:multiLevelType w:val="multilevel"/>
    <w:tmpl w:val="D5E077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14921">
    <w:abstractNumId w:val="4"/>
  </w:num>
  <w:num w:numId="2" w16cid:durableId="879829938">
    <w:abstractNumId w:val="0"/>
  </w:num>
  <w:num w:numId="3" w16cid:durableId="914783016">
    <w:abstractNumId w:val="1"/>
  </w:num>
  <w:num w:numId="4" w16cid:durableId="1805539478">
    <w:abstractNumId w:val="6"/>
  </w:num>
  <w:num w:numId="5" w16cid:durableId="735249539">
    <w:abstractNumId w:val="5"/>
  </w:num>
  <w:num w:numId="6" w16cid:durableId="1664435234">
    <w:abstractNumId w:val="2"/>
  </w:num>
  <w:num w:numId="7" w16cid:durableId="143066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9D"/>
    <w:rsid w:val="00001ABF"/>
    <w:rsid w:val="00002B14"/>
    <w:rsid w:val="00007BF9"/>
    <w:rsid w:val="000230B9"/>
    <w:rsid w:val="00042A71"/>
    <w:rsid w:val="000447C1"/>
    <w:rsid w:val="0005343B"/>
    <w:rsid w:val="00057173"/>
    <w:rsid w:val="0006401F"/>
    <w:rsid w:val="000763E3"/>
    <w:rsid w:val="00076FE0"/>
    <w:rsid w:val="00086012"/>
    <w:rsid w:val="000943B8"/>
    <w:rsid w:val="000B0A01"/>
    <w:rsid w:val="000B2422"/>
    <w:rsid w:val="000D71DD"/>
    <w:rsid w:val="00120D68"/>
    <w:rsid w:val="001434E9"/>
    <w:rsid w:val="00145FFB"/>
    <w:rsid w:val="001566DA"/>
    <w:rsid w:val="00196673"/>
    <w:rsid w:val="001A44A4"/>
    <w:rsid w:val="001A4D17"/>
    <w:rsid w:val="001D1115"/>
    <w:rsid w:val="001E0CB3"/>
    <w:rsid w:val="001E0D19"/>
    <w:rsid w:val="001E783D"/>
    <w:rsid w:val="001F07E6"/>
    <w:rsid w:val="001F56CD"/>
    <w:rsid w:val="001F5F7D"/>
    <w:rsid w:val="001F7BCE"/>
    <w:rsid w:val="00210C35"/>
    <w:rsid w:val="00217E0A"/>
    <w:rsid w:val="0022655E"/>
    <w:rsid w:val="00240D0D"/>
    <w:rsid w:val="00244786"/>
    <w:rsid w:val="00245F17"/>
    <w:rsid w:val="00271E6A"/>
    <w:rsid w:val="002742A6"/>
    <w:rsid w:val="00285CC2"/>
    <w:rsid w:val="002972CD"/>
    <w:rsid w:val="002A0A7D"/>
    <w:rsid w:val="002A7F80"/>
    <w:rsid w:val="002D2411"/>
    <w:rsid w:val="002E72D4"/>
    <w:rsid w:val="00300FC5"/>
    <w:rsid w:val="003051EF"/>
    <w:rsid w:val="00312636"/>
    <w:rsid w:val="00313BE3"/>
    <w:rsid w:val="003218F3"/>
    <w:rsid w:val="003239C1"/>
    <w:rsid w:val="00330C61"/>
    <w:rsid w:val="00353E81"/>
    <w:rsid w:val="00355B18"/>
    <w:rsid w:val="00362064"/>
    <w:rsid w:val="00397B9E"/>
    <w:rsid w:val="003A366C"/>
    <w:rsid w:val="003B0483"/>
    <w:rsid w:val="003D095B"/>
    <w:rsid w:val="003D5B50"/>
    <w:rsid w:val="003E1158"/>
    <w:rsid w:val="003F0DCE"/>
    <w:rsid w:val="003F28E0"/>
    <w:rsid w:val="003F5E42"/>
    <w:rsid w:val="003F7E11"/>
    <w:rsid w:val="00407959"/>
    <w:rsid w:val="00424560"/>
    <w:rsid w:val="004309BF"/>
    <w:rsid w:val="00437CBF"/>
    <w:rsid w:val="00437E96"/>
    <w:rsid w:val="00442407"/>
    <w:rsid w:val="0045560D"/>
    <w:rsid w:val="004667A1"/>
    <w:rsid w:val="0047103C"/>
    <w:rsid w:val="00497554"/>
    <w:rsid w:val="0049768A"/>
    <w:rsid w:val="004B77E2"/>
    <w:rsid w:val="004B7CDB"/>
    <w:rsid w:val="004C2907"/>
    <w:rsid w:val="004C53FF"/>
    <w:rsid w:val="004D15C3"/>
    <w:rsid w:val="004E7E82"/>
    <w:rsid w:val="004F0BCB"/>
    <w:rsid w:val="004F0EC9"/>
    <w:rsid w:val="004F249F"/>
    <w:rsid w:val="00503165"/>
    <w:rsid w:val="005268F5"/>
    <w:rsid w:val="00534729"/>
    <w:rsid w:val="00543AAB"/>
    <w:rsid w:val="0057740D"/>
    <w:rsid w:val="005828B4"/>
    <w:rsid w:val="00582C67"/>
    <w:rsid w:val="0059656C"/>
    <w:rsid w:val="005A07C2"/>
    <w:rsid w:val="005A2070"/>
    <w:rsid w:val="005A3341"/>
    <w:rsid w:val="005B7004"/>
    <w:rsid w:val="005C4E29"/>
    <w:rsid w:val="005D007C"/>
    <w:rsid w:val="005D2F3A"/>
    <w:rsid w:val="005E23A2"/>
    <w:rsid w:val="005F7EE4"/>
    <w:rsid w:val="0060139A"/>
    <w:rsid w:val="00606B87"/>
    <w:rsid w:val="00607E87"/>
    <w:rsid w:val="00624AC1"/>
    <w:rsid w:val="00634907"/>
    <w:rsid w:val="00660D0B"/>
    <w:rsid w:val="00670272"/>
    <w:rsid w:val="00684B0E"/>
    <w:rsid w:val="00686E90"/>
    <w:rsid w:val="0069220D"/>
    <w:rsid w:val="006C5B51"/>
    <w:rsid w:val="006F7B70"/>
    <w:rsid w:val="00705688"/>
    <w:rsid w:val="0070590C"/>
    <w:rsid w:val="0071150D"/>
    <w:rsid w:val="00713B22"/>
    <w:rsid w:val="0071647D"/>
    <w:rsid w:val="00723898"/>
    <w:rsid w:val="00723D9C"/>
    <w:rsid w:val="00724EBF"/>
    <w:rsid w:val="00725D32"/>
    <w:rsid w:val="00726B8F"/>
    <w:rsid w:val="0075467F"/>
    <w:rsid w:val="00756E58"/>
    <w:rsid w:val="0079109D"/>
    <w:rsid w:val="007C11F4"/>
    <w:rsid w:val="007C4432"/>
    <w:rsid w:val="007C4A97"/>
    <w:rsid w:val="007E3A18"/>
    <w:rsid w:val="007F3968"/>
    <w:rsid w:val="00801122"/>
    <w:rsid w:val="008079B9"/>
    <w:rsid w:val="00821E07"/>
    <w:rsid w:val="00843626"/>
    <w:rsid w:val="00845FF4"/>
    <w:rsid w:val="0084774C"/>
    <w:rsid w:val="00852152"/>
    <w:rsid w:val="008564F6"/>
    <w:rsid w:val="00861BFA"/>
    <w:rsid w:val="008654AE"/>
    <w:rsid w:val="00876479"/>
    <w:rsid w:val="00877723"/>
    <w:rsid w:val="00880EC2"/>
    <w:rsid w:val="008A0E40"/>
    <w:rsid w:val="008C2219"/>
    <w:rsid w:val="008D4483"/>
    <w:rsid w:val="008E20AA"/>
    <w:rsid w:val="008F6CC9"/>
    <w:rsid w:val="00901D79"/>
    <w:rsid w:val="0090411C"/>
    <w:rsid w:val="00905E7F"/>
    <w:rsid w:val="00906DCE"/>
    <w:rsid w:val="00916FE5"/>
    <w:rsid w:val="00917CED"/>
    <w:rsid w:val="00940701"/>
    <w:rsid w:val="00941138"/>
    <w:rsid w:val="00943E93"/>
    <w:rsid w:val="00945CDD"/>
    <w:rsid w:val="00945FEB"/>
    <w:rsid w:val="009476FF"/>
    <w:rsid w:val="009542CF"/>
    <w:rsid w:val="00966EF4"/>
    <w:rsid w:val="00980C19"/>
    <w:rsid w:val="00985446"/>
    <w:rsid w:val="009976D9"/>
    <w:rsid w:val="009A1478"/>
    <w:rsid w:val="009A435F"/>
    <w:rsid w:val="009A72EF"/>
    <w:rsid w:val="009B2EDE"/>
    <w:rsid w:val="009B4AA1"/>
    <w:rsid w:val="009D0DBB"/>
    <w:rsid w:val="009D198A"/>
    <w:rsid w:val="009D28CA"/>
    <w:rsid w:val="009E32F1"/>
    <w:rsid w:val="009F08EE"/>
    <w:rsid w:val="009F096E"/>
    <w:rsid w:val="009F169D"/>
    <w:rsid w:val="009F4775"/>
    <w:rsid w:val="009F6B23"/>
    <w:rsid w:val="00A02629"/>
    <w:rsid w:val="00A05C52"/>
    <w:rsid w:val="00A11772"/>
    <w:rsid w:val="00A1306B"/>
    <w:rsid w:val="00A21C17"/>
    <w:rsid w:val="00A236E3"/>
    <w:rsid w:val="00A26983"/>
    <w:rsid w:val="00A6035C"/>
    <w:rsid w:val="00A83AB8"/>
    <w:rsid w:val="00AB5FFE"/>
    <w:rsid w:val="00AC0084"/>
    <w:rsid w:val="00AC7946"/>
    <w:rsid w:val="00AF3562"/>
    <w:rsid w:val="00B142B2"/>
    <w:rsid w:val="00B302B5"/>
    <w:rsid w:val="00B42D22"/>
    <w:rsid w:val="00B63A7F"/>
    <w:rsid w:val="00B71F4E"/>
    <w:rsid w:val="00B7386D"/>
    <w:rsid w:val="00B802CB"/>
    <w:rsid w:val="00B8342C"/>
    <w:rsid w:val="00B9495F"/>
    <w:rsid w:val="00BA2722"/>
    <w:rsid w:val="00BA2A0B"/>
    <w:rsid w:val="00BA2E78"/>
    <w:rsid w:val="00BA3022"/>
    <w:rsid w:val="00BA555E"/>
    <w:rsid w:val="00BE0054"/>
    <w:rsid w:val="00BF4B5C"/>
    <w:rsid w:val="00C2145F"/>
    <w:rsid w:val="00C3001D"/>
    <w:rsid w:val="00C34042"/>
    <w:rsid w:val="00C837ED"/>
    <w:rsid w:val="00C83AE0"/>
    <w:rsid w:val="00C97EDE"/>
    <w:rsid w:val="00CA2607"/>
    <w:rsid w:val="00CA3F07"/>
    <w:rsid w:val="00CB4BEA"/>
    <w:rsid w:val="00CB7199"/>
    <w:rsid w:val="00CC10A2"/>
    <w:rsid w:val="00CD0693"/>
    <w:rsid w:val="00CE1C50"/>
    <w:rsid w:val="00CE226C"/>
    <w:rsid w:val="00D066A7"/>
    <w:rsid w:val="00D21243"/>
    <w:rsid w:val="00D262ED"/>
    <w:rsid w:val="00D53B58"/>
    <w:rsid w:val="00D60477"/>
    <w:rsid w:val="00D61FC1"/>
    <w:rsid w:val="00D6287C"/>
    <w:rsid w:val="00DA197D"/>
    <w:rsid w:val="00DB1E01"/>
    <w:rsid w:val="00DB2C54"/>
    <w:rsid w:val="00DB31A1"/>
    <w:rsid w:val="00DC2C09"/>
    <w:rsid w:val="00DC6DF3"/>
    <w:rsid w:val="00DC7061"/>
    <w:rsid w:val="00DF5FA4"/>
    <w:rsid w:val="00E01835"/>
    <w:rsid w:val="00E056D8"/>
    <w:rsid w:val="00E12B8B"/>
    <w:rsid w:val="00E27C7D"/>
    <w:rsid w:val="00E67137"/>
    <w:rsid w:val="00E7029B"/>
    <w:rsid w:val="00E70930"/>
    <w:rsid w:val="00E84D18"/>
    <w:rsid w:val="00E9656B"/>
    <w:rsid w:val="00E965DB"/>
    <w:rsid w:val="00EA3491"/>
    <w:rsid w:val="00EB1BEB"/>
    <w:rsid w:val="00EB2013"/>
    <w:rsid w:val="00EC3796"/>
    <w:rsid w:val="00ED089E"/>
    <w:rsid w:val="00ED396D"/>
    <w:rsid w:val="00ED551F"/>
    <w:rsid w:val="00F02A11"/>
    <w:rsid w:val="00F15EA8"/>
    <w:rsid w:val="00F27F9E"/>
    <w:rsid w:val="00F332BB"/>
    <w:rsid w:val="00F352D7"/>
    <w:rsid w:val="00F362C1"/>
    <w:rsid w:val="00F460D9"/>
    <w:rsid w:val="00F50C4F"/>
    <w:rsid w:val="00F65A5C"/>
    <w:rsid w:val="00F65B3D"/>
    <w:rsid w:val="00F72C42"/>
    <w:rsid w:val="00F7358B"/>
    <w:rsid w:val="00F760E4"/>
    <w:rsid w:val="00F856C0"/>
    <w:rsid w:val="00FA42EE"/>
    <w:rsid w:val="00FA7F70"/>
    <w:rsid w:val="00FD0285"/>
    <w:rsid w:val="00FD2D17"/>
    <w:rsid w:val="00FE4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46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169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169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169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169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169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169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169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169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169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169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169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169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16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16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16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169D"/>
    <w:rPr>
      <w:rFonts w:eastAsiaTheme="majorEastAsia" w:cstheme="majorBidi"/>
      <w:color w:val="272727" w:themeColor="text1" w:themeTint="D8"/>
    </w:rPr>
  </w:style>
  <w:style w:type="paragraph" w:styleId="Tytu">
    <w:name w:val="Title"/>
    <w:basedOn w:val="Normalny"/>
    <w:next w:val="Normalny"/>
    <w:link w:val="TytuZnak"/>
    <w:uiPriority w:val="10"/>
    <w:qFormat/>
    <w:rsid w:val="009F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16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169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16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169D"/>
    <w:pPr>
      <w:spacing w:before="160"/>
      <w:jc w:val="center"/>
    </w:pPr>
    <w:rPr>
      <w:i/>
      <w:iCs/>
      <w:color w:val="404040" w:themeColor="text1" w:themeTint="BF"/>
    </w:rPr>
  </w:style>
  <w:style w:type="character" w:customStyle="1" w:styleId="CytatZnak">
    <w:name w:val="Cytat Znak"/>
    <w:basedOn w:val="Domylnaczcionkaakapitu"/>
    <w:link w:val="Cytat"/>
    <w:uiPriority w:val="29"/>
    <w:rsid w:val="009F169D"/>
    <w:rPr>
      <w:i/>
      <w:iCs/>
      <w:color w:val="404040" w:themeColor="text1" w:themeTint="BF"/>
    </w:rPr>
  </w:style>
  <w:style w:type="paragraph" w:styleId="Akapitzlist">
    <w:name w:val="List Paragraph"/>
    <w:basedOn w:val="Normalny"/>
    <w:uiPriority w:val="34"/>
    <w:qFormat/>
    <w:rsid w:val="009F169D"/>
    <w:pPr>
      <w:ind w:left="720"/>
      <w:contextualSpacing/>
    </w:pPr>
  </w:style>
  <w:style w:type="character" w:styleId="Wyrnienieintensywne">
    <w:name w:val="Intense Emphasis"/>
    <w:basedOn w:val="Domylnaczcionkaakapitu"/>
    <w:uiPriority w:val="21"/>
    <w:qFormat/>
    <w:rsid w:val="009F169D"/>
    <w:rPr>
      <w:i/>
      <w:iCs/>
      <w:color w:val="0F4761" w:themeColor="accent1" w:themeShade="BF"/>
    </w:rPr>
  </w:style>
  <w:style w:type="paragraph" w:styleId="Cytatintensywny">
    <w:name w:val="Intense Quote"/>
    <w:basedOn w:val="Normalny"/>
    <w:next w:val="Normalny"/>
    <w:link w:val="CytatintensywnyZnak"/>
    <w:uiPriority w:val="30"/>
    <w:qFormat/>
    <w:rsid w:val="009F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169D"/>
    <w:rPr>
      <w:i/>
      <w:iCs/>
      <w:color w:val="0F4761" w:themeColor="accent1" w:themeShade="BF"/>
    </w:rPr>
  </w:style>
  <w:style w:type="character" w:styleId="Odwoanieintensywne">
    <w:name w:val="Intense Reference"/>
    <w:basedOn w:val="Domylnaczcionkaakapitu"/>
    <w:uiPriority w:val="32"/>
    <w:qFormat/>
    <w:rsid w:val="009F169D"/>
    <w:rPr>
      <w:b/>
      <w:bCs/>
      <w:smallCaps/>
      <w:color w:val="0F4761" w:themeColor="accent1" w:themeShade="BF"/>
      <w:spacing w:val="5"/>
    </w:rPr>
  </w:style>
  <w:style w:type="character" w:customStyle="1" w:styleId="Teksttreci">
    <w:name w:val="Tekst treści_"/>
    <w:basedOn w:val="Domylnaczcionkaakapitu"/>
    <w:link w:val="Teksttreci0"/>
    <w:rsid w:val="009F169D"/>
    <w:rPr>
      <w:rFonts w:ascii="Times New Roman" w:eastAsia="Times New Roman" w:hAnsi="Times New Roman" w:cs="Times New Roman"/>
    </w:rPr>
  </w:style>
  <w:style w:type="paragraph" w:customStyle="1" w:styleId="Teksttreci0">
    <w:name w:val="Tekst treści"/>
    <w:basedOn w:val="Normalny"/>
    <w:link w:val="Teksttreci"/>
    <w:rsid w:val="009F169D"/>
    <w:pPr>
      <w:widowControl w:val="0"/>
      <w:spacing w:after="0" w:line="360" w:lineRule="auto"/>
      <w:ind w:firstLine="400"/>
    </w:pPr>
    <w:rPr>
      <w:rFonts w:ascii="Times New Roman" w:eastAsia="Times New Roman" w:hAnsi="Times New Roman" w:cs="Times New Roman"/>
    </w:rPr>
  </w:style>
  <w:style w:type="paragraph" w:styleId="Nagwek">
    <w:name w:val="header"/>
    <w:basedOn w:val="Normalny"/>
    <w:link w:val="NagwekZnak"/>
    <w:uiPriority w:val="99"/>
    <w:unhideWhenUsed/>
    <w:rsid w:val="009F16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169D"/>
  </w:style>
  <w:style w:type="paragraph" w:styleId="Stopka">
    <w:name w:val="footer"/>
    <w:basedOn w:val="Normalny"/>
    <w:link w:val="StopkaZnak"/>
    <w:uiPriority w:val="99"/>
    <w:unhideWhenUsed/>
    <w:rsid w:val="009F16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169D"/>
  </w:style>
  <w:style w:type="paragraph" w:styleId="Poprawka">
    <w:name w:val="Revision"/>
    <w:hidden/>
    <w:uiPriority w:val="99"/>
    <w:semiHidden/>
    <w:rsid w:val="00DB1E01"/>
    <w:pPr>
      <w:spacing w:after="0" w:line="240" w:lineRule="auto"/>
    </w:pPr>
  </w:style>
  <w:style w:type="paragraph" w:styleId="Tekstprzypisukocowego">
    <w:name w:val="endnote text"/>
    <w:basedOn w:val="Normalny"/>
    <w:link w:val="TekstprzypisukocowegoZnak"/>
    <w:uiPriority w:val="99"/>
    <w:semiHidden/>
    <w:unhideWhenUsed/>
    <w:rsid w:val="006F7B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7B70"/>
    <w:rPr>
      <w:sz w:val="20"/>
      <w:szCs w:val="20"/>
    </w:rPr>
  </w:style>
  <w:style w:type="character" w:styleId="Odwoanieprzypisukocowego">
    <w:name w:val="endnote reference"/>
    <w:basedOn w:val="Domylnaczcionkaakapitu"/>
    <w:uiPriority w:val="99"/>
    <w:semiHidden/>
    <w:unhideWhenUsed/>
    <w:rsid w:val="006F7B70"/>
    <w:rPr>
      <w:vertAlign w:val="superscript"/>
    </w:rPr>
  </w:style>
  <w:style w:type="paragraph" w:styleId="Tekstprzypisudolnego">
    <w:name w:val="footnote text"/>
    <w:basedOn w:val="Normalny"/>
    <w:link w:val="TekstprzypisudolnegoZnak"/>
    <w:uiPriority w:val="99"/>
    <w:semiHidden/>
    <w:unhideWhenUsed/>
    <w:rsid w:val="00B302B5"/>
    <w:pPr>
      <w:spacing w:after="0" w:line="240" w:lineRule="auto"/>
    </w:pPr>
    <w:rPr>
      <w:rFonts w:eastAsiaTheme="minorEastAsia"/>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B302B5"/>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B302B5"/>
    <w:rPr>
      <w:vertAlign w:val="superscript"/>
    </w:rPr>
  </w:style>
  <w:style w:type="character" w:styleId="Odwoaniedokomentarza">
    <w:name w:val="annotation reference"/>
    <w:basedOn w:val="Domylnaczcionkaakapitu"/>
    <w:uiPriority w:val="99"/>
    <w:semiHidden/>
    <w:unhideWhenUsed/>
    <w:rsid w:val="002A0A7D"/>
    <w:rPr>
      <w:sz w:val="16"/>
      <w:szCs w:val="16"/>
    </w:rPr>
  </w:style>
  <w:style w:type="paragraph" w:styleId="Tekstkomentarza">
    <w:name w:val="annotation text"/>
    <w:basedOn w:val="Normalny"/>
    <w:link w:val="TekstkomentarzaZnak"/>
    <w:uiPriority w:val="99"/>
    <w:unhideWhenUsed/>
    <w:rsid w:val="002A0A7D"/>
    <w:pPr>
      <w:spacing w:line="240" w:lineRule="auto"/>
    </w:pPr>
    <w:rPr>
      <w:sz w:val="20"/>
      <w:szCs w:val="20"/>
    </w:rPr>
  </w:style>
  <w:style w:type="character" w:customStyle="1" w:styleId="TekstkomentarzaZnak">
    <w:name w:val="Tekst komentarza Znak"/>
    <w:basedOn w:val="Domylnaczcionkaakapitu"/>
    <w:link w:val="Tekstkomentarza"/>
    <w:uiPriority w:val="99"/>
    <w:rsid w:val="002A0A7D"/>
    <w:rPr>
      <w:sz w:val="20"/>
      <w:szCs w:val="20"/>
    </w:rPr>
  </w:style>
  <w:style w:type="paragraph" w:styleId="Tematkomentarza">
    <w:name w:val="annotation subject"/>
    <w:basedOn w:val="Tekstkomentarza"/>
    <w:next w:val="Tekstkomentarza"/>
    <w:link w:val="TematkomentarzaZnak"/>
    <w:uiPriority w:val="99"/>
    <w:semiHidden/>
    <w:unhideWhenUsed/>
    <w:rsid w:val="002A0A7D"/>
    <w:rPr>
      <w:b/>
      <w:bCs/>
    </w:rPr>
  </w:style>
  <w:style w:type="character" w:customStyle="1" w:styleId="TematkomentarzaZnak">
    <w:name w:val="Temat komentarza Znak"/>
    <w:basedOn w:val="TekstkomentarzaZnak"/>
    <w:link w:val="Tematkomentarza"/>
    <w:uiPriority w:val="99"/>
    <w:semiHidden/>
    <w:rsid w:val="002A0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1752">
      <w:bodyDiv w:val="1"/>
      <w:marLeft w:val="0"/>
      <w:marRight w:val="0"/>
      <w:marTop w:val="0"/>
      <w:marBottom w:val="0"/>
      <w:divBdr>
        <w:top w:val="none" w:sz="0" w:space="0" w:color="auto"/>
        <w:left w:val="none" w:sz="0" w:space="0" w:color="auto"/>
        <w:bottom w:val="none" w:sz="0" w:space="0" w:color="auto"/>
        <w:right w:val="none" w:sz="0" w:space="0" w:color="auto"/>
      </w:divBdr>
    </w:div>
    <w:div w:id="168062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4253</Words>
  <Characters>25518</Characters>
  <Application>Microsoft Office Word</Application>
  <DocSecurity>4</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2026-06-11T07:05:00Z</dcterms:created>
  <dcterms:modified xsi:type="dcterms:W3CDTF">2026-06-11T07:05:00Z</dcterms:modified>
</cp:coreProperties>
</file>