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68A9" w14:textId="41DED1D0" w:rsidR="0042306A" w:rsidRPr="0042306A" w:rsidRDefault="0042306A" w:rsidP="0091250F">
      <w:pPr>
        <w:pStyle w:val="OZNRODZAKTUtznustawalubrozporzdzenieiorganwydajcy"/>
        <w:spacing w:after="0"/>
        <w:ind w:left="7080"/>
        <w:rPr>
          <w:rFonts w:ascii="Times New Roman" w:hAnsi="Times New Roman"/>
          <w:b w:val="0"/>
          <w:bCs w:val="0"/>
          <w:i/>
          <w:iCs/>
        </w:rPr>
      </w:pPr>
      <w:r w:rsidRPr="0042306A">
        <w:rPr>
          <w:rFonts w:ascii="Times New Roman" w:hAnsi="Times New Roman"/>
          <w:b w:val="0"/>
          <w:bCs w:val="0"/>
          <w:i/>
          <w:iCs/>
        </w:rPr>
        <w:t>projekt</w:t>
      </w:r>
    </w:p>
    <w:p w14:paraId="7A03CF04" w14:textId="77777777" w:rsidR="0042306A" w:rsidRPr="0042306A" w:rsidRDefault="0042306A" w:rsidP="0091250F">
      <w:pPr>
        <w:pStyle w:val="OZNRODZAKTUtznustawalubrozporzdzenieiorganwydajcy"/>
        <w:spacing w:after="0"/>
        <w:jc w:val="both"/>
        <w:rPr>
          <w:rFonts w:ascii="Times New Roman" w:hAnsi="Times New Roman"/>
        </w:rPr>
      </w:pPr>
    </w:p>
    <w:p w14:paraId="7F29D26C" w14:textId="77777777" w:rsidR="0042306A" w:rsidRPr="0042306A" w:rsidRDefault="0042306A" w:rsidP="0091250F">
      <w:pPr>
        <w:pStyle w:val="OZNRODZAKTUtznustawalubrozporzdzenieiorganwydajcy"/>
        <w:spacing w:after="0"/>
        <w:rPr>
          <w:rFonts w:ascii="Times New Roman" w:hAnsi="Times New Roman"/>
        </w:rPr>
      </w:pPr>
      <w:r w:rsidRPr="0042306A">
        <w:rPr>
          <w:rFonts w:ascii="Times New Roman" w:hAnsi="Times New Roman"/>
        </w:rPr>
        <w:t>UStawa</w:t>
      </w:r>
    </w:p>
    <w:p w14:paraId="5027818F" w14:textId="02CAD271" w:rsidR="0042306A" w:rsidRPr="0091250F" w:rsidRDefault="0042306A" w:rsidP="0091250F">
      <w:pPr>
        <w:pStyle w:val="DATAAKTUdatauchwalenialubwydaniaaktu"/>
        <w:spacing w:before="0" w:after="0"/>
        <w:rPr>
          <w:rFonts w:ascii="Times New Roman" w:hAnsi="Times New Roman" w:cs="Times New Roman"/>
          <w:b/>
          <w:bCs w:val="0"/>
        </w:rPr>
      </w:pPr>
      <w:r w:rsidRPr="0091250F">
        <w:rPr>
          <w:rFonts w:ascii="Times New Roman" w:hAnsi="Times New Roman" w:cs="Times New Roman"/>
          <w:b/>
          <w:bCs w:val="0"/>
        </w:rPr>
        <w:t>z dnia ………………</w:t>
      </w:r>
      <w:r w:rsidR="0091250F" w:rsidRPr="0091250F">
        <w:rPr>
          <w:rFonts w:ascii="Times New Roman" w:hAnsi="Times New Roman" w:cs="Times New Roman"/>
          <w:b/>
          <w:bCs w:val="0"/>
        </w:rPr>
        <w:t>2026r.</w:t>
      </w:r>
    </w:p>
    <w:p w14:paraId="7EC00F6D" w14:textId="1F530D07" w:rsidR="0042306A" w:rsidRDefault="0042306A" w:rsidP="0091250F">
      <w:pPr>
        <w:pStyle w:val="DATAAKTUdatauchwalenialubwydaniaaktu"/>
        <w:spacing w:before="0" w:after="0"/>
        <w:rPr>
          <w:rFonts w:ascii="Times New Roman" w:hAnsi="Times New Roman" w:cs="Times New Roman"/>
          <w:b/>
          <w:bCs w:val="0"/>
        </w:rPr>
      </w:pPr>
      <w:r w:rsidRPr="0042306A">
        <w:rPr>
          <w:rFonts w:ascii="Times New Roman" w:hAnsi="Times New Roman" w:cs="Times New Roman"/>
          <w:b/>
          <w:bCs w:val="0"/>
        </w:rPr>
        <w:t>o zmianie ustawy o ochronie konkurencji i konsumentów</w:t>
      </w:r>
    </w:p>
    <w:p w14:paraId="7CDF3DEF" w14:textId="77777777" w:rsidR="0091250F" w:rsidRPr="0091250F" w:rsidRDefault="0091250F" w:rsidP="0091250F">
      <w:pPr>
        <w:rPr>
          <w:lang w:eastAsia="pl-PL"/>
        </w:rPr>
      </w:pPr>
    </w:p>
    <w:p w14:paraId="178D4266" w14:textId="77777777" w:rsidR="0091250F" w:rsidRDefault="0042306A" w:rsidP="0091250F">
      <w:pPr>
        <w:spacing w:after="0" w:line="360" w:lineRule="auto"/>
        <w:jc w:val="center"/>
        <w:rPr>
          <w:rFonts w:ascii="Times New Roman" w:hAnsi="Times New Roman" w:cs="Times New Roman"/>
          <w:b/>
          <w:bCs/>
        </w:rPr>
      </w:pPr>
      <w:r w:rsidRPr="0042306A">
        <w:rPr>
          <w:rFonts w:ascii="Times New Roman" w:hAnsi="Times New Roman" w:cs="Times New Roman"/>
          <w:b/>
          <w:bCs/>
        </w:rPr>
        <w:t>Art. 1.</w:t>
      </w:r>
    </w:p>
    <w:p w14:paraId="505BB1B4" w14:textId="2138FE8D"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W ustawie z dnia 16 lutego 2007 r. o ochronie konkurencji i konsumentów (Dz.U. z 2025 r. poz. 1714) wprowadza się następujące zmiany:</w:t>
      </w:r>
    </w:p>
    <w:p w14:paraId="68BD1643" w14:textId="77777777"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1) w art. 4 po pkt 10 dodaje się pkt 10a w brzmieniu:</w:t>
      </w:r>
    </w:p>
    <w:p w14:paraId="760377C9" w14:textId="228A233E" w:rsid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„10</w:t>
      </w:r>
      <w:r w:rsidR="0091250F">
        <w:rPr>
          <w:rFonts w:ascii="Times New Roman" w:hAnsi="Times New Roman" w:cs="Times New Roman"/>
        </w:rPr>
        <w:t>a</w:t>
      </w:r>
      <w:r w:rsidRPr="0042306A">
        <w:rPr>
          <w:rFonts w:ascii="Times New Roman" w:hAnsi="Times New Roman" w:cs="Times New Roman"/>
        </w:rPr>
        <w:t>) względnej pozycji dominującej - rozumie się przez to pozycję przedsiębiorcy, w której posiada on przewagę kontraktową wobec innego przedsiębiorcy, który jest od niego zależny; domniemywa się, że przewaga kontraktowa występuje pomiędzy przedsiębiorcami, jeżeli istnieje między nimi znacząca dysproporcja w potencjale ekonomicznym;”;</w:t>
      </w:r>
    </w:p>
    <w:p w14:paraId="6FE1D1F3" w14:textId="77777777" w:rsidR="0091250F" w:rsidRPr="0042306A" w:rsidRDefault="0091250F" w:rsidP="0091250F">
      <w:pPr>
        <w:spacing w:after="0" w:line="360" w:lineRule="auto"/>
        <w:jc w:val="both"/>
        <w:rPr>
          <w:rFonts w:ascii="Times New Roman" w:hAnsi="Times New Roman" w:cs="Times New Roman"/>
        </w:rPr>
      </w:pPr>
    </w:p>
    <w:p w14:paraId="7E175D11" w14:textId="77777777"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2) po art. 9a dodaje się art. 9b w brzmieniu:</w:t>
      </w:r>
    </w:p>
    <w:p w14:paraId="032580BF" w14:textId="77777777"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„Art. 9b.1. Zakazane jest nadużywanie względnej pozycji dominującej przez jednego lub kilku przedsiębiorców wobec przedsiębiorców, którzy są od nich zależni.</w:t>
      </w:r>
    </w:p>
    <w:p w14:paraId="7FB6B82D" w14:textId="5069BA86"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2. Nadużywanie względnej pozycji dominującej polega w szczególności na:</w:t>
      </w:r>
    </w:p>
    <w:p w14:paraId="5524A7D4" w14:textId="2B1CBCAF"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1) bezpośrednim lub pośrednim narzucaniu nieuczciwych cen, w tym cen nadmiernie wygórowanych albo rażąco niskich, odległych terminów płatności lub innych warunków zakupu albo sprzedaży towarów;</w:t>
      </w:r>
    </w:p>
    <w:p w14:paraId="1AE673DF" w14:textId="7206BDBD"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2) ograniczeniu produkcji, zbytu lub postępu technicznego ze szkodą dla kontrahentów lub konsumentów;</w:t>
      </w:r>
    </w:p>
    <w:p w14:paraId="65F192A0" w14:textId="1B61AACD"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3) stosowaniu w podobnych umowach z osobami trzecimi uciążliwych lub niejednolitych warunków umów, stwarzających tym osobom zróżnicowane warunki konkurencji;</w:t>
      </w:r>
    </w:p>
    <w:p w14:paraId="457EA32C" w14:textId="387BD352"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4) uzależnianiu zawarcia umowy od przyjęcia lub spełnienia przez drugą stronę innego świadczenia, niemającego rzeczowego ani zwyczajowego związku z przedmiotem umowy;</w:t>
      </w:r>
    </w:p>
    <w:p w14:paraId="7E91064A" w14:textId="5D590C9A"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5) narzucaniu przez przedsiębiorcę uciążliwych warunków umów, przynoszących mu nieuzasadnione korzyści;</w:t>
      </w:r>
    </w:p>
    <w:p w14:paraId="6F2A89E5" w14:textId="4F52080D" w:rsidR="0042306A" w:rsidRPr="0042306A" w:rsidRDefault="0091250F" w:rsidP="0091250F">
      <w:pPr>
        <w:spacing w:after="0" w:line="360" w:lineRule="auto"/>
        <w:jc w:val="both"/>
        <w:rPr>
          <w:rFonts w:ascii="Times New Roman" w:hAnsi="Times New Roman" w:cs="Times New Roman"/>
        </w:rPr>
      </w:pPr>
      <w:r>
        <w:rPr>
          <w:rFonts w:ascii="Times New Roman" w:hAnsi="Times New Roman" w:cs="Times New Roman"/>
        </w:rPr>
        <w:t>6</w:t>
      </w:r>
      <w:r w:rsidR="0042306A" w:rsidRPr="0042306A">
        <w:rPr>
          <w:rFonts w:ascii="Times New Roman" w:hAnsi="Times New Roman" w:cs="Times New Roman"/>
        </w:rPr>
        <w:t>) jednostronnej zmianie przez nabywcę warunków umowy bez ważnej przyczyny wskazanej w tej umowie;</w:t>
      </w:r>
    </w:p>
    <w:p w14:paraId="420F345F" w14:textId="6FCA791D" w:rsidR="0042306A" w:rsidRPr="0042306A" w:rsidRDefault="0091250F" w:rsidP="0091250F">
      <w:pPr>
        <w:spacing w:after="0" w:line="360" w:lineRule="auto"/>
        <w:jc w:val="both"/>
        <w:rPr>
          <w:rFonts w:ascii="Times New Roman" w:hAnsi="Times New Roman" w:cs="Times New Roman"/>
        </w:rPr>
      </w:pPr>
      <w:r>
        <w:rPr>
          <w:rFonts w:ascii="Times New Roman" w:hAnsi="Times New Roman" w:cs="Times New Roman"/>
        </w:rPr>
        <w:lastRenderedPageBreak/>
        <w:t>7</w:t>
      </w:r>
      <w:r w:rsidR="0042306A" w:rsidRPr="0042306A">
        <w:rPr>
          <w:rFonts w:ascii="Times New Roman" w:hAnsi="Times New Roman" w:cs="Times New Roman"/>
        </w:rPr>
        <w:t>) grożeniu podjęciem handlowych działań odwetowych lub podejmowaniu takich działań przeciwko kontrahentowi, jeżeli ten korzysta z praw przysługujących mu na mocy umowy lub przepisów prawa.</w:t>
      </w:r>
    </w:p>
    <w:p w14:paraId="07878884" w14:textId="08FE33F2"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3. Zależność między przedsiębiorcami występuje w szczególności, jeżeli przedsiębiorca jest zmuszony do zawarcia umowy z przedsiębiorcą posiadającym przewagę kontraktową albo zawarcie umowy z innym przedsiębiorcą byłoby dla niego nadmiernie uciążliwe.</w:t>
      </w:r>
    </w:p>
    <w:p w14:paraId="41936464" w14:textId="098C1B06" w:rsidR="0015204B"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4. Czynności prawne będące przejawem nadużywania względnej pozycji dominującej są w całości lub w odpowiedniej części nieważne.”</w:t>
      </w:r>
    </w:p>
    <w:p w14:paraId="09479AB1" w14:textId="77777777" w:rsidR="0091250F" w:rsidRPr="0042306A" w:rsidRDefault="0091250F" w:rsidP="0091250F">
      <w:pPr>
        <w:spacing w:after="0" w:line="360" w:lineRule="auto"/>
        <w:jc w:val="both"/>
        <w:rPr>
          <w:rFonts w:ascii="Times New Roman" w:hAnsi="Times New Roman" w:cs="Times New Roman"/>
        </w:rPr>
      </w:pPr>
    </w:p>
    <w:p w14:paraId="225BCCB8" w14:textId="77777777" w:rsidR="0091250F" w:rsidRDefault="0042306A" w:rsidP="0091250F">
      <w:pPr>
        <w:spacing w:after="0" w:line="360" w:lineRule="auto"/>
        <w:jc w:val="center"/>
        <w:rPr>
          <w:rFonts w:ascii="Times New Roman" w:hAnsi="Times New Roman" w:cs="Times New Roman"/>
          <w:b/>
          <w:bCs/>
        </w:rPr>
      </w:pPr>
      <w:r w:rsidRPr="0042306A">
        <w:rPr>
          <w:rFonts w:ascii="Times New Roman" w:hAnsi="Times New Roman" w:cs="Times New Roman"/>
          <w:b/>
          <w:bCs/>
        </w:rPr>
        <w:t>Art. 2.</w:t>
      </w:r>
    </w:p>
    <w:p w14:paraId="09AE1055" w14:textId="36C96B3D" w:rsidR="0042306A" w:rsidRPr="0091250F" w:rsidRDefault="0042306A" w:rsidP="0091250F">
      <w:pPr>
        <w:spacing w:after="0" w:line="360" w:lineRule="auto"/>
        <w:jc w:val="both"/>
        <w:rPr>
          <w:rFonts w:ascii="Times New Roman" w:hAnsi="Times New Roman" w:cs="Times New Roman"/>
          <w:b/>
          <w:bCs/>
        </w:rPr>
      </w:pPr>
      <w:r w:rsidRPr="0042306A">
        <w:rPr>
          <w:rFonts w:ascii="Times New Roman" w:hAnsi="Times New Roman" w:cs="Times New Roman"/>
        </w:rPr>
        <w:t>Ustawa wchodzi w życie po upływie 3 miesięcy od dnia ogłoszenia.</w:t>
      </w:r>
    </w:p>
    <w:p w14:paraId="067CDCBE" w14:textId="77777777"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br w:type="page"/>
      </w:r>
    </w:p>
    <w:p w14:paraId="594A53BE" w14:textId="1A1A3379" w:rsidR="0042306A" w:rsidRDefault="0042306A" w:rsidP="0091250F">
      <w:pPr>
        <w:spacing w:after="0" w:line="360" w:lineRule="auto"/>
        <w:jc w:val="center"/>
        <w:rPr>
          <w:rFonts w:ascii="Times New Roman" w:hAnsi="Times New Roman" w:cs="Times New Roman"/>
          <w:b/>
          <w:bCs/>
        </w:rPr>
      </w:pPr>
      <w:r w:rsidRPr="0042306A">
        <w:rPr>
          <w:rFonts w:ascii="Times New Roman" w:hAnsi="Times New Roman" w:cs="Times New Roman"/>
          <w:b/>
          <w:bCs/>
        </w:rPr>
        <w:lastRenderedPageBreak/>
        <w:t>Uzasadnienie</w:t>
      </w:r>
    </w:p>
    <w:p w14:paraId="3F72823F" w14:textId="77777777" w:rsidR="0091250F" w:rsidRPr="0042306A" w:rsidRDefault="0091250F" w:rsidP="0091250F">
      <w:pPr>
        <w:spacing w:after="0" w:line="360" w:lineRule="auto"/>
        <w:jc w:val="center"/>
        <w:rPr>
          <w:rFonts w:ascii="Times New Roman" w:hAnsi="Times New Roman" w:cs="Times New Roman"/>
          <w:b/>
          <w:bCs/>
        </w:rPr>
      </w:pPr>
    </w:p>
    <w:p w14:paraId="300B8393" w14:textId="772214FF"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Celem przedmiotowego projektu ustawy jest rozwiązanie problemów strukturalnej nierównowagi kontraktowej pomiędzy przedsiębiorcami, w szczególności w relacjach, w których jeden przedsiębiorca posiada istotną przewagę ekonomiczną i kontraktową wobec drugiego przedsiębiorcy, który jest od niego zależny. Zawarte w projekcie propozycje zmian w przepisach stanowić mają uzupełnienie aktualnie obowiązujących i stosowanych przez UOKiK przepisów regulujących kwestię nadużywania pozycji dominującej.</w:t>
      </w:r>
    </w:p>
    <w:p w14:paraId="1A0B32A5" w14:textId="718C5F56"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W szczególności należy wskazać na fakt, że istnieje luka w prawie materialnym - art. 102 TFUE i krajowe przepisy o zakazie nadużywania pozycji dominującej (art. 9. ustawy o ochronie konkurencji i konsumentów – dalej „ustawa okik”) nie obejmują wielu sytuacji uzależnienia słabszych kontrahentów od przedsiębiorstw posiadających znaczącą przewagę kontraktową, ale nie posiadających pozycji dominującej. To uzależnienie może być wykorzystywane w sposób prowadzący do ograniczenia efektywnej konkurencji poprzez praktyki eksploatacyjne (polegające np. na uzyskiwaniu monopolistycznych marż kosztem słabszych kontrahentów) lub wykluczające (ograniczające dostęp do czynników produkcji lub rynków zbytu / klientów), ze szkodą dla konsumentów i łącznego dobrobytu.</w:t>
      </w:r>
    </w:p>
    <w:p w14:paraId="0E9CC73F" w14:textId="31326B3E"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 xml:space="preserve">Dodatkowym problemem związanym ze stosowaniem art. 102 TFUE i art. 9 ustawy okik jest długi czas postępowań przed Prezesem Urzędu Ochrony Konkurencji i Konsumentów (dalej: „Prezes UOKiK”) oraz przed Sądem Ochrony Konkurencji i Konsumentów (dalej: „SOKiK”), a także skomplikowany charakter spraw (wymagane jest zdefiniowane rynku właściwego oraz ustalenie czy podmiot posiada pozycję dominującą, co bardzo często wymaga złożonych analiz ekonomicznych i zgromadzenia obszernych dowodów), co w efekcie może skutkować rezygnacją części podmiotów doświadczających antykonkurencyjnych praktyk z dochodzenia swoich praw. </w:t>
      </w:r>
    </w:p>
    <w:p w14:paraId="6F8EF147" w14:textId="7648ECE2"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 xml:space="preserve">Występuje również problem z dochodzeniem roszczeń cywilnych przez podmioty uzależnione od silniejszego kontrahenta w przypadku powstania sporu. W szczególności słabszy przedsiębiorca może rezygnować z dochodzenia swoich praw z powodu zależności, kosztów, ryzyka odwetu lub utraty relacji handlowej. W niektórych przypadkach słabszy podmiot może rezygnować ze ścieżki sądowej powodu niskich oczekiwanych szans na wygraną z powodu istniejącej luki w prawie materialnym, jeśli podstawą roszczeń są antykonkurencyjne zachowania silniejszego partnera (np. eksploatacyjne lub wykluczające). </w:t>
      </w:r>
    </w:p>
    <w:p w14:paraId="61D047A4" w14:textId="66B47F41"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 xml:space="preserve">Dotychczasowe doświadczenia wskazują, że samoregulacja nie jest skutecznym rozwiązaniem wskazanego problemu. Przykładem jest rynek najmu powierzchni w centrach handlowych, </w:t>
      </w:r>
      <w:r w:rsidRPr="0042306A">
        <w:rPr>
          <w:rFonts w:ascii="Times New Roman" w:hAnsi="Times New Roman" w:cs="Times New Roman"/>
        </w:rPr>
        <w:lastRenderedPageBreak/>
        <w:t>gdzie dotychczas podejmowane próby samoregulacji oraz istniejące instrumenty prawne nie rozwiązały w sposób systemowy i skuteczny problemu strukturalnej nierównowagi stron tych umów. Warto też podkreślić, że ustawodawca uznał, samoregulacja nie jest wystarczającym i skutecznym alternatywnym rozwiązaniem chroniącym słabszych kontrahentów, dlatego zdecydował się na uregulowanie problemu nadużywania pozycji dominującej, zgodnie z obowiązującą ustawą okik.</w:t>
      </w:r>
    </w:p>
    <w:p w14:paraId="6A43957C" w14:textId="3582C2D8"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 xml:space="preserve">Podsumowując, istnieje zatem obiektywna luka pomiędzy ‘klasycznym’ zakazem nadużywania pozycji dominującej a realiami relacji gospodarczych, w których silniejszy przedsiębiorca nie musi być dominantem na rynku właściwym, aby móc narzucać uzależnionym od niego kontrahentom warunki zagrażające jego zdolności konkurowania. W szczególności może nie być dominantem na całym rynku, ale może posiadać faktyczną przewagę wobec konkretnej kategorii kontrahentów, np. lokalnych dostawców, podwykonawców, mniejszych producentów lub firm zależnych od jednego kanału dystrybucji. Doświadczenia Niemiec, Francji i Włoch pokazują, że ustawodawcy krajowi wprowadzali takie przepisy właśnie po to, aby objąć sytuacje antykonkurencyjnego wykorzystywania zależności ekonomicznej, których klasyczny art. 102 TFUE i krajowe przepisy nie obejmują albo standard dowodowy jest na tyle złożony, że w praktyce poszkodowana strona nie może dochodzić swoich praw w rozsądnym okresie czasu. </w:t>
      </w:r>
    </w:p>
    <w:p w14:paraId="2414EE8E" w14:textId="7479B753"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 xml:space="preserve">Ogólnie ujmując, nieuczciwe praktyki związane z nadużywaniem zależności ekonomicznej wywierają presję na zyski i marże słabszych podmiotów gospodarczych, co może w konsekwencji prowadzić do niewłaściwej alokacji zasobów, a nawet spowodować wyparcie z rynku podmiotów, które w przeciwnym razie byłyby rentowne i konkurencyjne. Najbardziej wyrazistym przejawem omawianego problemu nierównowagi kontraktowej, mogącej prowadzić do antykonkurencynych praktyk są sektory lub rynki, gdzie istnieją wysokie korzyści z tytułu renty ekonomicznej, znacznie przewyższające koszt podaży np. rynek nieruchomości, rynek centrów handlowych, rynek hoteli i condo-hoteli (tzw. renta gruntowa lub renta geograficzna), rynki wydobycia surowców naturalnych czy rynki cyfrowe (tzw. renta cyfrowa, związana z platformami i gromadzeniem unikalnych danych o użytkownikach).  Kolejne przykłady takiej strukturalnej nierównowagi i zależności to relacje gospodarcze oparte na umowach franczyzowych, problemy z jakimi borykają się krajowe media  w relacjach z globalnymi korporacjami typu Big Tech czy też relacje pomiędzy dealerami samochodów, a ich importerami czy producentami. </w:t>
      </w:r>
    </w:p>
    <w:p w14:paraId="52107D93" w14:textId="77777777"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 xml:space="preserve">Projektowane rozwiązanie należy oceniać w szerszym kontekście struktury polskiej gospodarki, w której bardzo istotną rolę odgrywają mikro, małe i średnie przedsiębiorstwa. </w:t>
      </w:r>
      <w:r w:rsidRPr="0042306A">
        <w:rPr>
          <w:rFonts w:ascii="Times New Roman" w:hAnsi="Times New Roman" w:cs="Times New Roman"/>
        </w:rPr>
        <w:lastRenderedPageBreak/>
        <w:t xml:space="preserve">Według danych PARP sektor MŚP generuje ok. 45,3% PKB, a przedsiębiorstwa ogółem wytwarzają ok. 67,9% PKB . Oznacza to, że niemal co druga złotówka wartości dodanej w gospodarce jest tworzona przez MŚP, które stanowią podstawę zatrudnienia i zwłaszcza podstawę lokalnej aktywności i odporności gospodarczej. </w:t>
      </w:r>
    </w:p>
    <w:p w14:paraId="5DAE4EE3" w14:textId="77777777" w:rsidR="0042306A" w:rsidRPr="0042306A" w:rsidRDefault="0042306A" w:rsidP="0091250F">
      <w:pPr>
        <w:spacing w:after="0" w:line="360" w:lineRule="auto"/>
        <w:jc w:val="both"/>
        <w:rPr>
          <w:rFonts w:ascii="Times New Roman" w:hAnsi="Times New Roman" w:cs="Times New Roman"/>
        </w:rPr>
      </w:pPr>
    </w:p>
    <w:p w14:paraId="5FCC42C6" w14:textId="7C7AE9B4"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Znaczenie MŚP jest szczególnie widoczne w strukturze przedsiębiorstw niefinansowych. W 2023 r. w Polsce działało ok. 2,3 mln przedsiębiorstw niefinansowych, z czego ok. 2,24 mln stanowiły mikroprzedsiębiorstwa. Taka struktura oznacza, że zdecydowana większość podmiotów działających na rynku ma ograniczone zasoby organizacyjne, finansowe i prawne w porównaniu z największymi kontrahentami. Jednocześnie polska gospodarka pozostaje gospodarką silnie umiędzynarodowioną, w której duże znaczenie mają przedsiębiorstwa z kapitałem zagranicznym. Udział inwestorów zagranicznych jest ważnym źródłem kapitału, technologii, eksportu i integracji Polski z globalnymi łańcuchami wartości, ale równocześnie wzmacnia potrzebę zapewnienia krajowym przedsiębiorstwom realnej możliwości konkurowania i uczestnictwa w tych łańcuchach na uczciwych warunkach.</w:t>
      </w:r>
    </w:p>
    <w:p w14:paraId="75D82E4F" w14:textId="126496A7"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Z perspektywy polityki gospodarczej państwa szczególnego znaczenia nabiera obecnie zwiększanie udziału krajowych przedsiębiorstw w strategicznych inwestycjach oraz krajowych łańcuchach wartości. Rządowy projekt „Local Content. Z korzyścią dla Polski” został przedstawiony jako koncepcja wspierająca krajowy przemysł, krajowe firmy i „repolonizację” gospodarki, w szczególności przez zwiększanie udziału polskich dostawców w dużych projektach inwestycyjnych. Projektowana regulacja dotycząca nadużywania względnej pozycji dominującej wpisuje się w ten kierunek polityki gospodarczej, ale jej uzasadnienie opiera się na bardziej uniwersalnej przesłance: potrzebie zapewnienia, aby przedsiębiorstwa zależne ekonomicznie — w praktyce często MŚP, lokalni dostawcy, podwykonawcy, dystrybutorzy lub użytkownicy platform — mogły uczestniczyć w rynku na warunkach pozwalających im efektywnie konkurować, inwestować i rozwijać własne kompetencje. Albowiem problemem nie jest samo istnienie dużych przedsiębiorstw, lecz możliwość nadużywania przewagi w relacjach, w których druga strona nie ma realnej alternatywy rynkowej.</w:t>
      </w:r>
    </w:p>
    <w:p w14:paraId="123BB33E" w14:textId="37F44CAD"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 xml:space="preserve">Proponowane rozwiązanie polega na nowelizacji ustawy o ochronie konkurencji i konsumentów. </w:t>
      </w:r>
    </w:p>
    <w:p w14:paraId="27010B76" w14:textId="322E51AE"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 xml:space="preserve">Ustawa okik ma charakter publicznoprawny. Jej celem nie jest rozstrzyganie indywidualnych sporów gospodarczych między przedsiębiorcami, lecz ochrona konkurencji, konsumentów oraz prawidłowego funkcjonowania rynku jako mechanizmu. Wynika to już z art. 1 ust. 1 ustawy </w:t>
      </w:r>
      <w:r w:rsidRPr="0042306A">
        <w:rPr>
          <w:rFonts w:ascii="Times New Roman" w:hAnsi="Times New Roman" w:cs="Times New Roman"/>
        </w:rPr>
        <w:lastRenderedPageBreak/>
        <w:t>okik, zgodnie z którym ustawa określa warunki rozwoju i ochrony konkurencji oraz zasady podejmowanej w interesie publicznym ochrony interesów przedsiębiorców i konsumentów.</w:t>
      </w:r>
    </w:p>
    <w:p w14:paraId="12486714" w14:textId="43FC13E2"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W ustawie okik wprowadzone zostanie nowe pojęcie „względnej pozycji dominującej” oraz zakaz jej nadużywania wraz z otwartym katalogiem stanowiącym przykłady nadużywania takiej pozycji m.in. narzucanie nieuczciwych cen lub innych warunków umownych, stosowanie uciążliwych lub niejednolitych warunków umów, jednostronną zmianę warunków umowy bez ważnej przyczyny oraz grożenie działaniami odwetowymi wobec kontrahenta korzystającego z przysługujących mu praw.</w:t>
      </w:r>
    </w:p>
    <w:p w14:paraId="6D5D85FC" w14:textId="360048F8"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 xml:space="preserve">Projektowane przepisy będą pełnić funkcję uzupełniającą wobec ‘klasycznego’ zakazu nadużywania pozycji dominującej. </w:t>
      </w:r>
    </w:p>
    <w:p w14:paraId="35AC23E1" w14:textId="24934860"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 xml:space="preserve">Na podstawie doświadczeń innych krajów UE zakłada się, że główny mechanizm wpływu proponowanych przepisów polega na stworzeniu istotnego bodźca do przeglądu i zmiany praktyk rynkowych przez podmioty posiadające znaczącą siłę ekonomiczną wobec swoich kontrahentów (działania compliance). Istotne znaczenie będzie miało edukowanie rynku i tzw. wystąpienia miękkie ze strony Prezesa UOKiK. W związku z powyższym (zakładając odpowiednie dostosowanie po stronie rynku) oraz koniecznością wykazania interesu publicznego, liczba postępowań prowadzonych przez Prezesa UOKiK na podstawie proponowanych przepisów powinna być ograniczona (tzn. wynosić około kilkanaście spraw rocznie). </w:t>
      </w:r>
    </w:p>
    <w:p w14:paraId="37F1B136" w14:textId="414C4073" w:rsidR="0042306A" w:rsidRP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 xml:space="preserve">Bez zmian regulacyjnych nie jest możliwe, aby doszło do samoistnego (tj. w oparciu o rynkowe mechanizmy) procesu zwiększenia konkurencji na wielu rynkach i ograniczenia nierównowagi ekonomicznej stron. Istnieje wiele dowodów, że samoregulacje i sektorowe kodeksy dobrych praktyk nie są efektywnym rozwiązaniem problemów wynikających z ograniczonej konkurencji, gdyż nie tworzą wiarygodnego mechanizmu odstraszającego przed podejmowaniem zyskownych, ale antykonkurencyjnych praktyk. </w:t>
      </w:r>
    </w:p>
    <w:p w14:paraId="6D24D49D" w14:textId="4E283264" w:rsidR="0042306A" w:rsidRDefault="0042306A" w:rsidP="0091250F">
      <w:pPr>
        <w:spacing w:after="0" w:line="360" w:lineRule="auto"/>
        <w:jc w:val="both"/>
        <w:rPr>
          <w:rFonts w:ascii="Times New Roman" w:hAnsi="Times New Roman" w:cs="Times New Roman"/>
        </w:rPr>
      </w:pPr>
      <w:r w:rsidRPr="0042306A">
        <w:rPr>
          <w:rFonts w:ascii="Times New Roman" w:hAnsi="Times New Roman" w:cs="Times New Roman"/>
        </w:rPr>
        <w:t>Istnieje także ryzyko, że intensywność konkurencji na wielu rynkach będzie słabnąć, wskutek rosnącej ich koncentracji i siły kontraktowej wybranych przedsiębiorców. Skutki ograniczonej konkurencji są ostatecznie ponoszone przez konsumentów np. w formie wyższych cen za dobra i usługi. Dodatkowo, kosztem społecznym ograniczonej konkurencji rozumianej jako proces jest osłabienie bodźców dla rozwoju przedsiębiorczości i mniej efektywny rynek pracy – gdyż słabsze podmioty, jeśli nie mogą efektywnie konkurować na rynkach sprzedaży, to tym bardziej nie mogą konkurować o pracowników.</w:t>
      </w:r>
    </w:p>
    <w:p w14:paraId="1950AE8E" w14:textId="61B6D99B" w:rsidR="0091250F" w:rsidRDefault="0091250F" w:rsidP="0091250F">
      <w:pPr>
        <w:spacing w:after="0" w:line="360" w:lineRule="auto"/>
        <w:jc w:val="both"/>
        <w:rPr>
          <w:rFonts w:ascii="Times New Roman" w:hAnsi="Times New Roman" w:cs="Times New Roman"/>
        </w:rPr>
      </w:pPr>
      <w:r>
        <w:rPr>
          <w:rFonts w:ascii="Times New Roman" w:hAnsi="Times New Roman" w:cs="Times New Roman"/>
        </w:rPr>
        <w:t>Projekt ustawy jest zgodny z prawem Unii Europejskiej.</w:t>
      </w:r>
    </w:p>
    <w:p w14:paraId="6FDCE020" w14:textId="445AFAF0" w:rsidR="0091250F" w:rsidRPr="0042306A" w:rsidRDefault="0091250F" w:rsidP="0091250F">
      <w:pPr>
        <w:spacing w:after="0" w:line="360" w:lineRule="auto"/>
        <w:jc w:val="both"/>
        <w:rPr>
          <w:rFonts w:ascii="Times New Roman" w:hAnsi="Times New Roman" w:cs="Times New Roman"/>
        </w:rPr>
      </w:pPr>
      <w:r>
        <w:rPr>
          <w:rFonts w:ascii="Times New Roman" w:hAnsi="Times New Roman" w:cs="Times New Roman"/>
        </w:rPr>
        <w:lastRenderedPageBreak/>
        <w:t>Projekt ustawy nie powoduje negatywnych konsekwencji dla budżetu państwa oraz budżetów jednostek samorządu terytorialnego</w:t>
      </w:r>
    </w:p>
    <w:p w14:paraId="5031D8F9" w14:textId="5DD108A3" w:rsidR="00463528" w:rsidRDefault="00463528" w:rsidP="00463528">
      <w:pPr>
        <w:spacing w:after="0" w:line="360" w:lineRule="auto"/>
        <w:jc w:val="both"/>
        <w:rPr>
          <w:rFonts w:ascii="Times New Roman" w:hAnsi="Times New Roman" w:cs="Times New Roman"/>
        </w:rPr>
      </w:pPr>
      <w:r w:rsidRPr="00463528">
        <w:rPr>
          <w:rFonts w:ascii="Times New Roman" w:hAnsi="Times New Roman" w:cs="Times New Roman"/>
        </w:rPr>
        <w:t xml:space="preserve">Projekt </w:t>
      </w:r>
      <w:r>
        <w:rPr>
          <w:rFonts w:ascii="Times New Roman" w:hAnsi="Times New Roman" w:cs="Times New Roman"/>
        </w:rPr>
        <w:t>ustawy wpływa</w:t>
      </w:r>
      <w:r w:rsidRPr="00463528">
        <w:rPr>
          <w:rFonts w:ascii="Times New Roman" w:hAnsi="Times New Roman" w:cs="Times New Roman"/>
        </w:rPr>
        <w:t xml:space="preserve"> na ogólne warunki</w:t>
      </w:r>
      <w:r>
        <w:rPr>
          <w:rFonts w:ascii="Times New Roman" w:hAnsi="Times New Roman" w:cs="Times New Roman"/>
        </w:rPr>
        <w:t xml:space="preserve"> </w:t>
      </w:r>
      <w:r w:rsidRPr="00463528">
        <w:rPr>
          <w:rFonts w:ascii="Times New Roman" w:hAnsi="Times New Roman" w:cs="Times New Roman"/>
        </w:rPr>
        <w:t>prowadzenia działalności gospodarczej w relacjach kontraktowych, w których występuje znacząca asymetria siły negocjacyjnej. Pozytywnym skutkiem może być większa przewidywalność współpracy gospodarczej, ograniczenie arbitralnych praktyk silniejszych</w:t>
      </w:r>
      <w:r>
        <w:rPr>
          <w:rFonts w:ascii="Times New Roman" w:hAnsi="Times New Roman" w:cs="Times New Roman"/>
        </w:rPr>
        <w:t xml:space="preserve"> </w:t>
      </w:r>
      <w:r w:rsidRPr="00463528">
        <w:rPr>
          <w:rFonts w:ascii="Times New Roman" w:hAnsi="Times New Roman" w:cs="Times New Roman"/>
        </w:rPr>
        <w:t>kontrahentów oraz poprawa stabilności łańcuchów dostaw. Po stronie kosztów mogą wystąpić koszty dostosowawcze po stronie części przedsiębiorców, szczególności związane z przeglądem wzorców</w:t>
      </w:r>
      <w:r>
        <w:rPr>
          <w:rFonts w:ascii="Times New Roman" w:hAnsi="Times New Roman" w:cs="Times New Roman"/>
        </w:rPr>
        <w:t xml:space="preserve"> </w:t>
      </w:r>
      <w:r w:rsidRPr="00463528">
        <w:rPr>
          <w:rFonts w:ascii="Times New Roman" w:hAnsi="Times New Roman" w:cs="Times New Roman"/>
        </w:rPr>
        <w:t>umownych,</w:t>
      </w:r>
      <w:r>
        <w:rPr>
          <w:rFonts w:ascii="Times New Roman" w:hAnsi="Times New Roman" w:cs="Times New Roman"/>
        </w:rPr>
        <w:t xml:space="preserve"> </w:t>
      </w:r>
      <w:r w:rsidRPr="00463528">
        <w:rPr>
          <w:rFonts w:ascii="Times New Roman" w:hAnsi="Times New Roman" w:cs="Times New Roman"/>
        </w:rPr>
        <w:t>procedur</w:t>
      </w:r>
      <w:r>
        <w:rPr>
          <w:rFonts w:ascii="Times New Roman" w:hAnsi="Times New Roman" w:cs="Times New Roman"/>
        </w:rPr>
        <w:t xml:space="preserve"> </w:t>
      </w:r>
      <w:r w:rsidRPr="00463528">
        <w:rPr>
          <w:rFonts w:ascii="Times New Roman" w:hAnsi="Times New Roman" w:cs="Times New Roman"/>
        </w:rPr>
        <w:t>zakupowych,</w:t>
      </w:r>
      <w:r>
        <w:rPr>
          <w:rFonts w:ascii="Times New Roman" w:hAnsi="Times New Roman" w:cs="Times New Roman"/>
        </w:rPr>
        <w:t xml:space="preserve"> </w:t>
      </w:r>
      <w:r w:rsidRPr="00463528">
        <w:rPr>
          <w:rFonts w:ascii="Times New Roman" w:hAnsi="Times New Roman" w:cs="Times New Roman"/>
        </w:rPr>
        <w:t>sprzedażowych</w:t>
      </w:r>
      <w:r>
        <w:rPr>
          <w:rFonts w:ascii="Times New Roman" w:hAnsi="Times New Roman" w:cs="Times New Roman"/>
        </w:rPr>
        <w:t xml:space="preserve"> </w:t>
      </w:r>
      <w:r w:rsidRPr="00463528">
        <w:rPr>
          <w:rFonts w:ascii="Times New Roman" w:hAnsi="Times New Roman" w:cs="Times New Roman"/>
        </w:rPr>
        <w:t>i</w:t>
      </w:r>
      <w:r>
        <w:rPr>
          <w:rFonts w:ascii="Times New Roman" w:hAnsi="Times New Roman" w:cs="Times New Roman"/>
        </w:rPr>
        <w:t xml:space="preserve"> </w:t>
      </w:r>
      <w:r w:rsidRPr="00463528">
        <w:rPr>
          <w:rFonts w:ascii="Times New Roman" w:hAnsi="Times New Roman" w:cs="Times New Roman"/>
        </w:rPr>
        <w:t>compliance. Skutki te mają charakter pośredni i zależą od praktyki stosowania przepisów. Per saldo, projekt będzie pozytywnie wpływał na konkurencję w gospodarce</w:t>
      </w:r>
      <w:r>
        <w:rPr>
          <w:rFonts w:ascii="Times New Roman" w:hAnsi="Times New Roman" w:cs="Times New Roman"/>
        </w:rPr>
        <w:t>.</w:t>
      </w:r>
    </w:p>
    <w:p w14:paraId="75D46A9D" w14:textId="16E8817A" w:rsidR="00463528" w:rsidRPr="00463528" w:rsidRDefault="00463528" w:rsidP="00463528">
      <w:pPr>
        <w:spacing w:after="0" w:line="360" w:lineRule="auto"/>
        <w:jc w:val="both"/>
        <w:rPr>
          <w:rFonts w:ascii="Times New Roman" w:hAnsi="Times New Roman" w:cs="Times New Roman"/>
        </w:rPr>
      </w:pPr>
      <w:r w:rsidRPr="00463528">
        <w:rPr>
          <w:rFonts w:ascii="Times New Roman" w:hAnsi="Times New Roman" w:cs="Times New Roman"/>
        </w:rPr>
        <w:t>MŚP będą jedną z głównych grup</w:t>
      </w:r>
      <w:r>
        <w:rPr>
          <w:rFonts w:ascii="Times New Roman" w:hAnsi="Times New Roman" w:cs="Times New Roman"/>
        </w:rPr>
        <w:t xml:space="preserve"> p</w:t>
      </w:r>
      <w:r w:rsidRPr="00463528">
        <w:rPr>
          <w:rFonts w:ascii="Times New Roman" w:hAnsi="Times New Roman" w:cs="Times New Roman"/>
        </w:rPr>
        <w:t>otencjalnych beneficjentów regulacji.</w:t>
      </w:r>
      <w:r>
        <w:rPr>
          <w:rFonts w:ascii="Times New Roman" w:hAnsi="Times New Roman" w:cs="Times New Roman"/>
        </w:rPr>
        <w:t xml:space="preserve"> </w:t>
      </w:r>
      <w:r w:rsidRPr="00463528">
        <w:rPr>
          <w:rFonts w:ascii="Times New Roman" w:hAnsi="Times New Roman" w:cs="Times New Roman"/>
        </w:rPr>
        <w:t>Projekt</w:t>
      </w:r>
      <w:r>
        <w:rPr>
          <w:rFonts w:ascii="Times New Roman" w:hAnsi="Times New Roman" w:cs="Times New Roman"/>
        </w:rPr>
        <w:t xml:space="preserve"> </w:t>
      </w:r>
      <w:r w:rsidRPr="00463528">
        <w:rPr>
          <w:rFonts w:ascii="Times New Roman" w:hAnsi="Times New Roman" w:cs="Times New Roman"/>
        </w:rPr>
        <w:t>mo</w:t>
      </w:r>
      <w:r>
        <w:rPr>
          <w:rFonts w:ascii="Times New Roman" w:hAnsi="Times New Roman" w:cs="Times New Roman"/>
        </w:rPr>
        <w:t>ż</w:t>
      </w:r>
      <w:r w:rsidRPr="00463528">
        <w:rPr>
          <w:rFonts w:ascii="Times New Roman" w:hAnsi="Times New Roman" w:cs="Times New Roman"/>
        </w:rPr>
        <w:t>e ograniczyć</w:t>
      </w:r>
      <w:r>
        <w:rPr>
          <w:rFonts w:ascii="Times New Roman" w:hAnsi="Times New Roman" w:cs="Times New Roman"/>
        </w:rPr>
        <w:t xml:space="preserve"> </w:t>
      </w:r>
      <w:r w:rsidRPr="00463528">
        <w:rPr>
          <w:rFonts w:ascii="Times New Roman" w:hAnsi="Times New Roman" w:cs="Times New Roman"/>
        </w:rPr>
        <w:t>ryzyko</w:t>
      </w:r>
      <w:r>
        <w:rPr>
          <w:rFonts w:ascii="Times New Roman" w:hAnsi="Times New Roman" w:cs="Times New Roman"/>
        </w:rPr>
        <w:t xml:space="preserve"> </w:t>
      </w:r>
      <w:r w:rsidRPr="00463528">
        <w:rPr>
          <w:rFonts w:ascii="Times New Roman" w:hAnsi="Times New Roman" w:cs="Times New Roman"/>
        </w:rPr>
        <w:t xml:space="preserve">nadużywania przewagi kontraktowej wobec dostawców, podwykonawców, dystrybutorów, </w:t>
      </w:r>
      <w:r>
        <w:rPr>
          <w:rFonts w:ascii="Times New Roman" w:hAnsi="Times New Roman" w:cs="Times New Roman"/>
        </w:rPr>
        <w:t xml:space="preserve">usługodawców </w:t>
      </w:r>
      <w:r w:rsidRPr="00463528">
        <w:rPr>
          <w:rFonts w:ascii="Times New Roman" w:hAnsi="Times New Roman" w:cs="Times New Roman"/>
        </w:rPr>
        <w:t>u</w:t>
      </w:r>
      <w:r>
        <w:rPr>
          <w:rFonts w:ascii="Times New Roman" w:hAnsi="Times New Roman" w:cs="Times New Roman"/>
        </w:rPr>
        <w:t>ż</w:t>
      </w:r>
      <w:r w:rsidRPr="00463528">
        <w:rPr>
          <w:rFonts w:ascii="Times New Roman" w:hAnsi="Times New Roman" w:cs="Times New Roman"/>
        </w:rPr>
        <w:t>ytkowników platform, którzy są zale</w:t>
      </w:r>
      <w:r>
        <w:rPr>
          <w:rFonts w:ascii="Times New Roman" w:hAnsi="Times New Roman" w:cs="Times New Roman"/>
        </w:rPr>
        <w:t>ż</w:t>
      </w:r>
      <w:r w:rsidRPr="00463528">
        <w:rPr>
          <w:rFonts w:ascii="Times New Roman" w:hAnsi="Times New Roman" w:cs="Times New Roman"/>
        </w:rPr>
        <w:t>ni od kluczowych odbiorców, dostawców, kana</w:t>
      </w:r>
      <w:r>
        <w:rPr>
          <w:rFonts w:ascii="Times New Roman" w:hAnsi="Times New Roman" w:cs="Times New Roman"/>
        </w:rPr>
        <w:t>ł</w:t>
      </w:r>
      <w:r w:rsidRPr="00463528">
        <w:rPr>
          <w:rFonts w:ascii="Times New Roman" w:hAnsi="Times New Roman" w:cs="Times New Roman"/>
        </w:rPr>
        <w:t>ów sprzeda</w:t>
      </w:r>
      <w:r>
        <w:rPr>
          <w:rFonts w:ascii="Times New Roman" w:hAnsi="Times New Roman" w:cs="Times New Roman"/>
        </w:rPr>
        <w:t>ż</w:t>
      </w:r>
      <w:r w:rsidRPr="00463528">
        <w:rPr>
          <w:rFonts w:ascii="Times New Roman" w:hAnsi="Times New Roman" w:cs="Times New Roman"/>
        </w:rPr>
        <w:t>y. Korzyści mogą obejmować większą stabilno</w:t>
      </w:r>
      <w:r>
        <w:rPr>
          <w:rFonts w:ascii="Times New Roman" w:hAnsi="Times New Roman" w:cs="Times New Roman"/>
        </w:rPr>
        <w:t>ś</w:t>
      </w:r>
      <w:r w:rsidRPr="00463528">
        <w:rPr>
          <w:rFonts w:ascii="Times New Roman" w:hAnsi="Times New Roman" w:cs="Times New Roman"/>
        </w:rPr>
        <w:t>ć relacji gospodarczych, ograniczenie</w:t>
      </w:r>
      <w:r>
        <w:rPr>
          <w:rFonts w:ascii="Times New Roman" w:hAnsi="Times New Roman" w:cs="Times New Roman"/>
        </w:rPr>
        <w:t xml:space="preserve"> </w:t>
      </w:r>
      <w:r w:rsidRPr="00463528">
        <w:rPr>
          <w:rFonts w:ascii="Times New Roman" w:hAnsi="Times New Roman" w:cs="Times New Roman"/>
        </w:rPr>
        <w:t>nieuzasadnionego</w:t>
      </w:r>
      <w:r>
        <w:rPr>
          <w:rFonts w:ascii="Times New Roman" w:hAnsi="Times New Roman" w:cs="Times New Roman"/>
        </w:rPr>
        <w:t xml:space="preserve"> </w:t>
      </w:r>
      <w:r w:rsidRPr="00463528">
        <w:rPr>
          <w:rFonts w:ascii="Times New Roman" w:hAnsi="Times New Roman" w:cs="Times New Roman"/>
        </w:rPr>
        <w:t>przerzucania kosztów i ryzyk, poprawę zdolności do inwestowania</w:t>
      </w:r>
      <w:r>
        <w:rPr>
          <w:rFonts w:ascii="Times New Roman" w:hAnsi="Times New Roman" w:cs="Times New Roman"/>
        </w:rPr>
        <w:t xml:space="preserve"> oraz</w:t>
      </w:r>
      <w:r w:rsidRPr="00463528">
        <w:rPr>
          <w:rFonts w:ascii="Times New Roman" w:hAnsi="Times New Roman" w:cs="Times New Roman"/>
        </w:rPr>
        <w:t xml:space="preserve"> skalowania dzia</w:t>
      </w:r>
      <w:r>
        <w:rPr>
          <w:rFonts w:ascii="Times New Roman" w:hAnsi="Times New Roman" w:cs="Times New Roman"/>
        </w:rPr>
        <w:t>ł</w:t>
      </w:r>
      <w:r w:rsidRPr="00463528">
        <w:rPr>
          <w:rFonts w:ascii="Times New Roman" w:hAnsi="Times New Roman" w:cs="Times New Roman"/>
        </w:rPr>
        <w:t>alności</w:t>
      </w:r>
      <w:r>
        <w:rPr>
          <w:rFonts w:ascii="Times New Roman" w:hAnsi="Times New Roman" w:cs="Times New Roman"/>
        </w:rPr>
        <w:t>.</w:t>
      </w:r>
    </w:p>
    <w:p w14:paraId="3A049C54" w14:textId="77777777" w:rsidR="00463528" w:rsidRDefault="00463528" w:rsidP="0091250F">
      <w:pPr>
        <w:spacing w:after="0" w:line="360" w:lineRule="auto"/>
        <w:jc w:val="both"/>
        <w:rPr>
          <w:rFonts w:ascii="Times New Roman" w:hAnsi="Times New Roman" w:cs="Times New Roman"/>
        </w:rPr>
      </w:pPr>
    </w:p>
    <w:p w14:paraId="10195F62" w14:textId="77777777" w:rsidR="00463528" w:rsidRDefault="00463528" w:rsidP="0091250F">
      <w:pPr>
        <w:spacing w:after="0" w:line="360" w:lineRule="auto"/>
        <w:jc w:val="both"/>
        <w:rPr>
          <w:rFonts w:ascii="Times New Roman" w:hAnsi="Times New Roman" w:cs="Times New Roman"/>
        </w:rPr>
      </w:pPr>
    </w:p>
    <w:p w14:paraId="4755A152" w14:textId="77777777" w:rsidR="00463528" w:rsidRDefault="00463528" w:rsidP="0091250F">
      <w:pPr>
        <w:spacing w:after="0" w:line="360" w:lineRule="auto"/>
        <w:jc w:val="both"/>
        <w:rPr>
          <w:rFonts w:ascii="Times New Roman" w:hAnsi="Times New Roman" w:cs="Times New Roman"/>
        </w:rPr>
      </w:pPr>
    </w:p>
    <w:p w14:paraId="09CD186E" w14:textId="77777777" w:rsidR="00463528" w:rsidRPr="0042306A" w:rsidRDefault="00463528" w:rsidP="0091250F">
      <w:pPr>
        <w:spacing w:after="0" w:line="360" w:lineRule="auto"/>
        <w:jc w:val="both"/>
        <w:rPr>
          <w:rFonts w:ascii="Times New Roman" w:hAnsi="Times New Roman" w:cs="Times New Roman"/>
        </w:rPr>
      </w:pPr>
    </w:p>
    <w:sectPr w:rsidR="00463528" w:rsidRPr="004230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1DA7" w14:textId="77777777" w:rsidR="00F67FBD" w:rsidRDefault="00F67FBD" w:rsidP="00632D30">
      <w:pPr>
        <w:spacing w:after="0" w:line="240" w:lineRule="auto"/>
      </w:pPr>
      <w:r>
        <w:separator/>
      </w:r>
    </w:p>
  </w:endnote>
  <w:endnote w:type="continuationSeparator" w:id="0">
    <w:p w14:paraId="14809726" w14:textId="77777777" w:rsidR="00F67FBD" w:rsidRDefault="00F67FBD" w:rsidP="0063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EA28D" w14:textId="77777777" w:rsidR="00F67FBD" w:rsidRDefault="00F67FBD" w:rsidP="00632D30">
      <w:pPr>
        <w:spacing w:after="0" w:line="240" w:lineRule="auto"/>
      </w:pPr>
      <w:r>
        <w:separator/>
      </w:r>
    </w:p>
  </w:footnote>
  <w:footnote w:type="continuationSeparator" w:id="0">
    <w:p w14:paraId="27BF48B5" w14:textId="77777777" w:rsidR="00F67FBD" w:rsidRDefault="00F67FBD" w:rsidP="00632D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6A"/>
    <w:rsid w:val="00014FE6"/>
    <w:rsid w:val="001417BB"/>
    <w:rsid w:val="0015204B"/>
    <w:rsid w:val="0039310A"/>
    <w:rsid w:val="0042306A"/>
    <w:rsid w:val="00463528"/>
    <w:rsid w:val="00632D30"/>
    <w:rsid w:val="007050B2"/>
    <w:rsid w:val="00783688"/>
    <w:rsid w:val="007C4E88"/>
    <w:rsid w:val="008E2C98"/>
    <w:rsid w:val="0091250F"/>
    <w:rsid w:val="009D560B"/>
    <w:rsid w:val="00B10AD6"/>
    <w:rsid w:val="00B459BA"/>
    <w:rsid w:val="00B84508"/>
    <w:rsid w:val="00E45020"/>
    <w:rsid w:val="00EF580F"/>
    <w:rsid w:val="00F67F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85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23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23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2306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2306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2306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2306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2306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2306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2306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306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2306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2306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2306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2306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2306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2306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2306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2306A"/>
    <w:rPr>
      <w:rFonts w:eastAsiaTheme="majorEastAsia" w:cstheme="majorBidi"/>
      <w:color w:val="272727" w:themeColor="text1" w:themeTint="D8"/>
    </w:rPr>
  </w:style>
  <w:style w:type="paragraph" w:styleId="Tytu">
    <w:name w:val="Title"/>
    <w:basedOn w:val="Normalny"/>
    <w:next w:val="Normalny"/>
    <w:link w:val="TytuZnak"/>
    <w:uiPriority w:val="10"/>
    <w:qFormat/>
    <w:rsid w:val="00423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2306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2306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2306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2306A"/>
    <w:pPr>
      <w:spacing w:before="160"/>
      <w:jc w:val="center"/>
    </w:pPr>
    <w:rPr>
      <w:i/>
      <w:iCs/>
      <w:color w:val="404040" w:themeColor="text1" w:themeTint="BF"/>
    </w:rPr>
  </w:style>
  <w:style w:type="character" w:customStyle="1" w:styleId="CytatZnak">
    <w:name w:val="Cytat Znak"/>
    <w:basedOn w:val="Domylnaczcionkaakapitu"/>
    <w:link w:val="Cytat"/>
    <w:uiPriority w:val="29"/>
    <w:rsid w:val="0042306A"/>
    <w:rPr>
      <w:i/>
      <w:iCs/>
      <w:color w:val="404040" w:themeColor="text1" w:themeTint="BF"/>
    </w:rPr>
  </w:style>
  <w:style w:type="paragraph" w:styleId="Akapitzlist">
    <w:name w:val="List Paragraph"/>
    <w:basedOn w:val="Normalny"/>
    <w:uiPriority w:val="34"/>
    <w:qFormat/>
    <w:rsid w:val="0042306A"/>
    <w:pPr>
      <w:ind w:left="720"/>
      <w:contextualSpacing/>
    </w:pPr>
  </w:style>
  <w:style w:type="character" w:styleId="Wyrnienieintensywne">
    <w:name w:val="Intense Emphasis"/>
    <w:basedOn w:val="Domylnaczcionkaakapitu"/>
    <w:uiPriority w:val="21"/>
    <w:qFormat/>
    <w:rsid w:val="0042306A"/>
    <w:rPr>
      <w:i/>
      <w:iCs/>
      <w:color w:val="0F4761" w:themeColor="accent1" w:themeShade="BF"/>
    </w:rPr>
  </w:style>
  <w:style w:type="paragraph" w:styleId="Cytatintensywny">
    <w:name w:val="Intense Quote"/>
    <w:basedOn w:val="Normalny"/>
    <w:next w:val="Normalny"/>
    <w:link w:val="CytatintensywnyZnak"/>
    <w:uiPriority w:val="30"/>
    <w:qFormat/>
    <w:rsid w:val="00423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2306A"/>
    <w:rPr>
      <w:i/>
      <w:iCs/>
      <w:color w:val="0F4761" w:themeColor="accent1" w:themeShade="BF"/>
    </w:rPr>
  </w:style>
  <w:style w:type="character" w:styleId="Odwoanieintensywne">
    <w:name w:val="Intense Reference"/>
    <w:basedOn w:val="Domylnaczcionkaakapitu"/>
    <w:uiPriority w:val="32"/>
    <w:qFormat/>
    <w:rsid w:val="0042306A"/>
    <w:rPr>
      <w:b/>
      <w:bCs/>
      <w:smallCaps/>
      <w:color w:val="0F4761" w:themeColor="accent1" w:themeShade="BF"/>
      <w:spacing w:val="5"/>
    </w:rPr>
  </w:style>
  <w:style w:type="paragraph" w:customStyle="1" w:styleId="DATAAKTUdatauchwalenialubwydaniaaktu">
    <w:name w:val="DATA_AKTU – data uchwalenia lub wydania aktu"/>
    <w:next w:val="Normalny"/>
    <w:uiPriority w:val="6"/>
    <w:qFormat/>
    <w:rsid w:val="0042306A"/>
    <w:pPr>
      <w:keepNext/>
      <w:suppressAutoHyphens/>
      <w:spacing w:before="120" w:after="120" w:line="360" w:lineRule="auto"/>
      <w:jc w:val="center"/>
    </w:pPr>
    <w:rPr>
      <w:rFonts w:ascii="Times" w:eastAsiaTheme="minorEastAsia" w:hAnsi="Times" w:cs="Arial"/>
      <w:bCs/>
      <w:kern w:val="0"/>
      <w:lang w:eastAsia="pl-PL"/>
      <w14:ligatures w14:val="none"/>
    </w:rPr>
  </w:style>
  <w:style w:type="paragraph" w:customStyle="1" w:styleId="OZNRODZAKTUtznustawalubrozporzdzenieiorganwydajcy">
    <w:name w:val="OZN_RODZ_AKTU – tzn. ustawa lub rozporządzenie i organ wydający"/>
    <w:next w:val="DATAAKTUdatauchwalenialubwydaniaaktu"/>
    <w:uiPriority w:val="5"/>
    <w:qFormat/>
    <w:rsid w:val="0042306A"/>
    <w:pPr>
      <w:keepNext/>
      <w:suppressAutoHyphens/>
      <w:spacing w:after="120" w:line="360" w:lineRule="auto"/>
      <w:jc w:val="center"/>
    </w:pPr>
    <w:rPr>
      <w:rFonts w:ascii="Times" w:eastAsia="Times New Roman" w:hAnsi="Times" w:cs="Times New Roman"/>
      <w:b/>
      <w:bCs/>
      <w:caps/>
      <w:spacing w:val="54"/>
      <w:kern w:val="24"/>
      <w:lang w:eastAsia="pl-PL"/>
      <w14:ligatures w14:val="none"/>
    </w:rPr>
  </w:style>
  <w:style w:type="paragraph" w:customStyle="1" w:styleId="TYTUAKTUprzedmiotregulacjiustawylubrozporzdzenia">
    <w:name w:val="TYTUŁ_AKTU – przedmiot regulacji ustawy lub rozporządzenia"/>
    <w:next w:val="Normalny"/>
    <w:link w:val="TYTUAKTUprzedmiotregulacjiustawylubrozporzdzeniaZnak"/>
    <w:uiPriority w:val="6"/>
    <w:qFormat/>
    <w:rsid w:val="007050B2"/>
    <w:pPr>
      <w:keepNext/>
      <w:suppressAutoHyphens/>
      <w:spacing w:before="120" w:after="360" w:line="360" w:lineRule="auto"/>
      <w:jc w:val="center"/>
    </w:pPr>
    <w:rPr>
      <w:rFonts w:ascii="Times" w:eastAsiaTheme="minorEastAsia" w:hAnsi="Times" w:cs="Arial"/>
      <w:b/>
      <w:bCs/>
      <w:kern w:val="0"/>
      <w:lang w:eastAsia="pl-PL"/>
      <w14:ligatures w14:val="none"/>
    </w:rPr>
  </w:style>
  <w:style w:type="character" w:customStyle="1" w:styleId="TYTUAKTUprzedmiotregulacjiustawylubrozporzdzeniaZnak">
    <w:name w:val="TYTUŁ_AKTU – przedmiot regulacji ustawy lub rozporządzenia Znak"/>
    <w:link w:val="TYTUAKTUprzedmiotregulacjiustawylubrozporzdzenia"/>
    <w:uiPriority w:val="6"/>
    <w:rsid w:val="007050B2"/>
    <w:rPr>
      <w:rFonts w:ascii="Times" w:eastAsiaTheme="minorEastAsia" w:hAnsi="Times" w:cs="Arial"/>
      <w:b/>
      <w:bCs/>
      <w:kern w:val="0"/>
      <w:lang w:eastAsia="pl-PL"/>
      <w14:ligatures w14:val="none"/>
    </w:rPr>
  </w:style>
  <w:style w:type="paragraph" w:styleId="Nagwek">
    <w:name w:val="header"/>
    <w:basedOn w:val="Normalny"/>
    <w:link w:val="NagwekZnak"/>
    <w:uiPriority w:val="99"/>
    <w:unhideWhenUsed/>
    <w:rsid w:val="00632D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D30"/>
  </w:style>
  <w:style w:type="paragraph" w:styleId="Stopka">
    <w:name w:val="footer"/>
    <w:basedOn w:val="Normalny"/>
    <w:link w:val="StopkaZnak"/>
    <w:uiPriority w:val="99"/>
    <w:unhideWhenUsed/>
    <w:rsid w:val="00632D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12192</Characters>
  <Application>Microsoft Office Word</Application>
  <DocSecurity>0</DocSecurity>
  <Lines>101</Lines>
  <Paragraphs>28</Paragraphs>
  <ScaleCrop>false</ScaleCrop>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2026-06-19T07:46:00Z</dcterms:created>
  <dcterms:modified xsi:type="dcterms:W3CDTF">2026-06-19T07:46:00Z</dcterms:modified>
</cp:coreProperties>
</file>