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5178" w14:textId="77777777" w:rsidR="0073205F" w:rsidRPr="00E000DC" w:rsidRDefault="0073205F" w:rsidP="0067400D">
      <w:pPr>
        <w:pStyle w:val="OZNRODZAKTUtznustawalubrozporzdzenieiorganwydajcy"/>
      </w:pPr>
      <w:r w:rsidRPr="00912118">
        <w:t>UCHWAŁA</w:t>
      </w:r>
    </w:p>
    <w:p w14:paraId="3F0514BA" w14:textId="77777777" w:rsidR="0073205F" w:rsidRPr="00E000DC" w:rsidRDefault="0073205F" w:rsidP="0067400D">
      <w:pPr>
        <w:pStyle w:val="OZNRODZAKTUtznustawalubrozporzdzenieiorganwydajcy"/>
      </w:pPr>
      <w:r w:rsidRPr="00E000DC">
        <w:t>SENATU RZECZYPOSPOLITEJ POLSKIEJ</w:t>
      </w:r>
    </w:p>
    <w:p w14:paraId="40F8FCE3" w14:textId="77777777" w:rsidR="0073205F" w:rsidRPr="00E000DC" w:rsidRDefault="0073205F" w:rsidP="0067400D">
      <w:pPr>
        <w:pStyle w:val="DATAAKTUdatauchwalenialubwydaniaaktu"/>
      </w:pPr>
      <w:r w:rsidRPr="00E000DC">
        <w:t>z dnia</w:t>
      </w:r>
      <w:r>
        <w:t xml:space="preserve"> 25 czerwca 2026 r.</w:t>
      </w:r>
    </w:p>
    <w:p w14:paraId="2B0A57B9" w14:textId="77777777" w:rsidR="0073205F" w:rsidRPr="00E000DC" w:rsidRDefault="0073205F" w:rsidP="0067400D">
      <w:pPr>
        <w:pStyle w:val="TYTUAKTUprzedmiotregulacjiustawylubrozporzdzenia"/>
      </w:pPr>
      <w:r>
        <w:t xml:space="preserve">w sprawie ustawy o </w:t>
      </w:r>
      <w:r w:rsidRPr="00AD2663">
        <w:t>systemach sztucznej inteligencji</w:t>
      </w:r>
    </w:p>
    <w:p w14:paraId="46D42415" w14:textId="77777777" w:rsidR="0073205F" w:rsidRDefault="0073205F" w:rsidP="0067400D">
      <w:pPr>
        <w:pStyle w:val="NIEARTTEKSTtekstnieartykuowanynppodstprawnarozplubpreambua"/>
      </w:pPr>
      <w:r w:rsidRPr="00E000DC">
        <w:t>Senat, po rozpatrzeniu uchwalonej przez Sejm na posiedzeniu w dniu</w:t>
      </w:r>
      <w:r>
        <w:t xml:space="preserve"> 11 czerwca 2026 </w:t>
      </w:r>
      <w:r w:rsidRPr="00E000DC">
        <w:t>r. ustawy o</w:t>
      </w:r>
      <w:r w:rsidRPr="000C3CF4">
        <w:t xml:space="preserve"> </w:t>
      </w:r>
      <w:r w:rsidRPr="00AD2663">
        <w:t>systemach sztucznej inteligencji</w:t>
      </w:r>
      <w:r w:rsidRPr="00E000DC">
        <w:t>,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73205F" w:rsidRPr="00B528A4" w14:paraId="4989D6DE" w14:textId="77777777" w:rsidTr="0067400D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379053B" w14:textId="77777777" w:rsidR="0073205F" w:rsidRPr="00B528A4" w:rsidRDefault="0073205F" w:rsidP="0073205F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64CA8CD6" w14:textId="77777777" w:rsidR="0073205F" w:rsidRPr="00E348C4" w:rsidRDefault="0073205F" w:rsidP="00255800">
            <w:pPr>
              <w:pStyle w:val="TREPUNKTUWUCHWALESENACKIEJ"/>
            </w:pPr>
            <w:r>
              <w:t>w art. 2 w ust. 1 w pkt 3 skreśla się wyraz „ustawowych”;</w:t>
            </w:r>
          </w:p>
        </w:tc>
      </w:tr>
      <w:tr w:rsidR="0073205F" w:rsidRPr="00B528A4" w14:paraId="066972E1" w14:textId="77777777" w:rsidTr="0067400D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804D66B" w14:textId="77777777" w:rsidR="0073205F" w:rsidRPr="00B528A4" w:rsidRDefault="0073205F" w:rsidP="0073205F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CA2A38E" w14:textId="77777777" w:rsidR="0073205F" w:rsidRPr="00255800" w:rsidRDefault="0073205F" w:rsidP="00255800">
            <w:pPr>
              <w:pStyle w:val="TREPUNKTUWUCHWALESENACKIEJ"/>
            </w:pPr>
            <w:r w:rsidRPr="006C201F">
              <w:t>w art. 22 w pkt 2 skreśla się wyrazy „określonych w rozporządzeniu 2024/1689, ustawie oraz przepisach odrębnych”;</w:t>
            </w:r>
          </w:p>
        </w:tc>
      </w:tr>
      <w:tr w:rsidR="0073205F" w:rsidRPr="00B528A4" w14:paraId="4D62B54E" w14:textId="77777777" w:rsidTr="0067400D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668D19F" w14:textId="77777777" w:rsidR="0073205F" w:rsidRPr="00B528A4" w:rsidRDefault="0073205F" w:rsidP="0073205F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E3E76DC" w14:textId="77777777" w:rsidR="0073205F" w:rsidRPr="00255800" w:rsidRDefault="0073205F" w:rsidP="00255800">
            <w:pPr>
              <w:pStyle w:val="TREPUNKTUWUCHWALESENACKIEJ"/>
            </w:pPr>
            <w:r>
              <w:t xml:space="preserve">w art. 26 w ust. 2 w pkt 3 wyrazy „wnioski wynikające” zastępuje się wyrazami „o wnioskach wynikających”;  </w:t>
            </w:r>
          </w:p>
        </w:tc>
      </w:tr>
      <w:tr w:rsidR="0073205F" w:rsidRPr="00B528A4" w14:paraId="0EFB8335" w14:textId="77777777" w:rsidTr="0067400D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ED253F1" w14:textId="77777777" w:rsidR="0073205F" w:rsidRPr="00B528A4" w:rsidRDefault="0073205F" w:rsidP="0073205F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5EB1FE3" w14:textId="77777777" w:rsidR="0073205F" w:rsidRPr="00255800" w:rsidRDefault="0073205F" w:rsidP="00255800">
            <w:pPr>
              <w:pStyle w:val="TREPUNKTUWUCHWALESENACKIEJ"/>
            </w:pPr>
            <w:r>
              <w:t>w art. 30 dodaje się ust. 3 w brzmieniu:</w:t>
            </w:r>
          </w:p>
          <w:p w14:paraId="68333169" w14:textId="77777777" w:rsidR="0073205F" w:rsidRPr="00255800" w:rsidRDefault="0073205F" w:rsidP="00255800">
            <w:pPr>
              <w:pStyle w:val="USTustnpkodeksu"/>
            </w:pPr>
            <w:r>
              <w:t xml:space="preserve">„3. </w:t>
            </w:r>
            <w:r w:rsidRPr="00255800">
              <w:t>Senat podejmuje uchwałę w sprawie wyrażenia zgody na odwołanie Przewodniczącego Komisji w terminie miesiąca od dnia przekazania Senatowi uchwały Sejmu w sprawie odwołania Przewodniczącego Komisji. Niepodjęcie uchwały przez Senat w terminie miesiąca oznacza wyrażenie zgody.”;</w:t>
            </w:r>
          </w:p>
        </w:tc>
      </w:tr>
      <w:tr w:rsidR="0073205F" w:rsidRPr="00B528A4" w14:paraId="764DC1B5" w14:textId="77777777" w:rsidTr="0067400D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1E5379B" w14:textId="77777777" w:rsidR="0073205F" w:rsidRPr="00B528A4" w:rsidRDefault="0073205F" w:rsidP="0073205F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1932DB8" w14:textId="77777777" w:rsidR="0073205F" w:rsidRPr="00255800" w:rsidRDefault="0073205F" w:rsidP="00255800">
            <w:pPr>
              <w:pStyle w:val="TREPUNKTUWUCHWALESENACKIEJ"/>
            </w:pPr>
            <w:r w:rsidRPr="006C201F">
              <w:t>skreśla się art. 35;</w:t>
            </w:r>
          </w:p>
        </w:tc>
      </w:tr>
      <w:tr w:rsidR="0073205F" w:rsidRPr="00B528A4" w14:paraId="1D499585" w14:textId="77777777" w:rsidTr="0067400D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00D431A" w14:textId="77777777" w:rsidR="0073205F" w:rsidRPr="00B528A4" w:rsidRDefault="0073205F" w:rsidP="0073205F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7D40A26" w14:textId="77777777" w:rsidR="0073205F" w:rsidRPr="00F56E84" w:rsidRDefault="0073205F" w:rsidP="00F56E84">
            <w:pPr>
              <w:pStyle w:val="TREPUNKTUWUCHWALESENACKIEJ"/>
            </w:pPr>
            <w:r>
              <w:t>w art. 37:</w:t>
            </w:r>
          </w:p>
          <w:p w14:paraId="5C961524" w14:textId="77777777" w:rsidR="0073205F" w:rsidRDefault="0073205F" w:rsidP="00F56E84">
            <w:pPr>
              <w:pStyle w:val="LITERAWUCHWALESENACKIEJ"/>
            </w:pPr>
            <w:r>
              <w:t>a)</w:t>
            </w:r>
            <w:r>
              <w:tab/>
              <w:t>we wprowadzeniu do wyliczenia wyrazy „</w:t>
            </w:r>
            <w:r w:rsidRPr="00F56E84">
              <w:t>w niej zatrudnione” zastępuje się wyrazami „wykonujące w niej pracę”,</w:t>
            </w:r>
          </w:p>
          <w:p w14:paraId="04B5EEE8" w14:textId="77777777" w:rsidR="0073205F" w:rsidRDefault="0073205F" w:rsidP="00F56E84">
            <w:pPr>
              <w:pStyle w:val="LITERAWUCHWALESENACKIEJ"/>
            </w:pPr>
            <w:r>
              <w:t>b)</w:t>
            </w:r>
            <w:r>
              <w:tab/>
              <w:t xml:space="preserve">w pkt 3 </w:t>
            </w:r>
            <w:r w:rsidRPr="00922A49">
              <w:t>po wyrazach „umowy o pracę,” dodaje się wyrazy „lub wykonywać pracy w tych podmiotach na podstawie”;</w:t>
            </w:r>
          </w:p>
          <w:p w14:paraId="529AF22D" w14:textId="77777777" w:rsidR="0073205F" w:rsidRPr="006C201F" w:rsidRDefault="0073205F" w:rsidP="00F56E84">
            <w:pPr>
              <w:pStyle w:val="LITERAWUCHWALESENACKIEJ"/>
            </w:pPr>
          </w:p>
        </w:tc>
      </w:tr>
      <w:tr w:rsidR="0073205F" w:rsidRPr="00B528A4" w14:paraId="28D1F517" w14:textId="77777777" w:rsidTr="0067400D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AF9DBBF" w14:textId="77777777" w:rsidR="0073205F" w:rsidRPr="00B528A4" w:rsidRDefault="0073205F" w:rsidP="0073205F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E6FEC5A" w14:textId="77777777" w:rsidR="0073205F" w:rsidRPr="00922A49" w:rsidRDefault="0073205F" w:rsidP="00922A49">
            <w:pPr>
              <w:pStyle w:val="TREPUNKTUWUCHWALESENACKIEJ"/>
            </w:pPr>
            <w:r>
              <w:t>w art. 37 dotychczasową treść oznacza się jako ust. 1 i dodaje się ust. 2 w brzmieniu:</w:t>
            </w:r>
          </w:p>
          <w:p w14:paraId="36CB1ADA" w14:textId="77777777" w:rsidR="0073205F" w:rsidRPr="00922A49" w:rsidRDefault="0073205F" w:rsidP="00F56E84">
            <w:pPr>
              <w:pStyle w:val="USTustnpkodeksu"/>
            </w:pPr>
            <w:r>
              <w:t xml:space="preserve">„2. Do Przewodniczącego Komisji i Zastępców Przewodniczącego Komisji nie stosuje się art. 4 </w:t>
            </w:r>
            <w:r w:rsidRPr="00922A49">
              <w:t>ustawy z dnia 21 sierpnia 1997 r. o ograniczeniu prowadzenia działalności gospodarczej przez osoby pełniące funkcje publiczne (Dz. U. z 2025 r. poz. 499 oraz z 2026 r. poz. 160, 177 i …).”;</w:t>
            </w:r>
          </w:p>
        </w:tc>
      </w:tr>
      <w:tr w:rsidR="0073205F" w:rsidRPr="00B528A4" w14:paraId="5DF0F181" w14:textId="77777777" w:rsidTr="0067400D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9B4294E" w14:textId="77777777" w:rsidR="0073205F" w:rsidRPr="00B528A4" w:rsidRDefault="0073205F" w:rsidP="0073205F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FA166C9" w14:textId="77777777" w:rsidR="0073205F" w:rsidRPr="00922A49" w:rsidRDefault="0073205F" w:rsidP="00922A49">
            <w:pPr>
              <w:pStyle w:val="TREPUNKTUWUCHWALESENACKIEJ"/>
            </w:pPr>
            <w:r>
              <w:t xml:space="preserve">w art. 38 w ust. 1, w art. 39 w </w:t>
            </w:r>
            <w:r w:rsidRPr="00922A49">
              <w:t>ust. 1, w art. 40 i w art. 44 w ust. 2 w zdaniu pierwszym wyrazy „w niej zatrudnione” zastępuje się wyrazami „wykonujące w niej pracę”;</w:t>
            </w:r>
          </w:p>
        </w:tc>
      </w:tr>
      <w:tr w:rsidR="0073205F" w:rsidRPr="00B528A4" w14:paraId="449CF41C" w14:textId="77777777" w:rsidTr="0067400D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F6DBC73" w14:textId="77777777" w:rsidR="0073205F" w:rsidRPr="00B528A4" w:rsidRDefault="0073205F" w:rsidP="0073205F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FE378C5" w14:textId="77777777" w:rsidR="0073205F" w:rsidRPr="00922A49" w:rsidRDefault="0073205F" w:rsidP="00922A49">
            <w:pPr>
              <w:pStyle w:val="TREPUNKTUWUCHWALESENACKIEJ"/>
            </w:pPr>
            <w:r>
              <w:t xml:space="preserve">w art. 39 w ust. 1 i </w:t>
            </w:r>
            <w:r w:rsidRPr="00922A49">
              <w:t>w art. 50 w ust. 4 we wprowadzeniu do wyliczenia skreśla się wyraz „też”;</w:t>
            </w:r>
          </w:p>
        </w:tc>
      </w:tr>
      <w:tr w:rsidR="0073205F" w:rsidRPr="00B528A4" w14:paraId="082187B7" w14:textId="77777777" w:rsidTr="0067400D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44DA824" w14:textId="77777777" w:rsidR="0073205F" w:rsidRPr="00B528A4" w:rsidRDefault="0073205F" w:rsidP="0073205F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2386257" w14:textId="77777777" w:rsidR="0073205F" w:rsidRPr="00922A49" w:rsidRDefault="0073205F" w:rsidP="00922A49">
            <w:pPr>
              <w:pStyle w:val="TREPUNKTUWUCHWALESENACKIEJ"/>
            </w:pPr>
            <w:r>
              <w:t xml:space="preserve">w art. 40 </w:t>
            </w:r>
            <w:r w:rsidRPr="00922A49">
              <w:t>skreśla się wyraz „odpowiednio”;</w:t>
            </w:r>
          </w:p>
        </w:tc>
      </w:tr>
      <w:tr w:rsidR="0073205F" w:rsidRPr="00B528A4" w14:paraId="29A2AA9B" w14:textId="77777777" w:rsidTr="0067400D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9601E5F" w14:textId="77777777" w:rsidR="0073205F" w:rsidRPr="00B528A4" w:rsidRDefault="0073205F" w:rsidP="0073205F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779E067" w14:textId="77777777" w:rsidR="0073205F" w:rsidRPr="00922A49" w:rsidRDefault="0073205F" w:rsidP="00922A49">
            <w:pPr>
              <w:pStyle w:val="TREPUNKTUWUCHWALESENACKIEJ"/>
            </w:pPr>
            <w:r w:rsidRPr="006C201F">
              <w:t xml:space="preserve">w art. 41 w pkt 5 skreśla się wyrazy </w:t>
            </w:r>
            <w:r w:rsidRPr="00922A49">
              <w:t>„określonych w ustawie i odrębnych przepisach”;</w:t>
            </w:r>
          </w:p>
        </w:tc>
      </w:tr>
      <w:tr w:rsidR="0073205F" w:rsidRPr="00B528A4" w14:paraId="0F59BD8B" w14:textId="77777777" w:rsidTr="0067400D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77D852" w14:textId="77777777" w:rsidR="0073205F" w:rsidRPr="00B528A4" w:rsidRDefault="0073205F" w:rsidP="0073205F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0B29DB9" w14:textId="77777777" w:rsidR="0073205F" w:rsidRPr="00922A49" w:rsidRDefault="0073205F" w:rsidP="00922A49">
            <w:pPr>
              <w:pStyle w:val="TREPUNKTUWUCHWALESENACKIEJ"/>
            </w:pPr>
            <w:r>
              <w:t xml:space="preserve">w </w:t>
            </w:r>
            <w:r w:rsidRPr="00922A49">
              <w:t>art. 43 w ust. 1 wyrazy „w niej osoby zatrudnione” zastępuje się wyrazami „wykonujące w niej pracę”;</w:t>
            </w:r>
          </w:p>
        </w:tc>
      </w:tr>
      <w:tr w:rsidR="0073205F" w:rsidRPr="00B528A4" w14:paraId="6D46F2F1" w14:textId="77777777" w:rsidTr="0067400D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C93060" w14:textId="77777777" w:rsidR="0073205F" w:rsidRPr="00B528A4" w:rsidRDefault="0073205F" w:rsidP="0073205F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151932A" w14:textId="77777777" w:rsidR="0073205F" w:rsidRPr="00922A49" w:rsidRDefault="0073205F" w:rsidP="00922A49">
            <w:pPr>
              <w:pStyle w:val="TREPUNKTUWUCHWALESENACKIEJ"/>
            </w:pPr>
            <w:r>
              <w:t>w art. 44:</w:t>
            </w:r>
          </w:p>
          <w:p w14:paraId="71878640" w14:textId="77777777" w:rsidR="0073205F" w:rsidRPr="00922A49" w:rsidRDefault="0073205F" w:rsidP="00922A49">
            <w:pPr>
              <w:pStyle w:val="LITERAWUCHWALESENACKIEJ"/>
            </w:pPr>
            <w:r>
              <w:t>a)</w:t>
            </w:r>
            <w:r>
              <w:tab/>
              <w:t xml:space="preserve">w ust. 2 w </w:t>
            </w:r>
            <w:r w:rsidRPr="00922A49">
              <w:t>zdaniu drugim wyraz „Osoby” zastępuje się wyrazami „Pracownicy i osoby” oraz wyraz „niezależne” zastępuje się wyrazem „niezależni”,</w:t>
            </w:r>
          </w:p>
          <w:p w14:paraId="7736424D" w14:textId="77777777" w:rsidR="0073205F" w:rsidRPr="00922A49" w:rsidRDefault="0073205F" w:rsidP="00922A49">
            <w:pPr>
              <w:pStyle w:val="LITERAWUCHWALESENACKIEJ"/>
            </w:pPr>
            <w:r>
              <w:t>b)</w:t>
            </w:r>
            <w:r>
              <w:tab/>
              <w:t>w ust. 3:</w:t>
            </w:r>
          </w:p>
          <w:p w14:paraId="779A8A51" w14:textId="77777777" w:rsidR="0073205F" w:rsidRPr="00922A49" w:rsidRDefault="0073205F" w:rsidP="00922A49">
            <w:pPr>
              <w:pStyle w:val="TIRETWUCHWALESENACKIEJ"/>
            </w:pPr>
            <w:r>
              <w:t>–</w:t>
            </w:r>
            <w:r>
              <w:tab/>
              <w:t xml:space="preserve">w zdaniu pierwszym wyrazy „lub osoby upoważnione” zastępuje się wyrazami „ , upoważnionych pracowników i upoważnione osoby” oraz wyraz </w:t>
            </w:r>
            <w:r w:rsidRPr="00922A49">
              <w:t>„załatwiania” zastępuje się wyrazem „wykonywania”,</w:t>
            </w:r>
          </w:p>
          <w:p w14:paraId="7EB9397C" w14:textId="77777777" w:rsidR="0073205F" w:rsidRPr="00922A49" w:rsidRDefault="0073205F" w:rsidP="00922A49">
            <w:pPr>
              <w:pStyle w:val="TIRETWUCHWALESENACKIEJ"/>
            </w:pPr>
            <w:r>
              <w:t>–</w:t>
            </w:r>
            <w:r>
              <w:tab/>
              <w:t>zdanie drugie otrzymuje brzmienie:</w:t>
            </w:r>
          </w:p>
          <w:p w14:paraId="22DF5830" w14:textId="77777777" w:rsidR="0073205F" w:rsidRPr="00922A49" w:rsidRDefault="0073205F" w:rsidP="00922A49">
            <w:pPr>
              <w:pStyle w:val="USTustnpkodeksu"/>
            </w:pPr>
            <w:r>
              <w:t xml:space="preserve">„Zastępcy </w:t>
            </w:r>
            <w:r w:rsidRPr="00922A49">
              <w:t xml:space="preserve">Przewodniczącego Komisji, pracownicy i osoby, o których mowa w zdaniu pierwszym, są niezależni w zakresie wykonywania – na podstawie upoważnienia Przewodniczącego Komisji – zadań Przewodniczącego Komisji.”; </w:t>
            </w:r>
          </w:p>
        </w:tc>
      </w:tr>
      <w:tr w:rsidR="0073205F" w:rsidRPr="00B528A4" w14:paraId="2BA877C9" w14:textId="77777777" w:rsidTr="0067400D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5E2E8A8" w14:textId="77777777" w:rsidR="0073205F" w:rsidRPr="00B528A4" w:rsidRDefault="0073205F" w:rsidP="0073205F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D045E74" w14:textId="77777777" w:rsidR="0073205F" w:rsidRPr="00922A49" w:rsidRDefault="0073205F" w:rsidP="00922A49">
            <w:pPr>
              <w:pStyle w:val="TREPUNKTUWUCHWALESENACKIEJ"/>
            </w:pPr>
            <w:r>
              <w:t xml:space="preserve">w art. 53 w </w:t>
            </w:r>
            <w:r w:rsidRPr="00922A49">
              <w:t>ust. 1 w pkt 1 wyrazy „2025 r.” zastępuje się wyrazami „2005 r.” oraz po wyrazach „zadania publiczne” dodaje się wyrazy „(Dz. U. z 2025 r. poz. 1703 oraz z 2026 r. poz. 160)”;</w:t>
            </w:r>
          </w:p>
        </w:tc>
      </w:tr>
      <w:tr w:rsidR="0073205F" w:rsidRPr="00B528A4" w14:paraId="5F303C70" w14:textId="77777777" w:rsidTr="0067400D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908265E" w14:textId="77777777" w:rsidR="0073205F" w:rsidRPr="00B528A4" w:rsidRDefault="0073205F" w:rsidP="0073205F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8B4E7DF" w14:textId="77777777" w:rsidR="0073205F" w:rsidRPr="00922A49" w:rsidRDefault="0073205F" w:rsidP="00922A49">
            <w:pPr>
              <w:pStyle w:val="TREPUNKTUWUCHWALESENACKIEJ"/>
            </w:pPr>
            <w:r>
              <w:t>w art. 60 skreśla się ust. 5;</w:t>
            </w:r>
          </w:p>
        </w:tc>
      </w:tr>
      <w:tr w:rsidR="0073205F" w:rsidRPr="00B528A4" w14:paraId="2A431CED" w14:textId="77777777" w:rsidTr="0067400D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8B7A24" w14:textId="77777777" w:rsidR="0073205F" w:rsidRPr="00B528A4" w:rsidRDefault="0073205F" w:rsidP="0073205F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9D98EAB" w14:textId="77777777" w:rsidR="0073205F" w:rsidRPr="00922A49" w:rsidRDefault="0073205F" w:rsidP="00922A49">
            <w:pPr>
              <w:pStyle w:val="TREPUNKTUWUCHWALESENACKIEJ"/>
            </w:pPr>
            <w:r w:rsidRPr="006C201F">
              <w:t xml:space="preserve">w art. 73 w ust. 2 skreśla się </w:t>
            </w:r>
            <w:r w:rsidRPr="00922A49">
              <w:t>wyrazy „na podstawie przepisów odrębnych”;</w:t>
            </w:r>
          </w:p>
        </w:tc>
      </w:tr>
      <w:tr w:rsidR="0073205F" w:rsidRPr="00B528A4" w14:paraId="7848EEA1" w14:textId="77777777" w:rsidTr="0067400D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B96BAA" w14:textId="77777777" w:rsidR="0073205F" w:rsidRPr="00B528A4" w:rsidRDefault="0073205F" w:rsidP="0073205F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364421B" w14:textId="77777777" w:rsidR="0073205F" w:rsidRPr="00922A49" w:rsidRDefault="0073205F" w:rsidP="00922A49">
            <w:pPr>
              <w:pStyle w:val="TREPUNKTUWUCHWALESENACKIEJ"/>
            </w:pPr>
            <w:r>
              <w:t>w art. 75 w ust. 1 użyte po raz pierwszy wyrazy „11 czerwca 2026</w:t>
            </w:r>
            <w:r w:rsidRPr="00922A49">
              <w:t xml:space="preserve"> r.” zastępuje się wielokropkiem;</w:t>
            </w:r>
          </w:p>
        </w:tc>
      </w:tr>
      <w:tr w:rsidR="0073205F" w:rsidRPr="00B528A4" w14:paraId="07C3C4CE" w14:textId="77777777" w:rsidTr="0067400D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0F79B1D" w14:textId="77777777" w:rsidR="0073205F" w:rsidRPr="00B528A4" w:rsidRDefault="0073205F" w:rsidP="0073205F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6066E7E" w14:textId="77777777" w:rsidR="0073205F" w:rsidRPr="00922A49" w:rsidRDefault="0073205F" w:rsidP="00922A49">
            <w:pPr>
              <w:pStyle w:val="TREPUNKTUWUCHWALESENACKIEJ"/>
            </w:pPr>
            <w:r>
              <w:t xml:space="preserve">w art. 97 ust. 5 otrzymuje </w:t>
            </w:r>
            <w:r w:rsidRPr="00922A49">
              <w:t>brzmienie:</w:t>
            </w:r>
          </w:p>
          <w:p w14:paraId="4FC9B223" w14:textId="77777777" w:rsidR="0073205F" w:rsidRPr="00922A49" w:rsidRDefault="0073205F" w:rsidP="00922A49">
            <w:pPr>
              <w:pStyle w:val="USTustnpkodeksu"/>
            </w:pPr>
            <w:r>
              <w:t xml:space="preserve">„5. W przypadku </w:t>
            </w:r>
            <w:r w:rsidRPr="00922A49">
              <w:t>ponownej oceny ofert zespół odwoławczy przygotowuje aneksy do protokołu i listy rankingowej, o których mowa w art. 96 ust. 2 pkt 2 i 3.”;</w:t>
            </w:r>
          </w:p>
        </w:tc>
      </w:tr>
      <w:tr w:rsidR="0073205F" w:rsidRPr="00B528A4" w14:paraId="52FA5E88" w14:textId="77777777" w:rsidTr="0067400D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C61CF60" w14:textId="77777777" w:rsidR="0073205F" w:rsidRPr="00B528A4" w:rsidRDefault="0073205F" w:rsidP="0073205F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F5D8D16" w14:textId="77777777" w:rsidR="0073205F" w:rsidRPr="00922A49" w:rsidRDefault="0073205F" w:rsidP="00922A49">
            <w:pPr>
              <w:pStyle w:val="TREPUNKTUWUCHWALESENACKIEJ"/>
            </w:pPr>
            <w:r>
              <w:t>w art. 97 w ust. 7 użyte dwukrotnie wyrazy „ust. 2” zastępuje się wyrazami „ust. 1”;</w:t>
            </w:r>
          </w:p>
        </w:tc>
      </w:tr>
      <w:tr w:rsidR="0073205F" w:rsidRPr="00B528A4" w14:paraId="27853CF3" w14:textId="77777777" w:rsidTr="0067400D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096391" w14:textId="77777777" w:rsidR="0073205F" w:rsidRPr="00B528A4" w:rsidRDefault="0073205F" w:rsidP="0073205F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53D9B8E" w14:textId="77777777" w:rsidR="0073205F" w:rsidRPr="00922A49" w:rsidRDefault="0073205F" w:rsidP="00922A49">
            <w:pPr>
              <w:pStyle w:val="TREPUNKTUWUCHWALESENACKIEJ"/>
            </w:pPr>
            <w:r>
              <w:t xml:space="preserve">w art. 102 w </w:t>
            </w:r>
            <w:r w:rsidRPr="00922A49">
              <w:t>ust. 3 wyrazy „art. 9 ust. 2–4” zastępuje się wyrazami „art. 9 ust. 2 i 3”;</w:t>
            </w:r>
          </w:p>
        </w:tc>
      </w:tr>
      <w:tr w:rsidR="0073205F" w:rsidRPr="00B528A4" w14:paraId="47A95A6E" w14:textId="77777777" w:rsidTr="0067400D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80101E" w14:textId="77777777" w:rsidR="0073205F" w:rsidRPr="00B528A4" w:rsidRDefault="0073205F" w:rsidP="0073205F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4F72091" w14:textId="77777777" w:rsidR="0073205F" w:rsidRPr="00922A49" w:rsidRDefault="0073205F" w:rsidP="00922A49">
            <w:pPr>
              <w:pStyle w:val="TREPUNKTUWUCHWALESENACKIEJ"/>
            </w:pPr>
            <w:r>
              <w:t xml:space="preserve">w art. 108 w ust. 9 we </w:t>
            </w:r>
            <w:r w:rsidRPr="00922A49">
              <w:t xml:space="preserve">wprowadzeniu do wyliczenia wyrazy „o którym mowa w ust. 1” zastępuje się wyrazami „o których mowa w ust. 2”; </w:t>
            </w:r>
          </w:p>
        </w:tc>
      </w:tr>
      <w:tr w:rsidR="0073205F" w:rsidRPr="00B528A4" w14:paraId="054F4B62" w14:textId="77777777" w:rsidTr="0067400D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6FEFC43" w14:textId="77777777" w:rsidR="0073205F" w:rsidRPr="00B528A4" w:rsidRDefault="0073205F" w:rsidP="0073205F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F206910" w14:textId="77777777" w:rsidR="0073205F" w:rsidRPr="00922A49" w:rsidRDefault="0073205F" w:rsidP="00922A49">
            <w:pPr>
              <w:pStyle w:val="TREPUNKTUWUCHWALESENACKIEJ"/>
            </w:pPr>
            <w:r w:rsidRPr="00011D85">
              <w:t xml:space="preserve">art. 111 otrzymuje </w:t>
            </w:r>
            <w:r w:rsidRPr="00922A49">
              <w:t>brzmienie:</w:t>
            </w:r>
          </w:p>
          <w:p w14:paraId="596B52AB" w14:textId="77777777" w:rsidR="0073205F" w:rsidRPr="00922A49" w:rsidRDefault="0073205F" w:rsidP="00922A49">
            <w:pPr>
              <w:pStyle w:val="ARTartustawynprozporzdzenia"/>
            </w:pPr>
            <w:r w:rsidRPr="00011D85">
              <w:t xml:space="preserve">„Art. 111. Do postępowania w sprawie administracyjnych kar pieniężnych nie stosuje się art. 189f </w:t>
            </w:r>
            <w:r w:rsidRPr="00922A49">
              <w:t>ustawy z dnia 14 czerwca 1960 r. – Kodeks postępowania administracyjnego.”;</w:t>
            </w:r>
          </w:p>
        </w:tc>
      </w:tr>
      <w:tr w:rsidR="0073205F" w:rsidRPr="00B528A4" w14:paraId="74560E10" w14:textId="77777777" w:rsidTr="0067400D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E0B993C" w14:textId="77777777" w:rsidR="0073205F" w:rsidRPr="00B528A4" w:rsidRDefault="0073205F" w:rsidP="0073205F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E027A33" w14:textId="77777777" w:rsidR="0073205F" w:rsidRPr="00922A49" w:rsidRDefault="0073205F" w:rsidP="00922A49">
            <w:pPr>
              <w:pStyle w:val="TREPUNKTUWUCHWALESENACKIEJ"/>
            </w:pPr>
            <w:r>
              <w:t>w art. 116, tytuł działu IVfa otrzymuje brzmienie:</w:t>
            </w:r>
          </w:p>
          <w:p w14:paraId="3016C37B" w14:textId="77777777" w:rsidR="0073205F" w:rsidRPr="00922A49" w:rsidRDefault="0073205F" w:rsidP="00922A49">
            <w:pPr>
              <w:pStyle w:val="ZTYTDZPRZEDMzmprzedmtytuulubdziauartykuempunktem"/>
            </w:pPr>
            <w:r>
              <w:t>„</w:t>
            </w:r>
            <w:r w:rsidRPr="00922A49">
              <w:t>Postępowanie w sprawach z zakresu sztucznej inteligencji”;</w:t>
            </w:r>
          </w:p>
        </w:tc>
      </w:tr>
      <w:tr w:rsidR="0073205F" w:rsidRPr="00B528A4" w14:paraId="28E2BCF7" w14:textId="77777777" w:rsidTr="0067400D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466677D" w14:textId="77777777" w:rsidR="0073205F" w:rsidRPr="00B528A4" w:rsidRDefault="0073205F" w:rsidP="0073205F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79CDAA4" w14:textId="77777777" w:rsidR="0073205F" w:rsidRPr="00922A49" w:rsidRDefault="0073205F" w:rsidP="00922A49">
            <w:pPr>
              <w:pStyle w:val="TREPUNKTUWUCHWALESENACKIEJ"/>
            </w:pPr>
            <w:r>
              <w:t>w art. 119</w:t>
            </w:r>
            <w:r w:rsidRPr="00922A49">
              <w:t>:</w:t>
            </w:r>
          </w:p>
          <w:p w14:paraId="277C69D8" w14:textId="77777777" w:rsidR="0073205F" w:rsidRPr="00922A49" w:rsidRDefault="0073205F" w:rsidP="00922A49">
            <w:pPr>
              <w:pStyle w:val="LITERAWUCHWALESENACKIEJ"/>
            </w:pPr>
            <w:r>
              <w:t>a)</w:t>
            </w:r>
            <w:r>
              <w:tab/>
              <w:t xml:space="preserve">we </w:t>
            </w:r>
            <w:r w:rsidRPr="00922A49">
              <w:t>wprowadzeniu do wyliczenia po wyrazach „(Dz. U. z 2025 r. poz. 499 oraz z 2026 r. poz. 160 i 177)” dodaje się wyrazy „wprowadza się następujące zmiany”,</w:t>
            </w:r>
          </w:p>
          <w:p w14:paraId="6AF55A02" w14:textId="77777777" w:rsidR="0073205F" w:rsidRPr="00922A49" w:rsidRDefault="0073205F" w:rsidP="00922A49">
            <w:pPr>
              <w:pStyle w:val="LITERAWUCHWALESENACKIEJ"/>
            </w:pPr>
            <w:r>
              <w:t>b)</w:t>
            </w:r>
            <w:r>
              <w:tab/>
            </w:r>
            <w:r w:rsidRPr="00922A49">
              <w:t>dotychczasową lit. a oznacza się jako pkt 1, dotychczasową lit. b oznacza się jako pkt 3 i dodaje się pkt 2 w brzmieniu:</w:t>
            </w:r>
          </w:p>
          <w:p w14:paraId="618AF70F" w14:textId="77777777" w:rsidR="0073205F" w:rsidRPr="00922A49" w:rsidRDefault="0073205F" w:rsidP="00922A49">
            <w:pPr>
              <w:pStyle w:val="PKTpunkt"/>
            </w:pPr>
            <w:r>
              <w:t>„</w:t>
            </w:r>
            <w:r w:rsidRPr="00922A49">
              <w:t>2)</w:t>
            </w:r>
            <w:r w:rsidRPr="00922A49">
              <w:tab/>
              <w:t>w art. 5 w ust. 1 pkt 1 otrzymuje brzmienie:</w:t>
            </w:r>
          </w:p>
          <w:p w14:paraId="2B34EFDD" w14:textId="77777777" w:rsidR="0073205F" w:rsidRPr="00922A49" w:rsidRDefault="0073205F" w:rsidP="00922A49">
            <w:pPr>
              <w:pStyle w:val="ZPKTzmpktartykuempunktem"/>
            </w:pPr>
            <w:r>
              <w:t>„1)</w:t>
            </w:r>
            <w:r>
              <w:tab/>
            </w:r>
            <w:r w:rsidRPr="00922A49">
              <w:t xml:space="preserve">wymienione w </w:t>
            </w:r>
            <w:hyperlink r:id="rId9" w:history="1">
              <w:r w:rsidRPr="00922A49">
                <w:t>art. 2 pkt 1–3c i 4</w:t>
              </w:r>
            </w:hyperlink>
            <w:r w:rsidRPr="00922A49">
              <w:t xml:space="preserve"> stanowi przewinienie służbowe, które podlega odpowiedzialności dyscyplinarnej lub stanowi podstawę do rozwiązania stosunku pracy bez wypowiedzenia z winy pracownika;”;”;</w:t>
            </w:r>
          </w:p>
        </w:tc>
      </w:tr>
      <w:tr w:rsidR="0073205F" w:rsidRPr="00B528A4" w14:paraId="0849C9A3" w14:textId="77777777" w:rsidTr="0067400D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D7814BE" w14:textId="77777777" w:rsidR="0073205F" w:rsidRPr="00B528A4" w:rsidRDefault="0073205F" w:rsidP="0073205F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2C07BAA" w14:textId="77777777" w:rsidR="0073205F" w:rsidRPr="00922A49" w:rsidRDefault="0073205F" w:rsidP="00922A49">
            <w:pPr>
              <w:pStyle w:val="TREPUNKTUWUCHWALESENACKIEJ"/>
            </w:pPr>
            <w:r w:rsidRPr="00661A6A">
              <w:t>w art. 126</w:t>
            </w:r>
            <w:r w:rsidRPr="00922A49">
              <w:t>:</w:t>
            </w:r>
          </w:p>
          <w:p w14:paraId="4D54FCE7" w14:textId="77777777" w:rsidR="0073205F" w:rsidRPr="00922A49" w:rsidRDefault="0073205F" w:rsidP="00922A49">
            <w:pPr>
              <w:pStyle w:val="LITERAWUCHWALESENACKIEJ"/>
            </w:pPr>
            <w:r>
              <w:t>a)</w:t>
            </w:r>
            <w:r>
              <w:tab/>
            </w:r>
            <w:r w:rsidRPr="00922A49">
              <w:t>ust. 2 otrzymuje brzmienie:</w:t>
            </w:r>
          </w:p>
          <w:p w14:paraId="50770315" w14:textId="77777777" w:rsidR="0073205F" w:rsidRPr="00922A49" w:rsidRDefault="0073205F" w:rsidP="00922A49">
            <w:pPr>
              <w:pStyle w:val="USTustnpkodeksu"/>
            </w:pPr>
            <w:r w:rsidRPr="00661A6A">
              <w:t xml:space="preserve">„2. Sejm powołuje Przewodniczącego Komisji Rozwoju i Bezpieczeństwa Sztucznej </w:t>
            </w:r>
            <w:r w:rsidRPr="00922A49">
              <w:t>Inteligencji w terminie miesiąca od dnia wejścia w życie ustawy.”,</w:t>
            </w:r>
          </w:p>
          <w:p w14:paraId="00BE1C51" w14:textId="77777777" w:rsidR="0073205F" w:rsidRPr="00922A49" w:rsidRDefault="0073205F" w:rsidP="00922A49">
            <w:pPr>
              <w:pStyle w:val="LITERAWUCHWALESENACKIEJ"/>
            </w:pPr>
            <w:r>
              <w:t>b)</w:t>
            </w:r>
            <w:r>
              <w:tab/>
            </w:r>
            <w:r w:rsidRPr="00922A49">
              <w:t>dodaje się ust. 2a w brzmieniu:</w:t>
            </w:r>
          </w:p>
          <w:p w14:paraId="1851012E" w14:textId="77777777" w:rsidR="0073205F" w:rsidRPr="00922A49" w:rsidRDefault="0073205F" w:rsidP="00922A49">
            <w:pPr>
              <w:pStyle w:val="USTustnpkodeksu"/>
            </w:pPr>
            <w:r>
              <w:t>„2a.</w:t>
            </w:r>
            <w:r w:rsidRPr="00922A49">
              <w:t xml:space="preserve"> Senat podejmuje uchwałę w sprawie wyrażenia zgody na powołanie Przewodniczącego Komisji Rozwoju i Bezpieczeństwa Sztucznej Inteligencji w terminie miesiąca od dnia przekazania Senatowi uchwały Sejmu w sprawie  powołania Przewodniczącego Komisji Rozwoju i Bezpieczeństwa Sztucznej Inteligencji. Niepodjęcie uchwały przez Senat w terminie miesiąca oznacza wyrażenie zgody.”,</w:t>
            </w:r>
          </w:p>
          <w:p w14:paraId="76A70C90" w14:textId="77777777" w:rsidR="0073205F" w:rsidRPr="00922A49" w:rsidRDefault="0073205F" w:rsidP="00922A49">
            <w:pPr>
              <w:pStyle w:val="LITERAWUCHWALESENACKIEJ"/>
            </w:pPr>
            <w:r>
              <w:t>c)</w:t>
            </w:r>
            <w:r>
              <w:tab/>
            </w:r>
            <w:r w:rsidRPr="00922A49">
              <w:t>ust. 3 otrzymuje brzmienie:</w:t>
            </w:r>
          </w:p>
          <w:p w14:paraId="0199E744" w14:textId="77777777" w:rsidR="0073205F" w:rsidRPr="00922A49" w:rsidRDefault="0073205F" w:rsidP="00922A49">
            <w:pPr>
              <w:pStyle w:val="USTustnpkodeksu"/>
            </w:pPr>
            <w:r w:rsidRPr="00661A6A">
              <w:t>„3. Pierwsze posiedzenie Komisji Rozwoju i Bezpieczeństwa Sztucznej Inteligencji zwołuje jej Przewodniczący w terminie miesiąca od dnia wyrażenia zgody na jego powołanie przez Senat.”</w:t>
            </w:r>
            <w:r w:rsidRPr="00922A49">
              <w:t>.</w:t>
            </w:r>
          </w:p>
        </w:tc>
      </w:tr>
    </w:tbl>
    <w:p w14:paraId="4D9312A2" w14:textId="77777777" w:rsidR="007F45EE" w:rsidRDefault="007F45EE" w:rsidP="007F45EE">
      <w:pPr>
        <w:pStyle w:val="POPIERAJCYPOPRAWKZAMIESZCZONWZESTAWIENIUWNIOSKW"/>
        <w:rPr>
          <w:color w:val="000000" w:themeColor="text1"/>
        </w:rPr>
      </w:pPr>
    </w:p>
    <w:p w14:paraId="1E3EA560" w14:textId="77777777" w:rsidR="007F45EE" w:rsidRDefault="007F45EE" w:rsidP="007F45EE">
      <w:pPr>
        <w:ind w:left="5443"/>
        <w:rPr>
          <w:rStyle w:val="Ppogrubienie"/>
        </w:rPr>
      </w:pPr>
      <w:r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645B0327" w14:textId="77777777" w:rsidR="007F45EE" w:rsidRDefault="007F45EE" w:rsidP="007F45EE">
      <w:pPr>
        <w:ind w:left="5103" w:firstLine="4"/>
        <w:rPr>
          <w:rStyle w:val="Ppogrubienie"/>
          <w:color w:val="000000" w:themeColor="text1"/>
        </w:rPr>
      </w:pPr>
    </w:p>
    <w:p w14:paraId="1294E09D" w14:textId="77777777" w:rsidR="007F45EE" w:rsidRDefault="007F45EE" w:rsidP="007F45EE">
      <w:pPr>
        <w:ind w:left="5103" w:firstLine="4"/>
        <w:rPr>
          <w:rStyle w:val="Ppogrubienie"/>
          <w:color w:val="000000" w:themeColor="text1"/>
        </w:rPr>
      </w:pPr>
    </w:p>
    <w:p w14:paraId="38DB97BB" w14:textId="77777777" w:rsidR="0073205F" w:rsidRDefault="007F45EE" w:rsidP="007F45EE">
      <w:pPr>
        <w:tabs>
          <w:tab w:val="left" w:pos="5387"/>
        </w:tabs>
        <w:ind w:left="4962" w:firstLine="283"/>
        <w:rPr>
          <w:rStyle w:val="Ppogrubienie"/>
          <w:color w:val="000000" w:themeColor="text1"/>
        </w:rPr>
        <w:sectPr w:rsidR="0073205F" w:rsidSect="00DE46AF">
          <w:headerReference w:type="default" r:id="rId10"/>
          <w:footnotePr>
            <w:numRestart w:val="eachSect"/>
          </w:footnotePr>
          <w:pgSz w:w="11906" w:h="16838"/>
          <w:pgMar w:top="1560" w:right="1434" w:bottom="1560" w:left="1418" w:header="709" w:footer="709" w:gutter="0"/>
          <w:pgNumType w:start="1"/>
          <w:cols w:space="708"/>
          <w:titlePg/>
          <w:docGrid w:linePitch="254"/>
        </w:sectPr>
      </w:pPr>
      <w:r>
        <w:rPr>
          <w:rStyle w:val="Ppogrubienie"/>
          <w:color w:val="000000" w:themeColor="text1"/>
        </w:rPr>
        <w:t>Małgorzata KIDAWA-BŁOŃSKA</w:t>
      </w:r>
    </w:p>
    <w:p w14:paraId="782F2500" w14:textId="77777777" w:rsidR="007F45EE" w:rsidRDefault="007F45EE" w:rsidP="007F45EE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color w:val="000000" w:themeColor="text1"/>
        </w:rPr>
      </w:pPr>
    </w:p>
    <w:p w14:paraId="43AB6883" w14:textId="77777777" w:rsidR="007F45EE" w:rsidRDefault="007F45EE" w:rsidP="007F45EE"/>
    <w:p w14:paraId="3B9423B2" w14:textId="77777777" w:rsidR="0073205F" w:rsidRDefault="0073205F" w:rsidP="008B4B25">
      <w:pPr>
        <w:pStyle w:val="OZNRODZAKTUtznustawalubrozporzdzenieiorganwydajcy"/>
      </w:pPr>
      <w:r>
        <w:t>uzasadnienie</w:t>
      </w:r>
    </w:p>
    <w:p w14:paraId="3D2A4200" w14:textId="77777777" w:rsidR="0073205F" w:rsidRDefault="0073205F" w:rsidP="00190F1B">
      <w:pPr>
        <w:pStyle w:val="NIEARTTEKSTtekstnieartykuowanynppodstprawnarozplubpreambua"/>
      </w:pPr>
      <w:r>
        <w:t xml:space="preserve">Na posiedzeniu w dniu </w:t>
      </w:r>
      <w:r w:rsidRPr="001C6452">
        <w:t>25 czerwca 2026 r.</w:t>
      </w:r>
      <w:r>
        <w:t xml:space="preserve"> Senat rozpatrzył ustawę o </w:t>
      </w:r>
      <w:r w:rsidRPr="00AD2663">
        <w:t>systemach sztucznej inteligencji</w:t>
      </w:r>
      <w:r>
        <w:t xml:space="preserve"> i uchwalił do niej 25 poprawek.</w:t>
      </w:r>
    </w:p>
    <w:p w14:paraId="1932C7C7" w14:textId="77777777" w:rsidR="0073205F" w:rsidRDefault="0073205F" w:rsidP="00C33474">
      <w:pPr>
        <w:pStyle w:val="ARTartustawynprozporzdzenia"/>
      </w:pPr>
      <w:r>
        <w:t>Z</w:t>
      </w:r>
      <w:r w:rsidRPr="00B70E73">
        <w:t>godnie z art. 28 ust. 1</w:t>
      </w:r>
      <w:r>
        <w:t xml:space="preserve"> ustawy o systemach sztucznej inteligencji</w:t>
      </w:r>
      <w:r w:rsidRPr="00B70E73">
        <w:t xml:space="preserve"> Przewodniczącego Komisji Rozwoju i Bezpieczeństwa Sztucznej Inteligencji powołuje i odwołuje Sejm za zgodą Senatu. W myśl art. 28 ust. 2 Senat podejmuje uchwałę w sprawie wyrażenia zgody na powołanie Przewodniczącego Komisji w terminie miesiąca od dnia przekazania Senatowi uchwały Sejmu w sprawie powołania Przewodniczącego Komisji, a niepodjęcie uchwały przez Senat w terminie miesiąca oznacza wyrażenie zgody. </w:t>
      </w:r>
      <w:r>
        <w:t xml:space="preserve">Senat zwrócił </w:t>
      </w:r>
      <w:r w:rsidRPr="00B70E73">
        <w:t>uwagę, że w art. 30, który wskazuje</w:t>
      </w:r>
      <w:r>
        <w:t>,</w:t>
      </w:r>
      <w:r w:rsidRPr="00B70E73">
        <w:t xml:space="preserve"> w jakich przypadkach Sejm za zgodą Senatu odwołuje Przewodniczącego Komisji przed upływem kadencji, nie przewidziano dla Senatu terminu na podjęcie uchwały w tej sprawie (brak jest odpowiednika regulacji z art. 28 ust. 2). W celu wyeliminowania ewentualnych problemów związanych z procedurą odwołania Przewodniczącego Komisji, </w:t>
      </w:r>
      <w:r>
        <w:t>Senat postanowił</w:t>
      </w:r>
      <w:r w:rsidRPr="00B70E73">
        <w:t xml:space="preserve"> uzupełnić ustawę o stosowny przepis</w:t>
      </w:r>
      <w:r>
        <w:t xml:space="preserve"> (poprawka nr 4).</w:t>
      </w:r>
    </w:p>
    <w:p w14:paraId="4C26E599" w14:textId="77777777" w:rsidR="0073205F" w:rsidRPr="00B70E73" w:rsidRDefault="0073205F" w:rsidP="00315C7B">
      <w:pPr>
        <w:pStyle w:val="ARTartustawynprozporzdzenia"/>
      </w:pPr>
      <w:r>
        <w:t>Z kolei w myśl</w:t>
      </w:r>
      <w:r w:rsidRPr="00B70E73">
        <w:t xml:space="preserve"> przepi</w:t>
      </w:r>
      <w:r>
        <w:t>su</w:t>
      </w:r>
      <w:r w:rsidRPr="00B70E73">
        <w:t xml:space="preserve"> dostoso</w:t>
      </w:r>
      <w:r>
        <w:t>wującego</w:t>
      </w:r>
      <w:r w:rsidRPr="00B70E73">
        <w:t xml:space="preserve"> (art. 126 ust. 2) Sejm za zgodą Senatu m</w:t>
      </w:r>
      <w:r>
        <w:t>a</w:t>
      </w:r>
      <w:r w:rsidRPr="00B70E73">
        <w:t xml:space="preserve"> powołać Przewodniczącego Komisji w terminie 2 miesięcy od dnia wejścia w życie ustawy. Należy</w:t>
      </w:r>
      <w:r>
        <w:t xml:space="preserve"> jednak</w:t>
      </w:r>
      <w:r w:rsidRPr="00B70E73">
        <w:t xml:space="preserve"> zwrócić uwagę, że przepis ten nie jest skorelowany z art. 28 ust. 2, zgodnie z</w:t>
      </w:r>
      <w:r>
        <w:t> </w:t>
      </w:r>
      <w:r w:rsidRPr="00B70E73">
        <w:t xml:space="preserve">którym Senat podejmuje uchwałę w sprawie wyrażenia zgody na powołanie Przewodniczącego Komisji w terminie miesiąca od dnia przekazania Senatowi uchwały Sejmu w sprawie powołania Przewodniczącego Komisji. Można się domyślać, że procedura określona w art. 126 ust. 2 i 3 będzie stanowiła </w:t>
      </w:r>
      <w:r w:rsidRPr="00B70E73">
        <w:rPr>
          <w:rStyle w:val="Kkursywa"/>
        </w:rPr>
        <w:t>lex specialis</w:t>
      </w:r>
      <w:r w:rsidRPr="00B70E73">
        <w:t xml:space="preserve"> w stosunku do art. 28 ust. 2. Innymi słowy, że art. 28 ust. 2 nie znajdzie zastosowania do powołania Przewodniczącego Komisji pierwszej kadencji.</w:t>
      </w:r>
      <w:r>
        <w:t xml:space="preserve"> </w:t>
      </w:r>
      <w:r w:rsidRPr="00B70E73">
        <w:t xml:space="preserve">W związku z tym, że przepis dostosowujący nie wprowadza terminu granicznego na podjęcie uchwały w sprawie powołania pierwszego Przewodniczącego Komisji przez Sejm, może on stać się </w:t>
      </w:r>
      <w:r w:rsidRPr="00B70E73">
        <w:rPr>
          <w:rStyle w:val="Kkursywa"/>
        </w:rPr>
        <w:t>sui generis</w:t>
      </w:r>
      <w:r w:rsidRPr="00B70E73">
        <w:t xml:space="preserve"> pułapką proceduralną dla Senatu. Może się bowiem okazać, że</w:t>
      </w:r>
      <w:r>
        <w:t> </w:t>
      </w:r>
      <w:r w:rsidRPr="00B70E73">
        <w:t>jeżeli Sejm podejmie uchwałę zbyt późno, nie będzie możliwości zwołania Senatu i podjęcia decyzji w sprawie wyrażenia zgody na powołanie Przewodniczącego Komisji w terminie wskazanym w art. 126 ust. 2 albo że uprawnienie Senatu będzie iluzoryczne (nie będzie on miał czasu na refleksję).</w:t>
      </w:r>
    </w:p>
    <w:p w14:paraId="0B43034A" w14:textId="77777777" w:rsidR="0073205F" w:rsidRDefault="0073205F" w:rsidP="00B70E73">
      <w:pPr>
        <w:pStyle w:val="ARTartustawynprozporzdzenia"/>
      </w:pPr>
      <w:r w:rsidRPr="00B70E73">
        <w:lastRenderedPageBreak/>
        <w:t xml:space="preserve">Dodatkowo </w:t>
      </w:r>
      <w:r>
        <w:t xml:space="preserve">Senat zwrócił </w:t>
      </w:r>
      <w:r w:rsidRPr="00B70E73">
        <w:t>uwagę, że przepis art. 126 ust. 3, który przewiduje, że pierwsze posiedzenie Komisji zwoła jej Przewodniczący w terminie 3 miesięcy od dnia wejścia w życie</w:t>
      </w:r>
      <w:r w:rsidRPr="00C175B6">
        <w:t xml:space="preserve"> </w:t>
      </w:r>
      <w:r w:rsidRPr="00B70E73">
        <w:t>ustawy, może być trudny do zrealizowania albo wręcz niewykonalny, w sytuacji, w której Przewodniczący nie zostanie powołany w terminie. Można sobie bowiem wyobrazić, że</w:t>
      </w:r>
      <w:r>
        <w:t> </w:t>
      </w:r>
      <w:r w:rsidRPr="00B70E73">
        <w:t xml:space="preserve">procedura powołania będzie trwała dłużej niż zakładane 2 miesiące, chociażby z powodu braku zgody Senatu na osobę powołaną przez Sejm. </w:t>
      </w:r>
    </w:p>
    <w:p w14:paraId="24E1E628" w14:textId="77777777" w:rsidR="0073205F" w:rsidRDefault="0073205F" w:rsidP="00382BE7">
      <w:pPr>
        <w:pStyle w:val="ARTartustawynprozporzdzenia"/>
      </w:pPr>
      <w:r>
        <w:t>Uwzględniając powyższe wątpliwości, Senat uchwalił poprawkę nr 25, w której wskazał, że:</w:t>
      </w:r>
    </w:p>
    <w:p w14:paraId="09474FD2" w14:textId="77777777" w:rsidR="0073205F" w:rsidRPr="00382BE7" w:rsidRDefault="0073205F" w:rsidP="00382BE7">
      <w:pPr>
        <w:pStyle w:val="PKTpunkt"/>
      </w:pPr>
      <w:r>
        <w:t>1)</w:t>
      </w:r>
      <w:r>
        <w:tab/>
      </w:r>
      <w:r w:rsidRPr="00382BE7">
        <w:t>Sejm powoł</w:t>
      </w:r>
      <w:r>
        <w:t>a</w:t>
      </w:r>
      <w:r w:rsidRPr="00382BE7">
        <w:t xml:space="preserve"> Przewodniczącego Komisji w terminie miesiąca od dnia wejścia w życie ustawy</w:t>
      </w:r>
      <w:r>
        <w:t xml:space="preserve">; </w:t>
      </w:r>
    </w:p>
    <w:p w14:paraId="0FCDE31D" w14:textId="77777777" w:rsidR="0073205F" w:rsidRPr="00382BE7" w:rsidRDefault="0073205F" w:rsidP="00382BE7">
      <w:pPr>
        <w:pStyle w:val="PKTpunkt"/>
      </w:pPr>
      <w:r>
        <w:t>2)</w:t>
      </w:r>
      <w:r>
        <w:tab/>
      </w:r>
      <w:r w:rsidRPr="00382BE7">
        <w:t>Senat podejm</w:t>
      </w:r>
      <w:r>
        <w:t>ie</w:t>
      </w:r>
      <w:r w:rsidRPr="00382BE7">
        <w:t xml:space="preserve"> uchwałę w sprawie wyrażenia zgody na powołanie Przewodniczącego Komisji w terminie miesiąca od dnia przekazania Senatowi uchwały Sejmu w sprawie powołania</w:t>
      </w:r>
      <w:r>
        <w:t>, zaś n</w:t>
      </w:r>
      <w:r w:rsidRPr="00382BE7">
        <w:t>iepodjęcie uchwały przez Senat w terminie miesiąca oznacza</w:t>
      </w:r>
      <w:r>
        <w:t>ć</w:t>
      </w:r>
      <w:r w:rsidRPr="00382BE7">
        <w:t xml:space="preserve"> </w:t>
      </w:r>
      <w:r>
        <w:t xml:space="preserve">będzie </w:t>
      </w:r>
      <w:r w:rsidRPr="00382BE7">
        <w:t>wyrażenie zgody</w:t>
      </w:r>
      <w:r>
        <w:t>;</w:t>
      </w:r>
    </w:p>
    <w:p w14:paraId="688E8F5F" w14:textId="77777777" w:rsidR="0073205F" w:rsidRDefault="0073205F" w:rsidP="00382BE7">
      <w:pPr>
        <w:pStyle w:val="PKTpunkt"/>
      </w:pPr>
      <w:r>
        <w:t>3)</w:t>
      </w:r>
      <w:r>
        <w:tab/>
        <w:t>p</w:t>
      </w:r>
      <w:r w:rsidRPr="00382BE7">
        <w:t>ierwsze posiedzenie Komisji zwoł</w:t>
      </w:r>
      <w:r>
        <w:t>a</w:t>
      </w:r>
      <w:r w:rsidRPr="00382BE7">
        <w:t xml:space="preserve"> jej Przewodniczący w terminie miesiąca od dnia wyrażenia zgody na jego powołanie przez Senat.</w:t>
      </w:r>
    </w:p>
    <w:p w14:paraId="401F266C" w14:textId="77777777" w:rsidR="0073205F" w:rsidRDefault="0073205F" w:rsidP="00B811CD">
      <w:pPr>
        <w:pStyle w:val="ARTartustawynprozporzdzenia"/>
      </w:pPr>
      <w:r>
        <w:t>W myśl</w:t>
      </w:r>
      <w:r w:rsidRPr="00887A80">
        <w:t xml:space="preserve"> art. 35 ust. 1 Przewodniczący Komisji i Zastępcy Przewodniczącego Komisji będą obowiązani do złożenia oświadczenia o swoim stanie majątkowym na zasadach określonych w art. 10 ust. 1 ustawy z dnia 21 sierpnia 1997 r. o ograniczeniu prowadzenia działalności gospodarczej przez osoby pełniące funkcje publiczne. Oświadczenie o stanie majątkowym ma być opatrywane kwalifikowanym podpisem elektronicznym i składane ministrowi właściwemu do spraw informatyzacji w postaci elektronicznej, zaś w sprawach nieuregulowanych w ustawie do oświadczeń majątkowych będzie stosowana odpowiednio ustawa o ograniczeniu prowadzenia działalności gospodarczej przez osoby pełniące funkcje publiczne. </w:t>
      </w:r>
      <w:r>
        <w:t xml:space="preserve">Senat zwrócił </w:t>
      </w:r>
      <w:r w:rsidRPr="00887A80">
        <w:t>uwagę, że kwestia oświadczeń majątkowych Przewodniczącego Komisji i jego zastępców została również uregulowana w art. 119 wprowadzającym zmiany do ustawy z dnia o ograniczeniu prowadzenia działalności gospodarczej przez osoby pełniące funkcje publiczne. Zgodnie ze zmienianym art. 10 ust. 6 tej ustawy (art. 119 lit. b), Przewodniczący Komisji będzie składał oświadczenie majątkowe Prezesowi Rady Ministrów, a Zastępcy – Przewodniczącemu Komisji. W związku z tym, że pomiędzy wskazanymi wyżej regulacjami zachodzi sprzeczność, należało dokonać odpowiedniej korekty.</w:t>
      </w:r>
      <w:r>
        <w:t xml:space="preserve"> Uwzględniając fakt, że </w:t>
      </w:r>
      <w:r w:rsidRPr="00887A80">
        <w:t xml:space="preserve">intencją </w:t>
      </w:r>
      <w:r>
        <w:t xml:space="preserve">ustawodawcy </w:t>
      </w:r>
      <w:r w:rsidRPr="00887A80">
        <w:t xml:space="preserve">jest uregulowanie zasad składania oświadczeń majątkowych </w:t>
      </w:r>
      <w:r w:rsidRPr="00887A80">
        <w:lastRenderedPageBreak/>
        <w:t xml:space="preserve">przez Przewodniczącego Komisji i jego zastępców </w:t>
      </w:r>
      <w:r>
        <w:t xml:space="preserve">wyłącznie </w:t>
      </w:r>
      <w:r w:rsidRPr="00887A80">
        <w:t xml:space="preserve">w ustawie o ograniczeniu prowadzenia działalności gospodarczej przez osoby pełniące funkcje publiczne, </w:t>
      </w:r>
      <w:r>
        <w:t xml:space="preserve">Senat uchwalił </w:t>
      </w:r>
      <w:r w:rsidRPr="00B811CD">
        <w:t>poprawkę nr</w:t>
      </w:r>
      <w:r>
        <w:t> </w:t>
      </w:r>
      <w:r w:rsidRPr="00B811CD">
        <w:t>5, która polega na wyeliminowaniu z ustawy art. 35.</w:t>
      </w:r>
    </w:p>
    <w:p w14:paraId="0611E131" w14:textId="77777777" w:rsidR="0073205F" w:rsidRPr="00B811CD" w:rsidRDefault="0073205F" w:rsidP="00B811CD">
      <w:pPr>
        <w:pStyle w:val="ARTartustawynprozporzdzenia"/>
      </w:pPr>
      <w:r>
        <w:t>Ponadto Senat zwrócił uwagę na p</w:t>
      </w:r>
      <w:r w:rsidRPr="00B811CD">
        <w:t>rzepis art. 119</w:t>
      </w:r>
      <w:r>
        <w:t xml:space="preserve"> lit. b, który</w:t>
      </w:r>
      <w:r w:rsidRPr="00B811CD">
        <w:t xml:space="preserve"> wprowadza zmiany w</w:t>
      </w:r>
      <w:r>
        <w:t> </w:t>
      </w:r>
      <w:r w:rsidRPr="00B811CD">
        <w:t>ustawie o</w:t>
      </w:r>
      <w:r>
        <w:t xml:space="preserve"> </w:t>
      </w:r>
      <w:r w:rsidRPr="00B811CD">
        <w:t>ograniczeniu prowadzenia działalności gospodarczej przez osoby pełniące funkcje publiczne dotyczące włączenia Przewodniczącego Komisji i jego zastępców do katalogu podmiotów objętych ograniczeniami w zakresie prowadzenia, określonej w art. 4 zmienianej ustawy, działalności gospodarczej, aktywności w spółkach prawa handlowego, spółdzielniach i</w:t>
      </w:r>
      <w:r>
        <w:t> </w:t>
      </w:r>
      <w:r w:rsidRPr="00B811CD">
        <w:t xml:space="preserve">fundacjach. W tym kontekście </w:t>
      </w:r>
      <w:r>
        <w:t>niezbędne jest znowelizowanie również</w:t>
      </w:r>
      <w:r w:rsidRPr="00B811CD">
        <w:t xml:space="preserve"> art. 5 tej ustawy, który określa sankcje za naruszenie zakazów, o których mowa w art. 4. Zgodnie z aktualnym brzmieniem art. 5 naruszenie zakazów, o których mowa w art. 4, przez osoby:</w:t>
      </w:r>
    </w:p>
    <w:p w14:paraId="76F8D41D" w14:textId="77777777" w:rsidR="0073205F" w:rsidRPr="00B811CD" w:rsidRDefault="0073205F" w:rsidP="00733F40">
      <w:pPr>
        <w:pStyle w:val="PKTpunkt"/>
      </w:pPr>
      <w:r w:rsidRPr="00B811CD">
        <w:t>1)</w:t>
      </w:r>
      <w:r w:rsidRPr="00B811CD">
        <w:tab/>
        <w:t>wymienione w art. 2 pkt 1–4 stanowi przewinienie służbowe, które podlega odpowiedzialności dyscyplinarnej lub stanowi podstawę do rozwiązania stosunku pracy bez wypowiedzenia z winy pracownika;</w:t>
      </w:r>
    </w:p>
    <w:p w14:paraId="42EE4908" w14:textId="77777777" w:rsidR="0073205F" w:rsidRPr="00B811CD" w:rsidRDefault="0073205F" w:rsidP="00733F40">
      <w:pPr>
        <w:pStyle w:val="PKTpunkt"/>
      </w:pPr>
      <w:r w:rsidRPr="00B811CD">
        <w:t>2)</w:t>
      </w:r>
      <w:r w:rsidRPr="00B811CD">
        <w:tab/>
        <w:t xml:space="preserve">wymienione w art. 2 pkt 5 i 7–10 stanowi podstawę do odwołania ze stanowiska. </w:t>
      </w:r>
    </w:p>
    <w:p w14:paraId="4A749258" w14:textId="77777777" w:rsidR="0073205F" w:rsidRPr="00B811CD" w:rsidRDefault="0073205F" w:rsidP="00B811CD">
      <w:pPr>
        <w:pStyle w:val="ARTartustawynprozporzdzenia"/>
      </w:pPr>
      <w:r w:rsidRPr="00B811CD">
        <w:t>Należy zauważyć, że Przewodniczący Komisji i jego zastępcy znajdą się w katalogu wskazanym w pkt 1, co jest niespójne z regulacjami ustawy o systemach sztucznej inteligencji, w tym z art. 34, który stanowi, że powołanie Przewodniczącego Komisji i Zastępców Przewodniczącego Komisji stanowi nawiązanie stosunku pracy na podstawie powołania w</w:t>
      </w:r>
      <w:r>
        <w:t> </w:t>
      </w:r>
      <w:r w:rsidRPr="00B811CD">
        <w:t>rozumieniu ustawy</w:t>
      </w:r>
      <w:r>
        <w:t xml:space="preserve"> </w:t>
      </w:r>
      <w:r w:rsidRPr="00B811CD">
        <w:t>– Kodeks pracy. Przede wszystkim zaś nie da się tego pogodzić z art. 30 ust. 1 ustawy o systemach sztucznej inteligencji, który określa zamknięty katalog okoliczności, w których można odwołać Przewodniczącego Komisji.</w:t>
      </w:r>
    </w:p>
    <w:p w14:paraId="751F1D05" w14:textId="77777777" w:rsidR="0073205F" w:rsidRDefault="0073205F" w:rsidP="00B811CD">
      <w:pPr>
        <w:pStyle w:val="ARTartustawynprozporzdzenia"/>
      </w:pPr>
      <w:r>
        <w:t>Senat z</w:t>
      </w:r>
      <w:r w:rsidRPr="00B811CD">
        <w:t>wr</w:t>
      </w:r>
      <w:r>
        <w:t>ócił</w:t>
      </w:r>
      <w:r w:rsidRPr="00B811CD">
        <w:t xml:space="preserve"> również uwagę </w:t>
      </w:r>
      <w:r>
        <w:t xml:space="preserve">na </w:t>
      </w:r>
      <w:r w:rsidRPr="00B811CD">
        <w:t>brak korelacji pomiędzy art. 37 ustawy o systemach sztucznej inteligencji, a zakazami prowadzenia działalności gospodarczej określonymi w  art.</w:t>
      </w:r>
      <w:r>
        <w:t> </w:t>
      </w:r>
      <w:r w:rsidRPr="00B811CD">
        <w:t xml:space="preserve">4 ustawy o ograniczeniu prowadzenia działalności gospodarczej przez osoby pełniące funkcje publiczne. Nie wiadomo na przykład, czy art. 37 ustawy </w:t>
      </w:r>
      <w:r>
        <w:t xml:space="preserve">o systemach sztucznej inteligencji </w:t>
      </w:r>
      <w:r w:rsidRPr="00B811CD">
        <w:t xml:space="preserve">stanowi wyjątek w stosunku do art. 4 ustawy </w:t>
      </w:r>
      <w:bookmarkStart w:id="0" w:name="_Hlk233274584"/>
      <w:r w:rsidRPr="00B811CD">
        <w:t>o ograniczeniu prowadzenia działalności gospodarczej przez osoby pełniące funkcje publiczne</w:t>
      </w:r>
      <w:bookmarkEnd w:id="0"/>
      <w:r w:rsidRPr="00B811CD">
        <w:t>, czy uzupełnia ten artykuł.</w:t>
      </w:r>
    </w:p>
    <w:p w14:paraId="45A94DF7" w14:textId="77777777" w:rsidR="0073205F" w:rsidRPr="00B811CD" w:rsidRDefault="0073205F" w:rsidP="00B811CD">
      <w:pPr>
        <w:pStyle w:val="ARTartustawynprozporzdzenia"/>
      </w:pPr>
      <w:r>
        <w:t xml:space="preserve">Uwzględniając stanowisko projektodawców, Senat uchwalił poprawki nr 7 i 24, w których przesądzono jednoznacznie, że </w:t>
      </w:r>
      <w:r w:rsidRPr="00733F40">
        <w:t xml:space="preserve">Przewodniczącego Komisji i jego zastępców będą dotyczyły zakazy prowadzenia określonej działalności wynikające z </w:t>
      </w:r>
      <w:r>
        <w:t xml:space="preserve">art. 37 </w:t>
      </w:r>
      <w:r w:rsidRPr="00733F40">
        <w:t>ustawy o systemach sztucznej inteligencji</w:t>
      </w:r>
      <w:r>
        <w:t xml:space="preserve">. Tym samym wyłączono w odniesieniu do tych podmiotów stosowanie art. 4 </w:t>
      </w:r>
      <w:bookmarkStart w:id="1" w:name="_Hlk233274965"/>
      <w:r>
        <w:lastRenderedPageBreak/>
        <w:t xml:space="preserve">ustawy </w:t>
      </w:r>
      <w:r w:rsidRPr="00733F40">
        <w:t>o ograniczeniu prowadzenia działalności gospodarczej przez osoby pełniące funkcje publ</w:t>
      </w:r>
      <w:r>
        <w:t>iczne</w:t>
      </w:r>
      <w:bookmarkEnd w:id="1"/>
      <w:r>
        <w:t xml:space="preserve">. Ponadto dokonano zmiany art. 5 ust. 1 pkt 1 </w:t>
      </w:r>
      <w:r w:rsidRPr="007C00DA">
        <w:t>ustawy o ograniczeniu prowadzenia działalności gospodarczej przez osoby pełniące funkcje publiczne</w:t>
      </w:r>
      <w:r>
        <w:t xml:space="preserve">, zmierzającej do usunięcia </w:t>
      </w:r>
      <w:r w:rsidRPr="00733F40">
        <w:t>sprzecznoś</w:t>
      </w:r>
      <w:r>
        <w:t>ci</w:t>
      </w:r>
      <w:r w:rsidRPr="00733F40">
        <w:t xml:space="preserve"> pomiędzy </w:t>
      </w:r>
      <w:r>
        <w:t xml:space="preserve">tą </w:t>
      </w:r>
      <w:r w:rsidRPr="00733F40">
        <w:t>ustawą,</w:t>
      </w:r>
      <w:r>
        <w:t xml:space="preserve"> a </w:t>
      </w:r>
      <w:r w:rsidRPr="00733F40">
        <w:t>ustawą o systemach sztucznej inteligencji, w zakresie skutków naruszenia zakazu wykonywania określonej działalności przez Przewodniczącego Komisji i jego zastępców.</w:t>
      </w:r>
      <w:r>
        <w:t xml:space="preserve"> Skutkiem naruszenia zakazów wynikających z art. 37 ustawy o systemach sztucznej inteligencji będzie w przypadku Przewodniczego Komisji konieczność odwołania go ze stanowiska przez Sejm za zgodą Senatu na wniosek Społecznej Rady do spraw Sztucznej Inteligencji, zaś w przypadku zastępcy – konieczność odwołania go przez Przewodniczącego Komisji. </w:t>
      </w:r>
    </w:p>
    <w:p w14:paraId="0B20CE08" w14:textId="77777777" w:rsidR="0073205F" w:rsidRPr="00767800" w:rsidRDefault="0073205F" w:rsidP="00382BE7">
      <w:pPr>
        <w:pStyle w:val="ARTartustawynprozporzdzenia"/>
      </w:pPr>
      <w:r>
        <w:t>W</w:t>
      </w:r>
      <w:r w:rsidRPr="00382BE7">
        <w:t xml:space="preserve"> </w:t>
      </w:r>
      <w:r>
        <w:t xml:space="preserve">przepisach </w:t>
      </w:r>
      <w:r w:rsidRPr="00382BE7">
        <w:t>art. 22 pkt 2</w:t>
      </w:r>
      <w:r>
        <w:t xml:space="preserve">, </w:t>
      </w:r>
      <w:r w:rsidRPr="00382BE7">
        <w:t xml:space="preserve">art. 41 pkt 5 </w:t>
      </w:r>
      <w:r>
        <w:t xml:space="preserve">i </w:t>
      </w:r>
      <w:r w:rsidRPr="00382BE7">
        <w:t>art. 73 ust. 2</w:t>
      </w:r>
      <w:r>
        <w:t xml:space="preserve"> </w:t>
      </w:r>
      <w:r w:rsidRPr="00382BE7">
        <w:t>sformułowano odesłanie do „odrębnych przepisów”. Takie blankietowe odesłanie nie spełnia standardów określonych w</w:t>
      </w:r>
      <w:r>
        <w:t> </w:t>
      </w:r>
      <w:r w:rsidRPr="00382BE7">
        <w:t>§</w:t>
      </w:r>
      <w:r>
        <w:t> </w:t>
      </w:r>
      <w:r w:rsidRPr="00382BE7">
        <w:t>156 Zasad techniki prawodawczej (zwanych dalej „ZTP”) oraz jest niezgodne z dobrą praktyką legislacyjną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>
        <w:t xml:space="preserve">. </w:t>
      </w:r>
      <w:r w:rsidRPr="00310BF1">
        <w:t>W</w:t>
      </w:r>
      <w:r>
        <w:t> </w:t>
      </w:r>
      <w:r w:rsidRPr="00310BF1">
        <w:t>przepisach należy unikać posługiwania się wyrażeniem „przepisy odrębne”, ponieważ jest to niewłaściwa metoda konstruowania odesłań. Nie informuje bowiem precyzyjnie adresata aktu, które normy ma w danej sytuacji zastosować. Należało</w:t>
      </w:r>
      <w:r>
        <w:t>by</w:t>
      </w:r>
      <w:r w:rsidRPr="00310BF1">
        <w:t xml:space="preserve"> zatem wskazać konkretne akty prawne, do</w:t>
      </w:r>
      <w:r>
        <w:t> </w:t>
      </w:r>
      <w:r w:rsidRPr="00310BF1">
        <w:t>których się odsyła albo zrezygnować z odesłania w tych przypadkach, w których nie ma ono wartości normatywnej.</w:t>
      </w:r>
      <w:r>
        <w:t xml:space="preserve"> W przyjętych poprawkach </w:t>
      </w:r>
      <w:r w:rsidRPr="002C0234">
        <w:t>nr 2, 11 i 16</w:t>
      </w:r>
      <w:r>
        <w:t xml:space="preserve"> ograniczono się do zmodyfikowania tych przepisów ustawy o systemach sztucznej inteligencji, w których odesłanie do „odrębnych przepisów” nie ma wartości normatywnej. Pozostawiono natomiast bez zmian przepisy, w których wyeliminowanie takiego odesłania miałoby charakter zmiany merytorycznej. </w:t>
      </w:r>
    </w:p>
    <w:p w14:paraId="048CBF75" w14:textId="77777777" w:rsidR="0073205F" w:rsidRDefault="0073205F" w:rsidP="00382BE7">
      <w:pPr>
        <w:pStyle w:val="ARTartustawynprozporzdzenia"/>
      </w:pPr>
      <w:r>
        <w:t>Senat</w:t>
      </w:r>
      <w:r w:rsidRPr="00887A80">
        <w:t xml:space="preserve"> zwróci</w:t>
      </w:r>
      <w:r>
        <w:t>ł</w:t>
      </w:r>
      <w:r w:rsidRPr="00887A80">
        <w:t xml:space="preserve"> </w:t>
      </w:r>
      <w:r>
        <w:t xml:space="preserve">ponadto </w:t>
      </w:r>
      <w:r w:rsidRPr="00887A80">
        <w:t xml:space="preserve">uwagę, że sformułowanie „a także wnioski wynikające ze stanu przestrzegania przepisów o systemach sztucznej inteligencji” </w:t>
      </w:r>
      <w:r>
        <w:t xml:space="preserve">użyte w </w:t>
      </w:r>
      <w:r w:rsidRPr="00887A80">
        <w:t>art. 26 ust. 2 pkt 3 nie jest skorelowane z wprowadzeniem do wyliczenia („Sprawozdanie (…) zawiera informacje</w:t>
      </w:r>
      <w:r>
        <w:t> </w:t>
      </w:r>
      <w:r w:rsidRPr="00887A80">
        <w:t xml:space="preserve">o:”). W celu </w:t>
      </w:r>
      <w:r>
        <w:t>zapewnienia poprawności językowej pkt 3</w:t>
      </w:r>
      <w:r w:rsidRPr="00887A80">
        <w:t>,</w:t>
      </w:r>
      <w:r>
        <w:t xml:space="preserve"> uchwalono poprawkę </w:t>
      </w:r>
      <w:r w:rsidRPr="002C0234">
        <w:t>nr 3</w:t>
      </w:r>
      <w:r>
        <w:t xml:space="preserve">. </w:t>
      </w:r>
    </w:p>
    <w:p w14:paraId="2699A7F9" w14:textId="77777777" w:rsidR="0073205F" w:rsidRDefault="0073205F" w:rsidP="00382BE7">
      <w:pPr>
        <w:pStyle w:val="ARTartustawynprozporzdzenia"/>
      </w:pPr>
      <w:r>
        <w:t xml:space="preserve">W przepisach </w:t>
      </w:r>
      <w:r w:rsidRPr="00887A80">
        <w:t>art. 37, art. 38 ust. 1, art. 39 ust. 1, art. 40, art. 43 ust. 1</w:t>
      </w:r>
      <w:r>
        <w:t xml:space="preserve"> oraz </w:t>
      </w:r>
      <w:r w:rsidRPr="00887A80">
        <w:t>art. 44 ust. 2 i</w:t>
      </w:r>
      <w:r>
        <w:t> </w:t>
      </w:r>
      <w:r w:rsidRPr="00887A80">
        <w:t>3 posłużono się nieprecyzyjną formułą „pracownicy i osoby zatrudnione na podstawie umowy o</w:t>
      </w:r>
      <w:r>
        <w:t> </w:t>
      </w:r>
      <w:r w:rsidRPr="00887A80">
        <w:t xml:space="preserve">dzieło, umowy zlecenia, umowy agencyjnej albo innych umów o podobnym charakterze”. Zgodnie z </w:t>
      </w:r>
      <w:r>
        <w:t xml:space="preserve">ustawą – </w:t>
      </w:r>
      <w:r w:rsidRPr="00887A80">
        <w:t xml:space="preserve">Kodeks pracy zatrudnienie wiąże się ze świadczeniem pracy na podstawie </w:t>
      </w:r>
      <w:r w:rsidRPr="00887A80">
        <w:lastRenderedPageBreak/>
        <w:t>umowy o pracę, powołania, wyboru, mianowania lub spółdzielczej umowy o</w:t>
      </w:r>
      <w:r>
        <w:t> </w:t>
      </w:r>
      <w:r w:rsidRPr="00887A80">
        <w:t>pracę. W</w:t>
      </w:r>
      <w:r>
        <w:t> </w:t>
      </w:r>
      <w:r w:rsidRPr="00887A80">
        <w:t xml:space="preserve">przypadku wykonywania pracy na podstawie umów cywilnoprawnych nie powinno się mówić o zatrudnieniu, ponieważ może to wprowadzać w błąd. </w:t>
      </w:r>
      <w:r>
        <w:t>Senat zaproponował w związku z t</w:t>
      </w:r>
      <w:r w:rsidRPr="00D72A3D">
        <w:t xml:space="preserve">ym poprawki nr </w:t>
      </w:r>
      <w:r>
        <w:t>6</w:t>
      </w:r>
      <w:r w:rsidRPr="00D72A3D">
        <w:t>, 8 i 12.</w:t>
      </w:r>
      <w:r>
        <w:t xml:space="preserve"> </w:t>
      </w:r>
    </w:p>
    <w:p w14:paraId="6FCDC555" w14:textId="77777777" w:rsidR="0073205F" w:rsidRDefault="0073205F" w:rsidP="00382BE7">
      <w:pPr>
        <w:pStyle w:val="ARTartustawynprozporzdzenia"/>
      </w:pPr>
      <w:r>
        <w:t>W</w:t>
      </w:r>
      <w:r w:rsidRPr="00887A80">
        <w:t xml:space="preserve"> art. 44 w ust. 2 w zdaniu pierwszym jest mowa o pracownikach i innych osobach, którzy mogą być upoważnieni przez Komisję do wykonywania określonych zadań. Zdanie drugie odnosi się natomiast </w:t>
      </w:r>
      <w:r>
        <w:t>wyłącznie</w:t>
      </w:r>
      <w:r w:rsidRPr="00887A80">
        <w:t xml:space="preserve"> do „osób, o których mowa w zdaniu pierwszym”, pomijając pracowników. </w:t>
      </w:r>
      <w:r>
        <w:t xml:space="preserve">Skoro </w:t>
      </w:r>
      <w:r w:rsidRPr="00887A80">
        <w:t>intencją ustawodawcy jest, aby zdanie drugie obejmowało również pracowników</w:t>
      </w:r>
      <w:r>
        <w:t xml:space="preserve">, należy </w:t>
      </w:r>
      <w:r w:rsidRPr="00887A80">
        <w:t>dokonać stosownej korekty. Podobny problem dotyczy ust. 3 w</w:t>
      </w:r>
      <w:r>
        <w:t> </w:t>
      </w:r>
      <w:r w:rsidRPr="00887A80">
        <w:t>art. 44. Dodatkowo w ust. 3 niekonsekwentnie posłużono się sformułowaniami „załatwianie zadań” i</w:t>
      </w:r>
      <w:r>
        <w:t> </w:t>
      </w:r>
      <w:r w:rsidRPr="00887A80">
        <w:t>„załatwianie spraw”. Zgodnie z § 10 ZTP do oznaczenia jednakowych pojęć używa się jednakowych określeń, a różnych pojęć nie oznacza się tymi samymi określeniami.</w:t>
      </w:r>
      <w:r>
        <w:t xml:space="preserve"> Mając na uwadze powyższe, Senat uchwalił </w:t>
      </w:r>
      <w:r w:rsidRPr="00D72A3D">
        <w:t>poprawkę nr 13.</w:t>
      </w:r>
    </w:p>
    <w:p w14:paraId="441851D4" w14:textId="77777777" w:rsidR="0073205F" w:rsidRDefault="0073205F" w:rsidP="00382BE7">
      <w:pPr>
        <w:pStyle w:val="ARTartustawynprozporzdzenia"/>
      </w:pPr>
      <w:r>
        <w:t xml:space="preserve">Przepis </w:t>
      </w:r>
      <w:r w:rsidRPr="004D2230">
        <w:t>art. 60 ust. 5 wskazuje, że Komisja rozpatrując skargę, w przypadku stwierdzenia możliwości naruszenia rozporządzenia 2024/1689 lub ustawy</w:t>
      </w:r>
      <w:r>
        <w:t>,</w:t>
      </w:r>
      <w:r w:rsidRPr="004D2230">
        <w:t xml:space="preserve"> wszczyna postępowanie z</w:t>
      </w:r>
      <w:r>
        <w:t> </w:t>
      </w:r>
      <w:r w:rsidRPr="004D2230">
        <w:t>urzędu. Porównanie tej regulacji z art. 59 pkt 1 lit. b prowadzi do wniosku, że przepisy te</w:t>
      </w:r>
      <w:r>
        <w:t> </w:t>
      </w:r>
      <w:r w:rsidRPr="004D2230">
        <w:t>regulują tę samą kwestię (art. 60 ust. 5 jest powtórzeniem normy wynikającej z art. 59 pkt 1 lit.</w:t>
      </w:r>
      <w:r>
        <w:t> </w:t>
      </w:r>
      <w:r w:rsidRPr="004D2230">
        <w:t xml:space="preserve">b). W związku z powyższym </w:t>
      </w:r>
      <w:r>
        <w:t xml:space="preserve">Senat zaproponował </w:t>
      </w:r>
      <w:r w:rsidRPr="004D2230">
        <w:t>wyeliminowanie z ustawy art. 60 ust. 5</w:t>
      </w:r>
      <w:r>
        <w:t xml:space="preserve"> </w:t>
      </w:r>
      <w:r w:rsidRPr="00D72A3D">
        <w:t>(poprawka nr 15).</w:t>
      </w:r>
      <w:r>
        <w:t xml:space="preserve"> </w:t>
      </w:r>
    </w:p>
    <w:p w14:paraId="740806E8" w14:textId="77777777" w:rsidR="0073205F" w:rsidRDefault="0073205F" w:rsidP="00382BE7">
      <w:pPr>
        <w:pStyle w:val="ARTartustawynprozporzdzenia"/>
      </w:pPr>
      <w:r>
        <w:t>Z</w:t>
      </w:r>
      <w:r w:rsidRPr="004D2230">
        <w:t>godnie z art. 97 ust. 3 Komisja powołuje zespół odwoławczy do oceny odwołania, nazywając go w dalszych przepisach „zespołem odwoławczym” (por. ust. 4). W art. 97 ust. 5 posłużono się natomiast formułą „zespół odwoławczy do ponownej oceny ofert”, co sugeruje, że w przepisie tym chodzi o inny zespół niż zespół odwoławczy, o którym mowa w ust. 3 i 4 wskazanego artykułu.</w:t>
      </w:r>
      <w:r>
        <w:t xml:space="preserve"> Uwzględniając intencję ustawodawcy, Senat przeredagował regulację art. 97 ust. 5, ujednolicił ją z pozostałymi przepisami oraz wskazał jednoznacznie, w jakich okolicznościach przepis znajdzie zastosowanie </w:t>
      </w:r>
      <w:r w:rsidRPr="00D72A3D">
        <w:t>(poprawka nr 18).</w:t>
      </w:r>
    </w:p>
    <w:p w14:paraId="72FDEAC3" w14:textId="77777777" w:rsidR="0073205F" w:rsidRDefault="0073205F" w:rsidP="00D72A3D">
      <w:pPr>
        <w:pStyle w:val="ARTartustawynprozporzdzenia"/>
      </w:pPr>
      <w:r>
        <w:t>Senat zwrócił ponadto uwagę, że o</w:t>
      </w:r>
      <w:r w:rsidRPr="004D2230">
        <w:t xml:space="preserve">desłanie do art. 97 ust. 2 </w:t>
      </w:r>
      <w:r>
        <w:t xml:space="preserve">sformułowane w </w:t>
      </w:r>
      <w:r w:rsidRPr="004D2230">
        <w:t>ust. 7</w:t>
      </w:r>
      <w:r>
        <w:t xml:space="preserve"> tego artykułu </w:t>
      </w:r>
      <w:r w:rsidRPr="004D2230">
        <w:t>może wprowadzać w błąd, ponieważ w ust. 2</w:t>
      </w:r>
      <w:r>
        <w:t xml:space="preserve"> </w:t>
      </w:r>
      <w:r w:rsidRPr="004D2230">
        <w:t>jest mowa zarówno o</w:t>
      </w:r>
      <w:r>
        <w:t xml:space="preserve"> </w:t>
      </w:r>
      <w:r w:rsidRPr="004D2230">
        <w:t xml:space="preserve">terminie na złożenie odwołania w konkursie na uczestnictwo w piaskownicy regulacyjnej, jak i o terminie 7 dni na rozpatrzenie odwołania przez Komisję. </w:t>
      </w:r>
      <w:r>
        <w:t>Jak ustalono, p</w:t>
      </w:r>
      <w:r w:rsidRPr="004D2230">
        <w:t>rzepis art. 97 ust. 7 powinien odsyłać do ust.</w:t>
      </w:r>
      <w:r>
        <w:t> </w:t>
      </w:r>
      <w:r w:rsidRPr="004D2230">
        <w:t xml:space="preserve">1 tego </w:t>
      </w:r>
      <w:r>
        <w:t>artykułu</w:t>
      </w:r>
      <w:r w:rsidRPr="004D2230">
        <w:t xml:space="preserve">, który określa termin na złożenie odwołania. Ponadto niewłaściwie odesłano do art. 92 ust. 2. Przepis ten wskazuje bowiem, że Komisja może, </w:t>
      </w:r>
      <w:r w:rsidRPr="004D2230">
        <w:lastRenderedPageBreak/>
        <w:t>w</w:t>
      </w:r>
      <w:r>
        <w:t> </w:t>
      </w:r>
      <w:r w:rsidRPr="004D2230">
        <w:t>drodze decyzji, ustanowić piaskownicę regulacyjną wspólnie z innym właściwym organem nadzoru rynku lub organem administracji publicznej, organem nadzoru rynku państwa członkowskiego Unii Europejskiej, a także z Europejskim Urzędem ds. Sztucznej Inteligencji w zakresie piaskownic regulacyjnych na poziomie Unii Europejskiej.</w:t>
      </w:r>
      <w:r>
        <w:t xml:space="preserve"> W związku z tym</w:t>
      </w:r>
      <w:r w:rsidRPr="004D2230">
        <w:t>, że</w:t>
      </w:r>
      <w:r>
        <w:t> </w:t>
      </w:r>
      <w:r w:rsidRPr="004D2230">
        <w:t>w</w:t>
      </w:r>
      <w:r>
        <w:t> </w:t>
      </w:r>
      <w:r w:rsidRPr="004D2230">
        <w:t>art. 97 ust. 7 ustawodawcy chodziło o odesłanie do podstawowego przepisu, w którym jest mowa o decyzji ustanawiającej piaskownicę regulacyjną jako taką, a nie wyłącznie piaskownicę regulacyjną na poziomie Unii Europejskiej</w:t>
      </w:r>
      <w:r>
        <w:t xml:space="preserve">, należało skorygować odesłanie również w tym zakresie </w:t>
      </w:r>
      <w:r w:rsidRPr="00D72A3D">
        <w:t>(poprawka nr 19).</w:t>
      </w:r>
    </w:p>
    <w:p w14:paraId="12243E0B" w14:textId="77777777" w:rsidR="0073205F" w:rsidRDefault="0073205F" w:rsidP="004D2230">
      <w:pPr>
        <w:pStyle w:val="ARTartustawynprozporzdzenia"/>
      </w:pPr>
      <w:r>
        <w:t xml:space="preserve">Senat zwrócił uwagę, że </w:t>
      </w:r>
      <w:r w:rsidRPr="004D2230">
        <w:t>pomiędzy art. 102 ust. 3 i 4 zachodzi sprzeczność. Z art. 102 ust.</w:t>
      </w:r>
      <w:r>
        <w:t> </w:t>
      </w:r>
      <w:r w:rsidRPr="004D2230">
        <w:t>3 wynika, że w przypadku, gdy wniosek o wydanie opinii indywidualnej nie spełnia wymogów określonych w art. 9 ust. 2–4 i art. 10 Komisja wzywa podmiot, który złożył ten wniosek, do uzupełnienia braków, pod rygorem pozostawienia wniosku bez rozpoznania. Zgodnie z art. 9 ust. 4</w:t>
      </w:r>
      <w:r>
        <w:t xml:space="preserve"> </w:t>
      </w:r>
      <w:r w:rsidRPr="004D2230">
        <w:t>do wniosku o wydanie opinii indywidualnej dołącza się dowód uiszczenia opłaty za złożenie wniosku. Natomiast w myśl art. 102 ust. 4 do opinii indywidualnej dotyczącej podmiotu uczestniczącego w piaskownicy regulacyjnej, nie stosuje się przepisu art.</w:t>
      </w:r>
      <w:r>
        <w:t> </w:t>
      </w:r>
      <w:r w:rsidRPr="004D2230">
        <w:t>9 ust. 4. Skoro intencją ustawodawcy jest, aby podmiot uczestniczący w piaskownicy regulacyjnej nie ponosił opłat za wydanie opinii indywidualnej, należ</w:t>
      </w:r>
      <w:r>
        <w:t>y</w:t>
      </w:r>
      <w:r w:rsidRPr="004D2230">
        <w:t xml:space="preserve"> skorygować art. 102 ust. 3</w:t>
      </w:r>
      <w:r>
        <w:t xml:space="preserve"> </w:t>
      </w:r>
      <w:r w:rsidRPr="001B7939">
        <w:t>(poprawka nr 20).</w:t>
      </w:r>
    </w:p>
    <w:p w14:paraId="136CE193" w14:textId="77777777" w:rsidR="0073205F" w:rsidRDefault="0073205F" w:rsidP="004D2230">
      <w:pPr>
        <w:pStyle w:val="ARTartustawynprozporzdzenia"/>
        <w:rPr>
          <w:rStyle w:val="Ppogrubienie"/>
        </w:rPr>
      </w:pPr>
      <w:r>
        <w:t>W</w:t>
      </w:r>
      <w:r w:rsidRPr="00A407CA">
        <w:t xml:space="preserve"> związku z tym, że kwestia odroczenia terminu uiszczenia kary </w:t>
      </w:r>
      <w:r>
        <w:t xml:space="preserve">pieniężnej </w:t>
      </w:r>
      <w:r w:rsidRPr="00A407CA">
        <w:t xml:space="preserve">albo jej rozłożenia na raty jest uregulowana w art. 97 w ust. 2, a nie w ust. 1 tego artykułu, należy </w:t>
      </w:r>
      <w:r>
        <w:t xml:space="preserve">zmodyfikować </w:t>
      </w:r>
      <w:r w:rsidRPr="00A407CA">
        <w:t xml:space="preserve">odesłanie w art. 108 ust. </w:t>
      </w:r>
      <w:r w:rsidRPr="001B7939">
        <w:t>9 (poprawka nr 21).</w:t>
      </w:r>
    </w:p>
    <w:p w14:paraId="53167302" w14:textId="77777777" w:rsidR="0073205F" w:rsidRDefault="0073205F" w:rsidP="00A407CA">
      <w:pPr>
        <w:pStyle w:val="ARTartustawynprozporzdzenia"/>
      </w:pPr>
      <w:r>
        <w:t>W ocenie Senatu art. 111 wymaga korekty. O</w:t>
      </w:r>
      <w:r w:rsidRPr="00A407CA">
        <w:t>czywiste jest</w:t>
      </w:r>
      <w:r>
        <w:t xml:space="preserve"> bowiem</w:t>
      </w:r>
      <w:r w:rsidRPr="00A407CA">
        <w:t>, że do postępowania w</w:t>
      </w:r>
      <w:r>
        <w:t> </w:t>
      </w:r>
      <w:r w:rsidRPr="00A407CA">
        <w:t xml:space="preserve">sprawie administracyjnych kar pieniężnych </w:t>
      </w:r>
      <w:r>
        <w:t xml:space="preserve">stosować </w:t>
      </w:r>
      <w:r w:rsidRPr="00A407CA">
        <w:t xml:space="preserve">się </w:t>
      </w:r>
      <w:r>
        <w:t xml:space="preserve">będzie przepisy ustawy – </w:t>
      </w:r>
      <w:r w:rsidRPr="00A407CA">
        <w:t>K</w:t>
      </w:r>
      <w:r>
        <w:t>odeks postępowania administracyjnego (K</w:t>
      </w:r>
      <w:r w:rsidRPr="00A407CA">
        <w:t>pa</w:t>
      </w:r>
      <w:r>
        <w:t>)</w:t>
      </w:r>
      <w:r w:rsidRPr="00A407CA">
        <w:t xml:space="preserve">. </w:t>
      </w:r>
      <w:r>
        <w:t xml:space="preserve">Wynika to z samego Kpa, jak i art. 65 rozpatrzonej ustawy. </w:t>
      </w:r>
      <w:r w:rsidRPr="00A407CA">
        <w:t>Należ</w:t>
      </w:r>
      <w:r>
        <w:t>y</w:t>
      </w:r>
      <w:r w:rsidRPr="00A407CA">
        <w:t xml:space="preserve"> zatem ograniczyć </w:t>
      </w:r>
      <w:r>
        <w:t xml:space="preserve">art. 111 </w:t>
      </w:r>
      <w:r w:rsidRPr="00A407CA">
        <w:t>do wskazania przepisów Kpa, które nie znajdą zastosowania do postępowań w sprawie administracyjnych kar pieniężnych</w:t>
      </w:r>
      <w:r>
        <w:t>,</w:t>
      </w:r>
      <w:r w:rsidRPr="00A407CA">
        <w:t xml:space="preserve"> prowadzonych na podstawie ustawy o systemach sztucznej inteligencji. Trzeba </w:t>
      </w:r>
      <w:r>
        <w:t xml:space="preserve">dodatkowo </w:t>
      </w:r>
      <w:r w:rsidRPr="00A407CA">
        <w:t>mieć na względzie, że</w:t>
      </w:r>
      <w:r>
        <w:t> </w:t>
      </w:r>
      <w:r w:rsidRPr="00A407CA">
        <w:t>odesłanie do art. 189d i art. 189k Kpa (wyłącznie ich stosowania) jest niecelowe i</w:t>
      </w:r>
      <w:r>
        <w:t> </w:t>
      </w:r>
      <w:r w:rsidRPr="00A407CA">
        <w:t>nieprawidłowe. Przepisy te nie znajdą bowiem zastosowania w procedurze nakładania kar pieniężnych na podstawie ustawy o systemach sztucznej inteligencji, co wynika wprost z</w:t>
      </w:r>
      <w:r>
        <w:t> </w:t>
      </w:r>
      <w:r w:rsidRPr="00A407CA">
        <w:t>art.</w:t>
      </w:r>
      <w:r>
        <w:t> </w:t>
      </w:r>
      <w:r w:rsidRPr="00A407CA">
        <w:t xml:space="preserve">189a § 2 pkt 1 i 6 Kpa. </w:t>
      </w:r>
      <w:r>
        <w:t>Przepisy te p</w:t>
      </w:r>
      <w:r w:rsidRPr="00A407CA">
        <w:t>rzewidują, że w przypadku uregulowania w</w:t>
      </w:r>
      <w:r>
        <w:t> </w:t>
      </w:r>
      <w:r w:rsidRPr="00A407CA">
        <w:t xml:space="preserve">odrębnych przepisach przesłanek wymiaru administracyjnej kary pieniężnej (pkt 1) lub </w:t>
      </w:r>
      <w:r w:rsidRPr="00A407CA">
        <w:lastRenderedPageBreak/>
        <w:t>udzielania ulg w</w:t>
      </w:r>
      <w:r>
        <w:t> </w:t>
      </w:r>
      <w:r w:rsidRPr="00A407CA">
        <w:t>wykonaniu administracyjnej kary pieniężnej (pkt 6), działu IVa Kpa („Administracyjne kary pieniężne”) w tym zakresie nie stosuje się. Takim przepisem jest art.</w:t>
      </w:r>
      <w:r>
        <w:t> </w:t>
      </w:r>
      <w:r w:rsidRPr="00A407CA">
        <w:t>105 ust. 2 ustawy o</w:t>
      </w:r>
      <w:r>
        <w:t> </w:t>
      </w:r>
      <w:r w:rsidRPr="00A407CA">
        <w:t>systemach sztucznej inteligencji, który odsyła do przesłanek wymiaru kary określonych w</w:t>
      </w:r>
      <w:r>
        <w:t> </w:t>
      </w:r>
      <w:r w:rsidRPr="00A407CA">
        <w:t>art. 99 ust. 7 rozporządzenia 2024/1689, a także art. 108 tej ustawy, który przewiduje możliwość zmniejszenia wysokości kary, odroczenia terminu jej uiszczenia albo rozłożenia jej na raty. Innymi słowy, skoro w art. 105 ust. 2 i w art. 108 ustawy o systemach sztucznej inteligencji uregulowano kwestię przesłanek wymiaru administracyjnej kary pieniężnej oraz sprawy związane ze stosowaniem ulg, przepisy art. 189d i art. 189k Kpa nie znajdą zastosowania. Przepisy art. 189d i art. 189k Kpa mają bowiem charakter subsydiarny w</w:t>
      </w:r>
      <w:r>
        <w:t> </w:t>
      </w:r>
      <w:r w:rsidRPr="00A407CA">
        <w:t>stosunku do regulacji dotyczących administracyjnych kar pieniężnych sformułowanych w</w:t>
      </w:r>
      <w:r>
        <w:t> </w:t>
      </w:r>
      <w:r w:rsidRPr="00A407CA">
        <w:t>innych ustawach.</w:t>
      </w:r>
    </w:p>
    <w:p w14:paraId="1F46ECD2" w14:textId="77777777" w:rsidR="0073205F" w:rsidRDefault="0073205F" w:rsidP="00A407CA">
      <w:pPr>
        <w:pStyle w:val="ARTartustawynprozporzdzenia"/>
      </w:pPr>
      <w:r w:rsidRPr="00A407CA">
        <w:t>W związku z tym, że w art. 189f Kpa przewiduje się możliwość odstąpienia od nałożenia administracyjnej kary pieniężnej i poprzestania na pouczeniu, zaś</w:t>
      </w:r>
      <w:r>
        <w:t xml:space="preserve"> </w:t>
      </w:r>
      <w:r w:rsidRPr="00A407CA">
        <w:t xml:space="preserve">wolą ustawodawcy jest, aby w przypadku kar nakładanych na podstawie ustawy o systemach sztucznej inteligencji taka możliwość była wykluczona, </w:t>
      </w:r>
      <w:r>
        <w:t xml:space="preserve">w art. 111 </w:t>
      </w:r>
      <w:r w:rsidRPr="00A407CA">
        <w:t xml:space="preserve">należy poprzestać na </w:t>
      </w:r>
      <w:r>
        <w:t xml:space="preserve">wyłączeniu stosowania </w:t>
      </w:r>
      <w:r w:rsidRPr="00A407CA">
        <w:t>art. 189f Kpa</w:t>
      </w:r>
      <w:r>
        <w:t xml:space="preserve"> w odniesieniu do administracyjnych kar pieniężnych nałożonych na podstawie ustawy o systemach sztucznej inteligencji</w:t>
      </w:r>
      <w:r w:rsidRPr="00A407CA">
        <w:t>.</w:t>
      </w:r>
      <w:r>
        <w:t xml:space="preserve"> Uwzględniając powyższe, Senat uchwalił </w:t>
      </w:r>
      <w:r w:rsidRPr="001B7939">
        <w:t>poprawkę nr 22.</w:t>
      </w:r>
    </w:p>
    <w:p w14:paraId="7EF7E6A3" w14:textId="77777777" w:rsidR="0073205F" w:rsidRDefault="0073205F" w:rsidP="00A407CA">
      <w:pPr>
        <w:pStyle w:val="ARTartustawynprozporzdzenia"/>
      </w:pPr>
      <w:r>
        <w:t xml:space="preserve">W art. 116, </w:t>
      </w:r>
      <w:r w:rsidRPr="00A407CA">
        <w:t>dodając do Kodeksu postępowania cywilnego</w:t>
      </w:r>
      <w:r>
        <w:t xml:space="preserve"> (Kpc)</w:t>
      </w:r>
      <w:r w:rsidRPr="00A407CA">
        <w:t xml:space="preserve"> nową jednostkę systematyzacyjną – dział IVfa, nadano jej tytułowi bardzo rozbudowane brzmienie (przywołano pełen tytuł rozporządzenia 2024/1689 oraz ustawy o systemach sztucznej inteligencji). Zgodnie z § 62 ust. 2 ZTP nazwa jednostki systematyzacyjnej składa się jej oznaczenia (np. dział z odpowiednią liczbą porządkową) oraz tytułu, który stanowi zwięzłe określenie treści lub zakresu regulowanych spraw. W analizowanym przypadku, tytuł działu nie realizuje tej dyrektywy. </w:t>
      </w:r>
      <w:r>
        <w:t xml:space="preserve">Senat zaproponował </w:t>
      </w:r>
      <w:r w:rsidRPr="00A407CA">
        <w:t>zatem modyfikację, polegającą na nadaniu tytułowi działu IVfa Kpc brzmienia: „Postępowanie w sprawach z zakresu sztucznej inteligencji”</w:t>
      </w:r>
      <w:r>
        <w:t xml:space="preserve"> </w:t>
      </w:r>
      <w:r w:rsidRPr="001B7939">
        <w:t>(poprawka nr 23).</w:t>
      </w:r>
      <w:r>
        <w:t xml:space="preserve"> Brzmienie to jest zarówno zwięzłe, jak i adekwatne do zakresu regulacyjnego dodawanego działu.</w:t>
      </w:r>
    </w:p>
    <w:p w14:paraId="0757FDD2" w14:textId="77777777" w:rsidR="0073205F" w:rsidRDefault="0073205F" w:rsidP="00A407CA">
      <w:pPr>
        <w:pStyle w:val="ARTartustawynprozporzdzenia"/>
      </w:pPr>
      <w:r>
        <w:t xml:space="preserve">Uchwalone przez Senat </w:t>
      </w:r>
      <w:r w:rsidRPr="001B7939">
        <w:t>poprawki nr</w:t>
      </w:r>
      <w:r>
        <w:t xml:space="preserve"> 1, 9, 10, 14 i 17 mają charakter redakcyjny. </w:t>
      </w:r>
    </w:p>
    <w:p w14:paraId="55B1057A" w14:textId="77777777" w:rsidR="0073205F" w:rsidRPr="00A407CA" w:rsidRDefault="0073205F" w:rsidP="00A407CA">
      <w:pPr>
        <w:pStyle w:val="ARTartustawynprozporzdzenia"/>
      </w:pPr>
    </w:p>
    <w:p w14:paraId="3B1E5173" w14:textId="4DFBBF91" w:rsidR="00912118" w:rsidRPr="00737F6A" w:rsidRDefault="00912118" w:rsidP="0073205F">
      <w:pPr>
        <w:pStyle w:val="OZNRODZAKTUtznustawalubrozporzdzenieiorganwydajcy"/>
      </w:pPr>
    </w:p>
    <w:sectPr w:rsidR="00912118" w:rsidRPr="00737F6A" w:rsidSect="00DE46AF"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CC7BC" w14:textId="77777777" w:rsidR="00872746" w:rsidRDefault="00872746">
      <w:r>
        <w:separator/>
      </w:r>
    </w:p>
  </w:endnote>
  <w:endnote w:type="continuationSeparator" w:id="0">
    <w:p w14:paraId="097D2797" w14:textId="77777777" w:rsidR="00872746" w:rsidRDefault="0087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5DAC2" w14:textId="77777777" w:rsidR="00872746" w:rsidRDefault="00872746">
      <w:r>
        <w:separator/>
      </w:r>
    </w:p>
  </w:footnote>
  <w:footnote w:type="continuationSeparator" w:id="0">
    <w:p w14:paraId="4D84FD4C" w14:textId="77777777" w:rsidR="00872746" w:rsidRDefault="00872746">
      <w:r>
        <w:continuationSeparator/>
      </w:r>
    </w:p>
  </w:footnote>
  <w:footnote w:id="1">
    <w:p w14:paraId="032C0F43" w14:textId="77777777" w:rsidR="0073205F" w:rsidRPr="00382BE7" w:rsidRDefault="0073205F" w:rsidP="00382BE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4C226F">
        <w:t>Dobra praktyka legislacyjna nr 20; https://rcl.gov.pl/wp-content/uploads/2020/11/artykul_20.pdf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2AEE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43345071">
    <w:abstractNumId w:val="23"/>
  </w:num>
  <w:num w:numId="2" w16cid:durableId="1560167288">
    <w:abstractNumId w:val="23"/>
  </w:num>
  <w:num w:numId="3" w16cid:durableId="687633904">
    <w:abstractNumId w:val="18"/>
  </w:num>
  <w:num w:numId="4" w16cid:durableId="2145151315">
    <w:abstractNumId w:val="18"/>
  </w:num>
  <w:num w:numId="5" w16cid:durableId="1314263000">
    <w:abstractNumId w:val="36"/>
  </w:num>
  <w:num w:numId="6" w16cid:durableId="1652440513">
    <w:abstractNumId w:val="32"/>
  </w:num>
  <w:num w:numId="7" w16cid:durableId="1922636093">
    <w:abstractNumId w:val="36"/>
  </w:num>
  <w:num w:numId="8" w16cid:durableId="176386343">
    <w:abstractNumId w:val="32"/>
  </w:num>
  <w:num w:numId="9" w16cid:durableId="453520042">
    <w:abstractNumId w:val="36"/>
  </w:num>
  <w:num w:numId="10" w16cid:durableId="1633169771">
    <w:abstractNumId w:val="32"/>
  </w:num>
  <w:num w:numId="11" w16cid:durableId="465702739">
    <w:abstractNumId w:val="14"/>
  </w:num>
  <w:num w:numId="12" w16cid:durableId="286157465">
    <w:abstractNumId w:val="10"/>
  </w:num>
  <w:num w:numId="13" w16cid:durableId="1085111251">
    <w:abstractNumId w:val="15"/>
  </w:num>
  <w:num w:numId="14" w16cid:durableId="2123959996">
    <w:abstractNumId w:val="27"/>
  </w:num>
  <w:num w:numId="15" w16cid:durableId="1713194427">
    <w:abstractNumId w:val="14"/>
  </w:num>
  <w:num w:numId="16" w16cid:durableId="1727291514">
    <w:abstractNumId w:val="16"/>
  </w:num>
  <w:num w:numId="17" w16cid:durableId="1611087154">
    <w:abstractNumId w:val="8"/>
  </w:num>
  <w:num w:numId="18" w16cid:durableId="932668468">
    <w:abstractNumId w:val="3"/>
  </w:num>
  <w:num w:numId="19" w16cid:durableId="522331118">
    <w:abstractNumId w:val="2"/>
  </w:num>
  <w:num w:numId="20" w16cid:durableId="940144804">
    <w:abstractNumId w:val="1"/>
  </w:num>
  <w:num w:numId="21" w16cid:durableId="2025085225">
    <w:abstractNumId w:val="0"/>
  </w:num>
  <w:num w:numId="22" w16cid:durableId="42802045">
    <w:abstractNumId w:val="9"/>
  </w:num>
  <w:num w:numId="23" w16cid:durableId="1746949429">
    <w:abstractNumId w:val="7"/>
  </w:num>
  <w:num w:numId="24" w16cid:durableId="826290649">
    <w:abstractNumId w:val="6"/>
  </w:num>
  <w:num w:numId="25" w16cid:durableId="1745373846">
    <w:abstractNumId w:val="5"/>
  </w:num>
  <w:num w:numId="26" w16cid:durableId="756829373">
    <w:abstractNumId w:val="4"/>
  </w:num>
  <w:num w:numId="27" w16cid:durableId="548079940">
    <w:abstractNumId w:val="34"/>
  </w:num>
  <w:num w:numId="28" w16cid:durableId="198980349">
    <w:abstractNumId w:val="26"/>
  </w:num>
  <w:num w:numId="29" w16cid:durableId="2100247546">
    <w:abstractNumId w:val="37"/>
  </w:num>
  <w:num w:numId="30" w16cid:durableId="1878733483">
    <w:abstractNumId w:val="33"/>
  </w:num>
  <w:num w:numId="31" w16cid:durableId="412238367">
    <w:abstractNumId w:val="19"/>
  </w:num>
  <w:num w:numId="32" w16cid:durableId="719129674">
    <w:abstractNumId w:val="11"/>
  </w:num>
  <w:num w:numId="33" w16cid:durableId="1148865117">
    <w:abstractNumId w:val="31"/>
  </w:num>
  <w:num w:numId="34" w16cid:durableId="891698323">
    <w:abstractNumId w:val="20"/>
  </w:num>
  <w:num w:numId="35" w16cid:durableId="2055494409">
    <w:abstractNumId w:val="17"/>
  </w:num>
  <w:num w:numId="36" w16cid:durableId="519003850">
    <w:abstractNumId w:val="22"/>
  </w:num>
  <w:num w:numId="37" w16cid:durableId="1150438578">
    <w:abstractNumId w:val="28"/>
  </w:num>
  <w:num w:numId="38" w16cid:durableId="1501505007">
    <w:abstractNumId w:val="25"/>
  </w:num>
  <w:num w:numId="39" w16cid:durableId="720834206">
    <w:abstractNumId w:val="13"/>
  </w:num>
  <w:num w:numId="40" w16cid:durableId="2127889084">
    <w:abstractNumId w:val="30"/>
  </w:num>
  <w:num w:numId="41" w16cid:durableId="2043699929">
    <w:abstractNumId w:val="29"/>
  </w:num>
  <w:num w:numId="42" w16cid:durableId="376470386">
    <w:abstractNumId w:val="21"/>
  </w:num>
  <w:num w:numId="43" w16cid:durableId="1051685149">
    <w:abstractNumId w:val="35"/>
  </w:num>
  <w:num w:numId="44" w16cid:durableId="488987186">
    <w:abstractNumId w:val="12"/>
  </w:num>
  <w:num w:numId="45" w16cid:durableId="1799490090">
    <w:abstractNumId w:val="24"/>
  </w:num>
  <w:num w:numId="46" w16cid:durableId="1080906374">
    <w:abstractNumId w:val="24"/>
  </w:num>
  <w:num w:numId="47" w16cid:durableId="907768674">
    <w:abstractNumId w:val="24"/>
  </w:num>
  <w:num w:numId="48" w16cid:durableId="209173046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9E3"/>
    <w:rsid w:val="00432B76"/>
    <w:rsid w:val="00434D01"/>
    <w:rsid w:val="00435D26"/>
    <w:rsid w:val="00440C99"/>
    <w:rsid w:val="0044175C"/>
    <w:rsid w:val="004428BD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205F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45EE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3C62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2746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0DED"/>
    <w:rsid w:val="009C328C"/>
    <w:rsid w:val="009C4444"/>
    <w:rsid w:val="009C79AD"/>
    <w:rsid w:val="009C7CA6"/>
    <w:rsid w:val="009D3316"/>
    <w:rsid w:val="009D43BC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3F06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39B7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D5A38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1DC8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46AF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1F1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5B5"/>
    <w:rsid w:val="00FA7F91"/>
    <w:rsid w:val="00FB121C"/>
    <w:rsid w:val="00FB1CDD"/>
    <w:rsid w:val="00FB2C2F"/>
    <w:rsid w:val="00FB305C"/>
    <w:rsid w:val="00FC2E3D"/>
    <w:rsid w:val="00FC3BDE"/>
    <w:rsid w:val="00FC59E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BA6D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5EE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73205F"/>
    <w:rPr>
      <w:rFonts w:eastAsiaTheme="minorEastAsia" w:cs="Arial"/>
      <w:bCs/>
      <w:szCs w:val="20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73205F"/>
    <w:rPr>
      <w:rFonts w:eastAsiaTheme="minorEastAsia" w:cs="Arial"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ip.legalis.pl/document-view.seam?documentId=mfrxilrtg4ytcmrzheztqltqmfyc4mzzgm3tamjxgq&amp;refSource=hy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3275</Words>
  <Characters>19654</Characters>
  <Application>Microsoft Office Word</Application>
  <DocSecurity>0</DocSecurity>
  <Lines>163</Lines>
  <Paragraphs>45</Paragraphs>
  <ScaleCrop>false</ScaleCrop>
  <Company/>
  <LinksUpToDate>false</LinksUpToDate>
  <CharactersWithSpaces>22884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2026-06-26T09:16:00Z</dcterms:created>
  <dcterms:modified xsi:type="dcterms:W3CDTF">2026-06-26T09:16:00Z</dcterms:modified>
  <cp:category/>
</cp:coreProperties>
</file>