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28CB" w14:textId="77777777" w:rsidR="00D134C2" w:rsidRDefault="00D134C2" w:rsidP="00D134C2">
      <w:pPr>
        <w:keepNext/>
        <w:pBdr>
          <w:top w:val="nil"/>
          <w:left w:val="nil"/>
          <w:bottom w:val="nil"/>
          <w:right w:val="nil"/>
          <w:between w:val="nil"/>
        </w:pBdr>
        <w:spacing w:after="120" w:line="360" w:lineRule="auto"/>
        <w:jc w:val="center"/>
        <w:rPr>
          <w:rFonts w:ascii="Times" w:eastAsia="Times" w:hAnsi="Times" w:cs="Times"/>
          <w:b/>
          <w:smallCaps/>
          <w:color w:val="000000"/>
          <w:sz w:val="24"/>
          <w:szCs w:val="24"/>
        </w:rPr>
      </w:pPr>
      <w:r>
        <w:rPr>
          <w:rFonts w:ascii="Times" w:eastAsia="Times" w:hAnsi="Times" w:cs="Times"/>
          <w:b/>
          <w:smallCaps/>
          <w:color w:val="000000"/>
          <w:sz w:val="24"/>
          <w:szCs w:val="24"/>
        </w:rPr>
        <w:t>Uzasadnienie</w:t>
      </w:r>
    </w:p>
    <w:p w14:paraId="7F92FA50"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highlight w:val="yellow"/>
        </w:rPr>
      </w:pPr>
      <w:r>
        <w:rPr>
          <w:rFonts w:ascii="Times" w:eastAsia="Times" w:hAnsi="Times" w:cs="Times"/>
          <w:color w:val="000000"/>
          <w:sz w:val="24"/>
          <w:szCs w:val="24"/>
        </w:rPr>
        <w:t xml:space="preserve">Celem projektowanej nowelizacji jest reforma instytucji tymczasowego aresztowania w Polsce. Obowiązujący stan prawny i wynikająca z niego praktyka sądowa wymagają pilnego dostosowania do standardów wyznaczanych przez Konstytucję Rzeczypospolitej Polskiej oraz wiążące akty prawa międzynarodowego, w tym Europejską Konwencję Praw Człowieka. </w:t>
      </w:r>
    </w:p>
    <w:p w14:paraId="4499D7F5"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Stan prawny i ukształtowane na jego gruncie praktyki dotyczące tymczasowego aresztowania w Polsce są przedmiotem krytyki na poziomie instytucjonalnym w orzecznictwie Europejskiego Trybunału Praw Człowieka – zob. m.in. wyrok ETPC z dnia 3.02.2009 r. </w:t>
      </w:r>
      <w:r>
        <w:rPr>
          <w:rFonts w:ascii="Times" w:eastAsia="Times" w:hAnsi="Times" w:cs="Times"/>
          <w:color w:val="000000"/>
          <w:sz w:val="24"/>
          <w:szCs w:val="24"/>
        </w:rPr>
        <w:br/>
        <w:t xml:space="preserve">w sprawie Kauczor przeciwko Polsce, skarga nr 45219/06, wyrok ETPC z dnia 6.02.2007 r. </w:t>
      </w:r>
      <w:r>
        <w:rPr>
          <w:rFonts w:ascii="Times" w:eastAsia="Times" w:hAnsi="Times" w:cs="Times"/>
          <w:color w:val="000000"/>
          <w:sz w:val="24"/>
          <w:szCs w:val="24"/>
        </w:rPr>
        <w:br/>
        <w:t xml:space="preserve">w sprawie Garycki przeciwko Polsce, skarga nr 14348/02 czy 10 wyroków skoncentrowanych wokół wyroku ETPC z dnia 18.10.2018 r. w sprawie Burża przeciwko Polsce, skarga </w:t>
      </w:r>
      <w:r>
        <w:rPr>
          <w:rFonts w:ascii="Times" w:eastAsia="Times" w:hAnsi="Times" w:cs="Times"/>
          <w:color w:val="000000"/>
          <w:sz w:val="24"/>
          <w:szCs w:val="24"/>
        </w:rPr>
        <w:br/>
        <w:t xml:space="preserve">nr 15333/16, zob. A. Klepczyński, K. Wiśniewska, w: P. Kładoczny, K. Wiśniewska (red.), </w:t>
      </w:r>
      <w:hyperlink r:id="rId4">
        <w:r>
          <w:rPr>
            <w:rFonts w:ascii="Times" w:eastAsia="Times" w:hAnsi="Times" w:cs="Times"/>
            <w:color w:val="000000"/>
            <w:sz w:val="24"/>
            <w:szCs w:val="24"/>
          </w:rPr>
          <w:t>Wyrok w Strasbourgu to nie koniec! Raport na temat wykonywania wyroków Europejskiego Trybunału Praw Człowieka,</w:t>
        </w:r>
      </w:hyperlink>
      <w:r>
        <w:rPr>
          <w:rFonts w:ascii="Times" w:eastAsia="Times" w:hAnsi="Times" w:cs="Times"/>
          <w:color w:val="000000"/>
          <w:sz w:val="24"/>
          <w:szCs w:val="24"/>
        </w:rPr>
        <w:t xml:space="preserve"> Warszawa 2020, s. 27-30. </w:t>
      </w:r>
    </w:p>
    <w:p w14:paraId="5CFEA672"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Mankamenty przepisów dotyczących tymczasowego aresztowania wskazywane są </w:t>
      </w:r>
      <w:r>
        <w:rPr>
          <w:rFonts w:ascii="Times" w:eastAsia="Times" w:hAnsi="Times" w:cs="Times"/>
          <w:color w:val="000000"/>
          <w:sz w:val="24"/>
          <w:szCs w:val="24"/>
        </w:rPr>
        <w:br/>
        <w:t xml:space="preserve">w ramach krajowego systemu ochrony praw obywatela, sprawowanego przez Rzecznika Praw Obywatelskich – zob. m.in. </w:t>
      </w:r>
      <w:hyperlink r:id="rId5">
        <w:r>
          <w:rPr>
            <w:rFonts w:ascii="Times" w:eastAsia="Times" w:hAnsi="Times" w:cs="Times"/>
            <w:color w:val="000000"/>
            <w:sz w:val="24"/>
            <w:szCs w:val="24"/>
          </w:rPr>
          <w:t>pismo RPO do Ministra Sprawiedliwości z dnia 22 stycznia 2024 r.</w:t>
        </w:r>
      </w:hyperlink>
      <w:r>
        <w:rPr>
          <w:rFonts w:ascii="Times" w:eastAsia="Times" w:hAnsi="Times" w:cs="Times"/>
          <w:color w:val="000000"/>
          <w:sz w:val="24"/>
          <w:szCs w:val="24"/>
        </w:rPr>
        <w:t xml:space="preserve"> w przedmiocie problematyki związanej z praktyką stosowania oraz przedłużania tymczasowego aresztowania. </w:t>
      </w:r>
    </w:p>
    <w:p w14:paraId="30445874"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Omawiana instytucja prawna jest przedmiotem krytyki w licznych opracowaniach naukowych, raportach prezentujących dane statystyczne oraz ekspertyzach opublikowanych na przestrzeni ostatnich lat – zob. S. Tarapata, D. Zając, W. Górowski, M. Słomka, </w:t>
      </w:r>
      <w:hyperlink r:id="rId6">
        <w:r>
          <w:rPr>
            <w:rFonts w:ascii="Times" w:eastAsia="Times" w:hAnsi="Times" w:cs="Times"/>
            <w:color w:val="000000"/>
            <w:sz w:val="24"/>
            <w:szCs w:val="24"/>
          </w:rPr>
          <w:t>Tymczasowe aresztowanie w Polsce. Dlaczego jest źle? Jak powinno być? Analiza prawna na tle przepisów państw Europy</w:t>
        </w:r>
      </w:hyperlink>
      <w:r>
        <w:rPr>
          <w:rFonts w:ascii="Times" w:eastAsia="Times" w:hAnsi="Times" w:cs="Times"/>
          <w:color w:val="000000"/>
          <w:sz w:val="24"/>
          <w:szCs w:val="24"/>
        </w:rPr>
        <w:t xml:space="preserve">, red. M. Małecki, Kraków 2023; Z. Ganczewska, P. Kładoczny, </w:t>
      </w:r>
      <w:r>
        <w:rPr>
          <w:rFonts w:ascii="Times" w:eastAsia="Times" w:hAnsi="Times" w:cs="Times"/>
          <w:color w:val="000000"/>
          <w:sz w:val="24"/>
          <w:szCs w:val="24"/>
        </w:rPr>
        <w:br/>
        <w:t xml:space="preserve">P. Kubaszewski, B. Wiercziński, </w:t>
      </w:r>
      <w:hyperlink r:id="rId7">
        <w:r>
          <w:rPr>
            <w:rFonts w:ascii="Times" w:eastAsia="Times" w:hAnsi="Times" w:cs="Times"/>
            <w:color w:val="000000"/>
            <w:sz w:val="24"/>
            <w:szCs w:val="24"/>
          </w:rPr>
          <w:t>O standardzie, który się nie przyjął (w Polsce). Praktyka stosowania tymczasowego aresztowania w świetle przepisów Europejskiej Konwencji Praw Człowieka</w:t>
        </w:r>
      </w:hyperlink>
      <w:r>
        <w:rPr>
          <w:rFonts w:ascii="Times" w:eastAsia="Times" w:hAnsi="Times" w:cs="Times"/>
          <w:color w:val="000000"/>
          <w:sz w:val="24"/>
          <w:szCs w:val="24"/>
        </w:rPr>
        <w:t xml:space="preserve">, red. P. Kładoczny, Warszawa 2023; B. Pilitowski (oprac.), </w:t>
      </w:r>
      <w:hyperlink r:id="rId8">
        <w:r>
          <w:rPr>
            <w:rFonts w:ascii="Times" w:eastAsia="Times" w:hAnsi="Times" w:cs="Times"/>
            <w:color w:val="000000"/>
            <w:sz w:val="24"/>
            <w:szCs w:val="24"/>
          </w:rPr>
          <w:t>Aktualna praktyka stosowania tymczasowego aresztowania w Polsce. Raport z badań empirycznych.</w:t>
        </w:r>
      </w:hyperlink>
      <w:r>
        <w:rPr>
          <w:rFonts w:ascii="Times" w:eastAsia="Times" w:hAnsi="Times" w:cs="Times"/>
          <w:color w:val="000000"/>
          <w:sz w:val="24"/>
          <w:szCs w:val="24"/>
        </w:rPr>
        <w:t xml:space="preserve"> Toruń 2019; A. Klepczyński, P. Kładoczny, K. Wiśniewska, </w:t>
      </w:r>
      <w:hyperlink r:id="rId9">
        <w:r>
          <w:rPr>
            <w:rFonts w:ascii="Times" w:eastAsia="Times" w:hAnsi="Times" w:cs="Times"/>
            <w:color w:val="000000"/>
            <w:sz w:val="24"/>
            <w:szCs w:val="24"/>
          </w:rPr>
          <w:t>Tymczasowe aresztowanie. (Nie)tymczasowy problem. Analiza aktualnej praktyki stosowania tymczasowego aresztowania.</w:t>
        </w:r>
      </w:hyperlink>
      <w:r>
        <w:rPr>
          <w:rFonts w:ascii="Times" w:eastAsia="Times" w:hAnsi="Times" w:cs="Times"/>
          <w:color w:val="000000"/>
          <w:sz w:val="24"/>
          <w:szCs w:val="24"/>
        </w:rPr>
        <w:t xml:space="preserve"> Warszawa, 2019; P. Karlik, B. Pilitowski, Stosowanie tymczasowego aresztowania. Analiza praktyczna, red. B. Pilitowski, Warszawa 2022; M. Gnusowski (oprac.), </w:t>
      </w:r>
      <w:hyperlink r:id="rId10">
        <w:r>
          <w:rPr>
            <w:rFonts w:ascii="Times" w:eastAsia="Times" w:hAnsi="Times" w:cs="Times"/>
            <w:color w:val="000000"/>
            <w:sz w:val="24"/>
            <w:szCs w:val="24"/>
          </w:rPr>
          <w:t>Ocena przepisów i standardów stosowania tymczasowego aresztowania w Polsce przez adwokatów i aplikantów adwokackich</w:t>
        </w:r>
      </w:hyperlink>
      <w:r>
        <w:rPr>
          <w:rFonts w:ascii="Times" w:eastAsia="Times" w:hAnsi="Times" w:cs="Times"/>
          <w:color w:val="000000"/>
          <w:sz w:val="24"/>
          <w:szCs w:val="24"/>
        </w:rPr>
        <w:t xml:space="preserve">, </w:t>
      </w:r>
      <w:r>
        <w:rPr>
          <w:rFonts w:ascii="Times" w:eastAsia="Times" w:hAnsi="Times" w:cs="Times"/>
          <w:color w:val="000000"/>
          <w:sz w:val="24"/>
          <w:szCs w:val="24"/>
        </w:rPr>
        <w:lastRenderedPageBreak/>
        <w:t xml:space="preserve">Warszawa 2023; B. Pilitowski, A. Rekowska, Z. Branicka, J. Michalski, M. Hoffman, </w:t>
      </w:r>
      <w:hyperlink r:id="rId11">
        <w:r>
          <w:rPr>
            <w:rFonts w:ascii="Times" w:eastAsia="Times" w:hAnsi="Times" w:cs="Times"/>
            <w:color w:val="000000"/>
            <w:sz w:val="24"/>
            <w:szCs w:val="24"/>
          </w:rPr>
          <w:t>Stosowanie tymczasowego aresztowania w Polsce. Wyniki badań ilościowych i jakościowych</w:t>
        </w:r>
      </w:hyperlink>
      <w:r>
        <w:rPr>
          <w:rFonts w:ascii="Times" w:eastAsia="Times" w:hAnsi="Times" w:cs="Times"/>
          <w:color w:val="000000"/>
          <w:sz w:val="24"/>
          <w:szCs w:val="24"/>
        </w:rPr>
        <w:t>, red. B. Pilitowski, Toruń 2024; Z. Ganczewska, W. Górowski, P. Kładoczny, P. Kubaszewski, M. Małecki, B. Wiercziński, M. Słomka, S. Tarapata, D. Zając Tymczasowe aresztowanie. Standardy, które nie przyjęły się w Polsce. Dlaczego jest źle? Jak powinno być?, Kraków 2024.</w:t>
      </w:r>
    </w:p>
    <w:p w14:paraId="49022957"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bookmarkStart w:id="0" w:name="_Hlk227586674"/>
      <w:r>
        <w:rPr>
          <w:rFonts w:ascii="Times" w:eastAsia="Times" w:hAnsi="Times" w:cs="Times"/>
          <w:color w:val="000000"/>
          <w:sz w:val="24"/>
          <w:szCs w:val="24"/>
        </w:rPr>
        <w:t>Tymczasowe aresztowanie jest najdotkliwszym spośród środków zapobiegawczych. Polega na objęciu przez państwo daleko idącej kontroli nad człowiekiem, zaś reżim jego wykonywania swoją dolegliwością wykracza nawet poza standardowe ramy warunków odbywania kary pozbawienia wolności.</w:t>
      </w:r>
      <w:bookmarkEnd w:id="0"/>
      <w:r>
        <w:rPr>
          <w:rFonts w:ascii="Times" w:eastAsia="Times" w:hAnsi="Times" w:cs="Times"/>
          <w:color w:val="000000"/>
          <w:sz w:val="24"/>
          <w:szCs w:val="24"/>
        </w:rPr>
        <w:t xml:space="preserve"> Tymczasowe aresztowanie nie jest karą, jego stosowanie nie może być uznawane i traktowane jako odpłata za wyrządzone zło, lecz ma jedynie zabezpieczać prawidłowy tok sprawy karnej do wydania wyroku i ewentualnego rozpoczęcia wykonywana kary przez skazanego. Omawiany środek zapobiegawczy jest pozbawieniem człowieka wolności, czyli bardzo dotkliwą ingerencją w dobra osobiste obywatela (zob. T. Sroka. Prewencyjne pozbawienie wolności, Kraków 2022, s. 26 i n.). Środek ten stosowany jest wobec osoby w świetle prawa niewinnej – w tym wypadku ingerencja państwa w prawa i wolności człowieka musi ściśle wypełniać konstytucyjne zasady proporcjonalności, celowości i konieczności.</w:t>
      </w:r>
    </w:p>
    <w:p w14:paraId="72F8C838"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Tymczasowe aresztowanie jako instytucja prawna nie jest środkiem dla zapewnienia komfortu pracy policji i prokuratury, lecz sytuacją, w ramach której system prawny zakłada, iż na organach ścigania zaczynają ciążyć dodatkowe obowiązki, w szczególności konieczność prowadzenia czynności procesowych w sposób zaplanowany, celowy i szybki. Przetrzymywanie obywatela w areszcie uzasadnione jest wyłącznie wtedy, gdy organy ścigania realizują w prawidłowy sposób swoje kompetencje. Szczególną rolę w procesie stosowania tymczasowego aresztowania spełnia niezależny sąd, który powinien weryfikować, czy zastosowanie i utrzymywanie izolacyjnego środka zapobiegawczego jest usprawiedliwione okolicznościami sprawy i sposobem prowadzenia czynności przez organy władzy. Powinien on także zbadać, czy zastosowanie tymczasowego aresztowania spełnia wynikający z Konstytucji test proporcjonalności. Zakłada on, że jednostka może być ograniczona w swych prawach lub wolnościach jedynie wówczas, gdy jest to konieczne, celowe (celem tym jest zabezpieczenie prawidłowego toku postępowania) oraz proporcjonalne. </w:t>
      </w:r>
    </w:p>
    <w:p w14:paraId="4D25EF79"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Proponowana nowelizacja stanowi pierwszy i niezbędny krok w kierunku dostosowania instytucji tymczasowego aresztowania do podstawowych wymogów ukształtowanych przez współczesne standardy europejskie. Kompleksowa reforma przepisów dotyczących szeroko </w:t>
      </w:r>
      <w:r>
        <w:rPr>
          <w:rFonts w:ascii="Times" w:eastAsia="Times" w:hAnsi="Times" w:cs="Times"/>
          <w:color w:val="000000"/>
          <w:sz w:val="24"/>
          <w:szCs w:val="24"/>
        </w:rPr>
        <w:lastRenderedPageBreak/>
        <w:t>rozumianej polityki penalnej państwa powinna zmierzać do wydobycia wymiaru sprawiedliwości ze społecznej, organizacyjnej oraz prawnej zapaści, wywołanej latami zaniedbań, ignorowania głosów środowisk eksperckich i traktowania tego obszaru kompetencji państwa jedynie jako narzędzia do budowania politycznego poparcia. Konieczna jest kompleksowa reforma systemu prawa karnego (procesowego, materialnego i wykonawczego), pozwalająca na wyposażenie wymiaru sprawiedliwości w doskonalsze narzędzia zabezpieczenia toku postępowania karnego, sprzyjająca zarazem powstawaniu wartościowych wzorców postępowania, co jest jednym z celów proponowanych regulacji.</w:t>
      </w:r>
    </w:p>
    <w:p w14:paraId="4360DAC9"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Nowelizacja przyniesie znaczące korzyści społeczne i finansowe, przyczyniając się do poprawy funkcjonowania wymiaru sprawiedliwości, ochrony praw człowieka oraz wzmocnienia zaufania do instytucji państwowych. </w:t>
      </w:r>
    </w:p>
    <w:p w14:paraId="75B62516"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Długość stosowania tymczasowego aresztu oraz brak efektywnego nadzoru sądowego nad jego zasadnością prowadzą do sytuacji, w której osoby oczekujące na wyrok często spędzają w areszcie czas znacznie dłuższy niż sama kara orzeczona po wyroku. Tak długotrwałe stosowanie aresztów godzi w konstytucyjne zasady proporcjonalności i konieczności. Dotychczasowa praktyka wskazuje, że aresztowanie bywa stosowane automatycznie, co często skutkuje zbędnym obciążeniem zarówno dla aresztowanych, jak i systemu sądownictwa. Brak efektywnej kontroli sądowej nad zasadnością przedłużania aresztu narusza również standardy Konstytucji RP, a szczególnie prawo do obrony, proporcjonalności w stosowaniu środków przymusu oraz zasady państwa prawa.</w:t>
      </w:r>
    </w:p>
    <w:p w14:paraId="67B9B58D"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W projekcie uregulowano również zmiany w zakresie dopuszczalności dowodów </w:t>
      </w:r>
      <w:r w:rsidRPr="00847323">
        <w:rPr>
          <w:rFonts w:ascii="Times" w:eastAsia="Times" w:hAnsi="Times" w:cs="Times"/>
          <w:color w:val="000000"/>
          <w:sz w:val="24"/>
          <w:szCs w:val="24"/>
        </w:rPr>
        <w:t>(„owoce zatrutego drzewa")</w:t>
      </w:r>
      <w:r>
        <w:rPr>
          <w:rFonts w:ascii="Times" w:eastAsia="Times" w:hAnsi="Times" w:cs="Times"/>
          <w:color w:val="000000"/>
          <w:sz w:val="24"/>
          <w:szCs w:val="24"/>
        </w:rPr>
        <w:t xml:space="preserve">. </w:t>
      </w:r>
      <w:r w:rsidRPr="00847323">
        <w:rPr>
          <w:rFonts w:ascii="Times" w:eastAsia="Times" w:hAnsi="Times" w:cs="Times"/>
          <w:color w:val="000000"/>
          <w:sz w:val="24"/>
          <w:szCs w:val="24"/>
        </w:rPr>
        <w:t>Obowiązujące przepisy</w:t>
      </w:r>
      <w:r>
        <w:rPr>
          <w:rFonts w:ascii="Times" w:eastAsia="Times" w:hAnsi="Times" w:cs="Times"/>
          <w:color w:val="000000"/>
          <w:sz w:val="24"/>
          <w:szCs w:val="24"/>
        </w:rPr>
        <w:t xml:space="preserve"> </w:t>
      </w:r>
      <w:r w:rsidRPr="00847323">
        <w:rPr>
          <w:rFonts w:ascii="Times" w:eastAsia="Times" w:hAnsi="Times" w:cs="Times"/>
          <w:color w:val="000000"/>
          <w:sz w:val="24"/>
          <w:szCs w:val="24"/>
        </w:rPr>
        <w:t xml:space="preserve">dopuszczają wykorzystanie w procesie karnym dowodów uzyskanych z naruszeniem prawa, w tym za pomocą czynu zabronionego, a także umożliwiają prokuratorowi samodzielne </w:t>
      </w:r>
      <w:r>
        <w:rPr>
          <w:rFonts w:ascii="Times" w:eastAsia="Times" w:hAnsi="Times" w:cs="Times"/>
          <w:color w:val="000000"/>
          <w:sz w:val="24"/>
          <w:szCs w:val="24"/>
        </w:rPr>
        <w:t>(</w:t>
      </w:r>
      <w:r w:rsidRPr="00847323">
        <w:rPr>
          <w:rFonts w:ascii="Times" w:eastAsia="Times" w:hAnsi="Times" w:cs="Times"/>
          <w:color w:val="000000"/>
          <w:sz w:val="24"/>
          <w:szCs w:val="24"/>
        </w:rPr>
        <w:t>bez kontroli sądowe</w:t>
      </w:r>
      <w:r>
        <w:rPr>
          <w:rFonts w:ascii="Times" w:eastAsia="Times" w:hAnsi="Times" w:cs="Times"/>
          <w:color w:val="000000"/>
          <w:sz w:val="24"/>
          <w:szCs w:val="24"/>
        </w:rPr>
        <w:t>j)</w:t>
      </w:r>
      <w:r w:rsidRPr="00847323">
        <w:rPr>
          <w:rFonts w:ascii="Times" w:eastAsia="Times" w:hAnsi="Times" w:cs="Times"/>
          <w:color w:val="000000"/>
          <w:sz w:val="24"/>
          <w:szCs w:val="24"/>
        </w:rPr>
        <w:t xml:space="preserve"> podejmowanie decyzji o wykorzystaniu materiałów uzyskanych w toku kontroli operacyjnej poza zakresem zarządzenia.</w:t>
      </w:r>
      <w:r>
        <w:rPr>
          <w:rFonts w:ascii="Times" w:eastAsia="Times" w:hAnsi="Times" w:cs="Times"/>
          <w:color w:val="000000"/>
          <w:sz w:val="24"/>
          <w:szCs w:val="24"/>
        </w:rPr>
        <w:t xml:space="preserve"> Zmiany dotyczą:</w:t>
      </w:r>
    </w:p>
    <w:p w14:paraId="5A76C61A" w14:textId="77777777" w:rsidR="00D134C2" w:rsidRPr="00B82DF6"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sidRPr="00B82DF6">
        <w:rPr>
          <w:rFonts w:ascii="Times" w:eastAsia="Times" w:hAnsi="Times" w:cs="Times"/>
          <w:color w:val="000000"/>
          <w:sz w:val="24"/>
          <w:szCs w:val="24"/>
        </w:rPr>
        <w:t>1) Przywróceni</w:t>
      </w:r>
      <w:r>
        <w:rPr>
          <w:rFonts w:ascii="Times" w:eastAsia="Times" w:hAnsi="Times" w:cs="Times"/>
          <w:color w:val="000000"/>
          <w:sz w:val="24"/>
          <w:szCs w:val="24"/>
        </w:rPr>
        <w:t>a</w:t>
      </w:r>
      <w:r w:rsidRPr="00B82DF6">
        <w:rPr>
          <w:rFonts w:ascii="Times" w:eastAsia="Times" w:hAnsi="Times" w:cs="Times"/>
          <w:color w:val="000000"/>
          <w:sz w:val="24"/>
          <w:szCs w:val="24"/>
        </w:rPr>
        <w:t xml:space="preserve"> bezwzględnego zakazu przeprowadzania i wykorzystywania dowodów uzyskanych za pomocą czynu zabronionego. Obecny przepis dopuszcza takie dowody z wyjątkiem jedynie skrajnych przypadków (zabójstwo, umyślne spowodowanie uszczerbku na zdrowiu, pozbawienie wolności). Po nowelizacji zakaz będzie miał charakter absolutny.</w:t>
      </w:r>
    </w:p>
    <w:p w14:paraId="199AB228" w14:textId="77777777" w:rsidR="00D134C2" w:rsidRPr="00B82DF6"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sidRPr="00B82DF6">
        <w:rPr>
          <w:rFonts w:ascii="Times" w:eastAsia="Times" w:hAnsi="Times" w:cs="Times"/>
          <w:color w:val="000000"/>
          <w:sz w:val="24"/>
          <w:szCs w:val="24"/>
        </w:rPr>
        <w:t>2) Likwidacj</w:t>
      </w:r>
      <w:r>
        <w:rPr>
          <w:rFonts w:ascii="Times" w:eastAsia="Times" w:hAnsi="Times" w:cs="Times"/>
          <w:color w:val="000000"/>
          <w:sz w:val="24"/>
          <w:szCs w:val="24"/>
        </w:rPr>
        <w:t>i</w:t>
      </w:r>
      <w:r w:rsidRPr="00B82DF6">
        <w:rPr>
          <w:rFonts w:ascii="Times" w:eastAsia="Times" w:hAnsi="Times" w:cs="Times"/>
          <w:color w:val="000000"/>
          <w:sz w:val="24"/>
          <w:szCs w:val="24"/>
        </w:rPr>
        <w:t xml:space="preserve"> przepisu pozwalającego prokuratorowi samodzielnie decydować o wykorzystaniu dowodów uzyskanych „przy okazji" kontroli operacyjnej zarówno dotyczących innego przestępstwa, jak i innej osoby niż objęta zarządzeniem kontroli.</w:t>
      </w:r>
    </w:p>
    <w:p w14:paraId="5EB172C9"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sidRPr="00B82DF6">
        <w:rPr>
          <w:rFonts w:ascii="Times" w:eastAsia="Times" w:hAnsi="Times" w:cs="Times"/>
          <w:color w:val="000000"/>
          <w:sz w:val="24"/>
          <w:szCs w:val="24"/>
        </w:rPr>
        <w:lastRenderedPageBreak/>
        <w:t xml:space="preserve">3) </w:t>
      </w:r>
      <w:r>
        <w:rPr>
          <w:rFonts w:ascii="Times" w:eastAsia="Times" w:hAnsi="Times" w:cs="Times"/>
          <w:color w:val="000000"/>
          <w:sz w:val="24"/>
          <w:szCs w:val="24"/>
        </w:rPr>
        <w:t>Wprowadzenia</w:t>
      </w:r>
      <w:r w:rsidRPr="00B82DF6">
        <w:rPr>
          <w:rFonts w:ascii="Times" w:eastAsia="Times" w:hAnsi="Times" w:cs="Times"/>
          <w:color w:val="000000"/>
          <w:sz w:val="24"/>
          <w:szCs w:val="24"/>
        </w:rPr>
        <w:t xml:space="preserve"> wymogu sądowej kontroli wykorzystania dowodów uzyskanych w ramach kontroli procesowej, wykraczających poza zakres zarządzenia. Prokurator będzie mógł wystąpić do sądu z wnioskiem o zgodę w trakcie kontroli albo w ciągu miesiąca od jej zakończenia. Sąd orzeka w terminie 14 dni, na posiedzeniu bez udziału stron. Istotne jest też zawężenie katalogu: nowy art. 237a dotyczy wyłącznie przestępstw z katalogu art. 237 § 3 popełnionych przez osobę kontrolowaną, podczas gdy obecne brzmienie obejmuje również przestępstwa popełnione przez inne osoby.</w:t>
      </w:r>
    </w:p>
    <w:p w14:paraId="588D6315"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p>
    <w:p w14:paraId="431F0335"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 xml:space="preserve">Nowelizacja przyniesie znaczące korzyści społeczne i finansowe, przyczyniając się do poprawy funkcjonowania wymiaru sprawiedliwości, ochrony praw człowieka oraz wzmocnienia zaufania do instytucji państwowych. Szczegółowe skutki proponowanych zmian i różnice pomiędzy dotychczasowym a nowym stanem prawnym opisano w Deklarowanych skutkach regulacji. </w:t>
      </w:r>
    </w:p>
    <w:p w14:paraId="17CAD548"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p>
    <w:p w14:paraId="5B64FA81"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Pr>
          <w:rFonts w:ascii="Times" w:eastAsia="Times" w:hAnsi="Times" w:cs="Times"/>
          <w:color w:val="000000"/>
          <w:sz w:val="24"/>
          <w:szCs w:val="24"/>
        </w:rPr>
        <w:t>Wejście w życie ustawy związane jest koniecznością wydania przez Ministra Sprawiedliwości rozporządzenia na podstawie art. 245 § 5 Kodeksu postępowania karnego, w którym ma określić sposób zapewnienia zatrzymanemu korzystania z pomocy obrońcy i możliwości jego wyboru, w tym organizacji dyżurów adwokatów i radców prawnych. Podstawowe założenia treści rozporządzenia:</w:t>
      </w:r>
    </w:p>
    <w:p w14:paraId="4BEB0E6A" w14:textId="77777777" w:rsidR="00D134C2" w:rsidRDefault="00D134C2" w:rsidP="00D134C2">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rPr>
        <w:tab/>
        <w:t>określenie sądów przy jakich organizowane są dyżury adwokatów i radców prawnych, prezes sądu będzie odpowiedzialny za organizację i koordynację systemu dyżurów obrońców z urzędu na obszarze właściwości sądu,</w:t>
      </w:r>
    </w:p>
    <w:p w14:paraId="1394D366" w14:textId="77777777" w:rsidR="00D134C2" w:rsidRDefault="00D134C2" w:rsidP="00D134C2">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rPr>
        <w:tab/>
        <w:t>dyżury obrońców z urzędu będą pełnione w sposób ciągły, obejmujący 24 godziny na dobę, przez cały tydzień, w tym dni wolne od pracy według harmonogramu dyżurów ustalanego przez prezesa sądu w porozumieniu z okręgowymi radami adwokackimi i radami okręgowych izb radców prawnych,</w:t>
      </w:r>
    </w:p>
    <w:p w14:paraId="4F7EB031" w14:textId="77777777" w:rsidR="00D134C2" w:rsidRDefault="00D134C2" w:rsidP="00D134C2">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rPr>
        <w:tab/>
        <w:t>liczba dyżurujących obrońców będzie dostosowana do potrzeb danego obszaru, uwzględniając statystyki zatrzymań i dostępność adwokatów oraz radców prawnych; dyżury będą pełnione w sposób rotacyjny, aby równomiernie rozłożyć obciążenia między prawnikami i zapewnić ich dostępność,</w:t>
      </w:r>
    </w:p>
    <w:p w14:paraId="4A3A3439" w14:textId="77777777" w:rsidR="00D134C2" w:rsidRDefault="00D134C2" w:rsidP="00D134C2">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rPr>
        <w:tab/>
        <w:t xml:space="preserve">listy adwokatów i radców prawnych pełniących dyżury będą zawierać: imię i nazwisko obrońcy, numer wpisu na listę adwokatów lub radców prawnych, dane kontaktowe </w:t>
      </w:r>
      <w:r>
        <w:rPr>
          <w:rFonts w:ascii="Times" w:eastAsia="Times" w:hAnsi="Times" w:cs="Times"/>
          <w:color w:val="000000"/>
          <w:sz w:val="24"/>
          <w:szCs w:val="24"/>
        </w:rPr>
        <w:lastRenderedPageBreak/>
        <w:t>umożliwiające natychmiastowy kontakt (numer telefonu komórkowego), informację o znajomości języków obcych, w celu zapewnienia pomocy cudzoziemcom,</w:t>
      </w:r>
    </w:p>
    <w:p w14:paraId="35F2422E" w14:textId="77777777" w:rsidR="00D134C2" w:rsidRDefault="00D134C2" w:rsidP="00D134C2">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rPr>
        <w:tab/>
        <w:t>sposób udostępniania zatrzymanym list adwokatów i radców prawnych pełniących dyżury, w tym terminów dyżurów, określonych datami i godzinami,</w:t>
      </w:r>
    </w:p>
    <w:p w14:paraId="29E19F87" w14:textId="77777777" w:rsidR="00D134C2" w:rsidRDefault="00D134C2" w:rsidP="00D134C2">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rPr>
        <w:tab/>
        <w:t>obowiązki organów ścigania wobec zatrzymanego: niezwłoczne poinformowanie zatrzymanego o jego prawach, w tym o prawie do korzystania z pomocy obrońcy, udostępnienie aktualnej listy dyżurujących obrońców z urzędu z danego obszaru właściwości, zapewnienie możliwości skontaktowania się z wybranym obrońcą, w sposób umożliwiający zachowanie poufności rozmowy, umożliwienie kontaktu zatrzymanego z obrońcą, zapewnienie warunków poufności podczas rozmowy zatrzymanego z obrońcą,</w:t>
      </w:r>
    </w:p>
    <w:p w14:paraId="4FB1B617" w14:textId="77777777" w:rsidR="00D134C2" w:rsidRDefault="00D134C2" w:rsidP="00D134C2">
      <w:pPr>
        <w:pBdr>
          <w:top w:val="nil"/>
          <w:left w:val="nil"/>
          <w:bottom w:val="nil"/>
          <w:right w:val="nil"/>
          <w:between w:val="nil"/>
        </w:pBdr>
        <w:spacing w:after="0" w:line="360" w:lineRule="auto"/>
        <w:ind w:left="510" w:hanging="510"/>
        <w:jc w:val="both"/>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rPr>
        <w:tab/>
        <w:t>wejście w życie rozporządzenie z dniem wejścia w życie ustawy zawierającej upoważnienie do wydania rozporządzenia.</w:t>
      </w:r>
    </w:p>
    <w:p w14:paraId="6FA36519" w14:textId="77777777" w:rsidR="00D134C2" w:rsidRDefault="00D134C2" w:rsidP="00D134C2">
      <w:pPr>
        <w:pBdr>
          <w:top w:val="nil"/>
          <w:left w:val="nil"/>
          <w:bottom w:val="nil"/>
          <w:right w:val="nil"/>
          <w:between w:val="nil"/>
        </w:pBdr>
        <w:spacing w:before="120" w:after="0" w:line="360" w:lineRule="auto"/>
        <w:jc w:val="both"/>
        <w:rPr>
          <w:rFonts w:ascii="Times" w:eastAsia="Times" w:hAnsi="Times" w:cs="Times"/>
          <w:color w:val="000000"/>
          <w:sz w:val="24"/>
          <w:szCs w:val="24"/>
        </w:rPr>
      </w:pPr>
    </w:p>
    <w:p w14:paraId="6A6A5AA1" w14:textId="406CB5DE"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sidRPr="000B0F1D">
        <w:rPr>
          <w:rFonts w:ascii="Times" w:eastAsia="Times" w:hAnsi="Times" w:cs="Times"/>
          <w:color w:val="000000"/>
          <w:sz w:val="24"/>
          <w:szCs w:val="24"/>
        </w:rPr>
        <w:t>Zawarte w projekcie regulacje nie będą miały wpływ</w:t>
      </w:r>
      <w:r w:rsidR="005E6371">
        <w:rPr>
          <w:rFonts w:ascii="Times" w:eastAsia="Times" w:hAnsi="Times" w:cs="Times"/>
          <w:color w:val="000000"/>
          <w:sz w:val="24"/>
          <w:szCs w:val="24"/>
        </w:rPr>
        <w:t>u</w:t>
      </w:r>
      <w:r w:rsidRPr="000B0F1D">
        <w:rPr>
          <w:rFonts w:ascii="Times" w:eastAsia="Times" w:hAnsi="Times" w:cs="Times"/>
          <w:color w:val="000000"/>
          <w:sz w:val="24"/>
          <w:szCs w:val="24"/>
        </w:rPr>
        <w:t xml:space="preserve"> na mikro, małych i średnich przedsiębiorców, zgodnie z ustawą z dnia 6 marca 2018 r. – Prawo przedsiębiorców.</w:t>
      </w:r>
    </w:p>
    <w:p w14:paraId="0D23B7B8" w14:textId="77777777" w:rsidR="00D134C2" w:rsidRPr="000B0F1D"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p>
    <w:p w14:paraId="2E4BD088"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sidRPr="000B0F1D">
        <w:rPr>
          <w:rFonts w:ascii="Times" w:eastAsia="Times" w:hAnsi="Times" w:cs="Times"/>
          <w:color w:val="000000"/>
          <w:sz w:val="24"/>
          <w:szCs w:val="24"/>
        </w:rPr>
        <w:t>Przedkładany projekt ustawy jest zgodny z prawem Unii Europejskiej.</w:t>
      </w:r>
    </w:p>
    <w:p w14:paraId="2D8BBE36" w14:textId="77777777" w:rsidR="00D134C2" w:rsidRPr="000B0F1D"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p>
    <w:p w14:paraId="650CD80F" w14:textId="77777777" w:rsidR="00D134C2"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sidRPr="000B0F1D">
        <w:rPr>
          <w:rFonts w:ascii="Times" w:eastAsia="Times" w:hAnsi="Times" w:cs="Times"/>
          <w:color w:val="000000"/>
          <w:sz w:val="24"/>
          <w:szCs w:val="24"/>
        </w:rPr>
        <w:t xml:space="preserve">Projekt ustawy nie wymaga przedłożenia właściwym instytucjom i organom Unii Europejskiej, w tym Europejskiemu Bankowi Centralnemu, w celu uzyskania opinii, dokonania powiadomienia, konsultacji albo uzgodnienia. </w:t>
      </w:r>
    </w:p>
    <w:p w14:paraId="38C9AB5D" w14:textId="77777777" w:rsidR="00D134C2" w:rsidRPr="000B0F1D"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p>
    <w:p w14:paraId="2BBFE88D" w14:textId="77777777" w:rsidR="00D134C2" w:rsidRPr="000B0F1D" w:rsidRDefault="00D134C2" w:rsidP="00D134C2">
      <w:pPr>
        <w:pBdr>
          <w:top w:val="nil"/>
          <w:left w:val="nil"/>
          <w:bottom w:val="nil"/>
          <w:right w:val="nil"/>
          <w:between w:val="nil"/>
        </w:pBdr>
        <w:spacing w:after="0" w:line="360" w:lineRule="auto"/>
        <w:jc w:val="both"/>
        <w:rPr>
          <w:rFonts w:ascii="Times" w:eastAsia="Times" w:hAnsi="Times" w:cs="Times"/>
          <w:color w:val="000000"/>
          <w:sz w:val="24"/>
          <w:szCs w:val="24"/>
        </w:rPr>
      </w:pPr>
      <w:r w:rsidRPr="000B0F1D">
        <w:rPr>
          <w:rFonts w:ascii="Times" w:eastAsia="Times" w:hAnsi="Times" w:cs="Times"/>
          <w:color w:val="000000"/>
          <w:sz w:val="24"/>
          <w:szCs w:val="24"/>
        </w:rPr>
        <w:t>Projekt nie podlega procedurze notyfikacji.</w:t>
      </w:r>
    </w:p>
    <w:p w14:paraId="1AE362FE" w14:textId="77777777" w:rsidR="00F740E1" w:rsidRDefault="00F740E1"/>
    <w:sectPr w:rsidR="00F740E1" w:rsidSect="00D134C2">
      <w:headerReference w:type="default" r:id="rId12"/>
      <w:pgSz w:w="11906" w:h="16838"/>
      <w:pgMar w:top="1560" w:right="1434" w:bottom="1560" w:left="1418" w:header="709" w:footer="709" w:gutter="0"/>
      <w:pgNumType w:start="1"/>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33EC" w14:textId="77777777" w:rsidR="00D134C2" w:rsidRDefault="00D134C2">
    <w:pPr>
      <w:pBdr>
        <w:top w:val="nil"/>
        <w:left w:val="nil"/>
        <w:bottom w:val="nil"/>
        <w:right w:val="nil"/>
        <w:between w:val="nil"/>
      </w:pBdr>
      <w:tabs>
        <w:tab w:val="center" w:pos="4536"/>
        <w:tab w:val="right" w:pos="9072"/>
      </w:tabs>
      <w:jc w:val="center"/>
      <w:rPr>
        <w:rFonts w:ascii="Times" w:eastAsia="Times" w:hAnsi="Times" w:cs="Times"/>
        <w:color w:val="000000"/>
      </w:rPr>
    </w:pPr>
    <w:r>
      <w:rPr>
        <w:rFonts w:ascii="Times" w:eastAsia="Times" w:hAnsi="Times" w:cs="Times"/>
        <w:color w:val="000000"/>
      </w:rPr>
      <w:t xml:space="preserve">– </w:t>
    </w:r>
    <w:r>
      <w:rPr>
        <w:rFonts w:ascii="Times" w:eastAsia="Times" w:hAnsi="Times" w:cs="Times"/>
        <w:color w:val="000000"/>
      </w:rPr>
      <w:fldChar w:fldCharType="begin"/>
    </w:r>
    <w:r>
      <w:rPr>
        <w:rFonts w:ascii="Times" w:eastAsia="Times" w:hAnsi="Times" w:cs="Times"/>
        <w:color w:val="000000"/>
      </w:rPr>
      <w:instrText>PAGE</w:instrText>
    </w:r>
    <w:r>
      <w:rPr>
        <w:rFonts w:ascii="Times" w:eastAsia="Times" w:hAnsi="Times" w:cs="Times"/>
        <w:color w:val="000000"/>
      </w:rPr>
      <w:fldChar w:fldCharType="separate"/>
    </w:r>
    <w:r>
      <w:rPr>
        <w:rFonts w:ascii="Times" w:eastAsia="Times" w:hAnsi="Times" w:cs="Times"/>
        <w:noProof/>
        <w:color w:val="000000"/>
      </w:rPr>
      <w:t>2</w:t>
    </w:r>
    <w:r>
      <w:rPr>
        <w:rFonts w:ascii="Times" w:eastAsia="Times" w:hAnsi="Times" w:cs="Times"/>
        <w:color w:val="000000"/>
      </w:rPr>
      <w:fldChar w:fldCharType="end"/>
    </w:r>
    <w:r>
      <w:rPr>
        <w:rFonts w:ascii="Times" w:eastAsia="Times" w:hAnsi="Times" w:cs="Times"/>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C2"/>
    <w:rsid w:val="001B7544"/>
    <w:rsid w:val="005E6371"/>
    <w:rsid w:val="00CE7AEB"/>
    <w:rsid w:val="00D134C2"/>
    <w:rsid w:val="00DC708D"/>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D959"/>
  <w15:chartTrackingRefBased/>
  <w15:docId w15:val="{074C2EDD-070B-437A-8114-9455D631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34C2"/>
    <w:rPr>
      <w:rFonts w:ascii="Calibri" w:eastAsia="Calibri" w:hAnsi="Calibri" w:cs="Calibri"/>
      <w:kern w:val="0"/>
      <w:lang w:eastAsia="pl-PL"/>
    </w:rPr>
  </w:style>
  <w:style w:type="paragraph" w:styleId="Nagwek1">
    <w:name w:val="heading 1"/>
    <w:basedOn w:val="Normalny"/>
    <w:next w:val="Normalny"/>
    <w:link w:val="Nagwek1Znak"/>
    <w:uiPriority w:val="9"/>
    <w:qFormat/>
    <w:rsid w:val="00D13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13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134C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134C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134C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134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134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134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134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34C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134C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134C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134C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134C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134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134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134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134C2"/>
    <w:rPr>
      <w:rFonts w:eastAsiaTheme="majorEastAsia" w:cstheme="majorBidi"/>
      <w:color w:val="272727" w:themeColor="text1" w:themeTint="D8"/>
    </w:rPr>
  </w:style>
  <w:style w:type="paragraph" w:styleId="Tytu">
    <w:name w:val="Title"/>
    <w:basedOn w:val="Normalny"/>
    <w:next w:val="Normalny"/>
    <w:link w:val="TytuZnak"/>
    <w:uiPriority w:val="10"/>
    <w:qFormat/>
    <w:rsid w:val="00D13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134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134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134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134C2"/>
    <w:pPr>
      <w:spacing w:before="160"/>
      <w:jc w:val="center"/>
    </w:pPr>
    <w:rPr>
      <w:i/>
      <w:iCs/>
      <w:color w:val="404040" w:themeColor="text1" w:themeTint="BF"/>
    </w:rPr>
  </w:style>
  <w:style w:type="character" w:customStyle="1" w:styleId="CytatZnak">
    <w:name w:val="Cytat Znak"/>
    <w:basedOn w:val="Domylnaczcionkaakapitu"/>
    <w:link w:val="Cytat"/>
    <w:uiPriority w:val="29"/>
    <w:rsid w:val="00D134C2"/>
    <w:rPr>
      <w:i/>
      <w:iCs/>
      <w:color w:val="404040" w:themeColor="text1" w:themeTint="BF"/>
    </w:rPr>
  </w:style>
  <w:style w:type="paragraph" w:styleId="Akapitzlist">
    <w:name w:val="List Paragraph"/>
    <w:basedOn w:val="Normalny"/>
    <w:uiPriority w:val="34"/>
    <w:qFormat/>
    <w:rsid w:val="00D134C2"/>
    <w:pPr>
      <w:ind w:left="720"/>
      <w:contextualSpacing/>
    </w:pPr>
  </w:style>
  <w:style w:type="character" w:styleId="Wyrnienieintensywne">
    <w:name w:val="Intense Emphasis"/>
    <w:basedOn w:val="Domylnaczcionkaakapitu"/>
    <w:uiPriority w:val="21"/>
    <w:qFormat/>
    <w:rsid w:val="00D134C2"/>
    <w:rPr>
      <w:i/>
      <w:iCs/>
      <w:color w:val="0F4761" w:themeColor="accent1" w:themeShade="BF"/>
    </w:rPr>
  </w:style>
  <w:style w:type="paragraph" w:styleId="Cytatintensywny">
    <w:name w:val="Intense Quote"/>
    <w:basedOn w:val="Normalny"/>
    <w:next w:val="Normalny"/>
    <w:link w:val="CytatintensywnyZnak"/>
    <w:uiPriority w:val="30"/>
    <w:qFormat/>
    <w:rsid w:val="00D13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134C2"/>
    <w:rPr>
      <w:i/>
      <w:iCs/>
      <w:color w:val="0F4761" w:themeColor="accent1" w:themeShade="BF"/>
    </w:rPr>
  </w:style>
  <w:style w:type="character" w:styleId="Odwoanieintensywne">
    <w:name w:val="Intense Reference"/>
    <w:basedOn w:val="Domylnaczcionkaakapitu"/>
    <w:uiPriority w:val="32"/>
    <w:qFormat/>
    <w:rsid w:val="00D134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twatch.pl/wp-content/uploads/2019/12/tymczasowe_aresztowania_FCWP.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fhr.pl/publikacje/raport-praktyka-stosowania-tymczasowego-aresztowania-202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pk.pl/ekspertyzy/tymczasowe_aresztowanie_raport/" TargetMode="External"/><Relationship Id="rId11" Type="http://schemas.openxmlformats.org/officeDocument/2006/relationships/hyperlink" Target="https://courtwatch.pl/wp-content/uploads/2024/03/FCWP_Stosowanie_tymczasowego_aresztowania_2024.pdf" TargetMode="External"/><Relationship Id="rId5" Type="http://schemas.openxmlformats.org/officeDocument/2006/relationships/hyperlink" Target="https://bip.brpo.gov.pl/pl/content/rpo-areszty-dlugotrwalosc-termin-ms-wideo" TargetMode="External"/><Relationship Id="rId10" Type="http://schemas.openxmlformats.org/officeDocument/2006/relationships/hyperlink" Target="https://www.adwokatura.pl/z-zycia-nra/tymczasowe-aresztowanie-w-ocenie-adwokatow-raport-nra/" TargetMode="External"/><Relationship Id="rId4" Type="http://schemas.openxmlformats.org/officeDocument/2006/relationships/hyperlink" Target="https://archiwum.hfhr.pl/wyrok-w-strasburgu-to-nie-koniec-drugie-wydanie-raportu-na-temat-wykonywania-wyrokow-europejskiego-trybunalu-praw-czlowieka/" TargetMode="External"/><Relationship Id="rId9" Type="http://schemas.openxmlformats.org/officeDocument/2006/relationships/hyperlink" Target="https://archiwum.hfhr.pl/raport-hfpc-tymczasowe-aresztowanie-nietymczasowy-proble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1779</Words>
  <Characters>10678</Characters>
  <Application>Microsoft Office Word</Application>
  <DocSecurity>0</DocSecurity>
  <Lines>88</Lines>
  <Paragraphs>24</Paragraphs>
  <ScaleCrop>false</ScaleCrop>
  <Company>Kancelaria Sejmu</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2</cp:revision>
  <dcterms:created xsi:type="dcterms:W3CDTF">2026-05-22T08:43:00Z</dcterms:created>
  <dcterms:modified xsi:type="dcterms:W3CDTF">2026-05-22T10:06:00Z</dcterms:modified>
</cp:coreProperties>
</file>