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4AB3" w14:textId="77777777" w:rsidR="002436EB" w:rsidRPr="004B1E02" w:rsidRDefault="002436EB" w:rsidP="002436EB">
      <w:pPr>
        <w:pStyle w:val="OZNRODZAKTUtznustawalubrozporzdzenieiorganwydajcy"/>
        <w:spacing w:before="360" w:after="600" w:line="240" w:lineRule="auto"/>
        <w:rPr>
          <w:rFonts w:ascii="Times New Roman" w:hAnsi="Times New Roman"/>
          <w:spacing w:val="20"/>
        </w:rPr>
      </w:pPr>
      <w:r w:rsidRPr="004B1E02">
        <w:rPr>
          <w:rFonts w:ascii="Times New Roman" w:hAnsi="Times New Roman"/>
          <w:spacing w:val="20"/>
        </w:rPr>
        <w:t>UZASADNIENIE</w:t>
      </w:r>
    </w:p>
    <w:p w14:paraId="5AFC222C" w14:textId="5AE46B76" w:rsidR="00BB37E7" w:rsidRPr="004B1E02" w:rsidRDefault="002436EB" w:rsidP="002436EB">
      <w:pPr>
        <w:pStyle w:val="Akapitzlist"/>
        <w:numPr>
          <w:ilvl w:val="0"/>
          <w:numId w:val="1"/>
        </w:numPr>
        <w:rPr>
          <w:rFonts w:cs="Times New Roman"/>
          <w:b/>
          <w:bCs/>
          <w:szCs w:val="24"/>
        </w:rPr>
      </w:pPr>
      <w:r w:rsidRPr="004B1E02">
        <w:rPr>
          <w:rFonts w:cs="Times New Roman"/>
          <w:b/>
          <w:bCs/>
          <w:szCs w:val="24"/>
        </w:rPr>
        <w:t>Potrzeba i cel ustawy</w:t>
      </w:r>
    </w:p>
    <w:p w14:paraId="73124F99" w14:textId="77777777" w:rsidR="00F118DB" w:rsidRPr="004B1E02" w:rsidRDefault="00F118DB" w:rsidP="00F118DB">
      <w:pPr>
        <w:ind w:left="360"/>
        <w:rPr>
          <w:rFonts w:cs="Times New Roman"/>
          <w:b/>
          <w:bCs/>
          <w:szCs w:val="24"/>
        </w:rPr>
      </w:pPr>
    </w:p>
    <w:p w14:paraId="6F302FBD" w14:textId="53575678" w:rsidR="004B1E02" w:rsidRPr="004B1E02" w:rsidRDefault="004B1E02" w:rsidP="004B1E02">
      <w:pPr>
        <w:jc w:val="both"/>
        <w:rPr>
          <w:rFonts w:eastAsia="Times New Roman" w:cs="Times New Roman"/>
          <w:color w:val="000000"/>
          <w:szCs w:val="24"/>
        </w:rPr>
      </w:pPr>
      <w:r w:rsidRPr="004B1E02">
        <w:rPr>
          <w:rFonts w:eastAsia="Times New Roman" w:cs="Times New Roman"/>
          <w:color w:val="000000"/>
          <w:szCs w:val="24"/>
        </w:rPr>
        <w:t xml:space="preserve">Celem </w:t>
      </w:r>
      <w:r w:rsidR="00811D61">
        <w:rPr>
          <w:rFonts w:eastAsia="Times New Roman" w:cs="Times New Roman"/>
          <w:color w:val="000000"/>
          <w:szCs w:val="24"/>
        </w:rPr>
        <w:t xml:space="preserve">projektu ustawy </w:t>
      </w:r>
      <w:r w:rsidRPr="004B1E02">
        <w:rPr>
          <w:rFonts w:eastAsia="Times New Roman" w:cs="Times New Roman"/>
          <w:color w:val="000000"/>
          <w:szCs w:val="24"/>
        </w:rPr>
        <w:t xml:space="preserve">jest usunięcie problemów interpretacyjnych </w:t>
      </w:r>
      <w:r w:rsidR="00811D61">
        <w:rPr>
          <w:rFonts w:eastAsia="Times New Roman" w:cs="Times New Roman"/>
          <w:color w:val="000000"/>
          <w:szCs w:val="24"/>
        </w:rPr>
        <w:t>wynikających z przepisów</w:t>
      </w:r>
      <w:r w:rsidRPr="004B1E02">
        <w:rPr>
          <w:rFonts w:eastAsia="Times New Roman" w:cs="Times New Roman"/>
          <w:color w:val="000000"/>
          <w:szCs w:val="24"/>
        </w:rPr>
        <w:t xml:space="preserve"> ustawy </w:t>
      </w:r>
      <w:r w:rsidRPr="004B1E02">
        <w:rPr>
          <w:rFonts w:cs="Times New Roman"/>
          <w:i/>
          <w:iCs/>
          <w:szCs w:val="24"/>
        </w:rPr>
        <w:t xml:space="preserve">z dnia 13 marca 2026 r. o zmianie ustawy – Prawo energetyczne oraz niektórych innych ustaw [Dz.U. z 2026 r., poz.516], zwanej dalej „ustawą zmieniającą” </w:t>
      </w:r>
      <w:r w:rsidRPr="004B1E02">
        <w:rPr>
          <w:rFonts w:eastAsia="Times New Roman" w:cs="Times New Roman"/>
          <w:color w:val="000000"/>
          <w:szCs w:val="24"/>
        </w:rPr>
        <w:t xml:space="preserve">co do terminów obowiązywania przepisów wskazanych w art. 38 pkt 2 ustawy zmieniającej tj. art. 9 ust. 1, 3 i ust. 4 pkt 1 oraz ust. 5, art. 11 ust. 1, 3 i ust. 4 pkt 1 i 3, art. 13 oraz art. 14, które w obecnym brzmieniu ustawy „wchodzą w życie po upływie sześciu miesięcy od dnia ogłoszenia” tj. </w:t>
      </w:r>
      <w:r w:rsidR="00E516D9">
        <w:rPr>
          <w:rFonts w:eastAsia="Times New Roman" w:cs="Times New Roman"/>
          <w:color w:val="000000"/>
          <w:szCs w:val="24"/>
        </w:rPr>
        <w:t xml:space="preserve">od dnia </w:t>
      </w:r>
      <w:r w:rsidRPr="004B1E02">
        <w:rPr>
          <w:rFonts w:eastAsia="Times New Roman" w:cs="Times New Roman"/>
          <w:color w:val="000000"/>
          <w:szCs w:val="24"/>
        </w:rPr>
        <w:t>15 października 2026 roku.</w:t>
      </w:r>
    </w:p>
    <w:p w14:paraId="26A46125" w14:textId="6173420F" w:rsidR="004B1E02" w:rsidRPr="004B1E02" w:rsidRDefault="004B1E02" w:rsidP="004B1E02">
      <w:pPr>
        <w:jc w:val="both"/>
        <w:rPr>
          <w:rFonts w:eastAsia="Times New Roman" w:cs="Times New Roman"/>
          <w:color w:val="000000"/>
          <w:szCs w:val="24"/>
        </w:rPr>
      </w:pPr>
      <w:r w:rsidRPr="004B1E02">
        <w:rPr>
          <w:rFonts w:eastAsia="Times New Roman" w:cs="Times New Roman"/>
          <w:color w:val="000000"/>
          <w:szCs w:val="24"/>
        </w:rPr>
        <w:t xml:space="preserve">Efektem 6-miesięcznego vacatio legis stało się powstanie luki w okresie obowiązywania przepisów przejściowych względem podmiotów znajdujących się na najbardziej zaawansowanym etapie procesu przyłączeniowego, do których, w obecnym brzmieniu ustawy, w okresie po </w:t>
      </w:r>
      <w:r w:rsidR="00811D61">
        <w:rPr>
          <w:rFonts w:eastAsia="Times New Roman" w:cs="Times New Roman"/>
          <w:color w:val="000000"/>
          <w:szCs w:val="24"/>
        </w:rPr>
        <w:t xml:space="preserve">dniu </w:t>
      </w:r>
      <w:r w:rsidRPr="004B1E02">
        <w:rPr>
          <w:rFonts w:eastAsia="Times New Roman" w:cs="Times New Roman"/>
          <w:color w:val="000000"/>
          <w:szCs w:val="24"/>
        </w:rPr>
        <w:t xml:space="preserve">30 kwietnia 2026 roku do </w:t>
      </w:r>
      <w:r w:rsidR="00811D61">
        <w:rPr>
          <w:rFonts w:eastAsia="Times New Roman" w:cs="Times New Roman"/>
          <w:color w:val="000000"/>
          <w:szCs w:val="24"/>
        </w:rPr>
        <w:t xml:space="preserve">dnia </w:t>
      </w:r>
      <w:r w:rsidRPr="004B1E02">
        <w:rPr>
          <w:rFonts w:eastAsia="Times New Roman" w:cs="Times New Roman"/>
          <w:color w:val="000000"/>
          <w:szCs w:val="24"/>
        </w:rPr>
        <w:t xml:space="preserve">15 października 2026 roku nie znajdują zastosowania przepisy ustawy zmieniającej dot. zaliczek, zabezpieczeń oraz terminów tzw. „kamieni milowych”, a przepisy dotychczasowe ustawy prawo energetyczne. </w:t>
      </w:r>
    </w:p>
    <w:p w14:paraId="0B2F891C" w14:textId="206C4742" w:rsidR="004B1E02" w:rsidRPr="004B1E02" w:rsidRDefault="004B1E02" w:rsidP="004B1E02">
      <w:pPr>
        <w:jc w:val="both"/>
        <w:rPr>
          <w:rFonts w:eastAsia="Times New Roman" w:cs="Times New Roman"/>
          <w:color w:val="000000"/>
          <w:szCs w:val="24"/>
        </w:rPr>
      </w:pPr>
      <w:r w:rsidRPr="004B1E02">
        <w:rPr>
          <w:rFonts w:eastAsia="Times New Roman" w:cs="Times New Roman"/>
          <w:color w:val="000000"/>
          <w:szCs w:val="24"/>
        </w:rPr>
        <w:t xml:space="preserve">Tym samym na skutek błędnego sformułowania oraz interpretacji w ustawie zmieniającej okresu 6 miesięcy poprzez umieszczenie go w ustawie zmieniającej jako terminu wejścia w życie ustawy po upływie sześciu miesięcy od dnia ogłoszenia, a nie dla kwalifikacji sytuacji prawnej podmiotów wskazanych w art. 13 i </w:t>
      </w:r>
      <w:r w:rsidR="00811D61">
        <w:rPr>
          <w:rFonts w:eastAsia="Times New Roman" w:cs="Times New Roman"/>
          <w:color w:val="000000"/>
          <w:szCs w:val="24"/>
        </w:rPr>
        <w:t xml:space="preserve">art. </w:t>
      </w:r>
      <w:r w:rsidRPr="004B1E02">
        <w:rPr>
          <w:rFonts w:eastAsia="Times New Roman" w:cs="Times New Roman"/>
          <w:color w:val="000000"/>
          <w:szCs w:val="24"/>
        </w:rPr>
        <w:t xml:space="preserve">14 ustawy oraz wydłużenia terminów realizacji obowiązków wskazanych w art. 9 ust. 1, 3 i ust. 4 pkt 1 oraz ust. 5, art. 11 ust. 1, 3 i ust. 4 pkt 1 i 3, art. 13 oraz art. 14 ustawy zmieniającej doszło do problemów z interpretacją i zastosowaniem przepisów ustawy zmieniającej. Wykładania celowościowa ustawy zmieniającej zastępowana jest przez operatorów </w:t>
      </w:r>
      <w:r w:rsidRPr="004B1E02">
        <w:rPr>
          <w:rFonts w:cs="Times New Roman"/>
          <w:szCs w:val="24"/>
        </w:rPr>
        <w:t xml:space="preserve">sieciowych w ich komunikatach </w:t>
      </w:r>
      <w:r w:rsidRPr="004B1E02">
        <w:rPr>
          <w:rFonts w:eastAsia="Times New Roman" w:cs="Times New Roman"/>
          <w:color w:val="000000"/>
          <w:szCs w:val="24"/>
        </w:rPr>
        <w:t xml:space="preserve">wykładnią literalną, która nie uwzględnia pierwotnego celu i źródła dodatkowego terminu 6 miesięcy przyznanego podmiotom przyłączanym zgodnie z intencjami </w:t>
      </w:r>
      <w:r w:rsidR="00E516D9">
        <w:rPr>
          <w:rFonts w:eastAsia="Times New Roman" w:cs="Times New Roman"/>
          <w:color w:val="000000"/>
          <w:szCs w:val="24"/>
        </w:rPr>
        <w:t xml:space="preserve">wnioskodawcy Ministra Energii i </w:t>
      </w:r>
      <w:r w:rsidRPr="004B1E02">
        <w:rPr>
          <w:rFonts w:eastAsia="Times New Roman" w:cs="Times New Roman"/>
          <w:color w:val="000000"/>
          <w:szCs w:val="24"/>
        </w:rPr>
        <w:t xml:space="preserve">ustawodawcy wyrażanymi w toku procesu legislacyjnego. Zastosowana przez operatorów sieciowych wykładnia nie wyjaśnia kompleksowo wszystkich wątpliwości, które pojawią się w toku stosowania przepisów przejściowych ustawy zmieniającej. </w:t>
      </w:r>
    </w:p>
    <w:p w14:paraId="39ABA148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</w:p>
    <w:p w14:paraId="68E50A48" w14:textId="7E9DE604" w:rsidR="00E516D9" w:rsidRPr="00B718B3" w:rsidRDefault="004B1E02" w:rsidP="00E516D9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 xml:space="preserve">Błędne interpretacje terminu „wejście w życie ustawy” niweczy sens i istotę ustawy zmieniającej, co wprost przekłada się na konsekwencje w zakresie wysokości kwot i terminów </w:t>
      </w:r>
      <w:r w:rsidRPr="004B1E02">
        <w:rPr>
          <w:rFonts w:cs="Times New Roman"/>
          <w:szCs w:val="24"/>
        </w:rPr>
        <w:lastRenderedPageBreak/>
        <w:t xml:space="preserve">na dokonanie wpłat zaliczek i zabezpieczeń, a także realizacji kamieni milowych. Prezentowana przez operatorów sieciowych interpretacja stanowi bezpośrednie zagrożenie dla utrzymania ciągłości prowadzonych procesów inwestycyjnych przez przyłączane podmioty. Potwierdzeniem poważanych wątpliwości i ich negatywnego wpływu na rynek jest fakt, iż operatorzy sami zastrzegają w swoich komunikatach i oficjalnych wypowiedziach, że przedstawiana przez nich interpretacja może być błędna i może się zmienić, co dodatkowo dowodzi zaistniałej niepewności regulacyjnej, której skutkiem jest chaos projektowy i decyzyjny. Ostateczne istotne konsekwencje finansowe i biznesowe powyższego ponoszą podmioty przyłączane, które będą zobowiązane w terminie do </w:t>
      </w:r>
      <w:r w:rsidR="00811D61">
        <w:rPr>
          <w:rFonts w:cs="Times New Roman"/>
          <w:szCs w:val="24"/>
        </w:rPr>
        <w:t xml:space="preserve">dnia </w:t>
      </w:r>
      <w:r w:rsidRPr="004B1E02">
        <w:rPr>
          <w:rFonts w:cs="Times New Roman"/>
          <w:szCs w:val="24"/>
        </w:rPr>
        <w:t>15 października 2026</w:t>
      </w:r>
      <w:r w:rsidR="00811D61">
        <w:rPr>
          <w:rFonts w:cs="Times New Roman"/>
          <w:szCs w:val="24"/>
        </w:rPr>
        <w:t xml:space="preserve"> r. </w:t>
      </w:r>
      <w:r w:rsidRPr="004B1E02">
        <w:rPr>
          <w:rFonts w:cs="Times New Roman"/>
          <w:szCs w:val="24"/>
        </w:rPr>
        <w:t xml:space="preserve"> do wniesieni</w:t>
      </w:r>
      <w:r w:rsidR="00E516D9">
        <w:rPr>
          <w:rFonts w:cs="Times New Roman"/>
          <w:szCs w:val="24"/>
        </w:rPr>
        <w:t>a</w:t>
      </w:r>
      <w:r w:rsidRPr="004B1E02">
        <w:rPr>
          <w:rFonts w:cs="Times New Roman"/>
          <w:szCs w:val="24"/>
        </w:rPr>
        <w:t xml:space="preserve"> zaliczek i zabezpieczeń w pełnej, a nie obniżonej do ¼ wysokości, zgodnie z przepisami art. 9 i </w:t>
      </w:r>
      <w:r w:rsidR="00811D61">
        <w:rPr>
          <w:rFonts w:cs="Times New Roman"/>
          <w:szCs w:val="24"/>
        </w:rPr>
        <w:t xml:space="preserve">art. </w:t>
      </w:r>
      <w:r w:rsidRPr="004B1E02">
        <w:rPr>
          <w:rFonts w:cs="Times New Roman"/>
          <w:szCs w:val="24"/>
        </w:rPr>
        <w:t xml:space="preserve">11 przepisów przejściowych ustawy zmieniającej, a po tym terminie realizacji kamieni milowych m.in. w zakresie dostarczania ostatecznych pozwoleń na budowę bez uwzględnienia dodatkowych 6 miesięcy uzgodnionych w procesie legislacyjnym dla </w:t>
      </w:r>
      <w:r w:rsidR="00E516D9">
        <w:rPr>
          <w:rFonts w:cs="Times New Roman"/>
          <w:szCs w:val="24"/>
        </w:rPr>
        <w:t>podmiotów, których najsilniej dotknęła nowa ustawa w</w:t>
      </w:r>
      <w:r w:rsidR="00E516D9" w:rsidRPr="00B718B3">
        <w:rPr>
          <w:rFonts w:cs="Times New Roman"/>
          <w:szCs w:val="24"/>
        </w:rPr>
        <w:t xml:space="preserve"> procesie </w:t>
      </w:r>
      <w:r w:rsidR="00E516D9">
        <w:rPr>
          <w:rFonts w:cs="Times New Roman"/>
          <w:szCs w:val="24"/>
        </w:rPr>
        <w:t xml:space="preserve">ich </w:t>
      </w:r>
      <w:r w:rsidR="00E516D9" w:rsidRPr="00B718B3">
        <w:rPr>
          <w:rFonts w:cs="Times New Roman"/>
          <w:szCs w:val="24"/>
        </w:rPr>
        <w:t>przyłącza</w:t>
      </w:r>
      <w:r w:rsidR="00E516D9">
        <w:rPr>
          <w:rFonts w:cs="Times New Roman"/>
          <w:szCs w:val="24"/>
        </w:rPr>
        <w:t>nia do sieci</w:t>
      </w:r>
      <w:r w:rsidR="00E516D9" w:rsidRPr="00B718B3">
        <w:rPr>
          <w:rFonts w:cs="Times New Roman"/>
          <w:szCs w:val="24"/>
        </w:rPr>
        <w:t>.</w:t>
      </w:r>
    </w:p>
    <w:p w14:paraId="76C2F786" w14:textId="77777777" w:rsidR="00E516D9" w:rsidRDefault="00E516D9" w:rsidP="004B1E02">
      <w:pPr>
        <w:jc w:val="both"/>
        <w:rPr>
          <w:rFonts w:cs="Times New Roman"/>
          <w:szCs w:val="24"/>
        </w:rPr>
      </w:pPr>
    </w:p>
    <w:p w14:paraId="6668177F" w14:textId="55661ABB" w:rsidR="004B1E02" w:rsidRPr="004B1E02" w:rsidRDefault="004B1E02" w:rsidP="004B1E02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>Skoro zatem obecne brzmienie ustawy zmieniającej budzi tak wiele kontrowersji jedynym skutecznym i właściwym sposobem na ich usuni</w:t>
      </w:r>
      <w:r w:rsidR="00E516D9">
        <w:rPr>
          <w:rFonts w:cs="Times New Roman"/>
          <w:szCs w:val="24"/>
        </w:rPr>
        <w:t>ę</w:t>
      </w:r>
      <w:r w:rsidRPr="004B1E02">
        <w:rPr>
          <w:rFonts w:cs="Times New Roman"/>
          <w:szCs w:val="24"/>
        </w:rPr>
        <w:t xml:space="preserve">cie jest zmiana przepisów ustawy zamieniającej, z której skorzystają wszyscy uczestnicy rynku, zarówno podmioty przyłączane, jak i operatorzy sieciowi. </w:t>
      </w:r>
    </w:p>
    <w:p w14:paraId="425A4119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</w:p>
    <w:p w14:paraId="1B802D62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>W projekcie ustawy zastosowano  - jako usuwający wszelkie wątpliwości interpelacyjne - taki sposób korekty przepisów przejściowych ustawy zmieniającej, który wskazuje konkretne daty dla oceny zdarzeń prawnych i sytuacji podmiotów przyłączanych co do uzyskania warunków przyłączenia oraz terminu zawarcia umowy o przyłączenie, jak również konkretne daty dla obliczenia terminu realizacji obowiązków w zakresie dostarczenia ostatecznych pozwoleń na budowę.</w:t>
      </w:r>
    </w:p>
    <w:p w14:paraId="1F59BF27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</w:p>
    <w:p w14:paraId="5106F7A2" w14:textId="77777777" w:rsidR="004B1E02" w:rsidRPr="004B1E02" w:rsidRDefault="004B1E02" w:rsidP="004B1E02">
      <w:pPr>
        <w:pStyle w:val="Akapitzlist"/>
        <w:numPr>
          <w:ilvl w:val="0"/>
          <w:numId w:val="1"/>
        </w:numPr>
        <w:jc w:val="both"/>
        <w:rPr>
          <w:rFonts w:cs="Times New Roman"/>
          <w:b/>
          <w:bCs/>
          <w:szCs w:val="24"/>
        </w:rPr>
      </w:pPr>
      <w:r w:rsidRPr="004B1E02">
        <w:rPr>
          <w:rFonts w:cs="Times New Roman"/>
          <w:b/>
          <w:bCs/>
          <w:szCs w:val="24"/>
        </w:rPr>
        <w:t>Szczegółowe uzasadnienie proponowanej zmiana przepisów ustawy zmieniającej:</w:t>
      </w:r>
    </w:p>
    <w:p w14:paraId="1356F219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</w:p>
    <w:p w14:paraId="78847E2C" w14:textId="3530FEA6" w:rsidR="004B1E02" w:rsidRPr="004B1E02" w:rsidRDefault="004B1E02" w:rsidP="004B1E02">
      <w:pPr>
        <w:jc w:val="both"/>
        <w:rPr>
          <w:rFonts w:cs="Times New Roman"/>
          <w:b/>
          <w:bCs/>
          <w:szCs w:val="24"/>
        </w:rPr>
      </w:pPr>
      <w:r w:rsidRPr="004B1E02">
        <w:rPr>
          <w:rFonts w:cs="Times New Roman"/>
          <w:b/>
          <w:bCs/>
          <w:szCs w:val="24"/>
        </w:rPr>
        <w:t xml:space="preserve">Ad. pkt </w:t>
      </w:r>
      <w:r w:rsidR="00811D61">
        <w:rPr>
          <w:rFonts w:cs="Times New Roman"/>
          <w:b/>
          <w:bCs/>
          <w:szCs w:val="24"/>
        </w:rPr>
        <w:t>1 lit. a</w:t>
      </w:r>
    </w:p>
    <w:p w14:paraId="0DE94B3C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 xml:space="preserve">Propozycja projektu zmiany ustawy zamieniającej zastępuje termin „wejścia w życie ustawy” oraz wszystkich terminów liczonych w miesiącach rozpoczynających swój bieg od terminu „wejścia w życie ustawy” na konkretne daty celem usunięcia wszelkich wątpliwości co do obliczenia tych terminów. Tym samym obliczania te następują w oparciu o zdarzenie pewne </w:t>
      </w:r>
      <w:r w:rsidRPr="004B1E02">
        <w:rPr>
          <w:rFonts w:cs="Times New Roman"/>
          <w:szCs w:val="24"/>
        </w:rPr>
        <w:lastRenderedPageBreak/>
        <w:t>niebudzące wątpliwości. Powyższa technika oddaje istotę ustalenia terminu wejścia w życie przepisów i ich zastosowania przez podmioty będące adresatami norm prawnych wyrażonych w tych przepisach.</w:t>
      </w:r>
    </w:p>
    <w:p w14:paraId="49F7E9FA" w14:textId="56CF9428" w:rsidR="004B1E02" w:rsidRPr="004B1E02" w:rsidRDefault="004B1E02" w:rsidP="004B1E02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 xml:space="preserve">Zamiana terminu „wejścia w życie ustawy” na </w:t>
      </w:r>
      <w:r w:rsidR="00811D61">
        <w:rPr>
          <w:rFonts w:cs="Times New Roman"/>
          <w:szCs w:val="24"/>
        </w:rPr>
        <w:t xml:space="preserve">dzień </w:t>
      </w:r>
      <w:r w:rsidRPr="004B1E02">
        <w:rPr>
          <w:rFonts w:cs="Times New Roman"/>
          <w:szCs w:val="24"/>
        </w:rPr>
        <w:t>30 kwietnia 2026 roku w treści art. 9 ust. 1 i 3 prowadzi do sprecyzowania momentu czasowego według którego oceniana jest sytuacja prawna podmiotów przyłączanych, które przed dniem 30 kwietnia 2026 roku otrzymały warunki przyłączenia, których ważność upływa nie wcześniej niż 6 miesięcy od dnia 30 kwietnia 2026 roku czyli</w:t>
      </w:r>
      <w:r w:rsidRPr="004B1E02">
        <w:rPr>
          <w:rFonts w:cs="Times New Roman"/>
          <w:color w:val="156082" w:themeColor="accent1"/>
          <w:szCs w:val="24"/>
        </w:rPr>
        <w:t xml:space="preserve">, </w:t>
      </w:r>
      <w:r w:rsidRPr="004B1E02">
        <w:rPr>
          <w:rFonts w:cs="Times New Roman"/>
          <w:szCs w:val="24"/>
        </w:rPr>
        <w:t>jak wskazano w propozycji zmiany,</w:t>
      </w:r>
      <w:r w:rsidRPr="004B1E02">
        <w:rPr>
          <w:rFonts w:cs="Times New Roman"/>
          <w:color w:val="156082" w:themeColor="accent1"/>
          <w:szCs w:val="24"/>
        </w:rPr>
        <w:t xml:space="preserve"> </w:t>
      </w:r>
      <w:r w:rsidRPr="004B1E02">
        <w:rPr>
          <w:rFonts w:cs="Times New Roman"/>
          <w:szCs w:val="24"/>
        </w:rPr>
        <w:t xml:space="preserve">po dniu 30 października 2026 roku, ale nie zawarł umowy o przyłączenie do sieci. Względem tych podmiotów powinny zostać zastosowane przepisy art. 9 ust. 1 i 3 w zakresie terminów i wysokości wnoszenia zaliczek. </w:t>
      </w:r>
    </w:p>
    <w:p w14:paraId="61015202" w14:textId="77777777" w:rsidR="00811D61" w:rsidRDefault="004B1E02" w:rsidP="004B1E02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 xml:space="preserve">Terminy wnoszenia zaliczek dla poszczególnych grup podmiotów wskazanych w pkt 1 i 2 ust. 3 art. 9 zostały w projekcie zmiany wydłużone o 6 miesięcy z terminem rozpoczęcia ich biegu od dnia 30 kwietnia 2026 roku. </w:t>
      </w:r>
    </w:p>
    <w:p w14:paraId="46D809F7" w14:textId="0EAB69AA" w:rsidR="004B1E02" w:rsidRPr="004B1E02" w:rsidRDefault="004B1E02" w:rsidP="004B1E02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>Powyższa zmiana oddaje istotę intencji ustawodawcy i usuwa wątpliwości po stronie operatorów sieciowych oraz podmiotów przyłączanych co do ostatecznego terminu wniesienia zaliczek wskazując, iż dla:</w:t>
      </w:r>
    </w:p>
    <w:p w14:paraId="69032304" w14:textId="77777777" w:rsidR="004B1E02" w:rsidRPr="004B1E02" w:rsidRDefault="004B1E02" w:rsidP="004B1E02">
      <w:pPr>
        <w:pStyle w:val="Akapitzlist"/>
        <w:numPr>
          <w:ilvl w:val="0"/>
          <w:numId w:val="3"/>
        </w:num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>podmiotów ubiegających się o przyłączenie do sieci instalacji lub obiektów niezbędnych dla zasilania kolejowej sieci trakcyjnej lub służących do kierowania i sterowania ruchem kolejowym – będzie to 66 miesięcy liczone od 30 kwietnia 2026 czyli 30 października 2031 roku</w:t>
      </w:r>
    </w:p>
    <w:p w14:paraId="38634BF0" w14:textId="0AB3F9DC" w:rsidR="004B1E02" w:rsidRPr="004B1E02" w:rsidRDefault="004B1E02" w:rsidP="004B1E02">
      <w:pPr>
        <w:pStyle w:val="Akapitzlist"/>
        <w:numPr>
          <w:ilvl w:val="0"/>
          <w:numId w:val="3"/>
        </w:num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 xml:space="preserve">dla pozostałych podmiotów, innych niż wskazane w pkt 1 – będzie o 12 miesięcy od dnia 30 kwietnia 2026 roku czyli </w:t>
      </w:r>
      <w:r w:rsidR="002D1C98">
        <w:rPr>
          <w:rFonts w:cs="Times New Roman"/>
          <w:szCs w:val="24"/>
        </w:rPr>
        <w:t xml:space="preserve">od </w:t>
      </w:r>
      <w:r w:rsidRPr="004B1E02">
        <w:rPr>
          <w:rFonts w:cs="Times New Roman"/>
          <w:szCs w:val="24"/>
        </w:rPr>
        <w:t xml:space="preserve">30 kwietnia 2027 roku. </w:t>
      </w:r>
    </w:p>
    <w:p w14:paraId="5464F6DA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</w:p>
    <w:p w14:paraId="405ED9AB" w14:textId="0B617593" w:rsidR="004B1E02" w:rsidRPr="004B1E02" w:rsidRDefault="004B1E02" w:rsidP="004B1E02">
      <w:pPr>
        <w:jc w:val="both"/>
        <w:rPr>
          <w:rFonts w:cs="Times New Roman"/>
          <w:b/>
          <w:bCs/>
          <w:szCs w:val="24"/>
        </w:rPr>
      </w:pPr>
      <w:r w:rsidRPr="004B1E02">
        <w:rPr>
          <w:rFonts w:cs="Times New Roman"/>
          <w:b/>
          <w:bCs/>
          <w:szCs w:val="24"/>
        </w:rPr>
        <w:t xml:space="preserve">Ad. </w:t>
      </w:r>
      <w:r w:rsidR="00811D61" w:rsidRPr="004B1E02">
        <w:rPr>
          <w:rFonts w:cs="Times New Roman"/>
          <w:b/>
          <w:bCs/>
          <w:szCs w:val="24"/>
        </w:rPr>
        <w:t>P</w:t>
      </w:r>
      <w:r w:rsidRPr="004B1E02">
        <w:rPr>
          <w:rFonts w:cs="Times New Roman"/>
          <w:b/>
          <w:bCs/>
          <w:szCs w:val="24"/>
        </w:rPr>
        <w:t>kt</w:t>
      </w:r>
      <w:r w:rsidR="00811D61">
        <w:rPr>
          <w:rFonts w:cs="Times New Roman"/>
          <w:b/>
          <w:bCs/>
          <w:szCs w:val="24"/>
        </w:rPr>
        <w:t xml:space="preserve"> 1 lit. b</w:t>
      </w:r>
      <w:r w:rsidRPr="004B1E02">
        <w:rPr>
          <w:rFonts w:cs="Times New Roman"/>
          <w:b/>
          <w:bCs/>
          <w:szCs w:val="24"/>
        </w:rPr>
        <w:t xml:space="preserve"> projektu zmian</w:t>
      </w:r>
    </w:p>
    <w:p w14:paraId="11D1521C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 xml:space="preserve">Zgodnie z uzasadnieniem wskazanym powyżej w art. 9 ust. 3 należy odpowiednio dokonać zamiany terminu „wejścia w życie ustawy” na 30 kwietnia 2026 roku, zaś termin „z upływem 6 miesięcy od dnia wejścia w życie niniejszej ustawy” odpowiednio na „z upływem 30 października 2026”, co czyni brzmienie tego przepisu jednoznacznym i nie budzącym wątpliwości. </w:t>
      </w:r>
    </w:p>
    <w:p w14:paraId="2647BF9C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</w:p>
    <w:p w14:paraId="298E896F" w14:textId="36B98CDA" w:rsidR="004B1E02" w:rsidRPr="004B1E02" w:rsidRDefault="004B1E02" w:rsidP="004B1E02">
      <w:pPr>
        <w:jc w:val="both"/>
        <w:rPr>
          <w:rFonts w:cs="Times New Roman"/>
          <w:b/>
          <w:bCs/>
          <w:szCs w:val="24"/>
        </w:rPr>
      </w:pPr>
      <w:r w:rsidRPr="004B1E02">
        <w:rPr>
          <w:rFonts w:cs="Times New Roman"/>
          <w:b/>
          <w:bCs/>
          <w:szCs w:val="24"/>
        </w:rPr>
        <w:t xml:space="preserve">Ad. </w:t>
      </w:r>
      <w:r w:rsidR="00811D61" w:rsidRPr="004B1E02">
        <w:rPr>
          <w:rFonts w:cs="Times New Roman"/>
          <w:b/>
          <w:bCs/>
          <w:szCs w:val="24"/>
        </w:rPr>
        <w:t>P</w:t>
      </w:r>
      <w:r w:rsidRPr="004B1E02">
        <w:rPr>
          <w:rFonts w:cs="Times New Roman"/>
          <w:b/>
          <w:bCs/>
          <w:szCs w:val="24"/>
        </w:rPr>
        <w:t>kt</w:t>
      </w:r>
      <w:r w:rsidR="00811D61">
        <w:rPr>
          <w:rFonts w:cs="Times New Roman"/>
          <w:b/>
          <w:bCs/>
          <w:szCs w:val="24"/>
        </w:rPr>
        <w:t xml:space="preserve"> 1 lit. c</w:t>
      </w:r>
      <w:r w:rsidRPr="004B1E02">
        <w:rPr>
          <w:rFonts w:cs="Times New Roman"/>
          <w:b/>
          <w:bCs/>
          <w:szCs w:val="24"/>
        </w:rPr>
        <w:t xml:space="preserve"> projektu zmian</w:t>
      </w:r>
    </w:p>
    <w:p w14:paraId="5C3B1EEB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 xml:space="preserve">Zastąpienie w art. 9 ust. 5 terminu „przed wejściem niniejszej ustawy” terminem „przed 30 kwietnia 2026 roku” służy zapewnieniu jego jednoznaczności co do ustalania, iż podmiot, który </w:t>
      </w:r>
      <w:r w:rsidRPr="004B1E02">
        <w:rPr>
          <w:rFonts w:cs="Times New Roman"/>
          <w:szCs w:val="24"/>
        </w:rPr>
        <w:lastRenderedPageBreak/>
        <w:t>przed 30 kwietnia 2026 roku otrzymały warunki przyłączenia, ale nie zawarł umowy o przyłączenie, może po zawarciu umowy o przyłączenie w miejsce zaliczki złożyć zabezpieczenie w formie określonej w art. 7 ust. 8c2 pkt 2 i 3 ustawy zmienianej w art. 1.</w:t>
      </w:r>
    </w:p>
    <w:p w14:paraId="631E1508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>Ponadto, przedmiotem zmiany jest także dodanie w odesłaniu do w wysokości zaliczki określonej w art. 7 ust. 8a, także ust. 8b  bowiem art. 7 ust. 8b wskazuje limit zaliczki i powinien być stosowany łącznie z ust. 8a bowiem oba te przepisy odnoszą się do wysokości zaliczki, a brak uzupełnienia odwołania w zakresie wysokości zaliczki do ust. 8b art. 7 ustawy zmienianej powodowałby powstanie wątpliwości czy w przypadku przepisów przejściowych podmioty będące adresatami tych norm korzystają także z ograniczenia kwotowego tj. wnoszenia zaliczki w maksymalnej kwocie, która nie może być wyższa niż wysokość przewidywanej opłaty za przyłączenie do sieci i nie wyższa niż 6 000 000 zł. W przypadku gdy wysokość zaliczki przekroczy wysokość opłaty za przyłączenie do sieci, różnica między wysokością wniesionej zaliczki a wysokością tej opłaty podlega zwrotowi wraz z ustawowymi odsetkami liczonymi od dnia wniesienia zaliczki.</w:t>
      </w:r>
    </w:p>
    <w:p w14:paraId="1419B0D2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 xml:space="preserve">Tym samym uzupełnienie odwołania w art. 9 ust. 5 w zakresie wysokości zaliczki o art. 7 ust. 8b ujednolica stosowanie przepisów w zakresie wysokości wnoszonych zaliczek. </w:t>
      </w:r>
    </w:p>
    <w:p w14:paraId="38A124C2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</w:p>
    <w:p w14:paraId="190BF05C" w14:textId="06A9C1BE" w:rsidR="004B1E02" w:rsidRPr="004B1E02" w:rsidRDefault="004B1E02" w:rsidP="004B1E02">
      <w:pPr>
        <w:jc w:val="both"/>
        <w:rPr>
          <w:rFonts w:cs="Times New Roman"/>
          <w:szCs w:val="24"/>
        </w:rPr>
      </w:pPr>
      <w:r w:rsidRPr="004B1E02">
        <w:rPr>
          <w:rFonts w:cs="Times New Roman"/>
          <w:b/>
          <w:bCs/>
          <w:szCs w:val="24"/>
        </w:rPr>
        <w:t xml:space="preserve">Ad. pkt </w:t>
      </w:r>
      <w:r w:rsidR="00811D61">
        <w:rPr>
          <w:rFonts w:cs="Times New Roman"/>
          <w:b/>
          <w:bCs/>
          <w:szCs w:val="24"/>
        </w:rPr>
        <w:t>2 lit. a</w:t>
      </w:r>
      <w:r w:rsidRPr="004B1E02">
        <w:rPr>
          <w:rFonts w:cs="Times New Roman"/>
          <w:szCs w:val="24"/>
        </w:rPr>
        <w:t xml:space="preserve"> </w:t>
      </w:r>
      <w:r w:rsidRPr="004B1E02">
        <w:rPr>
          <w:rFonts w:cs="Times New Roman"/>
          <w:b/>
          <w:bCs/>
          <w:szCs w:val="24"/>
        </w:rPr>
        <w:t>projektu zmian</w:t>
      </w:r>
    </w:p>
    <w:p w14:paraId="7A10B0A4" w14:textId="63728FC3" w:rsidR="004B1E02" w:rsidRPr="004B1E02" w:rsidRDefault="004B1E02" w:rsidP="004B1E02">
      <w:pPr>
        <w:widowControl/>
        <w:autoSpaceDE/>
        <w:autoSpaceDN/>
        <w:adjustRightInd/>
        <w:spacing w:after="160"/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>Zamiana terminu „wejścia w życie ustawy” na 30 kwietnia 2026 roku w treści art. 11 ust. 1 i 3 prowadzi do sprecyzowania momentu czasowego według którego oceniana jest sytuacja prawna podmiotów przyłączanych, które przed dniem 30 kwietnia 2026 roku</w:t>
      </w:r>
      <w:r w:rsidRPr="004B1E02">
        <w:rPr>
          <w:rFonts w:cs="Times New Roman"/>
          <w:color w:val="EE0000"/>
          <w:szCs w:val="24"/>
        </w:rPr>
        <w:t xml:space="preserve"> </w:t>
      </w:r>
      <w:r w:rsidRPr="004B1E02">
        <w:rPr>
          <w:rFonts w:cs="Times New Roman"/>
          <w:szCs w:val="24"/>
        </w:rPr>
        <w:t>złożył</w:t>
      </w:r>
      <w:r w:rsidR="002D1C98">
        <w:rPr>
          <w:rFonts w:cs="Times New Roman"/>
          <w:szCs w:val="24"/>
        </w:rPr>
        <w:t>y</w:t>
      </w:r>
      <w:r w:rsidRPr="004B1E02">
        <w:rPr>
          <w:rFonts w:cs="Times New Roman"/>
          <w:szCs w:val="24"/>
        </w:rPr>
        <w:t xml:space="preserve"> wniosek o określenie warunków przyłączenia oraz otrzymał warunki przyłączenia, ale nie zawarł umowy o przyłączenie do sieci. Podmioty te składają zabezpieczenie zgodnie z art. 7 ust. 8c1–8c6 ustawy zmienianej. </w:t>
      </w:r>
    </w:p>
    <w:p w14:paraId="6D557EC2" w14:textId="4BE59742" w:rsidR="004B1E02" w:rsidRPr="004B1E02" w:rsidRDefault="004B1E02" w:rsidP="004B1E02">
      <w:pPr>
        <w:widowControl/>
        <w:autoSpaceDE/>
        <w:autoSpaceDN/>
        <w:adjustRightInd/>
        <w:spacing w:after="160"/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>Jednocześnie, skoro zgodnie z ww. przepisami przejściowymi ustawy zmieniającej tj. art. 11 ust. 1 i 3 wysokość zabezpieczenia składana jest w wysokości jednej czwartej kwoty zabezpieczenia, zatem także wartość jednej czwartej należy odnieść do limitu kwotowego wskazanego w art. 7 ust. 8c(1) tj. maksymalnej kwoty zabezpieczenia w wysokości 12.000.000 złotych. Tym samym w przepisie art. 11 ust. 1 ustawy zmieniającej należy umieścić doprecyzowanie, iż kwota ¼ wysokości zabezpieczenia nie może być wyższa niż 3 000 000 złotych. Powyższa zmiana pozwala w sposób jasny i niebudzący wątpliwości ustalić wysokość zabezpieczenia wnoszonego przez podmioty wskazane w art. 11 ust. 1 i 3, w ty</w:t>
      </w:r>
      <w:r w:rsidR="002D1C98">
        <w:rPr>
          <w:rFonts w:cs="Times New Roman"/>
          <w:szCs w:val="24"/>
        </w:rPr>
        <w:t>m</w:t>
      </w:r>
      <w:r w:rsidRPr="004B1E02">
        <w:rPr>
          <w:rFonts w:cs="Times New Roman"/>
          <w:szCs w:val="24"/>
        </w:rPr>
        <w:t xml:space="preserve"> w szczególności potwierdzić, iż próg ¼ wysokości zabezpieczenia stosuje się także do limitu </w:t>
      </w:r>
      <w:r w:rsidRPr="004B1E02">
        <w:rPr>
          <w:rFonts w:cs="Times New Roman"/>
          <w:szCs w:val="24"/>
        </w:rPr>
        <w:lastRenderedPageBreak/>
        <w:t>kwotowego wskazanego w ust. 8c(1) art. 7 tj. 12.000.000 złotych, a zatem wynosi on 3.000.000 złotych.</w:t>
      </w:r>
    </w:p>
    <w:p w14:paraId="03ECC9FF" w14:textId="6A26166E" w:rsidR="004B1E02" w:rsidRPr="004B1E02" w:rsidRDefault="004B1E02" w:rsidP="004B1E02">
      <w:pPr>
        <w:widowControl/>
        <w:autoSpaceDE/>
        <w:autoSpaceDN/>
        <w:adjustRightInd/>
        <w:spacing w:after="160"/>
        <w:jc w:val="both"/>
        <w:rPr>
          <w:rFonts w:cs="Times New Roman"/>
          <w:b/>
          <w:bCs/>
          <w:szCs w:val="24"/>
        </w:rPr>
      </w:pPr>
      <w:r w:rsidRPr="004B1E02">
        <w:rPr>
          <w:rFonts w:cs="Times New Roman"/>
          <w:b/>
          <w:bCs/>
          <w:szCs w:val="24"/>
        </w:rPr>
        <w:t xml:space="preserve">Ad. </w:t>
      </w:r>
      <w:r w:rsidR="00811D61">
        <w:rPr>
          <w:rFonts w:cs="Times New Roman"/>
          <w:b/>
          <w:bCs/>
          <w:szCs w:val="24"/>
        </w:rPr>
        <w:t>pkt 2 lit. b</w:t>
      </w:r>
      <w:r w:rsidRPr="004B1E02">
        <w:rPr>
          <w:rFonts w:cs="Times New Roman"/>
          <w:b/>
          <w:bCs/>
          <w:szCs w:val="24"/>
        </w:rPr>
        <w:t xml:space="preserve"> projektu zmian</w:t>
      </w:r>
    </w:p>
    <w:p w14:paraId="2E0DF64F" w14:textId="0D5DD2F4" w:rsidR="004B1E02" w:rsidRPr="004B1E02" w:rsidRDefault="004B1E02" w:rsidP="004B1E02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>W art. 11 ust. 3 z uwagi na jego aktualne brzmienie powodujące wątpliwości interpretacyjne należy dokonać zmian w zakresie zastąpienia terminu „wejścia w życie ustawy” datą 30 kwietnia 2026 roku dla wskazania podmiotów, które są adresatem tej normy prawnej tj. podmiotów, które przed dniem 30 kwietnia 2026 roku zawarł</w:t>
      </w:r>
      <w:r w:rsidR="002D1C98">
        <w:rPr>
          <w:rFonts w:cs="Times New Roman"/>
          <w:szCs w:val="24"/>
        </w:rPr>
        <w:t>y</w:t>
      </w:r>
      <w:r w:rsidRPr="004B1E02">
        <w:rPr>
          <w:rFonts w:cs="Times New Roman"/>
          <w:szCs w:val="24"/>
        </w:rPr>
        <w:t xml:space="preserve"> umowę o przyłączenie do sieci z terminem przyłączenia późniejszym niż 3 lata liczone od 30 kwietnia 2026 roku, a zatem z terminem przyłączenia późniejszym niż 30 kwietnia 2029. Zastąpienie terminu „wejścia w życie ustawy” oraz terminów liczonych od daty wejścia w życie ustawy datami zapewnia jednoznaczność ustalania adresata normy prawnej, do której przepisy te znajdują zastosowanie. </w:t>
      </w:r>
    </w:p>
    <w:p w14:paraId="68AEF0CA" w14:textId="77777777" w:rsidR="004B1E02" w:rsidRPr="004B1E02" w:rsidRDefault="004B1E02" w:rsidP="004B1E02">
      <w:pPr>
        <w:widowControl/>
        <w:autoSpaceDE/>
        <w:autoSpaceDN/>
        <w:adjustRightInd/>
        <w:spacing w:after="160"/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>Podobnie, jak w przypadku proponowanej zmiany art. 11 ust. 1 powyżej, tak i w przypadku art. 11 ust. 3 konieczne jest doprecyzowanie, iż kwota ¼ wysokości zabezpieczenia wnoszonego przez te podmioty nie może być wyższa niż 3 000 000 złotych, co potwierdza, iż próg ¼ wysokości zabezpieczenia stosuje się także do limitu kwotowego wskazanego w art. 7 ust. 8c(1) tj. 12.000.000 złotych, a zatem wynosi on 3.000.000 złotych.</w:t>
      </w:r>
    </w:p>
    <w:p w14:paraId="1A586926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>Ponadto wskazany w art. 11 ust. 3 termin na wniesienie tego zabezpieczenia, który w obecnym brzmieniu tego przepisu wskazany został „w terminie 6 miesięcy od dnia wejścia w życie niniejszej ustawy” należy zastąpić terminem</w:t>
      </w:r>
      <w:r w:rsidRPr="004B1E02">
        <w:rPr>
          <w:rFonts w:cs="Times New Roman"/>
          <w:b/>
          <w:bCs/>
          <w:color w:val="EE0000"/>
          <w:szCs w:val="24"/>
        </w:rPr>
        <w:t xml:space="preserve"> </w:t>
      </w:r>
      <w:r w:rsidRPr="004B1E02">
        <w:rPr>
          <w:rFonts w:cs="Times New Roman"/>
          <w:b/>
          <w:bCs/>
          <w:szCs w:val="24"/>
        </w:rPr>
        <w:t>„</w:t>
      </w:r>
      <w:r w:rsidRPr="004B1E02">
        <w:rPr>
          <w:rFonts w:cs="Times New Roman"/>
          <w:szCs w:val="24"/>
        </w:rPr>
        <w:t>do dnia 30 kwietnia 2027 roku”. Wydłużenie terminu na wniesienie zabezpieczenia o 6 miesięcy oddaje rzeczywistą intencję ustawodawcy o docelowym ustalaniu tego terminu na 12 miesięcy od dnia 30 kwietnia 2026 roku wyrażaną w toku procesu legislacyjnego. Powyższy cel zrealizowany zostaje poprzez wskazanie daty na wniesienia zapieczenia przez adresatów normy prawnej wskazanej w art. 11 ust. 3.</w:t>
      </w:r>
    </w:p>
    <w:p w14:paraId="4CC6A2A2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</w:p>
    <w:p w14:paraId="7B59F3CB" w14:textId="14FB3569" w:rsidR="004B1E02" w:rsidRPr="004B1E02" w:rsidRDefault="004B1E02" w:rsidP="004B1E02">
      <w:pPr>
        <w:jc w:val="both"/>
        <w:rPr>
          <w:rFonts w:cs="Times New Roman"/>
          <w:b/>
          <w:bCs/>
          <w:szCs w:val="24"/>
        </w:rPr>
      </w:pPr>
      <w:r w:rsidRPr="004B1E02">
        <w:rPr>
          <w:rFonts w:cs="Times New Roman"/>
          <w:b/>
          <w:bCs/>
          <w:szCs w:val="24"/>
        </w:rPr>
        <w:t xml:space="preserve">Ad. </w:t>
      </w:r>
      <w:r w:rsidR="00811D61">
        <w:rPr>
          <w:rFonts w:cs="Times New Roman"/>
          <w:b/>
          <w:bCs/>
          <w:szCs w:val="24"/>
        </w:rPr>
        <w:t>pkt 2 lit. c</w:t>
      </w:r>
      <w:r w:rsidRPr="004B1E02">
        <w:rPr>
          <w:rFonts w:cs="Times New Roman"/>
          <w:b/>
          <w:bCs/>
          <w:szCs w:val="24"/>
        </w:rPr>
        <w:t xml:space="preserve"> projektu ustawy </w:t>
      </w:r>
    </w:p>
    <w:p w14:paraId="44EAB5DF" w14:textId="050C260D" w:rsidR="004B1E02" w:rsidRPr="004B1E02" w:rsidRDefault="004B1E02" w:rsidP="004B1E02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>Propozycja zmiany odnosi się do zastąpienia skutku prawnego niewniesienia zabezpieczania w terminie przez adresatów normy prawnej z art. 11 ust. 1 z „utarty mocy warunków przyłączenia” na „wygaśnięcie umowa o przyłączenie z mocy prawa” bowiem przepis art. 7 ust. 8c(9)  wymaga wniesienia zabezpieczenia nie później niż 14 dni po dniu zawarcia umowy o przyłączenie, pod rygorem wygaśnięcia umowy z mocy prawa. Tym samym niedotrzymanie terminu 14 dni od zwarcia umowy o przyłączenie w aktualnym brzmieniu art. 11 ust. 4 pkt 1) spowoduje powstanie podwójnego skutku sankcyjnego</w:t>
      </w:r>
      <w:r w:rsidR="002D1C98">
        <w:rPr>
          <w:rFonts w:cs="Times New Roman"/>
          <w:szCs w:val="24"/>
        </w:rPr>
        <w:t>,</w:t>
      </w:r>
      <w:r w:rsidRPr="004B1E02">
        <w:rPr>
          <w:rFonts w:cs="Times New Roman"/>
          <w:szCs w:val="24"/>
        </w:rPr>
        <w:t xml:space="preserve"> tj. zarówno wygaśnięcia umowy o przyłączenie z mocy prawa zgodnie z art. 7 ust. 8c(9) ustawy zmienianej, jak i utraty ważności </w:t>
      </w:r>
      <w:r w:rsidRPr="004B1E02">
        <w:rPr>
          <w:rFonts w:cs="Times New Roman"/>
          <w:szCs w:val="24"/>
        </w:rPr>
        <w:lastRenderedPageBreak/>
        <w:t xml:space="preserve">warunków przyłączenia zgodnie z art. 11 ust. 4 pkt 1) ustawy zmieniającej. </w:t>
      </w:r>
    </w:p>
    <w:p w14:paraId="7B50010D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</w:p>
    <w:p w14:paraId="47455625" w14:textId="134F53C2" w:rsidR="004B1E02" w:rsidRPr="004B1E02" w:rsidRDefault="004B1E02" w:rsidP="004B1E02">
      <w:pPr>
        <w:jc w:val="both"/>
        <w:rPr>
          <w:rFonts w:cs="Times New Roman"/>
          <w:b/>
          <w:bCs/>
          <w:szCs w:val="24"/>
        </w:rPr>
      </w:pPr>
      <w:r w:rsidRPr="004B1E02">
        <w:rPr>
          <w:rFonts w:cs="Times New Roman"/>
          <w:b/>
          <w:bCs/>
          <w:szCs w:val="24"/>
        </w:rPr>
        <w:t xml:space="preserve">Ad. </w:t>
      </w:r>
      <w:r w:rsidR="00811D61">
        <w:rPr>
          <w:rFonts w:cs="Times New Roman"/>
          <w:b/>
          <w:bCs/>
          <w:szCs w:val="24"/>
        </w:rPr>
        <w:t xml:space="preserve">pkt 3 lit. a </w:t>
      </w:r>
      <w:r w:rsidRPr="004B1E02">
        <w:rPr>
          <w:rFonts w:cs="Times New Roman"/>
          <w:b/>
          <w:bCs/>
          <w:szCs w:val="24"/>
        </w:rPr>
        <w:t xml:space="preserve">projektu ustawy </w:t>
      </w:r>
    </w:p>
    <w:p w14:paraId="4A069E2F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 xml:space="preserve">Projekt zmian zakłada także, iż wszystkie terminy wskazane w art. 13  ustawy zmieniającej powinny odnosić się do </w:t>
      </w:r>
      <w:r w:rsidRPr="002D1C98">
        <w:rPr>
          <w:rFonts w:cs="Times New Roman"/>
          <w:szCs w:val="24"/>
        </w:rPr>
        <w:t>u</w:t>
      </w:r>
      <w:r w:rsidRPr="004B1E02">
        <w:rPr>
          <w:rFonts w:cs="Times New Roman"/>
          <w:szCs w:val="24"/>
        </w:rPr>
        <w:t xml:space="preserve">mów o przyłączenie do sieci, o których mowa w art. 7 ust. 1 ustawy zmienianej w art. 1, zawartych nie wcześniej niż 48 miesięcy przed dniem 15 października 2026 roku, czyli w odcinku czasowym  uwzględniającym 6 miesięczny termin obejmujący umowy zawarte i aktualnie zawierane w ciągu 48 miesięcy wstecz od 15 października 2026 roku czyli uwzględniając okres 6 miesięcy od ogłoszenia ustawy, tak aby zarówno podmioty przyłączane, jak i operatorzy dysponowali 6-misięcznym odcinkiem czasowym na zawarcie umów przyłączeniowych, do których zastawanie będą miały obowiązki wskazane w art. 13 ustawy zmieniającej czyli terminy na tzw. kamienie milowe. </w:t>
      </w:r>
    </w:p>
    <w:p w14:paraId="7AEF5B9E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</w:p>
    <w:p w14:paraId="4B9AC7D7" w14:textId="760D544D" w:rsidR="004B1E02" w:rsidRPr="004B1E02" w:rsidRDefault="004B1E02" w:rsidP="004B1E02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 xml:space="preserve">W przypadku przepisu art. 13 ust. 1 zastąpienie terminu „dnia wejścia w życie ustawy” datą „15 października 2026 roku”, a nie jak w przypadku przepisów art. 9 ust. 1 i 3 oraz 11 ust. 1 i 3 datą 30 kwietnia 2026 roku uzasadnione jest pierwotnym zamieram ustawodawcy objęcia normami przepisów art. 13 i 14 podmiotów przyłączanych, które znajdują się na końcowym, najbardziej zaawansowanym etapie zawierania umowy przyłączeniowej, a jednocześnie przyznaje tym podmiotom odpowiedni margines czasowy na zaadaptowanie się do zmian prawa. </w:t>
      </w:r>
    </w:p>
    <w:p w14:paraId="0BF15E4C" w14:textId="1C9C4D8B" w:rsidR="004B1E02" w:rsidRPr="004B1E02" w:rsidRDefault="004B1E02" w:rsidP="004B1E02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>Dodatkowo, terminy realizacji obowiązków adresowanych do tych podmiotów w zakresie zawiadomienia o uzyskaniu ostatecznej decyzji o pozwoleniu na budowę zostały wydłużone o 6 miesięcy, zgodnie z intencją ustawodawcy wyrażon</w:t>
      </w:r>
      <w:r w:rsidR="002D1C98">
        <w:rPr>
          <w:rFonts w:cs="Times New Roman"/>
          <w:szCs w:val="24"/>
        </w:rPr>
        <w:t>ą</w:t>
      </w:r>
      <w:r w:rsidRPr="004B1E02">
        <w:rPr>
          <w:rFonts w:cs="Times New Roman"/>
          <w:szCs w:val="24"/>
        </w:rPr>
        <w:t xml:space="preserve"> w toku procesu legislacyjnego oraz rozpoczynają bieg od 30 października 2026 roku</w:t>
      </w:r>
      <w:r w:rsidR="002D1C98">
        <w:rPr>
          <w:rFonts w:cs="Times New Roman"/>
          <w:szCs w:val="24"/>
        </w:rPr>
        <w:t>,</w:t>
      </w:r>
      <w:r w:rsidRPr="004B1E02">
        <w:rPr>
          <w:rFonts w:cs="Times New Roman"/>
          <w:szCs w:val="24"/>
        </w:rPr>
        <w:t xml:space="preserve"> czyli od upływu 6 miesięcy od dnia ogólnego terminu wejścia w życie ustawy zmieniającej. Także i w tym przypadku najbardziej precyzyjnym rozwiązaniem jest wskazanie wprost daty, od której liczony jest 30 - miesięczny termin na zawiadomienia o uzyskaniu ostatecznej decyzji o pozwoleniu na budowę przez podmioty wskazane w pkt 1) ppkt a) i b) art. 11 ust. 1, zaś w przypadku podmiotów wskazanych w pkt 2) ppkt a)-c) termin ten wynosiłby 42 miesiące od dnia 30 października 2026 roku. </w:t>
      </w:r>
    </w:p>
    <w:p w14:paraId="45BB3F42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</w:p>
    <w:p w14:paraId="3B76A2EA" w14:textId="402C546C" w:rsidR="004B1E02" w:rsidRPr="004B1E02" w:rsidRDefault="004B1E02" w:rsidP="004B1E02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>Odpowiednią zamianę w zakresie wydłużenia o 6 miesięcy terminu na realizacj</w:t>
      </w:r>
      <w:r w:rsidR="002D1C98">
        <w:rPr>
          <w:rFonts w:cs="Times New Roman"/>
          <w:szCs w:val="24"/>
        </w:rPr>
        <w:t>ę</w:t>
      </w:r>
      <w:r w:rsidRPr="004B1E02">
        <w:rPr>
          <w:rFonts w:cs="Times New Roman"/>
          <w:szCs w:val="24"/>
        </w:rPr>
        <w:t xml:space="preserve"> obowiązku zawiadomienia o uzyskaniu ostatecznej decyzji o pozwoleniu na budowę, czyli łącznie 60 miesięcy liczone od dnia 30 kwietnia 2026 roku, zastosowano także do podmiotów wskazanych w art. 11 ust. 1 pkt 3) czyli budujących obiekty lub instalacje zasilające kolejowej sieci </w:t>
      </w:r>
      <w:r w:rsidRPr="004B1E02">
        <w:rPr>
          <w:rFonts w:cs="Times New Roman"/>
          <w:szCs w:val="24"/>
        </w:rPr>
        <w:lastRenderedPageBreak/>
        <w:t>trakcyjnej lub służące do kierowania i sterowania ruchem kolejowym.</w:t>
      </w:r>
    </w:p>
    <w:p w14:paraId="5154BFFA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</w:p>
    <w:p w14:paraId="3B55B2E9" w14:textId="44CC269C" w:rsidR="004B1E02" w:rsidRPr="004B1E02" w:rsidRDefault="004B1E02" w:rsidP="004B1E02">
      <w:pPr>
        <w:widowControl/>
        <w:autoSpaceDE/>
        <w:autoSpaceDN/>
        <w:adjustRightInd/>
        <w:spacing w:after="160"/>
        <w:jc w:val="both"/>
        <w:rPr>
          <w:rFonts w:cs="Times New Roman"/>
          <w:b/>
          <w:bCs/>
          <w:szCs w:val="24"/>
        </w:rPr>
      </w:pPr>
      <w:r w:rsidRPr="004B1E02">
        <w:rPr>
          <w:rFonts w:cs="Times New Roman"/>
          <w:b/>
          <w:bCs/>
          <w:szCs w:val="24"/>
        </w:rPr>
        <w:t xml:space="preserve">Ad. </w:t>
      </w:r>
      <w:r w:rsidR="00811D61">
        <w:rPr>
          <w:rFonts w:cs="Times New Roman"/>
          <w:b/>
          <w:bCs/>
          <w:szCs w:val="24"/>
        </w:rPr>
        <w:t xml:space="preserve"> pkt 3 lit. b </w:t>
      </w:r>
      <w:r w:rsidRPr="004B1E02">
        <w:rPr>
          <w:rFonts w:cs="Times New Roman"/>
          <w:b/>
          <w:bCs/>
          <w:szCs w:val="24"/>
        </w:rPr>
        <w:t xml:space="preserve"> i </w:t>
      </w:r>
      <w:r w:rsidR="00811D61">
        <w:rPr>
          <w:rFonts w:cs="Times New Roman"/>
          <w:b/>
          <w:bCs/>
          <w:szCs w:val="24"/>
        </w:rPr>
        <w:t>pkt 4 lit. c</w:t>
      </w:r>
      <w:r w:rsidRPr="004B1E02">
        <w:rPr>
          <w:rFonts w:cs="Times New Roman"/>
          <w:b/>
          <w:bCs/>
          <w:szCs w:val="24"/>
        </w:rPr>
        <w:t xml:space="preserve"> projektu zmian </w:t>
      </w:r>
    </w:p>
    <w:p w14:paraId="61BD6D5C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 xml:space="preserve">Proponowana zmiana w art. 13 ust. 2 służy doprecyzowaniu, iż wymóg złożenia zabezpieczenia wykonania zobowiązań w wysokości </w:t>
      </w:r>
      <w:r w:rsidRPr="004B1E02">
        <w:rPr>
          <w:rFonts w:cs="Times New Roman"/>
          <w:szCs w:val="24"/>
          <w:u w:val="single"/>
        </w:rPr>
        <w:t>połowy kwoty</w:t>
      </w:r>
      <w:r w:rsidRPr="004B1E02">
        <w:rPr>
          <w:rFonts w:cs="Times New Roman"/>
          <w:szCs w:val="24"/>
        </w:rPr>
        <w:t xml:space="preserve"> określonej w art. 7 ust. 2i pkt 2 ustawy zmienianej w art. 1, która to kwota nie powinna wynosić więcej niż 12 000 000 zł, oznacza </w:t>
      </w:r>
      <w:r w:rsidRPr="004B1E02">
        <w:rPr>
          <w:rFonts w:cs="Times New Roman"/>
          <w:szCs w:val="24"/>
          <w:u w:val="single"/>
        </w:rPr>
        <w:t>obniżenie tego limitu kwotowego o połowę</w:t>
      </w:r>
      <w:r w:rsidRPr="004B1E02">
        <w:rPr>
          <w:rFonts w:cs="Times New Roman"/>
          <w:szCs w:val="24"/>
        </w:rPr>
        <w:t>, a zatem wynosi „nie więcej niż 6 000 000 złotych”, które to słowa, w celu doprecyzowania przepisu, zostały dodane na końcu zdania.</w:t>
      </w:r>
    </w:p>
    <w:p w14:paraId="3B193EA9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</w:p>
    <w:p w14:paraId="5285A3DF" w14:textId="49C9B9A1" w:rsidR="004B1E02" w:rsidRPr="004B1E02" w:rsidRDefault="004B1E02" w:rsidP="004B1E02">
      <w:pPr>
        <w:jc w:val="both"/>
        <w:rPr>
          <w:rFonts w:cs="Times New Roman"/>
          <w:b/>
          <w:bCs/>
          <w:szCs w:val="24"/>
        </w:rPr>
      </w:pPr>
      <w:r w:rsidRPr="004B1E02">
        <w:rPr>
          <w:rFonts w:cs="Times New Roman"/>
          <w:b/>
          <w:bCs/>
          <w:szCs w:val="24"/>
        </w:rPr>
        <w:t xml:space="preserve">Ad. pkt </w:t>
      </w:r>
      <w:r w:rsidR="000D241B">
        <w:rPr>
          <w:rFonts w:cs="Times New Roman"/>
          <w:b/>
          <w:bCs/>
          <w:szCs w:val="24"/>
        </w:rPr>
        <w:t>4 lit. a</w:t>
      </w:r>
      <w:r w:rsidRPr="004B1E02">
        <w:rPr>
          <w:rFonts w:cs="Times New Roman"/>
          <w:b/>
          <w:bCs/>
          <w:szCs w:val="24"/>
        </w:rPr>
        <w:t xml:space="preserve"> projektu zmian</w:t>
      </w:r>
    </w:p>
    <w:p w14:paraId="6BEC90FA" w14:textId="7FAF7DC9" w:rsidR="004B1E02" w:rsidRPr="004B1E02" w:rsidRDefault="004B1E02" w:rsidP="004B1E02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>Proponowane zmiany opierają się na tej samej logice i uzasadnieniu co projekt zmian do art. 13 ustawy zmieniającej bowiem oba przepisy pozostają ze sobą w związku czasowym. Artykuł 13 odnosi się do umów zawartych do 15 października 2026 i wstecz 48 miesięcy od tej daty, zaś art. 14 odnosi się do umów zawartych jeszcze wcześniej</w:t>
      </w:r>
      <w:r w:rsidR="002D1C98">
        <w:rPr>
          <w:rFonts w:cs="Times New Roman"/>
          <w:szCs w:val="24"/>
        </w:rPr>
        <w:t>,</w:t>
      </w:r>
      <w:r w:rsidRPr="004B1E02">
        <w:rPr>
          <w:rFonts w:cs="Times New Roman"/>
          <w:szCs w:val="24"/>
        </w:rPr>
        <w:t xml:space="preserve"> tj. zawartych wcześniej niż 48 miesięcy przed dniem 15 października 2026 roku. Przepis ten odnosi się zatem do umów zawartych w odleglejszym terminie, dla których termin na zawiadomienie operatora, do którego sieci jest przyłączany ustalone zostało w terminie: </w:t>
      </w:r>
    </w:p>
    <w:p w14:paraId="6D82C765" w14:textId="77777777" w:rsidR="004B1E02" w:rsidRPr="004B1E02" w:rsidRDefault="004B1E02" w:rsidP="004B1E02">
      <w:pPr>
        <w:pStyle w:val="Akapitzlist"/>
        <w:numPr>
          <w:ilvl w:val="0"/>
          <w:numId w:val="4"/>
        </w:num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>6 miesięcy od 30 października 2026 roku</w:t>
      </w:r>
      <w:r w:rsidRPr="004B1E02">
        <w:rPr>
          <w:rFonts w:cs="Times New Roman"/>
          <w:b/>
          <w:bCs/>
          <w:szCs w:val="24"/>
        </w:rPr>
        <w:t xml:space="preserve"> </w:t>
      </w:r>
      <w:r w:rsidRPr="004B1E02">
        <w:rPr>
          <w:rFonts w:cs="Times New Roman"/>
          <w:szCs w:val="24"/>
        </w:rPr>
        <w:t>– dla ostatecznej decyzji o pozwoleniu na budowę turbiny wiatrowej w zakresie niezbędnym do realizacji co najmniej 80 % mocy zainstalowanej elektrycznej instalacji objętej tą umową lub w przypadku przyłączenia sieci – mocy zainstalowanej elektrycznej instalacji planowanej do przyłączenia za pośrednictwem tej sieci,</w:t>
      </w:r>
    </w:p>
    <w:p w14:paraId="4D286234" w14:textId="77777777" w:rsidR="004B1E02" w:rsidRPr="004B1E02" w:rsidRDefault="004B1E02" w:rsidP="004B1E02">
      <w:pPr>
        <w:pStyle w:val="Akapitzlist"/>
        <w:numPr>
          <w:ilvl w:val="0"/>
          <w:numId w:val="4"/>
        </w:num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>3 miesiące od dnia wejścia w życie niniejszej ustawy</w:t>
      </w:r>
      <w:r w:rsidRPr="004B1E02">
        <w:rPr>
          <w:rFonts w:cs="Times New Roman"/>
          <w:b/>
          <w:bCs/>
          <w:color w:val="EE0000"/>
          <w:szCs w:val="24"/>
        </w:rPr>
        <w:t xml:space="preserve"> </w:t>
      </w:r>
      <w:r w:rsidRPr="004B1E02">
        <w:rPr>
          <w:rFonts w:cs="Times New Roman"/>
          <w:szCs w:val="24"/>
        </w:rPr>
        <w:t>30 października 2026 roku – o uzyskaniu ostatecznej decyzji o pozwoleniach na budowę, o których mowa w art. 13 ust. 1 pkt 1 i pkt 2 lit. b oraz c.</w:t>
      </w:r>
    </w:p>
    <w:p w14:paraId="214C501D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>Tym samym projekty będące w najbardziej zawansowanym etapie technicznym i budowlanym otrzymały termin liczony, podobnie jak projekty wskazane w art. 13 ustawy zmieniającej, od dnia 30 października 2026 roku na zawiadomienie o uzyskaniu ostatecznej decyzji o pozwoleniu na budowę, z zachowaniem zasady, iż terminy na realizacje tych obowiązków, z uwagi na stopień zaawansowania tych projektów jest najkrótszy.</w:t>
      </w:r>
    </w:p>
    <w:p w14:paraId="07AA3F9B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 xml:space="preserve"> </w:t>
      </w:r>
    </w:p>
    <w:p w14:paraId="2956D355" w14:textId="2E26B521" w:rsidR="004B1E02" w:rsidRPr="004B1E02" w:rsidRDefault="004B1E02" w:rsidP="004B1E02">
      <w:pPr>
        <w:jc w:val="both"/>
        <w:rPr>
          <w:rFonts w:cs="Times New Roman"/>
          <w:b/>
          <w:bCs/>
          <w:szCs w:val="24"/>
        </w:rPr>
      </w:pPr>
      <w:r w:rsidRPr="004B1E02">
        <w:rPr>
          <w:rFonts w:cs="Times New Roman"/>
          <w:b/>
          <w:bCs/>
          <w:szCs w:val="24"/>
        </w:rPr>
        <w:t>Ad. pkt</w:t>
      </w:r>
      <w:r w:rsidR="000D241B">
        <w:rPr>
          <w:rFonts w:cs="Times New Roman"/>
          <w:b/>
          <w:bCs/>
          <w:szCs w:val="24"/>
        </w:rPr>
        <w:t xml:space="preserve"> 4 lit. b </w:t>
      </w:r>
      <w:r w:rsidRPr="004B1E02">
        <w:rPr>
          <w:rFonts w:cs="Times New Roman"/>
          <w:b/>
          <w:bCs/>
          <w:szCs w:val="24"/>
        </w:rPr>
        <w:t>projektu zmian</w:t>
      </w:r>
    </w:p>
    <w:p w14:paraId="02F63C4C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 xml:space="preserve">Celem zastąpienia w art. 14 ust. 2 wyrazów „przed wejścia w życie niniejszej ustawy” </w:t>
      </w:r>
      <w:r w:rsidRPr="004B1E02">
        <w:rPr>
          <w:rFonts w:cs="Times New Roman"/>
          <w:szCs w:val="24"/>
        </w:rPr>
        <w:lastRenderedPageBreak/>
        <w:t xml:space="preserve">wyrazami „przed dniem 30 kwietnia 2026 roku” jest sprecyzowanie wyłączenia w zakresie zastosowania wymogów wskazanych w art. 14 ust. 1 ustawy zmieniającej, adresowanych do podmiotów budujących obiekty lub instalacje zasilające kolejowe sieci trakcyjne lub służące do kierowania i sterowania ruchem kolejowym, co do zawiadomienie o uzyskaniu ostatecznej decyzji o pozwoleniu na budowę, jeżeli przed datą 30 kwietnia 2026 roku doszło do przyłączenia co najmniej części instalacji objętej umową o przyłączenia zawartą przez te podmioty. Tym samym w projekcie zmian sprecyzowano, iż podmioty te, faktycznie już przyłączone do sieci nie podlegają obowiązkom w zakresie tzw. kamieni milowych. Powyższe prowadzi do usunięcia niepewności prawnej co do ich obowiązków obowiązującej po 30 kwietnia 2026 roku. </w:t>
      </w:r>
    </w:p>
    <w:p w14:paraId="3B73EFF9" w14:textId="77777777" w:rsidR="004B1E02" w:rsidRPr="004B1E02" w:rsidRDefault="004B1E02" w:rsidP="004B1E02">
      <w:pPr>
        <w:jc w:val="both"/>
        <w:rPr>
          <w:rFonts w:cs="Times New Roman"/>
          <w:szCs w:val="24"/>
        </w:rPr>
      </w:pPr>
    </w:p>
    <w:p w14:paraId="69C9FE6C" w14:textId="122F29D3" w:rsidR="004B1E02" w:rsidRPr="004B1E02" w:rsidRDefault="004B1E02" w:rsidP="004B1E02">
      <w:pPr>
        <w:jc w:val="both"/>
        <w:rPr>
          <w:rFonts w:cs="Times New Roman"/>
          <w:b/>
          <w:bCs/>
          <w:szCs w:val="24"/>
        </w:rPr>
      </w:pPr>
      <w:r w:rsidRPr="004B1E02">
        <w:rPr>
          <w:rFonts w:cs="Times New Roman"/>
          <w:b/>
          <w:bCs/>
          <w:szCs w:val="24"/>
        </w:rPr>
        <w:t xml:space="preserve">Ad. pkt </w:t>
      </w:r>
      <w:r w:rsidR="000D241B">
        <w:rPr>
          <w:rFonts w:cs="Times New Roman"/>
          <w:b/>
          <w:bCs/>
          <w:szCs w:val="24"/>
        </w:rPr>
        <w:t>4 lit. c</w:t>
      </w:r>
      <w:r w:rsidRPr="004B1E02">
        <w:rPr>
          <w:rFonts w:cs="Times New Roman"/>
          <w:b/>
          <w:bCs/>
          <w:szCs w:val="24"/>
        </w:rPr>
        <w:t xml:space="preserve"> projektu ustawy</w:t>
      </w:r>
    </w:p>
    <w:p w14:paraId="05325359" w14:textId="77777777" w:rsidR="004B1E02" w:rsidRDefault="004B1E02" w:rsidP="004B1E02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>Uzasadnienie tej zmiany jest analogiczne jak w przypadku zmiany w pkt 15) powyżej i służy doprecyzowaniu, iż wymóg złożenia zabezpieczenia wykonania zobowiązań w wysokości połowy kwoty określonej w art. 7 ust. 2i pkt 2 ustawy zmienianej w art. 1, która to kwota nie powinna wynosić więcej niż 12 000 000 oznacza obniżenie tego limitu kwotowego o połowę, a zatem na kwotę „nie więcej niż 6 000 000 złotych”, które to wyrazy zostały, w celu doprecyzowania przepisu, dodane na końcu zdania.</w:t>
      </w:r>
    </w:p>
    <w:p w14:paraId="09BD5F9E" w14:textId="77777777" w:rsidR="00B01E31" w:rsidRDefault="00B01E31" w:rsidP="004B1E02">
      <w:pPr>
        <w:jc w:val="both"/>
        <w:rPr>
          <w:rFonts w:cs="Times New Roman"/>
          <w:szCs w:val="24"/>
        </w:rPr>
      </w:pPr>
    </w:p>
    <w:p w14:paraId="4D5FD44A" w14:textId="64E41903" w:rsidR="00B01E31" w:rsidRPr="004B1E02" w:rsidRDefault="00B01E31" w:rsidP="00B01E31">
      <w:pPr>
        <w:jc w:val="both"/>
        <w:rPr>
          <w:rFonts w:cs="Times New Roman"/>
          <w:b/>
          <w:bCs/>
          <w:szCs w:val="24"/>
        </w:rPr>
      </w:pPr>
      <w:r w:rsidRPr="004B1E02">
        <w:rPr>
          <w:rFonts w:cs="Times New Roman"/>
          <w:b/>
          <w:bCs/>
          <w:szCs w:val="24"/>
        </w:rPr>
        <w:t xml:space="preserve">Ad. pkt </w:t>
      </w:r>
      <w:r>
        <w:rPr>
          <w:rFonts w:cs="Times New Roman"/>
          <w:b/>
          <w:bCs/>
          <w:szCs w:val="24"/>
        </w:rPr>
        <w:t>5</w:t>
      </w:r>
      <w:r w:rsidRPr="004B1E02">
        <w:rPr>
          <w:rFonts w:cs="Times New Roman"/>
          <w:b/>
          <w:bCs/>
          <w:szCs w:val="24"/>
        </w:rPr>
        <w:t xml:space="preserve"> projektu zmian</w:t>
      </w:r>
    </w:p>
    <w:p w14:paraId="70600401" w14:textId="77777777" w:rsidR="00B01E31" w:rsidRPr="004B1E02" w:rsidRDefault="00B01E31" w:rsidP="00B01E31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 xml:space="preserve">Termin wejścia w życie tj. art. 38 pkt 2 ustawy zmieniającej adresowany do przepisów przejściowych, powinien zostać skrócony i wskazany jako obowiązujący od </w:t>
      </w:r>
      <w:r>
        <w:rPr>
          <w:rFonts w:cs="Times New Roman"/>
          <w:szCs w:val="24"/>
        </w:rPr>
        <w:t xml:space="preserve">dnia </w:t>
      </w:r>
      <w:r w:rsidRPr="004B1E02">
        <w:rPr>
          <w:rFonts w:cs="Times New Roman"/>
          <w:szCs w:val="24"/>
        </w:rPr>
        <w:t>30 kwietnia 2026 roku z uwagi na skutki prawne, które powinny zaistnieć od dnia wejścia w życie ustawy zmieniającej.</w:t>
      </w:r>
    </w:p>
    <w:p w14:paraId="2E86947F" w14:textId="77777777" w:rsidR="00B01E31" w:rsidRPr="004B1E02" w:rsidRDefault="00B01E31" w:rsidP="00B01E31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 xml:space="preserve">Powyższa propozycja zmiany jest możliwa w terminie, w których zmieniane przepisy jeszcze nie weszły w życie, co powoduje usunięcie stanu niepewności prawnej oraz daje szanse na odpowiednie przygotowanie się tych pomiotów, które są adresatami wskazanych przepisów do zmiany prawa. </w:t>
      </w:r>
    </w:p>
    <w:p w14:paraId="7BFBA8F8" w14:textId="77777777" w:rsidR="00B01E31" w:rsidRPr="004B1E02" w:rsidRDefault="00B01E31" w:rsidP="00B01E31">
      <w:pPr>
        <w:autoSpaceDE/>
        <w:autoSpaceDN/>
        <w:adjustRightInd/>
        <w:spacing w:after="160"/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>Zgodnie z art.</w:t>
      </w:r>
      <w:r>
        <w:rPr>
          <w:rFonts w:cs="Times New Roman"/>
          <w:szCs w:val="24"/>
        </w:rPr>
        <w:t xml:space="preserve"> </w:t>
      </w:r>
      <w:r w:rsidRPr="004B1E02">
        <w:rPr>
          <w:rFonts w:cs="Times New Roman"/>
          <w:szCs w:val="24"/>
        </w:rPr>
        <w:t xml:space="preserve">5 ustawy z dnia 20 lipca 2000 r. o ogłaszaniu aktów normatywnych i niektórych innych aktów prawnych przepisy art. 4 nie wyłączają możliwości nadania aktowi normatywnemu wstecznej mocy obowiązującej, jeżeli zasady demokratycznego państwa prawnego nie stoją temu na przeszkodzie. Tym samym dla realizacji zasady praworządności i zaufania obywali do państwa wskazane jest zastosowanie wstecznej mocy obowiązującej dla przepisów, które jeszcze nie weszły w życie poprzez proponowaną zmianę art. 38 pkt 2 ustawy </w:t>
      </w:r>
      <w:r w:rsidRPr="004B1E02">
        <w:rPr>
          <w:rFonts w:cs="Times New Roman"/>
          <w:szCs w:val="24"/>
        </w:rPr>
        <w:lastRenderedPageBreak/>
        <w:t xml:space="preserve">zmieniającej. </w:t>
      </w:r>
    </w:p>
    <w:p w14:paraId="008E3453" w14:textId="77777777" w:rsidR="00B01E31" w:rsidRPr="004B1E02" w:rsidRDefault="00B01E31" w:rsidP="00B01E31">
      <w:pPr>
        <w:autoSpaceDE/>
        <w:autoSpaceDN/>
        <w:adjustRightInd/>
        <w:spacing w:after="160"/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>Ponadto zgodnie z § 91 ust. 2 Zasad Techniki Prawodawczej „W szczególnie uzasadnionych przypadkach, jeżeli jest to konieczne dla uniknięcia luki w prawie, można wyjątkowo znowelizować przepisy zmieniające ogłoszonej ustawy w okresie ich vacatio legis.”</w:t>
      </w:r>
    </w:p>
    <w:p w14:paraId="6A79FBF0" w14:textId="77777777" w:rsidR="00B01E31" w:rsidRPr="004B1E02" w:rsidRDefault="00B01E31" w:rsidP="00B01E31">
      <w:pPr>
        <w:jc w:val="both"/>
        <w:rPr>
          <w:rFonts w:cs="Times New Roman"/>
          <w:szCs w:val="24"/>
        </w:rPr>
      </w:pPr>
      <w:r w:rsidRPr="004B1E02">
        <w:rPr>
          <w:rFonts w:cs="Times New Roman"/>
          <w:szCs w:val="24"/>
        </w:rPr>
        <w:t>Powyższa zmiana jest zgodna także z § 43 Zasad Techniki Prawodawczej zgodnie, z którym w ustawie zamieszcza się przepis określający termin jej wejścia w życie, chyba że termin ten określają odrębne przepisy ustawy wprowadzającej.</w:t>
      </w:r>
    </w:p>
    <w:p w14:paraId="64C31156" w14:textId="77777777" w:rsidR="00B01E31" w:rsidRPr="004B1E02" w:rsidRDefault="00B01E31" w:rsidP="00B01E31">
      <w:pPr>
        <w:jc w:val="both"/>
        <w:rPr>
          <w:rFonts w:cs="Times New Roman"/>
          <w:szCs w:val="24"/>
        </w:rPr>
      </w:pPr>
    </w:p>
    <w:p w14:paraId="2A7CEBCE" w14:textId="77777777" w:rsidR="00B01E31" w:rsidRPr="004B1E02" w:rsidRDefault="00B01E31" w:rsidP="00B01E31">
      <w:pPr>
        <w:autoSpaceDE/>
        <w:autoSpaceDN/>
        <w:adjustRightInd/>
        <w:spacing w:after="160"/>
        <w:jc w:val="both"/>
        <w:rPr>
          <w:rFonts w:cs="Times New Roman"/>
          <w:i/>
          <w:iCs/>
          <w:szCs w:val="24"/>
        </w:rPr>
      </w:pPr>
      <w:r w:rsidRPr="004B1E02">
        <w:rPr>
          <w:rFonts w:cs="Times New Roman"/>
          <w:i/>
          <w:iCs/>
          <w:szCs w:val="24"/>
        </w:rPr>
        <w:t>Zgodnie z wyrokiem TK z 20.01.2010 r. sygn.. akt. Kp 6/09 „odpowiedniość” vacatio legis rozpatrywać należy w związku z możliwością pokierowania przez adresatów norm prawnych – po określeniu nowych przepisów - swoimi sprawami w sposób uwzględniający treść nowej regulacji. Wymóg zachowania vacatio legis należy bowiem odnosić nie tylko do ochrony adresata normy prawnej przed pogorszeniem jego sytuacji, lecz także do możliwości zapoznania się z nowym prawem i możliwości adaptacyjnych (…)</w:t>
      </w:r>
    </w:p>
    <w:p w14:paraId="31F98B40" w14:textId="77777777" w:rsidR="00B01E31" w:rsidRDefault="00B01E31" w:rsidP="004B1E02">
      <w:pPr>
        <w:jc w:val="both"/>
        <w:rPr>
          <w:rFonts w:cs="Times New Roman"/>
          <w:szCs w:val="24"/>
        </w:rPr>
      </w:pPr>
    </w:p>
    <w:p w14:paraId="7EE347A1" w14:textId="77777777" w:rsidR="002F52AE" w:rsidRDefault="002F52AE" w:rsidP="004B1E02">
      <w:pPr>
        <w:jc w:val="both"/>
        <w:rPr>
          <w:rFonts w:cs="Times New Roman"/>
          <w:b/>
          <w:szCs w:val="24"/>
        </w:rPr>
      </w:pPr>
    </w:p>
    <w:p w14:paraId="23590434" w14:textId="031605A5" w:rsidR="004B1E02" w:rsidRDefault="004B1E02" w:rsidP="004B1E02">
      <w:pPr>
        <w:jc w:val="both"/>
        <w:rPr>
          <w:rFonts w:cs="Times New Roman"/>
          <w:b/>
          <w:szCs w:val="24"/>
        </w:rPr>
      </w:pPr>
      <w:r w:rsidRPr="004B1E02">
        <w:rPr>
          <w:rFonts w:cs="Times New Roman"/>
          <w:b/>
          <w:szCs w:val="24"/>
        </w:rPr>
        <w:t xml:space="preserve">3. Wejście w życie </w:t>
      </w:r>
    </w:p>
    <w:p w14:paraId="284E5626" w14:textId="4430FBE8" w:rsidR="0043392D" w:rsidRPr="0043392D" w:rsidRDefault="0043392D" w:rsidP="0043392D">
      <w:pPr>
        <w:jc w:val="both"/>
        <w:rPr>
          <w:rFonts w:cs="Times New Roman"/>
          <w:bCs/>
          <w:szCs w:val="24"/>
        </w:rPr>
      </w:pPr>
      <w:r w:rsidRPr="0043392D">
        <w:rPr>
          <w:rFonts w:cs="Times New Roman"/>
          <w:bCs/>
          <w:szCs w:val="24"/>
        </w:rPr>
        <w:t>Proponuje się, aby ustawa weszła w życie z dniem następującym po dniu ogłoszenia.</w:t>
      </w:r>
      <w:r w:rsidR="00EF5D8D">
        <w:rPr>
          <w:rFonts w:cs="Times New Roman"/>
          <w:bCs/>
          <w:szCs w:val="24"/>
        </w:rPr>
        <w:t xml:space="preserve"> </w:t>
      </w:r>
      <w:r w:rsidRPr="0043392D">
        <w:rPr>
          <w:rFonts w:cs="Times New Roman"/>
          <w:bCs/>
          <w:szCs w:val="24"/>
        </w:rPr>
        <w:t>Skrócony termin wejścia w życie projektowanej ustawy jest uzasadniony koniecznością niezwłocznego usunięcia wątpliwości interpretacyjnych dotyczących przepisów przejściowych zawartych w ustawie z dnia 13 marca 2026 r. o zmianie ustawy – Prawo energetyczne oraz niektórych innych ustaw (Dz. U. poz. 516).</w:t>
      </w:r>
    </w:p>
    <w:p w14:paraId="604BCA04" w14:textId="0EF88AE9" w:rsidR="0043392D" w:rsidRPr="0043392D" w:rsidRDefault="0043392D" w:rsidP="0043392D">
      <w:pPr>
        <w:jc w:val="both"/>
        <w:rPr>
          <w:rFonts w:cs="Times New Roman"/>
          <w:bCs/>
          <w:szCs w:val="24"/>
        </w:rPr>
      </w:pPr>
      <w:r w:rsidRPr="0043392D">
        <w:rPr>
          <w:rFonts w:cs="Times New Roman"/>
          <w:bCs/>
          <w:szCs w:val="24"/>
        </w:rPr>
        <w:t>Projektowana ustawa nie wprowadza nowych obowiązków o charakterze natychmiastowym ani nie nakłada na adresatów regulacji nowych wymagań podlegających wykonaniu z dniem jej wejścia w życie. Przedmiotem projektowanych zmian są przepisy, które zgodnie z</w:t>
      </w:r>
      <w:r w:rsidR="00EF5D8D">
        <w:rPr>
          <w:rFonts w:cs="Times New Roman"/>
          <w:bCs/>
          <w:szCs w:val="24"/>
        </w:rPr>
        <w:t> </w:t>
      </w:r>
      <w:r w:rsidRPr="0043392D">
        <w:rPr>
          <w:rFonts w:cs="Times New Roman"/>
          <w:bCs/>
          <w:szCs w:val="24"/>
        </w:rPr>
        <w:t>obowiązującym art. 38 pkt 2 ustawy z dnia 13 marca 2026 r. wejdą w życie dopiero po upływie sześciu miesięcy od dnia ogłoszenia tej ustawy.</w:t>
      </w:r>
    </w:p>
    <w:p w14:paraId="5691EFF7" w14:textId="628F95E5" w:rsidR="0043392D" w:rsidRPr="0043392D" w:rsidRDefault="0043392D" w:rsidP="0043392D">
      <w:pPr>
        <w:jc w:val="both"/>
        <w:rPr>
          <w:rFonts w:cs="Times New Roman"/>
          <w:bCs/>
          <w:szCs w:val="24"/>
        </w:rPr>
      </w:pPr>
      <w:r w:rsidRPr="0043392D">
        <w:rPr>
          <w:rFonts w:cs="Times New Roman"/>
          <w:bCs/>
          <w:szCs w:val="24"/>
        </w:rPr>
        <w:t>W konsekwencji adresaci norm prawnych zachowają pełną możliwość zapoznania się z</w:t>
      </w:r>
      <w:r w:rsidR="00EF5D8D">
        <w:rPr>
          <w:rFonts w:cs="Times New Roman"/>
          <w:bCs/>
          <w:szCs w:val="24"/>
        </w:rPr>
        <w:t> </w:t>
      </w:r>
      <w:r w:rsidRPr="0043392D">
        <w:rPr>
          <w:rFonts w:cs="Times New Roman"/>
          <w:bCs/>
          <w:szCs w:val="24"/>
        </w:rPr>
        <w:t xml:space="preserve">projektowanymi rozwiązaniami oraz odpowiedniego przygotowania się do stosowania przepisów, których wejście w życie nastąpi dopiero w terminie określonym w ustawie z dnia 13 marca 2026 r. Projektowana regulacja służy zapewnieniu jednolitego stosowania prawa oraz wyeliminowaniu rozbieżności interpretacyjnych dotyczących sposobu ustalania terminów, wysokości zaliczek i zabezpieczeń oraz realizacji obowiązków wynikających z przepisów </w:t>
      </w:r>
      <w:r w:rsidRPr="0043392D">
        <w:rPr>
          <w:rFonts w:cs="Times New Roman"/>
          <w:bCs/>
          <w:szCs w:val="24"/>
        </w:rPr>
        <w:lastRenderedPageBreak/>
        <w:t>przejściowych.</w:t>
      </w:r>
    </w:p>
    <w:p w14:paraId="37AFC1E1" w14:textId="0BE2D8A0" w:rsidR="0043392D" w:rsidRPr="0043392D" w:rsidRDefault="0043392D" w:rsidP="0043392D">
      <w:pPr>
        <w:jc w:val="both"/>
        <w:rPr>
          <w:rFonts w:cs="Times New Roman"/>
          <w:bCs/>
          <w:szCs w:val="24"/>
        </w:rPr>
      </w:pPr>
      <w:r w:rsidRPr="0043392D">
        <w:rPr>
          <w:rFonts w:cs="Times New Roman"/>
          <w:bCs/>
          <w:szCs w:val="24"/>
        </w:rPr>
        <w:t xml:space="preserve">Przyjęcie dłuższego </w:t>
      </w:r>
      <w:r w:rsidRPr="00EF5D8D">
        <w:rPr>
          <w:rFonts w:cs="Times New Roman"/>
          <w:bCs/>
          <w:i/>
          <w:iCs/>
          <w:szCs w:val="24"/>
        </w:rPr>
        <w:t>vacatio legis</w:t>
      </w:r>
      <w:r w:rsidRPr="0043392D">
        <w:rPr>
          <w:rFonts w:cs="Times New Roman"/>
          <w:bCs/>
          <w:szCs w:val="24"/>
        </w:rPr>
        <w:t xml:space="preserve"> dla niniejszej ustawy mogłoby prowadzić do utrwalenia istniejących rozbieżności interpretacyjnych oraz zwiększenia niepewności prawnej uczestników rynku elektroenergetycznego. Projektowana regulacja spełnia przesłanki odstąpienia od standardowego okresu </w:t>
      </w:r>
      <w:r w:rsidRPr="00EF5D8D">
        <w:rPr>
          <w:rFonts w:cs="Times New Roman"/>
          <w:bCs/>
          <w:i/>
          <w:iCs/>
          <w:szCs w:val="24"/>
        </w:rPr>
        <w:t>vacatio legis</w:t>
      </w:r>
      <w:r w:rsidRPr="0043392D">
        <w:rPr>
          <w:rFonts w:cs="Times New Roman"/>
          <w:bCs/>
          <w:szCs w:val="24"/>
        </w:rPr>
        <w:t xml:space="preserve"> określone w art. 4 ust. 2 ustawy z dnia 20</w:t>
      </w:r>
      <w:r w:rsidR="00EF5D8D">
        <w:rPr>
          <w:rFonts w:cs="Times New Roman"/>
          <w:bCs/>
          <w:szCs w:val="24"/>
        </w:rPr>
        <w:t> </w:t>
      </w:r>
      <w:r w:rsidRPr="0043392D">
        <w:rPr>
          <w:rFonts w:cs="Times New Roman"/>
          <w:bCs/>
          <w:szCs w:val="24"/>
        </w:rPr>
        <w:t>lipca 2000 r. o ogłaszaniu aktów normatywnych i niektórych innych aktów prawnych, zgodnie z którym w uzasadnionych przypadkach akty normatywne mogą wchodzić w życie w</w:t>
      </w:r>
      <w:r w:rsidR="00EF5D8D">
        <w:rPr>
          <w:rFonts w:cs="Times New Roman"/>
          <w:bCs/>
          <w:szCs w:val="24"/>
        </w:rPr>
        <w:t> </w:t>
      </w:r>
      <w:r w:rsidRPr="0043392D">
        <w:rPr>
          <w:rFonts w:cs="Times New Roman"/>
          <w:bCs/>
          <w:szCs w:val="24"/>
        </w:rPr>
        <w:t>terminie krótszym niż 14 dni, jeżeli ważny interes państwa wymaga natychmiastowego wejścia aktu normatywnego w życie, a zasady demokratycznego państwa prawnego nie stoją temu na przeszkodzie.</w:t>
      </w:r>
    </w:p>
    <w:p w14:paraId="6CADA4D6" w14:textId="02EF8E75" w:rsidR="0043392D" w:rsidRPr="0043392D" w:rsidRDefault="0043392D" w:rsidP="0043392D">
      <w:pPr>
        <w:jc w:val="both"/>
        <w:rPr>
          <w:rFonts w:cs="Times New Roman"/>
          <w:bCs/>
          <w:szCs w:val="24"/>
        </w:rPr>
      </w:pPr>
      <w:r w:rsidRPr="0043392D">
        <w:rPr>
          <w:rFonts w:cs="Times New Roman"/>
          <w:bCs/>
          <w:szCs w:val="24"/>
        </w:rPr>
        <w:t>Jednocześnie projekt pozostaje zgodny z § 91 ust. 2 rozporządzenia Prezesa Rady Ministrów w</w:t>
      </w:r>
      <w:r w:rsidR="00EF5D8D">
        <w:rPr>
          <w:rFonts w:cs="Times New Roman"/>
          <w:bCs/>
          <w:szCs w:val="24"/>
        </w:rPr>
        <w:t> </w:t>
      </w:r>
      <w:r w:rsidRPr="0043392D">
        <w:rPr>
          <w:rFonts w:cs="Times New Roman"/>
          <w:bCs/>
          <w:szCs w:val="24"/>
        </w:rPr>
        <w:t xml:space="preserve">sprawie „Zasad techniki prawodawczej”, ponieważ dotyczy nowelizacji przepisów ustawy pozostających jeszcze w okresie </w:t>
      </w:r>
      <w:r w:rsidRPr="00EF5D8D">
        <w:rPr>
          <w:rFonts w:cs="Times New Roman"/>
          <w:bCs/>
          <w:i/>
          <w:iCs/>
          <w:szCs w:val="24"/>
        </w:rPr>
        <w:t>vacatio legis</w:t>
      </w:r>
      <w:r w:rsidRPr="0043392D">
        <w:rPr>
          <w:rFonts w:cs="Times New Roman"/>
          <w:bCs/>
          <w:szCs w:val="24"/>
        </w:rPr>
        <w:t>. Celem projektowanej nowelizacji jest usunięcie ujawnionych problemów interpretacyjnych jeszcze przed rozpoczęciem stosowania zmienianych przepisów.</w:t>
      </w:r>
    </w:p>
    <w:p w14:paraId="5C998640" w14:textId="77777777" w:rsidR="0043392D" w:rsidRPr="0043392D" w:rsidRDefault="0043392D" w:rsidP="0043392D">
      <w:pPr>
        <w:jc w:val="both"/>
        <w:rPr>
          <w:rFonts w:cs="Times New Roman"/>
          <w:bCs/>
          <w:szCs w:val="24"/>
        </w:rPr>
      </w:pPr>
      <w:r w:rsidRPr="0043392D">
        <w:rPr>
          <w:rFonts w:cs="Times New Roman"/>
          <w:bCs/>
          <w:szCs w:val="24"/>
        </w:rPr>
        <w:t xml:space="preserve">Mając na względzie powyższe, wejście ustawy w życie z dniem następującym po dniu ogłoszenia należy uznać za uzasadnione i proporcjonalne do celu projektowanej regulacji. </w:t>
      </w:r>
    </w:p>
    <w:p w14:paraId="543F8915" w14:textId="08C01D4B" w:rsidR="0043392D" w:rsidRPr="0043392D" w:rsidRDefault="0043392D" w:rsidP="0043392D">
      <w:pPr>
        <w:jc w:val="both"/>
        <w:rPr>
          <w:rFonts w:cs="Times New Roman"/>
          <w:bCs/>
          <w:szCs w:val="24"/>
        </w:rPr>
      </w:pPr>
      <w:r w:rsidRPr="0043392D">
        <w:rPr>
          <w:rFonts w:cs="Times New Roman"/>
          <w:bCs/>
          <w:szCs w:val="24"/>
        </w:rPr>
        <w:t>Za przyjęciem skróconego terminu wejścia w życie przemawia również fakt, że projektowane rozwiązania nie pogarszają sytuacji prawnej adresatów norm, lecz służą doprecyzowaniu zasad stosowania przepisów przejściowych oraz zachowaniu celu, jaki przyświecał ustawodawcy przy uchwalaniu ustawy z dnia 13 marca 2026 r. o zmianie ustawy – Prawo energetyczne oraz niektórych innych ustaw.</w:t>
      </w:r>
    </w:p>
    <w:p w14:paraId="40338344" w14:textId="77777777" w:rsidR="004B1E02" w:rsidRPr="004B1E02" w:rsidRDefault="004B1E02" w:rsidP="004B1E02">
      <w:pPr>
        <w:pStyle w:val="ARTartustawynprozporzdzenia"/>
        <w:ind w:firstLine="0"/>
        <w:rPr>
          <w:rFonts w:ascii="Times New Roman" w:hAnsi="Times New Roman" w:cs="Times New Roman"/>
          <w:b/>
          <w:bCs/>
          <w:szCs w:val="24"/>
        </w:rPr>
      </w:pPr>
      <w:r w:rsidRPr="004B1E02">
        <w:rPr>
          <w:rFonts w:ascii="Times New Roman" w:hAnsi="Times New Roman" w:cs="Times New Roman"/>
          <w:b/>
          <w:bCs/>
          <w:szCs w:val="24"/>
        </w:rPr>
        <w:t>4. Ocena zgodności projektu z prawem Unii Europejskiej</w:t>
      </w:r>
    </w:p>
    <w:p w14:paraId="133FAE22" w14:textId="77777777" w:rsidR="004B1E02" w:rsidRPr="004B1E02" w:rsidRDefault="004B1E02" w:rsidP="004B1E02">
      <w:pPr>
        <w:pStyle w:val="ARTartustawynprozporzdzenia"/>
        <w:keepNext/>
        <w:ind w:firstLine="0"/>
        <w:rPr>
          <w:rFonts w:ascii="Times New Roman" w:hAnsi="Times New Roman" w:cs="Times New Roman"/>
          <w:szCs w:val="24"/>
        </w:rPr>
      </w:pPr>
      <w:r w:rsidRPr="004B1E02">
        <w:rPr>
          <w:rFonts w:ascii="Times New Roman" w:hAnsi="Times New Roman" w:cs="Times New Roman"/>
          <w:szCs w:val="24"/>
        </w:rPr>
        <w:t>Projekt ustawy nie jest objęty prawem Unii Europejskiej.</w:t>
      </w:r>
    </w:p>
    <w:p w14:paraId="08F87FA5" w14:textId="77777777" w:rsidR="004B1E02" w:rsidRDefault="004B1E02" w:rsidP="004B1E02">
      <w:pPr>
        <w:pStyle w:val="ARTartustawynprozporzdzenia"/>
        <w:ind w:firstLine="0"/>
        <w:rPr>
          <w:rFonts w:ascii="Times New Roman" w:hAnsi="Times New Roman" w:cs="Times New Roman"/>
          <w:b/>
          <w:bCs/>
          <w:szCs w:val="24"/>
        </w:rPr>
      </w:pPr>
      <w:r w:rsidRPr="004B1E02">
        <w:rPr>
          <w:rFonts w:ascii="Times New Roman" w:hAnsi="Times New Roman" w:cs="Times New Roman"/>
          <w:b/>
          <w:bCs/>
          <w:szCs w:val="24"/>
        </w:rPr>
        <w:t>5. Dodatkowe informacje</w:t>
      </w:r>
    </w:p>
    <w:p w14:paraId="08B44A9B" w14:textId="00B30350" w:rsidR="00305831" w:rsidRPr="0043392D" w:rsidRDefault="0043392D" w:rsidP="004B1E0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43392D">
        <w:rPr>
          <w:rFonts w:ascii="Times New Roman" w:hAnsi="Times New Roman" w:cs="Times New Roman"/>
          <w:szCs w:val="24"/>
        </w:rPr>
        <w:t>Projekt nie wymaga wydania aktów wykonawczych</w:t>
      </w:r>
      <w:r>
        <w:rPr>
          <w:rFonts w:ascii="Times New Roman" w:hAnsi="Times New Roman" w:cs="Times New Roman"/>
          <w:szCs w:val="24"/>
        </w:rPr>
        <w:t>.</w:t>
      </w:r>
    </w:p>
    <w:sectPr w:rsidR="00305831" w:rsidRPr="0043392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F636" w14:textId="77777777" w:rsidR="004E2666" w:rsidRDefault="004E2666" w:rsidP="004B1E02">
      <w:pPr>
        <w:spacing w:line="240" w:lineRule="auto"/>
      </w:pPr>
      <w:r>
        <w:separator/>
      </w:r>
    </w:p>
  </w:endnote>
  <w:endnote w:type="continuationSeparator" w:id="0">
    <w:p w14:paraId="38DE0918" w14:textId="77777777" w:rsidR="004E2666" w:rsidRDefault="004E2666" w:rsidP="004B1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700944"/>
      <w:docPartObj>
        <w:docPartGallery w:val="Page Numbers (Bottom of Page)"/>
        <w:docPartUnique/>
      </w:docPartObj>
    </w:sdtPr>
    <w:sdtContent>
      <w:p w14:paraId="5731B2C1" w14:textId="2080271D" w:rsidR="004B1E02" w:rsidRDefault="004B1E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6A68B1" w14:textId="77777777" w:rsidR="004B1E02" w:rsidRDefault="004B1E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5BC75" w14:textId="77777777" w:rsidR="004E2666" w:rsidRDefault="004E2666" w:rsidP="004B1E02">
      <w:pPr>
        <w:spacing w:line="240" w:lineRule="auto"/>
      </w:pPr>
      <w:r>
        <w:separator/>
      </w:r>
    </w:p>
  </w:footnote>
  <w:footnote w:type="continuationSeparator" w:id="0">
    <w:p w14:paraId="6CACF455" w14:textId="77777777" w:rsidR="004E2666" w:rsidRDefault="004E2666" w:rsidP="004B1E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327B"/>
    <w:multiLevelType w:val="hybridMultilevel"/>
    <w:tmpl w:val="4D58B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53AC8"/>
    <w:multiLevelType w:val="hybridMultilevel"/>
    <w:tmpl w:val="90C08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804C4"/>
    <w:multiLevelType w:val="hybridMultilevel"/>
    <w:tmpl w:val="1D9068C0"/>
    <w:lvl w:ilvl="0" w:tplc="F012729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58515AE9"/>
    <w:multiLevelType w:val="hybridMultilevel"/>
    <w:tmpl w:val="0FF0B9E6"/>
    <w:lvl w:ilvl="0" w:tplc="C80C2C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31F85"/>
    <w:multiLevelType w:val="hybridMultilevel"/>
    <w:tmpl w:val="42867872"/>
    <w:lvl w:ilvl="0" w:tplc="3462FB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B28A3"/>
    <w:multiLevelType w:val="hybridMultilevel"/>
    <w:tmpl w:val="2C0E7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F2366"/>
    <w:multiLevelType w:val="hybridMultilevel"/>
    <w:tmpl w:val="4D58BF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74987">
    <w:abstractNumId w:val="0"/>
  </w:num>
  <w:num w:numId="2" w16cid:durableId="2118330303">
    <w:abstractNumId w:val="2"/>
  </w:num>
  <w:num w:numId="3" w16cid:durableId="225993396">
    <w:abstractNumId w:val="3"/>
  </w:num>
  <w:num w:numId="4" w16cid:durableId="1769542617">
    <w:abstractNumId w:val="4"/>
  </w:num>
  <w:num w:numId="5" w16cid:durableId="898980262">
    <w:abstractNumId w:val="6"/>
  </w:num>
  <w:num w:numId="6" w16cid:durableId="1123575149">
    <w:abstractNumId w:val="1"/>
  </w:num>
  <w:num w:numId="7" w16cid:durableId="7680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EB"/>
    <w:rsid w:val="00006F9F"/>
    <w:rsid w:val="00047F6E"/>
    <w:rsid w:val="000D241B"/>
    <w:rsid w:val="000D37DB"/>
    <w:rsid w:val="00181C09"/>
    <w:rsid w:val="00220891"/>
    <w:rsid w:val="002436EB"/>
    <w:rsid w:val="00253FC6"/>
    <w:rsid w:val="00263F92"/>
    <w:rsid w:val="0026646A"/>
    <w:rsid w:val="002D1C98"/>
    <w:rsid w:val="002F52AE"/>
    <w:rsid w:val="00305831"/>
    <w:rsid w:val="00386296"/>
    <w:rsid w:val="003B4AE4"/>
    <w:rsid w:val="003E1E04"/>
    <w:rsid w:val="004205E0"/>
    <w:rsid w:val="0043392D"/>
    <w:rsid w:val="004504B6"/>
    <w:rsid w:val="004B1E02"/>
    <w:rsid w:val="004C2331"/>
    <w:rsid w:val="004E2666"/>
    <w:rsid w:val="00522376"/>
    <w:rsid w:val="005C3AE1"/>
    <w:rsid w:val="005D4ED0"/>
    <w:rsid w:val="005F01AD"/>
    <w:rsid w:val="006B4ABF"/>
    <w:rsid w:val="007B3578"/>
    <w:rsid w:val="00811D61"/>
    <w:rsid w:val="00831E34"/>
    <w:rsid w:val="00835A4B"/>
    <w:rsid w:val="00835AB3"/>
    <w:rsid w:val="00866C3A"/>
    <w:rsid w:val="00870CB6"/>
    <w:rsid w:val="008770E5"/>
    <w:rsid w:val="008F368F"/>
    <w:rsid w:val="00923F6E"/>
    <w:rsid w:val="00947EF6"/>
    <w:rsid w:val="009A27AD"/>
    <w:rsid w:val="009C0718"/>
    <w:rsid w:val="009C189F"/>
    <w:rsid w:val="009E6C6F"/>
    <w:rsid w:val="00A52034"/>
    <w:rsid w:val="00A63B2B"/>
    <w:rsid w:val="00A705D4"/>
    <w:rsid w:val="00AE32A2"/>
    <w:rsid w:val="00B01E31"/>
    <w:rsid w:val="00B23BF2"/>
    <w:rsid w:val="00B975AB"/>
    <w:rsid w:val="00BB37E7"/>
    <w:rsid w:val="00BD49FF"/>
    <w:rsid w:val="00BF0FC8"/>
    <w:rsid w:val="00C52562"/>
    <w:rsid w:val="00C528F6"/>
    <w:rsid w:val="00C75727"/>
    <w:rsid w:val="00C93B81"/>
    <w:rsid w:val="00CA0045"/>
    <w:rsid w:val="00CC7CDC"/>
    <w:rsid w:val="00CF69B5"/>
    <w:rsid w:val="00CF6EA7"/>
    <w:rsid w:val="00D14307"/>
    <w:rsid w:val="00D34ED3"/>
    <w:rsid w:val="00DB308C"/>
    <w:rsid w:val="00E07C90"/>
    <w:rsid w:val="00E42D2B"/>
    <w:rsid w:val="00E516D9"/>
    <w:rsid w:val="00E71C28"/>
    <w:rsid w:val="00E75404"/>
    <w:rsid w:val="00ED6A0A"/>
    <w:rsid w:val="00EF5D8D"/>
    <w:rsid w:val="00F118DB"/>
    <w:rsid w:val="00F14C30"/>
    <w:rsid w:val="00F41378"/>
    <w:rsid w:val="00FB01D7"/>
    <w:rsid w:val="00FD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216E"/>
  <w15:chartTrackingRefBased/>
  <w15:docId w15:val="{64DDCF19-9F1D-459E-A62D-C551D6A6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nhideWhenUsed/>
    <w:rsid w:val="002436E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3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3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3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3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36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36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36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36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36E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36E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36EB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36EB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36EB"/>
    <w:rPr>
      <w:rFonts w:eastAsiaTheme="majorEastAsia" w:cstheme="majorBidi"/>
      <w:color w:val="0F4761" w:themeColor="accent1" w:themeShade="BF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36E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36EB"/>
    <w:rPr>
      <w:rFonts w:eastAsiaTheme="majorEastAsia" w:cstheme="majorBidi"/>
      <w:color w:val="595959" w:themeColor="text1" w:themeTint="A6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36E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36EB"/>
    <w:rPr>
      <w:rFonts w:eastAsiaTheme="majorEastAsia" w:cstheme="majorBidi"/>
      <w:color w:val="272727" w:themeColor="text1" w:themeTint="D8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243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36E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3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36E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243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36EB"/>
    <w:rPr>
      <w:i/>
      <w:iCs/>
      <w:color w:val="404040" w:themeColor="text1" w:themeTint="BF"/>
      <w:lang w:val="en-US"/>
    </w:rPr>
  </w:style>
  <w:style w:type="paragraph" w:styleId="Akapitzlist">
    <w:name w:val="List Paragraph"/>
    <w:basedOn w:val="Normalny"/>
    <w:uiPriority w:val="34"/>
    <w:qFormat/>
    <w:rsid w:val="002436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36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3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36EB"/>
    <w:rPr>
      <w:i/>
      <w:iCs/>
      <w:color w:val="0F4761" w:themeColor="accent1" w:themeShade="BF"/>
      <w:lang w:val="en-US"/>
    </w:rPr>
  </w:style>
  <w:style w:type="character" w:styleId="Odwoanieintensywne">
    <w:name w:val="Intense Reference"/>
    <w:basedOn w:val="Domylnaczcionkaakapitu"/>
    <w:uiPriority w:val="32"/>
    <w:qFormat/>
    <w:rsid w:val="002436EB"/>
    <w:rPr>
      <w:b/>
      <w:bCs/>
      <w:smallCaps/>
      <w:color w:val="0F4761" w:themeColor="accent1" w:themeShade="BF"/>
      <w:spacing w:val="5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2436EB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lang w:eastAsia="pl-PL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9E6C6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B1E0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E02"/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B1E0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E02"/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1E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E34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E34"/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E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E34"/>
    <w:rPr>
      <w:rFonts w:ascii="Times New Roman" w:eastAsiaTheme="minorEastAsia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B3578"/>
    <w:pPr>
      <w:spacing w:after="0" w:line="240" w:lineRule="auto"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3383</Words>
  <Characters>20302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Kamilia Dębowska</dc:creator>
  <cp:keywords/>
  <dc:description/>
  <cp:lastModifiedBy>Ziemowit Uździcki</cp:lastModifiedBy>
  <cp:revision>3</cp:revision>
  <dcterms:created xsi:type="dcterms:W3CDTF">2026-06-17T14:24:00Z</dcterms:created>
  <dcterms:modified xsi:type="dcterms:W3CDTF">2026-06-18T06:32:00Z</dcterms:modified>
</cp:coreProperties>
</file>