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0A3" w14:textId="4BA88F9F" w:rsidR="008A4C1C" w:rsidRPr="00211E26" w:rsidRDefault="008A4C1C" w:rsidP="00211E26">
      <w:pPr>
        <w:keepNext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211E26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Uzasadnienie</w:t>
      </w:r>
    </w:p>
    <w:p w14:paraId="110DEF82" w14:textId="5966B595" w:rsidR="00161530" w:rsidRPr="00211E26" w:rsidRDefault="00161530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Projekt wprowadza zmiany w ustawie z dnia 9 listopada 1995 r. </w:t>
      </w:r>
      <w:r w:rsidRPr="00F0205C">
        <w:rPr>
          <w:rFonts w:ascii="Times New Roman" w:eastAsia="Times New Roman" w:hAnsi="Times New Roman" w:cs="Times New Roman"/>
          <w:sz w:val="24"/>
          <w:szCs w:val="20"/>
          <w:lang w:eastAsia="pl-PL"/>
        </w:rPr>
        <w:t>o ochronie zdrowia przed następstwami używania tytoniu i wyrobów tytoniowych</w:t>
      </w:r>
      <w:r w:rsidRPr="00271B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2023 r. poz. 700) w</w:t>
      </w:r>
      <w:r w:rsidR="008A4C1C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związku z 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objęciem od 20 maja 2024 r. przez S</w:t>
      </w:r>
      <w:r w:rsidR="008A4C1C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ystem Śledzenia Ruchu i Pochodzenia Wyrobów Tytoniowych tzw. Track&amp;Trace wszystki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ch</w:t>
      </w:r>
      <w:r w:rsidR="008A4C1C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wyrob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ów </w:t>
      </w:r>
      <w:r w:rsidR="008A4C1C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tytoniow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8A4C1C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791DD7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w tym wyrob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ów</w:t>
      </w:r>
      <w:r w:rsidR="00791DD7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niebędąc</w:t>
      </w:r>
      <w:r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ych </w:t>
      </w:r>
      <w:r w:rsidR="00791DD7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wyrobami akcyzowymi</w:t>
      </w:r>
      <w:r w:rsidR="00A51E81" w:rsidRPr="00211E2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B46358C" w14:textId="783511A5" w:rsidR="008A4C1C" w:rsidRPr="00211E26" w:rsidRDefault="008A4C1C" w:rsidP="00271B2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System Track&amp;Trace został ustanowiony na mocy dyrektywy Parlamentu Europejskiego</w:t>
      </w:r>
      <w:r w:rsidR="00271B2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 Rady 2014/40/UE z dnia 3 kwietnia 2014 r. </w:t>
      </w:r>
      <w:r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sprawie zbliżenia przepisów ustawowych, wykonawczych i </w:t>
      </w:r>
      <w:r w:rsidR="0066285C"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administracyjnych </w:t>
      </w:r>
      <w:r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państw członkowskich w sprawie produkcji, prezentowania i sprzedaży wyrobów tytoniowych i powiązanych wyrobów oraz uchylającej dyrektywę 2001/37/WE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od 20 maja 2019 r. gromadzi dane dotyczące przemieszczania, zamawiania, fakturowania oraz płatności za papierosy i tytoń do samodzielnego skręcania papierosów</w:t>
      </w:r>
      <w:r w:rsidR="00FB116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3F81066A" w14:textId="1EA3F927" w:rsidR="008A4C1C" w:rsidRPr="00211E26" w:rsidRDefault="008A4C1C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Obejmuje on dwa elementy, którymi </w:t>
      </w:r>
      <w:r w:rsidR="003D0F15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są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oznaczane wyroby tytoniowe wprowadzane na rynek unijny:</w:t>
      </w:r>
    </w:p>
    <w:p w14:paraId="53DFE015" w14:textId="77777777" w:rsidR="008A4C1C" w:rsidRPr="00211E26" w:rsidRDefault="008A4C1C" w:rsidP="00B02DFD">
      <w:pPr>
        <w:suppressAutoHyphens/>
        <w:autoSpaceDE w:val="0"/>
        <w:autoSpaceDN w:val="0"/>
        <w:adjustRightInd w:val="0"/>
        <w:spacing w:before="120" w:after="0" w:line="360" w:lineRule="auto"/>
        <w:ind w:left="851" w:hanging="34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•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niepowtarzalny identyfikator (art. 15 dyrektywy 2014/40/UE) oraz</w:t>
      </w:r>
    </w:p>
    <w:p w14:paraId="4EA45BB9" w14:textId="4FA94183" w:rsidR="008A4C1C" w:rsidRPr="00211E26" w:rsidRDefault="008A4C1C" w:rsidP="00B02DFD">
      <w:pPr>
        <w:suppressAutoHyphens/>
        <w:autoSpaceDE w:val="0"/>
        <w:autoSpaceDN w:val="0"/>
        <w:adjustRightInd w:val="0"/>
        <w:spacing w:before="120" w:after="0" w:line="360" w:lineRule="auto"/>
        <w:ind w:left="851" w:hanging="34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•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zabezpieczenie </w:t>
      </w:r>
      <w:r w:rsidR="00056081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odporne na ingerencję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(art. 16 dyrektywy 2014/40/UE)</w:t>
      </w:r>
      <w:r w:rsidR="00F41EA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0C5C7AF0" w14:textId="630F293C" w:rsidR="00F218A7" w:rsidRPr="00211E26" w:rsidRDefault="00F218A7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Przepisy </w:t>
      </w:r>
      <w:r w:rsidRPr="00211E26">
        <w:rPr>
          <w:rFonts w:ascii="Times New Roman" w:hAnsi="Times New Roman" w:cs="Times New Roman"/>
          <w:bCs/>
          <w:color w:val="000000"/>
          <w:sz w:val="24"/>
          <w:szCs w:val="24"/>
        </w:rPr>
        <w:t>dotyczące funkcjonowania unijnego systemu Track&amp;Trace zostały zaimplementowane do polskiego porządku prawnego ustawą z</w:t>
      </w:r>
      <w:r w:rsidRPr="00211E26">
        <w:rPr>
          <w:rFonts w:ascii="Times New Roman" w:hAnsi="Times New Roman" w:cs="Times New Roman"/>
          <w:color w:val="040C28"/>
          <w:sz w:val="24"/>
          <w:szCs w:val="24"/>
        </w:rPr>
        <w:t xml:space="preserve"> dnia 22 lipca 2016 r. </w:t>
      </w:r>
      <w:r w:rsidRPr="00F0205C">
        <w:rPr>
          <w:rFonts w:ascii="Times New Roman" w:hAnsi="Times New Roman" w:cs="Times New Roman"/>
          <w:color w:val="040C28"/>
          <w:sz w:val="24"/>
          <w:szCs w:val="24"/>
        </w:rPr>
        <w:t>o zmianie ustawy o ochronie zdrowia przed następstwami używania tytoniu i wyrobów tytoniowych</w:t>
      </w:r>
      <w:r w:rsidRPr="00211E26">
        <w:rPr>
          <w:rFonts w:ascii="Times New Roman" w:hAnsi="Times New Roman" w:cs="Times New Roman"/>
          <w:color w:val="040C28"/>
          <w:sz w:val="24"/>
          <w:szCs w:val="24"/>
        </w:rPr>
        <w:t xml:space="preserve"> (Dz.</w:t>
      </w:r>
      <w:r w:rsidR="00271B2B">
        <w:rPr>
          <w:rFonts w:ascii="Times New Roman" w:hAnsi="Times New Roman" w:cs="Times New Roman"/>
          <w:color w:val="040C28"/>
          <w:sz w:val="24"/>
          <w:szCs w:val="24"/>
        </w:rPr>
        <w:t> </w:t>
      </w:r>
      <w:r w:rsidRPr="00211E26">
        <w:rPr>
          <w:rFonts w:ascii="Times New Roman" w:hAnsi="Times New Roman" w:cs="Times New Roman"/>
          <w:color w:val="040C28"/>
          <w:sz w:val="24"/>
          <w:szCs w:val="24"/>
        </w:rPr>
        <w:t>U. poz. 1331).</w:t>
      </w:r>
    </w:p>
    <w:p w14:paraId="5B20EF00" w14:textId="1AB10E33" w:rsidR="00692033" w:rsidRPr="00211E26" w:rsidRDefault="00056081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przypadku wyrobów akcyzowych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zabezpieczeniem wymaganym przez system Track&amp;Trace, stosowanym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obecnie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na opakowaniach jednostkowych papierosów i tytoniu do samodzielnego skręcania papierosów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(a od 20 maja 2024 r. również na wyrobach nowatorskich, cygarach oraz cygaretkach)</w:t>
      </w:r>
      <w:r w:rsidR="003600C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są znaki akcyzy (art. 10b ust. 2 ustawy o ochronie zdrowia przed następstwami używania tytoniu i wyrobów tytoniowych). </w:t>
      </w:r>
      <w:r w:rsidR="006E5A4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yjątek stanowią jedynie wyroby duty-free sprzedawane w wolnych obszarach celnych podróżnym udającym się do krajów trzecich. W przypadku tych wyrobów </w:t>
      </w:r>
      <w:r w:rsidR="003600CA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są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stosowane zabezpieczenia, o których mowa w art.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 decyzji wykonawczej Komisji (UE) 2018/576</w:t>
      </w:r>
      <w:r w:rsidR="00045994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045994" w:rsidRPr="00211E26">
        <w:rPr>
          <w:rFonts w:ascii="Times New Roman" w:hAnsi="Times New Roman" w:cs="Times New Roman"/>
          <w:sz w:val="24"/>
          <w:szCs w:val="24"/>
        </w:rPr>
        <w:t xml:space="preserve">z dnia 15 grudnia 2017 r. </w:t>
      </w:r>
      <w:r w:rsidR="00045994" w:rsidRPr="00B02DFD">
        <w:rPr>
          <w:rFonts w:ascii="Times New Roman" w:hAnsi="Times New Roman" w:cs="Times New Roman"/>
          <w:i/>
          <w:sz w:val="24"/>
          <w:szCs w:val="24"/>
        </w:rPr>
        <w:t>w sprawie norm technicznych dotyczących zabezpieczeń umieszczanych na wyrobach tytoniowych</w:t>
      </w:r>
      <w:r w:rsidR="00692033" w:rsidRPr="003600CA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,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których elementy określ</w:t>
      </w:r>
      <w:r w:rsidR="00805E4D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ił Minister Finansów w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rozporządzeni</w:t>
      </w:r>
      <w:r w:rsidR="00805E4D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 dnia 12 kwietnia 2019 r. </w:t>
      </w:r>
      <w:r w:rsidR="00692033"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sprawie </w:t>
      </w:r>
      <w:r w:rsidR="00692033"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elementów zabezpieczenia umieszczanego na opakowaniu jednostkowym wyrobów tytoniowych sprzedawanych w wolnych obszarach celnych podróżnym udającym się do krajów trzecich</w:t>
      </w:r>
      <w:r w:rsidR="00692033" w:rsidRPr="003600C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(Dz. U. poz. 716).</w:t>
      </w:r>
    </w:p>
    <w:p w14:paraId="04F7EFED" w14:textId="3C03FB72" w:rsidR="005B40BE" w:rsidRPr="00211E26" w:rsidRDefault="00805E4D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związku z tym, że system Track&amp;Trace od 20 maja 2024 r. </w:t>
      </w:r>
      <w:r w:rsidR="003600CA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zostanie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rozszerzony o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wyroby tytoniowe, które nie są wyrobami akcyzowymi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np. </w:t>
      </w:r>
      <w:r w:rsidR="0066285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tytoń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do żucia, </w:t>
      </w:r>
      <w:r w:rsidR="0066285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tytoń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 nosa)</w:t>
      </w:r>
      <w:r w:rsidR="0066285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nie będzie można na te wyroby </w:t>
      </w:r>
      <w:r w:rsidR="00620108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nakładać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zabezpieczenia w postaci znaków akcyzy. Dlatego też projektowana z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miana ustawy z dnia 9 listopada 1995 r. </w:t>
      </w:r>
      <w:r w:rsidR="005B40BE"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 ochronie zdrowia przed następstwami używania tytoniu i wyrobów tytoniowych</w:t>
      </w:r>
      <w:r w:rsidR="005B40BE" w:rsidRPr="003600C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dotyczy wprowadzenia możliwości stosowania w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odniesieniu do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tych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wyrobów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analogicznego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zabezpieczenia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jak w przypadku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wyrobów tytoniowych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sprzedawanych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 wolnych obszarach celnych (tzw. duty-free).</w:t>
      </w:r>
    </w:p>
    <w:p w14:paraId="3DD7C7F8" w14:textId="5AF59EC9" w:rsidR="005A0B9B" w:rsidRPr="00211E26" w:rsidRDefault="005A0B9B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Ponieważ informacja o wdrożeniu dyrektywy 2014/40/UE nie jest zamieszczona w tytule zmienianej ustawy </w:t>
      </w:r>
      <w:bookmarkStart w:id="0" w:name="_Hlk162357456"/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 dnia 9 listopada 1995 r. </w:t>
      </w:r>
      <w:bookmarkEnd w:id="0"/>
      <w:r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 ochronie zdrowia przed następstwami używania tytoniu i wyrobów tytoniowych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</w:t>
      </w:r>
      <w:r w:rsidR="003600CA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jest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zasadne uzupełnienie o stosowny </w:t>
      </w:r>
      <w:r w:rsidRPr="00211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odnośnik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 wdrożeniu ww. dyrektyw</w:t>
      </w:r>
      <w:r w:rsidR="005775A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y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tytułu </w:t>
      </w:r>
      <w:r w:rsidR="0066285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zmienianej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ustawy. Taką zmianę </w:t>
      </w:r>
      <w:r w:rsidR="0066285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prowadza się w art.1 pkt 1 projektu ustawy.</w:t>
      </w:r>
    </w:p>
    <w:p w14:paraId="571C5775" w14:textId="39C2E217" w:rsidR="00CB082C" w:rsidRPr="00211E26" w:rsidRDefault="005A0B9B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Natomiast</w:t>
      </w:r>
      <w:r w:rsidR="006E5A4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art. 1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pkt 2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projektu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ustawy p</w:t>
      </w:r>
      <w:r w:rsidR="008A4C1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roponuje się zmianę </w:t>
      </w:r>
      <w:r w:rsidR="008A4C1C" w:rsidRPr="00211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art. 10b</w:t>
      </w:r>
      <w:r w:rsidR="008A4C1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8A4C1C" w:rsidRPr="00211E26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ustawy</w:t>
      </w:r>
      <w:r w:rsidR="00452F30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 dnia 9 listopada 1995 r.</w:t>
      </w:r>
      <w:r w:rsidR="008A4C1C" w:rsidRPr="00211E26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pl-PL"/>
        </w:rPr>
        <w:t xml:space="preserve"> </w:t>
      </w:r>
      <w:r w:rsidR="008A4C1C"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 ochronie zdrowia przed następstwami używania tytoniu i wyrobów tytoniowych</w:t>
      </w:r>
      <w:r w:rsidR="008A4C1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przez </w:t>
      </w:r>
      <w:r w:rsidR="00CB082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nadanie nowego brzmienia </w:t>
      </w:r>
      <w:r w:rsidR="008A4C1C" w:rsidRPr="00211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ust. 2</w:t>
      </w:r>
      <w:r w:rsidR="00EE6CE8" w:rsidRPr="00211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</w:t>
      </w:r>
      <w:r w:rsidR="00CB082C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tak aby z jego treści jednoznacznie wynikało, że zabezpieczeniem są znaki akcyzy</w:t>
      </w:r>
      <w:r w:rsidR="002E7C15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a w przypadku wyrobów tytoniowych sprzedawanych w wolnych obszarach celnych podróżnym udającym się do krajów trzecich oraz wyrobów niebędących wyrobami akcyzowymi </w:t>
      </w:r>
      <w:r w:rsidR="008E070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inne </w:t>
      </w:r>
      <w:r w:rsidR="002E7C15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zabezpieczeni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e, o którym mowa w art.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 decyzji wykonawczej Komisji (UE) 2018/576.</w:t>
      </w:r>
    </w:p>
    <w:p w14:paraId="715A6822" w14:textId="39FDE28C" w:rsidR="005775AC" w:rsidRPr="00211E26" w:rsidRDefault="005775AC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Zmiana w </w:t>
      </w:r>
      <w:r w:rsidRPr="00211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ust. 3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jest konsekwencją zmiany wprowadzonej w ust. 2 i ma charakter dostosowujący.</w:t>
      </w:r>
    </w:p>
    <w:p w14:paraId="2B7EEAE9" w14:textId="570DAFB4" w:rsidR="00692033" w:rsidRPr="00211E26" w:rsidRDefault="00692033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Zmiany wymaga </w:t>
      </w:r>
      <w:r w:rsidR="00EE6CE8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również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treść </w:t>
      </w:r>
      <w:r w:rsidRPr="00211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ust. 6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zawierającego delegację dla ministra </w:t>
      </w:r>
      <w:r w:rsidR="005B40B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właściwego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do spraw finansów publicznych do wydania rozporządzenia określającego 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rodzaje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element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ów potwierdzających autentyczność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zabezpieczenia umieszczanego na opakowaniu jednostkowym wyrobów tytoniowych. Zaproponowana zmiana polega na 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doprecyzowaniu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EE6CE8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obowiązującej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delegacji 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 wskazani</w:t>
      </w:r>
      <w:r w:rsidR="00E54FD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obowiązek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określenia w drodze rozporządzenia elementów 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potwierdzających autentyczność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zabezpieczenia umieszczanego na opakowaniu jednostkowym wyrobów tytoniowych 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zarówno sprzedawanych w wolnych obszarach celnych podróżnym udającym się do krajów trzecich</w:t>
      </w:r>
      <w:r w:rsidR="00E54FD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  <w:r w:rsidR="00320EAB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jak i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niebędących wyrobami akcyzowymi.</w:t>
      </w:r>
    </w:p>
    <w:p w14:paraId="1685775F" w14:textId="3A4B49A7" w:rsidR="008A4C1C" w:rsidRPr="00211E26" w:rsidRDefault="008A4C1C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Wprowadzenie zaproponowanych zmian jest warunkiem kontynuacji obrotu wyrobami tytoniowymi</w:t>
      </w:r>
      <w:r w:rsidR="00E54FD9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wynikającym z nowych obowiązków związanych z rozszerzeniem </w:t>
      </w:r>
      <w:r w:rsidR="0069203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ystemu Track&amp;Trace</w:t>
      </w:r>
      <w:r w:rsidR="006E5A4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wszystkie wyroby tytoniowe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661A9D90" w14:textId="31FD76AB" w:rsidR="004C5658" w:rsidRPr="00211E26" w:rsidRDefault="004C5658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Projektowane regulacje powinny wejść w życie z dniem 20 maja 2024 r. zgodnie z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terminem objęcia systemem Track&amp;Trace wyrobów </w:t>
      </w:r>
      <w:r w:rsidR="006E5A4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tytoniowych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innych niż papierosy i tytoń do samodzielnego skręcania papierosów </w:t>
      </w:r>
      <w:r w:rsidR="00A2437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art. 6 pkt 2 ustawy z dnia 22 lutego 2019 r.</w:t>
      </w:r>
      <w:r w:rsidR="006E5A43" w:rsidRPr="00211E26">
        <w:rPr>
          <w:rFonts w:ascii="Times New Roman" w:hAnsi="Times New Roman" w:cs="Times New Roman"/>
        </w:rPr>
        <w:t xml:space="preserve"> </w:t>
      </w:r>
      <w:r w:rsidR="00A24373" w:rsidRPr="00F0205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 zmianie ustawy o ochronie zdrowia przed następstwami używania tytoniu i wyrobów tytoniowych</w:t>
      </w:r>
      <w:r w:rsidR="00A24373" w:rsidRPr="003600C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A2437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(Dz.</w:t>
      </w:r>
      <w:r w:rsidR="00C95FC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="00A24373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U. poz. 638).</w:t>
      </w:r>
    </w:p>
    <w:p w14:paraId="063CA87C" w14:textId="50DC1E59" w:rsidR="00A24373" w:rsidRPr="00211E26" w:rsidRDefault="00A24373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Jednocześnie zgodnie z art. 9 ust.</w:t>
      </w:r>
      <w:r w:rsidR="00EE65D6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 decyzji wykonawczej Komisji (UE) 2018/576 z dnia 15 grudnia 2017 r. w sprawie norm technicznych dotyczących zabezpieczeń umieszczanych na wyrobach tytoniowych wyroby tytoniowe niebędące wyrobami akcyzowymi, które zostaną wyprodukowane w Unii lub przywiezione do Unii przed dniem 20 maja 2024 r. i nie będą opatrzone zabezpieczeniem, będą mogły pozostawać w swobodnym obrocie do dnia 20 maja 2026 r.</w:t>
      </w:r>
    </w:p>
    <w:p w14:paraId="2A8045A4" w14:textId="160823A6" w:rsidR="004C5658" w:rsidRPr="00211E26" w:rsidRDefault="004C5658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Projekt ustawy może mieć także korzystny wpływ na działalność mikroprzedsiębiorców oraz małych i średnich przedsiębiorców prowadzących działalność w zakresie obrotu wyrobami tytoniowymi niebędącymi wyrobami akcyzowymi, ponieważ </w:t>
      </w:r>
      <w:r w:rsidR="004A2526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zmiany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dadzą pewność i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bezpieczeństwo w obrocie wyrobami</w:t>
      </w:r>
      <w:r w:rsidR="004A2526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tytoniowymi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23054019" w14:textId="77777777" w:rsidR="004C5658" w:rsidRPr="00211E26" w:rsidRDefault="004C5658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Projekt ustawy nie będzie podlegał procedurze notyfikacji w rozumieniu przepisów rozporządzenia Rady Ministrów z dnia 23 grudnia 2002 r. w sprawie sposobu funkcjonowania krajowego systemu notyfikacji norm i aktów prawnych (Dz. U. poz. 2039, z późn. zm.).</w:t>
      </w:r>
    </w:p>
    <w:p w14:paraId="1B78D434" w14:textId="77777777" w:rsidR="004C5658" w:rsidRPr="00211E26" w:rsidRDefault="004C5658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Projektowana ustawa jest zgodna z prawem Unii Europejskiej.</w:t>
      </w:r>
    </w:p>
    <w:p w14:paraId="60F0DA14" w14:textId="78591B41" w:rsidR="004C5658" w:rsidRPr="00211E26" w:rsidRDefault="004C5658" w:rsidP="00211E2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Projekt ustawy nie wymaga zasięgnięcia opinii, dokonania konsultacji albo uzgodnienia z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organami i instytucjami Unii Europejskiej, w tym z Europejskim Bankiem Centralnym.</w:t>
      </w:r>
    </w:p>
    <w:p w14:paraId="1B192C05" w14:textId="3D484C59" w:rsidR="00A81062" w:rsidRPr="00211E26" w:rsidRDefault="00791CBB" w:rsidP="002E1E23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Zgodnie z art. 5 ustawy z dnia 7 lipca 2005 r. o działalności lobbingowej w procesie stanowienia prawa (Dz. U. z 2017 r. poz. 248) w związku z § 52 ust. 1 uchwały nr 190 Rady Ministrów z dnia 29 października 2013 r. </w:t>
      </w:r>
      <w:r w:rsidR="002E1E2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–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Regulamin pracy Rady Ministrów (M.P. z 2022</w:t>
      </w:r>
      <w:r w:rsidR="00A253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r. poz. 348) projekt ustawy z chwilą przekazania go do uzgodnień z członkami Rady Ministrów oraz konsultacji publicznych zosta</w:t>
      </w:r>
      <w:r w:rsidR="00257AF7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ł </w:t>
      </w:r>
      <w:r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udostępniony w Biuletynie Informacji Publicznej na stronie podmiotowej Rządowego Centrum Legislacji, w serwisie Rządowy Proces Legislacji</w:t>
      </w:r>
      <w:r w:rsidR="0047717E" w:rsidRPr="00211E2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sectPr w:rsidR="00A81062" w:rsidRPr="00211E26" w:rsidSect="00B02DFD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EE2C" w14:textId="77777777" w:rsidR="00E47980" w:rsidRDefault="00E47980" w:rsidP="008A4C1C">
      <w:pPr>
        <w:spacing w:after="0" w:line="240" w:lineRule="auto"/>
      </w:pPr>
      <w:r>
        <w:separator/>
      </w:r>
    </w:p>
  </w:endnote>
  <w:endnote w:type="continuationSeparator" w:id="0">
    <w:p w14:paraId="7B565414" w14:textId="77777777" w:rsidR="00E47980" w:rsidRDefault="00E47980" w:rsidP="008A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340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719942" w14:textId="311B85B6" w:rsidR="00B02DFD" w:rsidRDefault="00B02DFD" w:rsidP="00B02DFD">
        <w:pPr>
          <w:pStyle w:val="Stopka"/>
          <w:jc w:val="center"/>
        </w:pPr>
        <w:r w:rsidRPr="00B02D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2D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05C">
          <w:rPr>
            <w:rFonts w:ascii="Times New Roman" w:hAnsi="Times New Roman" w:cs="Times New Roman"/>
            <w:sz w:val="24"/>
            <w:szCs w:val="24"/>
          </w:rPr>
          <w:t>2</w:t>
        </w:r>
        <w:r w:rsidRPr="00B02D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5D29" w14:textId="77777777" w:rsidR="00E47980" w:rsidRDefault="00E47980" w:rsidP="008A4C1C">
      <w:pPr>
        <w:spacing w:after="0" w:line="240" w:lineRule="auto"/>
      </w:pPr>
      <w:r>
        <w:separator/>
      </w:r>
    </w:p>
  </w:footnote>
  <w:footnote w:type="continuationSeparator" w:id="0">
    <w:p w14:paraId="4A4C8A73" w14:textId="77777777" w:rsidR="00E47980" w:rsidRDefault="00E47980" w:rsidP="008A4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E"/>
    <w:rsid w:val="00045994"/>
    <w:rsid w:val="00056081"/>
    <w:rsid w:val="00077EC1"/>
    <w:rsid w:val="000825FF"/>
    <w:rsid w:val="000A428F"/>
    <w:rsid w:val="000D61FF"/>
    <w:rsid w:val="00104EC7"/>
    <w:rsid w:val="00121117"/>
    <w:rsid w:val="00161530"/>
    <w:rsid w:val="0018292C"/>
    <w:rsid w:val="001B1426"/>
    <w:rsid w:val="00202792"/>
    <w:rsid w:val="00211E26"/>
    <w:rsid w:val="002147C6"/>
    <w:rsid w:val="002569E2"/>
    <w:rsid w:val="00257AF7"/>
    <w:rsid w:val="002625AC"/>
    <w:rsid w:val="00271B2B"/>
    <w:rsid w:val="00296029"/>
    <w:rsid w:val="002E1E23"/>
    <w:rsid w:val="002E7C15"/>
    <w:rsid w:val="00320EAB"/>
    <w:rsid w:val="00333A67"/>
    <w:rsid w:val="003340F5"/>
    <w:rsid w:val="003600CA"/>
    <w:rsid w:val="003656EB"/>
    <w:rsid w:val="00384842"/>
    <w:rsid w:val="003C43B6"/>
    <w:rsid w:val="003D0F15"/>
    <w:rsid w:val="00407392"/>
    <w:rsid w:val="00423A76"/>
    <w:rsid w:val="00452F30"/>
    <w:rsid w:val="00470CC5"/>
    <w:rsid w:val="0047717E"/>
    <w:rsid w:val="004A2526"/>
    <w:rsid w:val="004C3AFF"/>
    <w:rsid w:val="004C5658"/>
    <w:rsid w:val="004D40DB"/>
    <w:rsid w:val="004D7ADE"/>
    <w:rsid w:val="004F736B"/>
    <w:rsid w:val="00543779"/>
    <w:rsid w:val="00546F95"/>
    <w:rsid w:val="005775AC"/>
    <w:rsid w:val="005A0B9B"/>
    <w:rsid w:val="005B40BE"/>
    <w:rsid w:val="005C6C68"/>
    <w:rsid w:val="00620108"/>
    <w:rsid w:val="0066285C"/>
    <w:rsid w:val="00692033"/>
    <w:rsid w:val="006D4B71"/>
    <w:rsid w:val="006D6434"/>
    <w:rsid w:val="006D67C8"/>
    <w:rsid w:val="006E5A43"/>
    <w:rsid w:val="00763135"/>
    <w:rsid w:val="00787C15"/>
    <w:rsid w:val="00791CBB"/>
    <w:rsid w:val="00791DD7"/>
    <w:rsid w:val="007A2FDC"/>
    <w:rsid w:val="007F4766"/>
    <w:rsid w:val="00805E4D"/>
    <w:rsid w:val="0081264F"/>
    <w:rsid w:val="008473A8"/>
    <w:rsid w:val="00874CDE"/>
    <w:rsid w:val="008829AB"/>
    <w:rsid w:val="008A4C1C"/>
    <w:rsid w:val="008B182E"/>
    <w:rsid w:val="008E0709"/>
    <w:rsid w:val="00932189"/>
    <w:rsid w:val="00974784"/>
    <w:rsid w:val="009810D8"/>
    <w:rsid w:val="009C3832"/>
    <w:rsid w:val="009C664F"/>
    <w:rsid w:val="009F3936"/>
    <w:rsid w:val="00A24373"/>
    <w:rsid w:val="00A2538A"/>
    <w:rsid w:val="00A438D0"/>
    <w:rsid w:val="00A4427F"/>
    <w:rsid w:val="00A51E81"/>
    <w:rsid w:val="00A81062"/>
    <w:rsid w:val="00A84023"/>
    <w:rsid w:val="00A860CC"/>
    <w:rsid w:val="00AA40A8"/>
    <w:rsid w:val="00B02DFD"/>
    <w:rsid w:val="00B83F91"/>
    <w:rsid w:val="00BE6BB6"/>
    <w:rsid w:val="00C329FC"/>
    <w:rsid w:val="00C36F67"/>
    <w:rsid w:val="00C54B0C"/>
    <w:rsid w:val="00C62506"/>
    <w:rsid w:val="00C95FC3"/>
    <w:rsid w:val="00CA629A"/>
    <w:rsid w:val="00CB082C"/>
    <w:rsid w:val="00D07A15"/>
    <w:rsid w:val="00D13C23"/>
    <w:rsid w:val="00D77F60"/>
    <w:rsid w:val="00D83296"/>
    <w:rsid w:val="00D93DA9"/>
    <w:rsid w:val="00DA547F"/>
    <w:rsid w:val="00DA6FAA"/>
    <w:rsid w:val="00DD33EA"/>
    <w:rsid w:val="00DE510E"/>
    <w:rsid w:val="00DF4B25"/>
    <w:rsid w:val="00DF4E57"/>
    <w:rsid w:val="00E47980"/>
    <w:rsid w:val="00E54FD9"/>
    <w:rsid w:val="00E91368"/>
    <w:rsid w:val="00EE65D6"/>
    <w:rsid w:val="00EE6CE8"/>
    <w:rsid w:val="00F0205C"/>
    <w:rsid w:val="00F11483"/>
    <w:rsid w:val="00F218A7"/>
    <w:rsid w:val="00F30F42"/>
    <w:rsid w:val="00F32FA2"/>
    <w:rsid w:val="00F352CE"/>
    <w:rsid w:val="00F41EAE"/>
    <w:rsid w:val="00F8158E"/>
    <w:rsid w:val="00F951AD"/>
    <w:rsid w:val="00FB1163"/>
    <w:rsid w:val="00FD6FA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896FF"/>
  <w15:chartTrackingRefBased/>
  <w15:docId w15:val="{DA757E87-430F-4E64-AC49-8029477D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7A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0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FD"/>
  </w:style>
  <w:style w:type="paragraph" w:styleId="Stopka">
    <w:name w:val="footer"/>
    <w:basedOn w:val="Normalny"/>
    <w:link w:val="StopkaZnak"/>
    <w:uiPriority w:val="99"/>
    <w:unhideWhenUsed/>
    <w:rsid w:val="00B0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Jędruszuk Renata 2</dc:creator>
  <cp:keywords/>
  <dc:description/>
  <cp:lastModifiedBy>Jankowska-Słomianko Dorota</cp:lastModifiedBy>
  <cp:revision>10</cp:revision>
  <cp:lastPrinted>2024-03-22T14:16:00Z</cp:lastPrinted>
  <dcterms:created xsi:type="dcterms:W3CDTF">2024-03-27T08:14:00Z</dcterms:created>
  <dcterms:modified xsi:type="dcterms:W3CDTF">2024-03-28T07:32:00Z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UxC4dwLulzfINJ8nQH+xvX5LNGipWa4BRSZhPgxsCvkpc60z6amsJ6YcnSCaBHFkO6mTChOupj+T6Y/C4V8nBQ==</vt:lpwstr>
  </property>
  <property fmtid="{D5CDD505-2E9C-101B-9397-08002B2CF9AE}" pid="4" name="MFClassificationDate">
    <vt:lpwstr>2023-04-20T11:51:11.1543587+02:00</vt:lpwstr>
  </property>
  <property fmtid="{D5CDD505-2E9C-101B-9397-08002B2CF9AE}" pid="5" name="MFClassifiedBySID">
    <vt:lpwstr>UxC4dwLulzfINJ8nQH+xvX5LNGipWa4BRSZhPgxsCvm42mrIC/DSDv0ggS+FjUN/2v1BBotkLlY5aAiEhoi6uaXCxJIfC1uErQqZwBtR8hkeXFhSprCrfzQQDGp2MOof</vt:lpwstr>
  </property>
  <property fmtid="{D5CDD505-2E9C-101B-9397-08002B2CF9AE}" pid="6" name="MFGRNItemId">
    <vt:lpwstr>GRN-a4a91809-d91a-453e-91f9-e77414419636</vt:lpwstr>
  </property>
  <property fmtid="{D5CDD505-2E9C-101B-9397-08002B2CF9AE}" pid="7" name="MFHash">
    <vt:lpwstr>dXRs6rcOVlhlOqyxQHboKcKTDAVN/nN/Zyq9+ZjX+bg=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