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A0581" w14:textId="77777777" w:rsidR="00A854BD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UZASADNIENIE</w:t>
      </w:r>
    </w:p>
    <w:p w14:paraId="76B1F0A4" w14:textId="77777777" w:rsidR="00A854BD" w:rsidRDefault="00A854BD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2369A80F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Celem przyświecającym wnioskodawcom projektu ustawy jest uchylenie istniejących w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Kodeksie wyborczym przepisów regulujących w wyborach do Sejmu Rzeczypospolitej Polskiej niesłusznych ich zdaniem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przywilejów przysługujących niektórym grupom obywateli. Art. 196 § 1 Kodeksu wyborczego wskazuje, iż w podziale mandatów w okręgach wyborczych uwzględnia się wyłącznie okręgowe listy kandydatów na posłów tych komitetów wyborczych, których listy otrzymały co najmniej 5% ważnie oddanych głosów w skali kraju. Z tego wymogu zwolnione są jednak komitety wyborcze utworzone przez wyborców zrzeszonych w zarejestrowanych organizacjach mniejszości narodowych. Zdaniem wnioskodawców wspomniany wymóg narusza zasadę równości obywateli wobec prawa wyrażoną w art. 32 Konstytucji Rzeczypospolitej Polskiej oraz art. 96 ust. 2 stanowiący, że wybory do Sejmu są równe. </w:t>
      </w:r>
    </w:p>
    <w:p w14:paraId="27611141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51DFC13B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Jak stanowi art. 3 Konstytucji, Rzeczpospolita Polska jest państwem jednolitym                           i dlatego różnicowanie sytuacji prawnej podmiotów na podstawie kryterium narodowości nie znajduje uzasadnienia aksjologicznego w podstawach prawnych państwa. Obecnie obowiązująca w polskim prawie regulacja, nie znajduje również odzwierciedlenia w systemach wyborczych zdecydowanej większości państw europejskich, w tym u sąsiadów Polski, gdzie wyborcy głosujący na przedstawicieli komitetów reprezentujących mniejszość polską nie korzystają z uprzywilejowanej względem innych wyborców pozycji. </w:t>
      </w:r>
    </w:p>
    <w:p w14:paraId="1004CD60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347A6A8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 swoim czasie przywileje wyborcze dla mniejszości etnicznej gwarantowano dla ludności maoryskiej w Nowej Zelandii. W krajach europejskich przywileje takie (w formie pewnej mutacji systemu kurialnego) funkcjonują np. w trzech państwach bałkańskich: Rumunii, Chorwacji i Słowenii, a więc w krajach, w których poziom konfliktów etnicznych jest lub może być bardzo wysoki. W praktyce przywilej zawarty w uchylanym art. 197 kodeksu wyborczego działał w przeszłości na korzyść nie mniejszości jako takich, ale jednej mniejszości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– mniejszości niemieckiej, gdyż pozostałe ze względu na geografię ludnościową i polityczną nie były w stanie z przywileju tego skorzystać. </w:t>
      </w:r>
    </w:p>
    <w:p w14:paraId="0ED13926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0B8A308A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Sejmie RP X kadencji nie zasiada ani jeden poseł, który skorzystał z wyżej opisanego przywileju. W związku z tym to idealny ustrojowo czas do likwidacji tego przywileju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wyborczego, który może zostać wykorzystany w perspektywie 10-15 lat przez mniejszość ukraińską do wprowadzenia z wykorzystaniem tego przywileju swojej kilkuosobowej reprezentacji. </w:t>
      </w:r>
    </w:p>
    <w:p w14:paraId="4F74C76B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4E1330EE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Art. 197 § 1 stanowi naruszenie konstytucyjnej zasady równości w odniesieniu do czynnego prawa wyborczego do Sejmu RP. Głosy oddane na komitety wyborcze, które nie osiągną progu 5%, nie będą miały wpływu na skład Sejmu, podczas gdy głosy oddane na komitety mniejszości, które nie przekroczą progu 5%, mogą stanowić podstawę uzyskania mandatów poselskich. Wyborcy, którzy oddadzą głosy na komitety, które nie przekroczą progu, nie będą posiadać swojej reprezentacji w Sejmie, inaczej niż wyborcy głosujący na komitety mniejszości narodowych. Formalnie siła głosu oddanego na komitety wyborcze utworzone przez wyborców zrzeszonych w zarejestrowanych organizacjach mniejszości narodowych oraz wyborców głosujących na pozostałe komitety wyborcze jest taka sama. Jednak ze względu na fakt braku wymogu osiągnięcia 5% progu przez komitety wyborcze utworzone przez wyborców zrzeszonych w zarejestrowanych organizacjach mniejszości narodowych realna wartość głosu oddanego na taki komitet może okazać się znacznie silniejsza niż na inne komitety, które w skali kraju uzyskały taką samą albo większą liczbę głosów, ale ze względu na brak zwolnienia z wymogu osiągnięcia 5% nie weszły do Sejmu. W przypadku braku osiągnięcia progu 5% głosów w skali kraju, głosy oddane na komitety mniejszości narodowych liczone są z naruszeniem zasady równości.</w:t>
      </w:r>
    </w:p>
    <w:p w14:paraId="51490B3A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7A409811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Usunięcie art. 95 §2 Kodeksu wyborczego jest konsekwencją przyjętego założenia likwidacji zwolnienia z progu wyborczego dla mniejszości narodowych.</w:t>
      </w:r>
    </w:p>
    <w:p w14:paraId="1B16C8E0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54250739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Zgodnie z art. 96 ust. 2 Konstytucji RP wybory do Sejmu są powszechne, równe, bezpośrednie i proporcjonalne oraz odbywają się w głosowaniu tajnym. Art. 197 § 1 ustawy z dnia 5 stycznia 2011 r. Kodeks wyborczy narusza zasadę równości i proporcjonalności wyborów. Zasada proporcjonalności wyborów oznacza, że skład Sejmu odpowiadać powinien poparciu uzyskanemu w trakcie wyborów przez poszczególne komitety wyborcze i osoby na listach wyborczych. Naruszenie zasady proporcjonalności wynika z faktu wyłączenia uczestnictwa komitetów mniejszości w podziale miejsc w Sejmie bez względu na liczbę głosów uzyskanych w kraju. Oznacza to, że kandydaci z list komitetów mniejszości mogą zostać wybrani, nawet jeśli komitety te uzyskają kilkaset razy mniejsze poparcie niż inne komitety wyborcze. Ukształtowanie składu Sejmu z pominięciem przedstawicieli komitetów, które </w:t>
      </w:r>
      <w:r>
        <w:rPr>
          <w:rFonts w:ascii="Times New Roman" w:eastAsia="Times New Roman" w:hAnsi="Times New Roman" w:cs="Times New Roman"/>
        </w:rPr>
        <w:lastRenderedPageBreak/>
        <w:t xml:space="preserve">uzyskały poniżej 5% głosów w skali kraju, ale z uwzględnieniem przedstawicieli komitetów mniejszości, które również nie przekroczyły tego progu narusza zasadę proporcjonalności wyborów (art. 96 ust. 2 Konstytucji RP).  </w:t>
      </w:r>
    </w:p>
    <w:p w14:paraId="2B930B59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43270F8D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Skutkami prawnymi przyjętej regulacji, będzie zrównanie sytuacji prawnej obywateli polskich korzystających ze swego prawa wyborczego. </w:t>
      </w:r>
      <w:r>
        <w:rPr>
          <w:rFonts w:ascii="Times New Roman" w:eastAsia="Times New Roman" w:hAnsi="Times New Roman" w:cs="Times New Roman"/>
          <w:color w:val="000000"/>
        </w:rPr>
        <w:t xml:space="preserve">Rozwiązanie to zapewni lepszą realizację konstytucyjnej zasady równości wobec prawa oraz proporcjonalności wyborczej. </w:t>
      </w:r>
    </w:p>
    <w:p w14:paraId="4C8C733B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</w:p>
    <w:p w14:paraId="432D8490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Projekt będzie miał pozytywne skutki społeczne. </w:t>
      </w:r>
      <w:r>
        <w:rPr>
          <w:rFonts w:ascii="Times New Roman" w:eastAsia="Times New Roman" w:hAnsi="Times New Roman" w:cs="Times New Roman"/>
          <w:color w:val="000000"/>
        </w:rPr>
        <w:t>Przyjęcie rozwiązania wpłynie na zmniejszenie napięć społecznych.</w:t>
      </w:r>
    </w:p>
    <w:p w14:paraId="444351E4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65A97FE7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nie pociąga za sobą skutków finansowych oraz gospodarczych.</w:t>
      </w:r>
    </w:p>
    <w:p w14:paraId="329CA639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3EA1A25D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Projekt nie wymaga wydania nowych aktów wykonawczych. </w:t>
      </w:r>
    </w:p>
    <w:p w14:paraId="59DE9277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4AA5C06A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Projektowana ustawa nie jest objęta prawem Unii Europejskiej. Wejście w życie projektowanej ustawy nie wpłynie na działalność </w:t>
      </w:r>
      <w:proofErr w:type="spellStart"/>
      <w:r>
        <w:rPr>
          <w:rFonts w:ascii="Times New Roman" w:eastAsia="Times New Roman" w:hAnsi="Times New Roman" w:cs="Times New Roman"/>
        </w:rPr>
        <w:t>mikroprzedsiębiorców</w:t>
      </w:r>
      <w:proofErr w:type="spellEnd"/>
      <w:r>
        <w:rPr>
          <w:rFonts w:ascii="Times New Roman" w:eastAsia="Times New Roman" w:hAnsi="Times New Roman" w:cs="Times New Roman"/>
        </w:rPr>
        <w:t xml:space="preserve"> oraz małych i średnich przedsiębiorców.</w:t>
      </w:r>
    </w:p>
    <w:p w14:paraId="53D36C89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70F7AF4A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Projekt ustawy nie będzie powodował kosztów dla budżetu państwa oraz budżetów jednostek samorządu terytorialnego.</w:t>
      </w:r>
    </w:p>
    <w:p w14:paraId="690C9CD2" w14:textId="77777777" w:rsidR="00A854BD" w:rsidRDefault="00A854B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3E916B5" w14:textId="77777777" w:rsidR="00A854BD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Wejście w życie projektu wywoła pozytywne skutki społeczno-gospodarcze.</w:t>
      </w:r>
    </w:p>
    <w:p w14:paraId="4018DF3E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5391DED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B3DBCC0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A7EFFAC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15232EDF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1C9DC22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380EC3E4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97DDCDF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5C8F15BA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8415BAE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7E671D9D" w14:textId="77777777" w:rsidR="00A854BD" w:rsidRDefault="00000000">
      <w:pPr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DEKLAROWANE SKUTKI REGULACJI (DSR)</w:t>
      </w:r>
    </w:p>
    <w:p w14:paraId="54E81688" w14:textId="77777777" w:rsidR="00A854BD" w:rsidRDefault="00000000">
      <w:pPr>
        <w:spacing w:before="1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projektu ustawy</w:t>
      </w:r>
    </w:p>
    <w:p w14:paraId="66B53B0B" w14:textId="77777777" w:rsidR="00A854BD" w:rsidRDefault="00000000">
      <w:pPr>
        <w:tabs>
          <w:tab w:val="left" w:pos="2834"/>
        </w:tabs>
        <w:spacing w:before="1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ab/>
      </w:r>
    </w:p>
    <w:p w14:paraId="51A6F474" w14:textId="77777777" w:rsidR="00A854BD" w:rsidRDefault="00000000">
      <w:pPr>
        <w:tabs>
          <w:tab w:val="left" w:pos="6290"/>
        </w:tabs>
        <w:spacing w:before="120" w:after="120" w:line="32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Informacja o projekcie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ab/>
      </w:r>
    </w:p>
    <w:p w14:paraId="0CFCEFB8" w14:textId="77777777" w:rsidR="00A854BD" w:rsidRDefault="00000000">
      <w:pPr>
        <w:spacing w:before="120" w:after="120" w:line="32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a) Tytuł projektu:</w:t>
      </w:r>
    </w:p>
    <w:tbl>
      <w:tblPr>
        <w:tblStyle w:val="a"/>
        <w:tblW w:w="91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2"/>
      </w:tblGrid>
      <w:tr w:rsidR="00A854BD" w14:paraId="32C494FD" w14:textId="77777777">
        <w:trPr>
          <w:trHeight w:val="410"/>
        </w:trPr>
        <w:tc>
          <w:tcPr>
            <w:tcW w:w="9182" w:type="dxa"/>
          </w:tcPr>
          <w:p w14:paraId="5E8516B2" w14:textId="77777777" w:rsidR="00A854BD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0" w:name="_heading=h.lyald46webb5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Projekt ustawy o zmianie ustawy - Kodeks wyborczy</w:t>
            </w:r>
          </w:p>
        </w:tc>
      </w:tr>
    </w:tbl>
    <w:p w14:paraId="3A947E16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6DB5D31A" w14:textId="77777777" w:rsidR="00A854BD" w:rsidRDefault="00000000">
      <w:pPr>
        <w:spacing w:before="120" w:after="120" w:line="32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b) Przedstawiciele wnioskodawcy:</w:t>
      </w:r>
    </w:p>
    <w:tbl>
      <w:tblPr>
        <w:tblStyle w:val="a0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9"/>
      </w:tblGrid>
      <w:tr w:rsidR="00A854BD" w14:paraId="3EED7832" w14:textId="77777777">
        <w:trPr>
          <w:trHeight w:val="671"/>
        </w:trPr>
        <w:tc>
          <w:tcPr>
            <w:tcW w:w="9209" w:type="dxa"/>
          </w:tcPr>
          <w:p w14:paraId="737086BA" w14:textId="77777777" w:rsidR="00A854BD" w:rsidRDefault="00000000">
            <w:pPr>
              <w:spacing w:before="120" w:after="120" w:line="32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Janusz Kowalski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Krzysztof Mulawa</w:t>
            </w:r>
          </w:p>
        </w:tc>
      </w:tr>
    </w:tbl>
    <w:p w14:paraId="3728DBEC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3589CAB2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I. Część wstępna</w:t>
      </w:r>
    </w:p>
    <w:p w14:paraId="0231DFF7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[1] Zwięzły opis zidentyfikowanego problemu i proponowanych rozwiązań.</w:t>
      </w: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854BD" w14:paraId="1522EE03" w14:textId="77777777">
        <w:tc>
          <w:tcPr>
            <w:tcW w:w="9062" w:type="dxa"/>
          </w:tcPr>
          <w:p w14:paraId="4E69BD47" w14:textId="77777777" w:rsidR="00A854BD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Celem przyświecającym wnioskodawcom projektu ustawy jest uchylenie istniejących w Kodeksie wyborczym przepisów regulujących w wyborach do Sejmu Rzeczypospolitej Polskiej niesłusznych ich zdaniem przywilejów przysługujących niektórym grupom obywateli. Uchylany przepis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art. 197 pozwala na udział komitetów wyborczych utworzonych przez wyborców zrzeszonych w zarejestrowanych organizacjach mniejszości narodowych w podziale mandatów, bez konieczności przekroczenia progów wyborczych, o których mowa w art. 196 ustawy z dnia 5 stycznia 2011 r. Kodeks wyborczy, czyli progu 5% głosów ważnie oddanych w skali kraju.</w:t>
            </w:r>
          </w:p>
          <w:p w14:paraId="498F2FA0" w14:textId="77777777" w:rsidR="00A854BD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Usunięcie art. 95 §2 Kodeksu wyborczego jest konsekwencją przyjętego założenia likwidacji zwolnienia z progu wyborczego dla mniejszości narodowych.</w:t>
            </w:r>
          </w:p>
        </w:tc>
      </w:tr>
    </w:tbl>
    <w:p w14:paraId="7811973E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5E42187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[2] Czy były rozważane rozwiązania alternatywne?</w:t>
      </w:r>
    </w:p>
    <w:p w14:paraId="2BE72990" w14:textId="77777777" w:rsidR="00A854BD" w:rsidRDefault="00000000">
      <w:pPr>
        <w:numPr>
          <w:ilvl w:val="0"/>
          <w:numId w:val="1"/>
        </w:numPr>
        <w:spacing w:before="120" w:after="16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854BD" w14:paraId="46FE26C5" w14:textId="77777777">
        <w:tc>
          <w:tcPr>
            <w:tcW w:w="9062" w:type="dxa"/>
          </w:tcPr>
          <w:p w14:paraId="5E3233E8" w14:textId="77777777" w:rsidR="00A854BD" w:rsidRDefault="00000000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heading=h.8mymywkrp598" w:colFirst="0" w:colLast="0"/>
            <w:bookmarkEnd w:id="1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Nie rozważano rozwiązań alternatywnych, gdyż omawiana materia zmieniona może być jedynie na drodze ustawowej.</w:t>
            </w:r>
          </w:p>
        </w:tc>
      </w:tr>
    </w:tbl>
    <w:p w14:paraId="1F222517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7BF5AECE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II. Wymogi określone w art. 34 ust. 2 pkt 3–5 regulaminu Sejmu</w:t>
      </w:r>
    </w:p>
    <w:p w14:paraId="1B4011AB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[3] Jakie są przewidywane skutki prawne projektowanych rozwiązań?</w:t>
      </w: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854BD" w14:paraId="0CC89664" w14:textId="77777777">
        <w:tc>
          <w:tcPr>
            <w:tcW w:w="9062" w:type="dxa"/>
          </w:tcPr>
          <w:p w14:paraId="03F29847" w14:textId="77777777" w:rsidR="00A854BD" w:rsidRDefault="00000000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Skutkami prawnymi przyjętej regulacji, będzie zrównanie sytuacji prawnej obywateli polskich korzystających ze swego prawa wyborczego. Rozwiązanie to zapewni lepszą realizację konstytucyjnej zasady równości wobec prawa oraz proporcjonalności wyborczej. </w:t>
            </w:r>
          </w:p>
        </w:tc>
      </w:tr>
    </w:tbl>
    <w:p w14:paraId="063E2F75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AAF46AA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_heading=h.m82juphojkxi" w:colFirst="0" w:colLast="0"/>
      <w:bookmarkEnd w:id="2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[4] Jakie są przewidywane skutki społeczne projektowanych rozwiązań?</w:t>
      </w: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854BD" w14:paraId="3A85F516" w14:textId="77777777">
        <w:tc>
          <w:tcPr>
            <w:tcW w:w="9062" w:type="dxa"/>
          </w:tcPr>
          <w:p w14:paraId="5136B336" w14:textId="77777777" w:rsidR="00A854BD" w:rsidRDefault="00000000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Podobnie jak w przypadku skutków prawnych, skutki społecznej przyjętej regulacji sprowadzają się do zrównania sytuacji prawnej obywateli polskich korzystających ze swego prawa wyborczego. Przyjęcie rozwiązania wpłynie na zmniejszenie napięć społecznych. </w:t>
            </w:r>
          </w:p>
        </w:tc>
      </w:tr>
    </w:tbl>
    <w:p w14:paraId="401817FF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75D64A7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[5] Jakie są przewidywane skutki gospodarcze projektowanych rozwiązań?</w:t>
      </w:r>
    </w:p>
    <w:p w14:paraId="54EB64C3" w14:textId="77777777" w:rsidR="00A854BD" w:rsidRDefault="0000000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4" w:color="000000"/>
        </w:pBd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Projekt ustawy nie wywołuje skutków gospodarczych, w szczególności nie wpływa na działalność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mikroprzedsiębiorców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oraz małych i średnich przedsiębiorców</w:t>
      </w:r>
    </w:p>
    <w:p w14:paraId="65855DAF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8680267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[6] Jakie są przewidywane skutki finansowe projektowanych rozwiązań, w szczególności wpływ na sektor finansów publicznych, w tym na budżet państwa i budżety jednostek samorządu terytorialnego?</w:t>
      </w: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854BD" w14:paraId="47A494AB" w14:textId="77777777">
        <w:tc>
          <w:tcPr>
            <w:tcW w:w="9062" w:type="dxa"/>
          </w:tcPr>
          <w:p w14:paraId="5930FE9C" w14:textId="77777777" w:rsidR="00A854BD" w:rsidRDefault="00000000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 nie wywołuje skutków finansowych w tym dla sektora finansów publicznych, na budżet państwa i budżety jednostek samorządu terytorialnego.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FE8307A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9986F51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[7] Wykaz źródeł finansowania, jeśli projekt ustawy pociąga za sobą obciążenie budżetu państwa lub budżetów jednostek samorządu terytorialnego.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854BD" w14:paraId="5E383CE8" w14:textId="77777777">
        <w:tc>
          <w:tcPr>
            <w:tcW w:w="9062" w:type="dxa"/>
          </w:tcPr>
          <w:p w14:paraId="47F35CB4" w14:textId="77777777" w:rsidR="00A854BD" w:rsidRDefault="00000000">
            <w:pPr>
              <w:spacing w:before="120" w:after="12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 nie wywołuje skutków finansowych.</w:t>
            </w:r>
          </w:p>
        </w:tc>
      </w:tr>
    </w:tbl>
    <w:p w14:paraId="2E85701E" w14:textId="77777777" w:rsidR="00A854BD" w:rsidRDefault="00A854BD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02AEE96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[8] Czy projekt ustawy podlega procedurze notyfikacyjnej? </w:t>
      </w:r>
    </w:p>
    <w:p w14:paraId="1A0FD978" w14:textId="77777777" w:rsidR="00A854BD" w:rsidRDefault="00000000">
      <w:pPr>
        <w:numPr>
          <w:ilvl w:val="0"/>
          <w:numId w:val="1"/>
        </w:numPr>
        <w:spacing w:before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Nie </w:t>
      </w:r>
    </w:p>
    <w:p w14:paraId="6D16966D" w14:textId="77777777" w:rsidR="00A854BD" w:rsidRDefault="00A854BD">
      <w:pPr>
        <w:spacing w:after="120" w:line="32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1695B887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heading=h.v57oucg9w75e" w:colFirst="0" w:colLast="0"/>
      <w:bookmarkEnd w:id="3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III. Wymogi określone w art. 34 ust. 2a i 2b regulaminu Sejmu</w:t>
      </w:r>
    </w:p>
    <w:p w14:paraId="08D4E04C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</w:p>
    <w:p w14:paraId="69AD817F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[9] Czy projekt ustawy zawiera przepisy określające zasady podejmowania, wykonywania lub zakończenia działalności gospodarczej (art. 34 ust. 2a regulaminu Sejmu)?</w:t>
      </w:r>
    </w:p>
    <w:p w14:paraId="404DE6B0" w14:textId="77777777" w:rsidR="00A854BD" w:rsidRDefault="00000000">
      <w:pPr>
        <w:numPr>
          <w:ilvl w:val="0"/>
          <w:numId w:val="1"/>
        </w:numPr>
        <w:spacing w:before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</w:t>
      </w:r>
    </w:p>
    <w:p w14:paraId="0797C9F4" w14:textId="77777777" w:rsidR="00A854BD" w:rsidRDefault="00A854BD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52B4B36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[10] Czy wdrożenie projektowanych przepisów spowoduje obciążenia administracyjne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mikroprzedsiębiorców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małych i średnich przedsiębiorców (art. 34 ust. 2a regulaminu Sejmu)?</w:t>
      </w:r>
    </w:p>
    <w:p w14:paraId="48F151F3" w14:textId="77777777" w:rsidR="00A854BD" w:rsidRDefault="00000000">
      <w:pPr>
        <w:numPr>
          <w:ilvl w:val="0"/>
          <w:numId w:val="1"/>
        </w:numPr>
        <w:spacing w:before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Nie</w:t>
      </w:r>
    </w:p>
    <w:p w14:paraId="6CE1B05D" w14:textId="77777777" w:rsidR="00A854BD" w:rsidRDefault="00A854BD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937DEDE" w14:textId="77777777" w:rsidR="00A854BD" w:rsidRDefault="00000000">
      <w:pPr>
        <w:spacing w:before="120"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[11] Czy projekt ustawy zawiera przepisy regulacyjne lub określa wymogi dotyczące świadczenia usług transgranicznych w rozumieniu ustawy z dnia 22 grudnia 2015 r. o zasadach uznawania kwalifikacji zawodowych nabytych w państwach członkowskich Unii Europejskiej (art. 34 ust. 2b regulaminu Sejmu)?</w:t>
      </w:r>
    </w:p>
    <w:p w14:paraId="5F6DA085" w14:textId="77777777" w:rsidR="00A854BD" w:rsidRDefault="00000000">
      <w:pPr>
        <w:numPr>
          <w:ilvl w:val="0"/>
          <w:numId w:val="2"/>
        </w:numPr>
        <w:spacing w:before="120" w:line="259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Nie </w:t>
      </w:r>
    </w:p>
    <w:p w14:paraId="0BB3FF29" w14:textId="77777777" w:rsidR="00A854BD" w:rsidRDefault="00A854BD">
      <w:pPr>
        <w:spacing w:after="120" w:line="32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3509081" w14:textId="77777777" w:rsidR="00A854BD" w:rsidRDefault="00A854B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4C458B7" w14:textId="77777777" w:rsidR="00A854BD" w:rsidRDefault="00A854BD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4B8C32A1" w14:textId="77777777" w:rsidR="00A854BD" w:rsidRDefault="00A854BD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sectPr w:rsidR="00A854B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D1CEF70-8A14-4537-922E-B75729890F1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  <w:embedRegular r:id="rId2" w:fontKey="{1726B93E-694C-4C78-BA2C-3E54817EB1B1}"/>
    <w:embedItalic r:id="rId3" w:fontKey="{C6D1DD87-3BD0-45C4-BFEB-ECDD016778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049A120-CF2A-43DC-A183-6B222337044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AC33DF"/>
    <w:multiLevelType w:val="multilevel"/>
    <w:tmpl w:val="6AB8A44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620BE0"/>
    <w:multiLevelType w:val="multilevel"/>
    <w:tmpl w:val="7A8263C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95893925">
    <w:abstractNumId w:val="0"/>
  </w:num>
  <w:num w:numId="2" w16cid:durableId="1949584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4BD"/>
    <w:rsid w:val="0038305E"/>
    <w:rsid w:val="00A854BD"/>
    <w:rsid w:val="00D1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2F014"/>
  <w15:docId w15:val="{5DD0760E-5A16-423A-9326-E3AC57E46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1/pZ3TgK8ihP1dQRhh7tdfS+nA==">CgMxLjAyDmgubHlhbGQ0NndlYmI1Mg5oLjhteW15d2tycDU5ODIOaC5tODJqdXBob2preGkyDmgudjU3b3VjZzl3NzVlOAByITFvMTVuU2M5SUpyWnFzdnMzTTZoS1N5X3Vna29VNlJLZg==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1344</Words>
  <Characters>8067</Characters>
  <Application>Microsoft Office Word</Application>
  <DocSecurity>0</DocSecurity>
  <Lines>67</Lines>
  <Paragraphs>18</Paragraphs>
  <ScaleCrop>false</ScaleCrop>
  <Company>Kancelaria Sejmu</Company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Leszczyński</dc:creator>
  <cp:lastModifiedBy>Adam Leszczyński</cp:lastModifiedBy>
  <cp:revision>2</cp:revision>
  <cp:lastPrinted>2026-06-11T12:44:00Z</cp:lastPrinted>
  <dcterms:created xsi:type="dcterms:W3CDTF">2026-06-11T13:21:00Z</dcterms:created>
  <dcterms:modified xsi:type="dcterms:W3CDTF">2026-06-11T13:21:00Z</dcterms:modified>
</cp:coreProperties>
</file>