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A136" w14:textId="77777777" w:rsidR="000853B9" w:rsidRDefault="000853B9" w:rsidP="00912118">
      <w:pPr>
        <w:pStyle w:val="OZNRODZAKTUtznustawalubrozporzdzenieiorganwydajcy"/>
      </w:pPr>
    </w:p>
    <w:p w14:paraId="092B6E78" w14:textId="2F47367A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62399B2D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57030648" w14:textId="79C6311E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9D3FA6">
        <w:t>8 lipca 2026 r.</w:t>
      </w:r>
    </w:p>
    <w:p w14:paraId="2A14D871" w14:textId="225BEDC0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C1226D" w:rsidRPr="00C1226D">
        <w:t>zmianie niektórych ustaw w związku z opłatami uiszczanymi na</w:t>
      </w:r>
      <w:r w:rsidR="00C1226D">
        <w:t> </w:t>
      </w:r>
      <w:r w:rsidR="00C1226D" w:rsidRPr="00C1226D">
        <w:t>rzecz Komisji Nadzoru Finansowego</w:t>
      </w:r>
    </w:p>
    <w:p w14:paraId="7CC02A2F" w14:textId="384C3923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C1226D">
        <w:t>19 czerwca 2026 </w:t>
      </w:r>
      <w:r w:rsidRPr="00E000DC">
        <w:t xml:space="preserve">r. ustawy o </w:t>
      </w:r>
      <w:r w:rsidR="00C1226D" w:rsidRPr="00C1226D">
        <w:t>zmianie niektórych ustaw w związku z opłatami uiszczanymi na rzecz Komisji Nadzoru Finansowego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3D3C9290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1F43AF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1747F19" w14:textId="4BF8F1B8" w:rsidR="00912118" w:rsidRPr="00B528A4" w:rsidRDefault="00FF2F8D" w:rsidP="000F57AC">
            <w:pPr>
              <w:pStyle w:val="TREPUNKTUWUCHWALESENACKIEJ"/>
            </w:pPr>
            <w:r w:rsidRPr="00EA3868">
              <w:t>w art. 1 w pkt 3, w ust. 1 wyraz „lub” zastępuje się wyrazem „albo”;</w:t>
            </w:r>
          </w:p>
        </w:tc>
      </w:tr>
      <w:tr w:rsidR="000A156A" w:rsidRPr="00B528A4" w14:paraId="52245748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CF65CB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AAE0B4C" w14:textId="77777777" w:rsidR="00FF2F8D" w:rsidRPr="00FF2F8D" w:rsidRDefault="00FF2F8D" w:rsidP="00FF2F8D">
            <w:pPr>
              <w:pStyle w:val="TREPUNKTUWUCHWALESENACKIEJ"/>
            </w:pPr>
            <w:r>
              <w:t>w art. 2 w pkt 2:</w:t>
            </w:r>
          </w:p>
          <w:p w14:paraId="11F44D9C" w14:textId="77777777" w:rsidR="00FF2F8D" w:rsidRPr="00FF2F8D" w:rsidRDefault="00FF2F8D" w:rsidP="00FF2F8D">
            <w:pPr>
              <w:pStyle w:val="LITERAWUCHWALESENACKIEJ"/>
            </w:pPr>
            <w:r>
              <w:t>a)</w:t>
            </w:r>
            <w:r>
              <w:tab/>
              <w:t xml:space="preserve">w lit. a, w ust. 1 </w:t>
            </w:r>
            <w:r w:rsidRPr="00FF2F8D">
              <w:t>skreśla się wyrazy „przez Komisję”,</w:t>
            </w:r>
          </w:p>
          <w:p w14:paraId="64521BD5" w14:textId="77777777" w:rsidR="00FF2F8D" w:rsidRPr="00FF2F8D" w:rsidRDefault="00FF2F8D" w:rsidP="00FF2F8D">
            <w:pPr>
              <w:pStyle w:val="LITERAWUCHWALESENACKIEJ"/>
            </w:pPr>
            <w:r>
              <w:t>b)</w:t>
            </w:r>
            <w:r>
              <w:tab/>
              <w:t>w lit. d:</w:t>
            </w:r>
          </w:p>
          <w:p w14:paraId="3D02A321" w14:textId="77777777" w:rsidR="00FF2F8D" w:rsidRPr="00FF2F8D" w:rsidRDefault="00FF2F8D" w:rsidP="00FF2F8D">
            <w:pPr>
              <w:pStyle w:val="TIRETWUCHWALESENACKIEJ"/>
            </w:pPr>
            <w:r>
              <w:t>–</w:t>
            </w:r>
            <w:r>
              <w:tab/>
              <w:t xml:space="preserve">w ust. 1b </w:t>
            </w:r>
            <w:r w:rsidRPr="00FF2F8D">
              <w:t>skreśla się wyrazy „przez Komisję”,</w:t>
            </w:r>
          </w:p>
          <w:p w14:paraId="29390048" w14:textId="77777777" w:rsidR="00FF2F8D" w:rsidRPr="00FF2F8D" w:rsidRDefault="00FF2F8D" w:rsidP="00FF2F8D">
            <w:pPr>
              <w:pStyle w:val="TIRETWUCHWALESENACKIEJ"/>
            </w:pPr>
            <w:r>
              <w:t>–</w:t>
            </w:r>
            <w:r>
              <w:tab/>
              <w:t>w ust. 2 skreśla się wyraz „odpowiednio” oraz wyraz „lub” zastępuje się wyrazem „albo”,</w:t>
            </w:r>
          </w:p>
          <w:p w14:paraId="0ACC9517" w14:textId="77777777" w:rsidR="00FF2F8D" w:rsidRPr="00FF2F8D" w:rsidRDefault="00FF2F8D" w:rsidP="00FF2F8D">
            <w:pPr>
              <w:pStyle w:val="LITERAWUCHWALESENACKIEJ"/>
            </w:pPr>
            <w:r>
              <w:t>c)</w:t>
            </w:r>
            <w:r>
              <w:tab/>
              <w:t>w lit. f, ust. 2k otrzymuje brzmienie:</w:t>
            </w:r>
          </w:p>
          <w:p w14:paraId="4A810186" w14:textId="141320C7" w:rsidR="000A156A" w:rsidRDefault="00FF2F8D" w:rsidP="00FF2F8D">
            <w:pPr>
              <w:pStyle w:val="ZLITUSTzmustliter"/>
            </w:pPr>
            <w:r>
              <w:t xml:space="preserve">„2k. Do wniosków, o </w:t>
            </w:r>
            <w:r w:rsidRPr="00FF2F8D">
              <w:t>których mowa w ust. 1, 1a pkt 2 oraz ust. 1b i</w:t>
            </w:r>
            <w:r>
              <w:t> </w:t>
            </w:r>
            <w:r w:rsidRPr="00FF2F8D">
              <w:t>1c, a także zawiadomienia, o którym mowa w art. 54 ust. 1, dołącza się dokument potwierdzający wniesienie opłaty.”;</w:t>
            </w:r>
          </w:p>
        </w:tc>
      </w:tr>
      <w:tr w:rsidR="000A156A" w:rsidRPr="00B528A4" w14:paraId="4C4ECD08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354AAF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4C3EA63" w14:textId="77777777" w:rsidR="00FF2F8D" w:rsidRPr="00FF2F8D" w:rsidRDefault="00FF2F8D" w:rsidP="00FF2F8D">
            <w:pPr>
              <w:pStyle w:val="TREPUNKTUWUCHWALESENACKIEJ"/>
            </w:pPr>
            <w:r>
              <w:t>w art. 3:</w:t>
            </w:r>
          </w:p>
          <w:p w14:paraId="7B03BDA4" w14:textId="77777777" w:rsidR="00FF2F8D" w:rsidRPr="00FF2F8D" w:rsidRDefault="00FF2F8D" w:rsidP="00FF2F8D">
            <w:pPr>
              <w:pStyle w:val="LITERAWUCHWALESENACKIEJ"/>
            </w:pPr>
            <w:r>
              <w:t>a)</w:t>
            </w:r>
            <w:r>
              <w:tab/>
              <w:t>w pkt 1, w ust. 1 wyrazy „lub zgody” zastępuje się wyrazami „albo zgody” oraz wyrazy „lub zgód” zastępuje się wyrazami „oraz zgód”,</w:t>
            </w:r>
          </w:p>
          <w:p w14:paraId="327EFA23" w14:textId="598F2913" w:rsidR="000A156A" w:rsidRDefault="00FF2F8D" w:rsidP="00FF2F8D">
            <w:pPr>
              <w:pStyle w:val="LITERAWUCHWALESENACKIEJ"/>
            </w:pPr>
            <w:r>
              <w:t>b)</w:t>
            </w:r>
            <w:r>
              <w:tab/>
              <w:t xml:space="preserve">w pkt 3, w ust. 8a </w:t>
            </w:r>
            <w:r w:rsidRPr="00FF2F8D">
              <w:t>wyraz „lub” zastępuje się wyrazem „albo”;</w:t>
            </w:r>
          </w:p>
        </w:tc>
      </w:tr>
      <w:tr w:rsidR="000A156A" w:rsidRPr="00B528A4" w14:paraId="628D507B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1C8E37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0889373" w14:textId="35573B09" w:rsidR="000A156A" w:rsidRDefault="00FF2F8D" w:rsidP="000F57AC">
            <w:pPr>
              <w:pStyle w:val="TREPUNKTUWUCHWALESENACKIEJ"/>
            </w:pPr>
            <w:r>
              <w:t xml:space="preserve">w art. 4 w pkt 1, w art. 93 </w:t>
            </w:r>
            <w:r w:rsidRPr="00FF2F8D">
              <w:t>wyraz „lub” zastępuje się wyrazem „albo”;</w:t>
            </w:r>
          </w:p>
        </w:tc>
      </w:tr>
      <w:tr w:rsidR="000A156A" w:rsidRPr="00B528A4" w14:paraId="53F19341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55773E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DF8023B" w14:textId="77777777" w:rsidR="00FF2F8D" w:rsidRPr="00FF2F8D" w:rsidRDefault="00FF2F8D" w:rsidP="00FF2F8D">
            <w:pPr>
              <w:pStyle w:val="TREPUNKTUWUCHWALESENACKIEJ"/>
            </w:pPr>
            <w:r>
              <w:t>w art. 5:</w:t>
            </w:r>
          </w:p>
          <w:p w14:paraId="2E7A8BDE" w14:textId="77777777" w:rsidR="00FF2F8D" w:rsidRPr="00FF2F8D" w:rsidRDefault="00FF2F8D" w:rsidP="00FF2F8D">
            <w:pPr>
              <w:pStyle w:val="LITERAWUCHWALESENACKIEJ"/>
            </w:pPr>
            <w:bookmarkStart w:id="0" w:name="_Hlk233711478"/>
            <w:r>
              <w:t>a)</w:t>
            </w:r>
            <w:r>
              <w:tab/>
              <w:t>w pkt 2, w ust. 1:</w:t>
            </w:r>
          </w:p>
          <w:p w14:paraId="2E5495FF" w14:textId="77777777" w:rsidR="00FF2F8D" w:rsidRPr="00FF2F8D" w:rsidRDefault="00FF2F8D" w:rsidP="00FF2F8D">
            <w:pPr>
              <w:pStyle w:val="TIRETWUCHWALESENACKIEJ"/>
            </w:pPr>
            <w:r>
              <w:t>–</w:t>
            </w:r>
            <w:r w:rsidRPr="00FF2F8D">
              <w:tab/>
              <w:t>w pkt 1 wyraz „oraz” zastępuje się wyrazem „albo”,</w:t>
            </w:r>
          </w:p>
          <w:p w14:paraId="7E0B2303" w14:textId="77777777" w:rsidR="00FF2F8D" w:rsidRPr="00FF2F8D" w:rsidRDefault="00FF2F8D" w:rsidP="00FF2F8D">
            <w:pPr>
              <w:pStyle w:val="TIRETWUCHWALESENACKIEJ"/>
            </w:pPr>
            <w:r>
              <w:t>–</w:t>
            </w:r>
            <w:r>
              <w:tab/>
              <w:t>w pkt 2 wyraz „lub” zastępuje się wyrazem „albo”,</w:t>
            </w:r>
          </w:p>
          <w:bookmarkEnd w:id="0"/>
          <w:p w14:paraId="0C4B1FF5" w14:textId="77777777" w:rsidR="00FF2F8D" w:rsidRPr="00FF2F8D" w:rsidRDefault="00FF2F8D" w:rsidP="00FF2F8D">
            <w:pPr>
              <w:pStyle w:val="LITERAWUCHWALESENACKIEJ"/>
            </w:pPr>
            <w:r>
              <w:t>b)</w:t>
            </w:r>
            <w:r>
              <w:tab/>
              <w:t>w pkt 4, w ust. 1:</w:t>
            </w:r>
          </w:p>
          <w:p w14:paraId="3915A2D7" w14:textId="77777777" w:rsidR="00FF2F8D" w:rsidRPr="00FF2F8D" w:rsidRDefault="00FF2F8D" w:rsidP="00FF2F8D">
            <w:pPr>
              <w:pStyle w:val="TIRETWUCHWALESENACKIEJ"/>
            </w:pPr>
            <w:r>
              <w:t>–</w:t>
            </w:r>
            <w:r>
              <w:tab/>
              <w:t>w pkt 1 wyraz „oraz” zastępuje się wyrazem „albo”,</w:t>
            </w:r>
          </w:p>
          <w:p w14:paraId="0E14EBB9" w14:textId="77777777" w:rsidR="00FF2F8D" w:rsidRPr="00FF2F8D" w:rsidRDefault="00FF2F8D" w:rsidP="00FF2F8D">
            <w:pPr>
              <w:pStyle w:val="TIRETWUCHWALESENACKIEJ"/>
            </w:pPr>
            <w:r>
              <w:t>–</w:t>
            </w:r>
            <w:r>
              <w:tab/>
              <w:t>w pkt 2 wyraz „lub” zastępuje się wyrazem „albo”,</w:t>
            </w:r>
          </w:p>
          <w:p w14:paraId="53A3D4F9" w14:textId="77777777" w:rsidR="00FF2F8D" w:rsidRPr="00FF2F8D" w:rsidRDefault="00FF2F8D" w:rsidP="00FF2F8D">
            <w:pPr>
              <w:pStyle w:val="LITERAWUCHWALESENACKIEJ"/>
            </w:pPr>
            <w:r>
              <w:t>c)</w:t>
            </w:r>
            <w:r>
              <w:tab/>
              <w:t>w pkt 6, w ust. 2:</w:t>
            </w:r>
          </w:p>
          <w:p w14:paraId="4F2E3A36" w14:textId="77777777" w:rsidR="00FF2F8D" w:rsidRPr="00FF2F8D" w:rsidRDefault="00FF2F8D" w:rsidP="00FF2F8D">
            <w:pPr>
              <w:pStyle w:val="TIRETWUCHWALESENACKIEJ"/>
            </w:pPr>
            <w:r>
              <w:t>–</w:t>
            </w:r>
            <w:r>
              <w:tab/>
              <w:t>w pkt 1 wyraz „oraz” zastępuje się wyrazem „albo”,</w:t>
            </w:r>
          </w:p>
          <w:p w14:paraId="03CC6955" w14:textId="3B7BF6B8" w:rsidR="000A156A" w:rsidRDefault="00FF2F8D" w:rsidP="00FF2F8D">
            <w:pPr>
              <w:pStyle w:val="TIRETWUCHWALESENACKIEJ"/>
            </w:pPr>
            <w:r>
              <w:t>–</w:t>
            </w:r>
            <w:r>
              <w:tab/>
              <w:t>w pkt 2 wyraz „lub” zastępuje się wyrazem „albo”;</w:t>
            </w:r>
          </w:p>
        </w:tc>
      </w:tr>
      <w:tr w:rsidR="000A156A" w:rsidRPr="00B528A4" w14:paraId="383C78C7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AB1959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9BFD46B" w14:textId="77777777" w:rsidR="00FF2F8D" w:rsidRPr="00FF2F8D" w:rsidRDefault="00FF2F8D" w:rsidP="00FF2F8D">
            <w:pPr>
              <w:pStyle w:val="TREPUNKTUWUCHWALESENACKIEJ"/>
            </w:pPr>
            <w:r>
              <w:t>art. 7 otrzymuje brzmienie:</w:t>
            </w:r>
          </w:p>
          <w:p w14:paraId="3FF86B63" w14:textId="1F44BC27" w:rsidR="000A156A" w:rsidRDefault="00FF2F8D" w:rsidP="00FF2F8D">
            <w:pPr>
              <w:pStyle w:val="ARTartustawynprozporzdzenia"/>
            </w:pPr>
            <w:r>
              <w:t xml:space="preserve">„Art. 7. </w:t>
            </w:r>
            <w:r w:rsidRPr="00FF2F8D">
              <w:t>Do wniosków, zawiadomień i informacji złożonych albo przekazanych na podstawie ustaw zmienianych w art. 1–6 przed dniem wejścia w życie niniejszej ustawy stosuje się przepisy dotychczasowe.”.</w:t>
            </w:r>
          </w:p>
        </w:tc>
      </w:tr>
    </w:tbl>
    <w:p w14:paraId="5B428765" w14:textId="078687F1" w:rsidR="00912118" w:rsidRDefault="00912118" w:rsidP="00A054FD">
      <w:pPr>
        <w:pStyle w:val="POPIERAJCYPOPRAWKZAMIESZCZONWZESTAWIENIUWNIOSKW"/>
      </w:pPr>
    </w:p>
    <w:p w14:paraId="4F19DC67" w14:textId="2E292992" w:rsidR="00DF5874" w:rsidRDefault="00DF5874" w:rsidP="00A054FD">
      <w:pPr>
        <w:pStyle w:val="POPIERAJCYPOPRAWKZAMIESZCZONWZESTAWIENIUWNIOSKW"/>
      </w:pPr>
    </w:p>
    <w:p w14:paraId="7C2C8AD2" w14:textId="53D690C0" w:rsidR="00DF5874" w:rsidRDefault="00DF5874" w:rsidP="00A054FD">
      <w:pPr>
        <w:pStyle w:val="POPIERAJCYPOPRAWKZAMIESZCZONWZESTAWIENIUWNIOSKW"/>
      </w:pPr>
    </w:p>
    <w:p w14:paraId="66CBF604" w14:textId="77777777" w:rsidR="00DF5874" w:rsidRDefault="00DF5874" w:rsidP="00DF5874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39A9DE68" w14:textId="77777777" w:rsidR="00DF5874" w:rsidRDefault="00DF5874" w:rsidP="00DF5874">
      <w:pPr>
        <w:ind w:left="5103" w:firstLine="4"/>
        <w:rPr>
          <w:rStyle w:val="Ppogrubienie"/>
          <w:color w:val="000000" w:themeColor="text1"/>
        </w:rPr>
      </w:pPr>
    </w:p>
    <w:p w14:paraId="44C60549" w14:textId="77777777" w:rsidR="00DF5874" w:rsidRDefault="00DF5874" w:rsidP="00DF5874">
      <w:pPr>
        <w:ind w:left="5103" w:firstLine="4"/>
        <w:rPr>
          <w:rStyle w:val="Ppogrubienie"/>
          <w:color w:val="000000" w:themeColor="text1"/>
        </w:rPr>
      </w:pPr>
    </w:p>
    <w:p w14:paraId="7BC5A2A0" w14:textId="77777777" w:rsidR="00DF5874" w:rsidRDefault="00DF5874" w:rsidP="00DF5874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2012DD14" w14:textId="77777777" w:rsidR="00DF5874" w:rsidRDefault="00DF5874" w:rsidP="00A054FD">
      <w:pPr>
        <w:pStyle w:val="POPIERAJCYPOPRAWKZAMIESZCZONWZESTAWIENIUWNIOSKW"/>
        <w:sectPr w:rsidR="00DF5874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3CBF992D" w14:textId="77777777" w:rsidR="00DF5874" w:rsidRDefault="00DF5874" w:rsidP="00317A42">
      <w:pPr>
        <w:pStyle w:val="OZNRODZAKTUtznustawalubrozporzdzenieiorganwydajcy"/>
      </w:pPr>
      <w:r>
        <w:lastRenderedPageBreak/>
        <w:t>uzasadnienie</w:t>
      </w:r>
    </w:p>
    <w:p w14:paraId="1D64216D" w14:textId="77777777" w:rsidR="00DF5874" w:rsidRDefault="00DF5874" w:rsidP="00317A42">
      <w:pPr>
        <w:pStyle w:val="DATAAKTUdatauchwalenialubwydaniaaktu"/>
      </w:pPr>
    </w:p>
    <w:p w14:paraId="2563106A" w14:textId="77777777" w:rsidR="00DF5874" w:rsidRDefault="00DF5874" w:rsidP="00317A42">
      <w:pPr>
        <w:pStyle w:val="NIEARTTEKSTtekstnieartykuowanynppodstprawnarozplubpreambua"/>
      </w:pPr>
      <w:r>
        <w:t xml:space="preserve">Na posiedzeniu w dniu 8 lipca 2026 r. Senat rozpatrzył ustawę </w:t>
      </w:r>
      <w:r w:rsidRPr="00234382">
        <w:t>o zmianie niektórych ustaw w związku z opłatami uiszczanymi na rzecz Komisji Nadzoru Finansowego</w:t>
      </w:r>
      <w:r>
        <w:t xml:space="preserve"> i uchwalił do niej 6 poprawek.</w:t>
      </w:r>
    </w:p>
    <w:p w14:paraId="647986BA" w14:textId="77777777" w:rsidR="00DF5874" w:rsidRPr="00B92D36" w:rsidRDefault="00DF5874" w:rsidP="00B92D36">
      <w:pPr>
        <w:pStyle w:val="ARTartustawynprozporzdzenia"/>
      </w:pPr>
      <w:r>
        <w:t>W</w:t>
      </w:r>
      <w:r w:rsidRPr="00B92D36">
        <w:t xml:space="preserve"> związku z tym, że wniosek, o którym mowa w nowelizowanym art. 26 ust. 1</w:t>
      </w:r>
      <w:r>
        <w:t xml:space="preserve"> ustawy</w:t>
      </w:r>
      <w:r w:rsidRPr="00B92D36">
        <w:t xml:space="preserve"> z</w:t>
      </w:r>
      <w:r>
        <w:t> </w:t>
      </w:r>
      <w:r w:rsidRPr="00B92D36">
        <w:t>dnia 26</w:t>
      </w:r>
      <w:r>
        <w:t> </w:t>
      </w:r>
      <w:r w:rsidRPr="00B92D36">
        <w:t>października 2000 r. o giełdach towarowych</w:t>
      </w:r>
      <w:r>
        <w:t xml:space="preserve"> (art. 1 pkt 3 noweli)</w:t>
      </w:r>
      <w:r w:rsidRPr="00B92D36">
        <w:t>, dotyczy zezwolenia albo zgody, przewidzianych zmienianą ustawą (w ustawie nie przewidziano wniosku dotyczącego zarówno zezwolenia, jak i zgody) oraz mając na względzie zmieniany art. 236 ust.</w:t>
      </w:r>
      <w:r>
        <w:t> </w:t>
      </w:r>
      <w:r w:rsidRPr="00B92D36">
        <w:t>1 ustawy z dnia 27</w:t>
      </w:r>
      <w:r>
        <w:t xml:space="preserve"> </w:t>
      </w:r>
      <w:r w:rsidRPr="00B92D36">
        <w:t xml:space="preserve">maja 2004 r. o funduszach inwestycyjnych i zarządzaniu alternatywnymi funduszami inwestycyjnymi (art. 2 pkt 2 lit. a noweli), </w:t>
      </w:r>
      <w:r w:rsidRPr="00B92D36">
        <w:rPr>
          <w:rStyle w:val="Ppogrubienie"/>
        </w:rPr>
        <w:t>uchwalono poprawkę nr 1</w:t>
      </w:r>
      <w:r>
        <w:t xml:space="preserve">. </w:t>
      </w:r>
      <w:r w:rsidRPr="00B92D36">
        <w:t>Analogicznej korekty należy dokonać w zmienianych:</w:t>
      </w:r>
    </w:p>
    <w:p w14:paraId="25326DB5" w14:textId="77777777" w:rsidR="00DF5874" w:rsidRPr="00B92D36" w:rsidRDefault="00DF5874" w:rsidP="00B92D36">
      <w:pPr>
        <w:pStyle w:val="PKTpunkt"/>
      </w:pPr>
      <w:r>
        <w:t>1</w:t>
      </w:r>
      <w:r w:rsidRPr="00B92D36">
        <w:t>)</w:t>
      </w:r>
      <w:r w:rsidRPr="00B92D36">
        <w:tab/>
        <w:t>art. 162 ust. 1 ustawy z dnia 29 lipca 2005 r. o obrocie instrumentami finansowymi (art.</w:t>
      </w:r>
      <w:r>
        <w:t> </w:t>
      </w:r>
      <w:r w:rsidRPr="00B92D36">
        <w:t>3 pkt 1 noweli) oraz dodawanym do tego artykułu ust. 8a (art. 3 pkt 3 noweli), oraz</w:t>
      </w:r>
    </w:p>
    <w:p w14:paraId="1AA76DF5" w14:textId="77777777" w:rsidR="00DF5874" w:rsidRPr="00B92D36" w:rsidRDefault="00DF5874" w:rsidP="00B92D36">
      <w:pPr>
        <w:pStyle w:val="PKTpunkt"/>
      </w:pPr>
      <w:r>
        <w:t>2</w:t>
      </w:r>
      <w:r w:rsidRPr="00B92D36">
        <w:t>)</w:t>
      </w:r>
      <w:r w:rsidRPr="00B92D36">
        <w:tab/>
        <w:t>art. 93 ustawy z dnia 29 lipca 2005 r. o ofercie publicznej i warunkach wprowadzania instrumentów finansowych do zorganizowanego systemu obrotu oraz o spółkach publicznych (art. 4 pkt 1 noweli)</w:t>
      </w:r>
      <w:r>
        <w:t xml:space="preserve"> – </w:t>
      </w:r>
      <w:r w:rsidRPr="00B92D36">
        <w:rPr>
          <w:rStyle w:val="Ppogrubienie"/>
        </w:rPr>
        <w:t>poprawki nr 3 i 4</w:t>
      </w:r>
      <w:r>
        <w:t>.</w:t>
      </w:r>
    </w:p>
    <w:p w14:paraId="24320222" w14:textId="77777777" w:rsidR="00DF5874" w:rsidRPr="00B92D36" w:rsidRDefault="00DF5874" w:rsidP="00B92D36">
      <w:pPr>
        <w:pStyle w:val="ARTartustawynprozporzdzenia"/>
      </w:pPr>
      <w:r>
        <w:t>Przepisy</w:t>
      </w:r>
      <w:r w:rsidRPr="00B92D36">
        <w:t xml:space="preserve"> art. 236 ust. 1, 1b, 2 i 2k ustaw</w:t>
      </w:r>
      <w:r>
        <w:t>y</w:t>
      </w:r>
      <w:r w:rsidRPr="00B92D36">
        <w:t xml:space="preserve"> z dnia 27 maja 2004 r. o funduszach inwestycyjnych i zarządzaniu alternatywnymi funduszami inwestycyjnymi</w:t>
      </w:r>
      <w:r>
        <w:t xml:space="preserve"> (art. 2 pkt 2 noweli)</w:t>
      </w:r>
      <w:r w:rsidRPr="00B92D36">
        <w:t xml:space="preserve"> wymagają uporządkowania. W nowelizowanych ust. 1 i 1b niepotrzebnie wskazano podmiot udzielający zezwolenia albo zgody. W innych analogicznych przepisach nie określa się takiego organu. Istotą tych przepisów nie jest bowiem określenie organu właściwego do załatwienia sprawy, ale przesądzenie o odpłatności wniosku, którego przepis dotyczy.</w:t>
      </w:r>
    </w:p>
    <w:p w14:paraId="2D8899AF" w14:textId="77777777" w:rsidR="00DF5874" w:rsidRPr="00B92D36" w:rsidRDefault="00DF5874" w:rsidP="00B92D36">
      <w:pPr>
        <w:pStyle w:val="ARTartustawynprozporzdzenia"/>
      </w:pPr>
      <w:r>
        <w:t>W</w:t>
      </w:r>
      <w:r w:rsidRPr="00B92D36">
        <w:t xml:space="preserve"> </w:t>
      </w:r>
      <w:r>
        <w:t>nowelizowanym ust. 2 należy</w:t>
      </w:r>
      <w:r w:rsidRPr="00B92D36">
        <w:t xml:space="preserve"> </w:t>
      </w:r>
      <w:r>
        <w:t>wy</w:t>
      </w:r>
      <w:r w:rsidRPr="00B92D36">
        <w:t>elimin</w:t>
      </w:r>
      <w:r>
        <w:t>ować</w:t>
      </w:r>
      <w:r w:rsidRPr="00B92D36">
        <w:t xml:space="preserve"> wątpliwość czy opłata z tytułu złożenia zawiadomienia, o którym mowa w art. 253 ust. 1</w:t>
      </w:r>
      <w:r w:rsidRPr="00437B8E">
        <w:t xml:space="preserve"> ustawy z dnia 27 maja 2004 r. o funduszach inwestycyjnych i zarządzaniu alternatywnymi funduszami inwestycyjnymi</w:t>
      </w:r>
      <w:r w:rsidRPr="00B92D36">
        <w:t>, może być uiszczana w części przez fundusz zagraniczny</w:t>
      </w:r>
      <w:r>
        <w:t>,</w:t>
      </w:r>
      <w:r w:rsidRPr="00B92D36">
        <w:t xml:space="preserve"> </w:t>
      </w:r>
      <w:r>
        <w:t>a</w:t>
      </w:r>
      <w:r w:rsidRPr="00B92D36">
        <w:t xml:space="preserve"> w części przez fundusz inwestycyjny otwarty z siedzibą w państwie należącym do EEA. Użyty w przepisie spójnik alternatywy łącznej może prowadzić do wniosku, że jest to możliwe.</w:t>
      </w:r>
      <w:r w:rsidRPr="00437B8E">
        <w:t xml:space="preserve"> </w:t>
      </w:r>
      <w:r>
        <w:t xml:space="preserve">W ocenie Senatu intencją ustawodawcy jest, aby opłata była uiszczana w całości przez jeden podmiot. W nowelizowanym </w:t>
      </w:r>
      <w:r w:rsidRPr="00B92D36">
        <w:t>ust. 2 należy</w:t>
      </w:r>
      <w:r>
        <w:t xml:space="preserve"> także</w:t>
      </w:r>
      <w:r w:rsidRPr="00B92D36">
        <w:t xml:space="preserve"> skreślić wyraz „odpowiednio” jako niemający wartości normatywnej</w:t>
      </w:r>
      <w:r>
        <w:t>.</w:t>
      </w:r>
    </w:p>
    <w:p w14:paraId="6C7CA56A" w14:textId="77777777" w:rsidR="00DF5874" w:rsidRDefault="00DF5874" w:rsidP="00B92D36">
      <w:pPr>
        <w:pStyle w:val="ARTartustawynprozporzdzenia"/>
      </w:pPr>
      <w:r w:rsidRPr="00B92D36">
        <w:lastRenderedPageBreak/>
        <w:t xml:space="preserve">Korekty wymaga również ust. 2k. Przepis ten powinien być sformułowany analogicznie do innych dodawanych przepisów, które przewidują obowiązek udokumentowania faktu wniesienia opłaty. W proponowanym </w:t>
      </w:r>
      <w:r>
        <w:t>przez Senat</w:t>
      </w:r>
      <w:r w:rsidRPr="00B92D36">
        <w:t xml:space="preserve"> brzmieniu ust. 2k</w:t>
      </w:r>
      <w:r>
        <w:t xml:space="preserve"> </w:t>
      </w:r>
      <w:r w:rsidRPr="00B92D36">
        <w:t xml:space="preserve">skorygowano </w:t>
      </w:r>
      <w:r>
        <w:t xml:space="preserve">także </w:t>
      </w:r>
      <w:r w:rsidRPr="00B92D36">
        <w:t>odesłanie</w:t>
      </w:r>
      <w:r>
        <w:t>. P</w:t>
      </w:r>
      <w:r w:rsidRPr="00B92D36">
        <w:t>rzepis ten nie powinien odsyłać do ust. 1a pkt 1, który nie stanowi podstawy prawnej obowiązku wniesienia opłaty, ale wprowadza odstępstwo co do jej wysokości w</w:t>
      </w:r>
      <w:r>
        <w:t> </w:t>
      </w:r>
      <w:r w:rsidRPr="00B92D36">
        <w:t>przypadku towarzystwa</w:t>
      </w:r>
      <w:r>
        <w:t>.</w:t>
      </w:r>
    </w:p>
    <w:p w14:paraId="04E2C15B" w14:textId="77777777" w:rsidR="00DF5874" w:rsidRPr="00B92D36" w:rsidRDefault="00DF5874" w:rsidP="00437B8E">
      <w:pPr>
        <w:pStyle w:val="ARTartustawynprozporzdzenia"/>
      </w:pPr>
      <w:r>
        <w:t xml:space="preserve">Mając powyższe na względzie, uchwalono </w:t>
      </w:r>
      <w:r w:rsidRPr="00437B8E">
        <w:rPr>
          <w:rStyle w:val="Ppogrubienie"/>
        </w:rPr>
        <w:t>poprawkę nr 2</w:t>
      </w:r>
      <w:r>
        <w:t xml:space="preserve">. </w:t>
      </w:r>
    </w:p>
    <w:p w14:paraId="0A207EA1" w14:textId="77777777" w:rsidR="00DF5874" w:rsidRPr="00B92D36" w:rsidRDefault="00DF5874" w:rsidP="00B92D36">
      <w:pPr>
        <w:pStyle w:val="ARTartustawynprozporzdzenia"/>
      </w:pPr>
      <w:r>
        <w:t xml:space="preserve">Nowelizowane </w:t>
      </w:r>
      <w:r w:rsidRPr="00B92D36">
        <w:t>art. 114 ust. 1</w:t>
      </w:r>
      <w:r>
        <w:t xml:space="preserve">, </w:t>
      </w:r>
      <w:r w:rsidRPr="00B92D36">
        <w:t xml:space="preserve">art. 132zf ust. 1 i art. 132zj ust. 2 </w:t>
      </w:r>
      <w:r w:rsidRPr="006662A4">
        <w:t>ustaw</w:t>
      </w:r>
      <w:r>
        <w:t>y</w:t>
      </w:r>
      <w:r w:rsidRPr="006662A4">
        <w:t xml:space="preserve"> z dnia 19 sierpnia 2011 r. o usługach płatniczych </w:t>
      </w:r>
      <w:r>
        <w:t>(</w:t>
      </w:r>
      <w:r w:rsidRPr="006662A4">
        <w:t>art. 5 pkt 2, 4 i 6</w:t>
      </w:r>
      <w:r>
        <w:t xml:space="preserve"> noweli)</w:t>
      </w:r>
      <w:r w:rsidRPr="00B92D36">
        <w:t xml:space="preserve"> sugerują, że opłacie będzie podlegał wniosek o wydanie i zmianę określonego zezwolenia, przy czym takiego wniosku </w:t>
      </w:r>
      <w:r>
        <w:t xml:space="preserve">nowelizowana </w:t>
      </w:r>
      <w:r w:rsidRPr="00B92D36">
        <w:t>ustawa nie przewiduje. Wniosek dotyczy wydania zezwolenia albo jego zmiany. Mając na względzie § 5 pkt 1 Zasad techniki prawodawczej</w:t>
      </w:r>
      <w:r>
        <w:t>,</w:t>
      </w:r>
      <w:r w:rsidRPr="00B92D36">
        <w:t xml:space="preserve"> należy dokonać niżej zaproponowanej modyfikacji. Analogiczn</w:t>
      </w:r>
      <w:r>
        <w:t>a</w:t>
      </w:r>
      <w:r w:rsidRPr="00B92D36">
        <w:t xml:space="preserve"> </w:t>
      </w:r>
      <w:r>
        <w:t>uwaga</w:t>
      </w:r>
      <w:r w:rsidRPr="00B92D36">
        <w:t xml:space="preserve"> odnosi się do używanego w zmienianych przepisach sformułowania „wpis związany z wydaniem lub zmianą zezwolenia”. Konkretny (dany) wpis nie może wiązać się jednocześnie z wydaniem zezwolenia, jak i jego zmianą. Wpis wiąże się bowiem z wydaniem zezwolenia albo jego zmianą.</w:t>
      </w:r>
      <w:r>
        <w:t xml:space="preserve"> W celu uporządkowania zmienianych przepisów uchwalono </w:t>
      </w:r>
      <w:r w:rsidRPr="006662A4">
        <w:rPr>
          <w:rStyle w:val="Ppogrubienie"/>
        </w:rPr>
        <w:t>poprawkę nr 5</w:t>
      </w:r>
      <w:r>
        <w:t>.</w:t>
      </w:r>
    </w:p>
    <w:p w14:paraId="1BA68D4E" w14:textId="77777777" w:rsidR="00DF5874" w:rsidRPr="00B92D36" w:rsidRDefault="00DF5874" w:rsidP="00B92D36">
      <w:pPr>
        <w:pStyle w:val="ARTartustawynprozporzdzenia"/>
      </w:pPr>
      <w:r>
        <w:t xml:space="preserve">W </w:t>
      </w:r>
      <w:r w:rsidRPr="00B92D36">
        <w:t>związku z tym, że nowelizacja ustawy z dnia 29 lipca 2005 r. o obrocie instrumentami finansowymi, w następstwie dodania do art. 162 tej ustawy</w:t>
      </w:r>
      <w:r w:rsidRPr="006662A4">
        <w:t xml:space="preserve"> </w:t>
      </w:r>
      <w:r w:rsidRPr="00B92D36">
        <w:t>ust. 14, dotyczy również opłat z</w:t>
      </w:r>
      <w:r>
        <w:t> </w:t>
      </w:r>
      <w:r w:rsidRPr="00B92D36">
        <w:t>tytułu przekazania informacji, o których mowa w art. 21 ust. 3b oraz art. 117 ust. 3b pkt 2 wymienionej ustawy, w przepisie przejściowym (art. 7 noweli) należy przesądzić wpływ nowelizacji na problematykę opłat w odniesieniu do informacji przekazanych przed dniem wejścia w życie ustawy, w przypadku gdy przed tym dniem nie upłynęły terminy na dokonanie przez Komisję Nadzoru Finansowego określonych czynności w ramach nadzoru, przewidziane w art. 21 ust. 3c i art. 117 ust. 3b pkt 2.</w:t>
      </w:r>
    </w:p>
    <w:p w14:paraId="5F87A042" w14:textId="77777777" w:rsidR="00DF5874" w:rsidRPr="00B92D36" w:rsidRDefault="00DF5874" w:rsidP="00B92D36">
      <w:pPr>
        <w:pStyle w:val="ARTartustawynprozporzdzenia"/>
      </w:pPr>
      <w:r w:rsidRPr="00B92D36">
        <w:t>W przypadku nierozstrzygnięcia tej kwestii w sposób analogiczny do tego, jak to</w:t>
      </w:r>
      <w:r>
        <w:t> </w:t>
      </w:r>
      <w:r w:rsidRPr="00B92D36">
        <w:t>uregulowano w odniesieniu do wniosków i zawiadomień (stosowanie przepisów dotychczasowych do wniosków i zawiadomień złożonych przed dniem wejścia w życie ustawy), należ</w:t>
      </w:r>
      <w:r>
        <w:t>y</w:t>
      </w:r>
      <w:r w:rsidRPr="00B92D36">
        <w:t xml:space="preserve"> przyjąć, że do takich informacji będzie się stosowa</w:t>
      </w:r>
      <w:r>
        <w:t>ło</w:t>
      </w:r>
      <w:r w:rsidRPr="00B92D36">
        <w:t xml:space="preserve"> przepisy nowe. Tym</w:t>
      </w:r>
      <w:r>
        <w:t> </w:t>
      </w:r>
      <w:r w:rsidRPr="00B92D36">
        <w:t xml:space="preserve">samym z dniem wejścia w życie ustawy pojawi się pytanie, w jaki sposób zastosować nowy art. 162 ust. 14 do informacji przekazanych przed tym dniem i jakie będą skutki niezastosowania tego przepisu w odniesieniu do podmiotu, którego dotyczy informacja, </w:t>
      </w:r>
      <w:r w:rsidRPr="00B92D36">
        <w:lastRenderedPageBreak/>
        <w:t>oraz</w:t>
      </w:r>
      <w:r>
        <w:t xml:space="preserve"> do </w:t>
      </w:r>
      <w:r w:rsidRPr="00B92D36">
        <w:t>Komisji Nadzoru Finansowego, która w związku z informacją dokonuje określonych czynności w ramach nadzoru.</w:t>
      </w:r>
      <w:r>
        <w:t xml:space="preserve"> Senat uznał – z</w:t>
      </w:r>
      <w:r w:rsidRPr="00B92D36">
        <w:t>akładając racjonalność ustawodawcy</w:t>
      </w:r>
      <w:r>
        <w:t xml:space="preserve"> –</w:t>
      </w:r>
      <w:r w:rsidRPr="00B92D36">
        <w:t xml:space="preserve"> </w:t>
      </w:r>
      <w:r>
        <w:t>że </w:t>
      </w:r>
      <w:r w:rsidRPr="00B92D36">
        <w:t>do</w:t>
      </w:r>
      <w:r>
        <w:t> </w:t>
      </w:r>
      <w:r w:rsidRPr="00B92D36">
        <w:t>informacji, o</w:t>
      </w:r>
      <w:r>
        <w:t xml:space="preserve"> </w:t>
      </w:r>
      <w:r w:rsidRPr="00B92D36">
        <w:t xml:space="preserve">których mowa wyżej, </w:t>
      </w:r>
      <w:r>
        <w:t xml:space="preserve">powinny być </w:t>
      </w:r>
      <w:r w:rsidRPr="00B92D36">
        <w:t>stosowan</w:t>
      </w:r>
      <w:r>
        <w:t>e</w:t>
      </w:r>
      <w:r w:rsidRPr="00B92D36">
        <w:t xml:space="preserve"> przepisy dotychczasowe</w:t>
      </w:r>
      <w:r>
        <w:t>. Tym samym proponuje on rozwiązanie analogiczne do przyjętego w odniesieniu do</w:t>
      </w:r>
      <w:r w:rsidRPr="00B92D36">
        <w:t xml:space="preserve"> wniosków i</w:t>
      </w:r>
      <w:r>
        <w:t> </w:t>
      </w:r>
      <w:r w:rsidRPr="00B92D36">
        <w:t>zawiadomień</w:t>
      </w:r>
      <w:r>
        <w:t xml:space="preserve"> (</w:t>
      </w:r>
      <w:r w:rsidRPr="006662A4">
        <w:rPr>
          <w:rStyle w:val="Ppogrubienie"/>
        </w:rPr>
        <w:t>poprawka nr 6</w:t>
      </w:r>
      <w:r>
        <w:t>)</w:t>
      </w:r>
      <w:r w:rsidRPr="00B92D36">
        <w:t>.</w:t>
      </w:r>
    </w:p>
    <w:p w14:paraId="697BF655" w14:textId="550AF2D6" w:rsidR="00DF5874" w:rsidRPr="00737F6A" w:rsidRDefault="00DF5874" w:rsidP="00A054FD">
      <w:pPr>
        <w:pStyle w:val="POPIERAJCYPOPRAWKZAMIESZCZONWZESTAWIENIUWNIOSKW"/>
      </w:pPr>
    </w:p>
    <w:sectPr w:rsidR="00DF5874" w:rsidRPr="00737F6A" w:rsidSect="00DF5874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C7C4" w14:textId="77777777" w:rsidR="00CA3B0A" w:rsidRDefault="00CA3B0A">
      <w:r>
        <w:separator/>
      </w:r>
    </w:p>
  </w:endnote>
  <w:endnote w:type="continuationSeparator" w:id="0">
    <w:p w14:paraId="127E3D1D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1385" w14:textId="77777777" w:rsidR="00CA3B0A" w:rsidRDefault="00CA3B0A">
      <w:r>
        <w:separator/>
      </w:r>
    </w:p>
  </w:footnote>
  <w:footnote w:type="continuationSeparator" w:id="0">
    <w:p w14:paraId="4C7D0D29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30D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E34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3B9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19A0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5B60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3FA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1276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77625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26D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5874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2F8D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A93A0"/>
  <w15:docId w15:val="{6556CFB7-5E7B-40F7-82AA-EBE772C9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874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6051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Witkowska Klaudia</cp:lastModifiedBy>
  <cp:revision>2</cp:revision>
  <cp:lastPrinted>2026-07-08T09:24:00Z</cp:lastPrinted>
  <dcterms:created xsi:type="dcterms:W3CDTF">2026-07-09T10:06:00Z</dcterms:created>
  <dcterms:modified xsi:type="dcterms:W3CDTF">2026-07-09T10:06:00Z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