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F5A69" w14:textId="77777777" w:rsidR="00912118" w:rsidRPr="00E000DC" w:rsidRDefault="00912118" w:rsidP="00912118">
      <w:pPr>
        <w:pStyle w:val="OZNRODZAKTUtznustawalubrozporzdzenieiorganwydajcy"/>
      </w:pPr>
      <w:r w:rsidRPr="00912118">
        <w:t>UCHWAŁA</w:t>
      </w:r>
    </w:p>
    <w:p w14:paraId="34EC6E7F" w14:textId="77777777" w:rsidR="00912118" w:rsidRPr="00E000DC" w:rsidRDefault="00912118" w:rsidP="00912118">
      <w:pPr>
        <w:pStyle w:val="OZNRODZAKTUtznustawalubrozporzdzenieiorganwydajcy"/>
      </w:pPr>
      <w:r w:rsidRPr="00E000DC">
        <w:t>SENATU RZECZYPOSPOLITEJ POLSKIEJ</w:t>
      </w:r>
    </w:p>
    <w:p w14:paraId="6D57DDD1" w14:textId="398F56A6" w:rsidR="00912118" w:rsidRPr="00E000DC" w:rsidRDefault="00912118" w:rsidP="00912118">
      <w:pPr>
        <w:pStyle w:val="DATAAKTUdatauchwalenialubwydaniaaktu"/>
      </w:pPr>
      <w:r w:rsidRPr="00E000DC">
        <w:t>z dnia</w:t>
      </w:r>
      <w:r w:rsidR="008F40C5">
        <w:t xml:space="preserve"> </w:t>
      </w:r>
      <w:r w:rsidR="00552A1F">
        <w:t>8 lipca 2026 r.</w:t>
      </w:r>
    </w:p>
    <w:p w14:paraId="5EE59967" w14:textId="33B80FAD" w:rsidR="00912118" w:rsidRPr="00E000DC" w:rsidRDefault="008F40C5" w:rsidP="00912118">
      <w:pPr>
        <w:pStyle w:val="TYTUAKTUprzedmiotregulacjiustawylubrozporzdzenia"/>
      </w:pPr>
      <w:r>
        <w:t>w sprawie ustawy o</w:t>
      </w:r>
      <w:r w:rsidR="00CF4DE9" w:rsidRPr="00CF4DE9">
        <w:t xml:space="preserve"> zmianie ustawy o zastawie rejestrowym i rejestrze zastawów oraz</w:t>
      </w:r>
      <w:r w:rsidR="00855CD0">
        <w:t> </w:t>
      </w:r>
      <w:r w:rsidR="00CF4DE9" w:rsidRPr="00CF4DE9">
        <w:t>ustawy – Prawo o ruchu drogowym</w:t>
      </w:r>
    </w:p>
    <w:p w14:paraId="293AF5A3" w14:textId="41D3DEEC" w:rsidR="00912118" w:rsidRDefault="00912118" w:rsidP="00912118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 w:rsidR="00CF4DE9" w:rsidRPr="00CF4DE9">
        <w:t xml:space="preserve">19 czerwca 2026 </w:t>
      </w:r>
      <w:r w:rsidRPr="00E000DC">
        <w:t xml:space="preserve">r. ustawy o </w:t>
      </w:r>
      <w:r w:rsidR="00CF4DE9" w:rsidRPr="00CF4DE9">
        <w:t>zmianie ustawy o zastawie rejestrowym i rejestrze zastawów oraz ustawy – Prawo o</w:t>
      </w:r>
      <w:r w:rsidR="00CF4DE9">
        <w:t> </w:t>
      </w:r>
      <w:r w:rsidR="00CF4DE9" w:rsidRPr="00CF4DE9">
        <w:t>ruchu drogowym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912118" w:rsidRPr="00B528A4" w14:paraId="6F5EE226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5EE334C" w14:textId="77777777" w:rsidR="00912118" w:rsidRPr="00B528A4" w:rsidRDefault="00912118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E32D695" w14:textId="0B1B7AB7" w:rsidR="00912118" w:rsidRPr="00B528A4" w:rsidRDefault="00CF4DE9" w:rsidP="000F57AC">
            <w:pPr>
              <w:pStyle w:val="TREPUNKTUWUCHWALESENACKIEJ"/>
            </w:pPr>
            <w:r w:rsidRPr="00CF4DE9">
              <w:t>w art. 1 w pkt 3, w ust. 1 wyraz „zastrzeżeniem” zastępuje się wyrazami „wyjątkiem określonym w”;</w:t>
            </w:r>
          </w:p>
        </w:tc>
      </w:tr>
      <w:tr w:rsidR="000A156A" w:rsidRPr="00B528A4" w14:paraId="18BF6CC1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616CBB6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391BAFD" w14:textId="1D9C7430" w:rsidR="000A156A" w:rsidRDefault="00CF4DE9" w:rsidP="000F57AC">
            <w:pPr>
              <w:pStyle w:val="TREPUNKTUWUCHWALESENACKIEJ"/>
            </w:pPr>
            <w:r>
              <w:t>w art. 1 w pkt 6, w ust. 2c skreśla się wyraz „rejestrowy”;</w:t>
            </w:r>
          </w:p>
        </w:tc>
      </w:tr>
      <w:tr w:rsidR="000A156A" w:rsidRPr="00B528A4" w14:paraId="6EAC1699" w14:textId="77777777" w:rsidTr="00912118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2BBF0B9" w14:textId="77777777" w:rsidR="000A156A" w:rsidRPr="00B528A4" w:rsidRDefault="000A156A" w:rsidP="0091211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F0E9D0E" w14:textId="3594A895" w:rsidR="000A156A" w:rsidRDefault="00CF4DE9" w:rsidP="000F57AC">
            <w:pPr>
              <w:pStyle w:val="TREPUNKTUWUCHWALESENACKIEJ"/>
            </w:pPr>
            <w:r w:rsidRPr="00CF4DE9">
              <w:t>w art. 3 w ust. 1 wyrazy „W postępowaniach” zastępuje się wyrazami „Do</w:t>
            </w:r>
            <w:r>
              <w:t> </w:t>
            </w:r>
            <w:r w:rsidRPr="00CF4DE9">
              <w:t>postępowań”.</w:t>
            </w:r>
          </w:p>
        </w:tc>
      </w:tr>
    </w:tbl>
    <w:p w14:paraId="7E1961B3" w14:textId="77777777" w:rsidR="00B57C8D" w:rsidRDefault="00B57C8D" w:rsidP="00A054FD">
      <w:pPr>
        <w:pStyle w:val="POPIERAJCYPOPRAWKZAMIESZCZONWZESTAWIENIUWNIOSKW"/>
      </w:pPr>
    </w:p>
    <w:p w14:paraId="7D97CE21" w14:textId="77777777" w:rsidR="00B57C8D" w:rsidRDefault="00B57C8D" w:rsidP="00A054FD">
      <w:pPr>
        <w:pStyle w:val="POPIERAJCYPOPRAWKZAMIESZCZONWZESTAWIENIUWNIOSKW"/>
      </w:pPr>
    </w:p>
    <w:p w14:paraId="79564DCB" w14:textId="11D24FC0" w:rsidR="00B57C8D" w:rsidRDefault="00B57C8D" w:rsidP="00A054FD">
      <w:pPr>
        <w:pStyle w:val="POPIERAJCYPOPRAWKZAMIESZCZONWZESTAWIENIUWNIOSKW"/>
      </w:pPr>
    </w:p>
    <w:p w14:paraId="4C4A2AF4" w14:textId="545EA0F1" w:rsidR="00B57C8D" w:rsidRDefault="00B57C8D" w:rsidP="00A054FD">
      <w:pPr>
        <w:pStyle w:val="POPIERAJCYPOPRAWKZAMIESZCZONWZESTAWIENIUWNIOSKW"/>
      </w:pPr>
    </w:p>
    <w:p w14:paraId="4D511045" w14:textId="77777777" w:rsidR="00B57C8D" w:rsidRDefault="00B57C8D" w:rsidP="00A054FD">
      <w:pPr>
        <w:pStyle w:val="POPIERAJCYPOPRAWKZAMIESZCZONWZESTAWIENIUWNIOSKW"/>
      </w:pPr>
    </w:p>
    <w:p w14:paraId="6D91EACC" w14:textId="77777777" w:rsidR="00B57C8D" w:rsidRPr="007A36AD" w:rsidRDefault="00B57C8D" w:rsidP="00B57C8D">
      <w:pPr>
        <w:pStyle w:val="POPIERAJCYPOPRAWKZAMIESZCZONWZESTAWIENIUWNIOSKW"/>
        <w:rPr>
          <w:color w:val="000000" w:themeColor="text1"/>
        </w:rPr>
      </w:pPr>
    </w:p>
    <w:p w14:paraId="11E993A4" w14:textId="77777777" w:rsidR="00B57C8D" w:rsidRDefault="00B57C8D" w:rsidP="00B57C8D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48D1B40C" w14:textId="77777777" w:rsidR="00B57C8D" w:rsidRDefault="00B57C8D" w:rsidP="00B57C8D">
      <w:pPr>
        <w:ind w:left="5103" w:firstLine="4"/>
        <w:rPr>
          <w:rStyle w:val="Ppogrubienie"/>
          <w:color w:val="000000" w:themeColor="text1"/>
        </w:rPr>
      </w:pPr>
    </w:p>
    <w:p w14:paraId="2FF5166A" w14:textId="77777777" w:rsidR="00B57C8D" w:rsidRDefault="00B57C8D" w:rsidP="00B57C8D">
      <w:pPr>
        <w:ind w:left="5103" w:firstLine="4"/>
        <w:rPr>
          <w:rStyle w:val="Ppogrubienie"/>
          <w:color w:val="000000" w:themeColor="text1"/>
        </w:rPr>
      </w:pPr>
    </w:p>
    <w:p w14:paraId="6869A31E" w14:textId="77777777" w:rsidR="00B57C8D" w:rsidRDefault="00B57C8D" w:rsidP="00B57C8D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57A8D04D" w14:textId="77777777" w:rsidR="00B57C8D" w:rsidRDefault="00B57C8D" w:rsidP="00A054FD">
      <w:pPr>
        <w:pStyle w:val="POPIERAJCYPOPRAWKZAMIESZCZONWZESTAWIENIUWNIOSKW"/>
      </w:pPr>
    </w:p>
    <w:p w14:paraId="376ABD83" w14:textId="77777777" w:rsidR="00B57C8D" w:rsidRDefault="00B57C8D" w:rsidP="00A054FD">
      <w:pPr>
        <w:pStyle w:val="POPIERAJCYPOPRAWKZAMIESZCZONWZESTAWIENIUWNIOSKW"/>
      </w:pPr>
    </w:p>
    <w:p w14:paraId="38957B3E" w14:textId="024BF7B6" w:rsidR="00B57C8D" w:rsidRDefault="00B57C8D" w:rsidP="00A054FD">
      <w:pPr>
        <w:pStyle w:val="POPIERAJCYPOPRAWKZAMIESZCZONWZESTAWIENIUWNIOSKW"/>
        <w:sectPr w:rsidR="00B57C8D" w:rsidSect="001A7F15">
          <w:headerReference w:type="default" r:id="rId9"/>
          <w:footnotePr>
            <w:numRestart w:val="eachSect"/>
          </w:footnotePr>
          <w:pgSz w:w="11906" w:h="16838"/>
          <w:pgMar w:top="1560" w:right="1434" w:bottom="1560" w:left="1418" w:header="709" w:footer="709" w:gutter="0"/>
          <w:cols w:space="708"/>
          <w:titlePg/>
          <w:docGrid w:linePitch="254"/>
        </w:sectPr>
      </w:pPr>
    </w:p>
    <w:p w14:paraId="479C6020" w14:textId="77777777" w:rsidR="00B57C8D" w:rsidRDefault="00B57C8D" w:rsidP="00B57C8D">
      <w:pPr>
        <w:pStyle w:val="OZNRODZAKTUtznustawalubrozporzdzenieiorganwydajcy"/>
      </w:pPr>
      <w:r>
        <w:lastRenderedPageBreak/>
        <w:t>Uzasadnienie</w:t>
      </w:r>
    </w:p>
    <w:p w14:paraId="552077E7" w14:textId="77777777" w:rsidR="00B57C8D" w:rsidRDefault="00B57C8D" w:rsidP="00B57C8D">
      <w:pPr>
        <w:pStyle w:val="OZNRODZAKTUtznustawalubrozporzdzenieiorganwydajcy"/>
      </w:pPr>
    </w:p>
    <w:p w14:paraId="59A4AF4F" w14:textId="77777777" w:rsidR="00B57C8D" w:rsidRDefault="00B57C8D" w:rsidP="00B57C8D">
      <w:pPr>
        <w:pStyle w:val="NIEARTTEKSTtekstnieartykuowanynppodstprawnarozplubpreambua"/>
      </w:pPr>
      <w:r>
        <w:t xml:space="preserve">Na posiedzeniu w dniu 8 lipca 2026 r. Senat rozpatrzył ustawę </w:t>
      </w:r>
      <w:r w:rsidRPr="009F4787">
        <w:t>o zmianie ustawy o</w:t>
      </w:r>
      <w:r>
        <w:t> </w:t>
      </w:r>
      <w:r w:rsidRPr="009F4787">
        <w:t>zastawie rejestrowym i rejestrze zastawów oraz ustawy – Prawo o ruchu drogowym</w:t>
      </w:r>
      <w:r>
        <w:t xml:space="preserve"> i uchwalił do niej 3 poprawki.</w:t>
      </w:r>
    </w:p>
    <w:p w14:paraId="1DE6541A" w14:textId="77777777" w:rsidR="00B57C8D" w:rsidRPr="009F4787" w:rsidRDefault="00B57C8D" w:rsidP="00B57C8D">
      <w:pPr>
        <w:pStyle w:val="ARTartustawynprozporzdzenia"/>
      </w:pPr>
      <w:r>
        <w:t>W ocenie Senatu korekty legislacyjnej wymaga</w:t>
      </w:r>
      <w:r w:rsidRPr="009F4787">
        <w:t xml:space="preserve"> nowe brzmienie art. 19 ust. 1 (art. 1 pkt</w:t>
      </w:r>
      <w:r>
        <w:t> </w:t>
      </w:r>
      <w:r w:rsidRPr="009F4787">
        <w:t xml:space="preserve">3 noweli). Ustawodawca postanowił określić relację </w:t>
      </w:r>
      <w:r>
        <w:t>po</w:t>
      </w:r>
      <w:r w:rsidRPr="009F4787">
        <w:t>między regulacją zawartą w tym przepisie a regulacją dodawanego art. 41 ust. 2aa (art. 1 pkt 8 noweli), przy czym uczynił to niezgodnie z rekomendacjami nr 25 i 26 z 2011 r.</w:t>
      </w:r>
      <w:r>
        <w:rPr>
          <w:rStyle w:val="Odwoanieprzypisudolnego"/>
        </w:rPr>
        <w:footnoteReference w:id="1"/>
      </w:r>
      <w:r>
        <w:rPr>
          <w:rStyle w:val="IGindeksgrny"/>
        </w:rPr>
        <w:t>)</w:t>
      </w:r>
      <w:r w:rsidRPr="009F4787">
        <w:t xml:space="preserve"> Ustalono wówczas w szczególności, że:</w:t>
      </w:r>
    </w:p>
    <w:p w14:paraId="28351A3A" w14:textId="77777777" w:rsidR="00B57C8D" w:rsidRPr="009F4787" w:rsidRDefault="00B57C8D" w:rsidP="00B57C8D">
      <w:pPr>
        <w:pStyle w:val="PKTpunkt"/>
      </w:pPr>
      <w:r>
        <w:t>1</w:t>
      </w:r>
      <w:r w:rsidRPr="009F4787">
        <w:t>)</w:t>
      </w:r>
      <w:r w:rsidRPr="009F4787">
        <w:tab/>
        <w:t>odesłania „określające wzajemną relację przepisów formułuje się tylko wówczas, jeżeli relacja ta nie jest oczywista i istnieje prawdopodobieństwo, iż właściwa interpretacja normy byłaby utrudniona. (…) Wzajemna relacja przepisów powinna, co do zasady, wynikać z ich właściwego zamieszczenia w strukturze aktu normatywnego – § 23 ust. 3 Zasad techniki prawodawczej”;</w:t>
      </w:r>
    </w:p>
    <w:p w14:paraId="183BE011" w14:textId="77777777" w:rsidR="00B57C8D" w:rsidRPr="009F4787" w:rsidRDefault="00B57C8D" w:rsidP="00B57C8D">
      <w:pPr>
        <w:pStyle w:val="PKTpunkt"/>
      </w:pPr>
      <w:r>
        <w:t>2</w:t>
      </w:r>
      <w:r w:rsidRPr="009F4787">
        <w:t>)</w:t>
      </w:r>
      <w:r w:rsidRPr="009F4787">
        <w:tab/>
        <w:t>„[j]</w:t>
      </w:r>
      <w:proofErr w:type="spellStart"/>
      <w:r w:rsidRPr="009F4787">
        <w:t>eżeli</w:t>
      </w:r>
      <w:proofErr w:type="spellEnd"/>
      <w:r w:rsidRPr="009F4787">
        <w:t xml:space="preserve"> istnieje konieczność sformułowania zastrzeżenia wyłącznie w celu poinformowania adresata, iż w innym przepisie sformułowano wyjątek od normy, używa się wyrażenia </w:t>
      </w:r>
      <w:r w:rsidRPr="00802CAA">
        <w:rPr>
          <w:rStyle w:val="Kkursywa"/>
        </w:rPr>
        <w:t>z wyjątkiem</w:t>
      </w:r>
      <w:r w:rsidRPr="009F4787">
        <w:t xml:space="preserve"> …. Jeżeli istnieje konieczność sformułowania zastrzeżenia wyłącznie w celu poinformowania adresata, iż w innym przepisie sformułowano uszczegółowienie normy, używa się wyrażenia </w:t>
      </w:r>
      <w:r w:rsidRPr="00802CAA">
        <w:rPr>
          <w:rStyle w:val="Kkursywa"/>
        </w:rPr>
        <w:t>z uwzględnieniem</w:t>
      </w:r>
      <w:r w:rsidRPr="009F4787">
        <w:t xml:space="preserve"> …”.</w:t>
      </w:r>
    </w:p>
    <w:p w14:paraId="4C0F9A1B" w14:textId="77777777" w:rsidR="00B57C8D" w:rsidRPr="009F4787" w:rsidRDefault="00B57C8D" w:rsidP="00B57C8D">
      <w:pPr>
        <w:pStyle w:val="ARTartustawynprozporzdzenia"/>
      </w:pPr>
      <w:r>
        <w:t>W </w:t>
      </w:r>
      <w:r w:rsidRPr="009F4787">
        <w:t>związku z tym, że w</w:t>
      </w:r>
      <w:r>
        <w:t xml:space="preserve"> legislacyjnej</w:t>
      </w:r>
      <w:r w:rsidRPr="009F4787">
        <w:t xml:space="preserve"> praktyce technika odsyłania z użyciem wyrażenia </w:t>
      </w:r>
      <w:r w:rsidRPr="00802CAA">
        <w:rPr>
          <w:rStyle w:val="Kkursywa"/>
        </w:rPr>
        <w:t>z zastrzeżeniem</w:t>
      </w:r>
      <w:r w:rsidRPr="009F4787">
        <w:t xml:space="preserve"> była stosowana wymiennie z techniką, w której używano wyrażeń </w:t>
      </w:r>
      <w:r w:rsidRPr="00802CAA">
        <w:rPr>
          <w:rStyle w:val="Kkursywa"/>
        </w:rPr>
        <w:t>z wyjątkiem</w:t>
      </w:r>
      <w:r w:rsidRPr="009F4787">
        <w:t xml:space="preserve"> oraz </w:t>
      </w:r>
      <w:r w:rsidRPr="00802CAA">
        <w:rPr>
          <w:rStyle w:val="Kkursywa"/>
        </w:rPr>
        <w:t>z uwzględnieniem</w:t>
      </w:r>
      <w:r w:rsidRPr="009F4787">
        <w:t>, a dodatkowo techniki te były stosowane (i nadal są) – w zależności od</w:t>
      </w:r>
      <w:r>
        <w:t> </w:t>
      </w:r>
      <w:r w:rsidRPr="009F4787">
        <w:t>przypadku – w indykatywnym albo nieindykatywnym charakterze</w:t>
      </w:r>
      <w:r>
        <w:t>,</w:t>
      </w:r>
      <w:r w:rsidRPr="00802CAA">
        <w:t xml:space="preserve"> </w:t>
      </w:r>
      <w:r>
        <w:t>porozumienie</w:t>
      </w:r>
      <w:r w:rsidRPr="009F4787">
        <w:t xml:space="preserve"> z 2011 r. porządkował</w:t>
      </w:r>
      <w:r>
        <w:t>o</w:t>
      </w:r>
      <w:r w:rsidRPr="009F4787">
        <w:t xml:space="preserve"> zasady określania relacji pomiędzy przepisami. Na problemy i wątpliwości w</w:t>
      </w:r>
      <w:r>
        <w:t> </w:t>
      </w:r>
      <w:r w:rsidRPr="009F4787">
        <w:t xml:space="preserve">tym zakresie wskazywano również podczas dyskusji i paneli, które odbywały się w ramach projektu </w:t>
      </w:r>
      <w:r>
        <w:t>„</w:t>
      </w:r>
      <w:r w:rsidRPr="009F4787">
        <w:t>Doskonalenie i standaryzacja procesu legislacyjnego w urzędach obsługujących organy władzy publicznej (LEGIS)</w:t>
      </w:r>
      <w:r>
        <w:t>”</w:t>
      </w:r>
      <w:r w:rsidRPr="009F4787">
        <w:t xml:space="preserve"> oraz w przygotowanym </w:t>
      </w:r>
      <w:r>
        <w:t>w</w:t>
      </w:r>
      <w:r w:rsidRPr="009F4787">
        <w:t xml:space="preserve"> podsumowani</w:t>
      </w:r>
      <w:r>
        <w:t>u</w:t>
      </w:r>
      <w:r w:rsidRPr="009F4787">
        <w:t xml:space="preserve"> tego projektu opracowaniu pt. Doskonalenie i standaryzacja procesu legislacyjnego – dobre praktyki </w:t>
      </w:r>
      <w:r w:rsidRPr="009F4787">
        <w:lastRenderedPageBreak/>
        <w:t>opracowane w ramach projektu LEGIS. Na szczególną uwagę we wskazanym zakresie zasługuje, będący częścią tego opracowania, artykuł dra Macieja Kłodawskiego</w:t>
      </w:r>
      <w:r>
        <w:t>.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9F4787">
        <w:t xml:space="preserve"> </w:t>
      </w:r>
    </w:p>
    <w:p w14:paraId="0D97E4EA" w14:textId="77777777" w:rsidR="00B57C8D" w:rsidRPr="009F4787" w:rsidRDefault="00B57C8D" w:rsidP="00B57C8D">
      <w:pPr>
        <w:pStyle w:val="ARTartustawynprozporzdzenia"/>
      </w:pPr>
      <w:r w:rsidRPr="009F4787">
        <w:t xml:space="preserve">Podsumowując, </w:t>
      </w:r>
      <w:r>
        <w:t>w</w:t>
      </w:r>
      <w:r w:rsidRPr="009F4787">
        <w:t xml:space="preserve"> tekstach normatywnych nie </w:t>
      </w:r>
      <w:r>
        <w:t xml:space="preserve">powinno </w:t>
      </w:r>
      <w:r w:rsidRPr="009F4787">
        <w:t xml:space="preserve">się </w:t>
      </w:r>
      <w:r>
        <w:t xml:space="preserve">używać </w:t>
      </w:r>
      <w:r w:rsidRPr="009F4787">
        <w:t>zwrotu „z</w:t>
      </w:r>
      <w:r>
        <w:t> </w:t>
      </w:r>
      <w:r w:rsidRPr="009F4787">
        <w:t>zastrzeżeniem art. …”, jako niejednoznacznego, a w następstwie mogącego budzić wątpliwości interpretacyjne.</w:t>
      </w:r>
      <w:r>
        <w:t xml:space="preserve"> W</w:t>
      </w:r>
      <w:r w:rsidRPr="009F4787">
        <w:t xml:space="preserve"> związku z tym, że </w:t>
      </w:r>
      <w:r>
        <w:t>zastosowanie</w:t>
      </w:r>
      <w:r w:rsidRPr="009F4787">
        <w:t xml:space="preserve"> art. 41 ust. 2aa ustawy o</w:t>
      </w:r>
      <w:r>
        <w:t> </w:t>
      </w:r>
      <w:r w:rsidRPr="009F4787">
        <w:t>zastawie rejestrowym i rejestrze zastawów</w:t>
      </w:r>
      <w:r>
        <w:t xml:space="preserve"> będzie</w:t>
      </w:r>
      <w:r w:rsidRPr="009F4787">
        <w:t xml:space="preserve"> </w:t>
      </w:r>
      <w:r>
        <w:t xml:space="preserve">wyłączało stosowanie </w:t>
      </w:r>
      <w:r w:rsidRPr="009F4787">
        <w:t>art. 19 ust. 1 tej</w:t>
      </w:r>
      <w:r>
        <w:t> </w:t>
      </w:r>
      <w:r w:rsidRPr="009F4787">
        <w:t>ustawy</w:t>
      </w:r>
      <w:r>
        <w:t xml:space="preserve">, w przepisie formułującym </w:t>
      </w:r>
      <w:r w:rsidRPr="009F4787">
        <w:t>zasadę</w:t>
      </w:r>
      <w:r>
        <w:t xml:space="preserve"> </w:t>
      </w:r>
      <w:r w:rsidRPr="009F4787">
        <w:t>należ</w:t>
      </w:r>
      <w:r>
        <w:t>y</w:t>
      </w:r>
      <w:r w:rsidRPr="009F4787">
        <w:t xml:space="preserve"> użyć zwrotu „z wyjątkiem określonym w</w:t>
      </w:r>
      <w:r>
        <w:t> </w:t>
      </w:r>
      <w:r w:rsidRPr="009F4787">
        <w:t>art.</w:t>
      </w:r>
      <w:r>
        <w:t> </w:t>
      </w:r>
      <w:r w:rsidRPr="009F4787">
        <w:t>…”. W analizowanym przypadku zasadę określono w art. 19 ust. 1, zaś wyjątek od niej w</w:t>
      </w:r>
      <w:r>
        <w:t> </w:t>
      </w:r>
      <w:r w:rsidRPr="009F4787">
        <w:t xml:space="preserve">art. 41 ust. 2aa. </w:t>
      </w:r>
    </w:p>
    <w:p w14:paraId="17359617" w14:textId="77777777" w:rsidR="00B57C8D" w:rsidRPr="009F4787" w:rsidRDefault="00B57C8D" w:rsidP="00B57C8D">
      <w:pPr>
        <w:pStyle w:val="ARTartustawynprozporzdzenia"/>
      </w:pPr>
      <w:r w:rsidRPr="009F4787">
        <w:t>Warto również zwrócić uwagę, że w ustawie o zastawie rejestrowym i rejestrze zastawów ustawodawca używa rzeczownika „zastrzeżenie” w innym znaczeniu niż rozumiany jako „wyjątek”. W art. 14 ust. 1 mówi się o „zastrzeżeniu”, przez które rozumie się wynikające z</w:t>
      </w:r>
      <w:r>
        <w:t> </w:t>
      </w:r>
      <w:r w:rsidRPr="009F4787">
        <w:t>umowy zastawniczej zobowiązanie zastawcy względem zastawnika, że przed wygaśnięciem zastawu rejestrowego nie dokona on zbycia lub obciążenia przedmiotu zastawu. W art. 27 ust.</w:t>
      </w:r>
      <w:r>
        <w:t> </w:t>
      </w:r>
      <w:r w:rsidRPr="009F4787">
        <w:t xml:space="preserve">3 mówi się zaś o </w:t>
      </w:r>
      <w:r>
        <w:t>„</w:t>
      </w:r>
      <w:r w:rsidRPr="009F4787">
        <w:t>zastrzeżeniu</w:t>
      </w:r>
      <w:r>
        <w:t>” jako o określeniu</w:t>
      </w:r>
      <w:r w:rsidRPr="009F4787">
        <w:t xml:space="preserve"> w umowie zastawniczej</w:t>
      </w:r>
      <w:r>
        <w:t xml:space="preserve"> warunku</w:t>
      </w:r>
      <w:r w:rsidRPr="009F4787">
        <w:t xml:space="preserve"> zawarcia </w:t>
      </w:r>
      <w:r>
        <w:t>u</w:t>
      </w:r>
      <w:r w:rsidRPr="009F4787">
        <w:t>mowy dzierżawy. Zgodnie z § 10 Zasad techniki prawodawczej różnych pojęć nie oznacza się tymi samymi określeniami (zasada konsekwencji terminologicznej).</w:t>
      </w:r>
    </w:p>
    <w:p w14:paraId="7DCBA2DB" w14:textId="77777777" w:rsidR="00B57C8D" w:rsidRDefault="00B57C8D" w:rsidP="00B57C8D">
      <w:pPr>
        <w:pStyle w:val="ARTartustawynprozporzdzenia"/>
      </w:pPr>
      <w:r w:rsidRPr="009F4787">
        <w:t xml:space="preserve">Mając powyższe na względzie, </w:t>
      </w:r>
      <w:r>
        <w:t>uchwalono</w:t>
      </w:r>
      <w:r w:rsidRPr="009F4787">
        <w:t xml:space="preserve"> </w:t>
      </w:r>
      <w:r w:rsidRPr="007B216E">
        <w:rPr>
          <w:rStyle w:val="Ppogrubienie"/>
        </w:rPr>
        <w:t>poprawkę nr 1</w:t>
      </w:r>
      <w:r w:rsidRPr="009F4787">
        <w:t>.</w:t>
      </w:r>
    </w:p>
    <w:p w14:paraId="083395BC" w14:textId="77777777" w:rsidR="00B57C8D" w:rsidRPr="007B216E" w:rsidRDefault="00B57C8D" w:rsidP="00B57C8D">
      <w:pPr>
        <w:pStyle w:val="NIEARTTEKSTtekstnieartykuowanynppodstprawnarozplubpreambua"/>
      </w:pPr>
      <w:r>
        <w:t xml:space="preserve">Ponadto ustawodawca jest niekonsekwentny terminologicznie. W ust. 2c dodawanym do art. 39 ustawy o zastawie rejestrowym posługuje się on określeniem „sąd rejestrowy”, zaś w dodawanym do tego artykułu ust. 2b używa określenia „sąd” (art. 1 pkt 6 noweli). Skoro, mówiąc o sądzie prowadzącym rejestr zastawów i dokonującym w tym rejestrze wpisów, ustawodawca posługuje się w ustawie – co do zasady konsekwentnie – określeniem „sąd”, powinien on użyć tego określenia również w dodawanym ust. 2c. </w:t>
      </w:r>
      <w:r w:rsidRPr="007B216E">
        <w:t xml:space="preserve">W przypadku posłużenia się w </w:t>
      </w:r>
      <w:r>
        <w:t xml:space="preserve">dwóch następujących po sobie </w:t>
      </w:r>
      <w:r w:rsidRPr="007B216E">
        <w:t>przepisach różnymi określeniami dla nazwania tego samego podmiotu – kierując się założeniem racjonalności językowej ustawodawcy –</w:t>
      </w:r>
      <w:r>
        <w:t xml:space="preserve"> </w:t>
      </w:r>
      <w:r w:rsidRPr="007B216E">
        <w:t xml:space="preserve">w procesie interpretacji należałoby przyjąć, że na gruncie </w:t>
      </w:r>
      <w:r>
        <w:t>dostawnych ust. 2b i 2c</w:t>
      </w:r>
      <w:r w:rsidRPr="007B216E">
        <w:t xml:space="preserve"> sąd i sąd rejestrowy </w:t>
      </w:r>
      <w:r w:rsidRPr="007B216E">
        <w:lastRenderedPageBreak/>
        <w:t>to</w:t>
      </w:r>
      <w:r>
        <w:t> różne</w:t>
      </w:r>
      <w:r w:rsidRPr="007B216E">
        <w:t xml:space="preserve"> podmioty</w:t>
      </w:r>
      <w:r>
        <w:t xml:space="preserve"> (zob. § 10 Zasad techniki prawodawczej)</w:t>
      </w:r>
      <w:r w:rsidRPr="007B216E">
        <w:t>. Nie da się tego jednak pogodzić z</w:t>
      </w:r>
      <w:r>
        <w:t> </w:t>
      </w:r>
      <w:r w:rsidRPr="007B216E">
        <w:t>intencją ustawodawcy.</w:t>
      </w:r>
    </w:p>
    <w:p w14:paraId="3E040F9C" w14:textId="77777777" w:rsidR="00B57C8D" w:rsidRPr="007B216E" w:rsidRDefault="00B57C8D" w:rsidP="00B57C8D">
      <w:pPr>
        <w:pStyle w:val="NIEARTTEKSTtekstnieartykuowanynppodstprawnarozplubpreambua"/>
      </w:pPr>
      <w:r>
        <w:t xml:space="preserve">Korekty terminologicznej wymaga także art. 3 ust. 1 ustawy. Zestawiając ten przepis z art. 4, nasuwało się pytanie, jaka jest różnica pomiędzy „stosowaniem przepisów w postępowaniu”, a „stosowaniem przepisów do postępowania”. W ocenie Senatu, na gruncie rozpatrzonej ustawy sformułowania </w:t>
      </w:r>
      <w:r w:rsidRPr="007B216E">
        <w:t>te oznaczają to samo</w:t>
      </w:r>
      <w:r>
        <w:t xml:space="preserve">, a tym samym </w:t>
      </w:r>
      <w:r w:rsidRPr="007B216E">
        <w:t>należy je ujednolicić, kierując się przy tym § 5 pkt 4 i § 10 Zasad techniki prawodawczej.</w:t>
      </w:r>
    </w:p>
    <w:p w14:paraId="3CD7A3FF" w14:textId="77777777" w:rsidR="00B57C8D" w:rsidRPr="007B216E" w:rsidRDefault="00B57C8D" w:rsidP="00B57C8D">
      <w:pPr>
        <w:pStyle w:val="NIEARTTEKSTtekstnieartykuowanynppodstprawnarozplubpreambua"/>
      </w:pPr>
      <w:r>
        <w:t>Mając to na względzie, uchwalono</w:t>
      </w:r>
      <w:r w:rsidRPr="007B216E">
        <w:t xml:space="preserve"> </w:t>
      </w:r>
      <w:r w:rsidRPr="00C76DD7">
        <w:rPr>
          <w:rStyle w:val="Ppogrubienie"/>
        </w:rPr>
        <w:t>poprawki nr 2 i 3</w:t>
      </w:r>
      <w:r w:rsidRPr="007B216E">
        <w:t xml:space="preserve">. </w:t>
      </w:r>
    </w:p>
    <w:p w14:paraId="37BB3CB0" w14:textId="77777777" w:rsidR="00B57C8D" w:rsidRPr="009F4787" w:rsidRDefault="00B57C8D" w:rsidP="00B57C8D">
      <w:pPr>
        <w:pStyle w:val="NIEARTTEKSTtekstnieartykuowanynppodstprawnarozplubpreambua"/>
      </w:pPr>
    </w:p>
    <w:p w14:paraId="49C7EBA0" w14:textId="4D7FBD7E" w:rsidR="00912118" w:rsidRPr="00737F6A" w:rsidRDefault="00912118" w:rsidP="00A054FD">
      <w:pPr>
        <w:pStyle w:val="POPIERAJCYPOPRAWKZAMIESZCZONWZESTAWIENIUWNIOSKW"/>
      </w:pPr>
    </w:p>
    <w:sectPr w:rsidR="00912118" w:rsidRPr="00737F6A" w:rsidSect="005A521A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3A951" w14:textId="77777777" w:rsidR="00CA3B0A" w:rsidRDefault="00CA3B0A">
      <w:r>
        <w:separator/>
      </w:r>
    </w:p>
  </w:endnote>
  <w:endnote w:type="continuationSeparator" w:id="0">
    <w:p w14:paraId="716C4672" w14:textId="77777777" w:rsidR="00CA3B0A" w:rsidRDefault="00CA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3CB5" w14:textId="77777777" w:rsidR="00CA3B0A" w:rsidRDefault="00CA3B0A">
      <w:r>
        <w:separator/>
      </w:r>
    </w:p>
  </w:footnote>
  <w:footnote w:type="continuationSeparator" w:id="0">
    <w:p w14:paraId="1FC6B199" w14:textId="77777777" w:rsidR="00CA3B0A" w:rsidRDefault="00CA3B0A">
      <w:r>
        <w:continuationSeparator/>
      </w:r>
    </w:p>
  </w:footnote>
  <w:footnote w:id="1">
    <w:p w14:paraId="2513F79E" w14:textId="77777777" w:rsidR="00B57C8D" w:rsidRPr="00802CAA" w:rsidRDefault="00B57C8D" w:rsidP="00B57C8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02CAA">
        <w:t>Zob. rekomendacje nr 25 i 26 [w:] Rekomendacje dla legislatorów dotyczące wybranych zagadnień legislacyjnych, zaakceptowane przez kierownictwo Rządowego Centrum Legislacji, Biura Legislacyjnego Kancelarii Sejmu oraz Biura Legislacyjnego Kancelarii Senatu, po szkoleniu „Ujednolicanie praktyki legislacyjnej rządowych i parlamentarnych służb legislacyjnych” – Jachranka, wrzesień/październik 2011 r. Źródło: http://bip.ksap.gov.pl/pliki/ORikU_ba_260_6_2019/zalacznik_do_wyjasnien.pdf.</w:t>
      </w:r>
    </w:p>
  </w:footnote>
  <w:footnote w:id="2">
    <w:p w14:paraId="0A0F2D69" w14:textId="77777777" w:rsidR="00B57C8D" w:rsidRPr="00802CAA" w:rsidRDefault="00B57C8D" w:rsidP="00B57C8D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802CAA">
        <w:t>M. Kłodawski [w:] Określanie relacji między przepisami prawnymi za pomocą zwrotu „z zastrzeżeniem” i</w:t>
      </w:r>
      <w:r>
        <w:t> </w:t>
      </w:r>
      <w:r w:rsidRPr="00802CAA">
        <w:t>zwrotów podobnych z perspektywy teorii i praktyki tworzenia prawa [w:] Doskonalenie i standaryzacja procesu legislacyjnego – dobre praktyki opracowane w ramach projektu LEGIS, Wydawnictwo KSAP, Warszawa 2019 r., s. 479.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DEBA2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DD3CA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0"/>
  </w:num>
  <w:num w:numId="35">
    <w:abstractNumId w:val="17"/>
  </w:num>
  <w:num w:numId="36">
    <w:abstractNumId w:val="22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1"/>
  </w:num>
  <w:num w:numId="43">
    <w:abstractNumId w:val="35"/>
  </w:num>
  <w:num w:numId="44">
    <w:abstractNumId w:val="12"/>
  </w:num>
  <w:num w:numId="45">
    <w:abstractNumId w:val="24"/>
  </w:num>
  <w:num w:numId="46">
    <w:abstractNumId w:val="24"/>
  </w:num>
  <w:num w:numId="47">
    <w:abstractNumId w:val="24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4B25"/>
    <w:rsid w:val="00036B63"/>
    <w:rsid w:val="00037E1A"/>
    <w:rsid w:val="00043495"/>
    <w:rsid w:val="00046A75"/>
    <w:rsid w:val="00047312"/>
    <w:rsid w:val="000508BD"/>
    <w:rsid w:val="00050B1E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56A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97B"/>
    <w:rsid w:val="000F2BE3"/>
    <w:rsid w:val="000F3D0D"/>
    <w:rsid w:val="000F57AC"/>
    <w:rsid w:val="000F6ED4"/>
    <w:rsid w:val="000F7A6E"/>
    <w:rsid w:val="001042BA"/>
    <w:rsid w:val="00106D03"/>
    <w:rsid w:val="001073C1"/>
    <w:rsid w:val="00110465"/>
    <w:rsid w:val="00110628"/>
    <w:rsid w:val="0011245A"/>
    <w:rsid w:val="0011493E"/>
    <w:rsid w:val="00115B72"/>
    <w:rsid w:val="001209EC"/>
    <w:rsid w:val="00120A9E"/>
    <w:rsid w:val="00122E57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218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1FAC"/>
    <w:rsid w:val="00263522"/>
    <w:rsid w:val="00264EC6"/>
    <w:rsid w:val="00271013"/>
    <w:rsid w:val="00273D54"/>
    <w:rsid w:val="00273FE4"/>
    <w:rsid w:val="002765B4"/>
    <w:rsid w:val="00276A94"/>
    <w:rsid w:val="002811A8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1BBB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B552F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E6041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2A1F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521A"/>
    <w:rsid w:val="005A669D"/>
    <w:rsid w:val="005A75D8"/>
    <w:rsid w:val="005B713E"/>
    <w:rsid w:val="005C005E"/>
    <w:rsid w:val="005C03B6"/>
    <w:rsid w:val="005C348E"/>
    <w:rsid w:val="005C68E1"/>
    <w:rsid w:val="005C6E84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4C65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3478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77FD3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537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2BB6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60A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5CD0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D7930"/>
    <w:rsid w:val="009E3E77"/>
    <w:rsid w:val="009E3FAB"/>
    <w:rsid w:val="009E5A87"/>
    <w:rsid w:val="009E5B3F"/>
    <w:rsid w:val="009E5FA4"/>
    <w:rsid w:val="009E7D90"/>
    <w:rsid w:val="009F1AB0"/>
    <w:rsid w:val="009F501D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752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039B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57C8D"/>
    <w:rsid w:val="00B640EE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3B0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4DE9"/>
    <w:rsid w:val="00CF5233"/>
    <w:rsid w:val="00D0275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A0D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41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02B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77E7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494A9"/>
  <w15:docId w15:val="{DDB419A4-6BFA-4746-AEB4-592F9C7F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7C8D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48"/>
      </w:numPr>
      <w:spacing w:before="480"/>
      <w:ind w:left="480"/>
    </w:pPr>
  </w:style>
  <w:style w:type="paragraph" w:styleId="Akapitzlist">
    <w:name w:val="List Paragraph"/>
    <w:basedOn w:val="Normalny"/>
    <w:uiPriority w:val="99"/>
    <w:semiHidden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F2775F7-862B-4EE6-9DD8-1426FCD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816</Words>
  <Characters>4782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Krzysztof Madej</dc:creator>
  <cp:lastModifiedBy>Schubert Jacek</cp:lastModifiedBy>
  <cp:revision>5</cp:revision>
  <cp:lastPrinted>2012-04-23T06:39:00Z</cp:lastPrinted>
  <dcterms:created xsi:type="dcterms:W3CDTF">2026-07-08T11:18:00Z</dcterms:created>
  <dcterms:modified xsi:type="dcterms:W3CDTF">2026-07-09T08:39:00Z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