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68FF" w14:textId="32F41C6D" w:rsidR="008B1FA2" w:rsidRPr="008B1FA2" w:rsidRDefault="008B1FA2" w:rsidP="008B1FA2">
      <w:pPr>
        <w:pStyle w:val="OZNPROJEKTUwskazaniedatylubwersjiprojektu"/>
      </w:pPr>
      <w:r w:rsidRPr="007B06A3">
        <w:t xml:space="preserve">Projekt </w:t>
      </w:r>
    </w:p>
    <w:p w14:paraId="7362E79C" w14:textId="77777777" w:rsidR="008B1FA2" w:rsidRPr="007B06A3" w:rsidRDefault="008B1FA2" w:rsidP="008B1FA2">
      <w:pPr>
        <w:pStyle w:val="OZNRODZAKTUtznustawalubrozporzdzenieiorganwydajcy"/>
      </w:pPr>
      <w:r w:rsidRPr="007B06A3">
        <w:t>USTAWA</w:t>
      </w:r>
    </w:p>
    <w:p w14:paraId="345C37F2" w14:textId="7D517536" w:rsidR="008B1FA2" w:rsidRPr="007B06A3" w:rsidRDefault="008B1FA2" w:rsidP="008B1FA2">
      <w:pPr>
        <w:pStyle w:val="DATAAKTUdatauchwalenialubwydaniaaktu"/>
      </w:pPr>
      <w:r w:rsidRPr="007B06A3">
        <w:t>z dnia</w:t>
      </w:r>
    </w:p>
    <w:p w14:paraId="50DB0486" w14:textId="77777777" w:rsidR="008B1FA2" w:rsidRPr="007B06A3" w:rsidRDefault="008B1FA2" w:rsidP="008B1FA2">
      <w:pPr>
        <w:pStyle w:val="TYTUAKTUprzedmiotregulacjiustawylubrozporzdzenia"/>
      </w:pPr>
      <w:r w:rsidRPr="007B06A3">
        <w:t>o zmianie ustawy – Kodeks postępowania karnego oraz ustawy o doręczeniach elektronicznych</w:t>
      </w:r>
    </w:p>
    <w:p w14:paraId="7D4958B3" w14:textId="65C3AB8D" w:rsidR="008B1FA2" w:rsidRPr="008B1FA2" w:rsidRDefault="008B1FA2" w:rsidP="008B1FA2">
      <w:pPr>
        <w:pStyle w:val="ARTartustawynprozporzdzenia"/>
      </w:pPr>
      <w:r w:rsidRPr="007B06A3">
        <w:rPr>
          <w:rStyle w:val="Ppogrubienie"/>
        </w:rPr>
        <w:t>Art.</w:t>
      </w:r>
      <w:r w:rsidR="00FA2211">
        <w:rPr>
          <w:rStyle w:val="Ppogrubienie"/>
        </w:rPr>
        <w:t> </w:t>
      </w:r>
      <w:r w:rsidRPr="008B1FA2">
        <w:rPr>
          <w:rStyle w:val="Ppogrubienie"/>
        </w:rPr>
        <w:t>1.</w:t>
      </w:r>
      <w:r w:rsidR="00FA2211">
        <w:t> </w:t>
      </w:r>
      <w:r w:rsidRPr="008B1FA2">
        <w:t xml:space="preserve">W ustawie </w:t>
      </w:r>
      <w:bookmarkStart w:id="0" w:name="_Hlk174961321"/>
      <w:r w:rsidRPr="008B1FA2">
        <w:t xml:space="preserve">z dnia 6 czerwca 1997 r. – Kodeks postępowania karnego </w:t>
      </w:r>
      <w:bookmarkEnd w:id="0"/>
      <w:r w:rsidRPr="008B1FA2">
        <w:t>(Dz. U. z 2026 r. poz. 490, 421, 638 i 760) wprowadza się następujące zmiany:</w:t>
      </w:r>
    </w:p>
    <w:p w14:paraId="01DCCAEF" w14:textId="77777777" w:rsidR="008B1FA2" w:rsidRPr="008B1FA2" w:rsidRDefault="008B1FA2" w:rsidP="008B1FA2">
      <w:pPr>
        <w:pStyle w:val="PKTpunkt"/>
      </w:pPr>
      <w:r w:rsidRPr="007B06A3">
        <w:t>1)</w:t>
      </w:r>
      <w:r w:rsidRPr="007B06A3">
        <w:tab/>
        <w:t>w art. 81a w § 3 pkt 1</w:t>
      </w:r>
      <w:r w:rsidRPr="008B1FA2">
        <w:t xml:space="preserve"> otrzymuje brzmienie:</w:t>
      </w:r>
    </w:p>
    <w:p w14:paraId="0E61E8B3" w14:textId="77777777" w:rsidR="008B1FA2" w:rsidRPr="007B06A3" w:rsidRDefault="008B1FA2" w:rsidP="008B1FA2">
      <w:pPr>
        <w:pStyle w:val="ZPKTzmpktartykuempunktem"/>
      </w:pPr>
      <w:r>
        <w:t>„</w:t>
      </w:r>
      <w:r w:rsidRPr="007B06A3">
        <w:t>1)</w:t>
      </w:r>
      <w:r w:rsidRPr="007B06A3">
        <w:tab/>
        <w:t>wniosek o wyznaczenie obrońcy oraz inne dokumenty niezbędne do rozpoznania wniosku mogą być przekazane przez organ prowadzący postępowanie przygotowawcze do właściwego sądu za pośrednictwem poczty elektronicznej;</w:t>
      </w:r>
      <w:r>
        <w:t>”</w:t>
      </w:r>
      <w:r w:rsidRPr="007B06A3">
        <w:t>;</w:t>
      </w:r>
    </w:p>
    <w:p w14:paraId="5D28E582" w14:textId="77777777" w:rsidR="008B1FA2" w:rsidRPr="008B1FA2" w:rsidRDefault="008B1FA2" w:rsidP="008B1FA2">
      <w:pPr>
        <w:pStyle w:val="PKTpunkt"/>
      </w:pPr>
      <w:r w:rsidRPr="007B06A3">
        <w:t>2)</w:t>
      </w:r>
      <w:r w:rsidRPr="007B06A3">
        <w:tab/>
        <w:t>w art. 119 w § 1 pkt 2 otrzymuje brzmienie:</w:t>
      </w:r>
    </w:p>
    <w:p w14:paraId="04F98BD7" w14:textId="77777777" w:rsidR="008B1FA2" w:rsidRPr="007B06A3" w:rsidRDefault="008B1FA2" w:rsidP="008B1FA2">
      <w:pPr>
        <w:pStyle w:val="ZPKTzmpktartykuempunktem"/>
      </w:pPr>
      <w:r>
        <w:t>„</w:t>
      </w:r>
      <w:r w:rsidRPr="007B06A3">
        <w:t>2)</w:t>
      </w:r>
      <w:r w:rsidRPr="007B06A3">
        <w:tab/>
        <w:t>oznaczenie oraz adres wnoszącego pismo, a także – w pierwszym piśmie złożonym w sprawie – numer telefonu i adres poczty elektronicznej lub oświadczenie o ich nieposiadaniu;</w:t>
      </w:r>
      <w:r>
        <w:t>”</w:t>
      </w:r>
      <w:r w:rsidRPr="007B06A3">
        <w:t>;</w:t>
      </w:r>
    </w:p>
    <w:p w14:paraId="747661E3" w14:textId="77777777" w:rsidR="008B1FA2" w:rsidRPr="008B1FA2" w:rsidRDefault="008B1FA2" w:rsidP="008B1FA2">
      <w:pPr>
        <w:pStyle w:val="PKTpunkt"/>
      </w:pPr>
      <w:r w:rsidRPr="007B06A3">
        <w:t>3)</w:t>
      </w:r>
      <w:r w:rsidRPr="007B06A3">
        <w:tab/>
        <w:t xml:space="preserve">w art. 132 </w:t>
      </w:r>
      <w:r w:rsidRPr="008B1FA2">
        <w:t>w § 3 zdanie pierwsze otrzymuje brzmienie:</w:t>
      </w:r>
    </w:p>
    <w:p w14:paraId="7C9636CD" w14:textId="77777777" w:rsidR="008B1FA2" w:rsidRPr="007B06A3" w:rsidRDefault="008B1FA2" w:rsidP="00DF4D0A">
      <w:pPr>
        <w:pStyle w:val="ZFRAGzmfragmentunpzdaniaartykuempunktem"/>
      </w:pPr>
      <w:r>
        <w:t>„</w:t>
      </w:r>
      <w:r w:rsidRPr="007B06A3">
        <w:t>Pismo może być także doręczone za pośrednictwem poczty</w:t>
      </w:r>
      <w:r>
        <w:t xml:space="preserve"> </w:t>
      </w:r>
      <w:r w:rsidRPr="007B06A3">
        <w:t>elektronicznej.</w:t>
      </w:r>
      <w:r>
        <w:t>”</w:t>
      </w:r>
      <w:r w:rsidRPr="007B06A3">
        <w:t>;</w:t>
      </w:r>
    </w:p>
    <w:p w14:paraId="29C141B2" w14:textId="77777777" w:rsidR="008B1FA2" w:rsidRPr="008B1FA2" w:rsidRDefault="008B1FA2" w:rsidP="008B1FA2">
      <w:pPr>
        <w:pStyle w:val="PKTpunkt"/>
      </w:pPr>
      <w:r w:rsidRPr="007B06A3">
        <w:t>4)</w:t>
      </w:r>
      <w:r w:rsidRPr="007B06A3">
        <w:tab/>
        <w:t>w art. 148a:</w:t>
      </w:r>
    </w:p>
    <w:p w14:paraId="760220CD" w14:textId="77777777" w:rsidR="008B1FA2" w:rsidRPr="008B1FA2" w:rsidRDefault="008B1FA2" w:rsidP="008B1FA2">
      <w:pPr>
        <w:pStyle w:val="LITlitera"/>
      </w:pPr>
      <w:r w:rsidRPr="007B06A3">
        <w:t>a)</w:t>
      </w:r>
      <w:r w:rsidRPr="007B06A3">
        <w:tab/>
      </w:r>
      <w:r w:rsidRPr="008B1FA2">
        <w:t>w § 1 zdanie pierwsze otrzymuje brzmienie:</w:t>
      </w:r>
    </w:p>
    <w:p w14:paraId="4AB16231" w14:textId="7FD643BC" w:rsidR="008B1FA2" w:rsidRPr="007B06A3" w:rsidRDefault="008B1FA2" w:rsidP="008B1FA2">
      <w:pPr>
        <w:pStyle w:val="ZLITFRAGzmlitfragmentunpzdanialiter"/>
      </w:pPr>
      <w:r>
        <w:t>„</w:t>
      </w:r>
      <w:r w:rsidRPr="007B06A3">
        <w:t>W protokole nie zamieszcza się danych dotyczących miejsca zamieszkania, miejsca pracy, numeru telefonu, adresu poczty elektronicznej, numeru PESEL oraz nazwy i</w:t>
      </w:r>
      <w:r w:rsidRPr="00C75B51">
        <w:t> </w:t>
      </w:r>
      <w:r w:rsidRPr="007B06A3">
        <w:t>numeru dokumentu stwierdzającego tożsamość</w:t>
      </w:r>
      <w:r>
        <w:t>,</w:t>
      </w:r>
      <w:r w:rsidRPr="007B06A3">
        <w:t xml:space="preserve"> jak również nazwy organu wydającego </w:t>
      </w:r>
      <w:r>
        <w:t xml:space="preserve">ten </w:t>
      </w:r>
      <w:r w:rsidRPr="007B06A3">
        <w:t>dokument pokrzywdzonych i świadków uczestniczących w</w:t>
      </w:r>
      <w:r w:rsidRPr="00C75B51">
        <w:t> </w:t>
      </w:r>
      <w:r w:rsidRPr="007B06A3">
        <w:t>czynności.</w:t>
      </w:r>
      <w:r>
        <w:t>”</w:t>
      </w:r>
      <w:r w:rsidRPr="007B06A3">
        <w:t>,</w:t>
      </w:r>
    </w:p>
    <w:p w14:paraId="1210C640" w14:textId="77777777" w:rsidR="008B1FA2" w:rsidRPr="008B1FA2" w:rsidRDefault="008B1FA2" w:rsidP="008B1FA2">
      <w:pPr>
        <w:pStyle w:val="LITlitera"/>
      </w:pPr>
      <w:r w:rsidRPr="007B06A3">
        <w:t>b)</w:t>
      </w:r>
      <w:r w:rsidRPr="007B06A3">
        <w:tab/>
        <w:t>w § 3 zdanie pierwsze otrzymuje brzmienie:</w:t>
      </w:r>
    </w:p>
    <w:p w14:paraId="28922D90" w14:textId="59F16D8B" w:rsidR="008B1FA2" w:rsidRPr="007B06A3" w:rsidRDefault="008B1FA2" w:rsidP="008B1FA2">
      <w:pPr>
        <w:pStyle w:val="ZLITFRAGzmlitfragmentunpzdanialiter"/>
      </w:pPr>
      <w:r>
        <w:t>„</w:t>
      </w:r>
      <w:r w:rsidRPr="007B06A3">
        <w:t>Jeżeli dane dotyczące miejsca zamieszkania, miejsca pracy, numeru telefonu, adresu poczty elektronicznej, numeru PESEL</w:t>
      </w:r>
      <w:r>
        <w:t xml:space="preserve"> oraz</w:t>
      </w:r>
      <w:r w:rsidRPr="007B06A3">
        <w:t xml:space="preserve"> nazwy i numeru dokumentu stwierdzającego tożsamość, </w:t>
      </w:r>
      <w:r>
        <w:t xml:space="preserve">jak również </w:t>
      </w:r>
      <w:r w:rsidRPr="007B06A3">
        <w:t xml:space="preserve">nazwy organu wydającego </w:t>
      </w:r>
      <w:r>
        <w:t xml:space="preserve">ten </w:t>
      </w:r>
      <w:r w:rsidRPr="007B06A3">
        <w:t>dokument pokrzywdzonych i świadków są zawarte w dokumentach innych niż protokół, o</w:t>
      </w:r>
      <w:r w:rsidRPr="00C75B51">
        <w:t> </w:t>
      </w:r>
      <w:r w:rsidRPr="007B06A3">
        <w:t>którym mowa w § 1, dokumenty, w całości lub w części, w jakiej zawierają te dane, przechowuje się w załączniku adresowym do akt sprawy, do wiadomości organu prowadzącego postępowanie.</w:t>
      </w:r>
      <w:r>
        <w:t>”</w:t>
      </w:r>
      <w:r w:rsidRPr="007B06A3">
        <w:t>,</w:t>
      </w:r>
    </w:p>
    <w:p w14:paraId="0AEABC84" w14:textId="77777777" w:rsidR="008B1FA2" w:rsidRPr="008B1FA2" w:rsidRDefault="008B1FA2" w:rsidP="008B1FA2">
      <w:pPr>
        <w:pStyle w:val="LITlitera"/>
      </w:pPr>
      <w:r w:rsidRPr="007B06A3">
        <w:lastRenderedPageBreak/>
        <w:t>c)</w:t>
      </w:r>
      <w:r w:rsidRPr="007B06A3">
        <w:tab/>
        <w:t>w § 4 pkt 1</w:t>
      </w:r>
      <w:r w:rsidRPr="008B1FA2">
        <w:t>–3 otrzymują brzmienie:</w:t>
      </w:r>
    </w:p>
    <w:p w14:paraId="6A4EC734" w14:textId="77777777" w:rsidR="008B1FA2" w:rsidRPr="007B06A3" w:rsidRDefault="008B1FA2" w:rsidP="008B1FA2">
      <w:pPr>
        <w:pStyle w:val="ZLITPKTzmpktliter"/>
      </w:pPr>
      <w:r>
        <w:t>„</w:t>
      </w:r>
      <w:r w:rsidRPr="007B06A3">
        <w:t>1)</w:t>
      </w:r>
      <w:r w:rsidRPr="007B06A3">
        <w:tab/>
        <w:t>jeżeli dane dotyczące miejsca zamieszkania, miejsca pracy, numeru telefonu</w:t>
      </w:r>
      <w:r>
        <w:t xml:space="preserve"> lub </w:t>
      </w:r>
      <w:r w:rsidRPr="007B06A3">
        <w:t>adresu poczty elektronicznej pokrzywdzonego lub świadka są oskarżonemu znane;</w:t>
      </w:r>
    </w:p>
    <w:p w14:paraId="6B3CF905" w14:textId="77777777" w:rsidR="008B1FA2" w:rsidRPr="007B06A3" w:rsidRDefault="008B1FA2" w:rsidP="008B1FA2">
      <w:pPr>
        <w:pStyle w:val="ZLITPKTzmpktliter"/>
      </w:pPr>
      <w:r w:rsidRPr="007B06A3">
        <w:t>2)</w:t>
      </w:r>
      <w:r w:rsidRPr="007B06A3">
        <w:tab/>
        <w:t>w odniesieniu do danych dotyczących miejsca zamieszkania, miejsca pracy, numeru telefonu, adresu poczty elektronicznej oraz numeru PESEL pokrzywdzonego lub świadka, jeżeli dane te są związane z miejscem prowadzenia działalności gospodarczej przez pokrzywdzonego lub świadka i</w:t>
      </w:r>
      <w:r w:rsidRPr="00C75B51">
        <w:t> </w:t>
      </w:r>
      <w:r w:rsidRPr="007B06A3">
        <w:t>zostały przekazane do publicznej wiadomości do właściwego rejestru lub ewidencji;</w:t>
      </w:r>
    </w:p>
    <w:p w14:paraId="1D2A1A92" w14:textId="77777777" w:rsidR="008B1FA2" w:rsidRDefault="008B1FA2" w:rsidP="008B1FA2">
      <w:pPr>
        <w:pStyle w:val="ZLITPKTzmpktliter"/>
      </w:pPr>
      <w:r w:rsidRPr="007B06A3">
        <w:t>3)</w:t>
      </w:r>
      <w:r w:rsidRPr="007B06A3">
        <w:tab/>
        <w:t>z powodu oczywistego braku potrzeby ochrony danych dotyczących miejsca zamieszkania, miejsca pracy, numeru telefonu</w:t>
      </w:r>
      <w:r>
        <w:t xml:space="preserve"> lub</w:t>
      </w:r>
      <w:r w:rsidRPr="007B06A3">
        <w:t xml:space="preserve"> adresu poczty elektronicznej </w:t>
      </w:r>
      <w:r>
        <w:t xml:space="preserve">pokrzywdzonego lub świadka </w:t>
      </w:r>
      <w:r w:rsidRPr="007B06A3">
        <w:t>z uwagi na charakter sprawy.</w:t>
      </w:r>
      <w:r>
        <w:t>”,</w:t>
      </w:r>
    </w:p>
    <w:p w14:paraId="734A204A" w14:textId="77777777" w:rsidR="008B1FA2" w:rsidRDefault="008B1FA2" w:rsidP="008B1FA2">
      <w:pPr>
        <w:pStyle w:val="LITlitera"/>
      </w:pPr>
      <w:r>
        <w:t>d)</w:t>
      </w:r>
      <w:r>
        <w:tab/>
        <w:t xml:space="preserve">po </w:t>
      </w:r>
      <w:r w:rsidRPr="00BD10EC">
        <w:t xml:space="preserve">§ </w:t>
      </w:r>
      <w:r>
        <w:t xml:space="preserve">4 dodaje się </w:t>
      </w:r>
      <w:r w:rsidRPr="000C0DBB">
        <w:t>§ 4</w:t>
      </w:r>
      <w:r>
        <w:t>a w brzmieniu:</w:t>
      </w:r>
    </w:p>
    <w:p w14:paraId="7DC59B22" w14:textId="77777777" w:rsidR="008B1FA2" w:rsidRPr="007B06A3" w:rsidRDefault="008B1FA2" w:rsidP="008B1FA2">
      <w:pPr>
        <w:pStyle w:val="ZLITUSTzmustliter"/>
      </w:pPr>
      <w:r>
        <w:t>„</w:t>
      </w:r>
      <w:r w:rsidRPr="000C0DBB">
        <w:t>§ 4a</w:t>
      </w:r>
      <w:r>
        <w:t xml:space="preserve">. </w:t>
      </w:r>
      <w:r w:rsidRPr="000C0DBB">
        <w:t xml:space="preserve">Zarządzenie </w:t>
      </w:r>
      <w:r w:rsidRPr="005C2FF9">
        <w:t>o odstąpieniu</w:t>
      </w:r>
      <w:r>
        <w:t>,</w:t>
      </w:r>
      <w:r w:rsidRPr="005C2FF9">
        <w:t xml:space="preserve"> w całości lub w części, od stosowania przepisów § 1 lub 3 </w:t>
      </w:r>
      <w:r w:rsidRPr="000C0DBB">
        <w:t>wymaga uzasadnienia</w:t>
      </w:r>
      <w:r>
        <w:t>.”</w:t>
      </w:r>
      <w:r w:rsidRPr="007B06A3">
        <w:t>;</w:t>
      </w:r>
    </w:p>
    <w:p w14:paraId="20DD690E" w14:textId="77777777" w:rsidR="008B1FA2" w:rsidRPr="008B1FA2" w:rsidRDefault="008B1FA2" w:rsidP="008B1FA2">
      <w:pPr>
        <w:pStyle w:val="PKTpunkt"/>
      </w:pPr>
      <w:r w:rsidRPr="007B06A3">
        <w:t>5)</w:t>
      </w:r>
      <w:r w:rsidRPr="007B06A3">
        <w:tab/>
        <w:t>w art. 191 § 1</w:t>
      </w:r>
      <w:r w:rsidRPr="008B1FA2">
        <w:t>a otrzymuje brzmienie:</w:t>
      </w:r>
    </w:p>
    <w:p w14:paraId="691401BE" w14:textId="77777777" w:rsidR="008B1FA2" w:rsidRPr="008B14A3" w:rsidRDefault="008B1FA2" w:rsidP="008B1FA2">
      <w:pPr>
        <w:pStyle w:val="ZUSTzmustartykuempunktem"/>
      </w:pPr>
      <w:r w:rsidRPr="007236F6">
        <w:t>„§ 1</w:t>
      </w:r>
      <w:r>
        <w:t>a</w:t>
      </w:r>
      <w:r w:rsidRPr="007236F6">
        <w:t>.</w:t>
      </w:r>
      <w:r>
        <w:t xml:space="preserve"> N</w:t>
      </w:r>
      <w:r w:rsidRPr="007236F6">
        <w:t xml:space="preserve">umer PESEL </w:t>
      </w:r>
      <w:r>
        <w:t xml:space="preserve">świadka </w:t>
      </w:r>
      <w:r w:rsidRPr="007236F6">
        <w:t>ustala się na podstawie dokumentu tożsamości</w:t>
      </w:r>
      <w:r>
        <w:t xml:space="preserve"> albo </w:t>
      </w:r>
      <w:r w:rsidRPr="007624E1">
        <w:t>powiadomieni</w:t>
      </w:r>
      <w:r>
        <w:t>a</w:t>
      </w:r>
      <w:r w:rsidRPr="007624E1">
        <w:t xml:space="preserve"> o nadaniu n</w:t>
      </w:r>
      <w:r>
        <w:t xml:space="preserve">umeru </w:t>
      </w:r>
      <w:r w:rsidRPr="007624E1">
        <w:t>PESEL, wydane</w:t>
      </w:r>
      <w:r>
        <w:t>go</w:t>
      </w:r>
      <w:r w:rsidRPr="007624E1">
        <w:t xml:space="preserve"> przez właściwy organ gminy</w:t>
      </w:r>
      <w:r>
        <w:t xml:space="preserve">. W przypadku </w:t>
      </w:r>
      <w:r w:rsidRPr="007247CB">
        <w:t>świadka nieposiadającego numeru PESEL</w:t>
      </w:r>
      <w:r w:rsidRPr="007624E1">
        <w:t xml:space="preserve"> </w:t>
      </w:r>
      <w:r>
        <w:t>n</w:t>
      </w:r>
      <w:r w:rsidRPr="00F0195D">
        <w:t>azwę i numer dokumentu stwierdzającego tożsamość</w:t>
      </w:r>
      <w:r>
        <w:t xml:space="preserve"> oraz</w:t>
      </w:r>
      <w:r w:rsidRPr="00F0195D">
        <w:t xml:space="preserve"> nazwę organu wydającego ten dokument ustala się na podstawie dokumentu tożsamości</w:t>
      </w:r>
      <w:r>
        <w:t>.</w:t>
      </w:r>
      <w:r w:rsidRPr="00F0195D">
        <w:t xml:space="preserve"> </w:t>
      </w:r>
      <w:r w:rsidRPr="00911A9F">
        <w:t>Miejsce zamieszkania</w:t>
      </w:r>
      <w:r>
        <w:t xml:space="preserve"> </w:t>
      </w:r>
      <w:r w:rsidRPr="00911A9F">
        <w:t>oraz numer telefonu i adres poczty elektronicznej</w:t>
      </w:r>
      <w:r>
        <w:t xml:space="preserve"> </w:t>
      </w:r>
      <w:r w:rsidRPr="00911A9F">
        <w:t>świadka ustala się na podstawie</w:t>
      </w:r>
      <w:r>
        <w:t xml:space="preserve"> </w:t>
      </w:r>
      <w:r w:rsidRPr="00911A9F">
        <w:t>pisemnego oświadczenia świadka</w:t>
      </w:r>
      <w:r>
        <w:t>.</w:t>
      </w:r>
      <w:r w:rsidRPr="007236F6">
        <w:t>”</w:t>
      </w:r>
      <w:r>
        <w:t>;</w:t>
      </w:r>
    </w:p>
    <w:p w14:paraId="3F93D70D" w14:textId="77777777" w:rsidR="008B1FA2" w:rsidRPr="007B06A3" w:rsidRDefault="008B1FA2" w:rsidP="008B1FA2">
      <w:pPr>
        <w:pStyle w:val="PKTpunkt"/>
      </w:pPr>
      <w:r w:rsidRPr="007B06A3">
        <w:t>6)</w:t>
      </w:r>
      <w:r w:rsidRPr="007B06A3">
        <w:tab/>
        <w:t xml:space="preserve">w art. 192a w § 1 w zdaniu pierwszym wyrazy </w:t>
      </w:r>
      <w:r>
        <w:t>„</w:t>
      </w:r>
      <w:r w:rsidRPr="007B06A3">
        <w:t>odciski daktyloskopijne</w:t>
      </w:r>
      <w:r>
        <w:t>”</w:t>
      </w:r>
      <w:r w:rsidRPr="007B06A3">
        <w:t xml:space="preserve"> zastępuje się wyrazami </w:t>
      </w:r>
      <w:r>
        <w:t>„</w:t>
      </w:r>
      <w:r w:rsidRPr="007B06A3">
        <w:t>odciski linii papilarnych</w:t>
      </w:r>
      <w:r>
        <w:t>”</w:t>
      </w:r>
      <w:r w:rsidRPr="007B06A3">
        <w:t>;</w:t>
      </w:r>
    </w:p>
    <w:p w14:paraId="25ADDF52" w14:textId="77777777" w:rsidR="008B1FA2" w:rsidRPr="008B1FA2" w:rsidRDefault="008B1FA2" w:rsidP="008B1FA2">
      <w:pPr>
        <w:pStyle w:val="PKTpunkt"/>
      </w:pPr>
      <w:r w:rsidRPr="007B06A3">
        <w:t>7)</w:t>
      </w:r>
      <w:r w:rsidRPr="007B06A3">
        <w:tab/>
        <w:t>w art. 299a § 2 otrzymuje brzmienie:</w:t>
      </w:r>
    </w:p>
    <w:p w14:paraId="1A5D1F36" w14:textId="77777777" w:rsidR="008B1FA2" w:rsidRPr="008B14A3" w:rsidRDefault="008B1FA2" w:rsidP="008B1FA2">
      <w:pPr>
        <w:pStyle w:val="ZUSTzmustartykuempunktem"/>
      </w:pPr>
      <w:r>
        <w:t>„</w:t>
      </w:r>
      <w:r w:rsidRPr="007B06A3">
        <w:t>§ 2. Na wniosek pokrzywdzonego zgłoszony w postępowaniu przygotowawczym sąd powiadamia go o sposobie zakończenia sprawy listem zwykłym, przesłanym na wskazany przez pokrzywdzonego adres</w:t>
      </w:r>
      <w:r>
        <w:t xml:space="preserve"> lub</w:t>
      </w:r>
      <w:r w:rsidRPr="007B06A3">
        <w:t xml:space="preserve"> za pośrednictwem poczty elektronicznej wraz z odpisem prawomocnego orzeczenia kończącego postępowanie w sprawie lub jego wyciągiem, które mogą być przesłane w postaci elektronicznej.</w:t>
      </w:r>
      <w:r>
        <w:t>”</w:t>
      </w:r>
      <w:r w:rsidRPr="007B06A3">
        <w:t>;</w:t>
      </w:r>
    </w:p>
    <w:p w14:paraId="01832CF8" w14:textId="77777777" w:rsidR="008B1FA2" w:rsidRPr="008B1FA2" w:rsidRDefault="008B1FA2" w:rsidP="008B1FA2">
      <w:pPr>
        <w:pStyle w:val="PKTpunkt"/>
      </w:pPr>
      <w:r w:rsidRPr="007B06A3">
        <w:t>8)</w:t>
      </w:r>
      <w:r w:rsidRPr="007B06A3">
        <w:tab/>
        <w:t>w art. 332 w § 1 pkt 1 otrzymuje brzmienie:</w:t>
      </w:r>
    </w:p>
    <w:p w14:paraId="2060CB1C" w14:textId="77777777" w:rsidR="008B1FA2" w:rsidRPr="007B06A3" w:rsidRDefault="008B1FA2" w:rsidP="008B1FA2">
      <w:pPr>
        <w:pStyle w:val="ZPKTzmpktartykuempunktem"/>
      </w:pPr>
      <w:r>
        <w:lastRenderedPageBreak/>
        <w:t>„</w:t>
      </w:r>
      <w:r w:rsidRPr="007B06A3">
        <w:t>1)</w:t>
      </w:r>
      <w:r w:rsidRPr="007B06A3">
        <w:tab/>
        <w:t>imię i nazwisko oskarżonego, inne dane o jego osobie, w tym numer telefonu i adres poczty elektronicznej lub informację o ich nieposiadaniu przez oskarżonego lub niemożności ich ustalenia, dane o zastosowaniu środka zapobiegawczego oraz zabezpieczenia majątkowego;</w:t>
      </w:r>
      <w:r>
        <w:t>”</w:t>
      </w:r>
      <w:r w:rsidRPr="007B06A3">
        <w:t>;</w:t>
      </w:r>
    </w:p>
    <w:p w14:paraId="3C5CC0AC" w14:textId="77777777" w:rsidR="008B1FA2" w:rsidRPr="008B1FA2" w:rsidRDefault="008B1FA2" w:rsidP="008B1FA2">
      <w:pPr>
        <w:pStyle w:val="PKTpunkt"/>
      </w:pPr>
      <w:r w:rsidRPr="007B06A3">
        <w:t>9)</w:t>
      </w:r>
      <w:r w:rsidRPr="007B06A3">
        <w:tab/>
        <w:t>w art. 333 w § 3 zdanie drugie otrzymuje brzmienie:</w:t>
      </w:r>
    </w:p>
    <w:p w14:paraId="4D58611C" w14:textId="77777777" w:rsidR="008B1FA2" w:rsidRPr="007B06A3" w:rsidRDefault="008B1FA2" w:rsidP="008B1FA2">
      <w:pPr>
        <w:pStyle w:val="ZFRAGzmfragmentunpzdaniaartykuempunktem"/>
      </w:pPr>
      <w:r>
        <w:t>„</w:t>
      </w:r>
      <w:r w:rsidRPr="007B06A3">
        <w:t>Należy również podać numery telefonów i adresy poczty elektronicznej osób wskazanych w zdaniu pierwszym, chyba że informacji tych nie można ustalić.</w:t>
      </w:r>
      <w:r>
        <w:t>”</w:t>
      </w:r>
      <w:r w:rsidRPr="007B06A3">
        <w:t>;</w:t>
      </w:r>
    </w:p>
    <w:p w14:paraId="5292506E" w14:textId="77777777" w:rsidR="008B1FA2" w:rsidRPr="008B1FA2" w:rsidRDefault="008B1FA2" w:rsidP="008B1FA2">
      <w:pPr>
        <w:pStyle w:val="PKTpunkt"/>
      </w:pPr>
      <w:r>
        <w:t>10</w:t>
      </w:r>
      <w:r w:rsidRPr="008B1FA2">
        <w:t>)</w:t>
      </w:r>
      <w:r w:rsidRPr="008B1FA2">
        <w:tab/>
        <w:t>w art. 589y w § 1 pkt 1 otrzymuje brzmienie:</w:t>
      </w:r>
    </w:p>
    <w:p w14:paraId="52245CF5" w14:textId="77777777" w:rsidR="008B1FA2" w:rsidRPr="007B06A3" w:rsidRDefault="008B1FA2" w:rsidP="008B1FA2">
      <w:pPr>
        <w:pStyle w:val="ZPKTzmpktartykuempunktem"/>
      </w:pPr>
      <w:r>
        <w:t>„</w:t>
      </w:r>
      <w:r w:rsidRPr="007B06A3">
        <w:t>1)</w:t>
      </w:r>
      <w:r w:rsidRPr="007B06A3">
        <w:tab/>
        <w:t>oznaczenie organu wydającego END i zatwierdzającego END, ze wskazaniem ich adresów, numerów telefonów i adresów poczty elektronicznej;</w:t>
      </w:r>
      <w:r>
        <w:t>”</w:t>
      </w:r>
      <w:r w:rsidRPr="007B06A3">
        <w:t>;</w:t>
      </w:r>
    </w:p>
    <w:p w14:paraId="580F0A67" w14:textId="77777777" w:rsidR="008B1FA2" w:rsidRPr="008B1FA2" w:rsidRDefault="008B1FA2" w:rsidP="008B1FA2">
      <w:pPr>
        <w:pStyle w:val="PKTpunkt"/>
      </w:pPr>
      <w:r w:rsidRPr="007B06A3">
        <w:t>1</w:t>
      </w:r>
      <w:r w:rsidRPr="008B1FA2">
        <w:t>1)</w:t>
      </w:r>
      <w:r w:rsidRPr="008B1FA2">
        <w:tab/>
        <w:t>w art. 607c w § 1 pkt 1 otrzymuje brzmienie:</w:t>
      </w:r>
    </w:p>
    <w:p w14:paraId="540F04BB" w14:textId="77777777" w:rsidR="008B1FA2" w:rsidRPr="007B06A3" w:rsidRDefault="008B1FA2" w:rsidP="008B1FA2">
      <w:pPr>
        <w:pStyle w:val="ZPKTzmpktartykuempunktem"/>
      </w:pPr>
      <w:r>
        <w:t>„</w:t>
      </w:r>
      <w:r w:rsidRPr="007B06A3">
        <w:t>1)</w:t>
      </w:r>
      <w:r w:rsidRPr="007B06A3">
        <w:tab/>
        <w:t>oznaczenie sądu występującego, ze wskazaniem jego adresu, numeru telefonu i</w:t>
      </w:r>
      <w:r w:rsidRPr="00C75B51">
        <w:t> </w:t>
      </w:r>
      <w:r w:rsidRPr="007B06A3">
        <w:t>adresu poczty elektronicznej;</w:t>
      </w:r>
      <w:r>
        <w:t>”</w:t>
      </w:r>
      <w:r w:rsidRPr="007B06A3">
        <w:t>.</w:t>
      </w:r>
    </w:p>
    <w:p w14:paraId="5F3568AD" w14:textId="73A63CAE" w:rsidR="008B1FA2" w:rsidRPr="008B1FA2" w:rsidRDefault="008B1FA2" w:rsidP="008B1FA2">
      <w:pPr>
        <w:pStyle w:val="ARTartustawynprozporzdzenia"/>
      </w:pPr>
      <w:r w:rsidRPr="007B06A3">
        <w:rPr>
          <w:rStyle w:val="Ppogrubienie"/>
        </w:rPr>
        <w:t>Art.</w:t>
      </w:r>
      <w:r w:rsidR="00FA2211">
        <w:rPr>
          <w:rStyle w:val="Ppogrubienie"/>
        </w:rPr>
        <w:t> </w:t>
      </w:r>
      <w:r w:rsidRPr="008B1FA2">
        <w:rPr>
          <w:rStyle w:val="Ppogrubienie"/>
        </w:rPr>
        <w:t>2.</w:t>
      </w:r>
      <w:r w:rsidR="00FA2211">
        <w:t> </w:t>
      </w:r>
      <w:r w:rsidRPr="008B1FA2">
        <w:t>W ustawie z dnia 18 listopada 2020 r. o doręczeniach elektronicznych (Dz. U. z 2026 r. poz. 3 i 507) w art. 82:</w:t>
      </w:r>
    </w:p>
    <w:p w14:paraId="1EFDA086" w14:textId="77777777" w:rsidR="008B1FA2" w:rsidRPr="008B1FA2" w:rsidRDefault="008B1FA2" w:rsidP="008B1FA2">
      <w:pPr>
        <w:pStyle w:val="PKTpunkt"/>
      </w:pPr>
      <w:r w:rsidRPr="007B06A3">
        <w:t>1)</w:t>
      </w:r>
      <w:r w:rsidRPr="007B06A3">
        <w:tab/>
        <w:t>pkt 4 otrzymuje brzmienie:</w:t>
      </w:r>
    </w:p>
    <w:p w14:paraId="0303E8D5" w14:textId="77777777" w:rsidR="008B1FA2" w:rsidRPr="007B06A3" w:rsidRDefault="008B1FA2" w:rsidP="008B1FA2">
      <w:pPr>
        <w:pStyle w:val="ZPKTzmpktartykuempunktem"/>
      </w:pPr>
      <w:r>
        <w:t>„</w:t>
      </w:r>
      <w:r w:rsidRPr="007B06A3">
        <w:t>4)</w:t>
      </w:r>
      <w:r w:rsidRPr="007B06A3">
        <w:tab/>
        <w:t>w</w:t>
      </w:r>
      <w:r>
        <w:t xml:space="preserve"> art. 119</w:t>
      </w:r>
      <w:r w:rsidRPr="007B06A3">
        <w:t xml:space="preserve"> w § 1 pkt 2 otrzymuje brzmienie:</w:t>
      </w:r>
    </w:p>
    <w:p w14:paraId="4807F70A" w14:textId="77777777" w:rsidR="008B1FA2" w:rsidRPr="007B06A3" w:rsidRDefault="008B1FA2" w:rsidP="00DF4D0A">
      <w:pPr>
        <w:pStyle w:val="ZZPKTzmianazmpkt"/>
      </w:pPr>
      <w:r>
        <w:t>„</w:t>
      </w:r>
      <w:r w:rsidRPr="007B06A3">
        <w:t>2)</w:t>
      </w:r>
      <w:r w:rsidRPr="007B06A3">
        <w:tab/>
        <w:t xml:space="preserve">oznaczenie oraz adres wnoszącego pismo, a także </w:t>
      </w:r>
      <w:r w:rsidRPr="00E1322D">
        <w:t>–</w:t>
      </w:r>
      <w:r w:rsidRPr="007B06A3">
        <w:t xml:space="preserve"> w pierwszym piśmie złożonym w sprawie:</w:t>
      </w:r>
    </w:p>
    <w:p w14:paraId="749D154C" w14:textId="4B72C69D" w:rsidR="008B1FA2" w:rsidRPr="007B06A3" w:rsidRDefault="008B1FA2" w:rsidP="00DF4D0A">
      <w:pPr>
        <w:pStyle w:val="ZZLITwPKTzmianazmlitwpkt"/>
      </w:pPr>
      <w:r w:rsidRPr="007B06A3">
        <w:t>a)</w:t>
      </w:r>
      <w:r w:rsidRPr="007B06A3">
        <w:tab/>
        <w:t>oświadczenie wnoszącego pismo będącego podmiotem niepublicznym, o</w:t>
      </w:r>
      <w:r w:rsidRPr="00C75B51">
        <w:t> </w:t>
      </w:r>
      <w:r w:rsidRPr="007B06A3">
        <w:t>którym mowa w art. 2 pkt 5 ustawy z dnia 18</w:t>
      </w:r>
      <w:r w:rsidR="001C1C0B">
        <w:t> </w:t>
      </w:r>
      <w:r w:rsidRPr="007B06A3">
        <w:t>listopada 2020 r. o</w:t>
      </w:r>
      <w:r w:rsidRPr="00C75B51">
        <w:t> </w:t>
      </w:r>
      <w:r w:rsidRPr="007B06A3">
        <w:t>doręczeniach elektronicznych, o wyrażeniu zgody na dokonywanie doręczeń na adres do doręczeń elektronicznych, wraz ze wskazaniem tego adresu albo braku takiej zgody, chyba że takie oświadczenie już zostało przez niego w tym postępowaniu złożone,</w:t>
      </w:r>
    </w:p>
    <w:p w14:paraId="4946ED36" w14:textId="77777777" w:rsidR="008B1FA2" w:rsidRPr="007B06A3" w:rsidRDefault="008B1FA2" w:rsidP="00DF4D0A">
      <w:pPr>
        <w:pStyle w:val="ZZLITwPKTzmianazmlitwpkt"/>
      </w:pPr>
      <w:r w:rsidRPr="007B06A3">
        <w:t>b)</w:t>
      </w:r>
      <w:r w:rsidRPr="007B06A3">
        <w:tab/>
        <w:t>numer telefonu i adres poczty elektronicznej lub oświadczenie o ich nieposiadaniu;</w:t>
      </w:r>
      <w:r>
        <w:t>”</w:t>
      </w:r>
      <w:r w:rsidRPr="007B06A3">
        <w:t>;</w:t>
      </w:r>
      <w:r>
        <w:t>”;</w:t>
      </w:r>
    </w:p>
    <w:p w14:paraId="4106F9F9" w14:textId="77777777" w:rsidR="008B1FA2" w:rsidRPr="008B1FA2" w:rsidRDefault="008B1FA2" w:rsidP="008B1FA2">
      <w:pPr>
        <w:pStyle w:val="PKTpunkt"/>
      </w:pPr>
      <w:r w:rsidRPr="007B06A3">
        <w:t>2)</w:t>
      </w:r>
      <w:r w:rsidRPr="007B06A3">
        <w:tab/>
        <w:t>pkt 16 otrzymuje brzmienie:</w:t>
      </w:r>
    </w:p>
    <w:p w14:paraId="43B098A1" w14:textId="77777777" w:rsidR="008B1FA2" w:rsidRPr="008B1FA2" w:rsidRDefault="008B1FA2" w:rsidP="008B1FA2">
      <w:pPr>
        <w:pStyle w:val="ZPKTzmpktartykuempunktem"/>
      </w:pPr>
      <w:r>
        <w:t>„</w:t>
      </w:r>
      <w:r w:rsidRPr="008B1FA2">
        <w:t>16)</w:t>
      </w:r>
      <w:r w:rsidRPr="008B1FA2">
        <w:tab/>
        <w:t>w art. 148a:</w:t>
      </w:r>
    </w:p>
    <w:p w14:paraId="68DC23CA" w14:textId="77777777" w:rsidR="008B1FA2" w:rsidRPr="007B06A3" w:rsidRDefault="008B1FA2" w:rsidP="008B1FA2">
      <w:pPr>
        <w:pStyle w:val="ZLITwPKTzmlitwpktartykuempunktem"/>
      </w:pPr>
      <w:r w:rsidRPr="007B06A3">
        <w:t>a)</w:t>
      </w:r>
      <w:r w:rsidRPr="007B06A3">
        <w:tab/>
        <w:t>§ 1 otrzymuje brzmienie:</w:t>
      </w:r>
    </w:p>
    <w:p w14:paraId="6055EB46" w14:textId="1E045D37" w:rsidR="008B1FA2" w:rsidRPr="007B06A3" w:rsidRDefault="008B1FA2" w:rsidP="00DF4D0A">
      <w:pPr>
        <w:pStyle w:val="ZZUSTzmianazmust"/>
      </w:pPr>
      <w:r>
        <w:t>„</w:t>
      </w:r>
      <w:r w:rsidRPr="007B06A3">
        <w:t>§ 1. W protokole nie zamieszcza się danych dotyczących miejsca zamieszkania</w:t>
      </w:r>
      <w:r>
        <w:t>,</w:t>
      </w:r>
      <w:r w:rsidRPr="007B06A3">
        <w:t xml:space="preserve"> miejsca pracy, numeru telefonu, adresu poczty </w:t>
      </w:r>
      <w:r w:rsidRPr="007B06A3">
        <w:lastRenderedPageBreak/>
        <w:t>elektronicznej, adresu do doręczeń elektronicznych, numeru PESEL oraz nazwy i numeru dokumentu stwierdzającego tożsamość</w:t>
      </w:r>
      <w:r>
        <w:t>,</w:t>
      </w:r>
      <w:r w:rsidRPr="007B06A3">
        <w:t xml:space="preserve"> jak również nazwy organu wydającego </w:t>
      </w:r>
      <w:r>
        <w:t xml:space="preserve">ten </w:t>
      </w:r>
      <w:r w:rsidRPr="007B06A3">
        <w:t>dokument pokrzywdzonych i świadków uczestniczących w czynności. Dane te, niezamieszczone w protokole, zamieszcza się w załączniku do protokołu, który przechowuje się w załączniku adresowym do akt sprawy, do wiadomości organu prowadzącego postępowanie.</w:t>
      </w:r>
      <w:r>
        <w:t>”</w:t>
      </w:r>
      <w:r w:rsidRPr="007B06A3">
        <w:t>,</w:t>
      </w:r>
    </w:p>
    <w:p w14:paraId="5B2FD609" w14:textId="77777777" w:rsidR="008B1FA2" w:rsidRPr="007B06A3" w:rsidRDefault="008B1FA2" w:rsidP="008B1FA2">
      <w:pPr>
        <w:pStyle w:val="ZLITwPKTzmlitwpktartykuempunktem"/>
      </w:pPr>
      <w:r w:rsidRPr="007B06A3">
        <w:t>b)</w:t>
      </w:r>
      <w:r w:rsidRPr="007B06A3">
        <w:tab/>
        <w:t>§ 3 i 4 otrzymują brzmienie:</w:t>
      </w:r>
    </w:p>
    <w:p w14:paraId="55330FE7" w14:textId="77777777" w:rsidR="008B1FA2" w:rsidRPr="007B06A3" w:rsidRDefault="008B1FA2" w:rsidP="00DF4D0A">
      <w:pPr>
        <w:pStyle w:val="ZZUSTzmianazmust"/>
      </w:pPr>
      <w:r>
        <w:t>„</w:t>
      </w:r>
      <w:r w:rsidRPr="007B06A3">
        <w:t>§ 3. Jeżeli dane dotyczące miejsca zamieszkania, miejsca pracy, numeru telefonu, adresu poczty elektronicznej, adresu do doręczeń elektronicznych, numer</w:t>
      </w:r>
      <w:r>
        <w:t>u</w:t>
      </w:r>
      <w:r w:rsidRPr="007B06A3">
        <w:t xml:space="preserve"> PESEL oraz nazw</w:t>
      </w:r>
      <w:r>
        <w:t>y</w:t>
      </w:r>
      <w:r w:rsidRPr="007B06A3">
        <w:t xml:space="preserve"> i numer</w:t>
      </w:r>
      <w:r>
        <w:t>u</w:t>
      </w:r>
      <w:r w:rsidRPr="007B06A3">
        <w:t xml:space="preserve"> dokumentu stwierdzającego tożsamość</w:t>
      </w:r>
      <w:r>
        <w:t>,</w:t>
      </w:r>
      <w:r w:rsidRPr="007B06A3">
        <w:t xml:space="preserve"> jak również nazw</w:t>
      </w:r>
      <w:r>
        <w:t>y</w:t>
      </w:r>
      <w:r w:rsidRPr="007B06A3">
        <w:t xml:space="preserve"> organu wydającego </w:t>
      </w:r>
      <w:r>
        <w:t xml:space="preserve">ten </w:t>
      </w:r>
      <w:r w:rsidRPr="007B06A3">
        <w:t>dokument</w:t>
      </w:r>
      <w:r>
        <w:t>,</w:t>
      </w:r>
      <w:r w:rsidRPr="007B06A3">
        <w:t xml:space="preserve"> pokrzywdzonych i świadków są zawarte w dokumentach innych niż protokół, o którym mowa w § 1, dokumenty, w całości lub w części, w jakiej zawierają te dane, przechowuje się w załączniku adresowym do akt sprawy, do wiadomości organu prowadzącego postępowanie. Do akt sprawy załącza się uwierzytelnione kserokopie dokumentów lub ich części, sporządzone w sposób uniemożliwiający zapoznanie się z tymi danymi.</w:t>
      </w:r>
    </w:p>
    <w:p w14:paraId="22F5FBB1" w14:textId="1D3A1847" w:rsidR="008B1FA2" w:rsidRPr="007B06A3" w:rsidRDefault="008B1FA2" w:rsidP="00DF4D0A">
      <w:pPr>
        <w:pStyle w:val="ZZUSTzmianazmust"/>
      </w:pPr>
      <w:r w:rsidRPr="007B06A3">
        <w:t>§ 4. Przeprowadzający czynność w postępowaniu przygotowawczym albo przewodniczący składu sądu – w odniesieniu do protokołu, o którym mowa w</w:t>
      </w:r>
      <w:r w:rsidRPr="00C75B51">
        <w:t> </w:t>
      </w:r>
      <w:r w:rsidRPr="007B06A3">
        <w:t>§</w:t>
      </w:r>
      <w:r w:rsidRPr="00C75B51">
        <w:t> </w:t>
      </w:r>
      <w:r w:rsidRPr="007B06A3">
        <w:t>1, a w odniesieniu do innych dokumentów – organ prowadzący postępowanie przygotowawcze albo prezes sądu lub przewodniczący składu sądu może zarządzić o odstąpieniu, w całości lub w części, od stosowania przepisów § 1 lub 3:</w:t>
      </w:r>
    </w:p>
    <w:p w14:paraId="51C588EC" w14:textId="77777777" w:rsidR="008B1FA2" w:rsidRPr="007B06A3" w:rsidRDefault="008B1FA2" w:rsidP="00DF4D0A">
      <w:pPr>
        <w:pStyle w:val="ZZPKTzmianazmpkt"/>
      </w:pPr>
      <w:r w:rsidRPr="007B06A3">
        <w:t>1)</w:t>
      </w:r>
      <w:r w:rsidRPr="007B06A3">
        <w:tab/>
        <w:t>jeżeli dane dotyczące miejsca zamieszkania, miejsca pracy, numeru telefonu, adresu poczty elektronicznej i adresu do doręczeń elektronicznych pokrzywdzonego lub świadka są oskarżonemu znane;</w:t>
      </w:r>
    </w:p>
    <w:p w14:paraId="2222947C" w14:textId="77777777" w:rsidR="008B1FA2" w:rsidRPr="007B06A3" w:rsidRDefault="008B1FA2" w:rsidP="00DF4D0A">
      <w:pPr>
        <w:pStyle w:val="ZZPKTzmianazmpkt"/>
      </w:pPr>
      <w:r w:rsidRPr="007B06A3">
        <w:t>2)</w:t>
      </w:r>
      <w:r w:rsidRPr="007B06A3">
        <w:tab/>
        <w:t xml:space="preserve">w odniesieniu do danych dotyczących miejsca zamieszkania, miejsca pracy, numeru telefonu, adresu poczty elektronicznej, adresu do doręczeń elektronicznych oraz numeru PESEL pokrzywdzonego lub świadka, jeżeli dane te są związane z miejscem prowadzenia działalności gospodarczej przez pokrzywdzonego lub świadka i </w:t>
      </w:r>
      <w:r w:rsidRPr="007B06A3">
        <w:lastRenderedPageBreak/>
        <w:t>zostały przekazane do</w:t>
      </w:r>
      <w:r w:rsidRPr="003B11DC">
        <w:t xml:space="preserve"> </w:t>
      </w:r>
      <w:r w:rsidRPr="007B06A3">
        <w:t>wiadomości publicznej do właściwego rejestru lub</w:t>
      </w:r>
      <w:r>
        <w:t xml:space="preserve"> </w:t>
      </w:r>
      <w:r w:rsidRPr="007B06A3">
        <w:t>właściwe</w:t>
      </w:r>
      <w:r>
        <w:t>j</w:t>
      </w:r>
      <w:r w:rsidRPr="007B06A3">
        <w:t xml:space="preserve"> ewidencji;</w:t>
      </w:r>
    </w:p>
    <w:p w14:paraId="23A72F37" w14:textId="77777777" w:rsidR="008B1FA2" w:rsidRPr="007B06A3" w:rsidRDefault="008B1FA2" w:rsidP="00DF4D0A">
      <w:pPr>
        <w:pStyle w:val="ZZPKTzmianazmpkt"/>
      </w:pPr>
      <w:r w:rsidRPr="007B06A3">
        <w:t>3)</w:t>
      </w:r>
      <w:r w:rsidRPr="007B06A3">
        <w:tab/>
        <w:t>z powodu oczywistego braku potrzeby ochrony danych dotyczących miejsca zamieszkania, miejsca pracy, numeru telefonu</w:t>
      </w:r>
      <w:r>
        <w:t xml:space="preserve"> lub</w:t>
      </w:r>
      <w:r w:rsidRPr="007B06A3">
        <w:t xml:space="preserve"> adresu poczty elektronicznej</w:t>
      </w:r>
      <w:r>
        <w:t xml:space="preserve"> i</w:t>
      </w:r>
      <w:r w:rsidRPr="007B06A3">
        <w:t xml:space="preserve"> adresu do doręczeń elektronicznych pokrzywdzonego lub świadka z</w:t>
      </w:r>
      <w:r w:rsidRPr="00C75B51">
        <w:t> </w:t>
      </w:r>
      <w:r w:rsidRPr="007B06A3">
        <w:t>uwagi na charakter sprawy.</w:t>
      </w:r>
      <w:r>
        <w:t>”</w:t>
      </w:r>
      <w:r w:rsidRPr="007B06A3">
        <w:t>;</w:t>
      </w:r>
      <w:r>
        <w:t>”;</w:t>
      </w:r>
    </w:p>
    <w:p w14:paraId="5FCB2679" w14:textId="77777777" w:rsidR="008B1FA2" w:rsidRPr="008B1FA2" w:rsidRDefault="008B1FA2" w:rsidP="008B1FA2">
      <w:pPr>
        <w:pStyle w:val="PKTpunkt"/>
      </w:pPr>
      <w:r w:rsidRPr="007B06A3">
        <w:t>3)</w:t>
      </w:r>
      <w:r w:rsidRPr="007B06A3">
        <w:tab/>
        <w:t>pkt 21 otrzymuje brzmienie:</w:t>
      </w:r>
    </w:p>
    <w:p w14:paraId="0F8FD377" w14:textId="77777777" w:rsidR="008B1FA2" w:rsidRPr="008B1FA2" w:rsidRDefault="008B1FA2" w:rsidP="008B1FA2">
      <w:pPr>
        <w:pStyle w:val="ZPKTzmpktartykuempunktem"/>
      </w:pPr>
      <w:r>
        <w:t>„</w:t>
      </w:r>
      <w:r w:rsidRPr="008B1FA2">
        <w:t>21)</w:t>
      </w:r>
      <w:r w:rsidRPr="008B1FA2">
        <w:tab/>
        <w:t xml:space="preserve">w art. 333 w </w:t>
      </w:r>
      <w:bookmarkStart w:id="1" w:name="_Hlk220590684"/>
      <w:r w:rsidRPr="008B1FA2">
        <w:t xml:space="preserve">§ 3 </w:t>
      </w:r>
      <w:bookmarkEnd w:id="1"/>
      <w:r w:rsidRPr="008B1FA2">
        <w:t>zdanie drugie otrzymuje brzmienie:</w:t>
      </w:r>
    </w:p>
    <w:p w14:paraId="1BB0381A" w14:textId="77777777" w:rsidR="008B1FA2" w:rsidRPr="007B06A3" w:rsidRDefault="008B1FA2" w:rsidP="00DF4D0A">
      <w:pPr>
        <w:pStyle w:val="ZZFRAGzmianazmfragmentunpzdania"/>
      </w:pPr>
      <w:r>
        <w:t>„</w:t>
      </w:r>
      <w:r w:rsidRPr="007B06A3">
        <w:t>Należy również podać numery telefonów i adresy poczty elektronicznej osób wskazanych w zdaniu pierwszym, chyba że informacji tych nie można ustalić, oraz adresy do doręczeń elektronicznych, jeżeli osoby te wyraziły zgodę na dokonywanie doręczeń na ten adres.</w:t>
      </w:r>
      <w:r>
        <w:t>”</w:t>
      </w:r>
      <w:r w:rsidRPr="007B06A3">
        <w:t>.</w:t>
      </w:r>
      <w:r>
        <w:t>”.</w:t>
      </w:r>
    </w:p>
    <w:p w14:paraId="449A7AED" w14:textId="3CDB791A" w:rsidR="00261A16" w:rsidRPr="00737F6A" w:rsidRDefault="008B1FA2" w:rsidP="00DF4D0A">
      <w:pPr>
        <w:pStyle w:val="ARTartustawynprozporzdzenia"/>
      </w:pPr>
      <w:r w:rsidRPr="007B3309">
        <w:rPr>
          <w:rStyle w:val="Ppogrubienie"/>
        </w:rPr>
        <w:t>Art.</w:t>
      </w:r>
      <w:r w:rsidR="00FA2211">
        <w:rPr>
          <w:rStyle w:val="Ppogrubienie"/>
        </w:rPr>
        <w:t> </w:t>
      </w:r>
      <w:r>
        <w:rPr>
          <w:rStyle w:val="Ppogrubienie"/>
        </w:rPr>
        <w:t>3</w:t>
      </w:r>
      <w:r w:rsidRPr="007B3309">
        <w:rPr>
          <w:rStyle w:val="Ppogrubienie"/>
        </w:rPr>
        <w:t>.</w:t>
      </w:r>
      <w:r w:rsidR="00FA2211">
        <w:t> </w:t>
      </w:r>
      <w:r w:rsidRPr="007B06A3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AFF4" w14:textId="77777777" w:rsidR="00904470" w:rsidRDefault="00904470">
      <w:r>
        <w:separator/>
      </w:r>
    </w:p>
  </w:endnote>
  <w:endnote w:type="continuationSeparator" w:id="0">
    <w:p w14:paraId="42EE2B91" w14:textId="77777777" w:rsidR="00904470" w:rsidRDefault="0090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94FC" w14:textId="77777777" w:rsidR="00904470" w:rsidRDefault="00904470">
      <w:r>
        <w:separator/>
      </w:r>
    </w:p>
  </w:footnote>
  <w:footnote w:type="continuationSeparator" w:id="0">
    <w:p w14:paraId="016C3FCD" w14:textId="77777777" w:rsidR="00904470" w:rsidRDefault="0090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071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7470002">
    <w:abstractNumId w:val="23"/>
  </w:num>
  <w:num w:numId="2" w16cid:durableId="718627813">
    <w:abstractNumId w:val="23"/>
  </w:num>
  <w:num w:numId="3" w16cid:durableId="517892961">
    <w:abstractNumId w:val="18"/>
  </w:num>
  <w:num w:numId="4" w16cid:durableId="275794685">
    <w:abstractNumId w:val="18"/>
  </w:num>
  <w:num w:numId="5" w16cid:durableId="934438819">
    <w:abstractNumId w:val="35"/>
  </w:num>
  <w:num w:numId="6" w16cid:durableId="323361910">
    <w:abstractNumId w:val="31"/>
  </w:num>
  <w:num w:numId="7" w16cid:durableId="1898971862">
    <w:abstractNumId w:val="35"/>
  </w:num>
  <w:num w:numId="8" w16cid:durableId="1009916021">
    <w:abstractNumId w:val="31"/>
  </w:num>
  <w:num w:numId="9" w16cid:durableId="1117336560">
    <w:abstractNumId w:val="35"/>
  </w:num>
  <w:num w:numId="10" w16cid:durableId="1917786710">
    <w:abstractNumId w:val="31"/>
  </w:num>
  <w:num w:numId="11" w16cid:durableId="1257441466">
    <w:abstractNumId w:val="14"/>
  </w:num>
  <w:num w:numId="12" w16cid:durableId="13462523">
    <w:abstractNumId w:val="10"/>
  </w:num>
  <w:num w:numId="13" w16cid:durableId="1160345381">
    <w:abstractNumId w:val="15"/>
  </w:num>
  <w:num w:numId="14" w16cid:durableId="845444014">
    <w:abstractNumId w:val="26"/>
  </w:num>
  <w:num w:numId="15" w16cid:durableId="1079331359">
    <w:abstractNumId w:val="14"/>
  </w:num>
  <w:num w:numId="16" w16cid:durableId="2087992403">
    <w:abstractNumId w:val="16"/>
  </w:num>
  <w:num w:numId="17" w16cid:durableId="1092899163">
    <w:abstractNumId w:val="8"/>
  </w:num>
  <w:num w:numId="18" w16cid:durableId="1161196490">
    <w:abstractNumId w:val="3"/>
  </w:num>
  <w:num w:numId="19" w16cid:durableId="1579821277">
    <w:abstractNumId w:val="2"/>
  </w:num>
  <w:num w:numId="20" w16cid:durableId="1514807973">
    <w:abstractNumId w:val="1"/>
  </w:num>
  <w:num w:numId="21" w16cid:durableId="109205508">
    <w:abstractNumId w:val="0"/>
  </w:num>
  <w:num w:numId="22" w16cid:durableId="1882980498">
    <w:abstractNumId w:val="9"/>
  </w:num>
  <w:num w:numId="23" w16cid:durableId="1726565742">
    <w:abstractNumId w:val="7"/>
  </w:num>
  <w:num w:numId="24" w16cid:durableId="357975378">
    <w:abstractNumId w:val="6"/>
  </w:num>
  <w:num w:numId="25" w16cid:durableId="517551041">
    <w:abstractNumId w:val="5"/>
  </w:num>
  <w:num w:numId="26" w16cid:durableId="1499418389">
    <w:abstractNumId w:val="4"/>
  </w:num>
  <w:num w:numId="27" w16cid:durableId="1951544181">
    <w:abstractNumId w:val="33"/>
  </w:num>
  <w:num w:numId="28" w16cid:durableId="1529828477">
    <w:abstractNumId w:val="25"/>
  </w:num>
  <w:num w:numId="29" w16cid:durableId="879588358">
    <w:abstractNumId w:val="36"/>
  </w:num>
  <w:num w:numId="30" w16cid:durableId="773673762">
    <w:abstractNumId w:val="32"/>
  </w:num>
  <w:num w:numId="31" w16cid:durableId="252399074">
    <w:abstractNumId w:val="19"/>
  </w:num>
  <w:num w:numId="32" w16cid:durableId="406415285">
    <w:abstractNumId w:val="11"/>
  </w:num>
  <w:num w:numId="33" w16cid:durableId="2083675514">
    <w:abstractNumId w:val="30"/>
  </w:num>
  <w:num w:numId="34" w16cid:durableId="1371691086">
    <w:abstractNumId w:val="20"/>
  </w:num>
  <w:num w:numId="35" w16cid:durableId="2049405129">
    <w:abstractNumId w:val="17"/>
  </w:num>
  <w:num w:numId="36" w16cid:durableId="272787011">
    <w:abstractNumId w:val="22"/>
  </w:num>
  <w:num w:numId="37" w16cid:durableId="1591045702">
    <w:abstractNumId w:val="27"/>
  </w:num>
  <w:num w:numId="38" w16cid:durableId="1767537241">
    <w:abstractNumId w:val="24"/>
  </w:num>
  <w:num w:numId="39" w16cid:durableId="420882544">
    <w:abstractNumId w:val="13"/>
  </w:num>
  <w:num w:numId="40" w16cid:durableId="1917592849">
    <w:abstractNumId w:val="29"/>
  </w:num>
  <w:num w:numId="41" w16cid:durableId="391848264">
    <w:abstractNumId w:val="28"/>
  </w:num>
  <w:num w:numId="42" w16cid:durableId="710493012">
    <w:abstractNumId w:val="21"/>
  </w:num>
  <w:num w:numId="43" w16cid:durableId="1528985192">
    <w:abstractNumId w:val="34"/>
  </w:num>
  <w:num w:numId="44" w16cid:durableId="1609504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A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29C5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18C5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1C0B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443B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49D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397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FEB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0790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286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1FA2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4470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4B33"/>
    <w:rsid w:val="00984E03"/>
    <w:rsid w:val="00987E85"/>
    <w:rsid w:val="009A066C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E42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5730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4D0A"/>
    <w:rsid w:val="00DF7648"/>
    <w:rsid w:val="00E00E29"/>
    <w:rsid w:val="00E02BAB"/>
    <w:rsid w:val="00E04CEB"/>
    <w:rsid w:val="00E060BC"/>
    <w:rsid w:val="00E11420"/>
    <w:rsid w:val="00E132FB"/>
    <w:rsid w:val="00E14AA6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6C6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588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211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73688"/>
  <w15:docId w15:val="{FF15D3E6-FECF-4AA3-A4AE-8ED2B966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A2211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5</Pages>
  <Words>1195</Words>
  <Characters>7175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Pietrzak Ewa</cp:lastModifiedBy>
  <cp:revision>2</cp:revision>
  <cp:lastPrinted>2026-07-07T06:58:00Z</cp:lastPrinted>
  <dcterms:created xsi:type="dcterms:W3CDTF">2026-07-08T05:58:00Z</dcterms:created>
  <dcterms:modified xsi:type="dcterms:W3CDTF">2026-07-08T05:58:00Z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