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6E6AB" w14:textId="56E50C4D" w:rsidR="00EA7D7F" w:rsidRPr="00965C99" w:rsidRDefault="003F27C6" w:rsidP="00965C99">
      <w:pPr>
        <w:keepNext/>
        <w:suppressAutoHyphens/>
        <w:spacing w:after="240" w:line="360" w:lineRule="auto"/>
        <w:jc w:val="center"/>
        <w:rPr>
          <w:rFonts w:ascii="Times" w:eastAsia="Times New Roman" w:hAnsi="Times" w:cs="Arial"/>
          <w:kern w:val="0"/>
          <w:lang w:eastAsia="pl-PL"/>
          <w14:ligatures w14:val="none"/>
        </w:rPr>
      </w:pPr>
      <w:r w:rsidRPr="003F27C6">
        <w:rPr>
          <w:rFonts w:ascii="Times" w:eastAsia="Times New Roman" w:hAnsi="Times" w:cs="Arial"/>
          <w:kern w:val="0"/>
          <w:lang w:eastAsia="pl-PL"/>
          <w14:ligatures w14:val="none"/>
        </w:rPr>
        <w:t>UZASADNIENIE</w:t>
      </w:r>
    </w:p>
    <w:p w14:paraId="66EC03E9" w14:textId="77777777" w:rsidR="00EA7D7F" w:rsidRPr="00EA7D7F" w:rsidRDefault="00EA7D7F" w:rsidP="00EA7D7F">
      <w:pPr>
        <w:suppressAutoHyphens/>
        <w:autoSpaceDE w:val="0"/>
        <w:autoSpaceDN w:val="0"/>
        <w:adjustRightInd w:val="0"/>
        <w:spacing w:before="120" w:after="0" w:line="360" w:lineRule="auto"/>
        <w:ind w:firstLine="510"/>
        <w:jc w:val="both"/>
        <w:rPr>
          <w:rFonts w:ascii="Times" w:eastAsia="Times New Roman" w:hAnsi="Times" w:cs="Arial"/>
          <w:bCs/>
          <w:kern w:val="0"/>
          <w:szCs w:val="20"/>
          <w:lang w:eastAsia="pl-PL"/>
          <w14:ligatures w14:val="none"/>
        </w:rPr>
      </w:pPr>
      <w:r w:rsidRPr="00EA7D7F">
        <w:rPr>
          <w:rFonts w:ascii="Times" w:eastAsia="Times New Roman" w:hAnsi="Times" w:cs="Arial"/>
          <w:bCs/>
          <w:kern w:val="0"/>
          <w:szCs w:val="20"/>
          <w:lang w:eastAsia="pl-PL"/>
          <w14:ligatures w14:val="none"/>
        </w:rPr>
        <w:t>Celem projektu jest wyeliminowanie mankamentów regulacji ustawy z dnia 6 czerwca 1997 r. – Kodeks postępowania karnego (Dz. U. z 2026 r. poz. 490, z późn. zm.), dalej jako „k.p.k.”, dostrzeżonych w praktyce ich stosowania.</w:t>
      </w:r>
    </w:p>
    <w:p w14:paraId="075F0107" w14:textId="77777777" w:rsidR="00EA7D7F" w:rsidRPr="00EA7D7F" w:rsidRDefault="00EA7D7F" w:rsidP="00EA7D7F">
      <w:pPr>
        <w:keepNext/>
        <w:suppressAutoHyphens/>
        <w:autoSpaceDE w:val="0"/>
        <w:autoSpaceDN w:val="0"/>
        <w:adjustRightInd w:val="0"/>
        <w:spacing w:before="120" w:after="0" w:line="360" w:lineRule="auto"/>
        <w:ind w:firstLine="510"/>
        <w:jc w:val="both"/>
        <w:rPr>
          <w:rFonts w:ascii="Times" w:eastAsia="Times New Roman" w:hAnsi="Times" w:cs="Arial"/>
          <w:bCs/>
          <w:kern w:val="0"/>
          <w:szCs w:val="20"/>
          <w:lang w:eastAsia="pl-PL"/>
          <w14:ligatures w14:val="none"/>
        </w:rPr>
      </w:pPr>
      <w:r w:rsidRPr="00EA7D7F">
        <w:rPr>
          <w:rFonts w:ascii="Times" w:eastAsia="Times New Roman" w:hAnsi="Times" w:cs="Arial"/>
          <w:bCs/>
          <w:kern w:val="0"/>
          <w:szCs w:val="20"/>
          <w:lang w:eastAsia="pl-PL"/>
          <w14:ligatures w14:val="none"/>
        </w:rPr>
        <w:t>W projekcie zaproponowano:</w:t>
      </w:r>
    </w:p>
    <w:p w14:paraId="62B714ED" w14:textId="77777777" w:rsidR="00EA7D7F" w:rsidRPr="00EA7D7F" w:rsidRDefault="00EA7D7F" w:rsidP="00EA7D7F">
      <w:pPr>
        <w:spacing w:after="0" w:line="360" w:lineRule="auto"/>
        <w:ind w:left="510" w:hanging="510"/>
        <w:jc w:val="both"/>
        <w:rPr>
          <w:rFonts w:ascii="Times" w:eastAsia="Times New Roman" w:hAnsi="Times" w:cs="Arial"/>
          <w:bCs/>
          <w:kern w:val="0"/>
          <w:szCs w:val="20"/>
          <w:lang w:eastAsia="pl-PL"/>
          <w14:ligatures w14:val="none"/>
        </w:rPr>
      </w:pPr>
      <w:r w:rsidRPr="00EA7D7F">
        <w:rPr>
          <w:rFonts w:ascii="Times" w:eastAsia="Times New Roman" w:hAnsi="Times" w:cs="Arial"/>
          <w:bCs/>
          <w:kern w:val="0"/>
          <w:szCs w:val="20"/>
          <w:lang w:eastAsia="pl-PL"/>
          <w14:ligatures w14:val="none"/>
        </w:rPr>
        <w:t>1.</w:t>
      </w:r>
      <w:r w:rsidRPr="00EA7D7F">
        <w:rPr>
          <w:rFonts w:ascii="Times" w:eastAsia="Times New Roman" w:hAnsi="Times" w:cs="Arial"/>
          <w:bCs/>
          <w:kern w:val="0"/>
          <w:szCs w:val="20"/>
          <w:lang w:eastAsia="pl-PL"/>
          <w14:ligatures w14:val="none"/>
        </w:rPr>
        <w:tab/>
        <w:t>rozszerzenie zakresu danych osobowych odbieranych w trakcie przesłuchania od świadka (numer PESEL, nazwa i numer dokumentu stwierdzającego tożsamość, nazwa organu wydającego ten dokument, numer telefonu, adres poczty elektronicznej) oraz ochronę tych danych, w zakresie dotychczas niewskazanym, poprzez zamieszczanie w załączniku do protokołu przechowywanym w załączniku adresowym do akt sprawy (art. 191 § 1a k.p.k. i art. 148a § 1 k.p.k.);</w:t>
      </w:r>
    </w:p>
    <w:p w14:paraId="24AAA875" w14:textId="0B39EB67" w:rsidR="00EA7D7F" w:rsidRPr="00EA7D7F" w:rsidRDefault="00EA7D7F" w:rsidP="00EA7D7F">
      <w:pPr>
        <w:spacing w:after="0" w:line="360" w:lineRule="auto"/>
        <w:ind w:left="510" w:hanging="510"/>
        <w:jc w:val="both"/>
        <w:rPr>
          <w:rFonts w:ascii="Times" w:eastAsia="Times New Roman" w:hAnsi="Times" w:cs="Arial"/>
          <w:bCs/>
          <w:kern w:val="0"/>
          <w:szCs w:val="20"/>
          <w:lang w:eastAsia="pl-PL"/>
          <w14:ligatures w14:val="none"/>
        </w:rPr>
      </w:pPr>
      <w:r w:rsidRPr="00EA7D7F">
        <w:rPr>
          <w:rFonts w:ascii="Times" w:eastAsia="Times New Roman" w:hAnsi="Times" w:cs="Arial"/>
          <w:bCs/>
          <w:kern w:val="0"/>
          <w:szCs w:val="20"/>
          <w:lang w:eastAsia="pl-PL"/>
          <w14:ligatures w14:val="none"/>
        </w:rPr>
        <w:t>2.</w:t>
      </w:r>
      <w:r w:rsidRPr="00EA7D7F">
        <w:rPr>
          <w:rFonts w:ascii="Times" w:eastAsia="Times New Roman" w:hAnsi="Times" w:cs="Arial"/>
          <w:bCs/>
          <w:kern w:val="0"/>
          <w:szCs w:val="20"/>
          <w:lang w:eastAsia="pl-PL"/>
          <w14:ligatures w14:val="none"/>
        </w:rPr>
        <w:tab/>
        <w:t>uchylenie regulacji dotyczących wykorzystywania w toku procesu karnego urządzeń technicznych typu faks w związku z wycofywaniem się z ich użytkowania wobec braku posiadania przez tego typu urządzenia właściwych mechanizmów bezpieczeństwa (art.</w:t>
      </w:r>
      <w:r w:rsidR="00C55DF9">
        <w:rPr>
          <w:rFonts w:ascii="Times" w:eastAsia="Times New Roman" w:hAnsi="Times" w:cs="Arial"/>
          <w:bCs/>
          <w:kern w:val="0"/>
          <w:szCs w:val="20"/>
          <w:lang w:eastAsia="pl-PL"/>
          <w14:ligatures w14:val="none"/>
        </w:rPr>
        <w:t> </w:t>
      </w:r>
      <w:r w:rsidRPr="00EA7D7F">
        <w:rPr>
          <w:rFonts w:ascii="Times" w:eastAsia="Times New Roman" w:hAnsi="Times" w:cs="Arial"/>
          <w:bCs/>
          <w:kern w:val="0"/>
          <w:szCs w:val="20"/>
          <w:lang w:eastAsia="pl-PL"/>
          <w14:ligatures w14:val="none"/>
        </w:rPr>
        <w:t>81a § 3 pkt 1 k.p.k., art. 119 § 1 pkt 2 k.p.k., art. 132 § 3 k.p.k., art. 299a § 2 k.p.k., art. 332 § 1 pkt 1 k.p.k., art. 333 § 3 k.p.k., art. 589y § 1 pkt 1 k.p.k. i art. 607c § 1 pkt 1 k.p.k.);</w:t>
      </w:r>
    </w:p>
    <w:p w14:paraId="420D5A9C" w14:textId="77777777" w:rsidR="00EA7D7F" w:rsidRPr="00EA7D7F" w:rsidRDefault="00EA7D7F" w:rsidP="00EA7D7F">
      <w:pPr>
        <w:spacing w:after="0" w:line="360" w:lineRule="auto"/>
        <w:ind w:left="510" w:hanging="510"/>
        <w:jc w:val="both"/>
        <w:rPr>
          <w:rFonts w:ascii="Times" w:eastAsia="Times New Roman" w:hAnsi="Times" w:cs="Arial"/>
          <w:bCs/>
          <w:kern w:val="0"/>
          <w:szCs w:val="20"/>
          <w:lang w:eastAsia="pl-PL"/>
          <w14:ligatures w14:val="none"/>
        </w:rPr>
      </w:pPr>
      <w:r w:rsidRPr="00EA7D7F">
        <w:rPr>
          <w:rFonts w:ascii="Times" w:eastAsia="Times New Roman" w:hAnsi="Times" w:cs="Arial"/>
          <w:bCs/>
          <w:kern w:val="0"/>
          <w:szCs w:val="20"/>
          <w:lang w:eastAsia="pl-PL"/>
          <w14:ligatures w14:val="none"/>
        </w:rPr>
        <w:t>3.</w:t>
      </w:r>
      <w:r w:rsidRPr="00EA7D7F">
        <w:rPr>
          <w:rFonts w:ascii="Times" w:eastAsia="Times New Roman" w:hAnsi="Times" w:cs="Arial"/>
          <w:bCs/>
          <w:kern w:val="0"/>
          <w:szCs w:val="20"/>
          <w:lang w:eastAsia="pl-PL"/>
          <w14:ligatures w14:val="none"/>
        </w:rPr>
        <w:tab/>
        <w:t>nowelizację art. 192a § 1 k.p.k. poprzez użycie w miejsce sformułowania „odciski daktyloskopijne” zgodnego z przyjętą w nauce terminologią z zakresu kryminalistyki i biometrii sformułowania „odciski linii papilarnych”.</w:t>
      </w:r>
    </w:p>
    <w:p w14:paraId="1559DECD" w14:textId="77777777" w:rsidR="00EA7D7F" w:rsidRPr="00EA7D7F" w:rsidRDefault="00EA7D7F" w:rsidP="00EA7D7F">
      <w:pPr>
        <w:suppressAutoHyphens/>
        <w:autoSpaceDE w:val="0"/>
        <w:autoSpaceDN w:val="0"/>
        <w:adjustRightInd w:val="0"/>
        <w:spacing w:before="120" w:after="0" w:line="360" w:lineRule="auto"/>
        <w:ind w:firstLine="510"/>
        <w:jc w:val="both"/>
        <w:rPr>
          <w:rFonts w:ascii="Times" w:eastAsia="Times New Roman" w:hAnsi="Times" w:cs="Arial"/>
          <w:kern w:val="0"/>
          <w:szCs w:val="20"/>
          <w:lang w:eastAsia="pl-PL"/>
          <w14:ligatures w14:val="none"/>
        </w:rPr>
      </w:pPr>
      <w:r w:rsidRPr="00EA7D7F">
        <w:rPr>
          <w:rFonts w:ascii="Times" w:eastAsia="Times New Roman" w:hAnsi="Times" w:cs="Arial"/>
          <w:kern w:val="0"/>
          <w:szCs w:val="20"/>
          <w:lang w:eastAsia="pl-PL"/>
          <w14:ligatures w14:val="none"/>
        </w:rPr>
        <w:t>Ad 1.</w:t>
      </w:r>
    </w:p>
    <w:p w14:paraId="33C526EE" w14:textId="77777777" w:rsidR="00EA7D7F" w:rsidRPr="00EA7D7F" w:rsidRDefault="00EA7D7F" w:rsidP="00EA7D7F">
      <w:pPr>
        <w:suppressAutoHyphens/>
        <w:autoSpaceDE w:val="0"/>
        <w:autoSpaceDN w:val="0"/>
        <w:adjustRightInd w:val="0"/>
        <w:spacing w:before="120" w:after="0" w:line="360" w:lineRule="auto"/>
        <w:ind w:firstLine="510"/>
        <w:jc w:val="both"/>
        <w:rPr>
          <w:rFonts w:ascii="Times" w:eastAsia="Times New Roman" w:hAnsi="Times" w:cs="Arial"/>
          <w:bCs/>
          <w:kern w:val="0"/>
          <w:szCs w:val="20"/>
          <w:lang w:eastAsia="pl-PL"/>
          <w14:ligatures w14:val="none"/>
        </w:rPr>
      </w:pPr>
      <w:r w:rsidRPr="00EA7D7F">
        <w:rPr>
          <w:rFonts w:ascii="Times" w:eastAsia="Times New Roman" w:hAnsi="Times" w:cs="Arial"/>
          <w:bCs/>
          <w:kern w:val="0"/>
          <w:szCs w:val="20"/>
          <w:lang w:eastAsia="pl-PL"/>
          <w14:ligatures w14:val="none"/>
        </w:rPr>
        <w:t>Projektowany przepis art. 191 § 1a k.p.k. ma na celu rozszerzenie zakresu danych, które organ przesłuchujący jest zobowiązany odebrać od świadka, o informacje takie jak: numer PESEL (nazwa i numer dokumentu stwierdzającego tożsamość, jak również nazwa organu wydającego ten dokument – w przypadku świadka nieposiadającego nr PESEL), numer telefonu, adres poczty elektronicznej.</w:t>
      </w:r>
    </w:p>
    <w:p w14:paraId="2D7344BD" w14:textId="098E7E51" w:rsidR="00EA7D7F" w:rsidRPr="00EA7D7F" w:rsidRDefault="00EA7D7F" w:rsidP="00EA7D7F">
      <w:pPr>
        <w:suppressAutoHyphens/>
        <w:autoSpaceDE w:val="0"/>
        <w:autoSpaceDN w:val="0"/>
        <w:adjustRightInd w:val="0"/>
        <w:spacing w:before="120" w:after="0" w:line="360" w:lineRule="auto"/>
        <w:ind w:firstLine="510"/>
        <w:jc w:val="both"/>
        <w:rPr>
          <w:rFonts w:ascii="Times" w:eastAsia="Times New Roman" w:hAnsi="Times" w:cs="Arial"/>
          <w:bCs/>
          <w:kern w:val="0"/>
          <w:szCs w:val="20"/>
          <w:lang w:eastAsia="pl-PL"/>
          <w14:ligatures w14:val="none"/>
        </w:rPr>
      </w:pPr>
      <w:r w:rsidRPr="00EA7D7F">
        <w:rPr>
          <w:rFonts w:ascii="Times" w:eastAsia="Times New Roman" w:hAnsi="Times" w:cs="Arial"/>
          <w:bCs/>
          <w:kern w:val="0"/>
          <w:szCs w:val="20"/>
          <w:lang w:eastAsia="pl-PL"/>
          <w14:ligatures w14:val="none"/>
        </w:rPr>
        <w:t xml:space="preserve">Numer PESEL jest to jedenastocyfrowy symbol numeryczny, który zawiera datę urodzenia, numer porządkowy, oznaczenie płci oraz liczbę kontrolną, dzięki czemu jednoznacznie identyfikuje daną osobę. Ustalenie i odebranie nr PESEL występującego w sprawie świadka (pokrzywdzonego) ma istotne znaczenie dla sprawności przebiegu postępowania karnego, w tym realizacji poszczególnych czynności procesowych, w toku których niezbędna jest identyfikacja osoby, której dana czynność ma dotyczyć lub której dane </w:t>
      </w:r>
      <w:r w:rsidRPr="00EA7D7F">
        <w:rPr>
          <w:rFonts w:ascii="Times" w:eastAsia="Times New Roman" w:hAnsi="Times" w:cs="Arial"/>
          <w:bCs/>
          <w:kern w:val="0"/>
          <w:szCs w:val="20"/>
          <w:lang w:eastAsia="pl-PL"/>
          <w14:ligatures w14:val="none"/>
        </w:rPr>
        <w:lastRenderedPageBreak/>
        <w:t>czy dokumenty są przedmiotem tej czynności. Dla przykładu celem zabezpieczenia przez sąd lub prokuratora rzeczy mogących stanowić dowód w sprawie</w:t>
      </w:r>
      <w:r w:rsidR="008217D4">
        <w:rPr>
          <w:rFonts w:ascii="Times" w:eastAsia="Times New Roman" w:hAnsi="Times" w:cs="Arial"/>
          <w:bCs/>
          <w:kern w:val="0"/>
          <w:szCs w:val="20"/>
          <w:lang w:eastAsia="pl-PL"/>
          <w14:ligatures w14:val="none"/>
        </w:rPr>
        <w:t>,</w:t>
      </w:r>
      <w:r w:rsidRPr="00EA7D7F">
        <w:rPr>
          <w:rFonts w:ascii="Times" w:eastAsia="Times New Roman" w:hAnsi="Times" w:cs="Arial"/>
          <w:bCs/>
          <w:kern w:val="0"/>
          <w:szCs w:val="20"/>
          <w:lang w:eastAsia="pl-PL"/>
          <w14:ligatures w14:val="none"/>
        </w:rPr>
        <w:t xml:space="preserve"> m.in. w postaci dokumentacji medycznej pokrzywdzonego od określonej placówki medycznej, w sentencji postanowienia o żądaniu wydania rzeczy oprócz imienia i nazwiska pacjenta zasadnym i koniecznym jest wskazanie przypisanego do niego nr PESEL. Stanowi on nieodłączną część dokumentacji medycznej, jednoznacznie identyfikującą określoną osobę. Również w przypadku konieczności uzyskania informacji lub dokumentacji urzędowej</w:t>
      </w:r>
      <w:r w:rsidR="008217D4">
        <w:rPr>
          <w:rFonts w:ascii="Times" w:eastAsia="Times New Roman" w:hAnsi="Times" w:cs="Arial"/>
          <w:bCs/>
          <w:kern w:val="0"/>
          <w:szCs w:val="20"/>
          <w:lang w:eastAsia="pl-PL"/>
          <w14:ligatures w14:val="none"/>
        </w:rPr>
        <w:t>,</w:t>
      </w:r>
      <w:r w:rsidRPr="00EA7D7F">
        <w:rPr>
          <w:rFonts w:ascii="Times" w:eastAsia="Times New Roman" w:hAnsi="Times" w:cs="Arial"/>
          <w:bCs/>
          <w:kern w:val="0"/>
          <w:szCs w:val="20"/>
          <w:lang w:eastAsia="pl-PL"/>
          <w14:ligatures w14:val="none"/>
        </w:rPr>
        <w:t xml:space="preserve"> np. z Zakładu Ubezpieczeń Społecznych, urzędów skarbowych, czy też komorników sądowych</w:t>
      </w:r>
      <w:r w:rsidR="008217D4">
        <w:rPr>
          <w:rFonts w:ascii="Times" w:eastAsia="Times New Roman" w:hAnsi="Times" w:cs="Arial"/>
          <w:bCs/>
          <w:kern w:val="0"/>
          <w:szCs w:val="20"/>
          <w:lang w:eastAsia="pl-PL"/>
          <w14:ligatures w14:val="none"/>
        </w:rPr>
        <w:t>,</w:t>
      </w:r>
      <w:r w:rsidRPr="00EA7D7F">
        <w:rPr>
          <w:rFonts w:ascii="Times" w:eastAsia="Times New Roman" w:hAnsi="Times" w:cs="Arial"/>
          <w:bCs/>
          <w:kern w:val="0"/>
          <w:szCs w:val="20"/>
          <w:lang w:eastAsia="pl-PL"/>
          <w14:ligatures w14:val="none"/>
        </w:rPr>
        <w:t xml:space="preserve"> niezbędnym elementem pozwalającym na sprawne pozyskanie informacji lub dokumentów jest właściwa identyfikacja osoby, której one dotyczą, co nie ulega wątpliwości zapewnia wskazanie nr PESEL. Brak takiej identyfikacji może uniemożliwić bądź utrudnić uzyskanie kluczowego dla sprawy dowodu. Numer PESEL jako informacja jednoznacznie identyfikująca określoną osobę jest także niezbędny w celu realizacji kar porządkowych. Jeżeli świadek bez należytego usprawiedliwienia nie stawił się na wezwanie organu prowadzącego postępowanie albo bez zezwolenia tego organu wydalił się z miejsca czynności przed jej zakończeniem właściwy organ procesowy może nałożyć na świadka karę pieniężną w wysokości do 3000 zł, jak też zarządzić zatrzymanie i przymusowe doprowadzenie świadka (art. 285 § 1 i 2 k.p.k.).</w:t>
      </w:r>
    </w:p>
    <w:p w14:paraId="3A20DD0E" w14:textId="77777777" w:rsidR="00EA7D7F" w:rsidRPr="00EA7D7F" w:rsidRDefault="00EA7D7F" w:rsidP="00EA7D7F">
      <w:pPr>
        <w:suppressAutoHyphens/>
        <w:autoSpaceDE w:val="0"/>
        <w:autoSpaceDN w:val="0"/>
        <w:adjustRightInd w:val="0"/>
        <w:spacing w:before="120" w:after="0" w:line="360" w:lineRule="auto"/>
        <w:ind w:firstLine="510"/>
        <w:jc w:val="both"/>
        <w:rPr>
          <w:rFonts w:ascii="Times" w:eastAsia="Times New Roman" w:hAnsi="Times" w:cs="Arial"/>
          <w:kern w:val="0"/>
          <w:szCs w:val="20"/>
          <w:lang w:eastAsia="pl-PL"/>
          <w14:ligatures w14:val="none"/>
        </w:rPr>
      </w:pPr>
      <w:r w:rsidRPr="00EA7D7F">
        <w:rPr>
          <w:rFonts w:ascii="Times" w:eastAsia="Times New Roman" w:hAnsi="Times" w:cs="Arial"/>
          <w:kern w:val="0"/>
          <w:szCs w:val="20"/>
          <w:lang w:eastAsia="pl-PL"/>
          <w14:ligatures w14:val="none"/>
        </w:rPr>
        <w:t>W przypadku świadka nieposiadającego nr PESEL zasadnym jest ustalenie nazwy i numeru dokumentu stwierdzającego tożsamość, jak również nazwy organu wydającego ten dokument. Informacje te umożliwią identyfikację danej osoby.</w:t>
      </w:r>
    </w:p>
    <w:p w14:paraId="19CD2620" w14:textId="57256F81" w:rsidR="00EA7D7F" w:rsidRPr="00EA7D7F" w:rsidRDefault="00EA7D7F" w:rsidP="00EA7D7F">
      <w:pPr>
        <w:suppressAutoHyphens/>
        <w:autoSpaceDE w:val="0"/>
        <w:autoSpaceDN w:val="0"/>
        <w:adjustRightInd w:val="0"/>
        <w:spacing w:before="120" w:after="0" w:line="360" w:lineRule="auto"/>
        <w:ind w:firstLine="510"/>
        <w:jc w:val="both"/>
        <w:rPr>
          <w:rFonts w:ascii="Times" w:eastAsia="Times New Roman" w:hAnsi="Times" w:cs="Arial"/>
          <w:bCs/>
          <w:kern w:val="0"/>
          <w:szCs w:val="20"/>
          <w:lang w:eastAsia="pl-PL"/>
          <w14:ligatures w14:val="none"/>
        </w:rPr>
      </w:pPr>
      <w:r w:rsidRPr="00EA7D7F">
        <w:rPr>
          <w:rFonts w:ascii="Times" w:eastAsia="Times New Roman" w:hAnsi="Times" w:cs="Arial"/>
          <w:bCs/>
          <w:kern w:val="0"/>
          <w:szCs w:val="20"/>
          <w:lang w:eastAsia="pl-PL"/>
          <w14:ligatures w14:val="none"/>
        </w:rPr>
        <w:t xml:space="preserve">Dodatkowo zasadnym jest uzyskanie od świadka uczestniczącego w protokołowanej czynności nazwy i numeru dokumentu stwierdzającego jego tożsamość wraz z nazwą organu, który wydał ten dokument, ponieważ elementy te dopełniają identyfikację danej osoby. </w:t>
      </w:r>
    </w:p>
    <w:p w14:paraId="6E3C4A67" w14:textId="52339615" w:rsidR="00EA7D7F" w:rsidRPr="00EA7D7F" w:rsidRDefault="00EA7D7F" w:rsidP="00EA7D7F">
      <w:pPr>
        <w:suppressAutoHyphens/>
        <w:autoSpaceDE w:val="0"/>
        <w:autoSpaceDN w:val="0"/>
        <w:adjustRightInd w:val="0"/>
        <w:spacing w:before="120" w:after="0" w:line="360" w:lineRule="auto"/>
        <w:ind w:firstLine="510"/>
        <w:jc w:val="both"/>
        <w:rPr>
          <w:rFonts w:ascii="Times" w:eastAsia="Times New Roman" w:hAnsi="Times" w:cs="Arial"/>
          <w:bCs/>
          <w:kern w:val="0"/>
          <w:szCs w:val="20"/>
          <w:lang w:eastAsia="pl-PL"/>
          <w14:ligatures w14:val="none"/>
        </w:rPr>
      </w:pPr>
      <w:r w:rsidRPr="00EA7D7F">
        <w:rPr>
          <w:rFonts w:ascii="Times" w:eastAsia="Times New Roman" w:hAnsi="Times" w:cs="Arial"/>
          <w:bCs/>
          <w:kern w:val="0"/>
          <w:szCs w:val="20"/>
          <w:lang w:eastAsia="pl-PL"/>
          <w14:ligatures w14:val="none"/>
        </w:rPr>
        <w:t>Ponadto za konieczne uznano uzyskanie od świadka (pokrzywdzonego) informacji o numerze telefonu i adresie poczty elektronicznej. Wskazane dane ułatwią kontakt organu ze świadkiem, a tym samym pozwalają na usprawnienie przebiegu postępowania. Regulacja ta jest również konsekwencją obowiązujących unormowań. Przykładowo, w wypadku skierowania do sądu aktu oskarżenia (czy też wniosku o warunkowe umorzenie postępowania) normy Kodeksu postępowania karnego obligują organ postępowania przygotowawczego do przekazania do sądu takich danych (art. 333 § 3 k.p.k.). Dlatego też wprowadzono podstawę prawną do ich uzyskania.</w:t>
      </w:r>
    </w:p>
    <w:p w14:paraId="19FF34C7" w14:textId="77777777" w:rsidR="00EA7D7F" w:rsidRPr="00EA7D7F" w:rsidRDefault="00EA7D7F" w:rsidP="00EA7D7F">
      <w:pPr>
        <w:suppressAutoHyphens/>
        <w:autoSpaceDE w:val="0"/>
        <w:autoSpaceDN w:val="0"/>
        <w:adjustRightInd w:val="0"/>
        <w:spacing w:before="120" w:after="0" w:line="360" w:lineRule="auto"/>
        <w:ind w:firstLine="510"/>
        <w:jc w:val="both"/>
        <w:rPr>
          <w:rFonts w:ascii="Times" w:eastAsia="Times New Roman" w:hAnsi="Times" w:cs="Arial"/>
          <w:bCs/>
          <w:kern w:val="0"/>
          <w:szCs w:val="20"/>
          <w:lang w:eastAsia="pl-PL"/>
          <w14:ligatures w14:val="none"/>
        </w:rPr>
      </w:pPr>
      <w:r w:rsidRPr="00EA7D7F">
        <w:rPr>
          <w:rFonts w:ascii="Times" w:eastAsia="Times New Roman" w:hAnsi="Times" w:cs="Arial"/>
          <w:bCs/>
          <w:kern w:val="0"/>
          <w:szCs w:val="20"/>
          <w:lang w:eastAsia="pl-PL"/>
          <w14:ligatures w14:val="none"/>
        </w:rPr>
        <w:t xml:space="preserve">Nowelizacja przepisu art. 148a k.p.k. jest konsekwencją zmiany przepisu art. 191 k.p.k. i ma na celu rozszerzenie zakresu danych podlegających ochronie. Aktualne brzmienie przepisu </w:t>
      </w:r>
      <w:r w:rsidRPr="00EA7D7F">
        <w:rPr>
          <w:rFonts w:ascii="Times" w:eastAsia="Times New Roman" w:hAnsi="Times" w:cs="Arial"/>
          <w:bCs/>
          <w:kern w:val="0"/>
          <w:szCs w:val="20"/>
          <w:lang w:eastAsia="pl-PL"/>
          <w14:ligatures w14:val="none"/>
        </w:rPr>
        <w:lastRenderedPageBreak/>
        <w:t xml:space="preserve">art. 148a § 1 k.p.k. wskazuje, że dane dotyczące miejsca zamieszkania, miejsca pracy, numeru telefonu, telefaksu, a także adresu poczty elektronicznej pokrzywdzonych i świadków uczestniczących w czynności nie zamieszcza się w protokole, ponieważ ustawa nakazuje zamieszczanie ich w załączniku do protokołu, który przechowuje się w załączniku adresowym do akt sprawy, do wiadomości organu prowadzącego postępowanie. Zgodnie z proponowanym brzmieniem zakres danych podlegających ochronie zostanie poszerzony o informacje takie jak: numer PESEL, nazwa i numer dokumentu stwierdzającego tożsamość oraz nazwa organu wydającego ten dokument (przy rezygnacji z anonimizacji numeru telefaksu, z uwagi na odstąpienie od obowiązku jego uzyskania). Wskazane elementy zawierające dane osobowe podlegające ochronie nie powinny być również umieszczane w protokołach, ponieważ dokumenty te mogą być udostępniane innym uczestnikom postępowania, w tym także w formie odpisów bądź kopii. Wymienione informacje będą dostępne tylko do wiadomości organu prowadzącego postępowanie. Wpłynie to na podniesienie poziomu bezpieczeństwa pokrzywdzonych i świadków uczestniczących w czynności, eliminując tym samym zagrożenie niezgodnego z prawem uzyskania danych osobowych. Należy także podkreślić, że proponowany kierunek zmiany został pozytywnie zaopiniowany przez Prezesa Urzędu Ochrony Danych Osobowych. Zwrócił on uwagę, że wprowadzenie w jednym przepisie Kodeksu postępowania karnego zamkniętego katalogu danych osobowych odbieranych od świadka realizuje zasadę ochrony danych osobowych, a ponadto zamieszczenie wskazanych danych w załączniku do protokołu, dostępnym tylko do wiadomości organu prowadzącego postępowanie, jest zasadne dla zapewnienia ich bezpieczeństwa. Tym samym proponowany przepis zawiera zamknięty katalog obligatoryjnych elementów przesłuchania każdego świadka (oczywiście jedynie w zakresie danych wskazanych w tym przepisie, które świadek posiada). Nie oznacza to jednak, że na etapie przeprowadzania czynności procesowej świadkowi nie mogą zostać zadane pytania dotyczące innych danych osobowych, które mają znaczenie dla rozstrzygnięcia konkretnej sprawy, mając na uwadze treść art. 171 k.p.k. regulującego zasady przesłuchania każdego osobowego źródła dowodowego. W proponowanych rozwiązaniach rozszerzono także katalog danych, w stosunku do których uprawniony organ procesowy może podjąć decyzję o odstąpieniu od ich anonimizacji, w wypadku zaistnienia wymienionych w przepisie okoliczności. Należy jednak podkreślić, że organ może odstąpić od anonimizacji wskazanych informacji w szczególnie uzasadnionych wypadkach. Zasadą pozostaje anonimizacja wskazanych danych (w szczególności nr PESEL, którego nie można zmienić i który jednoznacznie identyfikuje określoną osobę). Dlatego też podejmując decyzję o odstąpieniu od anonimizacji wskazanych informacji, organ powinien kierować się zasadą </w:t>
      </w:r>
      <w:r w:rsidRPr="00EA7D7F">
        <w:rPr>
          <w:rFonts w:ascii="Times" w:eastAsia="Times New Roman" w:hAnsi="Times" w:cs="Arial"/>
          <w:bCs/>
          <w:kern w:val="0"/>
          <w:szCs w:val="20"/>
          <w:lang w:eastAsia="pl-PL"/>
          <w14:ligatures w14:val="none"/>
        </w:rPr>
        <w:lastRenderedPageBreak/>
        <w:t>szczególnej ostrożności, mając na uwadze konieczność jak najpełniejszej ochrony danych osobowych świadka.</w:t>
      </w:r>
    </w:p>
    <w:p w14:paraId="6E98645F" w14:textId="201184E3" w:rsidR="00EA7D7F" w:rsidRPr="00EA7D7F" w:rsidRDefault="00EA7D7F" w:rsidP="00EA7D7F">
      <w:pPr>
        <w:suppressAutoHyphens/>
        <w:autoSpaceDE w:val="0"/>
        <w:autoSpaceDN w:val="0"/>
        <w:adjustRightInd w:val="0"/>
        <w:spacing w:before="120" w:after="0" w:line="360" w:lineRule="auto"/>
        <w:ind w:firstLine="510"/>
        <w:jc w:val="both"/>
        <w:rPr>
          <w:rFonts w:ascii="Times" w:eastAsia="Times New Roman" w:hAnsi="Times" w:cs="Arial"/>
          <w:kern w:val="0"/>
          <w:szCs w:val="20"/>
          <w:lang w:eastAsia="pl-PL"/>
          <w14:ligatures w14:val="none"/>
        </w:rPr>
      </w:pPr>
      <w:r w:rsidRPr="00EA7D7F">
        <w:rPr>
          <w:rFonts w:ascii="Times" w:eastAsia="Times New Roman" w:hAnsi="Times" w:cs="Arial"/>
          <w:kern w:val="0"/>
          <w:szCs w:val="20"/>
          <w:lang w:eastAsia="pl-PL"/>
          <w14:ligatures w14:val="none"/>
        </w:rPr>
        <w:t>Zgodnie z projektowanym przepisem art. 148a § 4a k.p.k. „</w:t>
      </w:r>
      <w:r w:rsidR="008D7111">
        <w:rPr>
          <w:rFonts w:ascii="Times" w:eastAsia="Times New Roman" w:hAnsi="Times" w:cs="Arial"/>
          <w:kern w:val="0"/>
          <w:szCs w:val="20"/>
          <w:lang w:eastAsia="pl-PL"/>
          <w14:ligatures w14:val="none"/>
        </w:rPr>
        <w:t>Z</w:t>
      </w:r>
      <w:r w:rsidRPr="00EA7D7F">
        <w:rPr>
          <w:rFonts w:ascii="Times" w:eastAsia="Times New Roman" w:hAnsi="Times" w:cs="Arial"/>
          <w:kern w:val="0"/>
          <w:szCs w:val="20"/>
          <w:lang w:eastAsia="pl-PL"/>
          <w14:ligatures w14:val="none"/>
        </w:rPr>
        <w:t>arządzenie o odstąpieniu, w całości lub w części, od stosowania przepisów § 1 lub 3 wymaga uzasadnienia”. Dodatkowo zatem zarządzenie o odstąpieniu w całości lub w części od anonimizacji wskazanych informacji będzie wymagało uzasadnienia.</w:t>
      </w:r>
    </w:p>
    <w:p w14:paraId="674F858C" w14:textId="77777777" w:rsidR="00EA7D7F" w:rsidRPr="00EA7D7F" w:rsidRDefault="00EA7D7F" w:rsidP="00EA7D7F">
      <w:pPr>
        <w:suppressAutoHyphens/>
        <w:autoSpaceDE w:val="0"/>
        <w:autoSpaceDN w:val="0"/>
        <w:adjustRightInd w:val="0"/>
        <w:spacing w:before="120" w:after="0" w:line="360" w:lineRule="auto"/>
        <w:ind w:firstLine="510"/>
        <w:jc w:val="both"/>
        <w:rPr>
          <w:rFonts w:ascii="Times" w:eastAsia="Times New Roman" w:hAnsi="Times" w:cs="Arial"/>
          <w:bCs/>
          <w:kern w:val="0"/>
          <w:szCs w:val="20"/>
          <w:lang w:eastAsia="pl-PL"/>
          <w14:ligatures w14:val="none"/>
        </w:rPr>
      </w:pPr>
      <w:r w:rsidRPr="00EA7D7F">
        <w:rPr>
          <w:rFonts w:ascii="Times" w:eastAsia="Times New Roman" w:hAnsi="Times" w:cs="Arial"/>
          <w:bCs/>
          <w:kern w:val="0"/>
          <w:szCs w:val="20"/>
          <w:lang w:eastAsia="pl-PL"/>
          <w14:ligatures w14:val="none"/>
        </w:rPr>
        <w:t>Ad 2.</w:t>
      </w:r>
    </w:p>
    <w:p w14:paraId="70C34192" w14:textId="77777777" w:rsidR="00EA7D7F" w:rsidRPr="00EA7D7F" w:rsidRDefault="00EA7D7F" w:rsidP="00EA7D7F">
      <w:pPr>
        <w:suppressAutoHyphens/>
        <w:autoSpaceDE w:val="0"/>
        <w:autoSpaceDN w:val="0"/>
        <w:adjustRightInd w:val="0"/>
        <w:spacing w:before="120" w:after="0" w:line="360" w:lineRule="auto"/>
        <w:ind w:firstLine="510"/>
        <w:jc w:val="both"/>
        <w:rPr>
          <w:rFonts w:ascii="Times" w:eastAsia="Times New Roman" w:hAnsi="Times" w:cs="Arial"/>
          <w:bCs/>
          <w:kern w:val="0"/>
          <w:szCs w:val="20"/>
          <w:lang w:eastAsia="pl-PL"/>
          <w14:ligatures w14:val="none"/>
        </w:rPr>
      </w:pPr>
      <w:r w:rsidRPr="00EA7D7F">
        <w:rPr>
          <w:rFonts w:ascii="Times" w:eastAsia="Times New Roman" w:hAnsi="Times" w:cs="Arial"/>
          <w:bCs/>
          <w:kern w:val="0"/>
          <w:szCs w:val="20"/>
          <w:lang w:eastAsia="pl-PL"/>
          <w14:ligatures w14:val="none"/>
        </w:rPr>
        <w:t>Mając na uwadze rekomendację zalecającą wycofanie z użytku służbowego wszystkich urządzeń technicznych typu faks, w obrębie całego resortu sprawiedliwości, z uwagi na brak posiadania przez tego typu urządzenia mechanizmów bezpieczeństwa (w tym brak ich regularnej aktualizacji) zaproponowano rezygnację z konieczności odebrania od świadka informacji dot. numeru telefaksu. Uchylono także regulacje przewidujące możliwość przesłania określonych dokumentów za pośrednictwem telefaksu, czy też przewidujące obowiązek oznaczenia numeru telefaksu w pismach procesowych.</w:t>
      </w:r>
    </w:p>
    <w:p w14:paraId="0DB76598" w14:textId="77777777" w:rsidR="00EA7D7F" w:rsidRPr="00EA7D7F" w:rsidRDefault="00EA7D7F" w:rsidP="00EA7D7F">
      <w:pPr>
        <w:suppressAutoHyphens/>
        <w:autoSpaceDE w:val="0"/>
        <w:autoSpaceDN w:val="0"/>
        <w:adjustRightInd w:val="0"/>
        <w:spacing w:before="120" w:after="0" w:line="360" w:lineRule="auto"/>
        <w:ind w:firstLine="510"/>
        <w:jc w:val="both"/>
        <w:rPr>
          <w:rFonts w:ascii="Times" w:eastAsia="Times New Roman" w:hAnsi="Times" w:cs="Arial"/>
          <w:kern w:val="0"/>
          <w:szCs w:val="20"/>
          <w:lang w:eastAsia="pl-PL"/>
          <w14:ligatures w14:val="none"/>
        </w:rPr>
      </w:pPr>
      <w:r w:rsidRPr="00EA7D7F">
        <w:rPr>
          <w:rFonts w:ascii="Times" w:eastAsia="Times New Roman" w:hAnsi="Times" w:cs="Arial"/>
          <w:kern w:val="0"/>
          <w:szCs w:val="20"/>
          <w:lang w:eastAsia="pl-PL"/>
          <w14:ligatures w14:val="none"/>
        </w:rPr>
        <w:t>Ad 3.</w:t>
      </w:r>
    </w:p>
    <w:p w14:paraId="4FC12CE5" w14:textId="77777777" w:rsidR="00EA7D7F" w:rsidRPr="00EA7D7F" w:rsidRDefault="00EA7D7F" w:rsidP="00EA7D7F">
      <w:pPr>
        <w:suppressAutoHyphens/>
        <w:autoSpaceDE w:val="0"/>
        <w:autoSpaceDN w:val="0"/>
        <w:adjustRightInd w:val="0"/>
        <w:spacing w:before="120" w:after="0" w:line="360" w:lineRule="auto"/>
        <w:ind w:firstLine="510"/>
        <w:jc w:val="both"/>
        <w:rPr>
          <w:rFonts w:ascii="Times" w:eastAsia="Times New Roman" w:hAnsi="Times" w:cs="Arial"/>
          <w:bCs/>
          <w:kern w:val="0"/>
          <w:szCs w:val="20"/>
          <w:lang w:eastAsia="pl-PL"/>
          <w14:ligatures w14:val="none"/>
        </w:rPr>
      </w:pPr>
      <w:r w:rsidRPr="00EA7D7F">
        <w:rPr>
          <w:rFonts w:ascii="Times" w:eastAsia="Times New Roman" w:hAnsi="Times" w:cs="Arial"/>
          <w:bCs/>
          <w:kern w:val="0"/>
          <w:szCs w:val="20"/>
          <w:lang w:eastAsia="pl-PL"/>
          <w14:ligatures w14:val="none"/>
        </w:rPr>
        <w:t>Artykuł 192a § 1 k.p.k. stanowi aktualnie, że „w celu ograniczenia kręgu osób podejrzanych lub ustalenia wartości dowodowej ujawnionych śladów można pobrać odciski daktyloskopijne, wymaz ze śluzówki policzków, włosy, ślinę, próby pisma, zapach, wykonać fotografię osoby lub dokonać utrwalenia głosu. Po wykorzystaniu w sprawie, w której dokonano pobrania lub utrwalenia, pobrany lub utrwalony materiał zbędny dla postępowania należy niezwłocznie usunąć z akt i zniszczyć”.</w:t>
      </w:r>
    </w:p>
    <w:p w14:paraId="40E41B44" w14:textId="5B23C976" w:rsidR="00EA7D7F" w:rsidRPr="00EA7D7F" w:rsidRDefault="00EA7D7F" w:rsidP="00EA7D7F">
      <w:pPr>
        <w:suppressAutoHyphens/>
        <w:autoSpaceDE w:val="0"/>
        <w:autoSpaceDN w:val="0"/>
        <w:adjustRightInd w:val="0"/>
        <w:spacing w:before="120" w:after="0" w:line="360" w:lineRule="auto"/>
        <w:ind w:firstLine="510"/>
        <w:jc w:val="both"/>
        <w:rPr>
          <w:rFonts w:ascii="Times" w:eastAsia="Times New Roman" w:hAnsi="Times" w:cs="Arial"/>
          <w:bCs/>
          <w:kern w:val="0"/>
          <w:szCs w:val="20"/>
          <w:lang w:eastAsia="pl-PL"/>
          <w14:ligatures w14:val="none"/>
        </w:rPr>
      </w:pPr>
      <w:r w:rsidRPr="00EA7D7F">
        <w:rPr>
          <w:rFonts w:ascii="Times" w:eastAsia="Times New Roman" w:hAnsi="Times" w:cs="Arial"/>
          <w:bCs/>
          <w:kern w:val="0"/>
          <w:szCs w:val="20"/>
          <w:lang w:eastAsia="pl-PL"/>
          <w14:ligatures w14:val="none"/>
        </w:rPr>
        <w:t>Przepis art. 192a § 1 k.p.k. w obecnym brzmieniu posługuje się terminem „odciski daktyloskopijne”, który nie jest zgodny z przyjętą w nauce terminologią z zakresu kryminalistyki i biometrii. Zgodnie bowiem z aktualnym stanem wiedzy i przyjętą praktyk</w:t>
      </w:r>
      <w:r w:rsidR="00F523B5">
        <w:rPr>
          <w:rFonts w:ascii="Times" w:eastAsia="Times New Roman" w:hAnsi="Times" w:cs="Arial"/>
          <w:bCs/>
          <w:kern w:val="0"/>
          <w:szCs w:val="20"/>
          <w:lang w:eastAsia="pl-PL"/>
          <w14:ligatures w14:val="none"/>
        </w:rPr>
        <w:t>ą</w:t>
      </w:r>
      <w:r w:rsidRPr="00EA7D7F">
        <w:rPr>
          <w:rFonts w:ascii="Times" w:eastAsia="Times New Roman" w:hAnsi="Times" w:cs="Arial"/>
          <w:bCs/>
          <w:kern w:val="0"/>
          <w:szCs w:val="20"/>
          <w:lang w:eastAsia="pl-PL"/>
          <w14:ligatures w14:val="none"/>
        </w:rPr>
        <w:t xml:space="preserve"> legislacyjną w innych aktach prawnych, właściwym terminem odnoszącym się do pobierania danych biometrycznych w postaci wzorów linii papilarnych jest określenie: „odciski linii papilarnych”.</w:t>
      </w:r>
    </w:p>
    <w:p w14:paraId="09F6E3E3" w14:textId="77777777" w:rsidR="00EA7D7F" w:rsidRPr="00EA7D7F" w:rsidRDefault="00EA7D7F" w:rsidP="00EA7D7F">
      <w:pPr>
        <w:keepNext/>
        <w:suppressAutoHyphens/>
        <w:autoSpaceDE w:val="0"/>
        <w:autoSpaceDN w:val="0"/>
        <w:adjustRightInd w:val="0"/>
        <w:spacing w:before="120" w:after="0" w:line="360" w:lineRule="auto"/>
        <w:ind w:firstLine="510"/>
        <w:jc w:val="both"/>
        <w:rPr>
          <w:rFonts w:ascii="Times" w:eastAsia="Times New Roman" w:hAnsi="Times" w:cs="Arial"/>
          <w:bCs/>
          <w:kern w:val="0"/>
          <w:szCs w:val="20"/>
          <w:lang w:eastAsia="pl-PL"/>
          <w14:ligatures w14:val="none"/>
        </w:rPr>
      </w:pPr>
      <w:r w:rsidRPr="00EA7D7F">
        <w:rPr>
          <w:rFonts w:ascii="Times" w:eastAsia="Times New Roman" w:hAnsi="Times" w:cs="Arial"/>
          <w:bCs/>
          <w:kern w:val="0"/>
          <w:szCs w:val="20"/>
          <w:lang w:eastAsia="pl-PL"/>
          <w14:ligatures w14:val="none"/>
        </w:rPr>
        <w:t>Przykładowo, terminologia „odcisków linii papilarnych” została przyjęta w:</w:t>
      </w:r>
    </w:p>
    <w:p w14:paraId="5F912952" w14:textId="06F49B46" w:rsidR="00EA7D7F" w:rsidRPr="00EA7D7F" w:rsidRDefault="00EA7D7F" w:rsidP="00EA7D7F">
      <w:pPr>
        <w:spacing w:after="0" w:line="360" w:lineRule="auto"/>
        <w:ind w:left="510" w:hanging="510"/>
        <w:jc w:val="both"/>
        <w:rPr>
          <w:rFonts w:ascii="Times" w:eastAsia="Times New Roman" w:hAnsi="Times" w:cs="Arial"/>
          <w:bCs/>
          <w:kern w:val="0"/>
          <w:szCs w:val="20"/>
          <w:lang w:eastAsia="pl-PL"/>
          <w14:ligatures w14:val="none"/>
        </w:rPr>
      </w:pPr>
      <w:r w:rsidRPr="00EA7D7F">
        <w:rPr>
          <w:rFonts w:ascii="Times" w:eastAsia="Times New Roman" w:hAnsi="Times" w:cs="Arial"/>
          <w:bCs/>
          <w:kern w:val="0"/>
          <w:szCs w:val="20"/>
          <w:lang w:eastAsia="pl-PL"/>
          <w14:ligatures w14:val="none"/>
        </w:rPr>
        <w:t>1)</w:t>
      </w:r>
      <w:r w:rsidRPr="00EA7D7F">
        <w:rPr>
          <w:rFonts w:ascii="Times" w:eastAsia="Times New Roman" w:hAnsi="Times" w:cs="Arial"/>
          <w:bCs/>
          <w:kern w:val="0"/>
          <w:szCs w:val="20"/>
          <w:lang w:eastAsia="pl-PL"/>
          <w14:ligatures w14:val="none"/>
        </w:rPr>
        <w:tab/>
        <w:t>ustawie z dnia 6 kwietnia 1990 r. o Policji (Dz. U. z 2025 r. poz. 636, z późn. zm.)</w:t>
      </w:r>
      <w:r w:rsidR="00F523B5">
        <w:rPr>
          <w:rFonts w:ascii="Times" w:eastAsia="Times New Roman" w:hAnsi="Times" w:cs="Arial"/>
          <w:bCs/>
          <w:kern w:val="0"/>
          <w:szCs w:val="20"/>
          <w:lang w:eastAsia="pl-PL"/>
          <w14:ligatures w14:val="none"/>
        </w:rPr>
        <w:t>;</w:t>
      </w:r>
    </w:p>
    <w:p w14:paraId="5EEB0EEC" w14:textId="70F57304" w:rsidR="00EA7D7F" w:rsidRPr="00EA7D7F" w:rsidRDefault="00EA7D7F" w:rsidP="00EA7D7F">
      <w:pPr>
        <w:spacing w:after="0" w:line="360" w:lineRule="auto"/>
        <w:ind w:left="510" w:hanging="510"/>
        <w:jc w:val="both"/>
        <w:rPr>
          <w:rFonts w:ascii="Times" w:eastAsia="Times New Roman" w:hAnsi="Times" w:cs="Arial"/>
          <w:bCs/>
          <w:kern w:val="0"/>
          <w:szCs w:val="20"/>
          <w:lang w:eastAsia="pl-PL"/>
          <w14:ligatures w14:val="none"/>
        </w:rPr>
      </w:pPr>
      <w:r w:rsidRPr="00EA7D7F">
        <w:rPr>
          <w:rFonts w:ascii="Times" w:eastAsia="Times New Roman" w:hAnsi="Times" w:cs="Arial"/>
          <w:bCs/>
          <w:kern w:val="0"/>
          <w:szCs w:val="20"/>
          <w:lang w:eastAsia="pl-PL"/>
          <w14:ligatures w14:val="none"/>
        </w:rPr>
        <w:t>2)</w:t>
      </w:r>
      <w:r w:rsidRPr="00EA7D7F">
        <w:rPr>
          <w:rFonts w:ascii="Times" w:eastAsia="Times New Roman" w:hAnsi="Times" w:cs="Arial"/>
          <w:bCs/>
          <w:kern w:val="0"/>
          <w:szCs w:val="20"/>
          <w:lang w:eastAsia="pl-PL"/>
          <w14:ligatures w14:val="none"/>
        </w:rPr>
        <w:tab/>
        <w:t>ustawie z dnia 22 listopada 2013 r. o postępowaniu wobec osób z zaburzeniami psychicznymi stwarzających zagrożenie życia, zdrowia lub wolności seksualnej innych osób (Dz. U. z 2022 r. poz. 1689)</w:t>
      </w:r>
      <w:r w:rsidR="00F523B5">
        <w:rPr>
          <w:rFonts w:ascii="Times" w:eastAsia="Times New Roman" w:hAnsi="Times" w:cs="Arial"/>
          <w:bCs/>
          <w:kern w:val="0"/>
          <w:szCs w:val="20"/>
          <w:lang w:eastAsia="pl-PL"/>
          <w14:ligatures w14:val="none"/>
        </w:rPr>
        <w:t>;</w:t>
      </w:r>
    </w:p>
    <w:p w14:paraId="7AA84F4B" w14:textId="77777777" w:rsidR="00EA7D7F" w:rsidRPr="00EA7D7F" w:rsidRDefault="00EA7D7F" w:rsidP="00EA7D7F">
      <w:pPr>
        <w:spacing w:after="0" w:line="360" w:lineRule="auto"/>
        <w:ind w:left="510" w:hanging="510"/>
        <w:jc w:val="both"/>
        <w:rPr>
          <w:rFonts w:ascii="Times" w:eastAsia="Times New Roman" w:hAnsi="Times" w:cs="Arial"/>
          <w:bCs/>
          <w:kern w:val="0"/>
          <w:szCs w:val="20"/>
          <w:lang w:eastAsia="pl-PL"/>
          <w14:ligatures w14:val="none"/>
        </w:rPr>
      </w:pPr>
      <w:r w:rsidRPr="00EA7D7F">
        <w:rPr>
          <w:rFonts w:ascii="Times" w:eastAsia="Times New Roman" w:hAnsi="Times" w:cs="Arial"/>
          <w:bCs/>
          <w:kern w:val="0"/>
          <w:szCs w:val="20"/>
          <w:lang w:eastAsia="pl-PL"/>
          <w14:ligatures w14:val="none"/>
        </w:rPr>
        <w:lastRenderedPageBreak/>
        <w:t>3)</w:t>
      </w:r>
      <w:r w:rsidRPr="00EA7D7F">
        <w:rPr>
          <w:rFonts w:ascii="Times" w:eastAsia="Times New Roman" w:hAnsi="Times" w:cs="Arial"/>
          <w:bCs/>
          <w:kern w:val="0"/>
          <w:szCs w:val="20"/>
          <w:lang w:eastAsia="pl-PL"/>
          <w14:ligatures w14:val="none"/>
        </w:rPr>
        <w:tab/>
        <w:t>ustawie z dnia 12 grudnia 2013 r. o cudzoziemcach (Dz. U. z 2025 r. poz. 1079, z późn. zm.).</w:t>
      </w:r>
    </w:p>
    <w:p w14:paraId="25F6EF1A" w14:textId="77777777" w:rsidR="00EA7D7F" w:rsidRPr="00EA7D7F" w:rsidRDefault="00EA7D7F" w:rsidP="00EA7D7F">
      <w:pPr>
        <w:suppressAutoHyphens/>
        <w:autoSpaceDE w:val="0"/>
        <w:autoSpaceDN w:val="0"/>
        <w:adjustRightInd w:val="0"/>
        <w:spacing w:before="120" w:after="0" w:line="360" w:lineRule="auto"/>
        <w:ind w:firstLine="510"/>
        <w:jc w:val="both"/>
        <w:rPr>
          <w:rFonts w:ascii="Times" w:eastAsia="Times New Roman" w:hAnsi="Times" w:cs="Arial"/>
          <w:bCs/>
          <w:kern w:val="0"/>
          <w:szCs w:val="20"/>
          <w:lang w:eastAsia="pl-PL"/>
          <w14:ligatures w14:val="none"/>
        </w:rPr>
      </w:pPr>
      <w:r w:rsidRPr="00EA7D7F">
        <w:rPr>
          <w:rFonts w:ascii="Times" w:eastAsia="Times New Roman" w:hAnsi="Times" w:cs="Arial"/>
          <w:bCs/>
          <w:kern w:val="0"/>
          <w:szCs w:val="20"/>
          <w:lang w:eastAsia="pl-PL"/>
          <w14:ligatures w14:val="none"/>
        </w:rPr>
        <w:t>W świetle powyższego należy wskazać, że zastosowanie przez ustawodawcę w art. 192a § 1 k.p.k. określenia „odciski daktyloskopijne”, jest nie tylko nieścisłe, lecz może także prowadzić do wątpliwości interpretacyjnych, szczególnie w sytuacjach wymagających precyzyjnego określenia zakresu czynności procesowych oraz środków przymusu.</w:t>
      </w:r>
    </w:p>
    <w:p w14:paraId="0D3F7FDB" w14:textId="77777777" w:rsidR="00EA7D7F" w:rsidRPr="00EA7D7F" w:rsidRDefault="00EA7D7F" w:rsidP="00EA7D7F">
      <w:pPr>
        <w:suppressAutoHyphens/>
        <w:autoSpaceDE w:val="0"/>
        <w:autoSpaceDN w:val="0"/>
        <w:adjustRightInd w:val="0"/>
        <w:spacing w:before="120" w:after="0" w:line="360" w:lineRule="auto"/>
        <w:ind w:firstLine="510"/>
        <w:jc w:val="both"/>
        <w:rPr>
          <w:rFonts w:ascii="Times" w:eastAsia="Times New Roman" w:hAnsi="Times" w:cs="Arial"/>
          <w:bCs/>
          <w:kern w:val="0"/>
          <w:szCs w:val="20"/>
          <w:lang w:eastAsia="pl-PL"/>
          <w14:ligatures w14:val="none"/>
        </w:rPr>
      </w:pPr>
      <w:r w:rsidRPr="00EA7D7F">
        <w:rPr>
          <w:rFonts w:ascii="Times" w:eastAsia="Times New Roman" w:hAnsi="Times" w:cs="Arial"/>
          <w:bCs/>
          <w:kern w:val="0"/>
          <w:szCs w:val="20"/>
          <w:lang w:eastAsia="pl-PL"/>
          <w14:ligatures w14:val="none"/>
        </w:rPr>
        <w:t>Mając na uwadze, że objęte przedmiotowym projektem regulacje dotyczą m.in. art. 119 § 1</w:t>
      </w:r>
      <w:r w:rsidRPr="00965C99">
        <w:rPr>
          <w:rFonts w:ascii="Times" w:eastAsia="Times New Roman" w:hAnsi="Times" w:cs="Arial"/>
          <w:kern w:val="0"/>
          <w:szCs w:val="20"/>
          <w:lang w:eastAsia="pl-PL"/>
          <w14:ligatures w14:val="none"/>
        </w:rPr>
        <w:t xml:space="preserve"> </w:t>
      </w:r>
      <w:r w:rsidRPr="00EA7D7F">
        <w:rPr>
          <w:rFonts w:ascii="Times" w:eastAsia="Times New Roman" w:hAnsi="Times" w:cs="Arial"/>
          <w:bCs/>
          <w:kern w:val="0"/>
          <w:szCs w:val="20"/>
          <w:lang w:eastAsia="pl-PL"/>
          <w14:ligatures w14:val="none"/>
        </w:rPr>
        <w:t>pkt</w:t>
      </w:r>
      <w:r w:rsidRPr="00965C99">
        <w:rPr>
          <w:rFonts w:ascii="Times" w:eastAsia="Times New Roman" w:hAnsi="Times" w:cs="Arial"/>
          <w:kern w:val="0"/>
          <w:szCs w:val="20"/>
          <w:lang w:eastAsia="pl-PL"/>
          <w14:ligatures w14:val="none"/>
        </w:rPr>
        <w:t xml:space="preserve"> </w:t>
      </w:r>
      <w:r w:rsidRPr="00EA7D7F">
        <w:rPr>
          <w:rFonts w:ascii="Times" w:eastAsia="Times New Roman" w:hAnsi="Times" w:cs="Arial"/>
          <w:bCs/>
          <w:kern w:val="0"/>
          <w:szCs w:val="20"/>
          <w:lang w:eastAsia="pl-PL"/>
          <w14:ligatures w14:val="none"/>
        </w:rPr>
        <w:t>2</w:t>
      </w:r>
      <w:r w:rsidRPr="00965C99">
        <w:rPr>
          <w:rFonts w:ascii="Times" w:eastAsia="Times New Roman" w:hAnsi="Times" w:cs="Arial"/>
          <w:kern w:val="0"/>
          <w:szCs w:val="20"/>
          <w:lang w:eastAsia="pl-PL"/>
          <w14:ligatures w14:val="none"/>
        </w:rPr>
        <w:t xml:space="preserve"> </w:t>
      </w:r>
      <w:r w:rsidRPr="00EA7D7F">
        <w:rPr>
          <w:rFonts w:ascii="Times" w:eastAsia="Times New Roman" w:hAnsi="Times" w:cs="Arial"/>
          <w:bCs/>
          <w:kern w:val="0"/>
          <w:szCs w:val="20"/>
          <w:lang w:eastAsia="pl-PL"/>
          <w14:ligatures w14:val="none"/>
        </w:rPr>
        <w:t xml:space="preserve">k.p.k., art. 148a § 1, 3 i 4 k.p.k. oraz art. 333 § 3 zdanie drugie k.p.k., które zostały znowelizowane na mocy art. 82 ustawy z dnia 18 listopada 2020 r. o doręczeniach elektronicznych (Dz. U. z 2026 r. poz. 3, z późn. zm.), jednakże pozostają w okresie </w:t>
      </w:r>
      <w:r w:rsidRPr="00EA7D7F">
        <w:rPr>
          <w:rFonts w:ascii="Times" w:eastAsia="Times New Roman" w:hAnsi="Times" w:cs="Arial"/>
          <w:bCs/>
          <w:i/>
          <w:kern w:val="0"/>
          <w:szCs w:val="20"/>
          <w:lang w:eastAsia="pl-PL"/>
          <w14:ligatures w14:val="none"/>
        </w:rPr>
        <w:t>vacatio legis</w:t>
      </w:r>
      <w:r w:rsidRPr="00EA7D7F">
        <w:rPr>
          <w:rFonts w:ascii="Times" w:eastAsia="Times New Roman" w:hAnsi="Times" w:cs="Arial"/>
          <w:bCs/>
          <w:kern w:val="0"/>
          <w:szCs w:val="20"/>
          <w:lang w:eastAsia="pl-PL"/>
          <w14:ligatures w14:val="none"/>
        </w:rPr>
        <w:t xml:space="preserve"> do dnia 1 października 2029 r., zasadnym było dokonanie stosownych zmian również w tym akcie prawnym.</w:t>
      </w:r>
    </w:p>
    <w:p w14:paraId="5818AC01" w14:textId="77777777" w:rsidR="00EA7D7F" w:rsidRPr="00EA7D7F" w:rsidRDefault="00EA7D7F" w:rsidP="00EA7D7F">
      <w:pPr>
        <w:suppressAutoHyphens/>
        <w:autoSpaceDE w:val="0"/>
        <w:autoSpaceDN w:val="0"/>
        <w:adjustRightInd w:val="0"/>
        <w:spacing w:before="120" w:after="0" w:line="360" w:lineRule="auto"/>
        <w:ind w:firstLine="510"/>
        <w:jc w:val="both"/>
        <w:rPr>
          <w:rFonts w:ascii="Times" w:eastAsia="Times New Roman" w:hAnsi="Times" w:cs="Arial"/>
          <w:kern w:val="0"/>
          <w:szCs w:val="20"/>
          <w:lang w:eastAsia="pl-PL"/>
          <w14:ligatures w14:val="none"/>
        </w:rPr>
      </w:pPr>
      <w:r w:rsidRPr="00EA7D7F">
        <w:rPr>
          <w:rFonts w:ascii="Times" w:eastAsia="Times New Roman" w:hAnsi="Times" w:cs="Arial"/>
          <w:kern w:val="0"/>
          <w:szCs w:val="20"/>
          <w:lang w:eastAsia="pl-PL"/>
          <w14:ligatures w14:val="none"/>
        </w:rPr>
        <w:t>Zgodnie z art. 3 projektu ustawa wejdzie w życie po upływie 14 dni od dnia ogłoszenia.</w:t>
      </w:r>
    </w:p>
    <w:p w14:paraId="458B8C16" w14:textId="77777777" w:rsidR="00EA7D7F" w:rsidRPr="00EA7D7F" w:rsidRDefault="00EA7D7F" w:rsidP="00EA7D7F">
      <w:pPr>
        <w:suppressAutoHyphens/>
        <w:autoSpaceDE w:val="0"/>
        <w:autoSpaceDN w:val="0"/>
        <w:adjustRightInd w:val="0"/>
        <w:spacing w:before="120" w:after="0" w:line="360" w:lineRule="auto"/>
        <w:ind w:firstLine="510"/>
        <w:jc w:val="both"/>
        <w:rPr>
          <w:rFonts w:ascii="Times" w:eastAsia="Times New Roman" w:hAnsi="Times" w:cs="Arial"/>
          <w:bCs/>
          <w:kern w:val="0"/>
          <w:szCs w:val="20"/>
          <w:lang w:eastAsia="pl-PL"/>
          <w14:ligatures w14:val="none"/>
        </w:rPr>
      </w:pPr>
      <w:r w:rsidRPr="00EA7D7F">
        <w:rPr>
          <w:rFonts w:ascii="Times" w:eastAsia="Times New Roman" w:hAnsi="Times" w:cs="Arial"/>
          <w:bCs/>
          <w:kern w:val="0"/>
          <w:szCs w:val="20"/>
          <w:lang w:eastAsia="pl-PL"/>
          <w14:ligatures w14:val="none"/>
        </w:rPr>
        <w:t>Projektowana regulacja nie jest sprzeczna z zakresem prawa Unii Europejskiej.</w:t>
      </w:r>
    </w:p>
    <w:p w14:paraId="158A0D26" w14:textId="77777777" w:rsidR="00EA7D7F" w:rsidRPr="00EA7D7F" w:rsidRDefault="00EA7D7F" w:rsidP="00EA7D7F">
      <w:pPr>
        <w:suppressAutoHyphens/>
        <w:autoSpaceDE w:val="0"/>
        <w:autoSpaceDN w:val="0"/>
        <w:adjustRightInd w:val="0"/>
        <w:spacing w:before="120" w:after="0" w:line="360" w:lineRule="auto"/>
        <w:ind w:firstLine="510"/>
        <w:jc w:val="both"/>
        <w:rPr>
          <w:rFonts w:ascii="Times" w:eastAsia="Times New Roman" w:hAnsi="Times" w:cs="Arial"/>
          <w:bCs/>
          <w:kern w:val="0"/>
          <w:szCs w:val="20"/>
          <w:lang w:eastAsia="pl-PL"/>
          <w14:ligatures w14:val="none"/>
        </w:rPr>
      </w:pPr>
      <w:r w:rsidRPr="00EA7D7F">
        <w:rPr>
          <w:rFonts w:ascii="Times" w:eastAsia="Times New Roman" w:hAnsi="Times" w:cs="Arial"/>
          <w:bCs/>
          <w:kern w:val="0"/>
          <w:szCs w:val="20"/>
          <w:lang w:eastAsia="pl-PL"/>
          <w14:ligatures w14:val="none"/>
        </w:rPr>
        <w:t>Projekt nie zawiera przepisów technicznych, zatem nie podlega procedurze notyfikacji zgodnie z trybem przewidzianym w rozporządzeniu Rady Ministrów z dnia 23 grudnia 2002 r. w sprawie sposobu funkcjonowania krajowego systemu notyfikacji norm i aktów prawnych (Dz. U. poz. 2039, z późn. zm.).</w:t>
      </w:r>
    </w:p>
    <w:p w14:paraId="6C272685" w14:textId="77777777" w:rsidR="00EA7D7F" w:rsidRPr="00EA7D7F" w:rsidRDefault="00EA7D7F" w:rsidP="00EA7D7F">
      <w:pPr>
        <w:suppressAutoHyphens/>
        <w:autoSpaceDE w:val="0"/>
        <w:autoSpaceDN w:val="0"/>
        <w:adjustRightInd w:val="0"/>
        <w:spacing w:before="120" w:after="0" w:line="360" w:lineRule="auto"/>
        <w:ind w:firstLine="510"/>
        <w:jc w:val="both"/>
        <w:rPr>
          <w:rFonts w:ascii="Times" w:eastAsia="Times New Roman" w:hAnsi="Times" w:cs="Arial"/>
          <w:bCs/>
          <w:kern w:val="0"/>
          <w:szCs w:val="20"/>
          <w:lang w:eastAsia="pl-PL"/>
          <w14:ligatures w14:val="none"/>
        </w:rPr>
      </w:pPr>
      <w:r w:rsidRPr="00EA7D7F">
        <w:rPr>
          <w:rFonts w:ascii="Times" w:eastAsia="Times New Roman" w:hAnsi="Times" w:cs="Arial"/>
          <w:bCs/>
          <w:kern w:val="0"/>
          <w:szCs w:val="20"/>
          <w:lang w:eastAsia="pl-PL"/>
          <w14:ligatures w14:val="none"/>
        </w:rPr>
        <w:t>Projekt nie wymaga przedstawienia właściwym organom i instytucjom Unii Europejskiej, w tym Europejskiemu Bankowi Centralnemu, w celu uzyskania opinii, dokonania powiadomienia, konsultacji albo uzgodnienia.</w:t>
      </w:r>
    </w:p>
    <w:p w14:paraId="34FDB39A" w14:textId="77777777" w:rsidR="00EA7D7F" w:rsidRPr="00EA7D7F" w:rsidRDefault="00EA7D7F" w:rsidP="00EA7D7F">
      <w:pPr>
        <w:suppressAutoHyphens/>
        <w:autoSpaceDE w:val="0"/>
        <w:autoSpaceDN w:val="0"/>
        <w:adjustRightInd w:val="0"/>
        <w:spacing w:before="120" w:after="0" w:line="360" w:lineRule="auto"/>
        <w:ind w:firstLine="510"/>
        <w:jc w:val="both"/>
        <w:rPr>
          <w:rFonts w:ascii="Times" w:eastAsia="Times New Roman" w:hAnsi="Times" w:cs="Arial"/>
          <w:bCs/>
          <w:kern w:val="0"/>
          <w:szCs w:val="20"/>
          <w:lang w:eastAsia="pl-PL"/>
          <w14:ligatures w14:val="none"/>
        </w:rPr>
      </w:pPr>
      <w:r w:rsidRPr="00EA7D7F">
        <w:rPr>
          <w:rFonts w:ascii="Times" w:eastAsia="Times New Roman" w:hAnsi="Times" w:cs="Arial"/>
          <w:bCs/>
          <w:kern w:val="0"/>
          <w:szCs w:val="20"/>
          <w:lang w:eastAsia="pl-PL"/>
          <w14:ligatures w14:val="none"/>
        </w:rPr>
        <w:t>Zawarte w projekcie regulacje nie będą miały wpływu na działalność mikroprzedsiębiorców, małych i średnich przedsiębiorców, o których mowa w ustawie z dnia 6 marca 2018 r. – Prawo przedsiębiorców (Dz. U. z 2025 r. poz. 1480, z późn. zm.).</w:t>
      </w:r>
    </w:p>
    <w:p w14:paraId="03DFFB62" w14:textId="134A4F33" w:rsidR="00EA7D7F" w:rsidRPr="00EA7D7F" w:rsidRDefault="00EA7D7F" w:rsidP="00EA7D7F">
      <w:pPr>
        <w:suppressAutoHyphens/>
        <w:autoSpaceDE w:val="0"/>
        <w:autoSpaceDN w:val="0"/>
        <w:adjustRightInd w:val="0"/>
        <w:spacing w:before="120" w:after="0" w:line="360" w:lineRule="auto"/>
        <w:ind w:firstLine="510"/>
        <w:jc w:val="both"/>
        <w:rPr>
          <w:rFonts w:ascii="Times" w:eastAsia="Times New Roman" w:hAnsi="Times" w:cs="Arial"/>
          <w:bCs/>
          <w:kern w:val="0"/>
          <w:szCs w:val="20"/>
          <w:lang w:eastAsia="pl-PL"/>
          <w14:ligatures w14:val="none"/>
        </w:rPr>
      </w:pPr>
      <w:r w:rsidRPr="00EA7D7F">
        <w:rPr>
          <w:rFonts w:ascii="Times" w:eastAsia="Times New Roman" w:hAnsi="Times" w:cs="Arial"/>
          <w:bCs/>
          <w:kern w:val="0"/>
          <w:szCs w:val="20"/>
          <w:lang w:eastAsia="pl-PL"/>
          <w14:ligatures w14:val="none"/>
        </w:rPr>
        <w:t>Zgodnie z § 52 uchwały nr 190 Rady Ministrów z dnia 29 października 2013 r. – Regulamin pracy Rady Ministrów (M.P. z 2026 r. poz. 404) oraz stosownie do wymogów art. 5 ustawy z dnia 7 lipca 2005 r. o działalności lobbingowej w procesie stanowienia prawa (Dz.</w:t>
      </w:r>
      <w:r w:rsidR="00C55DF9">
        <w:rPr>
          <w:rFonts w:ascii="Times" w:eastAsia="Times New Roman" w:hAnsi="Times" w:cs="Arial"/>
          <w:bCs/>
          <w:kern w:val="0"/>
          <w:szCs w:val="20"/>
          <w:lang w:eastAsia="pl-PL"/>
          <w14:ligatures w14:val="none"/>
        </w:rPr>
        <w:t> </w:t>
      </w:r>
      <w:r w:rsidRPr="00EA7D7F">
        <w:rPr>
          <w:rFonts w:ascii="Times" w:eastAsia="Times New Roman" w:hAnsi="Times" w:cs="Arial"/>
          <w:bCs/>
          <w:kern w:val="0"/>
          <w:szCs w:val="20"/>
          <w:lang w:eastAsia="pl-PL"/>
          <w14:ligatures w14:val="none"/>
        </w:rPr>
        <w:t>U. z 2025 r. poz. 677, z późn. zm.) projekt został udostępniony w Biuletynie Informacji Publicznej na stronie internetowej Rządowego Centrum Legislacji w zakładce Rządowy Proces Legislacyjny.</w:t>
      </w:r>
    </w:p>
    <w:p w14:paraId="42BB8950" w14:textId="77777777" w:rsidR="00EA7D7F" w:rsidRPr="00EA7D7F" w:rsidRDefault="00EA7D7F" w:rsidP="00EA7D7F">
      <w:pPr>
        <w:suppressAutoHyphens/>
        <w:autoSpaceDE w:val="0"/>
        <w:autoSpaceDN w:val="0"/>
        <w:adjustRightInd w:val="0"/>
        <w:spacing w:before="120" w:after="0" w:line="360" w:lineRule="auto"/>
        <w:ind w:firstLine="510"/>
        <w:jc w:val="both"/>
        <w:rPr>
          <w:rFonts w:ascii="Times" w:eastAsia="Times New Roman" w:hAnsi="Times" w:cs="Arial"/>
          <w:bCs/>
          <w:kern w:val="0"/>
          <w:szCs w:val="20"/>
          <w:lang w:eastAsia="pl-PL"/>
          <w14:ligatures w14:val="none"/>
        </w:rPr>
      </w:pPr>
      <w:r w:rsidRPr="00EA7D7F">
        <w:rPr>
          <w:rFonts w:ascii="Times" w:eastAsia="Times New Roman" w:hAnsi="Times" w:cs="Arial"/>
          <w:bCs/>
          <w:kern w:val="0"/>
          <w:szCs w:val="20"/>
          <w:lang w:eastAsia="pl-PL"/>
          <w14:ligatures w14:val="none"/>
        </w:rPr>
        <w:lastRenderedPageBreak/>
        <w:t>Projekt nie podlegał dokonaniu oceny OSR przez Koordynatora OSR w trybie § 32 uchwały nr 190 Rady Ministrów z dnia 29 października 2013 r. – Regulamin pracy Rady Ministrów.</w:t>
      </w:r>
    </w:p>
    <w:p w14:paraId="2F8F8A12" w14:textId="77777777" w:rsidR="00EA7D7F" w:rsidRPr="00EA7D7F" w:rsidRDefault="00EA7D7F" w:rsidP="00EA7D7F">
      <w:pPr>
        <w:suppressAutoHyphens/>
        <w:autoSpaceDE w:val="0"/>
        <w:autoSpaceDN w:val="0"/>
        <w:adjustRightInd w:val="0"/>
        <w:spacing w:before="120" w:after="0" w:line="360" w:lineRule="auto"/>
        <w:ind w:firstLine="510"/>
        <w:jc w:val="both"/>
        <w:rPr>
          <w:rFonts w:ascii="Times" w:eastAsia="Times New Roman" w:hAnsi="Times" w:cs="Arial"/>
          <w:bCs/>
          <w:kern w:val="0"/>
          <w:szCs w:val="20"/>
          <w:lang w:eastAsia="pl-PL"/>
          <w14:ligatures w14:val="none"/>
        </w:rPr>
      </w:pPr>
      <w:r w:rsidRPr="00EA7D7F">
        <w:rPr>
          <w:rFonts w:ascii="Times" w:eastAsia="Times New Roman" w:hAnsi="Times" w:cs="Arial"/>
          <w:bCs/>
          <w:kern w:val="0"/>
          <w:szCs w:val="20"/>
          <w:lang w:eastAsia="pl-PL"/>
          <w14:ligatures w14:val="none"/>
        </w:rPr>
        <w:t>W celu spełnienia wymogów, o których mowa w § 42 ust. 1 uchwały nr 190 Rady Ministrów z dnia 29 października 2013 r. – Regulamin pracy Rady Ministrów, projekt został skierowany do Koordynatora OSR. Uwag nie zgłoszono.</w:t>
      </w:r>
    </w:p>
    <w:p w14:paraId="53573B4C" w14:textId="24CD1CFD" w:rsidR="001C6706" w:rsidRDefault="00EA7D7F" w:rsidP="00965C99">
      <w:pPr>
        <w:suppressAutoHyphens/>
        <w:autoSpaceDE w:val="0"/>
        <w:autoSpaceDN w:val="0"/>
        <w:adjustRightInd w:val="0"/>
        <w:spacing w:before="120" w:after="0" w:line="360" w:lineRule="auto"/>
        <w:ind w:firstLine="510"/>
        <w:jc w:val="both"/>
      </w:pPr>
      <w:r w:rsidRPr="00EA7D7F">
        <w:rPr>
          <w:rFonts w:ascii="Times" w:eastAsia="Times New Roman" w:hAnsi="Times" w:cs="Arial"/>
          <w:bCs/>
          <w:kern w:val="0"/>
          <w:szCs w:val="20"/>
          <w:lang w:eastAsia="pl-PL"/>
          <w14:ligatures w14:val="none"/>
        </w:rPr>
        <w:t xml:space="preserve">Projekt nie dotyczy warunków określonych w uchwale nr 20 Rady Ministrów z dnia 18 lutego 2014 r. w sprawie zaleceń ujednolicenia terminów wejścia w życie niektórych aktów normatywnych (M.P. poz. 205). </w:t>
      </w:r>
    </w:p>
    <w:sectPr w:rsidR="001C6706" w:rsidSect="00965C99">
      <w:footerReference w:type="default" r:id="rId6"/>
      <w:footnotePr>
        <w:numRestart w:val="eachSect"/>
      </w:footnotePr>
      <w:pgSz w:w="11906" w:h="16838"/>
      <w:pgMar w:top="1417" w:right="1417" w:bottom="1417" w:left="1417"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B45BA" w14:textId="77777777" w:rsidR="00B277C5" w:rsidRDefault="00B277C5">
      <w:pPr>
        <w:spacing w:after="0" w:line="240" w:lineRule="auto"/>
      </w:pPr>
      <w:r>
        <w:separator/>
      </w:r>
    </w:p>
  </w:endnote>
  <w:endnote w:type="continuationSeparator" w:id="0">
    <w:p w14:paraId="15AE0AD5" w14:textId="77777777" w:rsidR="00B277C5" w:rsidRDefault="00B27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541232"/>
      <w:docPartObj>
        <w:docPartGallery w:val="Page Numbers (Bottom of Page)"/>
        <w:docPartUnique/>
      </w:docPartObj>
    </w:sdtPr>
    <w:sdtEndPr>
      <w:rPr>
        <w:rFonts w:ascii="Times New Roman" w:hAnsi="Times New Roman" w:cs="Times New Roman"/>
      </w:rPr>
    </w:sdtEndPr>
    <w:sdtContent>
      <w:p w14:paraId="7630BE8D" w14:textId="10FA16D4" w:rsidR="003F27C6" w:rsidRPr="003F27C6" w:rsidRDefault="003F27C6" w:rsidP="003F27C6">
        <w:pPr>
          <w:pStyle w:val="Stopka"/>
          <w:jc w:val="center"/>
          <w:rPr>
            <w:rFonts w:ascii="Times New Roman" w:hAnsi="Times New Roman" w:cs="Times New Roman"/>
          </w:rPr>
        </w:pPr>
        <w:r w:rsidRPr="003F27C6">
          <w:rPr>
            <w:rFonts w:ascii="Times New Roman" w:hAnsi="Times New Roman" w:cs="Times New Roman"/>
          </w:rPr>
          <w:fldChar w:fldCharType="begin"/>
        </w:r>
        <w:r w:rsidRPr="003F27C6">
          <w:rPr>
            <w:rFonts w:ascii="Times New Roman" w:hAnsi="Times New Roman" w:cs="Times New Roman"/>
          </w:rPr>
          <w:instrText>PAGE   \* MERGEFORMAT</w:instrText>
        </w:r>
        <w:r w:rsidRPr="003F27C6">
          <w:rPr>
            <w:rFonts w:ascii="Times New Roman" w:hAnsi="Times New Roman" w:cs="Times New Roman"/>
          </w:rPr>
          <w:fldChar w:fldCharType="separate"/>
        </w:r>
        <w:r w:rsidRPr="003F27C6">
          <w:rPr>
            <w:rFonts w:ascii="Times New Roman" w:hAnsi="Times New Roman" w:cs="Times New Roman"/>
          </w:rPr>
          <w:t>2</w:t>
        </w:r>
        <w:r w:rsidRPr="003F27C6">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20C88" w14:textId="77777777" w:rsidR="00B277C5" w:rsidRDefault="00B277C5">
      <w:pPr>
        <w:spacing w:after="0" w:line="240" w:lineRule="auto"/>
      </w:pPr>
      <w:r>
        <w:separator/>
      </w:r>
    </w:p>
  </w:footnote>
  <w:footnote w:type="continuationSeparator" w:id="0">
    <w:p w14:paraId="3D3907B8" w14:textId="77777777" w:rsidR="00B277C5" w:rsidRDefault="00B277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D7F"/>
    <w:rsid w:val="001C6706"/>
    <w:rsid w:val="003F27C6"/>
    <w:rsid w:val="00452C21"/>
    <w:rsid w:val="00461B2E"/>
    <w:rsid w:val="005973BE"/>
    <w:rsid w:val="006B7ABD"/>
    <w:rsid w:val="007A0651"/>
    <w:rsid w:val="008217D4"/>
    <w:rsid w:val="00866286"/>
    <w:rsid w:val="008748E8"/>
    <w:rsid w:val="008D7111"/>
    <w:rsid w:val="0090555E"/>
    <w:rsid w:val="00965C99"/>
    <w:rsid w:val="00B277C5"/>
    <w:rsid w:val="00B9432C"/>
    <w:rsid w:val="00C55DF9"/>
    <w:rsid w:val="00D83457"/>
    <w:rsid w:val="00DE19AE"/>
    <w:rsid w:val="00EA7D7F"/>
    <w:rsid w:val="00F52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B0A2D"/>
  <w15:chartTrackingRefBased/>
  <w15:docId w15:val="{6BAEE9CB-9548-4C61-9880-DD4124C7D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A7D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A7D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A7D7F"/>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A7D7F"/>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A7D7F"/>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A7D7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A7D7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A7D7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A7D7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A7D7F"/>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A7D7F"/>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A7D7F"/>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A7D7F"/>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A7D7F"/>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A7D7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A7D7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A7D7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A7D7F"/>
    <w:rPr>
      <w:rFonts w:eastAsiaTheme="majorEastAsia" w:cstheme="majorBidi"/>
      <w:color w:val="272727" w:themeColor="text1" w:themeTint="D8"/>
    </w:rPr>
  </w:style>
  <w:style w:type="paragraph" w:styleId="Tytu">
    <w:name w:val="Title"/>
    <w:basedOn w:val="Normalny"/>
    <w:next w:val="Normalny"/>
    <w:link w:val="TytuZnak"/>
    <w:uiPriority w:val="10"/>
    <w:qFormat/>
    <w:rsid w:val="00EA7D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A7D7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A7D7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A7D7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A7D7F"/>
    <w:pPr>
      <w:spacing w:before="160"/>
      <w:jc w:val="center"/>
    </w:pPr>
    <w:rPr>
      <w:i/>
      <w:iCs/>
      <w:color w:val="404040" w:themeColor="text1" w:themeTint="BF"/>
    </w:rPr>
  </w:style>
  <w:style w:type="character" w:customStyle="1" w:styleId="CytatZnak">
    <w:name w:val="Cytat Znak"/>
    <w:basedOn w:val="Domylnaczcionkaakapitu"/>
    <w:link w:val="Cytat"/>
    <w:uiPriority w:val="29"/>
    <w:rsid w:val="00EA7D7F"/>
    <w:rPr>
      <w:i/>
      <w:iCs/>
      <w:color w:val="404040" w:themeColor="text1" w:themeTint="BF"/>
    </w:rPr>
  </w:style>
  <w:style w:type="paragraph" w:styleId="Akapitzlist">
    <w:name w:val="List Paragraph"/>
    <w:basedOn w:val="Normalny"/>
    <w:uiPriority w:val="34"/>
    <w:qFormat/>
    <w:rsid w:val="00EA7D7F"/>
    <w:pPr>
      <w:ind w:left="720"/>
      <w:contextualSpacing/>
    </w:pPr>
  </w:style>
  <w:style w:type="character" w:styleId="Wyrnienieintensywne">
    <w:name w:val="Intense Emphasis"/>
    <w:basedOn w:val="Domylnaczcionkaakapitu"/>
    <w:uiPriority w:val="21"/>
    <w:qFormat/>
    <w:rsid w:val="00EA7D7F"/>
    <w:rPr>
      <w:i/>
      <w:iCs/>
      <w:color w:val="0F4761" w:themeColor="accent1" w:themeShade="BF"/>
    </w:rPr>
  </w:style>
  <w:style w:type="paragraph" w:styleId="Cytatintensywny">
    <w:name w:val="Intense Quote"/>
    <w:basedOn w:val="Normalny"/>
    <w:next w:val="Normalny"/>
    <w:link w:val="CytatintensywnyZnak"/>
    <w:uiPriority w:val="30"/>
    <w:qFormat/>
    <w:rsid w:val="00EA7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A7D7F"/>
    <w:rPr>
      <w:i/>
      <w:iCs/>
      <w:color w:val="0F4761" w:themeColor="accent1" w:themeShade="BF"/>
    </w:rPr>
  </w:style>
  <w:style w:type="character" w:styleId="Odwoanieintensywne">
    <w:name w:val="Intense Reference"/>
    <w:basedOn w:val="Domylnaczcionkaakapitu"/>
    <w:uiPriority w:val="32"/>
    <w:qFormat/>
    <w:rsid w:val="00EA7D7F"/>
    <w:rPr>
      <w:b/>
      <w:bCs/>
      <w:smallCaps/>
      <w:color w:val="0F4761" w:themeColor="accent1" w:themeShade="BF"/>
      <w:spacing w:val="5"/>
    </w:rPr>
  </w:style>
  <w:style w:type="paragraph" w:styleId="Nagwek">
    <w:name w:val="header"/>
    <w:basedOn w:val="Normalny"/>
    <w:link w:val="NagwekZnak"/>
    <w:uiPriority w:val="99"/>
    <w:unhideWhenUsed/>
    <w:rsid w:val="00EA7D7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A7D7F"/>
  </w:style>
  <w:style w:type="paragraph" w:styleId="Stopka">
    <w:name w:val="footer"/>
    <w:basedOn w:val="Normalny"/>
    <w:link w:val="StopkaZnak"/>
    <w:uiPriority w:val="99"/>
    <w:unhideWhenUsed/>
    <w:rsid w:val="003F27C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F27C6"/>
  </w:style>
  <w:style w:type="paragraph" w:styleId="Poprawka">
    <w:name w:val="Revision"/>
    <w:hidden/>
    <w:uiPriority w:val="99"/>
    <w:semiHidden/>
    <w:rsid w:val="003F27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1853</Words>
  <Characters>11123</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KPRM</Company>
  <LinksUpToDate>false</LinksUpToDate>
  <CharactersWithSpaces>12951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Pietrzak Ewa</dc:creator>
  <cp:keywords/>
  <dc:description/>
  <cp:lastModifiedBy>Pietrzak Ewa</cp:lastModifiedBy>
  <cp:revision>2</cp:revision>
  <dcterms:created xsi:type="dcterms:W3CDTF">2026-07-08T05:58:00Z</dcterms:created>
  <dcterms:modified xsi:type="dcterms:W3CDTF">2026-07-08T05:58:00Z</dcterms:modified>
</cp:coreProperties>
</file>