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D0B" w14:textId="77777777" w:rsidR="007C2B08" w:rsidRPr="00303B8C" w:rsidRDefault="007C2B08" w:rsidP="007F0DA4">
      <w:pPr>
        <w:spacing w:before="120" w:after="0" w:line="360" w:lineRule="auto"/>
        <w:ind w:left="0" w:right="145" w:firstLine="0"/>
        <w:jc w:val="center"/>
        <w:rPr>
          <w:bCs/>
        </w:rPr>
      </w:pPr>
      <w:r w:rsidRPr="007F0DA4">
        <w:rPr>
          <w:bCs/>
        </w:rPr>
        <w:t>UZASADNIENIE</w:t>
      </w:r>
    </w:p>
    <w:p w14:paraId="39ADBD7D" w14:textId="77777777" w:rsidR="007C2B08" w:rsidRDefault="007C2B08" w:rsidP="007F0DA4">
      <w:pPr>
        <w:pStyle w:val="Nagwek1"/>
        <w:spacing w:before="120" w:after="0" w:line="360" w:lineRule="auto"/>
        <w:ind w:left="340" w:right="0" w:hanging="355"/>
      </w:pPr>
      <w:r>
        <w:t>Wyjaśnienie potrzeby i celu związania Rzeczypospolitej Polskiej umową</w:t>
      </w:r>
    </w:p>
    <w:p w14:paraId="594B2A9E" w14:textId="4108A49A" w:rsidR="007C2B08" w:rsidRDefault="007C2B08" w:rsidP="007F0DA4">
      <w:pPr>
        <w:spacing w:before="120" w:after="0" w:line="360" w:lineRule="auto"/>
        <w:ind w:left="-5" w:right="-15"/>
      </w:pPr>
      <w:r>
        <w:t xml:space="preserve">Związanie Rzeczypospolitej Polskiej Konwencją Rady Europy w sprawie koprodukcji utworów audiowizualnych w formie seriali (dalej jako: „Konwencja”) jest realizacją art. 6 Konstytucji Rzeczypospolitej Polskiej, który m.in. stanowi, że Rzeczpospolita Polska stwarza warunki upowszechniania dóbr kultury. Minister właściwy do spraw kultury i ochrony dziedzictwa narodowego podejmuje działania w celu zapewnienia odpowiednich warunków dla rozwoju kinematografii i produkcji różnych form utworów audiowizualnych. </w:t>
      </w:r>
    </w:p>
    <w:p w14:paraId="33AED0CE" w14:textId="4E862903" w:rsidR="007C2B08" w:rsidRDefault="007C2B08" w:rsidP="007F0DA4">
      <w:pPr>
        <w:spacing w:before="120" w:after="0" w:line="360" w:lineRule="auto"/>
        <w:ind w:left="-5" w:right="-15"/>
      </w:pPr>
      <w:r>
        <w:t>Niezaprzeczalnym osiągnięciem Rady Europy jest stworzenie stosowanych w praktyce instrumentów prawa międzynarodowego. Te, które dotyczą dziedziny kultury</w:t>
      </w:r>
      <w:r w:rsidR="00D61FB7">
        <w:t>,</w:t>
      </w:r>
      <w:r>
        <w:t xml:space="preserve"> kreują jednolite standardy działania na poziomie międzynarodowym. Wspomnieć można tu Europejską konwencję kulturalną, sporządzoną w Paryżu dnia 19 grudnia 1954 r. (Dz. U. z 1990 r. poz. 44), której stroną Rzeczpospolita Polska stała się dnia 16 listopada 1989 r. Następnie należy wymienić Konwencję o ochronie dziedzictwa architektonicznego Europy, sporządzoną w Grenadzie dnia 3 października 1985 r. (Dz. U. z 2012 r. poz. 210), która w stosunku do Rzeczypospolitej Polskiej weszła w życie dnia 1 marca 2012 r., Europejską Konwencję o ochronie dziedzictwa archeologicznego (poprawioną), sporządzoną w La </w:t>
      </w:r>
      <w:proofErr w:type="spellStart"/>
      <w:r>
        <w:t>Valetta</w:t>
      </w:r>
      <w:proofErr w:type="spellEnd"/>
      <w:r>
        <w:t xml:space="preserve"> dnia 16 stycznia 1992 r. (Dz. U. z 1996 r. poz. 564), której stroną Rzeczpospolita Polska stała się dnia 31 lipca 1996 r., czy Europejską Konwencję o koprodukcji filmowej, sporządzoną w Strasburgu dnia 2 października 1992 r. (Dz. U. z 2003 r. poz. 1912)</w:t>
      </w:r>
      <w:r w:rsidR="007F21C0">
        <w:t>,</w:t>
      </w:r>
      <w:r>
        <w:t xml:space="preserve"> obowiązującą w stosunku do Rzeczypospolitej Polskiej od dnia 1 kwietnia 2003 r., która została zastąpiona Konwencją Rady Europy o koprodukcji filmowej (poprawioną), sporządzoną w Rotterdamie dnia 30 stycznia 2017 r. (Dz. U. z 2019 r. poz. 1913), wiążącą Rzeczpospolitą Polską od dnia 1 sierpnia 2019 r., a także Europejską Konwencję o ochronie dziedzictwa audiowizualnego, sporządzoną w Strasburgu dnia 8 listopada 2001 r. (Dz.</w:t>
      </w:r>
      <w:r w:rsidR="007F21C0">
        <w:t xml:space="preserve"> </w:t>
      </w:r>
      <w:r>
        <w:t>U. z 2022 r. poz. 914), która weszła w życie w stosunku do Rzeczypospolitej Polskiej dnia 1 czerwca 2022 r.</w:t>
      </w:r>
      <w:r w:rsidR="007F21C0">
        <w:t>,</w:t>
      </w:r>
      <w:r>
        <w:t xml:space="preserve"> czy Konwencję ramową Rady Europy o wartości dziedzictwa kulturowego dla społeczeństwa, sporządzoną w Faro dnia 27 października 2005 r.</w:t>
      </w:r>
      <w:r w:rsidRPr="00126706">
        <w:t xml:space="preserve"> </w:t>
      </w:r>
      <w:r>
        <w:t>(Dz.</w:t>
      </w:r>
      <w:r w:rsidR="007F21C0">
        <w:t xml:space="preserve"> </w:t>
      </w:r>
      <w:r>
        <w:t xml:space="preserve">U. z 2023 r. poz. 396), wiążącą Rzeczpospolitą Polską od dnia 1 marca 2023 r. </w:t>
      </w:r>
    </w:p>
    <w:p w14:paraId="548D4DC5" w14:textId="7FD1F96D" w:rsidR="007C2B08" w:rsidRDefault="007C2B08" w:rsidP="007F0DA4">
      <w:pPr>
        <w:spacing w:before="120" w:after="0" w:line="360" w:lineRule="auto"/>
        <w:ind w:left="-5" w:right="-15"/>
      </w:pPr>
      <w:r w:rsidRPr="001E0868">
        <w:rPr>
          <w:lang w:val="en-US"/>
        </w:rPr>
        <w:t xml:space="preserve">W </w:t>
      </w:r>
      <w:proofErr w:type="spellStart"/>
      <w:r w:rsidRPr="001E0868">
        <w:rPr>
          <w:lang w:val="en-US"/>
        </w:rPr>
        <w:t>październiku</w:t>
      </w:r>
      <w:proofErr w:type="spellEnd"/>
      <w:r w:rsidRPr="001E0868">
        <w:rPr>
          <w:lang w:val="en-US"/>
        </w:rPr>
        <w:t xml:space="preserve"> 2021 r. Rada </w:t>
      </w:r>
      <w:proofErr w:type="spellStart"/>
      <w:r w:rsidRPr="001E0868">
        <w:rPr>
          <w:lang w:val="en-US"/>
        </w:rPr>
        <w:t>Europy</w:t>
      </w:r>
      <w:proofErr w:type="spellEnd"/>
      <w:r w:rsidRPr="001E0868">
        <w:rPr>
          <w:lang w:val="en-US"/>
        </w:rPr>
        <w:t xml:space="preserve"> </w:t>
      </w:r>
      <w:proofErr w:type="spellStart"/>
      <w:r w:rsidRPr="001E0868">
        <w:rPr>
          <w:lang w:val="en-US"/>
        </w:rPr>
        <w:t>zorganizowała</w:t>
      </w:r>
      <w:proofErr w:type="spellEnd"/>
      <w:r w:rsidRPr="001E0868">
        <w:rPr>
          <w:lang w:val="en-US"/>
        </w:rPr>
        <w:t xml:space="preserve"> w </w:t>
      </w:r>
      <w:proofErr w:type="spellStart"/>
      <w:r w:rsidRPr="001E0868">
        <w:rPr>
          <w:lang w:val="en-US"/>
        </w:rPr>
        <w:t>Budapeszcie</w:t>
      </w:r>
      <w:proofErr w:type="spellEnd"/>
      <w:r w:rsidRPr="001E0868">
        <w:rPr>
          <w:lang w:val="en-US"/>
        </w:rPr>
        <w:t xml:space="preserve"> </w:t>
      </w:r>
      <w:proofErr w:type="spellStart"/>
      <w:r w:rsidRPr="001E0868">
        <w:rPr>
          <w:lang w:val="en-US"/>
        </w:rPr>
        <w:t>międzynarodową</w:t>
      </w:r>
      <w:proofErr w:type="spellEnd"/>
      <w:r w:rsidRPr="001E0868">
        <w:rPr>
          <w:lang w:val="en-US"/>
        </w:rPr>
        <w:t xml:space="preserve"> </w:t>
      </w:r>
      <w:proofErr w:type="spellStart"/>
      <w:r w:rsidRPr="001E0868">
        <w:rPr>
          <w:lang w:val="en-US"/>
        </w:rPr>
        <w:t>konferencję</w:t>
      </w:r>
      <w:proofErr w:type="spellEnd"/>
      <w:r>
        <w:rPr>
          <w:lang w:val="en-US"/>
        </w:rPr>
        <w:t xml:space="preserve"> „Preserving Independent Production, Diversity and Pluralism in Drama Series in Europe: Can International Co-operation be Part of the Solution?”. </w:t>
      </w:r>
      <w:r>
        <w:t xml:space="preserve">Jako jej pokłosie dnia </w:t>
      </w:r>
      <w:r>
        <w:lastRenderedPageBreak/>
        <w:t>1 kwietnia 2022 r. została przyjęta Deklaracja Ministrów Kultury Rady Europy, w której poproszono tą organizację o opracowanie nowego europejskiego instrumentu prawnego kodyfikującego zasady koprodukcji europejskich seriali dramatycznych. Komitet Sterujący do spraw Kultury, Dziedzictwa i Krajobrazu Rady Europy powierzył to zadanie specjalnie powołanej grupie 15 ekspertów (brał w jej pracach udział także polski przedstawiciel). We wrześniu 2024 r. grupa ta zakończyła sw</w:t>
      </w:r>
      <w:r w:rsidR="007F21C0">
        <w:t>oj</w:t>
      </w:r>
      <w:r>
        <w:t xml:space="preserve">e prace i przedstawiła raport w sprawie przyjęcia instrumentu prawnego ułatwiającego koprodukcję międzynarodową utworów audiowizualnych. Następnie projekt Konwencji Rady Europy w sprawie koprodukcji utworów audiowizualnych w formie seriali, został przesłany do 46 państw członkowskich Rady Europy, celem uzyskania ich stanowiska. Debata nad tym dokumentem toczyła się na forach Komitetu Sterującego do spraw Kultury, Dziedzictwa i Krajobrazu oraz </w:t>
      </w:r>
      <w:r w:rsidRPr="00270738">
        <w:t>Komitet</w:t>
      </w:r>
      <w:r>
        <w:t>u</w:t>
      </w:r>
      <w:r w:rsidRPr="00270738">
        <w:t xml:space="preserve"> Sterując</w:t>
      </w:r>
      <w:r>
        <w:t>ego</w:t>
      </w:r>
      <w:r w:rsidRPr="00270738">
        <w:t xml:space="preserve"> d</w:t>
      </w:r>
      <w:r>
        <w:t>o spraw</w:t>
      </w:r>
      <w:r w:rsidRPr="00270738">
        <w:t xml:space="preserve"> Mediów i Społeczeństwa Informacyjnego</w:t>
      </w:r>
      <w:r>
        <w:t xml:space="preserve"> Rady Europy. Komitet Ministrów Rady Europy przyjął tekst projektu Konwencji w dniu</w:t>
      </w:r>
      <w:r w:rsidRPr="00270738">
        <w:t xml:space="preserve"> </w:t>
      </w:r>
      <w:r>
        <w:t xml:space="preserve">26 listopada 2025 r. Konwencja została otwarta do podpisu w Lille 26 marca 2026 r. W tym dniu została podpisana przez przedstawicieli 9 państw członkowskich Rady Europy: </w:t>
      </w:r>
      <w:bookmarkStart w:id="0" w:name="_Hlk227845707"/>
      <w:r>
        <w:t>Czarnogóry, Republiki Francuskiej, Gruzji, Republiki Greckiej, Wielkiego Księstwa Luksemburga, Republiki Malty, Rzeczypospolitej Polskiej, Republiki Portugalskiej oraz Republiki Włoskiej</w:t>
      </w:r>
      <w:bookmarkEnd w:id="0"/>
      <w:r>
        <w:t xml:space="preserve">. Ze strony polskiej, przedstawicielem upoważnionym do podpisania był Maciej Wróbel, Sekretarz Stanu w Ministerstwie Kultury i Dziedzictwa Narodowego. </w:t>
      </w:r>
      <w:r w:rsidR="008177FB">
        <w:t>15 maja 2026 r. do grona państw-sygnatariuszy dołączyły Republika Mołdawii oraz Zjednoczone Królestwo Wielkiej Brytanii i Irlandii Północnej.</w:t>
      </w:r>
    </w:p>
    <w:p w14:paraId="4BED5DBA" w14:textId="77777777" w:rsidR="007C2B08" w:rsidRDefault="007C2B08" w:rsidP="007F0DA4">
      <w:pPr>
        <w:spacing w:before="120" w:after="0" w:line="360" w:lineRule="auto"/>
        <w:ind w:left="-5" w:right="-15"/>
      </w:pPr>
      <w:r>
        <w:t>Przyjęcie Konwencji jest istotne z punktu widzenia Rzeczypospolitej Polskiej z następujących przyczyn:</w:t>
      </w:r>
    </w:p>
    <w:p w14:paraId="6C317645" w14:textId="0BE03980" w:rsidR="007C2B08" w:rsidRDefault="007C2B08" w:rsidP="007F0DA4">
      <w:pPr>
        <w:numPr>
          <w:ilvl w:val="0"/>
          <w:numId w:val="2"/>
        </w:numPr>
        <w:spacing w:before="120" w:after="0" w:line="360" w:lineRule="auto"/>
        <w:ind w:right="-15" w:hanging="360"/>
      </w:pPr>
      <w:r>
        <w:t>Konwencja stanowić będzie wsparcie dla polskiej kultury i tożsamości: ułatwi polskim producentom współpracę z zagranicznymi partnerami przy produkcji seriali, co pozwala na promowanie polskiej kultury, historii i języka na arenie międzynarodowej. Dzięki temu polskie treści będą mogły docierać do szerszej publiczności, wpływając na wzrost zainteresowania Polską i jej dziedzictwem kulturowym</w:t>
      </w:r>
      <w:r w:rsidR="00C071A3">
        <w:t>;</w:t>
      </w:r>
    </w:p>
    <w:p w14:paraId="40931CC4" w14:textId="340A9C12" w:rsidR="007C2B08" w:rsidRDefault="007C2B08" w:rsidP="007F0DA4">
      <w:pPr>
        <w:numPr>
          <w:ilvl w:val="0"/>
          <w:numId w:val="2"/>
        </w:numPr>
        <w:spacing w:before="120" w:after="0" w:line="360" w:lineRule="auto"/>
        <w:ind w:right="-15" w:hanging="360"/>
      </w:pPr>
      <w:r>
        <w:t xml:space="preserve">Spowoduje zwiększenie konkurencyjności polskiego przemysłu filmowego: współpraca międzynarodowa pozwala na zdobywanie doświadczenia, wymianę </w:t>
      </w:r>
      <w:r>
        <w:rPr>
          <w:i/>
        </w:rPr>
        <w:t>know-how</w:t>
      </w:r>
      <w:r>
        <w:t xml:space="preserve"> oraz dostosowywanie produkcji do światowych standardów. Dzięki temu polski przemysł filmowy będzie mógł się rozwijać, a także skuteczniej konkurować z zagranicznymi produkcjami</w:t>
      </w:r>
      <w:r w:rsidR="00C071A3">
        <w:t>;</w:t>
      </w:r>
    </w:p>
    <w:p w14:paraId="66C37407" w14:textId="16123DB3" w:rsidR="007C2B08" w:rsidRDefault="007C2B08" w:rsidP="007F0DA4">
      <w:pPr>
        <w:numPr>
          <w:ilvl w:val="0"/>
          <w:numId w:val="2"/>
        </w:numPr>
        <w:spacing w:before="120" w:after="0" w:line="360" w:lineRule="auto"/>
        <w:ind w:right="-15" w:hanging="360"/>
      </w:pPr>
      <w:r>
        <w:lastRenderedPageBreak/>
        <w:t>Umożliwi dostęp do większych środków finansowych: koprodukcje międzynarodowe zazwyczaj wiążą się z większym budżetem, co pozwala na realizację projektów o wyższej jakości technicznej. Wsparcie finansowe ze strony partnerów zagranicznych umożliwia inwestowanie w nowoczesne technologie oraz zatrudnianie utalentowanych twórców, co przekłada się na lepszą jakość produkcji</w:t>
      </w:r>
      <w:r w:rsidR="00C071A3">
        <w:t>;</w:t>
      </w:r>
    </w:p>
    <w:p w14:paraId="73470ECD" w14:textId="54D5C9BA" w:rsidR="007C2B08" w:rsidRDefault="007C2B08" w:rsidP="007F0DA4">
      <w:pPr>
        <w:numPr>
          <w:ilvl w:val="0"/>
          <w:numId w:val="2"/>
        </w:numPr>
        <w:spacing w:before="120" w:after="0" w:line="360" w:lineRule="auto"/>
        <w:ind w:right="-15" w:hanging="360"/>
      </w:pPr>
      <w:r>
        <w:t>Zapewni rozwój gospodarczy i utworzy nowe miejsca pracy: koprodukcje międzynarodowe często wiążą się z inwestycjami w lokalne studia filmowe, sprzęt oraz zasoby ludzkie. Oznacza to nowe miejsca pracy i rozwój branży filmowej w Polsce, a</w:t>
      </w:r>
      <w:r>
        <w:rPr>
          <w:sz w:val="22"/>
        </w:rPr>
        <w:t> </w:t>
      </w:r>
      <w:r>
        <w:t>także potencjalny napływ zagranicznych inwestycji</w:t>
      </w:r>
      <w:r w:rsidR="00C071A3">
        <w:t>;</w:t>
      </w:r>
    </w:p>
    <w:p w14:paraId="080FBBA6" w14:textId="28A8CC46" w:rsidR="007C2B08" w:rsidRDefault="007C2B08" w:rsidP="007F0DA4">
      <w:pPr>
        <w:numPr>
          <w:ilvl w:val="0"/>
          <w:numId w:val="2"/>
        </w:numPr>
        <w:spacing w:before="120" w:after="0" w:line="360" w:lineRule="auto"/>
        <w:ind w:right="-15" w:hanging="360"/>
      </w:pPr>
      <w:r>
        <w:t>Ułatwi wejście na zagraniczne rynki: dzięki koprodukcji seriali z zagranicznymi partnerami polskie produkcje mają większe szanse na dystrybucję i sukces za granicą. Jest to szczególnie ważne, gdyż pozwala na budowanie marki polskich producentów oraz zwiększa widoczność polskiej twórczości na międzynarodowym rynku</w:t>
      </w:r>
      <w:r w:rsidR="00C071A3">
        <w:t>;</w:t>
      </w:r>
    </w:p>
    <w:p w14:paraId="5E9E7571" w14:textId="77777777" w:rsidR="007C2B08" w:rsidRDefault="007C2B08" w:rsidP="007F0DA4">
      <w:pPr>
        <w:numPr>
          <w:ilvl w:val="0"/>
          <w:numId w:val="2"/>
        </w:numPr>
        <w:spacing w:before="120" w:after="0" w:line="360" w:lineRule="auto"/>
        <w:ind w:right="-15" w:hanging="360"/>
      </w:pPr>
      <w:r>
        <w:t>Rozwinie wymianę kulturową: koprodukcje pozwalają na włączenie różnych perspektyw i wymianę kulturową, co sprzyja tworzeniu różnorodnych i ciekawych treści. Dzięki temu polscy twórcy mogą pracować z międzynarodowymi talentami, wzbogacając swoje umiejętności i tworząc treści, które będą atrakcyjne dla różnorodnej publiczności.</w:t>
      </w:r>
    </w:p>
    <w:p w14:paraId="000C5B5A" w14:textId="6EB15BE3" w:rsidR="007C2B08" w:rsidRDefault="007C2B08" w:rsidP="007F0DA4">
      <w:pPr>
        <w:pStyle w:val="Nagwek1"/>
        <w:spacing w:before="120" w:after="0" w:line="360" w:lineRule="auto"/>
        <w:ind w:left="340" w:right="0" w:hanging="355"/>
      </w:pPr>
      <w:r>
        <w:t xml:space="preserve">Wskazanie różnic między dotychczasowym </w:t>
      </w:r>
      <w:r w:rsidR="00130886">
        <w:t>a</w:t>
      </w:r>
      <w:r>
        <w:t xml:space="preserve"> projektowanym stanem prawnym</w:t>
      </w:r>
    </w:p>
    <w:p w14:paraId="7519435D" w14:textId="251F1817" w:rsidR="007C2B08" w:rsidRDefault="007C2B08" w:rsidP="007F0DA4">
      <w:pPr>
        <w:spacing w:before="120" w:after="0" w:line="360" w:lineRule="auto"/>
        <w:ind w:left="-5" w:right="-15"/>
      </w:pPr>
      <w:r>
        <w:t xml:space="preserve">W Polsce produkcja audiowizualna jest regulowana przez szereg aktów prawnych, wśród których wymienić można m.in. ustawę o radiofonii i telewizji, ustawę o kinematografii, ustawę o finansowym wspieraniu produkcji audiowizualnej, ustawę o prawie autorskim i prawach pokrewnych, czy też </w:t>
      </w:r>
      <w:r w:rsidRPr="003F0858">
        <w:t>Konwencj</w:t>
      </w:r>
      <w:r>
        <w:t>ę</w:t>
      </w:r>
      <w:r w:rsidRPr="003F0858">
        <w:t xml:space="preserve"> Rady Europy o koprodukcji filmowej (poprawioną)</w:t>
      </w:r>
      <w:r>
        <w:t xml:space="preserve">. Powyższe regulacje dotyczą różnych aspektów produkcji audiowizualnej, od finansowania po prawa autorskie i kwestie związane z nadawaniem, są jednak przepisami dotyczącymi produkcji audiowizualnej w ogólności. Konwencja Rady Europy w sprawie koprodukcji utworów audiowizualnych w formie seriali ma na celu regulację zagadnień związanych z koprodukcją międzynarodową seriali, rozumianych jako „scenariuszowy utwór fabularny, dokumentalny lub animowany prezentowany w serii odcinków o dowolnej długości, przeznaczony do rozpowszechniania w sposób liniowy lub nieliniowy przez dostawcę usług medialnych”. Potrzeba powstania odrębnej regulacji wynikała ze znaczącego wzrostu popularności seriali w ostatnich latach. Wzrost ten ma kilka powodów. Jednym z nich jest wzrost popularności </w:t>
      </w:r>
      <w:r>
        <w:lastRenderedPageBreak/>
        <w:t>platform streamingowych, dzięki którym widzowie mają dostęp do ogromnej biblioteki treści na żądanie, co pozwala na oglądanie całych sezonów bez czekania na emisję kolejnych odcinków. Serialom zaczęto także przyznawać większy budżet i lepsze zasoby produkcyjne, co sprawiło, że pod względem jakości zaczęły dorównywać, a czasem przewyższać filmy kinowe. Seriale stały się produkcjami na dużą skalę, z będącymi na wysokim poziomie efektami specjalnymi, kostiumami i scenografią. Wzrost liczby platform i produkcji sprawił, że powstaje więcej seriali z różnych gatunków, od thrillerów i komedii po dokumenty i dramaty historyczne. Dzięki temu widzowie mogą wybierać spośród ogromnej różnorodności treści, co sprawia, że każdy może znaleźć coś dla siebie. Współcześni widzowie coraz bardziej cenią sobie złożone i rozbudowane historie, które pozwalają na głębsze rozwinięcie postaci i wątków. W przeciwieństwie do filmów, seriale pozwalają na bardziej szczegółowe przedstawienie historii i oferują możliwość wnikliwego poznania bohaterów. Dodatkowo okres pandemii przyspieszył wzrost popularności seriali. W tym czasie wiele osób zaczęło szukać nowych form rozrywki w domu, co wpłynęło na znaczny wzrost liczby abonentów platform streamingowych. Oglądanie seriali stało się jednym z głównych sposobów spędzania czasu w domu, a dzięki dostępowi do różnorodnych treści można było łatwo znaleźć coś odpowiedniego do obejrzenia w danej chwili.</w:t>
      </w:r>
    </w:p>
    <w:p w14:paraId="653A456A" w14:textId="77777777" w:rsidR="007C2B08" w:rsidRDefault="007C2B08" w:rsidP="007F0DA4">
      <w:pPr>
        <w:spacing w:before="120" w:after="0" w:line="360" w:lineRule="auto"/>
        <w:ind w:left="-5" w:right="-15"/>
      </w:pPr>
      <w:r>
        <w:t>W wyniku zmian na rynku audiowizualnym okazało się, że dotychczas stosowane rozwiązania w tej branży nie zawsze są wystarczające przy produkcji utworów audiowizualnych w formie seriali. Odrębne przepisy regulujące tworzenie seriali są potrzebne ze względu na specyfikę produkcji audiowizualnej i jej złożoność w porównaniu do innych form mediów. Produkcja seriali różni się pod wieloma względami od produkcji filmów fabularnych, programów telewizyjnych czy innych formatów audiowizualnych.</w:t>
      </w:r>
    </w:p>
    <w:p w14:paraId="0785DA17" w14:textId="5A95646D" w:rsidR="007C2B08" w:rsidRDefault="007C2B08" w:rsidP="007F0DA4">
      <w:pPr>
        <w:spacing w:before="120" w:after="0" w:line="360" w:lineRule="auto"/>
        <w:ind w:left="-5" w:right="-15"/>
      </w:pPr>
      <w:r>
        <w:t>Seriale są produkcjami długoterminowymi, które często składają się z wielu odcinków lub sezonów, wymagając innego podejścia produkcyjnego i finansowego niż jednorazowe produkcje filmowe. Produkcja seriali wymaga szczególnej logistyki oraz planowania, które uwzględniają długofalowe harmonogramy pracy. Produkcja seriali wymaga przepisów regulujących podział praw autorskich, które często są bardziej złożone niż w przypadku filmów. Serial to projekt angażujący różne zespoły kreatywne (scenarzystów, reżyserów, aktorów i producentów) przez wiele sezonów, a zarządzanie prawami do poszczególnych odcinków i sezonów wymaga skomplikowanych umów. Istotne znaczenie mają kwestie licencjonowania seriali, zwłaszcza je</w:t>
      </w:r>
      <w:r w:rsidR="00130886">
        <w:t>że</w:t>
      </w:r>
      <w:r>
        <w:t xml:space="preserve">li chodzi o dystrybucję międzynarodową i dostępność na platformach </w:t>
      </w:r>
      <w:proofErr w:type="spellStart"/>
      <w:r>
        <w:t>streamingowych</w:t>
      </w:r>
      <w:proofErr w:type="spellEnd"/>
      <w:r>
        <w:t xml:space="preserve">, przez które seriale mogą być dystrybuowane w wielu krajach jednocześnie. </w:t>
      </w:r>
      <w:r>
        <w:lastRenderedPageBreak/>
        <w:t>Potrzebne są również odrębne uregulowania dotyczące m.in. licencjonowania, dystrybucji międzynarodowej, zapewnienia odpowiedniego udziału treści lokalnych, zapewnienia odpowiedniego wpływu na produkcję producentów niezależnych. Konieczne są regulacje zapewniające odpowiedni udział treści europejskich lub narodowych w ramach portfolio wielkich firm streamingowych, konieczna jest również należyta ochrona rynku lokalnego i wspieranie rodzimych twórców.</w:t>
      </w:r>
    </w:p>
    <w:p w14:paraId="350C4B05" w14:textId="77777777" w:rsidR="007C2B08" w:rsidRDefault="007C2B08" w:rsidP="007F0DA4">
      <w:pPr>
        <w:spacing w:before="120" w:after="0" w:line="360" w:lineRule="auto"/>
        <w:ind w:left="-5" w:right="-15"/>
      </w:pPr>
      <w:r>
        <w:t>W miarę jak seriale stają się coraz bardziej popularne i stanowią znaczącą część rynku medialnego, konieczne są odpowiednie regulacje pomagające w zarządzaniu tym dynamicznym sektorem, zapewniając jego stabilność, różnorodność i zgodność z lokalnymi i międzynarodowymi standardami.</w:t>
      </w:r>
    </w:p>
    <w:p w14:paraId="33A6CE2B" w14:textId="77777777" w:rsidR="007C2B08" w:rsidRDefault="007C2B08" w:rsidP="007F0DA4">
      <w:pPr>
        <w:spacing w:before="120" w:after="0" w:line="360" w:lineRule="auto"/>
        <w:ind w:left="-5" w:right="-15"/>
      </w:pPr>
      <w:r>
        <w:t>Konwencja wprowadza szczególne rozwiązania, dostosowane do produkcji serialowej. W szczególności definiuje „niezależnych producentów” jako podmioty produkcji audiowizualnej związane umową o koprodukcji i kwalifikujące się jako niezależne zgodnie z przepisami prawa krajowego państw, w których mają siedzibę, lub w przypadku braku takich przepisów spełniające następujące kryteria:</w:t>
      </w:r>
    </w:p>
    <w:p w14:paraId="214008D0" w14:textId="303A85B0" w:rsidR="007C2B08" w:rsidRDefault="007C2B08" w:rsidP="007F0DA4">
      <w:pPr>
        <w:numPr>
          <w:ilvl w:val="0"/>
          <w:numId w:val="3"/>
        </w:numPr>
        <w:spacing w:before="120" w:after="0" w:line="360" w:lineRule="auto"/>
        <w:ind w:right="-15" w:hanging="360"/>
      </w:pPr>
      <w:r>
        <w:t>nie są kontrolowane (bezpośrednio lub pośrednio) przez dostawcę usług medialnych</w:t>
      </w:r>
      <w:r w:rsidR="00C071A3">
        <w:t>,</w:t>
      </w:r>
    </w:p>
    <w:p w14:paraId="309EC817" w14:textId="77777777" w:rsidR="007C2B08" w:rsidRDefault="007C2B08" w:rsidP="007F0DA4">
      <w:pPr>
        <w:numPr>
          <w:ilvl w:val="0"/>
          <w:numId w:val="3"/>
        </w:numPr>
        <w:spacing w:before="120" w:after="0" w:line="360" w:lineRule="auto"/>
        <w:ind w:right="-15" w:hanging="360"/>
      </w:pPr>
      <w:r>
        <w:t xml:space="preserve">nie są zależne (wyłącznie lub w dużym stopniu) od jednego lub grupy dostawców usług medialnych w zakresie finansowania swoich utworów, biorą na siebie odpowiedzialność za dostarczanie swoich utworów i mogą podejmować decyzje dotyczące rozpowszechniania z wykorzystaniem różnych podmiotów. </w:t>
      </w:r>
    </w:p>
    <w:p w14:paraId="566EDA7E" w14:textId="50276D7B" w:rsidR="007C2B08" w:rsidRDefault="007C2B08" w:rsidP="007F0DA4">
      <w:pPr>
        <w:spacing w:before="120" w:after="0" w:line="360" w:lineRule="auto"/>
        <w:ind w:left="-5" w:right="-15"/>
      </w:pPr>
      <w:r>
        <w:t xml:space="preserve">Konwencja przewiduje poszanowanie interesów niezależnych producentów przez zapewnienie, aby umowa koprodukcyjna gwarantowała każdemu niezależnemu koproducentowi udział w prawach własności do ukończonego utworu, przy czym wielkość udziałów powinna uwzględniać wkład finansowy oraz wkłady twórcze i techniczne. Prawa do eksploatacji nie mogą być licencjonowane bezterminowo, a okresy licencjonowania powinny umożliwiać niezależnym koproducentom korzystanie z wartości rezydualnej praw. Inicjatywa w zakresie produkcji serialu musi wypływać od co najmniej jednego niezależnego koproducenta, a niezależni koproducenci zarządzają kluczowymi decyzjami twórczymi i produkcyjnymi oraz uczestniczą w ich podejmowaniu. Konwencja zapewnia, że koproducentom udzielane są przez dostawców usług medialnych dane dotyczące oglądalności i informacje na temat eksploatacji seriali, które uzyskały status oficjalnej koprodukcji. Konwencja zapewnia zachowanie równowagi w stosunkach między niezależnymi producentami a dostawcami usług medialnych, </w:t>
      </w:r>
      <w:r>
        <w:lastRenderedPageBreak/>
        <w:t>zarówno w odniesieniu do całkowitej zainwestowanej kwoty, jak i udziału artystycznego i technicznego w oficjalnych koprodukcjach. Strona, która zaobserwuje deficyt w swoich stosunkach koprodukcyjnych, może wstrzymać zatwierdzenie kolejnej koprodukcji do czasu przywrócenia zrównoważonych stosunków.</w:t>
      </w:r>
    </w:p>
    <w:p w14:paraId="75C10031" w14:textId="139FD889" w:rsidR="007C2B08" w:rsidRDefault="007C2B08" w:rsidP="007F0DA4">
      <w:pPr>
        <w:spacing w:before="120" w:after="0" w:line="360" w:lineRule="auto"/>
        <w:ind w:left="-5" w:right="-15"/>
      </w:pPr>
      <w:r>
        <w:t>Rozwiązania przyjęte w Konwencji stanowią wyraz uznania twórczego wkładu niezależnych producentów w dziedzinie seriali, gdzie własne inwestycje niezależnych producentów w ich rozwój są większe w porównaniu do sektora filmów. Niezależni producenci podejmują większe ryzyko w rozwoju projektów serialowych i chociaż „wkład twórczy” jest nowym i trudnym do zdefiniowania pojęciem, rozwiązania przyjęte w Konwencji zapewniają należyte uznanie roli producenta niezależnego. Rozwiązanie to gwarantuje kluczową rolę niezależnego producenta w zakresie inicjowania i prowadzenia projektów kwalifikujących się do wsparcia na podstawie Konwencji, zapewnia mu należyty udział w prawach do utworu i przychodach z eksploatacji seriali oraz zapewnia jego należyty udział w kluczowych decyzjach dotyczących produkcji utworu. Niezależni producenci rozwijają wiele projektów, z których duża część nie trafia do produkcji. Aby pozostali rentowni i mogli reinwestować w nowe talenty kreatywne, muszą mieć możliwość korzystania z sukcesów seriali, które zostają wyprodukowane, a rozwiązania przyjęte w Konwencji im to zapewniają.</w:t>
      </w:r>
    </w:p>
    <w:p w14:paraId="083151A3" w14:textId="77777777" w:rsidR="007C2B08" w:rsidRDefault="007C2B08" w:rsidP="007F0DA4">
      <w:pPr>
        <w:spacing w:before="120" w:after="0" w:line="360" w:lineRule="auto"/>
        <w:ind w:left="-5" w:right="-15"/>
      </w:pPr>
      <w:r>
        <w:t>Konwencja uznaje rolę niezależnego producenta w promowaniu różnorodności kulturowej w dziełach audiowizualnych. Jest wyrazem faktu, że niezależni producenci odgrywają kluczową rolę, współpracując z europejskimi talentami kreatywnymi w tworzeniu i produkcji seriali, które dają przestrzeń dla wielu różnorodnych głosów, języków i kultur Europy. Konwencja ułatwi rozwój, finansowanie, produkcję i promocję seriali.</w:t>
      </w:r>
    </w:p>
    <w:p w14:paraId="67159B2D" w14:textId="77777777" w:rsidR="007C2B08" w:rsidRDefault="007C2B08" w:rsidP="007F0DA4">
      <w:pPr>
        <w:spacing w:before="120" w:after="0" w:line="360" w:lineRule="auto"/>
        <w:ind w:left="-5" w:right="-15"/>
      </w:pPr>
      <w:r>
        <w:t>Konwencja podkreśla również znaczenie przejrzystości danych dotyczących oglądalności oraz udostępniania informacji na temat widowni zarówno niezależnym producentom, jako posiadaczom praw, jak i instytucjom publicznym zaangażowanym w finansowanie i produkcję tych seriali. Taka przejrzystość jest kluczowa dla sukcesu producentów niezależnych oraz rozwoju ich przyszłych projektów. Konwencja rozszerza praktyki przejrzystości na wszystkie podmioty eksploatujące programy audiowizualne wspierane na mocy Konwencji. Pozytywnie należy ocenić fakt, że Konwencja w sposób elastyczny podchodzi do kwestii definiowania niezależnego producenta, dostępnego finansowania krajowego dla niezależnych producentów oraz sposobu jego alokacji, jak również do kwestii umów między nadawcami/dostawcami usług medialnych a niezależnymi producentami.</w:t>
      </w:r>
    </w:p>
    <w:p w14:paraId="42EEF9B2" w14:textId="77777777" w:rsidR="007C2B08" w:rsidRDefault="007C2B08" w:rsidP="007F0DA4">
      <w:pPr>
        <w:spacing w:before="120" w:after="0" w:line="360" w:lineRule="auto"/>
        <w:ind w:left="-5" w:right="-15"/>
      </w:pPr>
      <w:r>
        <w:lastRenderedPageBreak/>
        <w:t xml:space="preserve">Wyżej wskazane rozwiązania wprowadzone w Konwencji nie były wcześniej częścią polskiego porządku prawnego w zakresie produkcji utworów audiowizualnych w formie seriali. </w:t>
      </w:r>
    </w:p>
    <w:p w14:paraId="64EDEE2A" w14:textId="77777777" w:rsidR="007C2B08" w:rsidRDefault="007C2B08" w:rsidP="007F0DA4">
      <w:pPr>
        <w:pStyle w:val="Nagwek1"/>
        <w:spacing w:before="120" w:after="0" w:line="360" w:lineRule="auto"/>
        <w:ind w:left="345" w:right="0" w:hanging="360"/>
      </w:pPr>
      <w:r>
        <w:t>Wskazanie przewidywanych skutków społecznych, gospodarczych, finansowych, politycznych i prawnych, związanych z wejściem w życie umowy, wraz z określeniem źródeł finansowania</w:t>
      </w:r>
    </w:p>
    <w:p w14:paraId="16D6AC8F" w14:textId="7642B2DE" w:rsidR="007C2B08" w:rsidRDefault="007C2B08" w:rsidP="007F0DA4">
      <w:pPr>
        <w:spacing w:before="120" w:after="0" w:line="360" w:lineRule="auto"/>
        <w:ind w:left="-5" w:right="-15"/>
      </w:pPr>
      <w:r>
        <w:rPr>
          <w:b/>
        </w:rPr>
        <w:t>Skutki społeczne:</w:t>
      </w:r>
      <w:r>
        <w:t xml:space="preserve"> </w:t>
      </w:r>
      <w:r w:rsidR="00C071A3">
        <w:t>Z</w:t>
      </w:r>
      <w:r>
        <w:t>wiązanie Rzeczypospolitej Polskiej Konwencją powinno być pozytywnie odebrane przez partnerów społecznych. Konwencja może mieć pozytywny wpływ na rozwój sektora audiowizualnego w Polsce i sprzyjać umiędzynarodowieniu polskiego przemysłu filmowego. Gwarantuje stabilną pozycję producenta niezależnego i wspiera produkcję różnorodnych i kreatywnych seriali. Pozwala liczyć na zyski nie tylko w zakresie finansowym, ale również w kontekście rozwoju międzynarodowej współpracy kulturalnej oraz polskiego przemysłu filmowego</w:t>
      </w:r>
      <w:r w:rsidR="00C071A3">
        <w:t>.</w:t>
      </w:r>
    </w:p>
    <w:p w14:paraId="44A6A19F" w14:textId="77777777" w:rsidR="007C2B08" w:rsidRDefault="007C2B08" w:rsidP="007F0DA4">
      <w:pPr>
        <w:spacing w:before="120" w:after="0" w:line="360" w:lineRule="auto"/>
        <w:ind w:left="-5" w:right="-15"/>
      </w:pPr>
      <w:r>
        <w:rPr>
          <w:b/>
        </w:rPr>
        <w:t>Skutki gospodarcze:</w:t>
      </w:r>
      <w:r>
        <w:t xml:space="preserve"> Konwencja sprzyja rozwojowi współpracy kulturalnej oraz technicznej między jej stronami. Długoterminowo może to przyczynić się do rozwoju polskiego przemysłu filmowego, przyciągając zagranicznych producentów i umożliwiając realizację większej liczby projektów filmowych. Pośrednie korzyści to także tworzenie miejsc pracy w sektorze filmowym oraz promocja Rzeczypospolitej Polskiej jako miejsca produkcji filmowej. Konwencja tworzy pewien standard, ale państwa członkowskie mają pełną swobodę związania się jej przepisami, a producenci mają pełną swobodę korzystania z ram stworzonych przez nią. Ponadto polscy filmowcy pracujący przy międzynarodowych koprodukcjach zdobywają także nowe doświadczenia i umiejętności, wyrabiają sobie renomę, niejednokrotnie też kontynuują pracę przy kolejnych serialach poza granicami naszego kraju. W wyniku rozwiązań wprowadzonych w Konwencji można będzie liczyć na większą aktywizację polskich producentów filmowych i zwiększenie liczby rodzimych twórców, reprezentujących różne zawody filmowe, którzy będą pracowali przy międzynarodowych koprodukcjach filmowych.</w:t>
      </w:r>
    </w:p>
    <w:p w14:paraId="47932907" w14:textId="36C83CAA" w:rsidR="007C2B08" w:rsidRDefault="007C2B08" w:rsidP="007F0DA4">
      <w:pPr>
        <w:spacing w:before="120" w:after="0" w:line="360" w:lineRule="auto"/>
        <w:ind w:left="-5" w:right="-15"/>
      </w:pPr>
      <w:r>
        <w:rPr>
          <w:b/>
        </w:rPr>
        <w:t>Skutki finansowe:</w:t>
      </w:r>
      <w:r>
        <w:t xml:space="preserve"> Konwencja umożliwia ubieganie się o dofinansowanie z publicznych środków, takich jak np. fundusze filmowe w Polsce. Jednak potencjalne korzyści, takie jak zwiększenie wpływów z podatków, rozwój przemysłu i promocja kultury polskiej na arenie międzynarodowej, mogą przewyższyć te koszty. Koprodukcje pozwalają na podział kosztów produkcji filmowej, co może skutkować zwiększeniem wpływów np. podatkowych. Zapewnienie odpowiedniego wkładu przez każdego z koproducentów oznacza, że polski koproducent będzie finansował tylko część całkowitych kosztów produkcji. Podział kosztów oznacza mniejsze obciążenie dla budżetu państwa. Filmy koprodukowane w ramach Konwencji </w:t>
      </w:r>
      <w:r>
        <w:lastRenderedPageBreak/>
        <w:t>mogą być sprzedawane zarówno na rynku polskim, jak i rynkach koproducentów, a także międzynarodowo. Polska może czerpać korzyści z podatków od dochodów związanych z dystrybucją tych produkcji, zarówno w kraju, jak i za granicą. Ponieważ zyski będą dzielone proporcjonalnie do wkładów finansowych koproducentów, w przypadku produkcji, które odniosą sukces, może to przynieść dodatkowe wpływy do polskiego budżetu. Jako dodatkowe przychody wymienić należy przychody z tytułu praw autorskich i licencji na dystrybucję. Konkretny dostęp do finansowania zależy również od możliwości budż</w:t>
      </w:r>
      <w:r w:rsidRPr="004E22AC">
        <w:t>etowych. Dla przykładu, system wsparcia produkcji audiowizualnej, tzw. „zachęt”, który jest regulowany ustawą o finansowym wspieraniu produkcji audiowizualnej, oferuje zwrot poniesionych w Polsce kosztów produkcji w wysokości 30</w:t>
      </w:r>
      <w:r w:rsidR="00C071A3">
        <w:t xml:space="preserve"> </w:t>
      </w:r>
      <w:r w:rsidRPr="004E22AC">
        <w:t xml:space="preserve">% polskich wydatków kwalifikowalnych. Środki te, w corocznej wysokości ok. 108 milionów zł, są przekazywane z budżetu państwa i są rozdzielane w ciągu roku aż do ich wyczerpania. Szacunek kosztów budżetowych przeznaczonych na produkcję seriali nie jest możliwy do precyzyjnego wskazania, gdyż wynikać będzie z zainteresowania beneficjentów w poszczególnych latach. </w:t>
      </w:r>
      <w:r w:rsidRPr="00560A31">
        <w:t>Dodatkowo, planowana rekonstrukcja systemu produkcji audiowizualnej w Polsce, polegająca na m.in. na modernizacji systemu dotacji i systemu zachęt w obecnie funkcjonującej postaci oraz włączenie mechanizmu zwrotów podatkowych (</w:t>
      </w:r>
      <w:proofErr w:type="spellStart"/>
      <w:r w:rsidRPr="00560A31">
        <w:rPr>
          <w:i/>
        </w:rPr>
        <w:t>tax</w:t>
      </w:r>
      <w:proofErr w:type="spellEnd"/>
      <w:r w:rsidRPr="00560A31">
        <w:rPr>
          <w:i/>
        </w:rPr>
        <w:t xml:space="preserve"> </w:t>
      </w:r>
      <w:proofErr w:type="spellStart"/>
      <w:r w:rsidRPr="00560A31">
        <w:rPr>
          <w:i/>
        </w:rPr>
        <w:t>incentive</w:t>
      </w:r>
      <w:proofErr w:type="spellEnd"/>
      <w:r w:rsidRPr="00560A31">
        <w:t>) uniemożliwia przedstawienie konkretnych wyliczeń.</w:t>
      </w:r>
      <w:r w:rsidRPr="004E22AC">
        <w:t xml:space="preserve"> Niemniej</w:t>
      </w:r>
      <w:r>
        <w:t xml:space="preserve"> jednak związanie Rzeczypospolitej Polskiej Konwencją nie spowoduje skutków finansowych dla budżetu państwa i jednostek samorządu terytorialnego w postaci zmniejszenia dochodów, zwiększania wydatków lub zmiany ich struktury. </w:t>
      </w:r>
    </w:p>
    <w:p w14:paraId="7399CA55" w14:textId="77777777" w:rsidR="007C2B08" w:rsidRDefault="007C2B08" w:rsidP="007F0DA4">
      <w:pPr>
        <w:spacing w:before="120" w:after="0" w:line="360" w:lineRule="auto"/>
        <w:ind w:left="-5" w:right="-15"/>
      </w:pPr>
      <w:r>
        <w:rPr>
          <w:b/>
        </w:rPr>
        <w:t>Skutki polityczne:</w:t>
      </w:r>
      <w:r>
        <w:t xml:space="preserve"> Związanie Rzeczypospolitej Polskiej Konwencją będzie naturalnym efektem zaangażowania naszego państwa w prace Rady Europy i tak też będzie odbierane przez naszych partnerów w tej organizacji międzynarodowej.</w:t>
      </w:r>
    </w:p>
    <w:p w14:paraId="6DF40215" w14:textId="77777777" w:rsidR="007C2B08" w:rsidRDefault="007C2B08" w:rsidP="007F0DA4">
      <w:pPr>
        <w:spacing w:before="120" w:after="0" w:line="360" w:lineRule="auto"/>
        <w:ind w:left="-5" w:right="-15"/>
      </w:pPr>
      <w:r>
        <w:rPr>
          <w:b/>
        </w:rPr>
        <w:t>Skutki prawne:</w:t>
      </w:r>
      <w:r>
        <w:t xml:space="preserve"> Związanie Rzeczypospolitej Polskiej Konwencją nie powoduje konieczności zmiany przepisów polskiego prawa, ale jej ratyfikacja wymaga uprzedniej zgody wyrażonej w ustawie.</w:t>
      </w:r>
    </w:p>
    <w:p w14:paraId="4500CC5A" w14:textId="77777777" w:rsidR="007C2B08" w:rsidRDefault="007C2B08" w:rsidP="007F0DA4">
      <w:pPr>
        <w:pStyle w:val="Nagwek1"/>
        <w:spacing w:before="120" w:after="0" w:line="360" w:lineRule="auto"/>
        <w:ind w:left="345" w:right="0" w:hanging="360"/>
      </w:pPr>
      <w:r>
        <w:t xml:space="preserve">Wyjaśnienie wyboru trybu związania Rzeczypospolitej Polskiej umową </w:t>
      </w:r>
    </w:p>
    <w:p w14:paraId="4AAC61C0" w14:textId="77777777" w:rsidR="007C2B08" w:rsidRDefault="007C2B08" w:rsidP="007F0DA4">
      <w:pPr>
        <w:spacing w:before="120" w:after="0" w:line="360" w:lineRule="auto"/>
        <w:ind w:left="-5" w:right="-15"/>
      </w:pPr>
      <w:r>
        <w:t>Związanie Rzeczypospolitej Polskiej Konwencją nastąpi przez ratyfikację za uprzednią zgodą wyrażoną w ustawie. Postanowienia Konwencji dotyczą spraw, które w polskim systemie prawnym są uregulowane w ustawach. W takich przypadkach, stosownie do przepisu art. 89 ust. 1 pkt 5 Konstytucji Rzeczypospolitej Polskiej, ratyfikowanie umowy międzynarodowej, wymaga uprzedniej zgody na jej dokonanie wyrażonej w ustawie.</w:t>
      </w:r>
    </w:p>
    <w:p w14:paraId="108405FB" w14:textId="6791E186" w:rsidR="00EB584B" w:rsidRDefault="007C2B08" w:rsidP="007F0DA4">
      <w:pPr>
        <w:spacing w:before="120" w:after="0" w:line="360" w:lineRule="auto"/>
      </w:pPr>
      <w:r>
        <w:lastRenderedPageBreak/>
        <w:t>Konwencja</w:t>
      </w:r>
      <w:r w:rsidRPr="006C0782">
        <w:t xml:space="preserve"> </w:t>
      </w:r>
      <w:r>
        <w:t>dotyczy</w:t>
      </w:r>
      <w:r w:rsidRPr="006C0782">
        <w:t xml:space="preserve"> </w:t>
      </w:r>
      <w:r>
        <w:t xml:space="preserve">obszaru działalności </w:t>
      </w:r>
      <w:r w:rsidRPr="006C0782">
        <w:t>Polski</w:t>
      </w:r>
      <w:r>
        <w:t>ego</w:t>
      </w:r>
      <w:r w:rsidRPr="006C0782">
        <w:t xml:space="preserve"> Instytut</w:t>
      </w:r>
      <w:r>
        <w:t>u</w:t>
      </w:r>
      <w:r w:rsidRPr="006C0782">
        <w:t xml:space="preserve"> Sztuki Filmowej (państwow</w:t>
      </w:r>
      <w:r>
        <w:t>ej</w:t>
      </w:r>
      <w:r w:rsidRPr="006C0782">
        <w:t xml:space="preserve"> osob</w:t>
      </w:r>
      <w:r>
        <w:t>y</w:t>
      </w:r>
      <w:r w:rsidRPr="006C0782">
        <w:t xml:space="preserve"> prawn</w:t>
      </w:r>
      <w:r>
        <w:t>ej</w:t>
      </w:r>
      <w:r w:rsidRPr="006C0782">
        <w:t xml:space="preserve">) </w:t>
      </w:r>
      <w:r>
        <w:t>oraz</w:t>
      </w:r>
      <w:r w:rsidRPr="006C0782">
        <w:t xml:space="preserve"> producentów utworów audiowizualnych</w:t>
      </w:r>
      <w:r>
        <w:t xml:space="preserve">, </w:t>
      </w:r>
      <w:r w:rsidRPr="006C0782">
        <w:t>prowadzą</w:t>
      </w:r>
      <w:r>
        <w:t>cych</w:t>
      </w:r>
      <w:r w:rsidRPr="006C0782">
        <w:t xml:space="preserve"> działalność produkcyjną zarówno w formie osób prawnych (m.in. spółek prawa handlowego), jak i</w:t>
      </w:r>
      <w:r>
        <w:t> </w:t>
      </w:r>
      <w:r w:rsidRPr="006C0782">
        <w:t>w</w:t>
      </w:r>
      <w:r>
        <w:t> </w:t>
      </w:r>
      <w:r w:rsidRPr="006C0782">
        <w:t>formie działalności gospodarczej</w:t>
      </w:r>
      <w:r>
        <w:t xml:space="preserve">, w zakresie </w:t>
      </w:r>
      <w:r w:rsidRPr="006C0782">
        <w:t>możliwoś</w:t>
      </w:r>
      <w:r>
        <w:t>ci</w:t>
      </w:r>
      <w:r w:rsidRPr="006C0782">
        <w:t xml:space="preserve"> aplikowania </w:t>
      </w:r>
      <w:r>
        <w:t xml:space="preserve">przez nich </w:t>
      </w:r>
      <w:r w:rsidRPr="006C0782">
        <w:t xml:space="preserve">o środki w </w:t>
      </w:r>
      <w:r>
        <w:t>państwach</w:t>
      </w:r>
      <w:r w:rsidRPr="006C0782">
        <w:t xml:space="preserve">, które przyjmą </w:t>
      </w:r>
      <w:r>
        <w:t>K</w:t>
      </w:r>
      <w:r w:rsidRPr="006C0782">
        <w:t xml:space="preserve">onwencję. Nie wpływa na zakres praw i obowiązków osób fizycznych i prawnych wynikających z prawa powszechnie </w:t>
      </w:r>
      <w:r>
        <w:t xml:space="preserve">obowiązującego. Konwencja </w:t>
      </w:r>
      <w:r w:rsidRPr="006C0782">
        <w:t>nie nakłada obowiązków na jednostki samorządu terytorialnego.</w:t>
      </w:r>
      <w:r>
        <w:t xml:space="preserve"> Konwencja dotyczy spraw uregulowanych w u</w:t>
      </w:r>
      <w:r w:rsidRPr="0082631C">
        <w:t>staw</w:t>
      </w:r>
      <w:r>
        <w:t>ie</w:t>
      </w:r>
      <w:r w:rsidRPr="0082631C">
        <w:t xml:space="preserve"> z dnia 9 listopada 2018 r. o finansowym wspieraniu produkcji audiowizualnej (Dz.U. z 2021 r. poz. 198)</w:t>
      </w:r>
      <w:r w:rsidRPr="006C0782">
        <w:t>, która umożliwia uzyskanie wsparcia finansowego na produkcję seriali.</w:t>
      </w:r>
      <w:r>
        <w:t xml:space="preserve"> </w:t>
      </w:r>
      <w:r w:rsidRPr="006C0782">
        <w:t xml:space="preserve">Przyjęcie </w:t>
      </w:r>
      <w:r w:rsidR="00C071A3">
        <w:t>K</w:t>
      </w:r>
      <w:r w:rsidRPr="006C0782">
        <w:t xml:space="preserve">onwencji nie wymaga zmian dostosowawczych w polskim porządku prawnym. W celu jej sprawnej realizacji konieczne będzie </w:t>
      </w:r>
      <w:r>
        <w:t xml:space="preserve">jedynie </w:t>
      </w:r>
      <w:r w:rsidRPr="006C0782">
        <w:t>ujęcie tych zadań w statucie P</w:t>
      </w:r>
      <w:r>
        <w:t xml:space="preserve">olskiego Instytutu Sztuki Filmowej oraz </w:t>
      </w:r>
      <w:r w:rsidRPr="006C0782">
        <w:t xml:space="preserve">określenie procedur </w:t>
      </w:r>
      <w:r>
        <w:t xml:space="preserve">wewnętrznych. Konwencja </w:t>
      </w:r>
      <w:r w:rsidRPr="006C0782">
        <w:t>nie narusza obowiązującego ustawodawstwa polskiego i nie wymaga przyjęcia środków prawnych w celu jego wykonania.</w:t>
      </w:r>
    </w:p>
    <w:sectPr w:rsidR="00EB584B" w:rsidSect="008141D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71E8" w14:textId="77777777" w:rsidR="002A2E59" w:rsidRDefault="002A2E59" w:rsidP="00930038">
      <w:pPr>
        <w:spacing w:after="0"/>
      </w:pPr>
      <w:r>
        <w:separator/>
      </w:r>
    </w:p>
  </w:endnote>
  <w:endnote w:type="continuationSeparator" w:id="0">
    <w:p w14:paraId="67F1379D" w14:textId="77777777" w:rsidR="002A2E59" w:rsidRDefault="002A2E59" w:rsidP="00930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082537"/>
      <w:docPartObj>
        <w:docPartGallery w:val="Page Numbers (Bottom of Page)"/>
        <w:docPartUnique/>
      </w:docPartObj>
    </w:sdtPr>
    <w:sdtEndPr/>
    <w:sdtContent>
      <w:p w14:paraId="4F3CF432" w14:textId="282B5339" w:rsidR="008141DC" w:rsidRDefault="008141DC">
        <w:pPr>
          <w:pStyle w:val="Stopka"/>
          <w:jc w:val="center"/>
        </w:pPr>
        <w:r>
          <w:fldChar w:fldCharType="begin"/>
        </w:r>
        <w:r>
          <w:instrText>PAGE   \* MERGEFORMAT</w:instrText>
        </w:r>
        <w:r>
          <w:fldChar w:fldCharType="separate"/>
        </w:r>
        <w:r>
          <w:t>2</w:t>
        </w:r>
        <w:r>
          <w:fldChar w:fldCharType="end"/>
        </w:r>
      </w:p>
    </w:sdtContent>
  </w:sdt>
  <w:p w14:paraId="55A8A992" w14:textId="77777777" w:rsidR="008141DC" w:rsidRDefault="008141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9F6B" w14:textId="77777777" w:rsidR="002A2E59" w:rsidRDefault="002A2E59" w:rsidP="00930038">
      <w:pPr>
        <w:spacing w:after="0"/>
      </w:pPr>
      <w:r>
        <w:separator/>
      </w:r>
    </w:p>
  </w:footnote>
  <w:footnote w:type="continuationSeparator" w:id="0">
    <w:p w14:paraId="673A185D" w14:textId="77777777" w:rsidR="002A2E59" w:rsidRDefault="002A2E59" w:rsidP="009300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4105"/>
    <w:multiLevelType w:val="hybridMultilevel"/>
    <w:tmpl w:val="28EEB31C"/>
    <w:lvl w:ilvl="0" w:tplc="04150017">
      <w:start w:val="1"/>
      <w:numFmt w:val="lowerLetter"/>
      <w:lvlText w:val="%1)"/>
      <w:lvlJc w:val="left"/>
      <w:pPr>
        <w:ind w:left="682" w:firstLine="0"/>
      </w:pPr>
      <w:rPr>
        <w:b w:val="0"/>
        <w:i w:val="0"/>
        <w:strike w:val="0"/>
        <w:dstrike w:val="0"/>
        <w:color w:val="000000"/>
        <w:sz w:val="24"/>
        <w:szCs w:val="24"/>
        <w:u w:val="none" w:color="000000"/>
        <w:effect w:val="none"/>
        <w:bdr w:val="none" w:sz="0" w:space="0" w:color="auto" w:frame="1"/>
        <w:vertAlign w:val="baseline"/>
      </w:rPr>
    </w:lvl>
    <w:lvl w:ilvl="1" w:tplc="A1EEB6A2">
      <w:start w:val="1"/>
      <w:numFmt w:val="lowerLetter"/>
      <w:lvlText w:val="%2"/>
      <w:lvlJc w:val="left"/>
      <w:pPr>
        <w:ind w:left="17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DCCA440">
      <w:start w:val="1"/>
      <w:numFmt w:val="lowerRoman"/>
      <w:lvlText w:val="%3"/>
      <w:lvlJc w:val="left"/>
      <w:pPr>
        <w:ind w:left="24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022D6E6">
      <w:start w:val="1"/>
      <w:numFmt w:val="decimal"/>
      <w:lvlText w:val="%4"/>
      <w:lvlJc w:val="left"/>
      <w:pPr>
        <w:ind w:left="31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B6EECC4">
      <w:start w:val="1"/>
      <w:numFmt w:val="lowerLetter"/>
      <w:lvlText w:val="%5"/>
      <w:lvlJc w:val="left"/>
      <w:pPr>
        <w:ind w:left="38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7EA1C8">
      <w:start w:val="1"/>
      <w:numFmt w:val="lowerRoman"/>
      <w:lvlText w:val="%6"/>
      <w:lvlJc w:val="left"/>
      <w:pPr>
        <w:ind w:left="46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B0737C">
      <w:start w:val="1"/>
      <w:numFmt w:val="decimal"/>
      <w:lvlText w:val="%7"/>
      <w:lvlJc w:val="left"/>
      <w:pPr>
        <w:ind w:left="53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548080">
      <w:start w:val="1"/>
      <w:numFmt w:val="lowerLetter"/>
      <w:lvlText w:val="%8"/>
      <w:lvlJc w:val="left"/>
      <w:pPr>
        <w:ind w:left="60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DC6CD6">
      <w:start w:val="1"/>
      <w:numFmt w:val="lowerRoman"/>
      <w:lvlText w:val="%9"/>
      <w:lvlJc w:val="left"/>
      <w:pPr>
        <w:ind w:left="67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1236091"/>
    <w:multiLevelType w:val="hybridMultilevel"/>
    <w:tmpl w:val="3DDCA7EA"/>
    <w:lvl w:ilvl="0" w:tplc="04150011">
      <w:start w:val="1"/>
      <w:numFmt w:val="decimal"/>
      <w:lvlText w:val="%1)"/>
      <w:lvlJc w:val="left"/>
      <w:pPr>
        <w:ind w:left="720" w:firstLine="0"/>
      </w:pPr>
      <w:rPr>
        <w:b w:val="0"/>
        <w:i w:val="0"/>
        <w:strike w:val="0"/>
        <w:dstrike w:val="0"/>
        <w:color w:val="000000"/>
        <w:sz w:val="24"/>
        <w:szCs w:val="24"/>
        <w:u w:val="none" w:color="000000"/>
        <w:effect w:val="none"/>
        <w:bdr w:val="none" w:sz="0" w:space="0" w:color="auto" w:frame="1"/>
        <w:vertAlign w:val="baseline"/>
      </w:rPr>
    </w:lvl>
    <w:lvl w:ilvl="1" w:tplc="C0C0063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CAB03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CEE49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24AFF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A47A1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BC2028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CC3BDC">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E2DAD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577C6782"/>
    <w:multiLevelType w:val="hybridMultilevel"/>
    <w:tmpl w:val="7C902936"/>
    <w:lvl w:ilvl="0" w:tplc="4FFAAB32">
      <w:start w:val="1"/>
      <w:numFmt w:val="decimal"/>
      <w:pStyle w:val="Nagwek1"/>
      <w:lvlText w:val="%1."/>
      <w:lvlJc w:val="left"/>
      <w:pPr>
        <w:ind w:left="907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4E519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44E15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A0EABA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F7E8F2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662DB1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196AA9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6D84E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98499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08"/>
    <w:rsid w:val="001124E2"/>
    <w:rsid w:val="00130886"/>
    <w:rsid w:val="00224F7D"/>
    <w:rsid w:val="002A2E59"/>
    <w:rsid w:val="00303B8C"/>
    <w:rsid w:val="003F16CB"/>
    <w:rsid w:val="003F750A"/>
    <w:rsid w:val="004B407B"/>
    <w:rsid w:val="00510C4D"/>
    <w:rsid w:val="00560A31"/>
    <w:rsid w:val="005D6074"/>
    <w:rsid w:val="00672F33"/>
    <w:rsid w:val="007C2B08"/>
    <w:rsid w:val="007F0DA4"/>
    <w:rsid w:val="007F21C0"/>
    <w:rsid w:val="008141DC"/>
    <w:rsid w:val="008177FB"/>
    <w:rsid w:val="008A47BE"/>
    <w:rsid w:val="008A6403"/>
    <w:rsid w:val="00930038"/>
    <w:rsid w:val="009C0E28"/>
    <w:rsid w:val="009E7D24"/>
    <w:rsid w:val="00AA0BBD"/>
    <w:rsid w:val="00AE1257"/>
    <w:rsid w:val="00B23AB9"/>
    <w:rsid w:val="00B43D8A"/>
    <w:rsid w:val="00C071A3"/>
    <w:rsid w:val="00D41153"/>
    <w:rsid w:val="00D61FB7"/>
    <w:rsid w:val="00E542B3"/>
    <w:rsid w:val="00E57708"/>
    <w:rsid w:val="00EB584B"/>
    <w:rsid w:val="00FD3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08FD6"/>
  <w15:chartTrackingRefBased/>
  <w15:docId w15:val="{2981837A-3077-43D2-BE87-604A929E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B08"/>
    <w:pPr>
      <w:spacing w:after="118" w:line="240" w:lineRule="auto"/>
      <w:ind w:left="10" w:hanging="10"/>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7C2B08"/>
    <w:pPr>
      <w:keepNext/>
      <w:keepLines/>
      <w:numPr>
        <w:numId w:val="1"/>
      </w:numPr>
      <w:spacing w:after="108" w:line="249" w:lineRule="auto"/>
      <w:ind w:left="10" w:right="145" w:hanging="10"/>
      <w:jc w:val="both"/>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2B08"/>
    <w:rPr>
      <w:rFonts w:ascii="Times New Roman" w:eastAsia="Times New Roman" w:hAnsi="Times New Roman" w:cs="Times New Roman"/>
      <w:b/>
      <w:color w:val="000000"/>
      <w:sz w:val="24"/>
      <w:lang w:eastAsia="pl-PL"/>
    </w:rPr>
  </w:style>
  <w:style w:type="paragraph" w:styleId="Poprawka">
    <w:name w:val="Revision"/>
    <w:hidden/>
    <w:uiPriority w:val="99"/>
    <w:semiHidden/>
    <w:rsid w:val="00303B8C"/>
    <w:pPr>
      <w:spacing w:after="0" w:line="240" w:lineRule="auto"/>
    </w:pPr>
    <w:rPr>
      <w:rFonts w:ascii="Times New Roman" w:eastAsia="Times New Roman" w:hAnsi="Times New Roman" w:cs="Times New Roman"/>
      <w:color w:val="000000"/>
      <w:sz w:val="24"/>
      <w:lang w:eastAsia="pl-PL"/>
    </w:rPr>
  </w:style>
  <w:style w:type="paragraph" w:styleId="Nagwek">
    <w:name w:val="header"/>
    <w:basedOn w:val="Normalny"/>
    <w:link w:val="NagwekZnak"/>
    <w:uiPriority w:val="99"/>
    <w:unhideWhenUsed/>
    <w:rsid w:val="008141DC"/>
    <w:pPr>
      <w:tabs>
        <w:tab w:val="center" w:pos="4536"/>
        <w:tab w:val="right" w:pos="9072"/>
      </w:tabs>
      <w:spacing w:after="0"/>
    </w:pPr>
  </w:style>
  <w:style w:type="character" w:customStyle="1" w:styleId="NagwekZnak">
    <w:name w:val="Nagłówek Znak"/>
    <w:basedOn w:val="Domylnaczcionkaakapitu"/>
    <w:link w:val="Nagwek"/>
    <w:uiPriority w:val="99"/>
    <w:rsid w:val="008141DC"/>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8141DC"/>
    <w:pPr>
      <w:tabs>
        <w:tab w:val="center" w:pos="4536"/>
        <w:tab w:val="right" w:pos="9072"/>
      </w:tabs>
      <w:spacing w:after="0"/>
    </w:pPr>
  </w:style>
  <w:style w:type="character" w:customStyle="1" w:styleId="StopkaZnak">
    <w:name w:val="Stopka Znak"/>
    <w:basedOn w:val="Domylnaczcionkaakapitu"/>
    <w:link w:val="Stopka"/>
    <w:uiPriority w:val="99"/>
    <w:rsid w:val="008141DC"/>
    <w:rPr>
      <w:rFonts w:ascii="Times New Roman" w:eastAsia="Times New Roman" w:hAnsi="Times New Roman" w:cs="Times New Roman"/>
      <w:color w:val="00000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3152</Words>
  <Characters>18914</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Ministerstwo Kultury i Dziedzictwa Narodowego</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Morawski</dc:creator>
  <cp:keywords/>
  <dc:description/>
  <cp:lastModifiedBy>Olszak Krzysztof</cp:lastModifiedBy>
  <cp:revision>9</cp:revision>
  <dcterms:created xsi:type="dcterms:W3CDTF">2026-07-14T14:31:00Z</dcterms:created>
  <dcterms:modified xsi:type="dcterms:W3CDTF">2026-07-20T10:18:00Z</dcterms:modified>
</cp:coreProperties>
</file>