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AA3B5" w14:textId="0CB5BC4A" w:rsidR="008B744E" w:rsidRPr="00CB39C4" w:rsidRDefault="008B744E" w:rsidP="008B744E">
      <w:pPr>
        <w:jc w:val="center"/>
        <w:rPr>
          <w:rFonts w:ascii="Times New Roman" w:hAnsi="Times New Roman" w:cs="Times New Roman"/>
          <w:bCs/>
          <w:sz w:val="24"/>
          <w:szCs w:val="24"/>
        </w:rPr>
      </w:pPr>
      <w:r w:rsidRPr="00CB39C4">
        <w:rPr>
          <w:rFonts w:ascii="Times New Roman" w:hAnsi="Times New Roman" w:cs="Times New Roman"/>
          <w:bCs/>
          <w:sz w:val="24"/>
          <w:szCs w:val="24"/>
        </w:rPr>
        <w:t>UZASADNIENIE</w:t>
      </w:r>
    </w:p>
    <w:p w14:paraId="536C9449"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Projektowana ustawa ma na celu uregulowanie na nowo dwóch obszarów dotyczących funkcjonowania sądownictwa powszechnego, odnoszących się do sytuacji prawnej sędziów: możliwości dalszego pełnienia służby przez sędziego po osiągnięciu wieku uprawniającego do przejścia w stan spoczynku oraz delegowań, w szczególności delegowań pozaorzeczniczych.</w:t>
      </w:r>
    </w:p>
    <w:p w14:paraId="0781976E" w14:textId="22651E58"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W odniesieniu do pierwszego zagadnienia należy wskazać, że w obecnym stanie prawnym – w myśl art. 69 § 1 i 1b ustawy z dnia 27 lipca 2001 r. – Prawo o ustroju sądów powszechnych (Dz. U. z 2024 r. poz. 334, z późn. zm., zwanej dalej „u.s.p.”) sędzia przechodzi w stan spoczynku z dniem ukończenia 65. roku życia, chyba że niepóźniej niż na sześć miesięcy i</w:t>
      </w:r>
      <w:r w:rsidR="004414B1">
        <w:rPr>
          <w:rFonts w:ascii="Times New Roman" w:hAnsi="Times New Roman" w:cs="Times New Roman"/>
        </w:rPr>
        <w:t> </w:t>
      </w:r>
      <w:r w:rsidRPr="003C7359">
        <w:rPr>
          <w:rFonts w:ascii="Times New Roman" w:hAnsi="Times New Roman" w:cs="Times New Roman"/>
        </w:rPr>
        <w:t>niewcześniej niż na dwanaście miesięcy przed ukończeniem tego wieku oświadczy Krajowej Radzie Sądownictwa wolę dalszego zajmowania stanowiska i przedstawi zaświadczenie stwierdzające, że jest zdolny, ze względu na stan zdrowia, do pełnienia obowiązków sędziego, wydane na zasadach określonych dla kandydata na stanowisko sędziowskie, zaś Krajowa Rada Sądownictwa może wyrazić zgodę na dalsze zajmowanie stanowiska sędziego, jeżeli jest to uzasadnione interesem wymiaru sprawiedliwości lub ważnym interesem społecznym, w szczególności jeśli przemawia za tym racjonalne wykorzystanie kadr sądownictwa powszechnego lub potrzeby wynikające z obciążenia zadaniami poszczególnych sądów. Dodatkowo, zgodnie z art. 69 § 2b u.s.p., sędzia będący kobietą przechodzi na swój wniosek w stan spoczynku po ukończeniu 60 lat, niezależnie od okresu przepracowanego na stanowisku prokuratora lub sędziego. Regulacja art. 69 § 2 i 2a wskazująca, że sędzia przechodzi na swój wniosek w stan spoczynku, z zachowaniem prawa do uposażenia określonego w art. 100 § 2, po ukończeniu 55 lat przez kobietę, jeżeli przepracowała na stanowisku sędziego lub prokuratora nie mniej niż 25 lat, a 60 lat przez mężczyznę, jeżeli przepracował na stanowisku sędziego lub prokuratora nie mniej niż 30 lat, którą stosuje się do sędziego, który wymagane warunki spełnił do dnia 31 grudnia 2017 r., straciła już na znaczeniu. Mężczyzna, o którym mowa we wskazanej normie, może przejść w stan spoczynku na zasadach ogólnych wynikających wyłącznie z wieku, bez względu na staż pracy, gdyż już najpóźniej w grudniu 2022 r. osiągnął 65. rok życia, podobnie jak kobieta będąca sędzią, o której mowa we wskazanej normie, która już najpóźniej w grudniu 2022 r. osiągnęła 60. rok życia, uzyskując możliwość przejścia w stan spoczynku na podstawie art. 69 § 2b, niezależnie od stażu pracy. Jednocześnie sędzia może zajmować stanowisko niedłużej niż do ukończenia 70. roku życia.</w:t>
      </w:r>
    </w:p>
    <w:p w14:paraId="119B0173"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Tymczasem, jak się szacuje, w okresie najbliższych 5 lat w Polsce nastąpi gwałtowne zwiększenie (o ponad 100%) liczby sędziów odchodzących w ciągu roku w stan spoczynku, </w:t>
      </w:r>
      <w:r w:rsidRPr="003C7359">
        <w:rPr>
          <w:rFonts w:ascii="Times New Roman" w:hAnsi="Times New Roman" w:cs="Times New Roman"/>
        </w:rPr>
        <w:lastRenderedPageBreak/>
        <w:t>a proces ten najbardziej dotkliwie uderzy w sądy okręgowe i apelacyjne, gdzie statystycznie pracują najstarsi wiekiem sędziowie. Sędziowie, którzy zdecydowaliby się na dalsze orzekanie, niewątpliwie przyczyniliby się do poprawy sprawności rozpoznawania spraw w sądach powszechnych.</w:t>
      </w:r>
    </w:p>
    <w:p w14:paraId="02934BE2" w14:textId="27E54E90" w:rsidR="0013762A" w:rsidRPr="003C7359" w:rsidRDefault="0013762A" w:rsidP="0013762A">
      <w:pPr>
        <w:pStyle w:val="NIEARTTEKSTtekstnieartykuowanynppodstprawnarozplubpreambua"/>
        <w:rPr>
          <w:rStyle w:val="Ppogrubienie"/>
          <w:rFonts w:ascii="Times New Roman" w:hAnsi="Times New Roman" w:cs="Times New Roman"/>
          <w:b w:val="0"/>
        </w:rPr>
      </w:pPr>
      <w:r w:rsidRPr="003C7359">
        <w:rPr>
          <w:rFonts w:ascii="Times New Roman" w:hAnsi="Times New Roman" w:cs="Times New Roman"/>
        </w:rPr>
        <w:t>W ocenie projektodawcy obecne rozwiązania prawne dotyczące możliwości przedłużenia orzekania przez sędziów po osiągnięciu wieku uprawniającego do przejścia w stan spoczynku mogą zniechęcać sędziów do podejmowania decyzji o dalszym zajmowaniu stanowiska sędziego, ponieważ pozytywna decyzja Krajowej Rady Sądownictwa w tym przedmiocie ma charakter fakultatywny, zaś przesłanki wyrażenia zgody przez Radę są określone nieprecyzyjnie i niejasno.</w:t>
      </w:r>
    </w:p>
    <w:p w14:paraId="67D2CBEE" w14:textId="2303BA0A"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Kolejnym istotnym czynnikiem zniechęcającym sędziów do wystąpienia z wnioskiem do Krajowej Rady Sądownictwa o zgodę na dalsze orzekanie jest brak terminu na podjęcie uchwały w przedmiocie dalszego zajmowania stanowiska przez sędziego. Takie rozwiązanie może spowodować utrzymywanie się okresu niepewności co do sw</w:t>
      </w:r>
      <w:r w:rsidR="0089764F">
        <w:rPr>
          <w:rFonts w:ascii="Times New Roman" w:hAnsi="Times New Roman" w:cs="Times New Roman"/>
        </w:rPr>
        <w:t>oj</w:t>
      </w:r>
      <w:r w:rsidRPr="003C7359">
        <w:rPr>
          <w:rFonts w:ascii="Times New Roman" w:hAnsi="Times New Roman" w:cs="Times New Roman"/>
        </w:rPr>
        <w:t>ego statusu, w jakiej może pozostawać sędzia, który wystąpił ze stosownym wnioskiem.</w:t>
      </w:r>
    </w:p>
    <w:p w14:paraId="1CE65776" w14:textId="10918342" w:rsidR="0013762A" w:rsidRPr="003C7359" w:rsidRDefault="0089764F" w:rsidP="0013762A">
      <w:pPr>
        <w:pStyle w:val="ARTartustawynprozporzdzenia"/>
        <w:rPr>
          <w:rFonts w:ascii="Times New Roman" w:hAnsi="Times New Roman" w:cs="Times New Roman"/>
        </w:rPr>
      </w:pPr>
      <w:r>
        <w:rPr>
          <w:rFonts w:ascii="Times New Roman" w:hAnsi="Times New Roman" w:cs="Times New Roman"/>
        </w:rPr>
        <w:t>Pon</w:t>
      </w:r>
      <w:r w:rsidR="0013762A" w:rsidRPr="003C7359">
        <w:rPr>
          <w:rFonts w:ascii="Times New Roman" w:hAnsi="Times New Roman" w:cs="Times New Roman"/>
        </w:rPr>
        <w:t>adto, w ocenie projektodawcy, Krajowa Rada Sądownictwa w składzie ukształtowanym na podstawie przepisów uchwalonych w 2017 r., w trakcie swojej działalności</w:t>
      </w:r>
      <w:r w:rsidR="00BA3F69">
        <w:rPr>
          <w:rFonts w:ascii="Times New Roman" w:hAnsi="Times New Roman" w:cs="Times New Roman"/>
        </w:rPr>
        <w:t>,</w:t>
      </w:r>
      <w:r w:rsidR="0013762A" w:rsidRPr="003C7359">
        <w:rPr>
          <w:rFonts w:ascii="Times New Roman" w:hAnsi="Times New Roman" w:cs="Times New Roman"/>
        </w:rPr>
        <w:t xml:space="preserve"> niejednokrotnie podejmując decyzje w opisywanym zakresie</w:t>
      </w:r>
      <w:r w:rsidR="00BA3F69">
        <w:rPr>
          <w:rFonts w:ascii="Times New Roman" w:hAnsi="Times New Roman" w:cs="Times New Roman"/>
        </w:rPr>
        <w:t>,</w:t>
      </w:r>
      <w:r w:rsidR="0013762A" w:rsidRPr="003C7359">
        <w:rPr>
          <w:rFonts w:ascii="Times New Roman" w:hAnsi="Times New Roman" w:cs="Times New Roman"/>
        </w:rPr>
        <w:t xml:space="preserve"> kierowała się pobudkami pozamerytorycznymi, uniemożliwiając dalsze pełnienie funkcji wielu sędziom odznaczającym się wysokim stopniem wiedzy oraz ogromnym doświadczeniem, podejmując działania niezgodne z dobrem wymiaru sprawiedliwości. Co więcej część sędziów osiągających wiek uprawniający do przejścia w stan spoczynku, kierując się poglądem o niekonstytucyjności zmian wprowadzonych w zakresie wyłaniania członków Krajowej Rady Sądownictwa, nie decyduje się na udział w jakichkolwiek procedurach przed wskazanym organem.</w:t>
      </w:r>
    </w:p>
    <w:p w14:paraId="4BB606DC" w14:textId="453D3507"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 xml:space="preserve">W świetle powyższego należy uznać, że z punktu widzenia konstytucyjnych zasad niezawisłości sędziów i niezależności sądów, ale i racjonalnej oceny dotyczącej tego, w jaki sposób, najbardziej obiektywny i wolny od uznaniowości jakichkolwiek organów, </w:t>
      </w:r>
      <w:r w:rsidR="00BA3F69" w:rsidRPr="003C7359">
        <w:rPr>
          <w:rFonts w:ascii="Times New Roman" w:hAnsi="Times New Roman" w:cs="Times New Roman"/>
        </w:rPr>
        <w:t>po</w:t>
      </w:r>
      <w:r w:rsidRPr="003C7359">
        <w:rPr>
          <w:rFonts w:ascii="Times New Roman" w:hAnsi="Times New Roman" w:cs="Times New Roman"/>
        </w:rPr>
        <w:t xml:space="preserve">winno być ukształtowane otoczenie prawne normujące pełnienie funkcji orzeczniczych, a także dostrzegając potrzebę możliwie jak najszerszego korzystania przez wymiar sprawiedliwości z doświadczonych sędziów, pożądanym rozwiązaniem jest dokonanie rewizji przepisów art. 69 u.s.p. i uzależnienie możliwości dalszego orzekania przez sędziów, którzy osiągnęli wiek uprawniający do przejścia w stan spoczynku, wyłącznie od ich indywidualnej decyzji oraz </w:t>
      </w:r>
      <w:r w:rsidRPr="003C7359">
        <w:rPr>
          <w:rFonts w:ascii="Times New Roman" w:hAnsi="Times New Roman" w:cs="Times New Roman"/>
        </w:rPr>
        <w:lastRenderedPageBreak/>
        <w:t>możliwości dalszego pełnienia obowiązków sędziowskich, ocenianej przez właściwego specjalistę z zakresu medycyny, bez prawa ingerencji w tym zakresie przez jakikolwiek organ.</w:t>
      </w:r>
    </w:p>
    <w:p w14:paraId="2131FA38" w14:textId="1779E8BE"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W kontekście powyższych rozważań warto wskazać, że art. 69 u.s.p. w pierwotnym brzmieniu przewidywał, że sędzia przechodzi w stan spoczynku w wieku 65 lat. Krajowa Rada Sądownictwa mogła, po zasięgnięciu opinii kolegium właściwego sądu, wyrazić zgodę na zajmowanie stanowiska przez sędziego do 70. roku życia. Sędzia pozostawał w czynnej służbie do czasu zakończenia tego postępowania, w tym przed Sądem Najwyższym. Powyższy mechanizm został zmieniony ustawą z dnia 16 marca 2007 r. o zmianie ustawy o Krajowej Radzie Sądownictwa oraz o zmianie niektórych innych ustaw (Dz. U. poz. 484), która zlikwidowała wymóg zgody Krajowej Rady Sądownictwa na dalsze zajmowanie przez sędziego stanowiska po ukończeniu 65</w:t>
      </w:r>
      <w:r w:rsidR="00D7421B">
        <w:rPr>
          <w:rFonts w:ascii="Times New Roman" w:hAnsi="Times New Roman" w:cs="Times New Roman"/>
        </w:rPr>
        <w:t>.</w:t>
      </w:r>
      <w:r w:rsidRPr="003C7359">
        <w:rPr>
          <w:rFonts w:ascii="Times New Roman" w:hAnsi="Times New Roman" w:cs="Times New Roman"/>
        </w:rPr>
        <w:t xml:space="preserve"> roku życia. Sędzia pozostawał w czynnej służbie, jeśli niepóźniej niż na 6 miesięcy przed ukończeniem 65</w:t>
      </w:r>
      <w:r w:rsidR="00D7421B">
        <w:rPr>
          <w:rFonts w:ascii="Times New Roman" w:hAnsi="Times New Roman" w:cs="Times New Roman"/>
        </w:rPr>
        <w:t>.</w:t>
      </w:r>
      <w:r w:rsidRPr="003C7359">
        <w:rPr>
          <w:rFonts w:ascii="Times New Roman" w:hAnsi="Times New Roman" w:cs="Times New Roman"/>
        </w:rPr>
        <w:t xml:space="preserve"> roku życia oświadczył wolę dalszego zajmowania stanowiska i przedstawił stosowne zaświadcz</w:t>
      </w:r>
      <w:r w:rsidR="00D7421B">
        <w:rPr>
          <w:rFonts w:ascii="Times New Roman" w:hAnsi="Times New Roman" w:cs="Times New Roman"/>
        </w:rPr>
        <w:t>enie</w:t>
      </w:r>
      <w:r w:rsidRPr="003C7359">
        <w:rPr>
          <w:rFonts w:ascii="Times New Roman" w:hAnsi="Times New Roman" w:cs="Times New Roman"/>
        </w:rPr>
        <w:t xml:space="preserve"> o stanie zdrowia. W takim przypadku zgodnie z art. 69 § 3 u.s.p. pozostawał w czynnej służbie do 70. roku życia. Organem, do którego sędzia składał oświadczenie, był Minister Sprawiedliwości, ale bez władczych uprawnień co do kwestii przejścia w stan spoczynku. Nowelizacja z </w:t>
      </w:r>
      <w:r w:rsidR="005E5093">
        <w:rPr>
          <w:rFonts w:ascii="Times New Roman" w:hAnsi="Times New Roman" w:cs="Times New Roman"/>
        </w:rPr>
        <w:t xml:space="preserve">dnia </w:t>
      </w:r>
      <w:r w:rsidRPr="003C7359">
        <w:rPr>
          <w:rFonts w:ascii="Times New Roman" w:hAnsi="Times New Roman" w:cs="Times New Roman"/>
        </w:rPr>
        <w:t>16 marca 2007 r. stanowiła inicjatywę ustawodawczą Prezydenta Lecha Kaczyńskiego. Wprowadzona zmiana obiektywizowała zasady przedłużenia czynnej służby sędziów, wykluczając w tym zakresie jakikolwiek wpływ czynników zewnętrznych i zwiększając gwarancje niezawisłości. Powyższe rozwiązania radykalnie zmieniono ustawą z dnia 12 lipca 2017 r. o zmianie ustawy – Prawo o ustroju sądów powszechnych oraz niektórych innych ustaw (Dz. U. poz. 1452), będącą inicjatyw</w:t>
      </w:r>
      <w:r w:rsidR="005E5093">
        <w:rPr>
          <w:rFonts w:ascii="Times New Roman" w:hAnsi="Times New Roman" w:cs="Times New Roman"/>
        </w:rPr>
        <w:t>ą</w:t>
      </w:r>
      <w:r w:rsidRPr="003C7359">
        <w:rPr>
          <w:rFonts w:ascii="Times New Roman" w:hAnsi="Times New Roman" w:cs="Times New Roman"/>
        </w:rPr>
        <w:t xml:space="preserve"> poselską, mocą której wprowadzono wymóg zgody Ministra Sprawiedliwości na dalsze zajmowanie stanowiska przez sędziego, zaś na mocy kolejnej ustawy z dnia 12 kwietnia 2018 r. o zmianie ustawy – Prawo o ustroju sądów powszechnych, ustawy o Krajowej Radzie Sądownictwa oraz ustawy o Sądzie Najwyższym (Dz. U. poz. 848) kompetencje do wyrażania zgody na dalsze zajmowani</w:t>
      </w:r>
      <w:r w:rsidR="005E5093">
        <w:rPr>
          <w:rFonts w:ascii="Times New Roman" w:hAnsi="Times New Roman" w:cs="Times New Roman"/>
        </w:rPr>
        <w:t>e</w:t>
      </w:r>
      <w:r w:rsidRPr="003C7359">
        <w:rPr>
          <w:rFonts w:ascii="Times New Roman" w:hAnsi="Times New Roman" w:cs="Times New Roman"/>
        </w:rPr>
        <w:t xml:space="preserve"> stanowiska sędziego przyznano Krajowej Radzie Sądownictwa.</w:t>
      </w:r>
    </w:p>
    <w:p w14:paraId="1558F716"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W ocenie projektodawcy powrót do rozwiązań prawnych obowiązujących między rokiem 2007 a rokiem 2017 zapewni możliwie najszersze poszanowanie zasad sędziowskiej niezawisłości, wykluczając jakąkolwiek ingerencję zewnętrznych organów w możliwość dalszego orzekania przez sędziego po ukończeniu przez niego 65. roku życia, dając przy tym sędziom poczucie stabilności i przewidywalności kariery zawodowej, której los po ukończeniu </w:t>
      </w:r>
      <w:r w:rsidRPr="003C7359">
        <w:rPr>
          <w:rFonts w:ascii="Times New Roman" w:hAnsi="Times New Roman" w:cs="Times New Roman"/>
        </w:rPr>
        <w:lastRenderedPageBreak/>
        <w:t>wieku przejścia w stan spoczynku będzie zależał wyłącznie od nich (przy założeniu stanu zdrowia umożliwiającego dalsze zajmowanie stanowiska sędziowskiego).</w:t>
      </w:r>
    </w:p>
    <w:p w14:paraId="110BB813" w14:textId="2005FCDC"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 xml:space="preserve">Wprowadzeniu rozwiązania, zgodnie z którym możliwość dalszego orzekania przez sędziego po ukończeniu 65. roku życia nie będzie wymagała zgody Krajowej Rady Sądownictwa, nie stoi na przeszkodzie obowiązywanie rozwiązań przewidzianych w przepisach art. 73 § 1 i 74 § 2 u.s.p., na podstawie których Rada podejmuje decyzje o przeniesieniu sędziego w stan spoczynku ze względu na stan zdrowia albo rozstrzyga w przedmiocie dopuszczalności powrotu do czynnej służby sędziego przeniesionego w stan spoczynku z uwagi na zmianę ustroju sądów lub zmiany granic okręgów sądowych albo z uwagi na stan zdrowia. Należy zauważyć istotną różnicę pomiędzy tymi sytuacjami. Trudno byłoby zaakceptować, </w:t>
      </w:r>
      <w:r w:rsidR="00D9536C">
        <w:rPr>
          <w:rFonts w:ascii="Times New Roman" w:hAnsi="Times New Roman" w:cs="Times New Roman"/>
        </w:rPr>
        <w:t>a</w:t>
      </w:r>
      <w:r w:rsidRPr="003C7359">
        <w:rPr>
          <w:rFonts w:ascii="Times New Roman" w:hAnsi="Times New Roman" w:cs="Times New Roman"/>
        </w:rPr>
        <w:t>by przejście sędziego, z własnej woli, w stan spoczynku ze względu na stan zdrowia mogło nie być warunkowane decyzją organu mającego prawo skontrolowania realności przyczyn ubiegania się o przeniesienie w stan spoczynku. Analogicznie niezbędne jest dokonanie oceny przez właściwy organ zasadności żądania Ministra Sprawiedliwości albo kolegium właściwego sądu przeniesienia sędziego w stan spoczynku w przypadku istnienia podejrzenia, że jego stan zdrowia uniemożliwia dalszą służbę, a sędzia nie poddał się zaleconemu badaniu lekarskiemu. W celu wykluczenia wpływu władzy wykonawczej na status sędziego kompetencje w powyższym zakresie zastrzeżono dla konstytucyjnego organu powołanego do stania na straży niezależności sądów i niezawisłości sędziów w postaci Krajowej Rady Sądownictwa. Podobnie, w przypadku woli powrotu sędziego ze stanu spoczynku (w który został przeniesiony bądź to ze względu na stan zdrowia, bądź z uwagi na zmianę ustroju sądów lub zmianę granic okręgów sądowych) do czynnej służby</w:t>
      </w:r>
      <w:r w:rsidR="004766B9">
        <w:rPr>
          <w:rFonts w:ascii="Times New Roman" w:hAnsi="Times New Roman" w:cs="Times New Roman"/>
        </w:rPr>
        <w:t>,</w:t>
      </w:r>
      <w:r w:rsidRPr="003C7359">
        <w:rPr>
          <w:rFonts w:ascii="Times New Roman" w:hAnsi="Times New Roman" w:cs="Times New Roman"/>
        </w:rPr>
        <w:t xml:space="preserve"> niezbędna jest ocena wniosku sędziego w celu stwierdzenia, czy stan zdrowia sędziego rzeczywiście powrócił do stanu uzasadniającego powrót do czynnej służby albo czy ustały przyczyny, które zdecydowały o tym, że ze względu na zmiany organizacyjne Krajowa Rada Sądownictwa zdecydowała o przeniesieniu sędziego w stan spoczynku. Natomiast możliwość dalszego, nieprzerwanego wykonywania obowiązków służbowych do osiągnięcia ostatecznego, granicznego wieku obligującego sędziego do przejścia w stan spoczynku (normowanego w art. 69 § 3 u.s.p.) powinna być w ocenie projektodawcy determinowana wyłącznie wolą sędziego i stanem zdrowia umożliwiającym dalsze świadczenie pracy. Jeżeli sędzia przedkłada zaświadczenie lekarskie potwierdzające jego dalszą zdolność, ze względu na stan zdrowia, do pełnienia obowiązków sędziego, dotychczas niebudzącą wątpliwości, nie zachodzi potrzeba poddawania ocenie zasadności jego woli dalszego wykonywania obowiązków służbowych.</w:t>
      </w:r>
    </w:p>
    <w:p w14:paraId="09A16368" w14:textId="597C68D1"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lastRenderedPageBreak/>
        <w:t xml:space="preserve">Projekt ustawy przewiduje </w:t>
      </w:r>
      <w:r w:rsidR="00141AF1">
        <w:rPr>
          <w:rFonts w:ascii="Times New Roman" w:hAnsi="Times New Roman" w:cs="Times New Roman"/>
        </w:rPr>
        <w:t>po</w:t>
      </w:r>
      <w:r w:rsidRPr="003C7359">
        <w:rPr>
          <w:rFonts w:ascii="Times New Roman" w:hAnsi="Times New Roman" w:cs="Times New Roman"/>
        </w:rPr>
        <w:t xml:space="preserve">nadto możliwość orzekania przy zmniejszonym przydziale spraw przez sędziego, który skorzystał z możliwości dalszego orzekania po osiągnięciu wieku uprawniającego do przejścia w stan spoczynku. Jest to rozwiązanie wychodzące naprzeciw postulatom wskazującym na potrzebę obniżenia obciążenia sędziów, którzy częściowo, z uwagi na wiek i wysiłek przy pełnieniu służby, utracili możliwość orzekania w dotychczasowym wymiarze, pozostając jednak wartościowymi pracownikami wymiaru sprawiedliwości. Zakłada się, </w:t>
      </w:r>
      <w:r w:rsidR="003353CA">
        <w:rPr>
          <w:rFonts w:ascii="Times New Roman" w:hAnsi="Times New Roman" w:cs="Times New Roman"/>
        </w:rPr>
        <w:t>a</w:t>
      </w:r>
      <w:r w:rsidRPr="003C7359">
        <w:rPr>
          <w:rFonts w:ascii="Times New Roman" w:hAnsi="Times New Roman" w:cs="Times New Roman"/>
        </w:rPr>
        <w:t>by mogli oni pełnić służbę sędziowską w zmniejszonym wymiarze, uzyskując z tego tytułu wynagrodzenie, oraz jednocześnie pobierać dodatkowy składnik wynagrodzenia w postaci kwoty ustalonej od wysokości uposażenia, jakie przysługiwałoby sędziemu, gdyby przeszedł w stan spoczynku – oba świadczenia w części, proporcjonalnie do relacji ustalonego wymiaru udziału w przydziale spraw do pełnego obciążenia sędziego.</w:t>
      </w:r>
    </w:p>
    <w:p w14:paraId="0F6F5098" w14:textId="7F14AB5E"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 xml:space="preserve">Co więcej projekt ustawy zakłada możliwość wykorzystania wiedzy i kwalifikacji sędziów w stanie spoczynku w dodatkowy sposób – otwierając możliwość ich delegowania do pełnienia czynności administracyjnych w Ministerstwie Sprawiedliwości (a także powierzenia funkcji Rzecznika Dyscyplinarnego Ministra Sprawiedliwości). W ocenie projektodawcy, zważywszy na powszechnie wydłużający się czas aktywności zawodowej obywateli oraz coraz większy poziom zatrudnienia osób w wieku senioralnym, w pełni uzasadnione pozostaje, </w:t>
      </w:r>
      <w:r w:rsidR="003353CA">
        <w:rPr>
          <w:rFonts w:ascii="Times New Roman" w:hAnsi="Times New Roman" w:cs="Times New Roman"/>
        </w:rPr>
        <w:t>a</w:t>
      </w:r>
      <w:r w:rsidRPr="003C7359">
        <w:rPr>
          <w:rFonts w:ascii="Times New Roman" w:hAnsi="Times New Roman" w:cs="Times New Roman"/>
        </w:rPr>
        <w:t xml:space="preserve">by niezależnie od wieku doświadczeni sędziowie w stanie spoczynku mogli nie tylko pełnić funkcje sędziów wizytatorów w sądach oraz koordynatorów do spraw mediacji, ale również wspierać Ministerstwo Sprawiedliwości. Rozwiązanie takie </w:t>
      </w:r>
      <w:r w:rsidR="00B8152D">
        <w:rPr>
          <w:rFonts w:ascii="Times New Roman" w:hAnsi="Times New Roman" w:cs="Times New Roman"/>
        </w:rPr>
        <w:t>umożliwi</w:t>
      </w:r>
      <w:r w:rsidRPr="003C7359">
        <w:rPr>
          <w:rFonts w:ascii="Times New Roman" w:hAnsi="Times New Roman" w:cs="Times New Roman"/>
        </w:rPr>
        <w:t xml:space="preserve"> kontynuowani</w:t>
      </w:r>
      <w:r w:rsidR="00B8152D">
        <w:rPr>
          <w:rFonts w:ascii="Times New Roman" w:hAnsi="Times New Roman" w:cs="Times New Roman"/>
        </w:rPr>
        <w:t>e</w:t>
      </w:r>
      <w:r w:rsidRPr="003C7359">
        <w:rPr>
          <w:rFonts w:ascii="Times New Roman" w:hAnsi="Times New Roman" w:cs="Times New Roman"/>
        </w:rPr>
        <w:t xml:space="preserve"> aktywności zawodowej sędziów, którzy z racji wieku nie wykonują już obowiązków orzeczniczych, stanowiąc przy tym potencjalnie istotne wsparcie merytoryczne urzędu obsługującego Ministra Sprawiedliwości.</w:t>
      </w:r>
    </w:p>
    <w:p w14:paraId="3C739975"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W odniesieniu do drugiej zasadniczej zmiany dotyczącej instytucji delegowania sędziów należy wskazać, że instytucja ta służy czasowemu zapewnieniu właściwego funkcjonowania innej, dotkniętej brakami kadrowymi jednostki, bądź ma na celu wykorzystanie wiedzy i kompetencji delegowanej osoby do realizacji określonego celu. Jak podkreślono w informacji o wynikach kontroli Najwyższej Izby Kontroli „Zapewnienie sprawnego funkcjonowania wymiaru sprawiedliwości”, nr ewid. 89/2024/P/23/030/KPB, Minister Sprawiedliwości nie może wykorzystywać instytucji delegacji w sposób całkowicie dowolny, polegający na zastępowaniu pracowników służby cywilnej osobami delegowanymi z sądów, w dodatku kosztem zasobu kadrowego jednostek sądownictwa powszechnego.</w:t>
      </w:r>
    </w:p>
    <w:p w14:paraId="39D2E6DC"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lastRenderedPageBreak/>
        <w:t xml:space="preserve">W okresie pomiędzy 2013 a 2023 r. liczba osób delegowanych z sądów powszechnych do Ministerstwa Sprawiedliwości wzrosła ze 161 w 2013 r. (stan na 31 grudnia) do 388 w 2023 r. (stan na 30 czerwca), z czego większość delegowanych stanowiła kadra orzecznicza. Wzrosła również liczba osób delegowanych z sądów powszechnych do wykonywania czynności administracyjnych do innych (oprócz Ministerstwa Sprawiedliwości) jednostek spoza sądownictwa powszechnego – z 22 do 55. </w:t>
      </w:r>
    </w:p>
    <w:p w14:paraId="6AEF5917" w14:textId="1C8612FE"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Delegacje do Ministerstwa Sprawiedliwości i innych podległych Ministrowi </w:t>
      </w:r>
      <w:r w:rsidR="008469F3" w:rsidRPr="0058223A">
        <w:rPr>
          <w:rFonts w:ascii="Times New Roman" w:hAnsi="Times New Roman" w:cs="Times New Roman"/>
        </w:rPr>
        <w:t>Sprawiedliwości</w:t>
      </w:r>
      <w:r w:rsidR="008469F3" w:rsidRPr="008469F3">
        <w:rPr>
          <w:rFonts w:ascii="Times New Roman" w:hAnsi="Times New Roman" w:cs="Times New Roman"/>
        </w:rPr>
        <w:t xml:space="preserve"> </w:t>
      </w:r>
      <w:r w:rsidRPr="003C7359">
        <w:rPr>
          <w:rFonts w:ascii="Times New Roman" w:hAnsi="Times New Roman" w:cs="Times New Roman"/>
        </w:rPr>
        <w:t>instytucji nie powinny służyć łagodzeniu niedoborów kadrowych, lecz powinny stanowić dodatkowe wsparcie merytoryczne w sytuacjach, w których jest to niezbędne i bez uszczerbku (lub z możliwie minimalnym uszczerbkiem) dla prawidłowego funkcjonowania wymiaru sprawiedliwości oraz sprawności rozpoznawania spraw w sądach.</w:t>
      </w:r>
    </w:p>
    <w:p w14:paraId="7B39B905" w14:textId="541FBF3F"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Projektowana ustawa, przez ograniczenie maksymalnego czasu delegacji pozaorzeczniczych, zapewnia realizację zasady jedynie czasowego wsparcia Ministerstwa Sprawiedliwości i innych instytucji podległych Ministrowi </w:t>
      </w:r>
      <w:r w:rsidR="008469F3" w:rsidRPr="0058223A">
        <w:rPr>
          <w:rFonts w:ascii="Times New Roman" w:hAnsi="Times New Roman" w:cs="Times New Roman"/>
        </w:rPr>
        <w:t>Sprawiedliwości</w:t>
      </w:r>
      <w:r w:rsidR="008469F3" w:rsidRPr="008469F3">
        <w:rPr>
          <w:rFonts w:ascii="Times New Roman" w:hAnsi="Times New Roman" w:cs="Times New Roman"/>
        </w:rPr>
        <w:t xml:space="preserve"> </w:t>
      </w:r>
      <w:r w:rsidRPr="003C7359">
        <w:rPr>
          <w:rFonts w:ascii="Times New Roman" w:hAnsi="Times New Roman" w:cs="Times New Roman"/>
        </w:rPr>
        <w:t xml:space="preserve">kadrą orzeczniczą, określając ramy czasowe delegacji i rezygnując z delegacji bezterminowych. Zmiana przyczyni się do zwiększenia fluktuacji kadry w Ministerstwie Sprawiedliwości i innych podległych Ministrowi </w:t>
      </w:r>
      <w:r w:rsidR="008469F3" w:rsidRPr="0058223A">
        <w:rPr>
          <w:rFonts w:ascii="Times New Roman" w:hAnsi="Times New Roman" w:cs="Times New Roman"/>
        </w:rPr>
        <w:t>Sprawiedliwości</w:t>
      </w:r>
      <w:r w:rsidR="008469F3" w:rsidRPr="008469F3">
        <w:rPr>
          <w:rFonts w:ascii="Times New Roman" w:hAnsi="Times New Roman" w:cs="Times New Roman"/>
        </w:rPr>
        <w:t xml:space="preserve"> </w:t>
      </w:r>
      <w:r w:rsidRPr="003C7359">
        <w:rPr>
          <w:rFonts w:ascii="Times New Roman" w:hAnsi="Times New Roman" w:cs="Times New Roman"/>
        </w:rPr>
        <w:t>instytucjach, co odniesie pozytywny skutek również w przyszłości, bowiem ujednolici zasady delegowania jako instytucji nakierowanej na zaspokojenie doraźnych, czasowych potrzeb. Zmiana wprowadzi racjonalne wykorzystanie wiedzy i doświadczenia kadry orzeczniczej w Ministerstwie Sprawiedliwości (i pozostałych instytucjach podległych Ministrowi</w:t>
      </w:r>
      <w:r w:rsidR="00A301FD">
        <w:rPr>
          <w:rFonts w:ascii="Times New Roman" w:hAnsi="Times New Roman" w:cs="Times New Roman"/>
        </w:rPr>
        <w:t xml:space="preserve"> Sprawiedliwości</w:t>
      </w:r>
      <w:r w:rsidRPr="003C7359">
        <w:rPr>
          <w:rFonts w:ascii="Times New Roman" w:hAnsi="Times New Roman" w:cs="Times New Roman"/>
        </w:rPr>
        <w:t xml:space="preserve">), prowadząc do właściwego gospodarowania zasobami kadrowymi sądownictwa i zapewniając jego efektywne funkcjonowanie. Da pewność podmiotom zarządzającym kadrą orzeczniczą w sądach, że sędzia powróci do jednostki macierzystej w określonej perspektywie czasowej, a kadrze kierowniczej w Ministerstwie Sprawiedliwości (i innych jednostkach) – stosowny czas, </w:t>
      </w:r>
      <w:r w:rsidR="004E0E53">
        <w:rPr>
          <w:rFonts w:ascii="Times New Roman" w:hAnsi="Times New Roman" w:cs="Times New Roman"/>
        </w:rPr>
        <w:t>a</w:t>
      </w:r>
      <w:r w:rsidRPr="003C7359">
        <w:rPr>
          <w:rFonts w:ascii="Times New Roman" w:hAnsi="Times New Roman" w:cs="Times New Roman"/>
        </w:rPr>
        <w:t xml:space="preserve">by wiedzę i doświadczenie osób delegowanych wykorzystać właściwie, wyłącznie w celu, w którym delegowanie nastąpiło. </w:t>
      </w:r>
      <w:r w:rsidR="00AC2E78">
        <w:rPr>
          <w:rFonts w:ascii="Times New Roman" w:hAnsi="Times New Roman" w:cs="Times New Roman"/>
        </w:rPr>
        <w:t>Pon</w:t>
      </w:r>
      <w:r w:rsidRPr="003C7359">
        <w:rPr>
          <w:rFonts w:ascii="Times New Roman" w:hAnsi="Times New Roman" w:cs="Times New Roman"/>
        </w:rPr>
        <w:t xml:space="preserve">adto ograniczenie czasowe delegowań zapewni, że delegowana kadra orzecznicza nie zatraci kontaktu z podstawowym obowiązkiem, jakim jest sprawowanie wymiaru sprawiedliwości. Projektowana nowelizacja spowoduje </w:t>
      </w:r>
      <w:r w:rsidR="00AC2E78">
        <w:rPr>
          <w:rFonts w:ascii="Times New Roman" w:hAnsi="Times New Roman" w:cs="Times New Roman"/>
        </w:rPr>
        <w:t>po</w:t>
      </w:r>
      <w:r w:rsidRPr="003C7359">
        <w:rPr>
          <w:rFonts w:ascii="Times New Roman" w:hAnsi="Times New Roman" w:cs="Times New Roman"/>
        </w:rPr>
        <w:t>nadto zmniejszenie wydatków, osoby delegowane bowiem nie tylko blokują etaty w sądach, ale wydatki z tytułu ich utrzymania, tj. w szczególności wynagrodzenia, ponoszone są przez macierzyste sądy. Nowelizacja realizuje przy tym postulaty środowisk orzeczniczych, które od wielu lat wnosił</w:t>
      </w:r>
      <w:r w:rsidR="004E3589">
        <w:rPr>
          <w:rFonts w:ascii="Times New Roman" w:hAnsi="Times New Roman" w:cs="Times New Roman"/>
        </w:rPr>
        <w:t>y</w:t>
      </w:r>
      <w:r w:rsidRPr="003C7359">
        <w:rPr>
          <w:rFonts w:ascii="Times New Roman" w:hAnsi="Times New Roman" w:cs="Times New Roman"/>
        </w:rPr>
        <w:t xml:space="preserve"> o wstrzymanie lub ograniczenie delegowania sędziów i referendarzy </w:t>
      </w:r>
      <w:r w:rsidRPr="003C7359">
        <w:rPr>
          <w:rFonts w:ascii="Times New Roman" w:hAnsi="Times New Roman" w:cs="Times New Roman"/>
        </w:rPr>
        <w:lastRenderedPageBreak/>
        <w:t xml:space="preserve">sądowych (oraz urzędników sądowych) do jednostek spoza sądownictwa powszechnego, a także zaprzestanie podejmowania decyzji o oddelegowaniu sędziego (lub referendarza) w trybie natychmiastowym lub z wyprzedzeniem tylko kilkudniowym. Postulowano </w:t>
      </w:r>
      <w:r w:rsidR="00AC2E78">
        <w:rPr>
          <w:rFonts w:ascii="Times New Roman" w:hAnsi="Times New Roman" w:cs="Times New Roman"/>
        </w:rPr>
        <w:t>po</w:t>
      </w:r>
      <w:r w:rsidRPr="003C7359">
        <w:rPr>
          <w:rFonts w:ascii="Times New Roman" w:hAnsi="Times New Roman" w:cs="Times New Roman"/>
        </w:rPr>
        <w:t>nadto odwołanie z delegacji do Ministerstwa Sprawiedliwości (lub innych jednostek spoza sądownictwa) sędziów i referendarzy celem wzmocnienia kadry orzeczniczej i pracowniczej w sądach, ewentualnie, przydzielenie w to miejsce dodatkowych stanowisk (w szczególności w przypadku delegacji długotrwałych lub bezterminowych).</w:t>
      </w:r>
    </w:p>
    <w:p w14:paraId="5BDE704F" w14:textId="75D28DE4"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Przechodząc do omówienia szczegółowych zmian zawartych w projektowanej ustawie</w:t>
      </w:r>
      <w:r w:rsidR="00AC2E78">
        <w:rPr>
          <w:rFonts w:ascii="Times New Roman" w:hAnsi="Times New Roman" w:cs="Times New Roman"/>
        </w:rPr>
        <w:t>,</w:t>
      </w:r>
      <w:r w:rsidRPr="003C7359">
        <w:rPr>
          <w:rFonts w:ascii="Times New Roman" w:hAnsi="Times New Roman" w:cs="Times New Roman"/>
        </w:rPr>
        <w:t xml:space="preserve"> należy wskazać, że nadanie nowego brzmienia art. 69 § 1 u.s.p., uchylenie art. 69 § 1b u.s.p. oraz dodanie art. 69 § 1c u.s.p. służy wyeliminowaniu zgody Krajowej Rady Sądownictwa na dalsze zajmowanie przez sędziego stanowiska, wprowadzając w to miejsce oświadczenie sędziego składane prezesowi właściwego sądu apelacyjnego (wraz z zaświadczeniem stwierdzającym, że sędzia jest zdolny, ze względu na stan zdrowia, do dalszego pełnienia obowiązków sędziego), które następnie będzie przekazywane – wyłącznie w celu informacyjnym – Ministrowi Sprawiedliwości. Zmiana art. 69 § 3 u.s.p. przewiduje, że w miejsce Krajowej Rady Sądownictwa to prezes właściwego sądu apelacyjnego będzie mógł udzielić zgody na przejście sędziego orzekającego po ukończeniu 65</w:t>
      </w:r>
      <w:r w:rsidR="00321A60">
        <w:rPr>
          <w:rFonts w:ascii="Times New Roman" w:hAnsi="Times New Roman" w:cs="Times New Roman"/>
        </w:rPr>
        <w:t>.</w:t>
      </w:r>
      <w:r w:rsidRPr="003C7359">
        <w:rPr>
          <w:rFonts w:ascii="Times New Roman" w:hAnsi="Times New Roman" w:cs="Times New Roman"/>
        </w:rPr>
        <w:t xml:space="preserve"> roku życia w stan spoczynku przed upływem okresu uprzedzenia (zawiadamiając o tym Ministra Sprawiedliwości i Krajową Radę Sądownictwa).</w:t>
      </w:r>
    </w:p>
    <w:p w14:paraId="7F875BE4" w14:textId="70C2AA00"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 xml:space="preserve">Projektowany art. 69 § 1d u.s.p. zawiera normatywne </w:t>
      </w:r>
      <w:r w:rsidRPr="003C7359">
        <w:rPr>
          <w:rFonts w:ascii="Times New Roman" w:hAnsi="Times New Roman" w:cs="Times New Roman"/>
          <w:i/>
          <w:iCs/>
        </w:rPr>
        <w:t>novum</w:t>
      </w:r>
      <w:r w:rsidRPr="003C7359">
        <w:rPr>
          <w:rFonts w:ascii="Times New Roman" w:hAnsi="Times New Roman" w:cs="Times New Roman"/>
        </w:rPr>
        <w:t xml:space="preserve">, to jest dopuszczenie, </w:t>
      </w:r>
      <w:r w:rsidR="00321A60">
        <w:rPr>
          <w:rFonts w:ascii="Times New Roman" w:hAnsi="Times New Roman" w:cs="Times New Roman"/>
        </w:rPr>
        <w:t>a</w:t>
      </w:r>
      <w:r w:rsidRPr="003C7359">
        <w:rPr>
          <w:rFonts w:ascii="Times New Roman" w:hAnsi="Times New Roman" w:cs="Times New Roman"/>
        </w:rPr>
        <w:t>by sędzia podejmujący decyzję o zamiarze kontynuowania kariery zawodowej po ukończeniu 65. roku życia mógł uczestniczyć w przydziale spraw w wymiarze zmniejszonym o 25%, 50% albo 75%. Rozwiązanie to powinno przyczynić się do zwiększenia zainteresowania przedłużonym pełnieniem obowiązków w wymiarze sprawiedliwości</w:t>
      </w:r>
      <w:r w:rsidR="00321A60">
        <w:rPr>
          <w:rFonts w:ascii="Times New Roman" w:hAnsi="Times New Roman" w:cs="Times New Roman"/>
        </w:rPr>
        <w:t>,</w:t>
      </w:r>
      <w:r w:rsidRPr="003C7359">
        <w:rPr>
          <w:rFonts w:ascii="Times New Roman" w:hAnsi="Times New Roman" w:cs="Times New Roman"/>
        </w:rPr>
        <w:t xml:space="preserve"> w szczególności wśród tych sędziów, którzy chcieliby zachować możliwość dalszej pracy, żywią jednak obawy, czy wiek i stan zdrowia pozwolą im na pełną aktywność zawodową. Zakłada się przy tym możliwość zmian – nieczęściej niż raz na pół roku – deklaracji sędziego dotyczącej stopnia uczestniczenia w przydziale spraw. Skorzystanie z tego mechanizmu powodować będzie, że sędzia – pozostając w stanie czynnym – będzie uprawniony do wynagrodzenia składającego się z:</w:t>
      </w:r>
    </w:p>
    <w:p w14:paraId="06DD27D4" w14:textId="0B9794C9" w:rsidR="0013762A" w:rsidRPr="003C7359" w:rsidRDefault="0013762A" w:rsidP="004E7EF2">
      <w:pPr>
        <w:pStyle w:val="ARTartustawynprozporzdzenia"/>
        <w:ind w:left="851" w:hanging="425"/>
        <w:rPr>
          <w:rFonts w:ascii="Times New Roman" w:hAnsi="Times New Roman" w:cs="Times New Roman"/>
        </w:rPr>
      </w:pPr>
      <w:r w:rsidRPr="003C7359">
        <w:rPr>
          <w:rFonts w:ascii="Times New Roman" w:hAnsi="Times New Roman" w:cs="Times New Roman"/>
        </w:rPr>
        <w:t>1)</w:t>
      </w:r>
      <w:r w:rsidR="004E7EF2">
        <w:rPr>
          <w:rFonts w:ascii="Times New Roman" w:hAnsi="Times New Roman" w:cs="Times New Roman"/>
        </w:rPr>
        <w:tab/>
      </w:r>
      <w:r w:rsidRPr="003C7359">
        <w:rPr>
          <w:rFonts w:ascii="Times New Roman" w:hAnsi="Times New Roman" w:cs="Times New Roman"/>
        </w:rPr>
        <w:t>wynagrodzenia zasadniczego i dodatku za wysługę lat obniżonych w takim samym stopniu, w jakim zmniejszeniu ulega przydział spraw,</w:t>
      </w:r>
    </w:p>
    <w:p w14:paraId="6D4D9600" w14:textId="363065D9" w:rsidR="0013762A" w:rsidRPr="003C7359" w:rsidRDefault="0013762A" w:rsidP="004E7EF2">
      <w:pPr>
        <w:pStyle w:val="ARTartustawynprozporzdzenia"/>
        <w:ind w:left="993" w:hanging="483"/>
        <w:rPr>
          <w:rFonts w:ascii="Times New Roman" w:hAnsi="Times New Roman" w:cs="Times New Roman"/>
        </w:rPr>
      </w:pPr>
      <w:r w:rsidRPr="003C7359">
        <w:rPr>
          <w:rFonts w:ascii="Times New Roman" w:hAnsi="Times New Roman" w:cs="Times New Roman"/>
        </w:rPr>
        <w:lastRenderedPageBreak/>
        <w:t>2)</w:t>
      </w:r>
      <w:r w:rsidR="004E7EF2">
        <w:rPr>
          <w:rFonts w:ascii="Times New Roman" w:hAnsi="Times New Roman" w:cs="Times New Roman"/>
        </w:rPr>
        <w:tab/>
      </w:r>
      <w:r w:rsidRPr="003C7359">
        <w:rPr>
          <w:rFonts w:ascii="Times New Roman" w:hAnsi="Times New Roman" w:cs="Times New Roman"/>
        </w:rPr>
        <w:t>dodatkowego składnika wynagrodzenia w postaci kwoty w wysokości równej uposażeniu, jakie przysługiwałoby sędziemu, gdyby przeszedł w stan spoczynku, obniżonemu w takim samym stopniu, w jakim sędzia uczestniczy w przydziale spraw.</w:t>
      </w:r>
    </w:p>
    <w:p w14:paraId="548081B9" w14:textId="77777777"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Powyższe jest przedmiotem regulacji projektowanego przepisu art. 69 § 1e u.s.p.</w:t>
      </w:r>
    </w:p>
    <w:p w14:paraId="60FD7CA2" w14:textId="77777777"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W celu uniknięcia ewentualnych wątpliwości należy przy tym podkreślić, że ponieważ zgodnie z art. 100 § 2 u.s.p. sędziemu przechodzącemu w stan spoczynku przysługuje uposażenie w wysokości 75% wynagrodzenia zasadniczego i dodatku za wysługę lat, pobieranych na ostatnio zajmowanym stanowisku (waloryzowane następnie zgodnie z art. 100 § 3 u.s.p.), a sędzia, o którym mowa w art. 69 § 1d u.s.p., jest sędzią pozostającym w stanie czynnym, nadal zajmującym swoje stanowisko, dodatkowy składnik wynagrodzenia w postaci kwoty relatywizowanej do wysokości uposażenia, jakie przysługiwałoby temu sędziemu w przypadku przejścia w stan spoczynku, należy każdorazowo (tj. co miesiąc przy ustalaniu wysokości wynagrodzenia) odnosić do uposażenia ustalonego w oparciu o aktualnie pobierane wynagrodzenie zasadnicze i dodatek za wysługę lat. W praktyce ma to znaczenie przede wszystkim dla przypadku, gdy sędzia orzekający po ukończeniu 65. roku życia nabędzie prawo do wynagrodzenia zasadniczego w wyższej stawce – należy wówczas kwotę, o której mowa w art. 69 § 1e u.s.p., obliczać z uwzględnieniem uposażenia należnego w przypadku przejścia w stan spoczynku z aktualnie zajmowanego stanowiska z aktualnie przysługującym na nim wynagrodzeniem (nie zaś uposażenia, jakie sędzia otrzymywałby w razie przejścia w stan spoczynku z ukończeniem 65. roku życia).</w:t>
      </w:r>
    </w:p>
    <w:p w14:paraId="77A3384D" w14:textId="77777777"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Wymaga również wskazania, że uczestniczenie w przydziale spraw w zmniejszonym wymiarze na podstawie projektowanego art. 69 § 1d u.s.p. stanowi substytut pracy w niepełnym wymiarze czasu pracy, tym samym w przypadku osób, które będą łączyły taką formę pracy z pełnieniem w sądzie funkcji wizytatora lub koordynatora do spraw mediacji, konieczne będzie w pierwszym rzędzie ustalenie ich wskaźnika przydziału spraw wynikającego ze złożonego na podstawie art. 69 § 1d u.s.p. wniosku, następnie zaś zastosowanie właściwych norm rozporządzenia Ministra Sprawiedliwości z dnia 18 czerwca 2019 r. – Regulamin urzędowania sądów powszechnych (Dz. U. z 2024 r. poz. 867, z późn. zm.) w celu ewentualnego ustalenia wskaźnika procentowego udziału w przydziale wpływających do wydziału spraw w związku z pełnioną funkcją.</w:t>
      </w:r>
    </w:p>
    <w:p w14:paraId="4BB3DFED" w14:textId="77777777"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lastRenderedPageBreak/>
        <w:t>Konsekwencją rozwiązania prawnego zaproponowanego w art. 69 § 1d i 1e u.s.p. jest konieczność dokonania zmian:</w:t>
      </w:r>
    </w:p>
    <w:p w14:paraId="4EA26DF9" w14:textId="77777777" w:rsidR="0013762A" w:rsidRPr="003C7359" w:rsidRDefault="0013762A" w:rsidP="003C7359">
      <w:pPr>
        <w:pStyle w:val="ARTartustawynprozporzdzenia"/>
        <w:spacing w:before="0"/>
        <w:rPr>
          <w:rFonts w:ascii="Times New Roman" w:hAnsi="Times New Roman" w:cs="Times New Roman"/>
        </w:rPr>
      </w:pPr>
      <w:r w:rsidRPr="003C7359">
        <w:rPr>
          <w:rFonts w:ascii="Times New Roman" w:hAnsi="Times New Roman" w:cs="Times New Roman"/>
        </w:rPr>
        <w:t>– w art. 91 § 1 u.s.p. – w celu uwzględnienia okoliczności korzystania z uprawnienia, o którym mowa w art. 69 § 1d u.s.p., jako dodatkowego czynnika mogącego różnicować wysokość wynagrodzenia sędziów zajmujących równorzędne stanowiska sędziowskie, ze względu na przysługujący sędziemu w takim przypadku dodatkowy składnik wynagrodzenia,</w:t>
      </w:r>
    </w:p>
    <w:p w14:paraId="4861D25B" w14:textId="2B99571D"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 xml:space="preserve">– w art. 100 § 2 u.s.p. – w taki sposób, </w:t>
      </w:r>
      <w:r w:rsidR="008B2B7B">
        <w:rPr>
          <w:rFonts w:ascii="Times New Roman" w:hAnsi="Times New Roman" w:cs="Times New Roman"/>
        </w:rPr>
        <w:t>a</w:t>
      </w:r>
      <w:r w:rsidRPr="003C7359">
        <w:rPr>
          <w:rFonts w:ascii="Times New Roman" w:hAnsi="Times New Roman" w:cs="Times New Roman"/>
        </w:rPr>
        <w:t>by podstawą ustalenia uposażenia sędziego, o którym mowa w art. 69 § 1d u.s.p., przechodzącego w stan spoczynku było wynagrodzenie zasadnicze i dodatek za wysługę lat na ostatnio zajmowanym stanowisku, jakie przysługiwałyby sędziemu, gdyby nie uczestniczył w przydziale spraw w zmniejszonym wymiarze, nie zaś pomniejszone proporcjonalnie do stopnia ograniczenia udziału w przydziale spraw,</w:t>
      </w:r>
    </w:p>
    <w:p w14:paraId="6BCFD249" w14:textId="015E933F"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 xml:space="preserve">– w art. 109 § 1b u.s.p. – w taki sposób, </w:t>
      </w:r>
      <w:r w:rsidR="00D00BDC">
        <w:rPr>
          <w:rFonts w:ascii="Times New Roman" w:hAnsi="Times New Roman" w:cs="Times New Roman"/>
        </w:rPr>
        <w:t>a</w:t>
      </w:r>
      <w:r w:rsidRPr="003C7359">
        <w:rPr>
          <w:rFonts w:ascii="Times New Roman" w:hAnsi="Times New Roman" w:cs="Times New Roman"/>
        </w:rPr>
        <w:t>by kary finansowe orzeczone w postępowaniu dyscyplinarnym w odniesieniu do sędziego korzystającego z uprawnienia, o którym mowa w art. 69 § 1d u.s.p., dotyczyły nie tylko wynagrodzenia zasadniczego, lecz także pobieranego łącznie z wynagrodzeniem zasadniczym dodatkowego składnika wynagrodzenia w postaci kwoty naliczanej od wysokości uposażenia, o której mowa w art. 69 § 1e u.s.p.</w:t>
      </w:r>
    </w:p>
    <w:p w14:paraId="1EC32392" w14:textId="77777777"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Uchylenie art. 69 § 2 i 2a u.s.p. jest konsekwencją tego, że normy ustanowione tymi przepisami stały się zbędne. Należy bowiem wskazać, że mężczyzna, o którym mowa w art. 69 § 2 u.s.p., może obecnie przejść w stan spoczynku w tym samym czasie na zasadach ogólnych, zaś kobieta – w zależności od wieku – na zasadach ogólnych albo na podstawie art. 69 § 2b u.s.p., niezależnie od stażu pracy. Konsekwencją powyższej zmiany jest także wykreślenie w art. 69 § 2b u.s.p. wyrazów „,niezależnie od okresu przepracowanego na stanowisku prokuratora lub sędziego”.</w:t>
      </w:r>
    </w:p>
    <w:p w14:paraId="3F3864FE" w14:textId="7700C13A"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Uchylenie przepisów art. 77 § 1 pkt 2a–2c służy wyeliminowaniu prawnej możliwości delegowania sędziego do Kancelarii Prezydenta Rzeczypospolitej Polskiej, urzędu obsługującego ministra właściwego do spraw zagranicznych oraz Kancelarii Prezesa Rady Ministrów (do obsługi Państwowej Komisji do spraw badania wpływów rosyjskich na bezpieczeństwo wewnętrzne Rzeczypospolitej Polskiej w latach 2007</w:t>
      </w:r>
      <w:r w:rsidR="00E33B5E">
        <w:rPr>
          <w:rFonts w:ascii="Times New Roman" w:hAnsi="Times New Roman" w:cs="Times New Roman"/>
        </w:rPr>
        <w:t>–</w:t>
      </w:r>
      <w:r w:rsidRPr="003C7359">
        <w:rPr>
          <w:rFonts w:ascii="Times New Roman" w:hAnsi="Times New Roman" w:cs="Times New Roman"/>
        </w:rPr>
        <w:t xml:space="preserve">2022). W ocenie projektodawcy całkowicie zbędne jest – z punktu widzenia właściwego funkcjonowania powyższych organów – posiadanie przez nie w strukturze organizacyjnej delegowanych sędziów, a ich zadania mogą i powinny być z powodzeniem wykonywane przez pracowników </w:t>
      </w:r>
      <w:r w:rsidRPr="003C7359">
        <w:rPr>
          <w:rFonts w:ascii="Times New Roman" w:hAnsi="Times New Roman" w:cs="Times New Roman"/>
        </w:rPr>
        <w:lastRenderedPageBreak/>
        <w:t>tych organów. Co więcej, wedle wiedzy projektodawcy, od czasu wprowadzenia rozwiązań zawartych w uchylanych przepisach nigdy nie były one wykorzystane do delegowania sędziego.</w:t>
      </w:r>
    </w:p>
    <w:p w14:paraId="71872CA7" w14:textId="240BCAF1"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Zmiana części wspólnej wyliczenia zawartego w art. 77 § 1 u.s.p. (a także art. 77 § 2 i 2a u.s.p.) stanowi fundamentalne rozwiązanie projektowanej ustawy przewidujące, że delegowanie inne niż orzecznicze (to jest inne niż dokonane do innego sądu) będzie ograniczone do maksymalnie 4 lat (odpadnie zatem możliwość takich delegowań na czas nieokreślony). Co więcej, zgodnie z dodawanymi przepisami art. 77 § 3e–3g u.s.p., delegowanie pozaorzecznicze będzie musiało zostać poprzedzone oceną realności potrzeb i konsekwencji delegowania dla jednostki, w której sędzia pełni służbę. Delegowanie pozaorzecznicze, choćby dokonywane do różnych jednostek, a także delegowanie orzecznicze do sądu innego niż sąd powszechny łącznie nie będzie mogło przekroczyć 4 lat, zaś ponowienie takiego delegowania będzie możliwe dopiero po upływie okresu równego okresowi delegowania lub łącznego czasu następujących po sobie okresów delegowania, niewcześniej jednak niż po upływie roku od zakończenia delegowania w celu zapewnienia, </w:t>
      </w:r>
      <w:r w:rsidR="00901C96">
        <w:rPr>
          <w:rFonts w:ascii="Times New Roman" w:hAnsi="Times New Roman" w:cs="Times New Roman"/>
        </w:rPr>
        <w:t>a</w:t>
      </w:r>
      <w:r w:rsidRPr="003C7359">
        <w:rPr>
          <w:rFonts w:ascii="Times New Roman" w:hAnsi="Times New Roman" w:cs="Times New Roman"/>
        </w:rPr>
        <w:t>by nie doszło do długotrwałego oderwania sędziego od wykonywania zadań w ramach wymiaru sprawiedliwości.</w:t>
      </w:r>
    </w:p>
    <w:p w14:paraId="69C8EE56" w14:textId="77777777"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Dodatkowo w projektowanym nowym brzmieniu art. 77 § 2 i 2a u.s.p. uporządkowano określenie celu delegowania sędziego do Biura Krajowej Rady Sądownictwa oraz do Krajowej Szkoły Sądownictwa i Prokuratury, wskazując, że stanowi go pełnienie czynności administracyjnych w tym Biurze albo w Krajowej Szkole. Zrezygnowano ze wskazania jako celu delegowania prowadzenia zajęć szkoleniowych w Krajowej Szkole, przy uwzględnieniu, że taka podstawa delegowania i tak nie była w praktyce stosowana, gdyż optymalną i wykorzystywaną formą powierzenia sędziemu przeprowadzenia zajęć w Krajowej Szkole jest zawarcie z nim umowy cywilnoprawnej na przeprowadzenie określonego szkolenia lub cyklu zajęć.</w:t>
      </w:r>
    </w:p>
    <w:p w14:paraId="5C6C5A31" w14:textId="125F4404"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Projektowane nadanie nowego brzmienia art. 77 § 2b u.s.p. jest konsekwencją zmian polegających na uchyleniu art. 77 § 1 pkt 2a–2c, jak również służy przywróceniu zasady obowiązującej do czasu wejścia w życie ustawy z dnia 20 lipca 2018 r. o zmianie ustawy – Prawo o ustroju sądów powszechnych oraz niektórych innych ustaw (Dz. U. poz. 1443), że także delegowanie sędziego do pełnienia czynności administracyjnych w jednostkach nadzorowanych przez Ministra Sprawiedliwości jest niepołączalne z orzekaniem. Chodzi tu o Krajową Szkołę Sądownictwa i Prokuratury, do której delegowanie, w ocenie projektodawcy, </w:t>
      </w:r>
      <w:r w:rsidRPr="003C7359">
        <w:rPr>
          <w:rFonts w:ascii="Times New Roman" w:hAnsi="Times New Roman" w:cs="Times New Roman"/>
        </w:rPr>
        <w:lastRenderedPageBreak/>
        <w:t>także powinno wyłączać możliwość wykonywania obowiązków orzeczniczych. Jakkolwiek Szkoła nie jest jednostką podległą Ministrowi</w:t>
      </w:r>
      <w:r w:rsidR="009143C2">
        <w:rPr>
          <w:rFonts w:ascii="Times New Roman" w:hAnsi="Times New Roman" w:cs="Times New Roman"/>
        </w:rPr>
        <w:t xml:space="preserve"> </w:t>
      </w:r>
      <w:r w:rsidR="009143C2" w:rsidRPr="0058223A">
        <w:rPr>
          <w:rFonts w:ascii="Times New Roman" w:hAnsi="Times New Roman" w:cs="Times New Roman"/>
        </w:rPr>
        <w:t>Sprawiedliwości</w:t>
      </w:r>
      <w:r w:rsidRPr="003C7359">
        <w:rPr>
          <w:rFonts w:ascii="Times New Roman" w:hAnsi="Times New Roman" w:cs="Times New Roman"/>
        </w:rPr>
        <w:t>, a jedynie przez niego nadzorowaną, sam fakt delegowania do niej przez Ministra Sprawiedliwości oraz możliwość odwołania stanowią okoliczności, które mogą oddziaływać na zewnętrzny aspekt niezawisłości sędziego w postaci jego odbioru jako osoby, której sytuacja zawodowa w pewnym stopniu pozostaje uzależniona od Ministra Sprawiedliwości.</w:t>
      </w:r>
    </w:p>
    <w:p w14:paraId="43CCFACB" w14:textId="754CC185"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Zmiana art. 77 § 4 u.s.p. sprowadza się do ujednolicenia i zracjonalizowania zasad kończenia delegowań przez wskazanie, że w przypadku delegowania na czas określony wynoszący co najmniej rok albo na czas nieokreślony sędzia może być odwołany z delegowania lub z niego ustąpić za trzymiesięcznym uprzedzeniem (w pozostałych przypadkach krótszych delegacji zastosowanie znajdzie nieobjęta nowelizacją norma art. 77 § 4 zdanie drugie u.s.p.).</w:t>
      </w:r>
    </w:p>
    <w:p w14:paraId="29BE144A"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Zmiany w art. 78 u.s.p. (a także art. 57a u.s.p.) mają charakter wynikowy i dostosowujący względem omówionych wyżej, sprowadzają się do wyeliminowania regulacji odnoszących się do delegowania sędziów do Kancelarii Prezydenta Rzeczypospolitej Polskiej, urzędu obsługującego ministra właściwego do spraw zagranicznych oraz do prowadzenia zajęć szkoleniowych w Krajowej Szkole Sądownictwa i Prokuratury, jak również wyeliminowania możliwości przyznawania delegowanym sędziom dodatków specjalnych na czas nieokreślony wobec odstąpienia od takiej formy delegowań (w przypadkach innych niż delegowanie orzecznicze).</w:t>
      </w:r>
    </w:p>
    <w:p w14:paraId="7C1D2CDA" w14:textId="1CA8F258"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Dodawany art. 83b u.s.p. ma na celu jednoznaczne przesądzenie, że sędzia korzystający ze zmniejszonego udziału w przydziale spraw na podstawie projektowanego art. 69 § 1d lub art. 83a jest traktowany jako zatrudniony w niepełnym wymiarze czasu pracy (to jest np. przysługuje mu prawo do urlopu w wymiarze odpowiadającym zmniejszonemu udziałowi w przydziale spraw).</w:t>
      </w:r>
    </w:p>
    <w:p w14:paraId="064E9C76" w14:textId="77777777"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 xml:space="preserve">W dodawanym przepisie art. 91a § 3a u.s.p. wskazano, że okres delegowania pozaorzeczniczego nie będzie zaliczany do okresu pracy, od którego zależy nabycie uprawnienia do kolejnej stawki wynagrodzenia zasadniczego. Rozwiązanie to opiera się na założeniu, że okres, w którym sędzia wykonuje inne zadania niż związane ze sprawowaniem wymiaru sprawiedliwości, nie powinien wiązać się z nabywaniem uprawnienia, które ma charakter gwarancyjny i immanentnie związany ze sprawowaniem władzy sądowniczej. Służy </w:t>
      </w:r>
      <w:r w:rsidRPr="003C7359">
        <w:rPr>
          <w:rFonts w:ascii="Times New Roman" w:hAnsi="Times New Roman" w:cs="Times New Roman"/>
        </w:rPr>
        <w:lastRenderedPageBreak/>
        <w:t>ono również podkreśleniu, że delegowanie sędziego do pełnienia czynności administracyjnych powinno być instytucją stosowaną wyjątkowo i w ograniczonym zakresie.</w:t>
      </w:r>
    </w:p>
    <w:p w14:paraId="10D518B0"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Zmiana treści art. 94b § 4 pkt 2 u.s.p. jest konsekwencją uchylenia art. 77 § 1 pkt 2a–2c u.s.p.</w:t>
      </w:r>
    </w:p>
    <w:p w14:paraId="5A20C5CB" w14:textId="5ECA8FCD"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 xml:space="preserve">Nadanie nowego brzmienia art. 105 u.s.p. jest konsekwencją wprowadzenia możliwości powierzania sędziom w stanie spoczynku pełnienia czynności administracyjnych w Ministerstwie Sprawiedliwości oraz powierzania funkcji Rzecznika Dyscyplinarnego Ministra Sprawiedliwości. Wprowadzenie tej zmiany wymagało uporządkowania dotychczasowej treści i sposobu zredagowania art. 105 u.s.p. Projektowany art. 105 § 1 u.s.p. stanowi powtórzenie dotychczasowego art. 105 § 1 zdanie pierwsze, regulującego odpowiednie stosowanie norm u.s.p. do wszystkich sędziów w stanie spoczynku, z tym że w ocenie projektodawcy zasadne pozostaje także odpowiednie stosowanie do sędziów w stanie spoczynku normy art. 90 u.s.p. nakazującej informowanie przez sędziego prezesa właściwego sądu o toczącej się sprawie sądowej, w której sędzia występuje jako strona lub uczestnik postępowania (zważywszy w szczególności na ciążący na sędzim w stanie spoczynku obowiązek dochowania godności sędziego obwarowany odpowiedzialnością dyscyplinarną). W art. 105 § 2 u.s.p. unormowano możliwość powierzania sędziom w stanie spoczynku dodatkowych zadań (dotychczasowy art. 105 § 2 zdanie pierwsze). W art. 105 § 3 u.s.p. unormowano tryb powierzania dodatkowych zadań sędziom w stanie spoczynku (dotychczasowy art. 105 § 2 zdanie trzecie i czwarte). W art. 105 § 4 u.s.p. zawarto poprawione i skorygowane odesłania do przepisów u.s.p. znajdujących odpowiednie zastosowanie do sędziów w stanie spoczynku, którym powierzono pełnienie czynności administracyjnych w Ministerstwie Sprawiedliwości albo pełnienie funkcji Rzecznika Dyscyplinarnego Ministra Sprawiedliwości, sędziego wizytatora w sądzie albo koordynatora do spraw mediacji, analogicznie jak w obecnym przepisie art. 105 § 1 zdanie drugie u.s.p. W art. 105 § 5 u.s.p. umieszczono dotychczasową treść art. 105 § 1 zdanie trzecie u.s.p. W art. 105 § 6 u.s.p. unormowano sposób wynagradzania sędziów </w:t>
      </w:r>
      <w:r w:rsidR="00500795">
        <w:rPr>
          <w:rFonts w:ascii="Times New Roman" w:hAnsi="Times New Roman" w:cs="Times New Roman"/>
        </w:rPr>
        <w:t xml:space="preserve">w </w:t>
      </w:r>
      <w:r w:rsidRPr="003C7359">
        <w:rPr>
          <w:rFonts w:ascii="Times New Roman" w:hAnsi="Times New Roman" w:cs="Times New Roman"/>
        </w:rPr>
        <w:t xml:space="preserve">stanie spoczynku, którym powierzono pełnienie czynności administracyjnych w Ministerstwie Sprawiedliwości, funkcję Rzecznika Dyscyplinarnego Ministra Sprawiedliwości, sędziego wizytatora w sądzie albo koordynatora do spraw mediacji z tytułu wykonywanych zadań (analogicznie jak w obecnym art. 105 § 2 zdanie drugie), w odniesieniu do sędziów, którym powierzono pełnienie czynności administracyjnych w Ministerstwie Sprawiedliwości, wprowadzając unormowanie szczegółowe, wzorowane na art. 78 § 2–4 u.s.p., w celu uchylenia wątpliwości co do podstawy </w:t>
      </w:r>
      <w:r w:rsidRPr="003C7359">
        <w:rPr>
          <w:rFonts w:ascii="Times New Roman" w:hAnsi="Times New Roman" w:cs="Times New Roman"/>
        </w:rPr>
        <w:lastRenderedPageBreak/>
        <w:t>ustalania dodatku specjalnego. Projektowane przepisy art. 105 § 7 i 8 u.s.p. stanowią powtórzenie obowiązujących obecnie art. 105 § 3 i 4 u.s.p. ze zmianami dostosowującymi, wynikającymi z możliwości powierzenia sędziemu w stanie spoczynku pełnienia czynności administracyjnych w Ministerstwie Sprawiedliwości oraz funkcji Rzecznika Dyscyplinarnego Ministra Sprawiedliwości.</w:t>
      </w:r>
    </w:p>
    <w:p w14:paraId="3650DCE1" w14:textId="77777777" w:rsidR="0013762A" w:rsidRPr="003C7359" w:rsidRDefault="0013762A" w:rsidP="0013762A">
      <w:pPr>
        <w:pStyle w:val="ARTartustawynprozporzdzenia"/>
        <w:rPr>
          <w:rFonts w:ascii="Times New Roman" w:hAnsi="Times New Roman" w:cs="Times New Roman"/>
        </w:rPr>
      </w:pPr>
      <w:r w:rsidRPr="003C7359">
        <w:rPr>
          <w:rFonts w:ascii="Times New Roman" w:hAnsi="Times New Roman" w:cs="Times New Roman"/>
        </w:rPr>
        <w:t>Zmiany w ustawie z dnia 21 sierpnia 1997 r. – Prawo o ustroju sądów wojskowych (Dz. U. z 2025 r. poz. 1614) mają charakter wynikowy względem zmian w u.s.p., dostosowując regulacje dotyczące sądów wojskowych do norm projektowanych w u.s.p.</w:t>
      </w:r>
    </w:p>
    <w:p w14:paraId="57367F4D" w14:textId="1865EA85"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Zmiany w ustawie z dnia 28 stycznia 2016 r. – Prawo o prokuraturze (Dz. U. z 2026 r. poz. 810) nakierowane są na wyłączenie – z racji odmiennej specyfiki pracy prokuratorów i odmiennych zasad przydziału spraw – możliwości odpowiedniego stosowania względem prokuratorów rozwiązania polegającego na dopuszczalności oświadczenia przez sędziego, że po ukończeniu 65. roku życia wyraża wolę uczestniczenia w przydziale spraw w zmniejszonym wymiarze, a także odpowiedniego stosowania tych przepisów u.s.p., co do których ustawa – Prawo o prokuraturze zawiera w kolejnych normach art. 127 autonomiczne regulacje dotyczące przechodzenia przez prokuratorów w stan spoczynku.</w:t>
      </w:r>
    </w:p>
    <w:p w14:paraId="60BE8576" w14:textId="575459FB"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Przepisy przejściowe zawarte w art. 4–7 regulują sytuację sędziów, którzy w dacie wejścia w życie ustawy nowelizującej będą znajdować się w procedurze przedłużania możliwości dalszego orzekania po 65. roku życia (art. 4 i art. 6 ust. 1), sędziów, którzy uzyskali zgodę Krajowej Rady Sądownictwa w tym przedmiocie (art. 5), sędziów, którzy nie uzyskali takiej zgody albo o nią nie występowali, lecz podjęli inne działania prawne skutkujące ich pozostawaniem w stanie czynnym, np. na podstawie postanowienia zabezpieczającego wydanego przez sąd w postępowaniu mającym na celu ustalenie prawa dalszego zajmowania stanowiska sędziego (art. 6 ust. 2), sędziów, w przypadku których złożenie oświadczenia o woli dalszego zajmowania stanowiska z zachowaniem terminu 6 miesięcy przed ukończeniem 65.</w:t>
      </w:r>
      <w:r w:rsidR="004414B1">
        <w:rPr>
          <w:rFonts w:ascii="Times New Roman" w:hAnsi="Times New Roman" w:cs="Times New Roman"/>
        </w:rPr>
        <w:t> </w:t>
      </w:r>
      <w:r w:rsidRPr="003C7359">
        <w:rPr>
          <w:rFonts w:ascii="Times New Roman" w:hAnsi="Times New Roman" w:cs="Times New Roman"/>
        </w:rPr>
        <w:t xml:space="preserve">roku życia byłoby niemożliwe lub znacząco utrudnione (art. 6 ust. 1), oraz sędziów, którzy już przeszli w stan spoczynku (art. 7). Regulacje te są nakierowane na umożliwienie ww. sędziom skorzystania z dobrodziejstwa nowych rozwiązań prawnych, w tym przede wszystkim zapewnienia im możliwości dalszego pełnienia służby (ewentualnie powrotu do niej, jeśli sędzia już przeszedł w stan spoczynku) wyłącznie na podstawie oświadczenia sędziego składanego wraz ze stosownym zaświadczeniem lekarskim, z tym tylko zastrzeżeniem, że oświadczenie takie powinno zostać złożone niepóźniej niż w dniu ukończenia przez sędziego </w:t>
      </w:r>
      <w:r w:rsidRPr="003C7359">
        <w:rPr>
          <w:rFonts w:ascii="Times New Roman" w:hAnsi="Times New Roman" w:cs="Times New Roman"/>
        </w:rPr>
        <w:lastRenderedPageBreak/>
        <w:t>69. roku życia (</w:t>
      </w:r>
      <w:r w:rsidR="0016254A">
        <w:rPr>
          <w:rFonts w:ascii="Times New Roman" w:hAnsi="Times New Roman" w:cs="Times New Roman"/>
        </w:rPr>
        <w:t>a</w:t>
      </w:r>
      <w:r w:rsidRPr="003C7359">
        <w:rPr>
          <w:rFonts w:ascii="Times New Roman" w:hAnsi="Times New Roman" w:cs="Times New Roman"/>
        </w:rPr>
        <w:t>by uniknąć powrotu do czynnego pełnienia służby na mniej niż rok, nie byłoby to bowiem efektywne z punktu widzenia wymiaru sprawiedliwości).</w:t>
      </w:r>
    </w:p>
    <w:p w14:paraId="0812ED91" w14:textId="18E2ADE9"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Należy przy tym wyjaśnić, że termin ośmiu miesięcy, o którym mowa w art. 6 ust. 1, w kontekście okresu, jaki pozostał sędziemu do ukończenia 65. roku życia, uprawniający na podstawie normy przejściowej do złożenia właściwego oświadczenia i zaświadczenia w przedmiocie woli dalszego zajmowania stanowiska sędziowskiego w terminie dwóch miesięcy od dnia wejścia w życie ustawy nowelizującej, wynika z uwzględnienia potrzeby zapewnienia sędziom, którzy zbliżają się do ustalanego w art. 69 § 1 u.s.p. terminu 6 miesięcy do ukończenia 65. roku życia, terminu 2 miesięcy na złożenie dokumentów dających prawo dalszego pełnienia służby. Gdyby w przepisie przejściowym wskazać – podobnie jak w nowelizowanym art. 69 § 1 u.s</w:t>
      </w:r>
      <w:r w:rsidR="0016254A">
        <w:rPr>
          <w:rFonts w:ascii="Times New Roman" w:hAnsi="Times New Roman" w:cs="Times New Roman"/>
        </w:rPr>
        <w:t>.</w:t>
      </w:r>
      <w:r w:rsidRPr="003C7359">
        <w:rPr>
          <w:rFonts w:ascii="Times New Roman" w:hAnsi="Times New Roman" w:cs="Times New Roman"/>
        </w:rPr>
        <w:t>p. – termin sześciomiesięczny, sędzia, któremu pozostałby, w dacie wejścia w życie ustawy nowelizującej, przykładowo, okres 6 miesięcy i jednego dnia do ukończenia 65. roku życia, miałby – na mocy nowelizowanego art. 69 § 1 u.s.p. – jeden dzień na złożenie oświadczenia i zdobycie zaświadczenia lekarskiego (którego mógł wcześniej nie pozyskiwać, nie chcąc poddawać się ocenie Krajowej Rady Sądownictwa co do zasadności dopuszczalności dalszego pełnienia służby). W ocenie projektodawcy okres dwóch miesięcy w tym zakresie (a zatem wskazanie ośmiu miesięcy względem sześciu przewidzianych w normie art. 69 § 1 u.s.p.) będzie wystarczający na podjęcie decyzji o woli dalszego pełnienia służby wedle nowego, projektowanego modelu i zdobycie odpowiedniego zaświadczenia lekarskiego.</w:t>
      </w:r>
    </w:p>
    <w:p w14:paraId="59308427"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Uprawnienie do powrotu ze stanu spoczynku do czynnej służby, przewidziane w art. 7, zostało zastrzeżone wyłącznie dla sędziów sądów powszechnych. Wynika to z oceny projektodawcy dotyczącej potrzeb kadrowych tych sądów, dalece wyższych, aniżeli potrzeby kadrowe sądów administracyjnych albo wojskowych. Norma ta, jako szczególna i nakierowana na zwiększenie efektywności wymiaru sprawiedliwości sprawowanego w sądach powszechnych, została zatem ukształtowana wąsko, odnosząc się wyłącznie do sędziów tych sądów. Przewiduje się przy tym szczególny tryb powrotu do czynnej służby, tożsamy jak w przypadku projektowanym w art. 69 u.s.p., dotyczącym sytuacji wyrażenia przez sędziego woli dalszego zajmowania stanowiska, to jest bez udziału Krajowej Rady Sądownictwa, tak z uwagi na sposób ukształtowania obecnej Krajowej Rady Sądownictwa, jak i mając na względzie przesłanki, które mogły doprowadzić do przejścia sędziego w stan spoczynku (niechęć do poddania się ocenie Krajowej Rady Sądownictwa w zakresie zasadności dalszego pełnienia służby, brak jej zgody na dalsze pełnienie służby przez sędziego).</w:t>
      </w:r>
    </w:p>
    <w:p w14:paraId="354ABA04"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lastRenderedPageBreak/>
        <w:t xml:space="preserve">Przewiduje się przy tym, że sędziemu korzystającemu z uprawnienia do powrotu do czynnej służby ze stanu spoczynku (wyłącznie w przypadku, gdy sędzia ten przeszedł w stan spoczynku ze względu na osiągnięty wiek, nie zaś został przeniesiony w stan spoczynku na podstawie art. 71 § 3 u.s.p.) okres pozostawania przez niego w stanie spoczynku zostanie zaliczony do okresu pracy niezbędnego do uzyskania wynagrodzenia w stawce bezpośrednio wyższej, a także zostanie uwzględniony przy ustaleniu uprawnień do innych świadczeń związanych z zatrudnieniem na stanowisku sędziego, jako zachęta do powrotu do orzekania i rekompensata utraconej możliwości pełnienia służby. </w:t>
      </w:r>
    </w:p>
    <w:p w14:paraId="0ECEE9DF" w14:textId="06F4473F"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Przepis przejściowy art. 8 przewiduje, wobec wprowadzenia wyłącznie terminowych delegowań pozaorzeczniczych, że trwające w dniu wejścia w życie ustawy delegowania sędziów na czas nieokreślony stają się delegowaniami na czas określony 3 lat od dnia wejścia w życie niniejszej ustawy, z wyłączeniem delegowań do innych sądów. Okres ten będzie wystarczający dla zabezpieczenia interesów jednostek, do których delegowanie nastąpiło, i ich dostosowanie się do perspektywy zakończenia delegowania, jak i dla samych delegowanych sędziów w kontekście nowej perspektywy zakończenia delegowania; nie istnieją przy tym przeszkody dla przedłużenia delegowań, o których mowa w art. 8 ust. 1 o kolejny rok, do łącznego czasu czterech lat, przy uwzględnieniu treści art. 77 § 3f u.s.p. Ponadto przewiduje się zakończenie delegowań do Kancelarii Prezydenta Rzeczypospolitej Polskiej, urzędu obsługującego ministra właściwego do spraw zagranicznych oraz Kancelarii Prezesa Rady Ministrów (do obsługi Państwowej Komisji do spraw badania wpływów rosyjskich na bezpieczeństwo wewnętrzne Rzeczypospolitej Polskiej w latach 2007–2022), choć w dacie opracowania projektu ustawy brak sędziów delegowanych do tych urzędów. Art. 8 ust. 3 zakłada zaś, że dotychczasowe okresy delegowania sprzed wejścia w życie ustawy nie będą wliczane do okresów, o których mowa w art. 77 § 3f i 3g u.s.p., to jest okresów warunkujących możliwość dalszych albo kolejnych delegacji. Zgodnie z zasadą pewności prawa w art. 8 ust. 4 przewidziano z kolei, że zasada niewliczania okresu delegowania pozaorzeczniczego do okresu uprawniającego do nabycia kolejnej stawki wynagrodzenia zasadniczego będzie miała zastosowanie wyłącznie do delegowań rozpoczętych po wejściu w życie ustawy. Tym samym regulacja art. 91a § 3a u.s.p. nie będzie miała zastosowania do delegowań rozpoczętych przed dniem wejścia w życie ustawy, w tym także delegowań przekształcanych na podstawie art. 8 ust. 1, zarówno w odniesieniu do okresu delegowania przypadającego przed dniem wejścia w życie ustawy, jak i okresu takiego delegowania przypadającego po jej wejściu w życie. </w:t>
      </w:r>
    </w:p>
    <w:p w14:paraId="32EECF41"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lastRenderedPageBreak/>
        <w:t>Przepis art. 9 przewiduje zachowanie w mocy przepisów wykonawczych wydanych na podstawie art. 78 § 5 u.s.p. wobec zmiany treści upoważnienia do wydania rozporządzenia, polegającej na wyeliminowaniu z zakresu upoważnienia trybu i szczegółowych warunków delegowania sędziów do pełnienia obowiązków w Kancelarii Prezydenta Rzeczypospolitej Polskiej oraz urzędzie obsługującym ministra właściwego do spraw zagranicznych, a także prowadzenia zajęć szkoleniowych w Krajowej Szkole Sądownictwa i Prokuratury.</w:t>
      </w:r>
    </w:p>
    <w:p w14:paraId="0E91AFC8" w14:textId="48ADACA8"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Przewiduje się, że ustawa wejdzie w życie pierwszego dnia miesiąca następującego po upływie 21 dni od dnia ogłoszenia. Takie ukształtowanie przepisu o wejściu w życie zapewni zachowanie minimalnego terminu umożliwiającego obsługę kadrową osób delegowanych przez Ministerstwo Sprawiedliwości (w związku z projektowanym</w:t>
      </w:r>
      <w:r w:rsidR="00686E4D">
        <w:rPr>
          <w:rFonts w:ascii="Times New Roman" w:hAnsi="Times New Roman" w:cs="Times New Roman"/>
        </w:rPr>
        <w:t>i</w:t>
      </w:r>
      <w:r w:rsidRPr="003C7359">
        <w:rPr>
          <w:rFonts w:ascii="Times New Roman" w:hAnsi="Times New Roman" w:cs="Times New Roman"/>
        </w:rPr>
        <w:t xml:space="preserve"> zmianami niezbędne będzie bowiem wydanie do kilkuset decyzji dotyczących osób delegowanych do Ministerstwa Sprawiedliwości i innych organów). Jednocześnie wyznaczenie wejścia w życie ustawy na pierwszy dzień miesiąca ułatwi prowadzenie spraw kadrowo-finansowych i liczenie terminów niezbędnych do prowadzenia tych spraw.</w:t>
      </w:r>
    </w:p>
    <w:p w14:paraId="061143DB" w14:textId="63EAAAFA"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Projekt ustawy został zamieszczony na stronie podmiotowej Biuletynu Informacji Publicznej Rządowego Centrum Legislacji, w serwisie </w:t>
      </w:r>
      <w:r w:rsidR="004F78C4">
        <w:rPr>
          <w:rFonts w:ascii="Times New Roman" w:hAnsi="Times New Roman" w:cs="Times New Roman"/>
        </w:rPr>
        <w:t>„</w:t>
      </w:r>
      <w:r w:rsidRPr="003C7359">
        <w:rPr>
          <w:rFonts w:ascii="Times New Roman" w:hAnsi="Times New Roman" w:cs="Times New Roman"/>
        </w:rPr>
        <w:t>Rządowy Proces Legislacyjny</w:t>
      </w:r>
      <w:r w:rsidR="004F78C4">
        <w:rPr>
          <w:rFonts w:ascii="Times New Roman" w:hAnsi="Times New Roman" w:cs="Times New Roman"/>
        </w:rPr>
        <w:t>”</w:t>
      </w:r>
      <w:r w:rsidRPr="003C7359">
        <w:rPr>
          <w:rFonts w:ascii="Times New Roman" w:hAnsi="Times New Roman" w:cs="Times New Roman"/>
        </w:rPr>
        <w:t xml:space="preserve">, stosownie do wymogów art. 5 ustawy z dnia 7 lipca 2005 r. o działalności lobbingowej w procesie stanowienia prawa (Dz. U. </w:t>
      </w:r>
      <w:r w:rsidR="00700090">
        <w:rPr>
          <w:rFonts w:ascii="Times New Roman" w:hAnsi="Times New Roman" w:cs="Times New Roman"/>
        </w:rPr>
        <w:t xml:space="preserve">z </w:t>
      </w:r>
      <w:r w:rsidRPr="003C7359">
        <w:rPr>
          <w:rFonts w:ascii="Times New Roman" w:hAnsi="Times New Roman" w:cs="Times New Roman"/>
        </w:rPr>
        <w:t>202</w:t>
      </w:r>
      <w:r w:rsidR="00096CB6">
        <w:rPr>
          <w:rFonts w:ascii="Times New Roman" w:hAnsi="Times New Roman" w:cs="Times New Roman"/>
        </w:rPr>
        <w:t>6</w:t>
      </w:r>
      <w:r w:rsidRPr="003C7359">
        <w:rPr>
          <w:rFonts w:ascii="Times New Roman" w:hAnsi="Times New Roman" w:cs="Times New Roman"/>
        </w:rPr>
        <w:t xml:space="preserve"> r. poz. </w:t>
      </w:r>
      <w:r w:rsidR="00096CB6">
        <w:rPr>
          <w:rFonts w:ascii="Times New Roman" w:hAnsi="Times New Roman" w:cs="Times New Roman"/>
        </w:rPr>
        <w:t>936</w:t>
      </w:r>
      <w:r w:rsidRPr="003C7359">
        <w:rPr>
          <w:rFonts w:ascii="Times New Roman" w:hAnsi="Times New Roman" w:cs="Times New Roman"/>
        </w:rPr>
        <w:t>) oraz zgodnie z § 52 ust. 1 uchwały nr 190 Rady Ministrów z dnia 29 października 2013 r. – Regulamin pracy Rady Ministrów (M.P. z 2026 r. poz. 404). Nie zgłoszono zainteresowania pracami nad projektem w trybie przepisów o działalności lobbingowej w procesie stanowienia prawa.</w:t>
      </w:r>
    </w:p>
    <w:p w14:paraId="3CAD47AE" w14:textId="37B1173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Projekt nie podlega notyfikacji zgodnie </w:t>
      </w:r>
      <w:r w:rsidR="00EA69D1">
        <w:rPr>
          <w:rFonts w:ascii="Times New Roman" w:hAnsi="Times New Roman" w:cs="Times New Roman"/>
        </w:rPr>
        <w:t xml:space="preserve">z </w:t>
      </w:r>
      <w:r w:rsidRPr="003C7359">
        <w:rPr>
          <w:rFonts w:ascii="Times New Roman" w:hAnsi="Times New Roman" w:cs="Times New Roman"/>
        </w:rPr>
        <w:t>przepisami rozporządzenia Rady Ministrów z</w:t>
      </w:r>
      <w:r w:rsidR="004414B1">
        <w:rPr>
          <w:rFonts w:ascii="Times New Roman" w:hAnsi="Times New Roman" w:cs="Times New Roman"/>
        </w:rPr>
        <w:t> </w:t>
      </w:r>
      <w:r w:rsidRPr="003C7359">
        <w:rPr>
          <w:rFonts w:ascii="Times New Roman" w:hAnsi="Times New Roman" w:cs="Times New Roman"/>
        </w:rPr>
        <w:t xml:space="preserve">dnia 23 grudnia 2002 r. w sprawie </w:t>
      </w:r>
      <w:r w:rsidR="003E5556" w:rsidRPr="003C7359">
        <w:rPr>
          <w:rFonts w:ascii="Times New Roman" w:hAnsi="Times New Roman" w:cs="Times New Roman"/>
        </w:rPr>
        <w:t xml:space="preserve">sposobu </w:t>
      </w:r>
      <w:r w:rsidRPr="003C7359">
        <w:rPr>
          <w:rFonts w:ascii="Times New Roman" w:hAnsi="Times New Roman" w:cs="Times New Roman"/>
        </w:rPr>
        <w:t>funkcjonowania krajowego systemu notyfikacji norm i aktów prawnych (Dz. U. poz. 2039 oraz z 2004 r. poz. 597).</w:t>
      </w:r>
    </w:p>
    <w:p w14:paraId="5EA3C409" w14:textId="3CAE19EE"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 xml:space="preserve">Choć projektowana ustawa nie jest nakierowana bezpośrednio na wykonanie konkretnych wyroków trybunałów europejskich, to należy odnotować, że zawiera regulacje podwyższające standard ochrony niezależności sędziów w zakresie możliwości pozostania przez sędziego w czynnej służbie po osiągnięciu wieku stanu spoczynku, które to zagadnienie było przedmiotem oceny Trybunału Sprawiedliwości Unii Europejskiej w sprawie C-192/18, jak również w orzeczeniu Europejskiego Trybunału Praw Człowieka w sprawie </w:t>
      </w:r>
      <w:r w:rsidRPr="003C7359">
        <w:rPr>
          <w:rStyle w:val="Kkursywa"/>
          <w:rFonts w:ascii="Times New Roman" w:hAnsi="Times New Roman" w:cs="Times New Roman"/>
          <w:i w:val="0"/>
          <w:iCs/>
        </w:rPr>
        <w:t>Pająk i inni przeciwko Polsce</w:t>
      </w:r>
      <w:r w:rsidRPr="003C7359">
        <w:rPr>
          <w:rFonts w:ascii="Times New Roman" w:hAnsi="Times New Roman" w:cs="Times New Roman"/>
        </w:rPr>
        <w:t xml:space="preserve"> (skarga nr 25226/18). Projekt jest zgodny z prawem Unii Europejskiej.</w:t>
      </w:r>
    </w:p>
    <w:p w14:paraId="4BA487B4"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lastRenderedPageBreak/>
        <w:t>Projekt ustawy nie będzie miał negatywnego wpływu na rynek pracy oraz na konkurencyjność gospodarki i przedsiębiorczość, w tym na funkcjonowanie przedsiębiorstw.</w:t>
      </w:r>
    </w:p>
    <w:p w14:paraId="01F6D697" w14:textId="77777777" w:rsidR="0013762A" w:rsidRPr="003C7359" w:rsidRDefault="0013762A" w:rsidP="0013762A">
      <w:pPr>
        <w:pStyle w:val="NIEARTTEKSTtekstnieartykuowanynppodstprawnarozplubpreambua"/>
        <w:rPr>
          <w:rFonts w:ascii="Times New Roman" w:hAnsi="Times New Roman" w:cs="Times New Roman"/>
        </w:rPr>
      </w:pPr>
      <w:r w:rsidRPr="003C7359">
        <w:rPr>
          <w:rFonts w:ascii="Times New Roman" w:hAnsi="Times New Roman" w:cs="Times New Roman"/>
        </w:rPr>
        <w:t>Projekt nie podlega dokonaniu oceny OSR przez koordynatora OSR w trybie § 32 uchwały nr 190 Rady Ministrów z dnia 29 października 2013 r. – Regulamin pracy Rady Ministrów.</w:t>
      </w:r>
    </w:p>
    <w:sectPr w:rsidR="0013762A" w:rsidRPr="003C7359" w:rsidSect="002E5528">
      <w:footerReference w:type="default" r:id="rId7"/>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2FA55" w14:textId="77777777" w:rsidR="005F36C5" w:rsidRDefault="005F36C5" w:rsidP="00CD7DEC">
      <w:pPr>
        <w:spacing w:after="0" w:line="240" w:lineRule="auto"/>
      </w:pPr>
      <w:r>
        <w:separator/>
      </w:r>
    </w:p>
  </w:endnote>
  <w:endnote w:type="continuationSeparator" w:id="0">
    <w:p w14:paraId="4682B584" w14:textId="77777777" w:rsidR="005F36C5" w:rsidRDefault="005F36C5" w:rsidP="00CD7DEC">
      <w:pPr>
        <w:spacing w:after="0" w:line="240" w:lineRule="auto"/>
      </w:pPr>
      <w:r>
        <w:continuationSeparator/>
      </w:r>
    </w:p>
  </w:endnote>
  <w:endnote w:type="continuationNotice" w:id="1">
    <w:p w14:paraId="35E1EF45" w14:textId="77777777" w:rsidR="005F36C5" w:rsidRDefault="005F36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70871"/>
      <w:docPartObj>
        <w:docPartGallery w:val="Page Numbers (Bottom of Page)"/>
        <w:docPartUnique/>
      </w:docPartObj>
    </w:sdtPr>
    <w:sdtEndPr>
      <w:rPr>
        <w:rFonts w:ascii="Times New Roman" w:hAnsi="Times New Roman" w:cs="Times New Roman"/>
        <w:sz w:val="24"/>
        <w:szCs w:val="24"/>
      </w:rPr>
    </w:sdtEndPr>
    <w:sdtContent>
      <w:p w14:paraId="3C27CA5A" w14:textId="33DB4DF7" w:rsidR="00871C15" w:rsidRPr="0032408D" w:rsidRDefault="0032408D" w:rsidP="0032408D">
        <w:pPr>
          <w:pStyle w:val="Stopka"/>
          <w:jc w:val="center"/>
          <w:rPr>
            <w:rFonts w:ascii="Times New Roman" w:hAnsi="Times New Roman" w:cs="Times New Roman"/>
            <w:sz w:val="24"/>
            <w:szCs w:val="24"/>
          </w:rPr>
        </w:pPr>
        <w:r w:rsidRPr="0032408D">
          <w:rPr>
            <w:rFonts w:ascii="Times New Roman" w:hAnsi="Times New Roman" w:cs="Times New Roman"/>
            <w:sz w:val="24"/>
            <w:szCs w:val="24"/>
          </w:rPr>
          <w:fldChar w:fldCharType="begin"/>
        </w:r>
        <w:r w:rsidRPr="0032408D">
          <w:rPr>
            <w:rFonts w:ascii="Times New Roman" w:hAnsi="Times New Roman" w:cs="Times New Roman"/>
            <w:sz w:val="24"/>
            <w:szCs w:val="24"/>
          </w:rPr>
          <w:instrText>PAGE   \* MERGEFORMAT</w:instrText>
        </w:r>
        <w:r w:rsidRPr="0032408D">
          <w:rPr>
            <w:rFonts w:ascii="Times New Roman" w:hAnsi="Times New Roman" w:cs="Times New Roman"/>
            <w:sz w:val="24"/>
            <w:szCs w:val="24"/>
          </w:rPr>
          <w:fldChar w:fldCharType="separate"/>
        </w:r>
        <w:r w:rsidRPr="0032408D">
          <w:rPr>
            <w:rFonts w:ascii="Times New Roman" w:hAnsi="Times New Roman" w:cs="Times New Roman"/>
            <w:sz w:val="24"/>
            <w:szCs w:val="24"/>
          </w:rPr>
          <w:t>2</w:t>
        </w:r>
        <w:r w:rsidRPr="0032408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3F506" w14:textId="77777777" w:rsidR="005F36C5" w:rsidRDefault="005F36C5" w:rsidP="00CD7DEC">
      <w:pPr>
        <w:spacing w:after="0" w:line="240" w:lineRule="auto"/>
      </w:pPr>
      <w:r>
        <w:separator/>
      </w:r>
    </w:p>
  </w:footnote>
  <w:footnote w:type="continuationSeparator" w:id="0">
    <w:p w14:paraId="553B77BA" w14:textId="77777777" w:rsidR="005F36C5" w:rsidRDefault="005F36C5" w:rsidP="00CD7DEC">
      <w:pPr>
        <w:spacing w:after="0" w:line="240" w:lineRule="auto"/>
      </w:pPr>
      <w:r>
        <w:continuationSeparator/>
      </w:r>
    </w:p>
  </w:footnote>
  <w:footnote w:type="continuationNotice" w:id="1">
    <w:p w14:paraId="237E2890" w14:textId="77777777" w:rsidR="005F36C5" w:rsidRDefault="005F36C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DEC"/>
    <w:rsid w:val="000027B9"/>
    <w:rsid w:val="00002A18"/>
    <w:rsid w:val="00004168"/>
    <w:rsid w:val="00004CFB"/>
    <w:rsid w:val="000060E7"/>
    <w:rsid w:val="00007E90"/>
    <w:rsid w:val="00011414"/>
    <w:rsid w:val="000125F0"/>
    <w:rsid w:val="00015C20"/>
    <w:rsid w:val="000166C8"/>
    <w:rsid w:val="00016FB7"/>
    <w:rsid w:val="00017383"/>
    <w:rsid w:val="0001755E"/>
    <w:rsid w:val="00017677"/>
    <w:rsid w:val="00017DA8"/>
    <w:rsid w:val="00017E6F"/>
    <w:rsid w:val="0002461F"/>
    <w:rsid w:val="000259FA"/>
    <w:rsid w:val="0002655E"/>
    <w:rsid w:val="000301C5"/>
    <w:rsid w:val="0003052A"/>
    <w:rsid w:val="00031337"/>
    <w:rsid w:val="00031AF1"/>
    <w:rsid w:val="0003486F"/>
    <w:rsid w:val="000352E4"/>
    <w:rsid w:val="000428FC"/>
    <w:rsid w:val="00043180"/>
    <w:rsid w:val="000476A8"/>
    <w:rsid w:val="00054F9B"/>
    <w:rsid w:val="000609BC"/>
    <w:rsid w:val="00062994"/>
    <w:rsid w:val="00067431"/>
    <w:rsid w:val="0007050D"/>
    <w:rsid w:val="00070861"/>
    <w:rsid w:val="00070F1A"/>
    <w:rsid w:val="00071AF3"/>
    <w:rsid w:val="0007296A"/>
    <w:rsid w:val="00074000"/>
    <w:rsid w:val="000756D2"/>
    <w:rsid w:val="00075B74"/>
    <w:rsid w:val="00075BA7"/>
    <w:rsid w:val="00076818"/>
    <w:rsid w:val="00077474"/>
    <w:rsid w:val="000815CD"/>
    <w:rsid w:val="0008281E"/>
    <w:rsid w:val="00082849"/>
    <w:rsid w:val="000829BC"/>
    <w:rsid w:val="000838A6"/>
    <w:rsid w:val="00084E6C"/>
    <w:rsid w:val="00085F58"/>
    <w:rsid w:val="00087CB2"/>
    <w:rsid w:val="000901DE"/>
    <w:rsid w:val="00090A2B"/>
    <w:rsid w:val="00091E9C"/>
    <w:rsid w:val="00091F55"/>
    <w:rsid w:val="00093631"/>
    <w:rsid w:val="00094468"/>
    <w:rsid w:val="00095368"/>
    <w:rsid w:val="00096689"/>
    <w:rsid w:val="00096CB6"/>
    <w:rsid w:val="000A0752"/>
    <w:rsid w:val="000A0948"/>
    <w:rsid w:val="000A09F1"/>
    <w:rsid w:val="000A379E"/>
    <w:rsid w:val="000A5E3C"/>
    <w:rsid w:val="000A79D5"/>
    <w:rsid w:val="000A7C24"/>
    <w:rsid w:val="000B00A9"/>
    <w:rsid w:val="000B0142"/>
    <w:rsid w:val="000B2A45"/>
    <w:rsid w:val="000B5C42"/>
    <w:rsid w:val="000B66B3"/>
    <w:rsid w:val="000C0D2F"/>
    <w:rsid w:val="000C19DD"/>
    <w:rsid w:val="000C2B9B"/>
    <w:rsid w:val="000C3B11"/>
    <w:rsid w:val="000C7409"/>
    <w:rsid w:val="000C7989"/>
    <w:rsid w:val="000D02B3"/>
    <w:rsid w:val="000D1705"/>
    <w:rsid w:val="000D1D7E"/>
    <w:rsid w:val="000D2F0E"/>
    <w:rsid w:val="000D31C5"/>
    <w:rsid w:val="000E1D4F"/>
    <w:rsid w:val="000E2BA8"/>
    <w:rsid w:val="000E2C6B"/>
    <w:rsid w:val="000E5380"/>
    <w:rsid w:val="000E5B01"/>
    <w:rsid w:val="000E6B28"/>
    <w:rsid w:val="000E793F"/>
    <w:rsid w:val="000F03D2"/>
    <w:rsid w:val="000F0E91"/>
    <w:rsid w:val="000F0F64"/>
    <w:rsid w:val="000F1244"/>
    <w:rsid w:val="000F1E13"/>
    <w:rsid w:val="000F3BB9"/>
    <w:rsid w:val="000F4907"/>
    <w:rsid w:val="000F676E"/>
    <w:rsid w:val="000F67E6"/>
    <w:rsid w:val="00101243"/>
    <w:rsid w:val="001016FA"/>
    <w:rsid w:val="001022CF"/>
    <w:rsid w:val="00102C20"/>
    <w:rsid w:val="001036B4"/>
    <w:rsid w:val="001054F4"/>
    <w:rsid w:val="00105B7C"/>
    <w:rsid w:val="00106530"/>
    <w:rsid w:val="00110983"/>
    <w:rsid w:val="001129B2"/>
    <w:rsid w:val="001137C9"/>
    <w:rsid w:val="00117876"/>
    <w:rsid w:val="00120EC7"/>
    <w:rsid w:val="001213ED"/>
    <w:rsid w:val="00122456"/>
    <w:rsid w:val="001266E4"/>
    <w:rsid w:val="0013093C"/>
    <w:rsid w:val="00132BAE"/>
    <w:rsid w:val="0013308F"/>
    <w:rsid w:val="001332A4"/>
    <w:rsid w:val="00134A58"/>
    <w:rsid w:val="0013762A"/>
    <w:rsid w:val="00140D2E"/>
    <w:rsid w:val="001410F0"/>
    <w:rsid w:val="00141AF1"/>
    <w:rsid w:val="00141D35"/>
    <w:rsid w:val="00147FE6"/>
    <w:rsid w:val="001536F8"/>
    <w:rsid w:val="00154726"/>
    <w:rsid w:val="0015494D"/>
    <w:rsid w:val="0015697C"/>
    <w:rsid w:val="0015711A"/>
    <w:rsid w:val="0016054B"/>
    <w:rsid w:val="00160A73"/>
    <w:rsid w:val="001614F1"/>
    <w:rsid w:val="00161DB8"/>
    <w:rsid w:val="00161F29"/>
    <w:rsid w:val="0016254A"/>
    <w:rsid w:val="00162F93"/>
    <w:rsid w:val="00164707"/>
    <w:rsid w:val="00164D6F"/>
    <w:rsid w:val="001657B6"/>
    <w:rsid w:val="00165883"/>
    <w:rsid w:val="00165A59"/>
    <w:rsid w:val="00166CF6"/>
    <w:rsid w:val="00167DD4"/>
    <w:rsid w:val="00167F46"/>
    <w:rsid w:val="001700D4"/>
    <w:rsid w:val="00170AC9"/>
    <w:rsid w:val="00171B67"/>
    <w:rsid w:val="00172DF6"/>
    <w:rsid w:val="00173BB8"/>
    <w:rsid w:val="00173F5A"/>
    <w:rsid w:val="00181CE8"/>
    <w:rsid w:val="00183120"/>
    <w:rsid w:val="00184E68"/>
    <w:rsid w:val="00184F0D"/>
    <w:rsid w:val="00187407"/>
    <w:rsid w:val="00191CA2"/>
    <w:rsid w:val="001946D5"/>
    <w:rsid w:val="00194A48"/>
    <w:rsid w:val="00195849"/>
    <w:rsid w:val="001958F2"/>
    <w:rsid w:val="0019596A"/>
    <w:rsid w:val="00197C96"/>
    <w:rsid w:val="00197EB1"/>
    <w:rsid w:val="001A0627"/>
    <w:rsid w:val="001A386E"/>
    <w:rsid w:val="001B0136"/>
    <w:rsid w:val="001B015A"/>
    <w:rsid w:val="001B19CD"/>
    <w:rsid w:val="001B324D"/>
    <w:rsid w:val="001B4844"/>
    <w:rsid w:val="001B5425"/>
    <w:rsid w:val="001C2DBD"/>
    <w:rsid w:val="001C37A6"/>
    <w:rsid w:val="001C40CB"/>
    <w:rsid w:val="001C56C5"/>
    <w:rsid w:val="001D5D3F"/>
    <w:rsid w:val="001D6199"/>
    <w:rsid w:val="001D6B69"/>
    <w:rsid w:val="001D73D2"/>
    <w:rsid w:val="001D7848"/>
    <w:rsid w:val="001E0E4C"/>
    <w:rsid w:val="001E1359"/>
    <w:rsid w:val="001E13E0"/>
    <w:rsid w:val="001E6ECD"/>
    <w:rsid w:val="001E7305"/>
    <w:rsid w:val="001F1DE8"/>
    <w:rsid w:val="001F2246"/>
    <w:rsid w:val="001F27AF"/>
    <w:rsid w:val="001F34B4"/>
    <w:rsid w:val="001F608A"/>
    <w:rsid w:val="00203C18"/>
    <w:rsid w:val="0020592F"/>
    <w:rsid w:val="00205B1E"/>
    <w:rsid w:val="00206991"/>
    <w:rsid w:val="00207ACD"/>
    <w:rsid w:val="00210031"/>
    <w:rsid w:val="002109CA"/>
    <w:rsid w:val="002110ED"/>
    <w:rsid w:val="00213C63"/>
    <w:rsid w:val="002160F3"/>
    <w:rsid w:val="00216A50"/>
    <w:rsid w:val="00216E7F"/>
    <w:rsid w:val="002174C6"/>
    <w:rsid w:val="00220D98"/>
    <w:rsid w:val="00221430"/>
    <w:rsid w:val="002220E7"/>
    <w:rsid w:val="00222B84"/>
    <w:rsid w:val="00222B94"/>
    <w:rsid w:val="0022456C"/>
    <w:rsid w:val="00225F65"/>
    <w:rsid w:val="00230063"/>
    <w:rsid w:val="00234A7F"/>
    <w:rsid w:val="00234D94"/>
    <w:rsid w:val="00235BF6"/>
    <w:rsid w:val="00236BA3"/>
    <w:rsid w:val="00240357"/>
    <w:rsid w:val="002417D5"/>
    <w:rsid w:val="00241B86"/>
    <w:rsid w:val="00243356"/>
    <w:rsid w:val="002462EB"/>
    <w:rsid w:val="0025001B"/>
    <w:rsid w:val="002508EF"/>
    <w:rsid w:val="00253853"/>
    <w:rsid w:val="00253AA7"/>
    <w:rsid w:val="00253BD4"/>
    <w:rsid w:val="00253F8C"/>
    <w:rsid w:val="002557ED"/>
    <w:rsid w:val="00256227"/>
    <w:rsid w:val="0025630C"/>
    <w:rsid w:val="0026265A"/>
    <w:rsid w:val="00263792"/>
    <w:rsid w:val="00263C1B"/>
    <w:rsid w:val="00265D5D"/>
    <w:rsid w:val="002660EE"/>
    <w:rsid w:val="00276BD3"/>
    <w:rsid w:val="002776BC"/>
    <w:rsid w:val="0028068E"/>
    <w:rsid w:val="00281388"/>
    <w:rsid w:val="00282F24"/>
    <w:rsid w:val="00284ED4"/>
    <w:rsid w:val="00290ABB"/>
    <w:rsid w:val="0029267B"/>
    <w:rsid w:val="002927E2"/>
    <w:rsid w:val="00296A1B"/>
    <w:rsid w:val="00296EE7"/>
    <w:rsid w:val="002A1F3C"/>
    <w:rsid w:val="002A2660"/>
    <w:rsid w:val="002A4824"/>
    <w:rsid w:val="002A6265"/>
    <w:rsid w:val="002A644F"/>
    <w:rsid w:val="002A6FEE"/>
    <w:rsid w:val="002A746A"/>
    <w:rsid w:val="002B020B"/>
    <w:rsid w:val="002B266A"/>
    <w:rsid w:val="002B392A"/>
    <w:rsid w:val="002C0BB7"/>
    <w:rsid w:val="002C0CC6"/>
    <w:rsid w:val="002C28AE"/>
    <w:rsid w:val="002C38F2"/>
    <w:rsid w:val="002C4CC4"/>
    <w:rsid w:val="002C6861"/>
    <w:rsid w:val="002C6A8B"/>
    <w:rsid w:val="002D2301"/>
    <w:rsid w:val="002D25A7"/>
    <w:rsid w:val="002D37C4"/>
    <w:rsid w:val="002D435A"/>
    <w:rsid w:val="002D5A18"/>
    <w:rsid w:val="002D64C1"/>
    <w:rsid w:val="002E13F2"/>
    <w:rsid w:val="002E34F9"/>
    <w:rsid w:val="002E4B80"/>
    <w:rsid w:val="002E5528"/>
    <w:rsid w:val="002E73CB"/>
    <w:rsid w:val="002E7FE1"/>
    <w:rsid w:val="002F0021"/>
    <w:rsid w:val="002F1FD4"/>
    <w:rsid w:val="002F2417"/>
    <w:rsid w:val="002F7D8E"/>
    <w:rsid w:val="002F7DE2"/>
    <w:rsid w:val="00301B6F"/>
    <w:rsid w:val="003041CD"/>
    <w:rsid w:val="00304817"/>
    <w:rsid w:val="003059BE"/>
    <w:rsid w:val="0031243D"/>
    <w:rsid w:val="00312513"/>
    <w:rsid w:val="00314984"/>
    <w:rsid w:val="00314F88"/>
    <w:rsid w:val="00315DD2"/>
    <w:rsid w:val="00316D78"/>
    <w:rsid w:val="00316EF3"/>
    <w:rsid w:val="00320681"/>
    <w:rsid w:val="00321876"/>
    <w:rsid w:val="00321A60"/>
    <w:rsid w:val="00322310"/>
    <w:rsid w:val="0032408D"/>
    <w:rsid w:val="00324443"/>
    <w:rsid w:val="003305C6"/>
    <w:rsid w:val="003318BF"/>
    <w:rsid w:val="003353CA"/>
    <w:rsid w:val="003360DD"/>
    <w:rsid w:val="00336262"/>
    <w:rsid w:val="00336E7C"/>
    <w:rsid w:val="003405D4"/>
    <w:rsid w:val="00340D6A"/>
    <w:rsid w:val="0034204C"/>
    <w:rsid w:val="00344AFA"/>
    <w:rsid w:val="00344BBB"/>
    <w:rsid w:val="00344D97"/>
    <w:rsid w:val="0034600A"/>
    <w:rsid w:val="0034780B"/>
    <w:rsid w:val="00350468"/>
    <w:rsid w:val="00351FF2"/>
    <w:rsid w:val="00356E91"/>
    <w:rsid w:val="00357EB8"/>
    <w:rsid w:val="003628E9"/>
    <w:rsid w:val="00363333"/>
    <w:rsid w:val="00371F1F"/>
    <w:rsid w:val="00374FF4"/>
    <w:rsid w:val="00377273"/>
    <w:rsid w:val="003774E2"/>
    <w:rsid w:val="003825EB"/>
    <w:rsid w:val="00382882"/>
    <w:rsid w:val="00384EC4"/>
    <w:rsid w:val="00386572"/>
    <w:rsid w:val="00386B54"/>
    <w:rsid w:val="00386F06"/>
    <w:rsid w:val="00387E6B"/>
    <w:rsid w:val="00391F35"/>
    <w:rsid w:val="003921E8"/>
    <w:rsid w:val="003929CF"/>
    <w:rsid w:val="00393473"/>
    <w:rsid w:val="00395207"/>
    <w:rsid w:val="00397F16"/>
    <w:rsid w:val="003A1F3A"/>
    <w:rsid w:val="003A2C72"/>
    <w:rsid w:val="003A4B12"/>
    <w:rsid w:val="003A4F3E"/>
    <w:rsid w:val="003B3E60"/>
    <w:rsid w:val="003B4049"/>
    <w:rsid w:val="003B5EA1"/>
    <w:rsid w:val="003B6F11"/>
    <w:rsid w:val="003B7C95"/>
    <w:rsid w:val="003C1D93"/>
    <w:rsid w:val="003C3F3A"/>
    <w:rsid w:val="003C7359"/>
    <w:rsid w:val="003C7819"/>
    <w:rsid w:val="003D2453"/>
    <w:rsid w:val="003D361B"/>
    <w:rsid w:val="003D4876"/>
    <w:rsid w:val="003D5529"/>
    <w:rsid w:val="003D7DB4"/>
    <w:rsid w:val="003E07F5"/>
    <w:rsid w:val="003E0A1B"/>
    <w:rsid w:val="003E1C75"/>
    <w:rsid w:val="003E23B7"/>
    <w:rsid w:val="003E5556"/>
    <w:rsid w:val="003E6305"/>
    <w:rsid w:val="003E73B0"/>
    <w:rsid w:val="003F00FF"/>
    <w:rsid w:val="003F0524"/>
    <w:rsid w:val="003F1B40"/>
    <w:rsid w:val="003F26A9"/>
    <w:rsid w:val="003F6EC6"/>
    <w:rsid w:val="003F6FAD"/>
    <w:rsid w:val="00400BEF"/>
    <w:rsid w:val="00403B22"/>
    <w:rsid w:val="00403DBA"/>
    <w:rsid w:val="0040476D"/>
    <w:rsid w:val="00412978"/>
    <w:rsid w:val="00412B2C"/>
    <w:rsid w:val="00412F11"/>
    <w:rsid w:val="00415D2D"/>
    <w:rsid w:val="004162E1"/>
    <w:rsid w:val="004222A6"/>
    <w:rsid w:val="00433BAB"/>
    <w:rsid w:val="00433E86"/>
    <w:rsid w:val="004344EB"/>
    <w:rsid w:val="004356B5"/>
    <w:rsid w:val="00436ACE"/>
    <w:rsid w:val="00437249"/>
    <w:rsid w:val="00440B95"/>
    <w:rsid w:val="004414B1"/>
    <w:rsid w:val="00445093"/>
    <w:rsid w:val="0044690C"/>
    <w:rsid w:val="00450922"/>
    <w:rsid w:val="00451799"/>
    <w:rsid w:val="00451809"/>
    <w:rsid w:val="00454231"/>
    <w:rsid w:val="00456783"/>
    <w:rsid w:val="0046004A"/>
    <w:rsid w:val="00460729"/>
    <w:rsid w:val="00462C1D"/>
    <w:rsid w:val="004633DB"/>
    <w:rsid w:val="00463AB8"/>
    <w:rsid w:val="004655AA"/>
    <w:rsid w:val="004720B0"/>
    <w:rsid w:val="004720F0"/>
    <w:rsid w:val="00474971"/>
    <w:rsid w:val="004766B9"/>
    <w:rsid w:val="004801EF"/>
    <w:rsid w:val="004808BE"/>
    <w:rsid w:val="00480927"/>
    <w:rsid w:val="00482FC8"/>
    <w:rsid w:val="00484FA5"/>
    <w:rsid w:val="0048523F"/>
    <w:rsid w:val="00490162"/>
    <w:rsid w:val="0049090A"/>
    <w:rsid w:val="00490CA5"/>
    <w:rsid w:val="00491485"/>
    <w:rsid w:val="00492351"/>
    <w:rsid w:val="00494710"/>
    <w:rsid w:val="00494A17"/>
    <w:rsid w:val="004A3D70"/>
    <w:rsid w:val="004A5639"/>
    <w:rsid w:val="004B09C6"/>
    <w:rsid w:val="004B2F45"/>
    <w:rsid w:val="004B3FB6"/>
    <w:rsid w:val="004B43F6"/>
    <w:rsid w:val="004B459F"/>
    <w:rsid w:val="004B5E5A"/>
    <w:rsid w:val="004B6254"/>
    <w:rsid w:val="004B65CF"/>
    <w:rsid w:val="004C19F8"/>
    <w:rsid w:val="004C27BE"/>
    <w:rsid w:val="004C28AB"/>
    <w:rsid w:val="004C43AA"/>
    <w:rsid w:val="004C5556"/>
    <w:rsid w:val="004D11D3"/>
    <w:rsid w:val="004D1B3C"/>
    <w:rsid w:val="004D1D2E"/>
    <w:rsid w:val="004D276D"/>
    <w:rsid w:val="004D4553"/>
    <w:rsid w:val="004D59B1"/>
    <w:rsid w:val="004D771C"/>
    <w:rsid w:val="004D7FC7"/>
    <w:rsid w:val="004E0E53"/>
    <w:rsid w:val="004E21B0"/>
    <w:rsid w:val="004E2301"/>
    <w:rsid w:val="004E3589"/>
    <w:rsid w:val="004E3CDF"/>
    <w:rsid w:val="004E7EF2"/>
    <w:rsid w:val="004F2FF3"/>
    <w:rsid w:val="004F3453"/>
    <w:rsid w:val="004F4A6E"/>
    <w:rsid w:val="004F78C4"/>
    <w:rsid w:val="00500795"/>
    <w:rsid w:val="00507832"/>
    <w:rsid w:val="005109EE"/>
    <w:rsid w:val="00510A51"/>
    <w:rsid w:val="00514116"/>
    <w:rsid w:val="0052138C"/>
    <w:rsid w:val="0052284B"/>
    <w:rsid w:val="00522AD5"/>
    <w:rsid w:val="00526068"/>
    <w:rsid w:val="0053181E"/>
    <w:rsid w:val="005318FE"/>
    <w:rsid w:val="00533ED0"/>
    <w:rsid w:val="00534956"/>
    <w:rsid w:val="005375A5"/>
    <w:rsid w:val="00537E61"/>
    <w:rsid w:val="00540867"/>
    <w:rsid w:val="00540B7D"/>
    <w:rsid w:val="00541AF1"/>
    <w:rsid w:val="0054209C"/>
    <w:rsid w:val="005451E9"/>
    <w:rsid w:val="00550001"/>
    <w:rsid w:val="005503A5"/>
    <w:rsid w:val="0055089A"/>
    <w:rsid w:val="00553897"/>
    <w:rsid w:val="005542D0"/>
    <w:rsid w:val="00554FB5"/>
    <w:rsid w:val="00556576"/>
    <w:rsid w:val="0055759D"/>
    <w:rsid w:val="005624E4"/>
    <w:rsid w:val="00564793"/>
    <w:rsid w:val="0056596B"/>
    <w:rsid w:val="00566E1A"/>
    <w:rsid w:val="0057174B"/>
    <w:rsid w:val="00575675"/>
    <w:rsid w:val="00577331"/>
    <w:rsid w:val="005803B7"/>
    <w:rsid w:val="00582306"/>
    <w:rsid w:val="00583B7A"/>
    <w:rsid w:val="005853DA"/>
    <w:rsid w:val="00585C84"/>
    <w:rsid w:val="00586E59"/>
    <w:rsid w:val="00591C2F"/>
    <w:rsid w:val="005925D7"/>
    <w:rsid w:val="00592961"/>
    <w:rsid w:val="00594561"/>
    <w:rsid w:val="0059585A"/>
    <w:rsid w:val="005A3276"/>
    <w:rsid w:val="005A395C"/>
    <w:rsid w:val="005A4983"/>
    <w:rsid w:val="005A5DE1"/>
    <w:rsid w:val="005B03A1"/>
    <w:rsid w:val="005B2A27"/>
    <w:rsid w:val="005B2D8B"/>
    <w:rsid w:val="005B5B4F"/>
    <w:rsid w:val="005B7F22"/>
    <w:rsid w:val="005C00F8"/>
    <w:rsid w:val="005C0C2F"/>
    <w:rsid w:val="005D1B2F"/>
    <w:rsid w:val="005D1B78"/>
    <w:rsid w:val="005D488B"/>
    <w:rsid w:val="005D55D4"/>
    <w:rsid w:val="005E08E7"/>
    <w:rsid w:val="005E1251"/>
    <w:rsid w:val="005E214E"/>
    <w:rsid w:val="005E37BB"/>
    <w:rsid w:val="005E40BE"/>
    <w:rsid w:val="005E5093"/>
    <w:rsid w:val="005E5FAA"/>
    <w:rsid w:val="005E62B8"/>
    <w:rsid w:val="005F27D5"/>
    <w:rsid w:val="005F36C5"/>
    <w:rsid w:val="005F3BFB"/>
    <w:rsid w:val="0060236B"/>
    <w:rsid w:val="0060459E"/>
    <w:rsid w:val="00606599"/>
    <w:rsid w:val="00606EC6"/>
    <w:rsid w:val="00610D8A"/>
    <w:rsid w:val="0062294B"/>
    <w:rsid w:val="00624A4B"/>
    <w:rsid w:val="0063054D"/>
    <w:rsid w:val="0063196A"/>
    <w:rsid w:val="0063382A"/>
    <w:rsid w:val="00633F3A"/>
    <w:rsid w:val="00634183"/>
    <w:rsid w:val="00637416"/>
    <w:rsid w:val="00637654"/>
    <w:rsid w:val="0064123C"/>
    <w:rsid w:val="00642616"/>
    <w:rsid w:val="00642D5D"/>
    <w:rsid w:val="006463F5"/>
    <w:rsid w:val="0064646E"/>
    <w:rsid w:val="006465C9"/>
    <w:rsid w:val="00650708"/>
    <w:rsid w:val="00655D23"/>
    <w:rsid w:val="006563AE"/>
    <w:rsid w:val="00660E7C"/>
    <w:rsid w:val="0066615E"/>
    <w:rsid w:val="006662F7"/>
    <w:rsid w:val="006703A2"/>
    <w:rsid w:val="00672AA7"/>
    <w:rsid w:val="00675CE8"/>
    <w:rsid w:val="006778BD"/>
    <w:rsid w:val="00680AF1"/>
    <w:rsid w:val="00681E18"/>
    <w:rsid w:val="0068216A"/>
    <w:rsid w:val="00682825"/>
    <w:rsid w:val="00684134"/>
    <w:rsid w:val="00684714"/>
    <w:rsid w:val="006849BE"/>
    <w:rsid w:val="00684C0F"/>
    <w:rsid w:val="00686DE2"/>
    <w:rsid w:val="00686E4D"/>
    <w:rsid w:val="0068798B"/>
    <w:rsid w:val="00692CBD"/>
    <w:rsid w:val="0069363A"/>
    <w:rsid w:val="006946CC"/>
    <w:rsid w:val="00694CFB"/>
    <w:rsid w:val="00696D2C"/>
    <w:rsid w:val="006975A2"/>
    <w:rsid w:val="006A1755"/>
    <w:rsid w:val="006A2410"/>
    <w:rsid w:val="006A748D"/>
    <w:rsid w:val="006B0249"/>
    <w:rsid w:val="006B6FB2"/>
    <w:rsid w:val="006B7367"/>
    <w:rsid w:val="006B78EC"/>
    <w:rsid w:val="006C1BD0"/>
    <w:rsid w:val="006C20FC"/>
    <w:rsid w:val="006C3AEE"/>
    <w:rsid w:val="006C41FE"/>
    <w:rsid w:val="006C61A5"/>
    <w:rsid w:val="006C6989"/>
    <w:rsid w:val="006C74FD"/>
    <w:rsid w:val="006D05F4"/>
    <w:rsid w:val="006D23D0"/>
    <w:rsid w:val="006D3F76"/>
    <w:rsid w:val="006D4F71"/>
    <w:rsid w:val="006D5ECC"/>
    <w:rsid w:val="006D7211"/>
    <w:rsid w:val="006E1BB1"/>
    <w:rsid w:val="006E4557"/>
    <w:rsid w:val="006E4BFC"/>
    <w:rsid w:val="006E561A"/>
    <w:rsid w:val="006F0AE0"/>
    <w:rsid w:val="006F0EFC"/>
    <w:rsid w:val="006F444A"/>
    <w:rsid w:val="006F7BAD"/>
    <w:rsid w:val="00700090"/>
    <w:rsid w:val="00703BB6"/>
    <w:rsid w:val="0070483D"/>
    <w:rsid w:val="007048D0"/>
    <w:rsid w:val="007071DA"/>
    <w:rsid w:val="00710EC8"/>
    <w:rsid w:val="007119C9"/>
    <w:rsid w:val="00711F78"/>
    <w:rsid w:val="0071207D"/>
    <w:rsid w:val="00713D88"/>
    <w:rsid w:val="007148AA"/>
    <w:rsid w:val="00715817"/>
    <w:rsid w:val="00715EAF"/>
    <w:rsid w:val="00716B55"/>
    <w:rsid w:val="00717F47"/>
    <w:rsid w:val="007304E5"/>
    <w:rsid w:val="0073074C"/>
    <w:rsid w:val="007309C2"/>
    <w:rsid w:val="007314AB"/>
    <w:rsid w:val="00734543"/>
    <w:rsid w:val="00736883"/>
    <w:rsid w:val="00740E18"/>
    <w:rsid w:val="00741C41"/>
    <w:rsid w:val="0074292E"/>
    <w:rsid w:val="007450F2"/>
    <w:rsid w:val="00745EB7"/>
    <w:rsid w:val="00746A3F"/>
    <w:rsid w:val="00746CD4"/>
    <w:rsid w:val="00751A22"/>
    <w:rsid w:val="0075739B"/>
    <w:rsid w:val="007612A9"/>
    <w:rsid w:val="00762A01"/>
    <w:rsid w:val="00764112"/>
    <w:rsid w:val="00764EED"/>
    <w:rsid w:val="00765053"/>
    <w:rsid w:val="007650D0"/>
    <w:rsid w:val="00766327"/>
    <w:rsid w:val="007678D0"/>
    <w:rsid w:val="00771E66"/>
    <w:rsid w:val="00772B24"/>
    <w:rsid w:val="00773F6D"/>
    <w:rsid w:val="00775750"/>
    <w:rsid w:val="0078156F"/>
    <w:rsid w:val="00781ED3"/>
    <w:rsid w:val="00784645"/>
    <w:rsid w:val="00786EA1"/>
    <w:rsid w:val="007904AA"/>
    <w:rsid w:val="0079051E"/>
    <w:rsid w:val="0079151E"/>
    <w:rsid w:val="00792873"/>
    <w:rsid w:val="007967F2"/>
    <w:rsid w:val="007A60FE"/>
    <w:rsid w:val="007A6807"/>
    <w:rsid w:val="007A6B9D"/>
    <w:rsid w:val="007A6C86"/>
    <w:rsid w:val="007A6FCD"/>
    <w:rsid w:val="007B2271"/>
    <w:rsid w:val="007B2C81"/>
    <w:rsid w:val="007B471C"/>
    <w:rsid w:val="007B5E60"/>
    <w:rsid w:val="007C0561"/>
    <w:rsid w:val="007C0C1D"/>
    <w:rsid w:val="007C1638"/>
    <w:rsid w:val="007C1F8F"/>
    <w:rsid w:val="007C4647"/>
    <w:rsid w:val="007C6A77"/>
    <w:rsid w:val="007C7280"/>
    <w:rsid w:val="007C7948"/>
    <w:rsid w:val="007D0BA2"/>
    <w:rsid w:val="007D18F7"/>
    <w:rsid w:val="007D552C"/>
    <w:rsid w:val="007D5F78"/>
    <w:rsid w:val="007E0D1B"/>
    <w:rsid w:val="007E271F"/>
    <w:rsid w:val="007E537E"/>
    <w:rsid w:val="007E60D3"/>
    <w:rsid w:val="007F3D2B"/>
    <w:rsid w:val="007F680B"/>
    <w:rsid w:val="007F6B54"/>
    <w:rsid w:val="007F71C3"/>
    <w:rsid w:val="007F750B"/>
    <w:rsid w:val="00800EE5"/>
    <w:rsid w:val="00801E59"/>
    <w:rsid w:val="00806425"/>
    <w:rsid w:val="008125AB"/>
    <w:rsid w:val="008136CC"/>
    <w:rsid w:val="00813D3E"/>
    <w:rsid w:val="008157BA"/>
    <w:rsid w:val="00816A90"/>
    <w:rsid w:val="00816C70"/>
    <w:rsid w:val="0081706C"/>
    <w:rsid w:val="00822FAB"/>
    <w:rsid w:val="00823FBB"/>
    <w:rsid w:val="00825986"/>
    <w:rsid w:val="00825B64"/>
    <w:rsid w:val="00832CB0"/>
    <w:rsid w:val="00835334"/>
    <w:rsid w:val="00836168"/>
    <w:rsid w:val="008423DD"/>
    <w:rsid w:val="00843137"/>
    <w:rsid w:val="008444AE"/>
    <w:rsid w:val="0084467B"/>
    <w:rsid w:val="0084685A"/>
    <w:rsid w:val="008469F3"/>
    <w:rsid w:val="00846E15"/>
    <w:rsid w:val="0084709A"/>
    <w:rsid w:val="00853EA5"/>
    <w:rsid w:val="008560C7"/>
    <w:rsid w:val="00856969"/>
    <w:rsid w:val="008572F6"/>
    <w:rsid w:val="0086019E"/>
    <w:rsid w:val="008623AF"/>
    <w:rsid w:val="00864A0A"/>
    <w:rsid w:val="00864BD4"/>
    <w:rsid w:val="00864EED"/>
    <w:rsid w:val="008657BC"/>
    <w:rsid w:val="00865DA4"/>
    <w:rsid w:val="00866E1F"/>
    <w:rsid w:val="00866E9F"/>
    <w:rsid w:val="00866ED7"/>
    <w:rsid w:val="008671E8"/>
    <w:rsid w:val="00870E03"/>
    <w:rsid w:val="00871C15"/>
    <w:rsid w:val="00871F00"/>
    <w:rsid w:val="008730A3"/>
    <w:rsid w:val="00874827"/>
    <w:rsid w:val="008749E1"/>
    <w:rsid w:val="008812F4"/>
    <w:rsid w:val="0088520A"/>
    <w:rsid w:val="008862E6"/>
    <w:rsid w:val="00887ABE"/>
    <w:rsid w:val="00887AC0"/>
    <w:rsid w:val="008900F0"/>
    <w:rsid w:val="0089179D"/>
    <w:rsid w:val="0089296F"/>
    <w:rsid w:val="008952BA"/>
    <w:rsid w:val="00895F67"/>
    <w:rsid w:val="0089764F"/>
    <w:rsid w:val="008A089B"/>
    <w:rsid w:val="008A1124"/>
    <w:rsid w:val="008A25EF"/>
    <w:rsid w:val="008A2AC3"/>
    <w:rsid w:val="008A376A"/>
    <w:rsid w:val="008A3ECC"/>
    <w:rsid w:val="008A451E"/>
    <w:rsid w:val="008A7E25"/>
    <w:rsid w:val="008B0242"/>
    <w:rsid w:val="008B2B7B"/>
    <w:rsid w:val="008B3367"/>
    <w:rsid w:val="008B3BE6"/>
    <w:rsid w:val="008B5032"/>
    <w:rsid w:val="008B5CD7"/>
    <w:rsid w:val="008B6210"/>
    <w:rsid w:val="008B68A5"/>
    <w:rsid w:val="008B744E"/>
    <w:rsid w:val="008B7F19"/>
    <w:rsid w:val="008C15F5"/>
    <w:rsid w:val="008C1D38"/>
    <w:rsid w:val="008C6913"/>
    <w:rsid w:val="008D11AC"/>
    <w:rsid w:val="008D2214"/>
    <w:rsid w:val="008D4384"/>
    <w:rsid w:val="008D6127"/>
    <w:rsid w:val="008D7BF4"/>
    <w:rsid w:val="008E1A75"/>
    <w:rsid w:val="008E3E91"/>
    <w:rsid w:val="008E4DB8"/>
    <w:rsid w:val="008E52E4"/>
    <w:rsid w:val="008F0776"/>
    <w:rsid w:val="008F414C"/>
    <w:rsid w:val="008F67BA"/>
    <w:rsid w:val="008F690A"/>
    <w:rsid w:val="0090017F"/>
    <w:rsid w:val="00901C96"/>
    <w:rsid w:val="00906119"/>
    <w:rsid w:val="00907F07"/>
    <w:rsid w:val="00911A12"/>
    <w:rsid w:val="009124FB"/>
    <w:rsid w:val="009143C2"/>
    <w:rsid w:val="00914FFA"/>
    <w:rsid w:val="0091582A"/>
    <w:rsid w:val="00915AB0"/>
    <w:rsid w:val="00920F1F"/>
    <w:rsid w:val="009230C4"/>
    <w:rsid w:val="009301D7"/>
    <w:rsid w:val="00933C51"/>
    <w:rsid w:val="00934DA3"/>
    <w:rsid w:val="009354A1"/>
    <w:rsid w:val="009356ED"/>
    <w:rsid w:val="00936AA0"/>
    <w:rsid w:val="00937119"/>
    <w:rsid w:val="00937F59"/>
    <w:rsid w:val="00941EFC"/>
    <w:rsid w:val="0094704A"/>
    <w:rsid w:val="00951E47"/>
    <w:rsid w:val="009522C5"/>
    <w:rsid w:val="00955E35"/>
    <w:rsid w:val="00956439"/>
    <w:rsid w:val="00957F94"/>
    <w:rsid w:val="00960706"/>
    <w:rsid w:val="009609B8"/>
    <w:rsid w:val="00961DBB"/>
    <w:rsid w:val="009622B7"/>
    <w:rsid w:val="0096495C"/>
    <w:rsid w:val="009657E9"/>
    <w:rsid w:val="00965CFA"/>
    <w:rsid w:val="00972232"/>
    <w:rsid w:val="0097256F"/>
    <w:rsid w:val="00973647"/>
    <w:rsid w:val="0097474B"/>
    <w:rsid w:val="00975884"/>
    <w:rsid w:val="0098592C"/>
    <w:rsid w:val="009862A9"/>
    <w:rsid w:val="00990B04"/>
    <w:rsid w:val="00990FDB"/>
    <w:rsid w:val="00992CC8"/>
    <w:rsid w:val="00993C68"/>
    <w:rsid w:val="009972A7"/>
    <w:rsid w:val="009979D1"/>
    <w:rsid w:val="009A0938"/>
    <w:rsid w:val="009A1411"/>
    <w:rsid w:val="009A2B8A"/>
    <w:rsid w:val="009A309F"/>
    <w:rsid w:val="009A6DE2"/>
    <w:rsid w:val="009B041B"/>
    <w:rsid w:val="009B0450"/>
    <w:rsid w:val="009B08DE"/>
    <w:rsid w:val="009B52A8"/>
    <w:rsid w:val="009B7FF7"/>
    <w:rsid w:val="009C1121"/>
    <w:rsid w:val="009C2CE1"/>
    <w:rsid w:val="009C3163"/>
    <w:rsid w:val="009C41B0"/>
    <w:rsid w:val="009C4A80"/>
    <w:rsid w:val="009C67E6"/>
    <w:rsid w:val="009D0679"/>
    <w:rsid w:val="009D0943"/>
    <w:rsid w:val="009D0999"/>
    <w:rsid w:val="009D10D9"/>
    <w:rsid w:val="009D1A9B"/>
    <w:rsid w:val="009D2003"/>
    <w:rsid w:val="009E0679"/>
    <w:rsid w:val="009E300D"/>
    <w:rsid w:val="009E5A52"/>
    <w:rsid w:val="009E6624"/>
    <w:rsid w:val="009E7A9B"/>
    <w:rsid w:val="009F4632"/>
    <w:rsid w:val="009F5D1E"/>
    <w:rsid w:val="009F6B6D"/>
    <w:rsid w:val="00A066FB"/>
    <w:rsid w:val="00A10B7D"/>
    <w:rsid w:val="00A209C8"/>
    <w:rsid w:val="00A20B38"/>
    <w:rsid w:val="00A217F2"/>
    <w:rsid w:val="00A236B3"/>
    <w:rsid w:val="00A23D46"/>
    <w:rsid w:val="00A270FB"/>
    <w:rsid w:val="00A30008"/>
    <w:rsid w:val="00A301FD"/>
    <w:rsid w:val="00A304A7"/>
    <w:rsid w:val="00A3097B"/>
    <w:rsid w:val="00A31449"/>
    <w:rsid w:val="00A31C71"/>
    <w:rsid w:val="00A335A4"/>
    <w:rsid w:val="00A33E81"/>
    <w:rsid w:val="00A3407E"/>
    <w:rsid w:val="00A34566"/>
    <w:rsid w:val="00A35E33"/>
    <w:rsid w:val="00A36879"/>
    <w:rsid w:val="00A36E2E"/>
    <w:rsid w:val="00A45D94"/>
    <w:rsid w:val="00A46C0A"/>
    <w:rsid w:val="00A548E2"/>
    <w:rsid w:val="00A54DE3"/>
    <w:rsid w:val="00A54F5F"/>
    <w:rsid w:val="00A55621"/>
    <w:rsid w:val="00A55E00"/>
    <w:rsid w:val="00A560CE"/>
    <w:rsid w:val="00A61581"/>
    <w:rsid w:val="00A61AB7"/>
    <w:rsid w:val="00A64B7C"/>
    <w:rsid w:val="00A6642F"/>
    <w:rsid w:val="00A74501"/>
    <w:rsid w:val="00A74C94"/>
    <w:rsid w:val="00A758DF"/>
    <w:rsid w:val="00A75ECE"/>
    <w:rsid w:val="00A82B59"/>
    <w:rsid w:val="00A8324D"/>
    <w:rsid w:val="00A83496"/>
    <w:rsid w:val="00A83D6B"/>
    <w:rsid w:val="00A860A4"/>
    <w:rsid w:val="00A90A96"/>
    <w:rsid w:val="00A9294E"/>
    <w:rsid w:val="00A929DC"/>
    <w:rsid w:val="00A94B03"/>
    <w:rsid w:val="00A9658C"/>
    <w:rsid w:val="00AA0AFA"/>
    <w:rsid w:val="00AA1B0E"/>
    <w:rsid w:val="00AA1C76"/>
    <w:rsid w:val="00AA2852"/>
    <w:rsid w:val="00AA4B96"/>
    <w:rsid w:val="00AB107D"/>
    <w:rsid w:val="00AB170B"/>
    <w:rsid w:val="00AB1F84"/>
    <w:rsid w:val="00AB2B3A"/>
    <w:rsid w:val="00AB4E62"/>
    <w:rsid w:val="00AB4F7A"/>
    <w:rsid w:val="00AB54C6"/>
    <w:rsid w:val="00AB5AC5"/>
    <w:rsid w:val="00AB5C06"/>
    <w:rsid w:val="00AB6488"/>
    <w:rsid w:val="00AB6E55"/>
    <w:rsid w:val="00AC116F"/>
    <w:rsid w:val="00AC2E78"/>
    <w:rsid w:val="00AC41FF"/>
    <w:rsid w:val="00AC66CB"/>
    <w:rsid w:val="00AC6CA4"/>
    <w:rsid w:val="00AD0D2C"/>
    <w:rsid w:val="00AD1FAC"/>
    <w:rsid w:val="00AD468D"/>
    <w:rsid w:val="00AD5964"/>
    <w:rsid w:val="00AD7134"/>
    <w:rsid w:val="00AE0C5D"/>
    <w:rsid w:val="00AE1B26"/>
    <w:rsid w:val="00AE442A"/>
    <w:rsid w:val="00AF0FCC"/>
    <w:rsid w:val="00AF1ED4"/>
    <w:rsid w:val="00AF21D4"/>
    <w:rsid w:val="00AF592B"/>
    <w:rsid w:val="00B00552"/>
    <w:rsid w:val="00B046BD"/>
    <w:rsid w:val="00B0494A"/>
    <w:rsid w:val="00B04CAF"/>
    <w:rsid w:val="00B05664"/>
    <w:rsid w:val="00B07BAE"/>
    <w:rsid w:val="00B11E33"/>
    <w:rsid w:val="00B12983"/>
    <w:rsid w:val="00B13937"/>
    <w:rsid w:val="00B1586F"/>
    <w:rsid w:val="00B1588A"/>
    <w:rsid w:val="00B1604F"/>
    <w:rsid w:val="00B16E09"/>
    <w:rsid w:val="00B20393"/>
    <w:rsid w:val="00B232E6"/>
    <w:rsid w:val="00B23543"/>
    <w:rsid w:val="00B24BFC"/>
    <w:rsid w:val="00B25645"/>
    <w:rsid w:val="00B32EFD"/>
    <w:rsid w:val="00B33EDE"/>
    <w:rsid w:val="00B35686"/>
    <w:rsid w:val="00B357BF"/>
    <w:rsid w:val="00B361E9"/>
    <w:rsid w:val="00B36495"/>
    <w:rsid w:val="00B36C15"/>
    <w:rsid w:val="00B3796D"/>
    <w:rsid w:val="00B40024"/>
    <w:rsid w:val="00B40722"/>
    <w:rsid w:val="00B41110"/>
    <w:rsid w:val="00B46B5A"/>
    <w:rsid w:val="00B47D2A"/>
    <w:rsid w:val="00B519ED"/>
    <w:rsid w:val="00B51ABE"/>
    <w:rsid w:val="00B521C4"/>
    <w:rsid w:val="00B523BA"/>
    <w:rsid w:val="00B5397E"/>
    <w:rsid w:val="00B5797F"/>
    <w:rsid w:val="00B63A3E"/>
    <w:rsid w:val="00B63AB9"/>
    <w:rsid w:val="00B65E69"/>
    <w:rsid w:val="00B662EB"/>
    <w:rsid w:val="00B66501"/>
    <w:rsid w:val="00B67730"/>
    <w:rsid w:val="00B71B1E"/>
    <w:rsid w:val="00B73E97"/>
    <w:rsid w:val="00B74D82"/>
    <w:rsid w:val="00B7567E"/>
    <w:rsid w:val="00B77767"/>
    <w:rsid w:val="00B77BB4"/>
    <w:rsid w:val="00B80D22"/>
    <w:rsid w:val="00B8152D"/>
    <w:rsid w:val="00B83105"/>
    <w:rsid w:val="00B83774"/>
    <w:rsid w:val="00B83F67"/>
    <w:rsid w:val="00B91119"/>
    <w:rsid w:val="00B93AC6"/>
    <w:rsid w:val="00B96701"/>
    <w:rsid w:val="00BA3F27"/>
    <w:rsid w:val="00BA3F69"/>
    <w:rsid w:val="00BA76DE"/>
    <w:rsid w:val="00BB0491"/>
    <w:rsid w:val="00BB0AA9"/>
    <w:rsid w:val="00BB0E52"/>
    <w:rsid w:val="00BB263B"/>
    <w:rsid w:val="00BB5965"/>
    <w:rsid w:val="00BB5AE1"/>
    <w:rsid w:val="00BB78C5"/>
    <w:rsid w:val="00BC0015"/>
    <w:rsid w:val="00BC3682"/>
    <w:rsid w:val="00BC73C9"/>
    <w:rsid w:val="00BD18E6"/>
    <w:rsid w:val="00BD1E38"/>
    <w:rsid w:val="00BD3268"/>
    <w:rsid w:val="00BD3428"/>
    <w:rsid w:val="00BD3468"/>
    <w:rsid w:val="00BD5686"/>
    <w:rsid w:val="00BE0013"/>
    <w:rsid w:val="00BE1FC7"/>
    <w:rsid w:val="00BE514A"/>
    <w:rsid w:val="00BE5C60"/>
    <w:rsid w:val="00BF0E69"/>
    <w:rsid w:val="00BF2D43"/>
    <w:rsid w:val="00BF6E0A"/>
    <w:rsid w:val="00BF6F03"/>
    <w:rsid w:val="00BF70FF"/>
    <w:rsid w:val="00BF792D"/>
    <w:rsid w:val="00BF7FC9"/>
    <w:rsid w:val="00C01FA0"/>
    <w:rsid w:val="00C0254C"/>
    <w:rsid w:val="00C04287"/>
    <w:rsid w:val="00C077FF"/>
    <w:rsid w:val="00C10922"/>
    <w:rsid w:val="00C117BD"/>
    <w:rsid w:val="00C13FCA"/>
    <w:rsid w:val="00C165B2"/>
    <w:rsid w:val="00C16857"/>
    <w:rsid w:val="00C207D0"/>
    <w:rsid w:val="00C20B58"/>
    <w:rsid w:val="00C20C30"/>
    <w:rsid w:val="00C21182"/>
    <w:rsid w:val="00C22572"/>
    <w:rsid w:val="00C225EC"/>
    <w:rsid w:val="00C231D6"/>
    <w:rsid w:val="00C30150"/>
    <w:rsid w:val="00C31F5C"/>
    <w:rsid w:val="00C32CCB"/>
    <w:rsid w:val="00C3354A"/>
    <w:rsid w:val="00C34134"/>
    <w:rsid w:val="00C463EF"/>
    <w:rsid w:val="00C46859"/>
    <w:rsid w:val="00C46A12"/>
    <w:rsid w:val="00C527BC"/>
    <w:rsid w:val="00C531F6"/>
    <w:rsid w:val="00C53EDA"/>
    <w:rsid w:val="00C545DC"/>
    <w:rsid w:val="00C546F1"/>
    <w:rsid w:val="00C55B69"/>
    <w:rsid w:val="00C6142D"/>
    <w:rsid w:val="00C622D4"/>
    <w:rsid w:val="00C628E9"/>
    <w:rsid w:val="00C65467"/>
    <w:rsid w:val="00C67391"/>
    <w:rsid w:val="00C67ECB"/>
    <w:rsid w:val="00C70081"/>
    <w:rsid w:val="00C71B23"/>
    <w:rsid w:val="00C7282D"/>
    <w:rsid w:val="00C74EA7"/>
    <w:rsid w:val="00C77C9E"/>
    <w:rsid w:val="00C818E7"/>
    <w:rsid w:val="00C832C2"/>
    <w:rsid w:val="00C83CFF"/>
    <w:rsid w:val="00C8479A"/>
    <w:rsid w:val="00C85C50"/>
    <w:rsid w:val="00C85F91"/>
    <w:rsid w:val="00C908EA"/>
    <w:rsid w:val="00C92865"/>
    <w:rsid w:val="00C93BEE"/>
    <w:rsid w:val="00C95021"/>
    <w:rsid w:val="00C95803"/>
    <w:rsid w:val="00C959FF"/>
    <w:rsid w:val="00C95B2C"/>
    <w:rsid w:val="00C9693E"/>
    <w:rsid w:val="00CA409A"/>
    <w:rsid w:val="00CA6503"/>
    <w:rsid w:val="00CA6587"/>
    <w:rsid w:val="00CB013D"/>
    <w:rsid w:val="00CB10B0"/>
    <w:rsid w:val="00CB35C1"/>
    <w:rsid w:val="00CB39C4"/>
    <w:rsid w:val="00CB4069"/>
    <w:rsid w:val="00CB4789"/>
    <w:rsid w:val="00CB56DC"/>
    <w:rsid w:val="00CC02EF"/>
    <w:rsid w:val="00CC2AA4"/>
    <w:rsid w:val="00CC3E7E"/>
    <w:rsid w:val="00CC409C"/>
    <w:rsid w:val="00CC497C"/>
    <w:rsid w:val="00CC6D75"/>
    <w:rsid w:val="00CD29FB"/>
    <w:rsid w:val="00CD308B"/>
    <w:rsid w:val="00CD5395"/>
    <w:rsid w:val="00CD5E7C"/>
    <w:rsid w:val="00CD7DEC"/>
    <w:rsid w:val="00CE3F5C"/>
    <w:rsid w:val="00CE5198"/>
    <w:rsid w:val="00CE5771"/>
    <w:rsid w:val="00CF24AB"/>
    <w:rsid w:val="00CF2F63"/>
    <w:rsid w:val="00CF369E"/>
    <w:rsid w:val="00CF3A5A"/>
    <w:rsid w:val="00CF3D15"/>
    <w:rsid w:val="00CF4D25"/>
    <w:rsid w:val="00CF4F41"/>
    <w:rsid w:val="00D003AA"/>
    <w:rsid w:val="00D00A34"/>
    <w:rsid w:val="00D00BDC"/>
    <w:rsid w:val="00D01C50"/>
    <w:rsid w:val="00D02594"/>
    <w:rsid w:val="00D030CF"/>
    <w:rsid w:val="00D036FA"/>
    <w:rsid w:val="00D03743"/>
    <w:rsid w:val="00D04413"/>
    <w:rsid w:val="00D07985"/>
    <w:rsid w:val="00D12641"/>
    <w:rsid w:val="00D12D99"/>
    <w:rsid w:val="00D1329E"/>
    <w:rsid w:val="00D20CC0"/>
    <w:rsid w:val="00D213D3"/>
    <w:rsid w:val="00D23795"/>
    <w:rsid w:val="00D247F7"/>
    <w:rsid w:val="00D24C12"/>
    <w:rsid w:val="00D264B3"/>
    <w:rsid w:val="00D27A21"/>
    <w:rsid w:val="00D31535"/>
    <w:rsid w:val="00D32FB5"/>
    <w:rsid w:val="00D334D9"/>
    <w:rsid w:val="00D343CE"/>
    <w:rsid w:val="00D3492A"/>
    <w:rsid w:val="00D34983"/>
    <w:rsid w:val="00D356FA"/>
    <w:rsid w:val="00D36297"/>
    <w:rsid w:val="00D405DF"/>
    <w:rsid w:val="00D458D2"/>
    <w:rsid w:val="00D4615A"/>
    <w:rsid w:val="00D46E0B"/>
    <w:rsid w:val="00D46EC5"/>
    <w:rsid w:val="00D5094E"/>
    <w:rsid w:val="00D511CC"/>
    <w:rsid w:val="00D5191B"/>
    <w:rsid w:val="00D52D2E"/>
    <w:rsid w:val="00D53738"/>
    <w:rsid w:val="00D53CD8"/>
    <w:rsid w:val="00D57AC3"/>
    <w:rsid w:val="00D610EE"/>
    <w:rsid w:val="00D63950"/>
    <w:rsid w:val="00D639BC"/>
    <w:rsid w:val="00D65BBB"/>
    <w:rsid w:val="00D66BBA"/>
    <w:rsid w:val="00D716FE"/>
    <w:rsid w:val="00D737F3"/>
    <w:rsid w:val="00D7421B"/>
    <w:rsid w:val="00D756C6"/>
    <w:rsid w:val="00D76C98"/>
    <w:rsid w:val="00D76E7F"/>
    <w:rsid w:val="00D777AF"/>
    <w:rsid w:val="00D8171A"/>
    <w:rsid w:val="00D834F1"/>
    <w:rsid w:val="00D8362E"/>
    <w:rsid w:val="00D86824"/>
    <w:rsid w:val="00D86F82"/>
    <w:rsid w:val="00D904C3"/>
    <w:rsid w:val="00D90832"/>
    <w:rsid w:val="00D90D01"/>
    <w:rsid w:val="00D91285"/>
    <w:rsid w:val="00D92098"/>
    <w:rsid w:val="00D92CE1"/>
    <w:rsid w:val="00D92F49"/>
    <w:rsid w:val="00D936BA"/>
    <w:rsid w:val="00D9536C"/>
    <w:rsid w:val="00D95F32"/>
    <w:rsid w:val="00D96718"/>
    <w:rsid w:val="00DA1EDB"/>
    <w:rsid w:val="00DA2A28"/>
    <w:rsid w:val="00DA32C5"/>
    <w:rsid w:val="00DA345E"/>
    <w:rsid w:val="00DA3880"/>
    <w:rsid w:val="00DA5135"/>
    <w:rsid w:val="00DA5501"/>
    <w:rsid w:val="00DA5680"/>
    <w:rsid w:val="00DA57DB"/>
    <w:rsid w:val="00DA6C9A"/>
    <w:rsid w:val="00DB1EEC"/>
    <w:rsid w:val="00DB21CC"/>
    <w:rsid w:val="00DB779F"/>
    <w:rsid w:val="00DB7903"/>
    <w:rsid w:val="00DC164F"/>
    <w:rsid w:val="00DC34BC"/>
    <w:rsid w:val="00DC35F9"/>
    <w:rsid w:val="00DC3F67"/>
    <w:rsid w:val="00DC792A"/>
    <w:rsid w:val="00DC7944"/>
    <w:rsid w:val="00DC7CDC"/>
    <w:rsid w:val="00DD2311"/>
    <w:rsid w:val="00DD239F"/>
    <w:rsid w:val="00DD248B"/>
    <w:rsid w:val="00DD3129"/>
    <w:rsid w:val="00DD5B3B"/>
    <w:rsid w:val="00DD5C90"/>
    <w:rsid w:val="00DD6064"/>
    <w:rsid w:val="00DD6CE9"/>
    <w:rsid w:val="00DE09FF"/>
    <w:rsid w:val="00DE41C2"/>
    <w:rsid w:val="00DE441A"/>
    <w:rsid w:val="00DF34D4"/>
    <w:rsid w:val="00DF7AE8"/>
    <w:rsid w:val="00E02503"/>
    <w:rsid w:val="00E02990"/>
    <w:rsid w:val="00E02FEB"/>
    <w:rsid w:val="00E03705"/>
    <w:rsid w:val="00E06DE0"/>
    <w:rsid w:val="00E07180"/>
    <w:rsid w:val="00E117E6"/>
    <w:rsid w:val="00E13D80"/>
    <w:rsid w:val="00E1647A"/>
    <w:rsid w:val="00E165C6"/>
    <w:rsid w:val="00E16B35"/>
    <w:rsid w:val="00E2480D"/>
    <w:rsid w:val="00E26F05"/>
    <w:rsid w:val="00E26FD9"/>
    <w:rsid w:val="00E27CB6"/>
    <w:rsid w:val="00E30862"/>
    <w:rsid w:val="00E324F9"/>
    <w:rsid w:val="00E33B5E"/>
    <w:rsid w:val="00E34075"/>
    <w:rsid w:val="00E34A70"/>
    <w:rsid w:val="00E35EC1"/>
    <w:rsid w:val="00E37513"/>
    <w:rsid w:val="00E3756B"/>
    <w:rsid w:val="00E43E17"/>
    <w:rsid w:val="00E5317A"/>
    <w:rsid w:val="00E533BE"/>
    <w:rsid w:val="00E54BAB"/>
    <w:rsid w:val="00E553BF"/>
    <w:rsid w:val="00E55ED4"/>
    <w:rsid w:val="00E578FF"/>
    <w:rsid w:val="00E638F4"/>
    <w:rsid w:val="00E63CC3"/>
    <w:rsid w:val="00E6497F"/>
    <w:rsid w:val="00E65273"/>
    <w:rsid w:val="00E65DB4"/>
    <w:rsid w:val="00E73D78"/>
    <w:rsid w:val="00E74D8A"/>
    <w:rsid w:val="00E75462"/>
    <w:rsid w:val="00E77411"/>
    <w:rsid w:val="00E80A79"/>
    <w:rsid w:val="00E843E2"/>
    <w:rsid w:val="00E84719"/>
    <w:rsid w:val="00E84D63"/>
    <w:rsid w:val="00E84E4B"/>
    <w:rsid w:val="00E8610F"/>
    <w:rsid w:val="00E86B02"/>
    <w:rsid w:val="00E90409"/>
    <w:rsid w:val="00E910ED"/>
    <w:rsid w:val="00E924AB"/>
    <w:rsid w:val="00E93E46"/>
    <w:rsid w:val="00E94AAD"/>
    <w:rsid w:val="00E9600E"/>
    <w:rsid w:val="00EA0401"/>
    <w:rsid w:val="00EA0561"/>
    <w:rsid w:val="00EA0890"/>
    <w:rsid w:val="00EA0A8C"/>
    <w:rsid w:val="00EA1012"/>
    <w:rsid w:val="00EA2D6D"/>
    <w:rsid w:val="00EA3191"/>
    <w:rsid w:val="00EA45EB"/>
    <w:rsid w:val="00EA51F7"/>
    <w:rsid w:val="00EA64F3"/>
    <w:rsid w:val="00EA69D1"/>
    <w:rsid w:val="00EA7132"/>
    <w:rsid w:val="00EB177A"/>
    <w:rsid w:val="00EB2828"/>
    <w:rsid w:val="00EB42A3"/>
    <w:rsid w:val="00EC2490"/>
    <w:rsid w:val="00ED0409"/>
    <w:rsid w:val="00ED2994"/>
    <w:rsid w:val="00ED3FF0"/>
    <w:rsid w:val="00ED4E14"/>
    <w:rsid w:val="00EE002C"/>
    <w:rsid w:val="00EE23A5"/>
    <w:rsid w:val="00EE5EE5"/>
    <w:rsid w:val="00EE6F48"/>
    <w:rsid w:val="00EE771A"/>
    <w:rsid w:val="00EF16CB"/>
    <w:rsid w:val="00EF6C0D"/>
    <w:rsid w:val="00EF6EB3"/>
    <w:rsid w:val="00F011DA"/>
    <w:rsid w:val="00F015F6"/>
    <w:rsid w:val="00F02FD7"/>
    <w:rsid w:val="00F03711"/>
    <w:rsid w:val="00F05132"/>
    <w:rsid w:val="00F051F1"/>
    <w:rsid w:val="00F06291"/>
    <w:rsid w:val="00F06F36"/>
    <w:rsid w:val="00F10AEA"/>
    <w:rsid w:val="00F134D0"/>
    <w:rsid w:val="00F143A4"/>
    <w:rsid w:val="00F149A8"/>
    <w:rsid w:val="00F14F9B"/>
    <w:rsid w:val="00F15252"/>
    <w:rsid w:val="00F155D5"/>
    <w:rsid w:val="00F15C3D"/>
    <w:rsid w:val="00F20FB3"/>
    <w:rsid w:val="00F22C88"/>
    <w:rsid w:val="00F22F9F"/>
    <w:rsid w:val="00F25A66"/>
    <w:rsid w:val="00F26F26"/>
    <w:rsid w:val="00F3249F"/>
    <w:rsid w:val="00F32802"/>
    <w:rsid w:val="00F33F6F"/>
    <w:rsid w:val="00F354E1"/>
    <w:rsid w:val="00F3550D"/>
    <w:rsid w:val="00F366BC"/>
    <w:rsid w:val="00F37441"/>
    <w:rsid w:val="00F41578"/>
    <w:rsid w:val="00F419FC"/>
    <w:rsid w:val="00F43F16"/>
    <w:rsid w:val="00F44A7B"/>
    <w:rsid w:val="00F47A1D"/>
    <w:rsid w:val="00F53C70"/>
    <w:rsid w:val="00F641B6"/>
    <w:rsid w:val="00F66C2B"/>
    <w:rsid w:val="00F67C90"/>
    <w:rsid w:val="00F72145"/>
    <w:rsid w:val="00F72627"/>
    <w:rsid w:val="00F7382E"/>
    <w:rsid w:val="00F74A8C"/>
    <w:rsid w:val="00F74CFC"/>
    <w:rsid w:val="00F83933"/>
    <w:rsid w:val="00F91E15"/>
    <w:rsid w:val="00F94624"/>
    <w:rsid w:val="00F9518F"/>
    <w:rsid w:val="00F97270"/>
    <w:rsid w:val="00FA1D33"/>
    <w:rsid w:val="00FA1EA2"/>
    <w:rsid w:val="00FA2D7C"/>
    <w:rsid w:val="00FA3E97"/>
    <w:rsid w:val="00FA5579"/>
    <w:rsid w:val="00FA5D8A"/>
    <w:rsid w:val="00FA660C"/>
    <w:rsid w:val="00FB04D8"/>
    <w:rsid w:val="00FB11D7"/>
    <w:rsid w:val="00FB2510"/>
    <w:rsid w:val="00FB4C6F"/>
    <w:rsid w:val="00FB5B1C"/>
    <w:rsid w:val="00FB5E56"/>
    <w:rsid w:val="00FC152B"/>
    <w:rsid w:val="00FC24D9"/>
    <w:rsid w:val="00FC3C51"/>
    <w:rsid w:val="00FC421D"/>
    <w:rsid w:val="00FC6DDF"/>
    <w:rsid w:val="00FD02A4"/>
    <w:rsid w:val="00FD1C5D"/>
    <w:rsid w:val="00FD1D07"/>
    <w:rsid w:val="00FD269E"/>
    <w:rsid w:val="00FD5E2B"/>
    <w:rsid w:val="00FD6155"/>
    <w:rsid w:val="00FD6AA5"/>
    <w:rsid w:val="00FE1EEA"/>
    <w:rsid w:val="00FE37B2"/>
    <w:rsid w:val="00FE388B"/>
    <w:rsid w:val="00FE50B4"/>
    <w:rsid w:val="00FF2203"/>
    <w:rsid w:val="00FF6185"/>
    <w:rsid w:val="00FF74CE"/>
    <w:rsid w:val="0C2AA2A2"/>
    <w:rsid w:val="1006D358"/>
    <w:rsid w:val="1621AE42"/>
    <w:rsid w:val="1C4F43AE"/>
    <w:rsid w:val="22737BF6"/>
    <w:rsid w:val="2394A78C"/>
    <w:rsid w:val="25186DB1"/>
    <w:rsid w:val="29562FA8"/>
    <w:rsid w:val="2DC6E0E1"/>
    <w:rsid w:val="33315166"/>
    <w:rsid w:val="38C9AB20"/>
    <w:rsid w:val="39237850"/>
    <w:rsid w:val="3EBC9DA9"/>
    <w:rsid w:val="452E4967"/>
    <w:rsid w:val="45603FF5"/>
    <w:rsid w:val="460B17AA"/>
    <w:rsid w:val="494096A9"/>
    <w:rsid w:val="4ACFA204"/>
    <w:rsid w:val="4B0B6CAC"/>
    <w:rsid w:val="524C1DD4"/>
    <w:rsid w:val="58AA50D5"/>
    <w:rsid w:val="5FAB3E34"/>
    <w:rsid w:val="625BEE0C"/>
    <w:rsid w:val="66277C14"/>
    <w:rsid w:val="666F754B"/>
    <w:rsid w:val="6E352A0D"/>
    <w:rsid w:val="7B155C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832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6ECD"/>
    <w:rPr>
      <w:kern w:val="0"/>
      <w14:ligatures w14:val="none"/>
    </w:rPr>
  </w:style>
  <w:style w:type="paragraph" w:styleId="Nagwek1">
    <w:name w:val="heading 1"/>
    <w:basedOn w:val="Normalny"/>
    <w:next w:val="Normalny"/>
    <w:link w:val="Nagwek1Znak"/>
    <w:uiPriority w:val="9"/>
    <w:qFormat/>
    <w:rsid w:val="00CD7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D7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D7DE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D7DE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D7DE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D7DE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D7DE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D7DE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D7DE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D7DE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D7DE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D7DE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D7DE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D7DE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D7DE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D7DE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D7DE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D7DEC"/>
    <w:rPr>
      <w:rFonts w:eastAsiaTheme="majorEastAsia" w:cstheme="majorBidi"/>
      <w:color w:val="272727" w:themeColor="text1" w:themeTint="D8"/>
    </w:rPr>
  </w:style>
  <w:style w:type="paragraph" w:styleId="Tytu">
    <w:name w:val="Title"/>
    <w:basedOn w:val="Normalny"/>
    <w:next w:val="Normalny"/>
    <w:link w:val="TytuZnak"/>
    <w:uiPriority w:val="10"/>
    <w:qFormat/>
    <w:rsid w:val="00CD7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D7DE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D7DE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D7DE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D7DEC"/>
    <w:pPr>
      <w:spacing w:before="160"/>
      <w:jc w:val="center"/>
    </w:pPr>
    <w:rPr>
      <w:i/>
      <w:iCs/>
      <w:color w:val="404040" w:themeColor="text1" w:themeTint="BF"/>
    </w:rPr>
  </w:style>
  <w:style w:type="character" w:customStyle="1" w:styleId="CytatZnak">
    <w:name w:val="Cytat Znak"/>
    <w:basedOn w:val="Domylnaczcionkaakapitu"/>
    <w:link w:val="Cytat"/>
    <w:uiPriority w:val="29"/>
    <w:rsid w:val="00CD7DEC"/>
    <w:rPr>
      <w:i/>
      <w:iCs/>
      <w:color w:val="404040" w:themeColor="text1" w:themeTint="BF"/>
    </w:rPr>
  </w:style>
  <w:style w:type="paragraph" w:styleId="Akapitzlist">
    <w:name w:val="List Paragraph"/>
    <w:basedOn w:val="Normalny"/>
    <w:uiPriority w:val="34"/>
    <w:qFormat/>
    <w:rsid w:val="00CD7DEC"/>
    <w:pPr>
      <w:ind w:left="720"/>
      <w:contextualSpacing/>
    </w:pPr>
  </w:style>
  <w:style w:type="character" w:styleId="Wyrnienieintensywne">
    <w:name w:val="Intense Emphasis"/>
    <w:basedOn w:val="Domylnaczcionkaakapitu"/>
    <w:uiPriority w:val="21"/>
    <w:qFormat/>
    <w:rsid w:val="00CD7DEC"/>
    <w:rPr>
      <w:i/>
      <w:iCs/>
      <w:color w:val="0F4761" w:themeColor="accent1" w:themeShade="BF"/>
    </w:rPr>
  </w:style>
  <w:style w:type="paragraph" w:styleId="Cytatintensywny">
    <w:name w:val="Intense Quote"/>
    <w:basedOn w:val="Normalny"/>
    <w:next w:val="Normalny"/>
    <w:link w:val="CytatintensywnyZnak"/>
    <w:uiPriority w:val="30"/>
    <w:qFormat/>
    <w:rsid w:val="00CD7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D7DEC"/>
    <w:rPr>
      <w:i/>
      <w:iCs/>
      <w:color w:val="0F4761" w:themeColor="accent1" w:themeShade="BF"/>
    </w:rPr>
  </w:style>
  <w:style w:type="character" w:styleId="Odwoanieintensywne">
    <w:name w:val="Intense Reference"/>
    <w:basedOn w:val="Domylnaczcionkaakapitu"/>
    <w:uiPriority w:val="32"/>
    <w:qFormat/>
    <w:rsid w:val="00CD7DEC"/>
    <w:rPr>
      <w:b/>
      <w:bCs/>
      <w:smallCaps/>
      <w:color w:val="0F4761" w:themeColor="accent1" w:themeShade="BF"/>
      <w:spacing w:val="5"/>
    </w:rPr>
  </w:style>
  <w:style w:type="paragraph" w:customStyle="1" w:styleId="p3">
    <w:name w:val="p3"/>
    <w:basedOn w:val="Normalny"/>
    <w:rsid w:val="00CD7DE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1">
    <w:name w:val="s1"/>
    <w:basedOn w:val="Domylnaczcionkaakapitu"/>
    <w:rsid w:val="00CD7DEC"/>
  </w:style>
  <w:style w:type="paragraph" w:customStyle="1" w:styleId="Default">
    <w:name w:val="Default"/>
    <w:rsid w:val="00CD7DE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ODNONIKtreodnonika">
    <w:name w:val="ODNOŚNIK – treść odnośnika"/>
    <w:uiPriority w:val="19"/>
    <w:qFormat/>
    <w:rsid w:val="00CD7DEC"/>
    <w:pPr>
      <w:spacing w:after="0" w:line="240" w:lineRule="auto"/>
      <w:ind w:left="284" w:hanging="284"/>
      <w:jc w:val="both"/>
    </w:pPr>
    <w:rPr>
      <w:rFonts w:ascii="Times New Roman" w:eastAsiaTheme="minorEastAsia" w:hAnsi="Times New Roman" w:cs="Arial"/>
      <w:kern w:val="0"/>
      <w:sz w:val="20"/>
      <w:szCs w:val="20"/>
      <w:lang w:eastAsia="pl-PL"/>
      <w14:ligatures w14:val="none"/>
    </w:rPr>
  </w:style>
  <w:style w:type="paragraph" w:styleId="Tekstprzypisukocowego">
    <w:name w:val="endnote text"/>
    <w:basedOn w:val="Normalny"/>
    <w:link w:val="TekstprzypisukocowegoZnak"/>
    <w:uiPriority w:val="99"/>
    <w:semiHidden/>
    <w:unhideWhenUsed/>
    <w:rsid w:val="00CD7DE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7DEC"/>
    <w:rPr>
      <w:kern w:val="0"/>
      <w:sz w:val="20"/>
      <w:szCs w:val="20"/>
      <w14:ligatures w14:val="none"/>
    </w:rPr>
  </w:style>
  <w:style w:type="character" w:styleId="Odwoanieprzypisukocowego">
    <w:name w:val="endnote reference"/>
    <w:basedOn w:val="Domylnaczcionkaakapitu"/>
    <w:uiPriority w:val="99"/>
    <w:semiHidden/>
    <w:unhideWhenUsed/>
    <w:rsid w:val="00CD7DEC"/>
    <w:rPr>
      <w:vertAlign w:val="superscript"/>
    </w:rPr>
  </w:style>
  <w:style w:type="paragraph" w:styleId="Tekstkomentarza">
    <w:name w:val="annotation text"/>
    <w:basedOn w:val="Normalny"/>
    <w:link w:val="TekstkomentarzaZnak"/>
    <w:uiPriority w:val="99"/>
    <w:unhideWhenUsed/>
    <w:rsid w:val="007C7948"/>
    <w:pPr>
      <w:spacing w:line="240" w:lineRule="auto"/>
    </w:pPr>
    <w:rPr>
      <w:kern w:val="2"/>
      <w:sz w:val="20"/>
      <w:szCs w:val="20"/>
      <w14:ligatures w14:val="standardContextual"/>
    </w:rPr>
  </w:style>
  <w:style w:type="character" w:customStyle="1" w:styleId="TekstkomentarzaZnak">
    <w:name w:val="Tekst komentarza Znak"/>
    <w:basedOn w:val="Domylnaczcionkaakapitu"/>
    <w:link w:val="Tekstkomentarza"/>
    <w:uiPriority w:val="99"/>
    <w:rsid w:val="007C7948"/>
    <w:rPr>
      <w:sz w:val="20"/>
      <w:szCs w:val="20"/>
    </w:rPr>
  </w:style>
  <w:style w:type="character" w:styleId="Odwoaniedokomentarza">
    <w:name w:val="annotation reference"/>
    <w:basedOn w:val="Domylnaczcionkaakapitu"/>
    <w:uiPriority w:val="99"/>
    <w:unhideWhenUsed/>
    <w:rsid w:val="007C7948"/>
    <w:rPr>
      <w:sz w:val="16"/>
      <w:szCs w:val="16"/>
    </w:rPr>
  </w:style>
  <w:style w:type="paragraph" w:styleId="Tekstprzypisudolnego">
    <w:name w:val="footnote text"/>
    <w:basedOn w:val="Normalny"/>
    <w:link w:val="TekstprzypisudolnegoZnak"/>
    <w:uiPriority w:val="99"/>
    <w:semiHidden/>
    <w:unhideWhenUsed/>
    <w:rsid w:val="00FA2D7C"/>
    <w:pPr>
      <w:spacing w:after="0" w:line="240" w:lineRule="auto"/>
    </w:pPr>
    <w:rPr>
      <w:kern w:val="2"/>
      <w:sz w:val="20"/>
      <w:szCs w:val="20"/>
      <w14:ligatures w14:val="standardContextual"/>
    </w:rPr>
  </w:style>
  <w:style w:type="character" w:customStyle="1" w:styleId="TekstprzypisudolnegoZnak">
    <w:name w:val="Tekst przypisu dolnego Znak"/>
    <w:basedOn w:val="Domylnaczcionkaakapitu"/>
    <w:link w:val="Tekstprzypisudolnego"/>
    <w:uiPriority w:val="99"/>
    <w:semiHidden/>
    <w:rsid w:val="00FA2D7C"/>
    <w:rPr>
      <w:sz w:val="20"/>
      <w:szCs w:val="20"/>
    </w:rPr>
  </w:style>
  <w:style w:type="character" w:styleId="Odwoanieprzypisudolnego">
    <w:name w:val="footnote reference"/>
    <w:basedOn w:val="Domylnaczcionkaakapitu"/>
    <w:uiPriority w:val="99"/>
    <w:semiHidden/>
    <w:unhideWhenUsed/>
    <w:rsid w:val="00FA2D7C"/>
    <w:rPr>
      <w:vertAlign w:val="superscript"/>
    </w:rPr>
  </w:style>
  <w:style w:type="character" w:styleId="Hipercze">
    <w:name w:val="Hyperlink"/>
    <w:basedOn w:val="Domylnaczcionkaakapitu"/>
    <w:uiPriority w:val="99"/>
    <w:unhideWhenUsed/>
    <w:rsid w:val="00FA2D7C"/>
    <w:rPr>
      <w:color w:val="467886" w:themeColor="hyperlink"/>
      <w:u w:val="single"/>
    </w:rPr>
  </w:style>
  <w:style w:type="paragraph" w:customStyle="1" w:styleId="ZLITPKTzmpktliter">
    <w:name w:val="Z_LIT/PKT – zm. pkt literą"/>
    <w:basedOn w:val="Normalny"/>
    <w:rsid w:val="00B40722"/>
    <w:pPr>
      <w:suppressAutoHyphens/>
      <w:autoSpaceDN w:val="0"/>
      <w:spacing w:after="0" w:line="360" w:lineRule="auto"/>
      <w:ind w:left="1497" w:hanging="510"/>
      <w:jc w:val="both"/>
      <w:textAlignment w:val="baseline"/>
    </w:pPr>
    <w:rPr>
      <w:rFonts w:ascii="Times" w:eastAsia="Times New Roman" w:hAnsi="Times" w:cs="Arial"/>
      <w:bCs/>
      <w:sz w:val="24"/>
      <w:szCs w:val="20"/>
      <w:lang w:eastAsia="pl-PL"/>
    </w:rPr>
  </w:style>
  <w:style w:type="character" w:customStyle="1" w:styleId="Nierozpoznanawzmianka1">
    <w:name w:val="Nierozpoznana wzmianka1"/>
    <w:basedOn w:val="Domylnaczcionkaakapitu"/>
    <w:uiPriority w:val="99"/>
    <w:semiHidden/>
    <w:unhideWhenUsed/>
    <w:rsid w:val="00437249"/>
    <w:rPr>
      <w:color w:val="605E5C"/>
      <w:shd w:val="clear" w:color="auto" w:fill="E1DFDD"/>
    </w:rPr>
  </w:style>
  <w:style w:type="paragraph" w:customStyle="1" w:styleId="mainpub">
    <w:name w:val="mainpub"/>
    <w:basedOn w:val="Normalny"/>
    <w:rsid w:val="00B9111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84467B"/>
    <w:pPr>
      <w:spacing w:after="0" w:line="240" w:lineRule="auto"/>
    </w:pPr>
    <w:rPr>
      <w:kern w:val="0"/>
      <w14:ligatures w14:val="none"/>
    </w:rPr>
  </w:style>
  <w:style w:type="paragraph" w:styleId="Tematkomentarza">
    <w:name w:val="annotation subject"/>
    <w:basedOn w:val="Tekstkomentarza"/>
    <w:next w:val="Tekstkomentarza"/>
    <w:link w:val="TematkomentarzaZnak"/>
    <w:uiPriority w:val="99"/>
    <w:semiHidden/>
    <w:unhideWhenUsed/>
    <w:rsid w:val="00165A59"/>
    <w:rPr>
      <w:b/>
      <w:bCs/>
      <w:kern w:val="0"/>
      <w14:ligatures w14:val="none"/>
    </w:rPr>
  </w:style>
  <w:style w:type="character" w:customStyle="1" w:styleId="TematkomentarzaZnak">
    <w:name w:val="Temat komentarza Znak"/>
    <w:basedOn w:val="TekstkomentarzaZnak"/>
    <w:link w:val="Tematkomentarza"/>
    <w:uiPriority w:val="99"/>
    <w:semiHidden/>
    <w:rsid w:val="00165A59"/>
    <w:rPr>
      <w:b/>
      <w:bCs/>
      <w:kern w:val="0"/>
      <w:sz w:val="20"/>
      <w:szCs w:val="20"/>
      <w14:ligatures w14:val="none"/>
    </w:rPr>
  </w:style>
  <w:style w:type="paragraph" w:customStyle="1" w:styleId="TIRtiret">
    <w:name w:val="TIR – tiret"/>
    <w:basedOn w:val="Normalny"/>
    <w:rsid w:val="00350468"/>
    <w:pPr>
      <w:suppressAutoHyphens/>
      <w:autoSpaceDN w:val="0"/>
      <w:spacing w:after="0" w:line="360" w:lineRule="auto"/>
      <w:ind w:left="1384" w:hanging="397"/>
      <w:jc w:val="both"/>
      <w:textAlignment w:val="baseline"/>
    </w:pPr>
    <w:rPr>
      <w:rFonts w:ascii="Times" w:eastAsia="Times New Roman" w:hAnsi="Times" w:cs="Arial"/>
      <w:bCs/>
      <w:sz w:val="24"/>
      <w:szCs w:val="20"/>
      <w:lang w:eastAsia="pl-PL"/>
    </w:rPr>
  </w:style>
  <w:style w:type="paragraph" w:styleId="Tekstdymka">
    <w:name w:val="Balloon Text"/>
    <w:basedOn w:val="Normalny"/>
    <w:link w:val="TekstdymkaZnak"/>
    <w:uiPriority w:val="99"/>
    <w:semiHidden/>
    <w:unhideWhenUsed/>
    <w:rsid w:val="002C6A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6A8B"/>
    <w:rPr>
      <w:rFonts w:ascii="Segoe UI" w:hAnsi="Segoe UI" w:cs="Segoe UI"/>
      <w:kern w:val="0"/>
      <w:sz w:val="18"/>
      <w:szCs w:val="18"/>
      <w14:ligatures w14:val="none"/>
    </w:rPr>
  </w:style>
  <w:style w:type="paragraph" w:styleId="Nagwek">
    <w:name w:val="header"/>
    <w:basedOn w:val="Normalny"/>
    <w:link w:val="NagwekZnak"/>
    <w:uiPriority w:val="99"/>
    <w:unhideWhenUsed/>
    <w:rsid w:val="006841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4134"/>
    <w:rPr>
      <w:kern w:val="0"/>
      <w14:ligatures w14:val="none"/>
    </w:rPr>
  </w:style>
  <w:style w:type="paragraph" w:styleId="Stopka">
    <w:name w:val="footer"/>
    <w:basedOn w:val="Normalny"/>
    <w:link w:val="StopkaZnak"/>
    <w:uiPriority w:val="99"/>
    <w:unhideWhenUsed/>
    <w:rsid w:val="006841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4134"/>
    <w:rPr>
      <w:kern w:val="0"/>
      <w14:ligatures w14:val="none"/>
    </w:rPr>
  </w:style>
  <w:style w:type="character" w:customStyle="1" w:styleId="Nierozpoznanawzmianka2">
    <w:name w:val="Nierozpoznana wzmianka2"/>
    <w:basedOn w:val="Domylnaczcionkaakapitu"/>
    <w:uiPriority w:val="99"/>
    <w:semiHidden/>
    <w:unhideWhenUsed/>
    <w:rsid w:val="00C527BC"/>
    <w:rPr>
      <w:color w:val="605E5C"/>
      <w:shd w:val="clear" w:color="auto" w:fill="E1DFDD"/>
    </w:rPr>
  </w:style>
  <w:style w:type="paragraph" w:styleId="NormalnyWeb">
    <w:name w:val="Normal (Web)"/>
    <w:basedOn w:val="Normalny"/>
    <w:uiPriority w:val="99"/>
    <w:semiHidden/>
    <w:unhideWhenUsed/>
    <w:rsid w:val="001B19CD"/>
    <w:rPr>
      <w:rFonts w:ascii="Times New Roman" w:hAnsi="Times New Roman" w:cs="Times New Roman"/>
      <w:sz w:val="24"/>
      <w:szCs w:val="24"/>
    </w:rPr>
  </w:style>
  <w:style w:type="paragraph" w:customStyle="1" w:styleId="ZTIRPKTzmpkttiret">
    <w:name w:val="Z_TIR/PKT – zm. pkt tiret"/>
    <w:basedOn w:val="Normalny"/>
    <w:rsid w:val="00164707"/>
    <w:pPr>
      <w:suppressAutoHyphens/>
      <w:autoSpaceDN w:val="0"/>
      <w:spacing w:after="0" w:line="360" w:lineRule="auto"/>
      <w:ind w:left="1893" w:hanging="510"/>
      <w:jc w:val="both"/>
      <w:textAlignment w:val="baseline"/>
    </w:pPr>
    <w:rPr>
      <w:rFonts w:ascii="Times" w:eastAsia="Times New Roman" w:hAnsi="Times" w:cs="Arial"/>
      <w:bCs/>
      <w:sz w:val="24"/>
      <w:szCs w:val="20"/>
      <w:lang w:eastAsia="pl-PL"/>
    </w:rPr>
  </w:style>
  <w:style w:type="paragraph" w:customStyle="1" w:styleId="ZLITLITwPKTzmlitwpktliter">
    <w:name w:val="Z_LIT/LIT_w_PKT – zm. lit. w pkt literą"/>
    <w:basedOn w:val="Normalny"/>
    <w:rsid w:val="00D756C6"/>
    <w:pPr>
      <w:suppressAutoHyphens/>
      <w:autoSpaceDN w:val="0"/>
      <w:spacing w:after="0" w:line="360" w:lineRule="auto"/>
      <w:ind w:left="1973" w:hanging="476"/>
      <w:jc w:val="both"/>
      <w:textAlignment w:val="baseline"/>
    </w:pPr>
    <w:rPr>
      <w:rFonts w:ascii="Times" w:eastAsia="Times New Roman" w:hAnsi="Times" w:cs="Arial"/>
      <w:bCs/>
      <w:sz w:val="24"/>
      <w:szCs w:val="20"/>
      <w:lang w:eastAsia="pl-PL"/>
    </w:rPr>
  </w:style>
  <w:style w:type="character" w:customStyle="1" w:styleId="Nierozpoznanawzmianka3">
    <w:name w:val="Nierozpoznana wzmianka3"/>
    <w:basedOn w:val="Domylnaczcionkaakapitu"/>
    <w:uiPriority w:val="99"/>
    <w:semiHidden/>
    <w:unhideWhenUsed/>
    <w:rsid w:val="003F6FAD"/>
    <w:rPr>
      <w:color w:val="605E5C"/>
      <w:shd w:val="clear" w:color="auto" w:fill="E1DFDD"/>
    </w:rPr>
  </w:style>
  <w:style w:type="paragraph" w:customStyle="1" w:styleId="ARTartustawynprozporzdzenia">
    <w:name w:val="ART(§) – art. ustawy (§ np. rozporządzenia)"/>
    <w:uiPriority w:val="11"/>
    <w:qFormat/>
    <w:rsid w:val="0013762A"/>
    <w:pPr>
      <w:suppressAutoHyphens/>
      <w:autoSpaceDE w:val="0"/>
      <w:autoSpaceDN w:val="0"/>
      <w:adjustRightInd w:val="0"/>
      <w:spacing w:before="120" w:after="0" w:line="360" w:lineRule="auto"/>
      <w:ind w:firstLine="510"/>
      <w:jc w:val="both"/>
    </w:pPr>
    <w:rPr>
      <w:rFonts w:ascii="Times" w:eastAsiaTheme="minorEastAsia" w:hAnsi="Times" w:cs="Arial"/>
      <w:kern w:val="0"/>
      <w:sz w:val="24"/>
      <w:szCs w:val="20"/>
      <w:lang w:eastAsia="pl-PL"/>
      <w14:ligatures w14:val="none"/>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13762A"/>
    <w:rPr>
      <w:bCs/>
    </w:rPr>
  </w:style>
  <w:style w:type="character" w:customStyle="1" w:styleId="Ppogrubienie">
    <w:name w:val="_P_ – pogrubienie"/>
    <w:basedOn w:val="Domylnaczcionkaakapitu"/>
    <w:uiPriority w:val="1"/>
    <w:qFormat/>
    <w:rsid w:val="0013762A"/>
    <w:rPr>
      <w:b/>
    </w:rPr>
  </w:style>
  <w:style w:type="character" w:customStyle="1" w:styleId="Kkursywa">
    <w:name w:val="_K_ – kursywa"/>
    <w:basedOn w:val="Domylnaczcionkaakapitu"/>
    <w:uiPriority w:val="1"/>
    <w:qFormat/>
    <w:rsid w:val="0013762A"/>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09887">
      <w:bodyDiv w:val="1"/>
      <w:marLeft w:val="0"/>
      <w:marRight w:val="0"/>
      <w:marTop w:val="0"/>
      <w:marBottom w:val="0"/>
      <w:divBdr>
        <w:top w:val="none" w:sz="0" w:space="0" w:color="auto"/>
        <w:left w:val="none" w:sz="0" w:space="0" w:color="auto"/>
        <w:bottom w:val="none" w:sz="0" w:space="0" w:color="auto"/>
        <w:right w:val="none" w:sz="0" w:space="0" w:color="auto"/>
      </w:divBdr>
    </w:div>
    <w:div w:id="79063506">
      <w:bodyDiv w:val="1"/>
      <w:marLeft w:val="0"/>
      <w:marRight w:val="0"/>
      <w:marTop w:val="0"/>
      <w:marBottom w:val="0"/>
      <w:divBdr>
        <w:top w:val="none" w:sz="0" w:space="0" w:color="auto"/>
        <w:left w:val="none" w:sz="0" w:space="0" w:color="auto"/>
        <w:bottom w:val="none" w:sz="0" w:space="0" w:color="auto"/>
        <w:right w:val="none" w:sz="0" w:space="0" w:color="auto"/>
      </w:divBdr>
      <w:divsChild>
        <w:div w:id="749428703">
          <w:marLeft w:val="0"/>
          <w:marRight w:val="0"/>
          <w:marTop w:val="0"/>
          <w:marBottom w:val="0"/>
          <w:divBdr>
            <w:top w:val="none" w:sz="0" w:space="0" w:color="auto"/>
            <w:left w:val="none" w:sz="0" w:space="0" w:color="auto"/>
            <w:bottom w:val="none" w:sz="0" w:space="0" w:color="auto"/>
            <w:right w:val="none" w:sz="0" w:space="0" w:color="auto"/>
          </w:divBdr>
          <w:divsChild>
            <w:div w:id="168801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0201">
      <w:bodyDiv w:val="1"/>
      <w:marLeft w:val="0"/>
      <w:marRight w:val="0"/>
      <w:marTop w:val="0"/>
      <w:marBottom w:val="0"/>
      <w:divBdr>
        <w:top w:val="none" w:sz="0" w:space="0" w:color="auto"/>
        <w:left w:val="none" w:sz="0" w:space="0" w:color="auto"/>
        <w:bottom w:val="none" w:sz="0" w:space="0" w:color="auto"/>
        <w:right w:val="none" w:sz="0" w:space="0" w:color="auto"/>
      </w:divBdr>
    </w:div>
    <w:div w:id="165171851">
      <w:bodyDiv w:val="1"/>
      <w:marLeft w:val="0"/>
      <w:marRight w:val="0"/>
      <w:marTop w:val="0"/>
      <w:marBottom w:val="0"/>
      <w:divBdr>
        <w:top w:val="none" w:sz="0" w:space="0" w:color="auto"/>
        <w:left w:val="none" w:sz="0" w:space="0" w:color="auto"/>
        <w:bottom w:val="none" w:sz="0" w:space="0" w:color="auto"/>
        <w:right w:val="none" w:sz="0" w:space="0" w:color="auto"/>
      </w:divBdr>
    </w:div>
    <w:div w:id="178735509">
      <w:bodyDiv w:val="1"/>
      <w:marLeft w:val="0"/>
      <w:marRight w:val="0"/>
      <w:marTop w:val="0"/>
      <w:marBottom w:val="0"/>
      <w:divBdr>
        <w:top w:val="none" w:sz="0" w:space="0" w:color="auto"/>
        <w:left w:val="none" w:sz="0" w:space="0" w:color="auto"/>
        <w:bottom w:val="none" w:sz="0" w:space="0" w:color="auto"/>
        <w:right w:val="none" w:sz="0" w:space="0" w:color="auto"/>
      </w:divBdr>
    </w:div>
    <w:div w:id="248540608">
      <w:bodyDiv w:val="1"/>
      <w:marLeft w:val="0"/>
      <w:marRight w:val="0"/>
      <w:marTop w:val="0"/>
      <w:marBottom w:val="0"/>
      <w:divBdr>
        <w:top w:val="none" w:sz="0" w:space="0" w:color="auto"/>
        <w:left w:val="none" w:sz="0" w:space="0" w:color="auto"/>
        <w:bottom w:val="none" w:sz="0" w:space="0" w:color="auto"/>
        <w:right w:val="none" w:sz="0" w:space="0" w:color="auto"/>
      </w:divBdr>
      <w:divsChild>
        <w:div w:id="518735680">
          <w:marLeft w:val="0"/>
          <w:marRight w:val="0"/>
          <w:marTop w:val="0"/>
          <w:marBottom w:val="0"/>
          <w:divBdr>
            <w:top w:val="none" w:sz="0" w:space="0" w:color="auto"/>
            <w:left w:val="none" w:sz="0" w:space="0" w:color="auto"/>
            <w:bottom w:val="none" w:sz="0" w:space="0" w:color="auto"/>
            <w:right w:val="none" w:sz="0" w:space="0" w:color="auto"/>
          </w:divBdr>
        </w:div>
      </w:divsChild>
    </w:div>
    <w:div w:id="317920518">
      <w:bodyDiv w:val="1"/>
      <w:marLeft w:val="0"/>
      <w:marRight w:val="0"/>
      <w:marTop w:val="0"/>
      <w:marBottom w:val="0"/>
      <w:divBdr>
        <w:top w:val="none" w:sz="0" w:space="0" w:color="auto"/>
        <w:left w:val="none" w:sz="0" w:space="0" w:color="auto"/>
        <w:bottom w:val="none" w:sz="0" w:space="0" w:color="auto"/>
        <w:right w:val="none" w:sz="0" w:space="0" w:color="auto"/>
      </w:divBdr>
      <w:divsChild>
        <w:div w:id="670134243">
          <w:marLeft w:val="0"/>
          <w:marRight w:val="0"/>
          <w:marTop w:val="0"/>
          <w:marBottom w:val="0"/>
          <w:divBdr>
            <w:top w:val="none" w:sz="0" w:space="0" w:color="auto"/>
            <w:left w:val="none" w:sz="0" w:space="0" w:color="auto"/>
            <w:bottom w:val="none" w:sz="0" w:space="0" w:color="auto"/>
            <w:right w:val="none" w:sz="0" w:space="0" w:color="auto"/>
          </w:divBdr>
        </w:div>
      </w:divsChild>
    </w:div>
    <w:div w:id="348144279">
      <w:bodyDiv w:val="1"/>
      <w:marLeft w:val="0"/>
      <w:marRight w:val="0"/>
      <w:marTop w:val="0"/>
      <w:marBottom w:val="0"/>
      <w:divBdr>
        <w:top w:val="none" w:sz="0" w:space="0" w:color="auto"/>
        <w:left w:val="none" w:sz="0" w:space="0" w:color="auto"/>
        <w:bottom w:val="none" w:sz="0" w:space="0" w:color="auto"/>
        <w:right w:val="none" w:sz="0" w:space="0" w:color="auto"/>
      </w:divBdr>
    </w:div>
    <w:div w:id="409232307">
      <w:bodyDiv w:val="1"/>
      <w:marLeft w:val="0"/>
      <w:marRight w:val="0"/>
      <w:marTop w:val="0"/>
      <w:marBottom w:val="0"/>
      <w:divBdr>
        <w:top w:val="none" w:sz="0" w:space="0" w:color="auto"/>
        <w:left w:val="none" w:sz="0" w:space="0" w:color="auto"/>
        <w:bottom w:val="none" w:sz="0" w:space="0" w:color="auto"/>
        <w:right w:val="none" w:sz="0" w:space="0" w:color="auto"/>
      </w:divBdr>
      <w:divsChild>
        <w:div w:id="1204094236">
          <w:marLeft w:val="0"/>
          <w:marRight w:val="0"/>
          <w:marTop w:val="0"/>
          <w:marBottom w:val="0"/>
          <w:divBdr>
            <w:top w:val="none" w:sz="0" w:space="0" w:color="auto"/>
            <w:left w:val="none" w:sz="0" w:space="0" w:color="auto"/>
            <w:bottom w:val="none" w:sz="0" w:space="0" w:color="auto"/>
            <w:right w:val="none" w:sz="0" w:space="0" w:color="auto"/>
          </w:divBdr>
          <w:divsChild>
            <w:div w:id="4670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48755">
      <w:bodyDiv w:val="1"/>
      <w:marLeft w:val="0"/>
      <w:marRight w:val="0"/>
      <w:marTop w:val="0"/>
      <w:marBottom w:val="0"/>
      <w:divBdr>
        <w:top w:val="none" w:sz="0" w:space="0" w:color="auto"/>
        <w:left w:val="none" w:sz="0" w:space="0" w:color="auto"/>
        <w:bottom w:val="none" w:sz="0" w:space="0" w:color="auto"/>
        <w:right w:val="none" w:sz="0" w:space="0" w:color="auto"/>
      </w:divBdr>
      <w:divsChild>
        <w:div w:id="859851712">
          <w:marLeft w:val="0"/>
          <w:marRight w:val="0"/>
          <w:marTop w:val="0"/>
          <w:marBottom w:val="0"/>
          <w:divBdr>
            <w:top w:val="none" w:sz="0" w:space="0" w:color="auto"/>
            <w:left w:val="none" w:sz="0" w:space="0" w:color="auto"/>
            <w:bottom w:val="none" w:sz="0" w:space="0" w:color="auto"/>
            <w:right w:val="none" w:sz="0" w:space="0" w:color="auto"/>
          </w:divBdr>
          <w:divsChild>
            <w:div w:id="1417216008">
              <w:marLeft w:val="0"/>
              <w:marRight w:val="0"/>
              <w:marTop w:val="0"/>
              <w:marBottom w:val="0"/>
              <w:divBdr>
                <w:top w:val="none" w:sz="0" w:space="0" w:color="auto"/>
                <w:left w:val="none" w:sz="0" w:space="0" w:color="auto"/>
                <w:bottom w:val="none" w:sz="0" w:space="0" w:color="auto"/>
                <w:right w:val="none" w:sz="0" w:space="0" w:color="auto"/>
              </w:divBdr>
            </w:div>
          </w:divsChild>
        </w:div>
        <w:div w:id="1349286084">
          <w:marLeft w:val="0"/>
          <w:marRight w:val="0"/>
          <w:marTop w:val="0"/>
          <w:marBottom w:val="0"/>
          <w:divBdr>
            <w:top w:val="none" w:sz="0" w:space="0" w:color="auto"/>
            <w:left w:val="none" w:sz="0" w:space="0" w:color="auto"/>
            <w:bottom w:val="none" w:sz="0" w:space="0" w:color="auto"/>
            <w:right w:val="none" w:sz="0" w:space="0" w:color="auto"/>
          </w:divBdr>
          <w:divsChild>
            <w:div w:id="7991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4314">
      <w:bodyDiv w:val="1"/>
      <w:marLeft w:val="0"/>
      <w:marRight w:val="0"/>
      <w:marTop w:val="0"/>
      <w:marBottom w:val="0"/>
      <w:divBdr>
        <w:top w:val="none" w:sz="0" w:space="0" w:color="auto"/>
        <w:left w:val="none" w:sz="0" w:space="0" w:color="auto"/>
        <w:bottom w:val="none" w:sz="0" w:space="0" w:color="auto"/>
        <w:right w:val="none" w:sz="0" w:space="0" w:color="auto"/>
      </w:divBdr>
      <w:divsChild>
        <w:div w:id="73553133">
          <w:marLeft w:val="0"/>
          <w:marRight w:val="0"/>
          <w:marTop w:val="0"/>
          <w:marBottom w:val="0"/>
          <w:divBdr>
            <w:top w:val="none" w:sz="0" w:space="0" w:color="auto"/>
            <w:left w:val="none" w:sz="0" w:space="0" w:color="auto"/>
            <w:bottom w:val="none" w:sz="0" w:space="0" w:color="auto"/>
            <w:right w:val="none" w:sz="0" w:space="0" w:color="auto"/>
          </w:divBdr>
        </w:div>
        <w:div w:id="529299853">
          <w:marLeft w:val="0"/>
          <w:marRight w:val="0"/>
          <w:marTop w:val="0"/>
          <w:marBottom w:val="0"/>
          <w:divBdr>
            <w:top w:val="none" w:sz="0" w:space="0" w:color="auto"/>
            <w:left w:val="none" w:sz="0" w:space="0" w:color="auto"/>
            <w:bottom w:val="none" w:sz="0" w:space="0" w:color="auto"/>
            <w:right w:val="none" w:sz="0" w:space="0" w:color="auto"/>
          </w:divBdr>
        </w:div>
        <w:div w:id="1042680302">
          <w:marLeft w:val="0"/>
          <w:marRight w:val="0"/>
          <w:marTop w:val="0"/>
          <w:marBottom w:val="0"/>
          <w:divBdr>
            <w:top w:val="none" w:sz="0" w:space="0" w:color="auto"/>
            <w:left w:val="none" w:sz="0" w:space="0" w:color="auto"/>
            <w:bottom w:val="none" w:sz="0" w:space="0" w:color="auto"/>
            <w:right w:val="none" w:sz="0" w:space="0" w:color="auto"/>
          </w:divBdr>
        </w:div>
        <w:div w:id="1124811695">
          <w:marLeft w:val="0"/>
          <w:marRight w:val="0"/>
          <w:marTop w:val="0"/>
          <w:marBottom w:val="0"/>
          <w:divBdr>
            <w:top w:val="none" w:sz="0" w:space="0" w:color="auto"/>
            <w:left w:val="none" w:sz="0" w:space="0" w:color="auto"/>
            <w:bottom w:val="none" w:sz="0" w:space="0" w:color="auto"/>
            <w:right w:val="none" w:sz="0" w:space="0" w:color="auto"/>
          </w:divBdr>
        </w:div>
        <w:div w:id="1151600399">
          <w:marLeft w:val="0"/>
          <w:marRight w:val="0"/>
          <w:marTop w:val="0"/>
          <w:marBottom w:val="0"/>
          <w:divBdr>
            <w:top w:val="none" w:sz="0" w:space="0" w:color="auto"/>
            <w:left w:val="none" w:sz="0" w:space="0" w:color="auto"/>
            <w:bottom w:val="none" w:sz="0" w:space="0" w:color="auto"/>
            <w:right w:val="none" w:sz="0" w:space="0" w:color="auto"/>
          </w:divBdr>
        </w:div>
        <w:div w:id="1213351946">
          <w:marLeft w:val="0"/>
          <w:marRight w:val="0"/>
          <w:marTop w:val="0"/>
          <w:marBottom w:val="0"/>
          <w:divBdr>
            <w:top w:val="none" w:sz="0" w:space="0" w:color="auto"/>
            <w:left w:val="none" w:sz="0" w:space="0" w:color="auto"/>
            <w:bottom w:val="none" w:sz="0" w:space="0" w:color="auto"/>
            <w:right w:val="none" w:sz="0" w:space="0" w:color="auto"/>
          </w:divBdr>
        </w:div>
      </w:divsChild>
    </w:div>
    <w:div w:id="482893001">
      <w:bodyDiv w:val="1"/>
      <w:marLeft w:val="0"/>
      <w:marRight w:val="0"/>
      <w:marTop w:val="0"/>
      <w:marBottom w:val="0"/>
      <w:divBdr>
        <w:top w:val="none" w:sz="0" w:space="0" w:color="auto"/>
        <w:left w:val="none" w:sz="0" w:space="0" w:color="auto"/>
        <w:bottom w:val="none" w:sz="0" w:space="0" w:color="auto"/>
        <w:right w:val="none" w:sz="0" w:space="0" w:color="auto"/>
      </w:divBdr>
    </w:div>
    <w:div w:id="494079046">
      <w:bodyDiv w:val="1"/>
      <w:marLeft w:val="0"/>
      <w:marRight w:val="0"/>
      <w:marTop w:val="0"/>
      <w:marBottom w:val="0"/>
      <w:divBdr>
        <w:top w:val="none" w:sz="0" w:space="0" w:color="auto"/>
        <w:left w:val="none" w:sz="0" w:space="0" w:color="auto"/>
        <w:bottom w:val="none" w:sz="0" w:space="0" w:color="auto"/>
        <w:right w:val="none" w:sz="0" w:space="0" w:color="auto"/>
      </w:divBdr>
    </w:div>
    <w:div w:id="502014838">
      <w:bodyDiv w:val="1"/>
      <w:marLeft w:val="0"/>
      <w:marRight w:val="0"/>
      <w:marTop w:val="0"/>
      <w:marBottom w:val="0"/>
      <w:divBdr>
        <w:top w:val="none" w:sz="0" w:space="0" w:color="auto"/>
        <w:left w:val="none" w:sz="0" w:space="0" w:color="auto"/>
        <w:bottom w:val="none" w:sz="0" w:space="0" w:color="auto"/>
        <w:right w:val="none" w:sz="0" w:space="0" w:color="auto"/>
      </w:divBdr>
    </w:div>
    <w:div w:id="607273886">
      <w:bodyDiv w:val="1"/>
      <w:marLeft w:val="0"/>
      <w:marRight w:val="0"/>
      <w:marTop w:val="0"/>
      <w:marBottom w:val="0"/>
      <w:divBdr>
        <w:top w:val="none" w:sz="0" w:space="0" w:color="auto"/>
        <w:left w:val="none" w:sz="0" w:space="0" w:color="auto"/>
        <w:bottom w:val="none" w:sz="0" w:space="0" w:color="auto"/>
        <w:right w:val="none" w:sz="0" w:space="0" w:color="auto"/>
      </w:divBdr>
    </w:div>
    <w:div w:id="620234640">
      <w:bodyDiv w:val="1"/>
      <w:marLeft w:val="0"/>
      <w:marRight w:val="0"/>
      <w:marTop w:val="0"/>
      <w:marBottom w:val="0"/>
      <w:divBdr>
        <w:top w:val="none" w:sz="0" w:space="0" w:color="auto"/>
        <w:left w:val="none" w:sz="0" w:space="0" w:color="auto"/>
        <w:bottom w:val="none" w:sz="0" w:space="0" w:color="auto"/>
        <w:right w:val="none" w:sz="0" w:space="0" w:color="auto"/>
      </w:divBdr>
      <w:divsChild>
        <w:div w:id="2107460561">
          <w:marLeft w:val="0"/>
          <w:marRight w:val="0"/>
          <w:marTop w:val="0"/>
          <w:marBottom w:val="0"/>
          <w:divBdr>
            <w:top w:val="none" w:sz="0" w:space="0" w:color="auto"/>
            <w:left w:val="none" w:sz="0" w:space="0" w:color="auto"/>
            <w:bottom w:val="none" w:sz="0" w:space="0" w:color="auto"/>
            <w:right w:val="none" w:sz="0" w:space="0" w:color="auto"/>
          </w:divBdr>
        </w:div>
      </w:divsChild>
    </w:div>
    <w:div w:id="762840059">
      <w:bodyDiv w:val="1"/>
      <w:marLeft w:val="0"/>
      <w:marRight w:val="0"/>
      <w:marTop w:val="0"/>
      <w:marBottom w:val="0"/>
      <w:divBdr>
        <w:top w:val="none" w:sz="0" w:space="0" w:color="auto"/>
        <w:left w:val="none" w:sz="0" w:space="0" w:color="auto"/>
        <w:bottom w:val="none" w:sz="0" w:space="0" w:color="auto"/>
        <w:right w:val="none" w:sz="0" w:space="0" w:color="auto"/>
      </w:divBdr>
    </w:div>
    <w:div w:id="786315962">
      <w:bodyDiv w:val="1"/>
      <w:marLeft w:val="0"/>
      <w:marRight w:val="0"/>
      <w:marTop w:val="0"/>
      <w:marBottom w:val="0"/>
      <w:divBdr>
        <w:top w:val="none" w:sz="0" w:space="0" w:color="auto"/>
        <w:left w:val="none" w:sz="0" w:space="0" w:color="auto"/>
        <w:bottom w:val="none" w:sz="0" w:space="0" w:color="auto"/>
        <w:right w:val="none" w:sz="0" w:space="0" w:color="auto"/>
      </w:divBdr>
    </w:div>
    <w:div w:id="791288781">
      <w:bodyDiv w:val="1"/>
      <w:marLeft w:val="0"/>
      <w:marRight w:val="0"/>
      <w:marTop w:val="0"/>
      <w:marBottom w:val="0"/>
      <w:divBdr>
        <w:top w:val="none" w:sz="0" w:space="0" w:color="auto"/>
        <w:left w:val="none" w:sz="0" w:space="0" w:color="auto"/>
        <w:bottom w:val="none" w:sz="0" w:space="0" w:color="auto"/>
        <w:right w:val="none" w:sz="0" w:space="0" w:color="auto"/>
      </w:divBdr>
      <w:divsChild>
        <w:div w:id="1056275499">
          <w:marLeft w:val="0"/>
          <w:marRight w:val="0"/>
          <w:marTop w:val="0"/>
          <w:marBottom w:val="0"/>
          <w:divBdr>
            <w:top w:val="none" w:sz="0" w:space="0" w:color="auto"/>
            <w:left w:val="none" w:sz="0" w:space="0" w:color="auto"/>
            <w:bottom w:val="none" w:sz="0" w:space="0" w:color="auto"/>
            <w:right w:val="none" w:sz="0" w:space="0" w:color="auto"/>
          </w:divBdr>
          <w:divsChild>
            <w:div w:id="17111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13464">
      <w:bodyDiv w:val="1"/>
      <w:marLeft w:val="0"/>
      <w:marRight w:val="0"/>
      <w:marTop w:val="0"/>
      <w:marBottom w:val="0"/>
      <w:divBdr>
        <w:top w:val="none" w:sz="0" w:space="0" w:color="auto"/>
        <w:left w:val="none" w:sz="0" w:space="0" w:color="auto"/>
        <w:bottom w:val="none" w:sz="0" w:space="0" w:color="auto"/>
        <w:right w:val="none" w:sz="0" w:space="0" w:color="auto"/>
      </w:divBdr>
    </w:div>
    <w:div w:id="892932367">
      <w:bodyDiv w:val="1"/>
      <w:marLeft w:val="0"/>
      <w:marRight w:val="0"/>
      <w:marTop w:val="0"/>
      <w:marBottom w:val="0"/>
      <w:divBdr>
        <w:top w:val="none" w:sz="0" w:space="0" w:color="auto"/>
        <w:left w:val="none" w:sz="0" w:space="0" w:color="auto"/>
        <w:bottom w:val="none" w:sz="0" w:space="0" w:color="auto"/>
        <w:right w:val="none" w:sz="0" w:space="0" w:color="auto"/>
      </w:divBdr>
    </w:div>
    <w:div w:id="902257967">
      <w:bodyDiv w:val="1"/>
      <w:marLeft w:val="0"/>
      <w:marRight w:val="0"/>
      <w:marTop w:val="0"/>
      <w:marBottom w:val="0"/>
      <w:divBdr>
        <w:top w:val="none" w:sz="0" w:space="0" w:color="auto"/>
        <w:left w:val="none" w:sz="0" w:space="0" w:color="auto"/>
        <w:bottom w:val="none" w:sz="0" w:space="0" w:color="auto"/>
        <w:right w:val="none" w:sz="0" w:space="0" w:color="auto"/>
      </w:divBdr>
    </w:div>
    <w:div w:id="985091502">
      <w:bodyDiv w:val="1"/>
      <w:marLeft w:val="0"/>
      <w:marRight w:val="0"/>
      <w:marTop w:val="0"/>
      <w:marBottom w:val="0"/>
      <w:divBdr>
        <w:top w:val="none" w:sz="0" w:space="0" w:color="auto"/>
        <w:left w:val="none" w:sz="0" w:space="0" w:color="auto"/>
        <w:bottom w:val="none" w:sz="0" w:space="0" w:color="auto"/>
        <w:right w:val="none" w:sz="0" w:space="0" w:color="auto"/>
      </w:divBdr>
    </w:div>
    <w:div w:id="987241814">
      <w:bodyDiv w:val="1"/>
      <w:marLeft w:val="0"/>
      <w:marRight w:val="0"/>
      <w:marTop w:val="0"/>
      <w:marBottom w:val="0"/>
      <w:divBdr>
        <w:top w:val="none" w:sz="0" w:space="0" w:color="auto"/>
        <w:left w:val="none" w:sz="0" w:space="0" w:color="auto"/>
        <w:bottom w:val="none" w:sz="0" w:space="0" w:color="auto"/>
        <w:right w:val="none" w:sz="0" w:space="0" w:color="auto"/>
      </w:divBdr>
    </w:div>
    <w:div w:id="1070074917">
      <w:bodyDiv w:val="1"/>
      <w:marLeft w:val="0"/>
      <w:marRight w:val="0"/>
      <w:marTop w:val="0"/>
      <w:marBottom w:val="0"/>
      <w:divBdr>
        <w:top w:val="none" w:sz="0" w:space="0" w:color="auto"/>
        <w:left w:val="none" w:sz="0" w:space="0" w:color="auto"/>
        <w:bottom w:val="none" w:sz="0" w:space="0" w:color="auto"/>
        <w:right w:val="none" w:sz="0" w:space="0" w:color="auto"/>
      </w:divBdr>
    </w:div>
    <w:div w:id="1084187270">
      <w:bodyDiv w:val="1"/>
      <w:marLeft w:val="0"/>
      <w:marRight w:val="0"/>
      <w:marTop w:val="0"/>
      <w:marBottom w:val="0"/>
      <w:divBdr>
        <w:top w:val="none" w:sz="0" w:space="0" w:color="auto"/>
        <w:left w:val="none" w:sz="0" w:space="0" w:color="auto"/>
        <w:bottom w:val="none" w:sz="0" w:space="0" w:color="auto"/>
        <w:right w:val="none" w:sz="0" w:space="0" w:color="auto"/>
      </w:divBdr>
      <w:divsChild>
        <w:div w:id="798185950">
          <w:marLeft w:val="0"/>
          <w:marRight w:val="0"/>
          <w:marTop w:val="0"/>
          <w:marBottom w:val="0"/>
          <w:divBdr>
            <w:top w:val="none" w:sz="0" w:space="0" w:color="auto"/>
            <w:left w:val="none" w:sz="0" w:space="0" w:color="auto"/>
            <w:bottom w:val="none" w:sz="0" w:space="0" w:color="auto"/>
            <w:right w:val="none" w:sz="0" w:space="0" w:color="auto"/>
          </w:divBdr>
          <w:divsChild>
            <w:div w:id="1405836579">
              <w:marLeft w:val="0"/>
              <w:marRight w:val="0"/>
              <w:marTop w:val="0"/>
              <w:marBottom w:val="0"/>
              <w:divBdr>
                <w:top w:val="none" w:sz="0" w:space="0" w:color="auto"/>
                <w:left w:val="none" w:sz="0" w:space="0" w:color="auto"/>
                <w:bottom w:val="none" w:sz="0" w:space="0" w:color="auto"/>
                <w:right w:val="none" w:sz="0" w:space="0" w:color="auto"/>
              </w:divBdr>
              <w:divsChild>
                <w:div w:id="707486689">
                  <w:marLeft w:val="0"/>
                  <w:marRight w:val="0"/>
                  <w:marTop w:val="0"/>
                  <w:marBottom w:val="0"/>
                  <w:divBdr>
                    <w:top w:val="none" w:sz="0" w:space="0" w:color="auto"/>
                    <w:left w:val="none" w:sz="0" w:space="0" w:color="auto"/>
                    <w:bottom w:val="none" w:sz="0" w:space="0" w:color="auto"/>
                    <w:right w:val="none" w:sz="0" w:space="0" w:color="auto"/>
                  </w:divBdr>
                  <w:divsChild>
                    <w:div w:id="5100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843588">
      <w:bodyDiv w:val="1"/>
      <w:marLeft w:val="0"/>
      <w:marRight w:val="0"/>
      <w:marTop w:val="0"/>
      <w:marBottom w:val="0"/>
      <w:divBdr>
        <w:top w:val="none" w:sz="0" w:space="0" w:color="auto"/>
        <w:left w:val="none" w:sz="0" w:space="0" w:color="auto"/>
        <w:bottom w:val="none" w:sz="0" w:space="0" w:color="auto"/>
        <w:right w:val="none" w:sz="0" w:space="0" w:color="auto"/>
      </w:divBdr>
    </w:div>
    <w:div w:id="1131361752">
      <w:bodyDiv w:val="1"/>
      <w:marLeft w:val="0"/>
      <w:marRight w:val="0"/>
      <w:marTop w:val="0"/>
      <w:marBottom w:val="0"/>
      <w:divBdr>
        <w:top w:val="none" w:sz="0" w:space="0" w:color="auto"/>
        <w:left w:val="none" w:sz="0" w:space="0" w:color="auto"/>
        <w:bottom w:val="none" w:sz="0" w:space="0" w:color="auto"/>
        <w:right w:val="none" w:sz="0" w:space="0" w:color="auto"/>
      </w:divBdr>
    </w:div>
    <w:div w:id="1135097092">
      <w:bodyDiv w:val="1"/>
      <w:marLeft w:val="0"/>
      <w:marRight w:val="0"/>
      <w:marTop w:val="0"/>
      <w:marBottom w:val="0"/>
      <w:divBdr>
        <w:top w:val="none" w:sz="0" w:space="0" w:color="auto"/>
        <w:left w:val="none" w:sz="0" w:space="0" w:color="auto"/>
        <w:bottom w:val="none" w:sz="0" w:space="0" w:color="auto"/>
        <w:right w:val="none" w:sz="0" w:space="0" w:color="auto"/>
      </w:divBdr>
      <w:divsChild>
        <w:div w:id="1625110143">
          <w:marLeft w:val="0"/>
          <w:marRight w:val="0"/>
          <w:marTop w:val="0"/>
          <w:marBottom w:val="0"/>
          <w:divBdr>
            <w:top w:val="none" w:sz="0" w:space="0" w:color="auto"/>
            <w:left w:val="none" w:sz="0" w:space="0" w:color="auto"/>
            <w:bottom w:val="none" w:sz="0" w:space="0" w:color="auto"/>
            <w:right w:val="none" w:sz="0" w:space="0" w:color="auto"/>
          </w:divBdr>
          <w:divsChild>
            <w:div w:id="1175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08560">
      <w:bodyDiv w:val="1"/>
      <w:marLeft w:val="0"/>
      <w:marRight w:val="0"/>
      <w:marTop w:val="0"/>
      <w:marBottom w:val="0"/>
      <w:divBdr>
        <w:top w:val="none" w:sz="0" w:space="0" w:color="auto"/>
        <w:left w:val="none" w:sz="0" w:space="0" w:color="auto"/>
        <w:bottom w:val="none" w:sz="0" w:space="0" w:color="auto"/>
        <w:right w:val="none" w:sz="0" w:space="0" w:color="auto"/>
      </w:divBdr>
      <w:divsChild>
        <w:div w:id="32507930">
          <w:marLeft w:val="0"/>
          <w:marRight w:val="0"/>
          <w:marTop w:val="0"/>
          <w:marBottom w:val="0"/>
          <w:divBdr>
            <w:top w:val="none" w:sz="0" w:space="0" w:color="auto"/>
            <w:left w:val="none" w:sz="0" w:space="0" w:color="auto"/>
            <w:bottom w:val="none" w:sz="0" w:space="0" w:color="auto"/>
            <w:right w:val="none" w:sz="0" w:space="0" w:color="auto"/>
          </w:divBdr>
        </w:div>
        <w:div w:id="2027443269">
          <w:marLeft w:val="0"/>
          <w:marRight w:val="0"/>
          <w:marTop w:val="0"/>
          <w:marBottom w:val="0"/>
          <w:divBdr>
            <w:top w:val="none" w:sz="0" w:space="0" w:color="auto"/>
            <w:left w:val="none" w:sz="0" w:space="0" w:color="auto"/>
            <w:bottom w:val="none" w:sz="0" w:space="0" w:color="auto"/>
            <w:right w:val="none" w:sz="0" w:space="0" w:color="auto"/>
          </w:divBdr>
        </w:div>
      </w:divsChild>
    </w:div>
    <w:div w:id="1198202532">
      <w:bodyDiv w:val="1"/>
      <w:marLeft w:val="0"/>
      <w:marRight w:val="0"/>
      <w:marTop w:val="0"/>
      <w:marBottom w:val="0"/>
      <w:divBdr>
        <w:top w:val="none" w:sz="0" w:space="0" w:color="auto"/>
        <w:left w:val="none" w:sz="0" w:space="0" w:color="auto"/>
        <w:bottom w:val="none" w:sz="0" w:space="0" w:color="auto"/>
        <w:right w:val="none" w:sz="0" w:space="0" w:color="auto"/>
      </w:divBdr>
    </w:div>
    <w:div w:id="1262640944">
      <w:bodyDiv w:val="1"/>
      <w:marLeft w:val="0"/>
      <w:marRight w:val="0"/>
      <w:marTop w:val="0"/>
      <w:marBottom w:val="0"/>
      <w:divBdr>
        <w:top w:val="none" w:sz="0" w:space="0" w:color="auto"/>
        <w:left w:val="none" w:sz="0" w:space="0" w:color="auto"/>
        <w:bottom w:val="none" w:sz="0" w:space="0" w:color="auto"/>
        <w:right w:val="none" w:sz="0" w:space="0" w:color="auto"/>
      </w:divBdr>
      <w:divsChild>
        <w:div w:id="200283904">
          <w:marLeft w:val="0"/>
          <w:marRight w:val="0"/>
          <w:marTop w:val="0"/>
          <w:marBottom w:val="0"/>
          <w:divBdr>
            <w:top w:val="none" w:sz="0" w:space="0" w:color="auto"/>
            <w:left w:val="none" w:sz="0" w:space="0" w:color="auto"/>
            <w:bottom w:val="none" w:sz="0" w:space="0" w:color="auto"/>
            <w:right w:val="none" w:sz="0" w:space="0" w:color="auto"/>
          </w:divBdr>
        </w:div>
        <w:div w:id="345064409">
          <w:marLeft w:val="0"/>
          <w:marRight w:val="0"/>
          <w:marTop w:val="0"/>
          <w:marBottom w:val="0"/>
          <w:divBdr>
            <w:top w:val="none" w:sz="0" w:space="0" w:color="auto"/>
            <w:left w:val="none" w:sz="0" w:space="0" w:color="auto"/>
            <w:bottom w:val="none" w:sz="0" w:space="0" w:color="auto"/>
            <w:right w:val="none" w:sz="0" w:space="0" w:color="auto"/>
          </w:divBdr>
        </w:div>
        <w:div w:id="548690977">
          <w:marLeft w:val="0"/>
          <w:marRight w:val="0"/>
          <w:marTop w:val="0"/>
          <w:marBottom w:val="0"/>
          <w:divBdr>
            <w:top w:val="none" w:sz="0" w:space="0" w:color="auto"/>
            <w:left w:val="none" w:sz="0" w:space="0" w:color="auto"/>
            <w:bottom w:val="none" w:sz="0" w:space="0" w:color="auto"/>
            <w:right w:val="none" w:sz="0" w:space="0" w:color="auto"/>
          </w:divBdr>
        </w:div>
        <w:div w:id="1890729810">
          <w:marLeft w:val="0"/>
          <w:marRight w:val="0"/>
          <w:marTop w:val="0"/>
          <w:marBottom w:val="0"/>
          <w:divBdr>
            <w:top w:val="none" w:sz="0" w:space="0" w:color="auto"/>
            <w:left w:val="none" w:sz="0" w:space="0" w:color="auto"/>
            <w:bottom w:val="none" w:sz="0" w:space="0" w:color="auto"/>
            <w:right w:val="none" w:sz="0" w:space="0" w:color="auto"/>
          </w:divBdr>
        </w:div>
        <w:div w:id="1997490234">
          <w:marLeft w:val="0"/>
          <w:marRight w:val="0"/>
          <w:marTop w:val="0"/>
          <w:marBottom w:val="0"/>
          <w:divBdr>
            <w:top w:val="none" w:sz="0" w:space="0" w:color="auto"/>
            <w:left w:val="none" w:sz="0" w:space="0" w:color="auto"/>
            <w:bottom w:val="none" w:sz="0" w:space="0" w:color="auto"/>
            <w:right w:val="none" w:sz="0" w:space="0" w:color="auto"/>
          </w:divBdr>
        </w:div>
        <w:div w:id="2053386077">
          <w:marLeft w:val="0"/>
          <w:marRight w:val="0"/>
          <w:marTop w:val="0"/>
          <w:marBottom w:val="0"/>
          <w:divBdr>
            <w:top w:val="none" w:sz="0" w:space="0" w:color="auto"/>
            <w:left w:val="none" w:sz="0" w:space="0" w:color="auto"/>
            <w:bottom w:val="none" w:sz="0" w:space="0" w:color="auto"/>
            <w:right w:val="none" w:sz="0" w:space="0" w:color="auto"/>
          </w:divBdr>
        </w:div>
      </w:divsChild>
    </w:div>
    <w:div w:id="1264267382">
      <w:bodyDiv w:val="1"/>
      <w:marLeft w:val="0"/>
      <w:marRight w:val="0"/>
      <w:marTop w:val="0"/>
      <w:marBottom w:val="0"/>
      <w:divBdr>
        <w:top w:val="none" w:sz="0" w:space="0" w:color="auto"/>
        <w:left w:val="none" w:sz="0" w:space="0" w:color="auto"/>
        <w:bottom w:val="none" w:sz="0" w:space="0" w:color="auto"/>
        <w:right w:val="none" w:sz="0" w:space="0" w:color="auto"/>
      </w:divBdr>
    </w:div>
    <w:div w:id="1314338478">
      <w:bodyDiv w:val="1"/>
      <w:marLeft w:val="0"/>
      <w:marRight w:val="0"/>
      <w:marTop w:val="0"/>
      <w:marBottom w:val="0"/>
      <w:divBdr>
        <w:top w:val="none" w:sz="0" w:space="0" w:color="auto"/>
        <w:left w:val="none" w:sz="0" w:space="0" w:color="auto"/>
        <w:bottom w:val="none" w:sz="0" w:space="0" w:color="auto"/>
        <w:right w:val="none" w:sz="0" w:space="0" w:color="auto"/>
      </w:divBdr>
    </w:div>
    <w:div w:id="1355569561">
      <w:bodyDiv w:val="1"/>
      <w:marLeft w:val="0"/>
      <w:marRight w:val="0"/>
      <w:marTop w:val="0"/>
      <w:marBottom w:val="0"/>
      <w:divBdr>
        <w:top w:val="none" w:sz="0" w:space="0" w:color="auto"/>
        <w:left w:val="none" w:sz="0" w:space="0" w:color="auto"/>
        <w:bottom w:val="none" w:sz="0" w:space="0" w:color="auto"/>
        <w:right w:val="none" w:sz="0" w:space="0" w:color="auto"/>
      </w:divBdr>
    </w:div>
    <w:div w:id="1383285981">
      <w:bodyDiv w:val="1"/>
      <w:marLeft w:val="0"/>
      <w:marRight w:val="0"/>
      <w:marTop w:val="0"/>
      <w:marBottom w:val="0"/>
      <w:divBdr>
        <w:top w:val="none" w:sz="0" w:space="0" w:color="auto"/>
        <w:left w:val="none" w:sz="0" w:space="0" w:color="auto"/>
        <w:bottom w:val="none" w:sz="0" w:space="0" w:color="auto"/>
        <w:right w:val="none" w:sz="0" w:space="0" w:color="auto"/>
      </w:divBdr>
      <w:divsChild>
        <w:div w:id="694233590">
          <w:marLeft w:val="0"/>
          <w:marRight w:val="0"/>
          <w:marTop w:val="0"/>
          <w:marBottom w:val="0"/>
          <w:divBdr>
            <w:top w:val="none" w:sz="0" w:space="0" w:color="auto"/>
            <w:left w:val="none" w:sz="0" w:space="0" w:color="auto"/>
            <w:bottom w:val="none" w:sz="0" w:space="0" w:color="auto"/>
            <w:right w:val="none" w:sz="0" w:space="0" w:color="auto"/>
          </w:divBdr>
        </w:div>
        <w:div w:id="1653562817">
          <w:marLeft w:val="0"/>
          <w:marRight w:val="0"/>
          <w:marTop w:val="0"/>
          <w:marBottom w:val="0"/>
          <w:divBdr>
            <w:top w:val="none" w:sz="0" w:space="0" w:color="auto"/>
            <w:left w:val="none" w:sz="0" w:space="0" w:color="auto"/>
            <w:bottom w:val="none" w:sz="0" w:space="0" w:color="auto"/>
            <w:right w:val="none" w:sz="0" w:space="0" w:color="auto"/>
          </w:divBdr>
        </w:div>
      </w:divsChild>
    </w:div>
    <w:div w:id="1397317375">
      <w:bodyDiv w:val="1"/>
      <w:marLeft w:val="0"/>
      <w:marRight w:val="0"/>
      <w:marTop w:val="0"/>
      <w:marBottom w:val="0"/>
      <w:divBdr>
        <w:top w:val="none" w:sz="0" w:space="0" w:color="auto"/>
        <w:left w:val="none" w:sz="0" w:space="0" w:color="auto"/>
        <w:bottom w:val="none" w:sz="0" w:space="0" w:color="auto"/>
        <w:right w:val="none" w:sz="0" w:space="0" w:color="auto"/>
      </w:divBdr>
      <w:divsChild>
        <w:div w:id="113444730">
          <w:marLeft w:val="0"/>
          <w:marRight w:val="0"/>
          <w:marTop w:val="0"/>
          <w:marBottom w:val="0"/>
          <w:divBdr>
            <w:top w:val="none" w:sz="0" w:space="0" w:color="auto"/>
            <w:left w:val="none" w:sz="0" w:space="0" w:color="auto"/>
            <w:bottom w:val="none" w:sz="0" w:space="0" w:color="auto"/>
            <w:right w:val="none" w:sz="0" w:space="0" w:color="auto"/>
          </w:divBdr>
          <w:divsChild>
            <w:div w:id="20417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4413">
      <w:bodyDiv w:val="1"/>
      <w:marLeft w:val="0"/>
      <w:marRight w:val="0"/>
      <w:marTop w:val="0"/>
      <w:marBottom w:val="0"/>
      <w:divBdr>
        <w:top w:val="none" w:sz="0" w:space="0" w:color="auto"/>
        <w:left w:val="none" w:sz="0" w:space="0" w:color="auto"/>
        <w:bottom w:val="none" w:sz="0" w:space="0" w:color="auto"/>
        <w:right w:val="none" w:sz="0" w:space="0" w:color="auto"/>
      </w:divBdr>
    </w:div>
    <w:div w:id="1449160729">
      <w:bodyDiv w:val="1"/>
      <w:marLeft w:val="0"/>
      <w:marRight w:val="0"/>
      <w:marTop w:val="0"/>
      <w:marBottom w:val="0"/>
      <w:divBdr>
        <w:top w:val="none" w:sz="0" w:space="0" w:color="auto"/>
        <w:left w:val="none" w:sz="0" w:space="0" w:color="auto"/>
        <w:bottom w:val="none" w:sz="0" w:space="0" w:color="auto"/>
        <w:right w:val="none" w:sz="0" w:space="0" w:color="auto"/>
      </w:divBdr>
      <w:divsChild>
        <w:div w:id="798762689">
          <w:marLeft w:val="0"/>
          <w:marRight w:val="0"/>
          <w:marTop w:val="0"/>
          <w:marBottom w:val="0"/>
          <w:divBdr>
            <w:top w:val="none" w:sz="0" w:space="0" w:color="auto"/>
            <w:left w:val="none" w:sz="0" w:space="0" w:color="auto"/>
            <w:bottom w:val="none" w:sz="0" w:space="0" w:color="auto"/>
            <w:right w:val="none" w:sz="0" w:space="0" w:color="auto"/>
          </w:divBdr>
        </w:div>
      </w:divsChild>
    </w:div>
    <w:div w:id="1481188548">
      <w:bodyDiv w:val="1"/>
      <w:marLeft w:val="0"/>
      <w:marRight w:val="0"/>
      <w:marTop w:val="0"/>
      <w:marBottom w:val="0"/>
      <w:divBdr>
        <w:top w:val="none" w:sz="0" w:space="0" w:color="auto"/>
        <w:left w:val="none" w:sz="0" w:space="0" w:color="auto"/>
        <w:bottom w:val="none" w:sz="0" w:space="0" w:color="auto"/>
        <w:right w:val="none" w:sz="0" w:space="0" w:color="auto"/>
      </w:divBdr>
    </w:div>
    <w:div w:id="1515462673">
      <w:bodyDiv w:val="1"/>
      <w:marLeft w:val="0"/>
      <w:marRight w:val="0"/>
      <w:marTop w:val="0"/>
      <w:marBottom w:val="0"/>
      <w:divBdr>
        <w:top w:val="none" w:sz="0" w:space="0" w:color="auto"/>
        <w:left w:val="none" w:sz="0" w:space="0" w:color="auto"/>
        <w:bottom w:val="none" w:sz="0" w:space="0" w:color="auto"/>
        <w:right w:val="none" w:sz="0" w:space="0" w:color="auto"/>
      </w:divBdr>
      <w:divsChild>
        <w:div w:id="672882540">
          <w:marLeft w:val="0"/>
          <w:marRight w:val="0"/>
          <w:marTop w:val="0"/>
          <w:marBottom w:val="0"/>
          <w:divBdr>
            <w:top w:val="none" w:sz="0" w:space="0" w:color="auto"/>
            <w:left w:val="none" w:sz="0" w:space="0" w:color="auto"/>
            <w:bottom w:val="none" w:sz="0" w:space="0" w:color="auto"/>
            <w:right w:val="none" w:sz="0" w:space="0" w:color="auto"/>
          </w:divBdr>
          <w:divsChild>
            <w:div w:id="2026595536">
              <w:marLeft w:val="0"/>
              <w:marRight w:val="0"/>
              <w:marTop w:val="0"/>
              <w:marBottom w:val="0"/>
              <w:divBdr>
                <w:top w:val="none" w:sz="0" w:space="0" w:color="auto"/>
                <w:left w:val="none" w:sz="0" w:space="0" w:color="auto"/>
                <w:bottom w:val="none" w:sz="0" w:space="0" w:color="auto"/>
                <w:right w:val="none" w:sz="0" w:space="0" w:color="auto"/>
              </w:divBdr>
            </w:div>
          </w:divsChild>
        </w:div>
        <w:div w:id="1477334195">
          <w:marLeft w:val="0"/>
          <w:marRight w:val="0"/>
          <w:marTop w:val="0"/>
          <w:marBottom w:val="0"/>
          <w:divBdr>
            <w:top w:val="none" w:sz="0" w:space="0" w:color="auto"/>
            <w:left w:val="none" w:sz="0" w:space="0" w:color="auto"/>
            <w:bottom w:val="none" w:sz="0" w:space="0" w:color="auto"/>
            <w:right w:val="none" w:sz="0" w:space="0" w:color="auto"/>
          </w:divBdr>
          <w:divsChild>
            <w:div w:id="5891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14571">
      <w:bodyDiv w:val="1"/>
      <w:marLeft w:val="0"/>
      <w:marRight w:val="0"/>
      <w:marTop w:val="0"/>
      <w:marBottom w:val="0"/>
      <w:divBdr>
        <w:top w:val="none" w:sz="0" w:space="0" w:color="auto"/>
        <w:left w:val="none" w:sz="0" w:space="0" w:color="auto"/>
        <w:bottom w:val="none" w:sz="0" w:space="0" w:color="auto"/>
        <w:right w:val="none" w:sz="0" w:space="0" w:color="auto"/>
      </w:divBdr>
    </w:div>
    <w:div w:id="1637954865">
      <w:bodyDiv w:val="1"/>
      <w:marLeft w:val="0"/>
      <w:marRight w:val="0"/>
      <w:marTop w:val="0"/>
      <w:marBottom w:val="0"/>
      <w:divBdr>
        <w:top w:val="none" w:sz="0" w:space="0" w:color="auto"/>
        <w:left w:val="none" w:sz="0" w:space="0" w:color="auto"/>
        <w:bottom w:val="none" w:sz="0" w:space="0" w:color="auto"/>
        <w:right w:val="none" w:sz="0" w:space="0" w:color="auto"/>
      </w:divBdr>
    </w:div>
    <w:div w:id="1671980276">
      <w:bodyDiv w:val="1"/>
      <w:marLeft w:val="0"/>
      <w:marRight w:val="0"/>
      <w:marTop w:val="0"/>
      <w:marBottom w:val="0"/>
      <w:divBdr>
        <w:top w:val="none" w:sz="0" w:space="0" w:color="auto"/>
        <w:left w:val="none" w:sz="0" w:space="0" w:color="auto"/>
        <w:bottom w:val="none" w:sz="0" w:space="0" w:color="auto"/>
        <w:right w:val="none" w:sz="0" w:space="0" w:color="auto"/>
      </w:divBdr>
      <w:divsChild>
        <w:div w:id="2090419684">
          <w:marLeft w:val="0"/>
          <w:marRight w:val="0"/>
          <w:marTop w:val="0"/>
          <w:marBottom w:val="0"/>
          <w:divBdr>
            <w:top w:val="none" w:sz="0" w:space="0" w:color="auto"/>
            <w:left w:val="none" w:sz="0" w:space="0" w:color="auto"/>
            <w:bottom w:val="none" w:sz="0" w:space="0" w:color="auto"/>
            <w:right w:val="none" w:sz="0" w:space="0" w:color="auto"/>
          </w:divBdr>
          <w:divsChild>
            <w:div w:id="113830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07482">
      <w:bodyDiv w:val="1"/>
      <w:marLeft w:val="0"/>
      <w:marRight w:val="0"/>
      <w:marTop w:val="0"/>
      <w:marBottom w:val="0"/>
      <w:divBdr>
        <w:top w:val="none" w:sz="0" w:space="0" w:color="auto"/>
        <w:left w:val="none" w:sz="0" w:space="0" w:color="auto"/>
        <w:bottom w:val="none" w:sz="0" w:space="0" w:color="auto"/>
        <w:right w:val="none" w:sz="0" w:space="0" w:color="auto"/>
      </w:divBdr>
    </w:div>
    <w:div w:id="1760635459">
      <w:bodyDiv w:val="1"/>
      <w:marLeft w:val="0"/>
      <w:marRight w:val="0"/>
      <w:marTop w:val="0"/>
      <w:marBottom w:val="0"/>
      <w:divBdr>
        <w:top w:val="none" w:sz="0" w:space="0" w:color="auto"/>
        <w:left w:val="none" w:sz="0" w:space="0" w:color="auto"/>
        <w:bottom w:val="none" w:sz="0" w:space="0" w:color="auto"/>
        <w:right w:val="none" w:sz="0" w:space="0" w:color="auto"/>
      </w:divBdr>
      <w:divsChild>
        <w:div w:id="80419609">
          <w:marLeft w:val="0"/>
          <w:marRight w:val="0"/>
          <w:marTop w:val="0"/>
          <w:marBottom w:val="0"/>
          <w:divBdr>
            <w:top w:val="none" w:sz="0" w:space="0" w:color="auto"/>
            <w:left w:val="none" w:sz="0" w:space="0" w:color="auto"/>
            <w:bottom w:val="none" w:sz="0" w:space="0" w:color="auto"/>
            <w:right w:val="none" w:sz="0" w:space="0" w:color="auto"/>
          </w:divBdr>
        </w:div>
        <w:div w:id="136270008">
          <w:marLeft w:val="0"/>
          <w:marRight w:val="0"/>
          <w:marTop w:val="0"/>
          <w:marBottom w:val="0"/>
          <w:divBdr>
            <w:top w:val="none" w:sz="0" w:space="0" w:color="auto"/>
            <w:left w:val="none" w:sz="0" w:space="0" w:color="auto"/>
            <w:bottom w:val="none" w:sz="0" w:space="0" w:color="auto"/>
            <w:right w:val="none" w:sz="0" w:space="0" w:color="auto"/>
          </w:divBdr>
        </w:div>
        <w:div w:id="646130016">
          <w:marLeft w:val="0"/>
          <w:marRight w:val="0"/>
          <w:marTop w:val="0"/>
          <w:marBottom w:val="0"/>
          <w:divBdr>
            <w:top w:val="none" w:sz="0" w:space="0" w:color="auto"/>
            <w:left w:val="none" w:sz="0" w:space="0" w:color="auto"/>
            <w:bottom w:val="none" w:sz="0" w:space="0" w:color="auto"/>
            <w:right w:val="none" w:sz="0" w:space="0" w:color="auto"/>
          </w:divBdr>
        </w:div>
        <w:div w:id="653486263">
          <w:marLeft w:val="0"/>
          <w:marRight w:val="0"/>
          <w:marTop w:val="0"/>
          <w:marBottom w:val="0"/>
          <w:divBdr>
            <w:top w:val="none" w:sz="0" w:space="0" w:color="auto"/>
            <w:left w:val="none" w:sz="0" w:space="0" w:color="auto"/>
            <w:bottom w:val="none" w:sz="0" w:space="0" w:color="auto"/>
            <w:right w:val="none" w:sz="0" w:space="0" w:color="auto"/>
          </w:divBdr>
        </w:div>
        <w:div w:id="663169422">
          <w:marLeft w:val="0"/>
          <w:marRight w:val="0"/>
          <w:marTop w:val="0"/>
          <w:marBottom w:val="0"/>
          <w:divBdr>
            <w:top w:val="none" w:sz="0" w:space="0" w:color="auto"/>
            <w:left w:val="none" w:sz="0" w:space="0" w:color="auto"/>
            <w:bottom w:val="none" w:sz="0" w:space="0" w:color="auto"/>
            <w:right w:val="none" w:sz="0" w:space="0" w:color="auto"/>
          </w:divBdr>
        </w:div>
        <w:div w:id="1069308386">
          <w:marLeft w:val="0"/>
          <w:marRight w:val="0"/>
          <w:marTop w:val="0"/>
          <w:marBottom w:val="0"/>
          <w:divBdr>
            <w:top w:val="none" w:sz="0" w:space="0" w:color="auto"/>
            <w:left w:val="none" w:sz="0" w:space="0" w:color="auto"/>
            <w:bottom w:val="none" w:sz="0" w:space="0" w:color="auto"/>
            <w:right w:val="none" w:sz="0" w:space="0" w:color="auto"/>
          </w:divBdr>
        </w:div>
        <w:div w:id="1154568480">
          <w:marLeft w:val="0"/>
          <w:marRight w:val="0"/>
          <w:marTop w:val="0"/>
          <w:marBottom w:val="0"/>
          <w:divBdr>
            <w:top w:val="none" w:sz="0" w:space="0" w:color="auto"/>
            <w:left w:val="none" w:sz="0" w:space="0" w:color="auto"/>
            <w:bottom w:val="none" w:sz="0" w:space="0" w:color="auto"/>
            <w:right w:val="none" w:sz="0" w:space="0" w:color="auto"/>
          </w:divBdr>
        </w:div>
        <w:div w:id="1191913579">
          <w:marLeft w:val="0"/>
          <w:marRight w:val="0"/>
          <w:marTop w:val="0"/>
          <w:marBottom w:val="0"/>
          <w:divBdr>
            <w:top w:val="none" w:sz="0" w:space="0" w:color="auto"/>
            <w:left w:val="none" w:sz="0" w:space="0" w:color="auto"/>
            <w:bottom w:val="none" w:sz="0" w:space="0" w:color="auto"/>
            <w:right w:val="none" w:sz="0" w:space="0" w:color="auto"/>
          </w:divBdr>
        </w:div>
        <w:div w:id="1307316554">
          <w:marLeft w:val="0"/>
          <w:marRight w:val="0"/>
          <w:marTop w:val="0"/>
          <w:marBottom w:val="0"/>
          <w:divBdr>
            <w:top w:val="none" w:sz="0" w:space="0" w:color="auto"/>
            <w:left w:val="none" w:sz="0" w:space="0" w:color="auto"/>
            <w:bottom w:val="none" w:sz="0" w:space="0" w:color="auto"/>
            <w:right w:val="none" w:sz="0" w:space="0" w:color="auto"/>
          </w:divBdr>
        </w:div>
        <w:div w:id="1477988119">
          <w:marLeft w:val="0"/>
          <w:marRight w:val="0"/>
          <w:marTop w:val="0"/>
          <w:marBottom w:val="0"/>
          <w:divBdr>
            <w:top w:val="none" w:sz="0" w:space="0" w:color="auto"/>
            <w:left w:val="none" w:sz="0" w:space="0" w:color="auto"/>
            <w:bottom w:val="none" w:sz="0" w:space="0" w:color="auto"/>
            <w:right w:val="none" w:sz="0" w:space="0" w:color="auto"/>
          </w:divBdr>
        </w:div>
        <w:div w:id="1632129479">
          <w:marLeft w:val="0"/>
          <w:marRight w:val="0"/>
          <w:marTop w:val="0"/>
          <w:marBottom w:val="0"/>
          <w:divBdr>
            <w:top w:val="none" w:sz="0" w:space="0" w:color="auto"/>
            <w:left w:val="none" w:sz="0" w:space="0" w:color="auto"/>
            <w:bottom w:val="none" w:sz="0" w:space="0" w:color="auto"/>
            <w:right w:val="none" w:sz="0" w:space="0" w:color="auto"/>
          </w:divBdr>
        </w:div>
        <w:div w:id="1665936824">
          <w:marLeft w:val="0"/>
          <w:marRight w:val="0"/>
          <w:marTop w:val="0"/>
          <w:marBottom w:val="0"/>
          <w:divBdr>
            <w:top w:val="none" w:sz="0" w:space="0" w:color="auto"/>
            <w:left w:val="none" w:sz="0" w:space="0" w:color="auto"/>
            <w:bottom w:val="none" w:sz="0" w:space="0" w:color="auto"/>
            <w:right w:val="none" w:sz="0" w:space="0" w:color="auto"/>
          </w:divBdr>
        </w:div>
        <w:div w:id="1711297755">
          <w:marLeft w:val="0"/>
          <w:marRight w:val="0"/>
          <w:marTop w:val="0"/>
          <w:marBottom w:val="0"/>
          <w:divBdr>
            <w:top w:val="none" w:sz="0" w:space="0" w:color="auto"/>
            <w:left w:val="none" w:sz="0" w:space="0" w:color="auto"/>
            <w:bottom w:val="none" w:sz="0" w:space="0" w:color="auto"/>
            <w:right w:val="none" w:sz="0" w:space="0" w:color="auto"/>
          </w:divBdr>
        </w:div>
        <w:div w:id="1715691302">
          <w:marLeft w:val="0"/>
          <w:marRight w:val="0"/>
          <w:marTop w:val="0"/>
          <w:marBottom w:val="0"/>
          <w:divBdr>
            <w:top w:val="none" w:sz="0" w:space="0" w:color="auto"/>
            <w:left w:val="none" w:sz="0" w:space="0" w:color="auto"/>
            <w:bottom w:val="none" w:sz="0" w:space="0" w:color="auto"/>
            <w:right w:val="none" w:sz="0" w:space="0" w:color="auto"/>
          </w:divBdr>
        </w:div>
        <w:div w:id="1852601985">
          <w:marLeft w:val="0"/>
          <w:marRight w:val="0"/>
          <w:marTop w:val="0"/>
          <w:marBottom w:val="0"/>
          <w:divBdr>
            <w:top w:val="none" w:sz="0" w:space="0" w:color="auto"/>
            <w:left w:val="none" w:sz="0" w:space="0" w:color="auto"/>
            <w:bottom w:val="none" w:sz="0" w:space="0" w:color="auto"/>
            <w:right w:val="none" w:sz="0" w:space="0" w:color="auto"/>
          </w:divBdr>
        </w:div>
        <w:div w:id="1936597085">
          <w:marLeft w:val="0"/>
          <w:marRight w:val="0"/>
          <w:marTop w:val="0"/>
          <w:marBottom w:val="0"/>
          <w:divBdr>
            <w:top w:val="none" w:sz="0" w:space="0" w:color="auto"/>
            <w:left w:val="none" w:sz="0" w:space="0" w:color="auto"/>
            <w:bottom w:val="none" w:sz="0" w:space="0" w:color="auto"/>
            <w:right w:val="none" w:sz="0" w:space="0" w:color="auto"/>
          </w:divBdr>
        </w:div>
        <w:div w:id="2033727748">
          <w:marLeft w:val="0"/>
          <w:marRight w:val="0"/>
          <w:marTop w:val="0"/>
          <w:marBottom w:val="0"/>
          <w:divBdr>
            <w:top w:val="none" w:sz="0" w:space="0" w:color="auto"/>
            <w:left w:val="none" w:sz="0" w:space="0" w:color="auto"/>
            <w:bottom w:val="none" w:sz="0" w:space="0" w:color="auto"/>
            <w:right w:val="none" w:sz="0" w:space="0" w:color="auto"/>
          </w:divBdr>
        </w:div>
        <w:div w:id="2047876362">
          <w:marLeft w:val="0"/>
          <w:marRight w:val="0"/>
          <w:marTop w:val="0"/>
          <w:marBottom w:val="0"/>
          <w:divBdr>
            <w:top w:val="none" w:sz="0" w:space="0" w:color="auto"/>
            <w:left w:val="none" w:sz="0" w:space="0" w:color="auto"/>
            <w:bottom w:val="none" w:sz="0" w:space="0" w:color="auto"/>
            <w:right w:val="none" w:sz="0" w:space="0" w:color="auto"/>
          </w:divBdr>
        </w:div>
      </w:divsChild>
    </w:div>
    <w:div w:id="1772505194">
      <w:bodyDiv w:val="1"/>
      <w:marLeft w:val="0"/>
      <w:marRight w:val="0"/>
      <w:marTop w:val="0"/>
      <w:marBottom w:val="0"/>
      <w:divBdr>
        <w:top w:val="none" w:sz="0" w:space="0" w:color="auto"/>
        <w:left w:val="none" w:sz="0" w:space="0" w:color="auto"/>
        <w:bottom w:val="none" w:sz="0" w:space="0" w:color="auto"/>
        <w:right w:val="none" w:sz="0" w:space="0" w:color="auto"/>
      </w:divBdr>
      <w:divsChild>
        <w:div w:id="118573911">
          <w:marLeft w:val="0"/>
          <w:marRight w:val="0"/>
          <w:marTop w:val="0"/>
          <w:marBottom w:val="0"/>
          <w:divBdr>
            <w:top w:val="none" w:sz="0" w:space="0" w:color="auto"/>
            <w:left w:val="none" w:sz="0" w:space="0" w:color="auto"/>
            <w:bottom w:val="none" w:sz="0" w:space="0" w:color="auto"/>
            <w:right w:val="none" w:sz="0" w:space="0" w:color="auto"/>
          </w:divBdr>
        </w:div>
      </w:divsChild>
    </w:div>
    <w:div w:id="1825121758">
      <w:bodyDiv w:val="1"/>
      <w:marLeft w:val="0"/>
      <w:marRight w:val="0"/>
      <w:marTop w:val="0"/>
      <w:marBottom w:val="0"/>
      <w:divBdr>
        <w:top w:val="none" w:sz="0" w:space="0" w:color="auto"/>
        <w:left w:val="none" w:sz="0" w:space="0" w:color="auto"/>
        <w:bottom w:val="none" w:sz="0" w:space="0" w:color="auto"/>
        <w:right w:val="none" w:sz="0" w:space="0" w:color="auto"/>
      </w:divBdr>
    </w:div>
    <w:div w:id="1844511876">
      <w:bodyDiv w:val="1"/>
      <w:marLeft w:val="0"/>
      <w:marRight w:val="0"/>
      <w:marTop w:val="0"/>
      <w:marBottom w:val="0"/>
      <w:divBdr>
        <w:top w:val="none" w:sz="0" w:space="0" w:color="auto"/>
        <w:left w:val="none" w:sz="0" w:space="0" w:color="auto"/>
        <w:bottom w:val="none" w:sz="0" w:space="0" w:color="auto"/>
        <w:right w:val="none" w:sz="0" w:space="0" w:color="auto"/>
      </w:divBdr>
      <w:divsChild>
        <w:div w:id="1481655013">
          <w:marLeft w:val="0"/>
          <w:marRight w:val="0"/>
          <w:marTop w:val="0"/>
          <w:marBottom w:val="0"/>
          <w:divBdr>
            <w:top w:val="none" w:sz="0" w:space="0" w:color="auto"/>
            <w:left w:val="none" w:sz="0" w:space="0" w:color="auto"/>
            <w:bottom w:val="none" w:sz="0" w:space="0" w:color="auto"/>
            <w:right w:val="none" w:sz="0" w:space="0" w:color="auto"/>
          </w:divBdr>
          <w:divsChild>
            <w:div w:id="430666118">
              <w:marLeft w:val="0"/>
              <w:marRight w:val="0"/>
              <w:marTop w:val="0"/>
              <w:marBottom w:val="0"/>
              <w:divBdr>
                <w:top w:val="none" w:sz="0" w:space="0" w:color="auto"/>
                <w:left w:val="none" w:sz="0" w:space="0" w:color="auto"/>
                <w:bottom w:val="none" w:sz="0" w:space="0" w:color="auto"/>
                <w:right w:val="none" w:sz="0" w:space="0" w:color="auto"/>
              </w:divBdr>
              <w:divsChild>
                <w:div w:id="1662392879">
                  <w:marLeft w:val="0"/>
                  <w:marRight w:val="0"/>
                  <w:marTop w:val="0"/>
                  <w:marBottom w:val="0"/>
                  <w:divBdr>
                    <w:top w:val="none" w:sz="0" w:space="0" w:color="auto"/>
                    <w:left w:val="none" w:sz="0" w:space="0" w:color="auto"/>
                    <w:bottom w:val="none" w:sz="0" w:space="0" w:color="auto"/>
                    <w:right w:val="none" w:sz="0" w:space="0" w:color="auto"/>
                  </w:divBdr>
                  <w:divsChild>
                    <w:div w:id="63205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219455">
      <w:bodyDiv w:val="1"/>
      <w:marLeft w:val="0"/>
      <w:marRight w:val="0"/>
      <w:marTop w:val="0"/>
      <w:marBottom w:val="0"/>
      <w:divBdr>
        <w:top w:val="none" w:sz="0" w:space="0" w:color="auto"/>
        <w:left w:val="none" w:sz="0" w:space="0" w:color="auto"/>
        <w:bottom w:val="none" w:sz="0" w:space="0" w:color="auto"/>
        <w:right w:val="none" w:sz="0" w:space="0" w:color="auto"/>
      </w:divBdr>
    </w:div>
    <w:div w:id="1907494762">
      <w:bodyDiv w:val="1"/>
      <w:marLeft w:val="0"/>
      <w:marRight w:val="0"/>
      <w:marTop w:val="0"/>
      <w:marBottom w:val="0"/>
      <w:divBdr>
        <w:top w:val="none" w:sz="0" w:space="0" w:color="auto"/>
        <w:left w:val="none" w:sz="0" w:space="0" w:color="auto"/>
        <w:bottom w:val="none" w:sz="0" w:space="0" w:color="auto"/>
        <w:right w:val="none" w:sz="0" w:space="0" w:color="auto"/>
      </w:divBdr>
      <w:divsChild>
        <w:div w:id="31729910">
          <w:marLeft w:val="0"/>
          <w:marRight w:val="0"/>
          <w:marTop w:val="0"/>
          <w:marBottom w:val="0"/>
          <w:divBdr>
            <w:top w:val="none" w:sz="0" w:space="0" w:color="auto"/>
            <w:left w:val="none" w:sz="0" w:space="0" w:color="auto"/>
            <w:bottom w:val="none" w:sz="0" w:space="0" w:color="auto"/>
            <w:right w:val="none" w:sz="0" w:space="0" w:color="auto"/>
          </w:divBdr>
        </w:div>
        <w:div w:id="42365974">
          <w:marLeft w:val="0"/>
          <w:marRight w:val="0"/>
          <w:marTop w:val="0"/>
          <w:marBottom w:val="0"/>
          <w:divBdr>
            <w:top w:val="none" w:sz="0" w:space="0" w:color="auto"/>
            <w:left w:val="none" w:sz="0" w:space="0" w:color="auto"/>
            <w:bottom w:val="none" w:sz="0" w:space="0" w:color="auto"/>
            <w:right w:val="none" w:sz="0" w:space="0" w:color="auto"/>
          </w:divBdr>
        </w:div>
        <w:div w:id="212816008">
          <w:marLeft w:val="0"/>
          <w:marRight w:val="0"/>
          <w:marTop w:val="0"/>
          <w:marBottom w:val="0"/>
          <w:divBdr>
            <w:top w:val="none" w:sz="0" w:space="0" w:color="auto"/>
            <w:left w:val="none" w:sz="0" w:space="0" w:color="auto"/>
            <w:bottom w:val="none" w:sz="0" w:space="0" w:color="auto"/>
            <w:right w:val="none" w:sz="0" w:space="0" w:color="auto"/>
          </w:divBdr>
        </w:div>
        <w:div w:id="301236179">
          <w:marLeft w:val="0"/>
          <w:marRight w:val="0"/>
          <w:marTop w:val="0"/>
          <w:marBottom w:val="0"/>
          <w:divBdr>
            <w:top w:val="none" w:sz="0" w:space="0" w:color="auto"/>
            <w:left w:val="none" w:sz="0" w:space="0" w:color="auto"/>
            <w:bottom w:val="none" w:sz="0" w:space="0" w:color="auto"/>
            <w:right w:val="none" w:sz="0" w:space="0" w:color="auto"/>
          </w:divBdr>
        </w:div>
        <w:div w:id="305403105">
          <w:marLeft w:val="0"/>
          <w:marRight w:val="0"/>
          <w:marTop w:val="0"/>
          <w:marBottom w:val="0"/>
          <w:divBdr>
            <w:top w:val="none" w:sz="0" w:space="0" w:color="auto"/>
            <w:left w:val="none" w:sz="0" w:space="0" w:color="auto"/>
            <w:bottom w:val="none" w:sz="0" w:space="0" w:color="auto"/>
            <w:right w:val="none" w:sz="0" w:space="0" w:color="auto"/>
          </w:divBdr>
        </w:div>
        <w:div w:id="444036258">
          <w:marLeft w:val="0"/>
          <w:marRight w:val="0"/>
          <w:marTop w:val="0"/>
          <w:marBottom w:val="0"/>
          <w:divBdr>
            <w:top w:val="none" w:sz="0" w:space="0" w:color="auto"/>
            <w:left w:val="none" w:sz="0" w:space="0" w:color="auto"/>
            <w:bottom w:val="none" w:sz="0" w:space="0" w:color="auto"/>
            <w:right w:val="none" w:sz="0" w:space="0" w:color="auto"/>
          </w:divBdr>
        </w:div>
        <w:div w:id="492180007">
          <w:marLeft w:val="0"/>
          <w:marRight w:val="0"/>
          <w:marTop w:val="0"/>
          <w:marBottom w:val="0"/>
          <w:divBdr>
            <w:top w:val="none" w:sz="0" w:space="0" w:color="auto"/>
            <w:left w:val="none" w:sz="0" w:space="0" w:color="auto"/>
            <w:bottom w:val="none" w:sz="0" w:space="0" w:color="auto"/>
            <w:right w:val="none" w:sz="0" w:space="0" w:color="auto"/>
          </w:divBdr>
        </w:div>
        <w:div w:id="538250715">
          <w:marLeft w:val="0"/>
          <w:marRight w:val="0"/>
          <w:marTop w:val="0"/>
          <w:marBottom w:val="0"/>
          <w:divBdr>
            <w:top w:val="none" w:sz="0" w:space="0" w:color="auto"/>
            <w:left w:val="none" w:sz="0" w:space="0" w:color="auto"/>
            <w:bottom w:val="none" w:sz="0" w:space="0" w:color="auto"/>
            <w:right w:val="none" w:sz="0" w:space="0" w:color="auto"/>
          </w:divBdr>
        </w:div>
        <w:div w:id="583224476">
          <w:marLeft w:val="0"/>
          <w:marRight w:val="0"/>
          <w:marTop w:val="0"/>
          <w:marBottom w:val="0"/>
          <w:divBdr>
            <w:top w:val="none" w:sz="0" w:space="0" w:color="auto"/>
            <w:left w:val="none" w:sz="0" w:space="0" w:color="auto"/>
            <w:bottom w:val="none" w:sz="0" w:space="0" w:color="auto"/>
            <w:right w:val="none" w:sz="0" w:space="0" w:color="auto"/>
          </w:divBdr>
        </w:div>
        <w:div w:id="1026326273">
          <w:marLeft w:val="0"/>
          <w:marRight w:val="0"/>
          <w:marTop w:val="0"/>
          <w:marBottom w:val="0"/>
          <w:divBdr>
            <w:top w:val="none" w:sz="0" w:space="0" w:color="auto"/>
            <w:left w:val="none" w:sz="0" w:space="0" w:color="auto"/>
            <w:bottom w:val="none" w:sz="0" w:space="0" w:color="auto"/>
            <w:right w:val="none" w:sz="0" w:space="0" w:color="auto"/>
          </w:divBdr>
        </w:div>
        <w:div w:id="1445030567">
          <w:marLeft w:val="0"/>
          <w:marRight w:val="0"/>
          <w:marTop w:val="0"/>
          <w:marBottom w:val="0"/>
          <w:divBdr>
            <w:top w:val="none" w:sz="0" w:space="0" w:color="auto"/>
            <w:left w:val="none" w:sz="0" w:space="0" w:color="auto"/>
            <w:bottom w:val="none" w:sz="0" w:space="0" w:color="auto"/>
            <w:right w:val="none" w:sz="0" w:space="0" w:color="auto"/>
          </w:divBdr>
        </w:div>
        <w:div w:id="1907959479">
          <w:marLeft w:val="0"/>
          <w:marRight w:val="0"/>
          <w:marTop w:val="0"/>
          <w:marBottom w:val="0"/>
          <w:divBdr>
            <w:top w:val="none" w:sz="0" w:space="0" w:color="auto"/>
            <w:left w:val="none" w:sz="0" w:space="0" w:color="auto"/>
            <w:bottom w:val="none" w:sz="0" w:space="0" w:color="auto"/>
            <w:right w:val="none" w:sz="0" w:space="0" w:color="auto"/>
          </w:divBdr>
        </w:div>
        <w:div w:id="1971786871">
          <w:marLeft w:val="0"/>
          <w:marRight w:val="0"/>
          <w:marTop w:val="0"/>
          <w:marBottom w:val="0"/>
          <w:divBdr>
            <w:top w:val="none" w:sz="0" w:space="0" w:color="auto"/>
            <w:left w:val="none" w:sz="0" w:space="0" w:color="auto"/>
            <w:bottom w:val="none" w:sz="0" w:space="0" w:color="auto"/>
            <w:right w:val="none" w:sz="0" w:space="0" w:color="auto"/>
          </w:divBdr>
        </w:div>
        <w:div w:id="2013872305">
          <w:marLeft w:val="0"/>
          <w:marRight w:val="0"/>
          <w:marTop w:val="0"/>
          <w:marBottom w:val="0"/>
          <w:divBdr>
            <w:top w:val="none" w:sz="0" w:space="0" w:color="auto"/>
            <w:left w:val="none" w:sz="0" w:space="0" w:color="auto"/>
            <w:bottom w:val="none" w:sz="0" w:space="0" w:color="auto"/>
            <w:right w:val="none" w:sz="0" w:space="0" w:color="auto"/>
          </w:divBdr>
        </w:div>
        <w:div w:id="2015574253">
          <w:marLeft w:val="0"/>
          <w:marRight w:val="0"/>
          <w:marTop w:val="0"/>
          <w:marBottom w:val="0"/>
          <w:divBdr>
            <w:top w:val="none" w:sz="0" w:space="0" w:color="auto"/>
            <w:left w:val="none" w:sz="0" w:space="0" w:color="auto"/>
            <w:bottom w:val="none" w:sz="0" w:space="0" w:color="auto"/>
            <w:right w:val="none" w:sz="0" w:space="0" w:color="auto"/>
          </w:divBdr>
        </w:div>
        <w:div w:id="2017611371">
          <w:marLeft w:val="0"/>
          <w:marRight w:val="0"/>
          <w:marTop w:val="0"/>
          <w:marBottom w:val="0"/>
          <w:divBdr>
            <w:top w:val="none" w:sz="0" w:space="0" w:color="auto"/>
            <w:left w:val="none" w:sz="0" w:space="0" w:color="auto"/>
            <w:bottom w:val="none" w:sz="0" w:space="0" w:color="auto"/>
            <w:right w:val="none" w:sz="0" w:space="0" w:color="auto"/>
          </w:divBdr>
        </w:div>
        <w:div w:id="2132239824">
          <w:marLeft w:val="0"/>
          <w:marRight w:val="0"/>
          <w:marTop w:val="0"/>
          <w:marBottom w:val="0"/>
          <w:divBdr>
            <w:top w:val="none" w:sz="0" w:space="0" w:color="auto"/>
            <w:left w:val="none" w:sz="0" w:space="0" w:color="auto"/>
            <w:bottom w:val="none" w:sz="0" w:space="0" w:color="auto"/>
            <w:right w:val="none" w:sz="0" w:space="0" w:color="auto"/>
          </w:divBdr>
        </w:div>
        <w:div w:id="214716181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56288-43EC-4AA5-AFA5-1A3B8D21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6084</Words>
  <Characters>36510</Characters>
  <Application>Microsoft Office Word</Application>
  <DocSecurity>0</DocSecurity>
  <Lines>304</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42509</CharactersWithSpaces>
  <SharedDoc>false</SharedDoc>
  <HLinks>
    <vt:vector size="12" baseType="variant">
      <vt:variant>
        <vt:i4>5963841</vt:i4>
      </vt:variant>
      <vt:variant>
        <vt:i4>0</vt:i4>
      </vt:variant>
      <vt:variant>
        <vt:i4>0</vt:i4>
      </vt:variant>
      <vt:variant>
        <vt:i4>5</vt:i4>
      </vt:variant>
      <vt:variant>
        <vt:lpwstr>https://sip.legalis.pl/document-view.seam?documentId=mfrxilrtg4zdcnzugi4dmltcmfzwsyy</vt:lpwstr>
      </vt:variant>
      <vt:variant>
        <vt:lpwstr/>
      </vt:variant>
      <vt:variant>
        <vt:i4>1966199</vt:i4>
      </vt:variant>
      <vt:variant>
        <vt:i4>0</vt:i4>
      </vt:variant>
      <vt:variant>
        <vt:i4>0</vt:i4>
      </vt:variant>
      <vt:variant>
        <vt:i4>5</vt:i4>
      </vt:variant>
      <vt:variant>
        <vt:lpwstr>https://climate.ec.europa.eu/eu-action/transport/reducing-emissions-shipping-sector_en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2026-07-29T09:20:00Z</dcterms:created>
  <dcterms:modified xsi:type="dcterms:W3CDTF">2026-07-29T09:20:00Z</dcterms:modified>
</cp:coreProperties>
</file>