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9580" w14:textId="77777777" w:rsidR="00FB31FC" w:rsidRPr="005466C2" w:rsidRDefault="00023295" w:rsidP="005466C2">
      <w:pPr>
        <w:spacing w:after="24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466C2">
        <w:rPr>
          <w:rFonts w:ascii="Times New Roman" w:hAnsi="Times New Roman" w:cs="Times New Roman"/>
        </w:rPr>
        <w:t>UZASADNIENIE</w:t>
      </w:r>
    </w:p>
    <w:p w14:paraId="76211A96" w14:textId="59D7568D" w:rsidR="00FB31FC" w:rsidRPr="005466C2" w:rsidRDefault="00023295" w:rsidP="005466C2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  <w:b/>
        </w:rPr>
        <w:t>Potrzeba i cel związania Rzeczypospolitej Polskiej Porozumieniem</w:t>
      </w:r>
    </w:p>
    <w:p w14:paraId="6F05E520" w14:textId="77777777" w:rsidR="0070054B" w:rsidRPr="00810756" w:rsidRDefault="0070054B" w:rsidP="005466C2">
      <w:pPr>
        <w:spacing w:before="120"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  <w:r w:rsidRPr="00810756">
        <w:rPr>
          <w:rFonts w:ascii="Times New Roman" w:hAnsi="Times New Roman" w:cs="Times New Roman"/>
        </w:rPr>
        <w:t>Umowy o popieraniu i wzajemnej ochronie inwestycji zapewniają inwestorowi i jego inwestycjom z państwa – strony umowy na terytorium państwa – drugiej strony umowy ochronę oraz możliwość dochodzenia roszczeń przed międzynarodowym trybunałem inwestycyjnym (arbitrażowym).</w:t>
      </w:r>
    </w:p>
    <w:p w14:paraId="7246C77D" w14:textId="08E176DC" w:rsidR="00CA6BED" w:rsidRPr="00810756" w:rsidRDefault="002668C3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756">
        <w:rPr>
          <w:rFonts w:ascii="Times New Roman" w:hAnsi="Times New Roman" w:cs="Times New Roman"/>
          <w:color w:val="000000"/>
        </w:rPr>
        <w:t>Notą z</w:t>
      </w:r>
      <w:r w:rsidR="008143E0" w:rsidRPr="00810756">
        <w:rPr>
          <w:rFonts w:ascii="Times New Roman" w:hAnsi="Times New Roman" w:cs="Times New Roman"/>
          <w:color w:val="000000"/>
        </w:rPr>
        <w:t xml:space="preserve"> dni</w:t>
      </w:r>
      <w:r w:rsidRPr="00810756">
        <w:rPr>
          <w:rFonts w:ascii="Times New Roman" w:hAnsi="Times New Roman" w:cs="Times New Roman"/>
          <w:color w:val="000000"/>
        </w:rPr>
        <w:t>a</w:t>
      </w:r>
      <w:r w:rsidR="008143E0" w:rsidRPr="00810756">
        <w:rPr>
          <w:rFonts w:ascii="Times New Roman" w:hAnsi="Times New Roman" w:cs="Times New Roman"/>
          <w:color w:val="000000"/>
        </w:rPr>
        <w:t xml:space="preserve"> 17 </w:t>
      </w:r>
      <w:r w:rsidR="00602DC5" w:rsidRPr="00810756">
        <w:rPr>
          <w:rFonts w:ascii="Times New Roman" w:hAnsi="Times New Roman" w:cs="Times New Roman"/>
          <w:color w:val="000000"/>
        </w:rPr>
        <w:t xml:space="preserve">września </w:t>
      </w:r>
      <w:r w:rsidR="008143E0" w:rsidRPr="00810756">
        <w:rPr>
          <w:rFonts w:ascii="Times New Roman" w:hAnsi="Times New Roman" w:cs="Times New Roman"/>
          <w:color w:val="000000"/>
        </w:rPr>
        <w:t xml:space="preserve">2021 r. Ambasada Królestwa Norwegii zwróciła się do Ministerstwa Spraw Zagranicznych Rzeczypospolitej Polskiej z propozycją </w:t>
      </w:r>
      <w:r w:rsidR="001F2F22" w:rsidRPr="0017407B">
        <w:rPr>
          <w:rFonts w:ascii="Times New Roman" w:hAnsi="Times New Roman" w:cs="Times New Roman"/>
          <w:color w:val="000000"/>
        </w:rPr>
        <w:t>z</w:t>
      </w:r>
      <w:r w:rsidR="001F2F22" w:rsidRPr="0017407B">
        <w:rPr>
          <w:rFonts w:ascii="Times New Roman" w:hAnsi="Times New Roman" w:cs="Times New Roman"/>
        </w:rPr>
        <w:t>akończenia obowiązywania</w:t>
      </w:r>
      <w:r w:rsidR="001F2F22" w:rsidRPr="0017407B">
        <w:rPr>
          <w:rFonts w:ascii="Times New Roman" w:hAnsi="Times New Roman" w:cs="Times New Roman"/>
          <w:b/>
        </w:rPr>
        <w:t xml:space="preserve"> </w:t>
      </w:r>
      <w:r w:rsidR="008143E0" w:rsidRPr="0017407B">
        <w:rPr>
          <w:rFonts w:ascii="Times New Roman" w:hAnsi="Times New Roman" w:cs="Times New Roman"/>
        </w:rPr>
        <w:t xml:space="preserve">Umowy między </w:t>
      </w:r>
      <w:r w:rsidR="001F2F22" w:rsidRPr="0017407B">
        <w:rPr>
          <w:rFonts w:ascii="Times New Roman" w:hAnsi="Times New Roman" w:cs="Times New Roman"/>
        </w:rPr>
        <w:t xml:space="preserve">Rządem Rzeczypospolitej Polskiej a </w:t>
      </w:r>
      <w:r w:rsidR="008143E0" w:rsidRPr="0017407B">
        <w:rPr>
          <w:rFonts w:ascii="Times New Roman" w:hAnsi="Times New Roman" w:cs="Times New Roman"/>
        </w:rPr>
        <w:t>Rządem Królestwa Norwegii w sprawie</w:t>
      </w:r>
      <w:r w:rsidR="008143E0" w:rsidRPr="00810756">
        <w:rPr>
          <w:rFonts w:ascii="Times New Roman" w:hAnsi="Times New Roman" w:cs="Times New Roman"/>
        </w:rPr>
        <w:t xml:space="preserve"> popierania i wzajemnej ochrony inwestycji, podpisanej w Warszawie dnia 5 czerwca 1990 r.</w:t>
      </w:r>
      <w:r w:rsidR="00312890" w:rsidRPr="00810756">
        <w:rPr>
          <w:rFonts w:ascii="Times New Roman" w:hAnsi="Times New Roman" w:cs="Times New Roman"/>
        </w:rPr>
        <w:t xml:space="preserve"> </w:t>
      </w:r>
      <w:r w:rsidR="00BE1CB9" w:rsidRPr="00810756">
        <w:rPr>
          <w:rFonts w:ascii="Times New Roman" w:hAnsi="Times New Roman" w:cs="Times New Roman"/>
        </w:rPr>
        <w:t>(</w:t>
      </w:r>
      <w:r w:rsidR="00674295" w:rsidRPr="00810756">
        <w:rPr>
          <w:rFonts w:ascii="Times New Roman" w:eastAsia="Times New Roman" w:hAnsi="Times New Roman" w:cs="Times New Roman"/>
          <w:lang w:eastAsia="pl-PL"/>
        </w:rPr>
        <w:t>Dz. U. poz. 488</w:t>
      </w:r>
      <w:r w:rsidR="00C93AD2" w:rsidRPr="00810756">
        <w:rPr>
          <w:rFonts w:ascii="Times New Roman" w:hAnsi="Times New Roman" w:cs="Times New Roman"/>
        </w:rPr>
        <w:t>)</w:t>
      </w:r>
      <w:r w:rsidR="00BE1CB9" w:rsidRPr="00810756">
        <w:rPr>
          <w:rFonts w:ascii="Times New Roman" w:hAnsi="Times New Roman" w:cs="Times New Roman"/>
        </w:rPr>
        <w:t>, (dalej jako „Umowa”)</w:t>
      </w:r>
      <w:r w:rsidR="00C93AD2" w:rsidRPr="00810756">
        <w:rPr>
          <w:rFonts w:ascii="Times New Roman" w:hAnsi="Times New Roman" w:cs="Times New Roman"/>
        </w:rPr>
        <w:t xml:space="preserve">. </w:t>
      </w:r>
      <w:r w:rsidR="00E55242" w:rsidRPr="00810756">
        <w:rPr>
          <w:rFonts w:ascii="Times New Roman" w:hAnsi="Times New Roman" w:cs="Times New Roman"/>
        </w:rPr>
        <w:t>Ambasada</w:t>
      </w:r>
      <w:r w:rsidR="00312890" w:rsidRPr="00810756">
        <w:rPr>
          <w:rFonts w:ascii="Times New Roman" w:hAnsi="Times New Roman" w:cs="Times New Roman"/>
        </w:rPr>
        <w:t xml:space="preserve"> poinformował</w:t>
      </w:r>
      <w:r w:rsidR="00E55242" w:rsidRPr="00810756">
        <w:rPr>
          <w:rFonts w:ascii="Times New Roman" w:hAnsi="Times New Roman" w:cs="Times New Roman"/>
        </w:rPr>
        <w:t>a</w:t>
      </w:r>
      <w:r w:rsidR="00312890" w:rsidRPr="00810756">
        <w:rPr>
          <w:rFonts w:ascii="Times New Roman" w:hAnsi="Times New Roman" w:cs="Times New Roman"/>
        </w:rPr>
        <w:t xml:space="preserve">, że Rząd Królestwa Norwegii zdecydował się rozwiązać wszystkie umowy o popieraniu i wzajemnej ochronie inwestycji, które Norwegia zawarła z </w:t>
      </w:r>
      <w:r w:rsidR="00D90ACE" w:rsidRPr="00810756">
        <w:rPr>
          <w:rFonts w:ascii="Times New Roman" w:hAnsi="Times New Roman" w:cs="Times New Roman"/>
        </w:rPr>
        <w:t>pozostałymi</w:t>
      </w:r>
      <w:r w:rsidR="00312890" w:rsidRPr="00810756">
        <w:rPr>
          <w:rFonts w:ascii="Times New Roman" w:hAnsi="Times New Roman" w:cs="Times New Roman"/>
        </w:rPr>
        <w:t xml:space="preserve"> członkami </w:t>
      </w:r>
      <w:r w:rsidR="00D90ACE" w:rsidRPr="00810756">
        <w:rPr>
          <w:rFonts w:ascii="Times New Roman" w:hAnsi="Times New Roman" w:cs="Times New Roman"/>
        </w:rPr>
        <w:t>Europejskiego</w:t>
      </w:r>
      <w:r w:rsidR="00312890" w:rsidRPr="00810756">
        <w:rPr>
          <w:rFonts w:ascii="Times New Roman" w:hAnsi="Times New Roman" w:cs="Times New Roman"/>
        </w:rPr>
        <w:t xml:space="preserve"> Obszaru Gospodarczego</w:t>
      </w:r>
      <w:r w:rsidR="00853F3E" w:rsidRPr="00810756">
        <w:rPr>
          <w:rFonts w:ascii="Times New Roman" w:hAnsi="Times New Roman" w:cs="Times New Roman"/>
        </w:rPr>
        <w:t xml:space="preserve">, preferując rozwiązanie za porozumieniem stron. </w:t>
      </w:r>
      <w:r w:rsidR="00312890" w:rsidRPr="00810756">
        <w:rPr>
          <w:rFonts w:ascii="Times New Roman" w:hAnsi="Times New Roman" w:cs="Times New Roman"/>
        </w:rPr>
        <w:t>Wyjaśniono, że Norwegi</w:t>
      </w:r>
      <w:r w:rsidR="00D90ACE" w:rsidRPr="00810756">
        <w:rPr>
          <w:rFonts w:ascii="Times New Roman" w:hAnsi="Times New Roman" w:cs="Times New Roman"/>
        </w:rPr>
        <w:t>a</w:t>
      </w:r>
      <w:r w:rsidR="00312890" w:rsidRPr="00810756">
        <w:rPr>
          <w:rFonts w:ascii="Times New Roman" w:hAnsi="Times New Roman" w:cs="Times New Roman"/>
        </w:rPr>
        <w:t xml:space="preserve"> </w:t>
      </w:r>
      <w:r w:rsidR="004A2353" w:rsidRPr="00810756">
        <w:rPr>
          <w:rFonts w:ascii="Times New Roman" w:hAnsi="Times New Roman" w:cs="Times New Roman"/>
        </w:rPr>
        <w:t>w</w:t>
      </w:r>
      <w:r w:rsidR="004A2353">
        <w:rPr>
          <w:rFonts w:ascii="Times New Roman" w:hAnsi="Times New Roman" w:cs="Times New Roman"/>
        </w:rPr>
        <w:t> </w:t>
      </w:r>
      <w:r w:rsidR="00312890" w:rsidRPr="00810756">
        <w:rPr>
          <w:rFonts w:ascii="Times New Roman" w:hAnsi="Times New Roman" w:cs="Times New Roman"/>
        </w:rPr>
        <w:t xml:space="preserve">swojej decyzji </w:t>
      </w:r>
      <w:r w:rsidR="00D90ACE" w:rsidRPr="00810756">
        <w:rPr>
          <w:rFonts w:ascii="Times New Roman" w:hAnsi="Times New Roman" w:cs="Times New Roman"/>
        </w:rPr>
        <w:t xml:space="preserve">kieruje </w:t>
      </w:r>
      <w:r w:rsidR="00312890" w:rsidRPr="00810756">
        <w:rPr>
          <w:rFonts w:ascii="Times New Roman" w:hAnsi="Times New Roman" w:cs="Times New Roman"/>
        </w:rPr>
        <w:t xml:space="preserve">się </w:t>
      </w:r>
      <w:r w:rsidR="00853F3E" w:rsidRPr="00810756">
        <w:rPr>
          <w:rFonts w:ascii="Times New Roman" w:hAnsi="Times New Roman" w:cs="Times New Roman"/>
        </w:rPr>
        <w:t>ostatnimi wydarzeniami w U</w:t>
      </w:r>
      <w:r w:rsidR="00913384" w:rsidRPr="00810756">
        <w:rPr>
          <w:rFonts w:ascii="Times New Roman" w:hAnsi="Times New Roman" w:cs="Times New Roman"/>
        </w:rPr>
        <w:t xml:space="preserve">nii </w:t>
      </w:r>
      <w:r w:rsidR="00853F3E" w:rsidRPr="00810756">
        <w:rPr>
          <w:rFonts w:ascii="Times New Roman" w:hAnsi="Times New Roman" w:cs="Times New Roman"/>
        </w:rPr>
        <w:t>E</w:t>
      </w:r>
      <w:r w:rsidR="00913384" w:rsidRPr="00810756">
        <w:rPr>
          <w:rFonts w:ascii="Times New Roman" w:hAnsi="Times New Roman" w:cs="Times New Roman"/>
        </w:rPr>
        <w:t>uropejskiej (dalej „UE”)</w:t>
      </w:r>
      <w:r w:rsidR="00853F3E" w:rsidRPr="00810756">
        <w:rPr>
          <w:rFonts w:ascii="Times New Roman" w:hAnsi="Times New Roman" w:cs="Times New Roman"/>
        </w:rPr>
        <w:t xml:space="preserve"> dot</w:t>
      </w:r>
      <w:r w:rsidR="00154F25" w:rsidRPr="00810756">
        <w:rPr>
          <w:rFonts w:ascii="Times New Roman" w:hAnsi="Times New Roman" w:cs="Times New Roman"/>
        </w:rPr>
        <w:t>yczącymi</w:t>
      </w:r>
      <w:r w:rsidR="00853F3E" w:rsidRPr="00810756">
        <w:rPr>
          <w:rFonts w:ascii="Times New Roman" w:hAnsi="Times New Roman" w:cs="Times New Roman"/>
        </w:rPr>
        <w:t xml:space="preserve"> umów inwestycyjnych, a w szczególności </w:t>
      </w:r>
      <w:r w:rsidR="00312890" w:rsidRPr="00810756">
        <w:rPr>
          <w:rFonts w:ascii="Times New Roman" w:hAnsi="Times New Roman" w:cs="Times New Roman"/>
        </w:rPr>
        <w:t>wyrokiem Trybunału Sprawiedliwości UE wydany</w:t>
      </w:r>
      <w:r w:rsidR="00D90ACE" w:rsidRPr="00810756">
        <w:rPr>
          <w:rFonts w:ascii="Times New Roman" w:hAnsi="Times New Roman" w:cs="Times New Roman"/>
        </w:rPr>
        <w:t>m</w:t>
      </w:r>
      <w:r w:rsidR="00312890" w:rsidRPr="00810756">
        <w:rPr>
          <w:rFonts w:ascii="Times New Roman" w:hAnsi="Times New Roman" w:cs="Times New Roman"/>
        </w:rPr>
        <w:t xml:space="preserve"> w dniu 6 marca 2018 r. w sprawie </w:t>
      </w:r>
      <w:proofErr w:type="spellStart"/>
      <w:r w:rsidR="00312890" w:rsidRPr="00810756">
        <w:rPr>
          <w:rFonts w:ascii="Times New Roman" w:hAnsi="Times New Roman" w:cs="Times New Roman"/>
        </w:rPr>
        <w:t>Achmea</w:t>
      </w:r>
      <w:proofErr w:type="spellEnd"/>
      <w:r w:rsidR="00312890" w:rsidRPr="00810756">
        <w:rPr>
          <w:rFonts w:ascii="Times New Roman" w:hAnsi="Times New Roman" w:cs="Times New Roman"/>
        </w:rPr>
        <w:t xml:space="preserve"> B.V. przeciwko Republice Słowacji (C-284/16</w:t>
      </w:r>
      <w:r w:rsidR="00BE1CB9" w:rsidRPr="00810756">
        <w:rPr>
          <w:rFonts w:ascii="Times New Roman" w:hAnsi="Times New Roman" w:cs="Times New Roman"/>
        </w:rPr>
        <w:t>)</w:t>
      </w:r>
      <w:r w:rsidR="00312890" w:rsidRPr="00810756">
        <w:rPr>
          <w:rFonts w:ascii="Times New Roman" w:hAnsi="Times New Roman" w:cs="Times New Roman"/>
        </w:rPr>
        <w:t xml:space="preserve"> </w:t>
      </w:r>
      <w:r w:rsidR="00BE1CB9" w:rsidRPr="00810756">
        <w:rPr>
          <w:rFonts w:ascii="Times New Roman" w:hAnsi="Times New Roman" w:cs="Times New Roman"/>
        </w:rPr>
        <w:t>(</w:t>
      </w:r>
      <w:r w:rsidR="00312890" w:rsidRPr="00810756">
        <w:rPr>
          <w:rFonts w:ascii="Times New Roman" w:hAnsi="Times New Roman" w:cs="Times New Roman"/>
        </w:rPr>
        <w:t xml:space="preserve">dalej jako „orzeczenie TSUE </w:t>
      </w:r>
      <w:proofErr w:type="spellStart"/>
      <w:r w:rsidR="00312890" w:rsidRPr="00810756">
        <w:rPr>
          <w:rFonts w:ascii="Times New Roman" w:hAnsi="Times New Roman" w:cs="Times New Roman"/>
        </w:rPr>
        <w:t>ws</w:t>
      </w:r>
      <w:proofErr w:type="spellEnd"/>
      <w:r w:rsidR="00312890" w:rsidRPr="00810756">
        <w:rPr>
          <w:rFonts w:ascii="Times New Roman" w:hAnsi="Times New Roman" w:cs="Times New Roman"/>
        </w:rPr>
        <w:t xml:space="preserve">. </w:t>
      </w:r>
      <w:proofErr w:type="spellStart"/>
      <w:r w:rsidR="00312890" w:rsidRPr="00810756">
        <w:rPr>
          <w:rFonts w:ascii="Times New Roman" w:hAnsi="Times New Roman" w:cs="Times New Roman"/>
        </w:rPr>
        <w:t>Achmea</w:t>
      </w:r>
      <w:proofErr w:type="spellEnd"/>
      <w:r w:rsidR="00312890" w:rsidRPr="00810756">
        <w:rPr>
          <w:rFonts w:ascii="Times New Roman" w:hAnsi="Times New Roman" w:cs="Times New Roman"/>
        </w:rPr>
        <w:t>”)</w:t>
      </w:r>
      <w:r w:rsidR="00EC6DD5" w:rsidRPr="00810756">
        <w:rPr>
          <w:rFonts w:ascii="Times New Roman" w:hAnsi="Times New Roman" w:cs="Times New Roman"/>
        </w:rPr>
        <w:t>, zgodnie z którym klauzule arbitrażowe inwestor – państwo w umowach zawartych między państwami członkowskimi UE są niezgodne z prawem UE, gdyż naruszają autonomię prawa UE</w:t>
      </w:r>
      <w:r w:rsidR="0070054B" w:rsidRPr="00810756">
        <w:rPr>
          <w:rFonts w:ascii="Times New Roman" w:hAnsi="Times New Roman" w:cs="Times New Roman"/>
        </w:rPr>
        <w:t xml:space="preserve">, </w:t>
      </w:r>
      <w:r w:rsidR="00312890" w:rsidRPr="00810756">
        <w:rPr>
          <w:rFonts w:ascii="Times New Roman" w:hAnsi="Times New Roman" w:cs="Times New Roman"/>
        </w:rPr>
        <w:t xml:space="preserve">oraz </w:t>
      </w:r>
      <w:r w:rsidR="001F330E" w:rsidRPr="00810756">
        <w:rPr>
          <w:rFonts w:ascii="Times New Roman" w:hAnsi="Times New Roman" w:cs="Times New Roman"/>
          <w:i/>
        </w:rPr>
        <w:t xml:space="preserve">Porozumieniem </w:t>
      </w:r>
      <w:r w:rsidR="004A2353" w:rsidRPr="00810756">
        <w:rPr>
          <w:rFonts w:ascii="Times New Roman" w:hAnsi="Times New Roman" w:cs="Times New Roman"/>
        </w:rPr>
        <w:t>o</w:t>
      </w:r>
      <w:r w:rsidR="004A2353">
        <w:rPr>
          <w:rFonts w:ascii="Times New Roman" w:hAnsi="Times New Roman" w:cs="Times New Roman"/>
        </w:rPr>
        <w:t> </w:t>
      </w:r>
      <w:r w:rsidR="001F330E" w:rsidRPr="00810756">
        <w:rPr>
          <w:rFonts w:ascii="Times New Roman" w:hAnsi="Times New Roman" w:cs="Times New Roman"/>
          <w:i/>
          <w:color w:val="000000"/>
        </w:rPr>
        <w:t xml:space="preserve">wygaśnięciu </w:t>
      </w:r>
      <w:r w:rsidR="00154F25" w:rsidRPr="00810756">
        <w:rPr>
          <w:rFonts w:ascii="Times New Roman" w:hAnsi="Times New Roman" w:cs="Times New Roman"/>
          <w:i/>
          <w:color w:val="000000"/>
        </w:rPr>
        <w:t>D</w:t>
      </w:r>
      <w:r w:rsidR="001F330E" w:rsidRPr="00810756">
        <w:rPr>
          <w:rFonts w:ascii="Times New Roman" w:hAnsi="Times New Roman" w:cs="Times New Roman"/>
          <w:i/>
          <w:color w:val="000000"/>
        </w:rPr>
        <w:t xml:space="preserve">wustronnych </w:t>
      </w:r>
      <w:r w:rsidR="00154F25" w:rsidRPr="00810756">
        <w:rPr>
          <w:rFonts w:ascii="Times New Roman" w:hAnsi="Times New Roman" w:cs="Times New Roman"/>
          <w:i/>
          <w:color w:val="000000"/>
        </w:rPr>
        <w:t>T</w:t>
      </w:r>
      <w:r w:rsidR="001F330E" w:rsidRPr="00810756">
        <w:rPr>
          <w:rFonts w:ascii="Times New Roman" w:hAnsi="Times New Roman" w:cs="Times New Roman"/>
          <w:i/>
          <w:color w:val="000000"/>
        </w:rPr>
        <w:t xml:space="preserve">raktatów </w:t>
      </w:r>
      <w:r w:rsidR="00154F25" w:rsidRPr="00810756">
        <w:rPr>
          <w:rFonts w:ascii="Times New Roman" w:hAnsi="Times New Roman" w:cs="Times New Roman"/>
          <w:i/>
          <w:color w:val="000000"/>
        </w:rPr>
        <w:t>I</w:t>
      </w:r>
      <w:r w:rsidR="001F330E" w:rsidRPr="00810756">
        <w:rPr>
          <w:rFonts w:ascii="Times New Roman" w:hAnsi="Times New Roman" w:cs="Times New Roman"/>
          <w:i/>
          <w:color w:val="000000"/>
        </w:rPr>
        <w:t>nwestycyjnych między państwami członkowskimi Unii Europejskiej</w:t>
      </w:r>
      <w:r w:rsidR="00673DDD" w:rsidRPr="00810756">
        <w:rPr>
          <w:rFonts w:ascii="Times New Roman" w:hAnsi="Times New Roman" w:cs="Times New Roman"/>
          <w:i/>
          <w:color w:val="000000"/>
        </w:rPr>
        <w:t>,</w:t>
      </w:r>
      <w:r w:rsidR="001F330E" w:rsidRPr="00810756">
        <w:rPr>
          <w:rFonts w:ascii="Times New Roman" w:hAnsi="Times New Roman" w:cs="Times New Roman"/>
          <w:i/>
          <w:color w:val="000000"/>
        </w:rPr>
        <w:t xml:space="preserve"> podpisanym w dniu 5 maja 2020 r. w Brukseli </w:t>
      </w:r>
      <w:r w:rsidR="001F330E" w:rsidRPr="00810756">
        <w:rPr>
          <w:rFonts w:ascii="Times New Roman" w:hAnsi="Times New Roman" w:cs="Times New Roman"/>
        </w:rPr>
        <w:t>(</w:t>
      </w:r>
      <w:r w:rsidR="00CA6BED" w:rsidRPr="00810756">
        <w:rPr>
          <w:rFonts w:ascii="Times New Roman" w:hAnsi="Times New Roman" w:cs="Times New Roman"/>
          <w:color w:val="000000"/>
        </w:rPr>
        <w:t>Dz. Urz. UE L 169 z 29</w:t>
      </w:r>
      <w:r w:rsidR="00854106" w:rsidRPr="00810756">
        <w:rPr>
          <w:rFonts w:ascii="Times New Roman" w:hAnsi="Times New Roman" w:cs="Times New Roman"/>
          <w:color w:val="000000"/>
        </w:rPr>
        <w:t>.05.</w:t>
      </w:r>
      <w:r w:rsidR="00CA6BED" w:rsidRPr="00810756">
        <w:rPr>
          <w:rFonts w:ascii="Times New Roman" w:hAnsi="Times New Roman" w:cs="Times New Roman"/>
          <w:color w:val="000000"/>
        </w:rPr>
        <w:t>2020</w:t>
      </w:r>
      <w:r w:rsidR="00154F25" w:rsidRPr="00810756">
        <w:rPr>
          <w:rFonts w:ascii="Times New Roman" w:hAnsi="Times New Roman" w:cs="Times New Roman"/>
          <w:color w:val="000000"/>
        </w:rPr>
        <w:t>,</w:t>
      </w:r>
      <w:r w:rsidR="00CA6BED" w:rsidRPr="00810756">
        <w:rPr>
          <w:rFonts w:ascii="Times New Roman" w:hAnsi="Times New Roman" w:cs="Times New Roman"/>
          <w:color w:val="000000"/>
        </w:rPr>
        <w:t xml:space="preserve"> </w:t>
      </w:r>
      <w:r w:rsidR="00854106" w:rsidRPr="00810756">
        <w:rPr>
          <w:rFonts w:ascii="Times New Roman" w:hAnsi="Times New Roman" w:cs="Times New Roman"/>
          <w:color w:val="000000"/>
        </w:rPr>
        <w:t>st</w:t>
      </w:r>
      <w:r w:rsidR="00CA6BED" w:rsidRPr="00810756">
        <w:rPr>
          <w:rFonts w:ascii="Times New Roman" w:hAnsi="Times New Roman" w:cs="Times New Roman"/>
          <w:color w:val="000000"/>
        </w:rPr>
        <w:t>r.</w:t>
      </w:r>
      <w:r w:rsidR="00854106" w:rsidRPr="00810756">
        <w:rPr>
          <w:rFonts w:ascii="Times New Roman" w:hAnsi="Times New Roman" w:cs="Times New Roman"/>
          <w:color w:val="000000"/>
        </w:rPr>
        <w:t xml:space="preserve"> 1</w:t>
      </w:r>
      <w:r w:rsidR="001F330E" w:rsidRPr="00810756">
        <w:rPr>
          <w:rFonts w:ascii="Times New Roman" w:hAnsi="Times New Roman" w:cs="Times New Roman"/>
        </w:rPr>
        <w:t>)</w:t>
      </w:r>
      <w:r w:rsidR="00853F3E" w:rsidRPr="00810756">
        <w:rPr>
          <w:rFonts w:ascii="Times New Roman" w:hAnsi="Times New Roman" w:cs="Times New Roman"/>
        </w:rPr>
        <w:t xml:space="preserve">. </w:t>
      </w:r>
    </w:p>
    <w:p w14:paraId="1D103C33" w14:textId="4C9994F0" w:rsidR="00CA6BED" w:rsidRPr="00810756" w:rsidRDefault="003C523A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756">
        <w:rPr>
          <w:rFonts w:ascii="Times New Roman" w:hAnsi="Times New Roman" w:cs="Times New Roman"/>
        </w:rPr>
        <w:t>Równocześnie ww</w:t>
      </w:r>
      <w:r w:rsidR="00EC6DD5" w:rsidRPr="00810756">
        <w:rPr>
          <w:rFonts w:ascii="Times New Roman" w:hAnsi="Times New Roman" w:cs="Times New Roman"/>
        </w:rPr>
        <w:t>.</w:t>
      </w:r>
      <w:r w:rsidRPr="00810756">
        <w:rPr>
          <w:rFonts w:ascii="Times New Roman" w:hAnsi="Times New Roman" w:cs="Times New Roman"/>
        </w:rPr>
        <w:t xml:space="preserve"> notą z </w:t>
      </w:r>
      <w:r w:rsidR="0070054B" w:rsidRPr="00810756">
        <w:rPr>
          <w:rFonts w:ascii="Times New Roman" w:hAnsi="Times New Roman" w:cs="Times New Roman"/>
        </w:rPr>
        <w:t xml:space="preserve">dnia </w:t>
      </w:r>
      <w:r w:rsidRPr="00810756">
        <w:rPr>
          <w:rFonts w:ascii="Times New Roman" w:hAnsi="Times New Roman" w:cs="Times New Roman"/>
        </w:rPr>
        <w:t>17</w:t>
      </w:r>
      <w:r w:rsidR="00EC6DD5" w:rsidRPr="00810756">
        <w:rPr>
          <w:rFonts w:ascii="Times New Roman" w:hAnsi="Times New Roman" w:cs="Times New Roman"/>
        </w:rPr>
        <w:t xml:space="preserve"> września </w:t>
      </w:r>
      <w:r w:rsidRPr="00810756">
        <w:rPr>
          <w:rFonts w:ascii="Times New Roman" w:hAnsi="Times New Roman" w:cs="Times New Roman"/>
        </w:rPr>
        <w:t xml:space="preserve">2021 r. </w:t>
      </w:r>
      <w:r w:rsidR="00EC6DD5" w:rsidRPr="00810756">
        <w:rPr>
          <w:rFonts w:ascii="Times New Roman" w:hAnsi="Times New Roman" w:cs="Times New Roman"/>
        </w:rPr>
        <w:t xml:space="preserve">Królestwo </w:t>
      </w:r>
      <w:r w:rsidRPr="00810756">
        <w:rPr>
          <w:rFonts w:ascii="Times New Roman" w:hAnsi="Times New Roman" w:cs="Times New Roman"/>
        </w:rPr>
        <w:t>Norwegi</w:t>
      </w:r>
      <w:r w:rsidR="00EC6DD5" w:rsidRPr="00810756">
        <w:rPr>
          <w:rFonts w:ascii="Times New Roman" w:hAnsi="Times New Roman" w:cs="Times New Roman"/>
        </w:rPr>
        <w:t>i</w:t>
      </w:r>
      <w:r w:rsidRPr="00810756">
        <w:rPr>
          <w:rFonts w:ascii="Times New Roman" w:hAnsi="Times New Roman" w:cs="Times New Roman"/>
        </w:rPr>
        <w:t xml:space="preserve"> wypowiedział</w:t>
      </w:r>
      <w:r w:rsidR="00EC6DD5" w:rsidRPr="00810756">
        <w:rPr>
          <w:rFonts w:ascii="Times New Roman" w:hAnsi="Times New Roman" w:cs="Times New Roman"/>
        </w:rPr>
        <w:t>o</w:t>
      </w:r>
      <w:r w:rsidRPr="00810756">
        <w:rPr>
          <w:rFonts w:ascii="Times New Roman" w:hAnsi="Times New Roman" w:cs="Times New Roman"/>
        </w:rPr>
        <w:t xml:space="preserve"> Umowę. Takie podejście strony norweskiej zakładało, że w przypadku niemożliwości osiągnięcia porozumienia co do zakończenia Umowy, Umowa przestanie obowiązywać po upływie roku od wypowiedzenia, z wyjątkiem klauzuli przedłużonego obowiązywania. </w:t>
      </w:r>
    </w:p>
    <w:p w14:paraId="08FC26FF" w14:textId="15820C67" w:rsidR="00CA6BED" w:rsidRPr="005466C2" w:rsidRDefault="00602DC5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</w:rPr>
        <w:t xml:space="preserve">Termin </w:t>
      </w:r>
      <w:r w:rsidR="00826A84" w:rsidRPr="005466C2">
        <w:rPr>
          <w:rFonts w:ascii="Times New Roman" w:hAnsi="Times New Roman" w:cs="Times New Roman"/>
        </w:rPr>
        <w:t>wej</w:t>
      </w:r>
      <w:r w:rsidR="00826A84" w:rsidRPr="005466C2">
        <w:rPr>
          <w:rFonts w:ascii="Times New Roman" w:hAnsi="Times New Roman" w:cs="Times New Roman" w:hint="cs"/>
        </w:rPr>
        <w:t>ś</w:t>
      </w:r>
      <w:r w:rsidR="00826A84" w:rsidRPr="005466C2">
        <w:rPr>
          <w:rFonts w:ascii="Times New Roman" w:hAnsi="Times New Roman" w:cs="Times New Roman"/>
        </w:rPr>
        <w:t xml:space="preserve">cia w </w:t>
      </w:r>
      <w:r w:rsidR="00826A84" w:rsidRPr="005466C2">
        <w:rPr>
          <w:rFonts w:ascii="Times New Roman" w:hAnsi="Times New Roman" w:cs="Times New Roman" w:hint="cs"/>
        </w:rPr>
        <w:t>ż</w:t>
      </w:r>
      <w:r w:rsidR="00826A84" w:rsidRPr="005466C2">
        <w:rPr>
          <w:rFonts w:ascii="Times New Roman" w:hAnsi="Times New Roman" w:cs="Times New Roman"/>
        </w:rPr>
        <w:t>ycie wypowiedzenia</w:t>
      </w:r>
      <w:r w:rsidRPr="005466C2">
        <w:rPr>
          <w:rFonts w:ascii="Times New Roman" w:hAnsi="Times New Roman" w:cs="Times New Roman"/>
        </w:rPr>
        <w:t>, z uwagi na trwaj</w:t>
      </w:r>
      <w:r w:rsidRPr="005466C2">
        <w:rPr>
          <w:rFonts w:ascii="Times New Roman" w:hAnsi="Times New Roman" w:cs="Times New Roman" w:hint="cs"/>
        </w:rPr>
        <w:t>ą</w:t>
      </w:r>
      <w:r w:rsidRPr="005466C2">
        <w:rPr>
          <w:rFonts w:ascii="Times New Roman" w:hAnsi="Times New Roman" w:cs="Times New Roman"/>
        </w:rPr>
        <w:t>ce negocjacje mi</w:t>
      </w:r>
      <w:r w:rsidRPr="005466C2">
        <w:rPr>
          <w:rFonts w:ascii="Times New Roman" w:hAnsi="Times New Roman" w:cs="Times New Roman" w:hint="cs"/>
        </w:rPr>
        <w:t>ę</w:t>
      </w:r>
      <w:r w:rsidRPr="005466C2">
        <w:rPr>
          <w:rFonts w:ascii="Times New Roman" w:hAnsi="Times New Roman" w:cs="Times New Roman"/>
        </w:rPr>
        <w:t xml:space="preserve">dzy </w:t>
      </w:r>
      <w:r w:rsidR="00BE1CB9" w:rsidRPr="005466C2">
        <w:rPr>
          <w:rFonts w:ascii="Times New Roman" w:hAnsi="Times New Roman" w:cs="Times New Roman"/>
        </w:rPr>
        <w:t>Rzecz</w:t>
      </w:r>
      <w:r w:rsidR="00BE1CB9" w:rsidRPr="005466C2">
        <w:rPr>
          <w:rFonts w:ascii="Times New Roman" w:hAnsi="Times New Roman" w:cs="Times New Roman" w:hint="cs"/>
        </w:rPr>
        <w:t>ą</w:t>
      </w:r>
      <w:r w:rsidR="00BE1CB9" w:rsidRPr="005466C2">
        <w:rPr>
          <w:rFonts w:ascii="Times New Roman" w:hAnsi="Times New Roman" w:cs="Times New Roman"/>
        </w:rPr>
        <w:t>pospolit</w:t>
      </w:r>
      <w:r w:rsidR="00BE1CB9" w:rsidRPr="005466C2">
        <w:rPr>
          <w:rFonts w:ascii="Times New Roman" w:hAnsi="Times New Roman" w:cs="Times New Roman" w:hint="cs"/>
        </w:rPr>
        <w:t>ą</w:t>
      </w:r>
      <w:r w:rsidR="00BE1CB9" w:rsidRPr="005466C2">
        <w:rPr>
          <w:rFonts w:ascii="Times New Roman" w:hAnsi="Times New Roman" w:cs="Times New Roman"/>
        </w:rPr>
        <w:t xml:space="preserve"> </w:t>
      </w:r>
      <w:r w:rsidRPr="005466C2">
        <w:rPr>
          <w:rFonts w:ascii="Times New Roman" w:hAnsi="Times New Roman" w:cs="Times New Roman"/>
        </w:rPr>
        <w:t>Polsk</w:t>
      </w:r>
      <w:r w:rsidRPr="005466C2">
        <w:rPr>
          <w:rFonts w:ascii="Times New Roman" w:hAnsi="Times New Roman" w:cs="Times New Roman" w:hint="cs"/>
        </w:rPr>
        <w:t>ą</w:t>
      </w:r>
      <w:r w:rsidR="00BE1CB9" w:rsidRPr="005466C2">
        <w:rPr>
          <w:rFonts w:ascii="Times New Roman" w:hAnsi="Times New Roman" w:cs="Times New Roman"/>
        </w:rPr>
        <w:t xml:space="preserve"> </w:t>
      </w:r>
      <w:r w:rsidRPr="005466C2">
        <w:rPr>
          <w:rFonts w:ascii="Times New Roman" w:hAnsi="Times New Roman" w:cs="Times New Roman"/>
        </w:rPr>
        <w:t>a Norwegi</w:t>
      </w:r>
      <w:r w:rsidRPr="005466C2">
        <w:rPr>
          <w:rFonts w:ascii="Times New Roman" w:hAnsi="Times New Roman" w:cs="Times New Roman" w:hint="cs"/>
        </w:rPr>
        <w:t>ą</w:t>
      </w:r>
      <w:r w:rsidR="00D12C2E" w:rsidRPr="005466C2">
        <w:rPr>
          <w:rFonts w:ascii="Times New Roman" w:hAnsi="Times New Roman" w:cs="Times New Roman"/>
        </w:rPr>
        <w:t>,</w:t>
      </w:r>
      <w:r w:rsidRPr="005466C2">
        <w:rPr>
          <w:rFonts w:ascii="Times New Roman" w:hAnsi="Times New Roman" w:cs="Times New Roman"/>
        </w:rPr>
        <w:t xml:space="preserve"> </w:t>
      </w:r>
      <w:r w:rsidR="001F330E" w:rsidRPr="005466C2">
        <w:rPr>
          <w:rFonts w:ascii="Times New Roman" w:hAnsi="Times New Roman" w:cs="Times New Roman"/>
        </w:rPr>
        <w:t>zosta</w:t>
      </w:r>
      <w:r w:rsidR="001F330E" w:rsidRPr="005466C2">
        <w:rPr>
          <w:rFonts w:ascii="Times New Roman" w:hAnsi="Times New Roman" w:cs="Times New Roman" w:hint="cs"/>
        </w:rPr>
        <w:t>ł</w:t>
      </w:r>
      <w:r w:rsidR="001F330E" w:rsidRPr="005466C2">
        <w:rPr>
          <w:rFonts w:ascii="Times New Roman" w:hAnsi="Times New Roman" w:cs="Times New Roman"/>
        </w:rPr>
        <w:t xml:space="preserve"> przed</w:t>
      </w:r>
      <w:r w:rsidR="001F330E" w:rsidRPr="005466C2">
        <w:rPr>
          <w:rFonts w:ascii="Times New Roman" w:hAnsi="Times New Roman" w:cs="Times New Roman" w:hint="cs"/>
        </w:rPr>
        <w:t>ł</w:t>
      </w:r>
      <w:r w:rsidR="001F330E" w:rsidRPr="005466C2">
        <w:rPr>
          <w:rFonts w:ascii="Times New Roman" w:hAnsi="Times New Roman" w:cs="Times New Roman"/>
        </w:rPr>
        <w:t>u</w:t>
      </w:r>
      <w:r w:rsidR="001F330E" w:rsidRPr="005466C2">
        <w:rPr>
          <w:rFonts w:ascii="Times New Roman" w:hAnsi="Times New Roman" w:cs="Times New Roman" w:hint="cs"/>
        </w:rPr>
        <w:t>ż</w:t>
      </w:r>
      <w:r w:rsidR="001F330E" w:rsidRPr="005466C2">
        <w:rPr>
          <w:rFonts w:ascii="Times New Roman" w:hAnsi="Times New Roman" w:cs="Times New Roman"/>
        </w:rPr>
        <w:t xml:space="preserve">ony </w:t>
      </w:r>
      <w:r w:rsidR="007A5CAF" w:rsidRPr="005466C2">
        <w:rPr>
          <w:rFonts w:ascii="Times New Roman" w:hAnsi="Times New Roman" w:cs="Times New Roman"/>
        </w:rPr>
        <w:t xml:space="preserve">przez wycofanie wypowiedzenia Umowy </w:t>
      </w:r>
      <w:r w:rsidR="008E2A9C" w:rsidRPr="005466C2">
        <w:rPr>
          <w:rFonts w:ascii="Times New Roman" w:hAnsi="Times New Roman" w:cs="Times New Roman"/>
        </w:rPr>
        <w:t xml:space="preserve">zawartego w nocie </w:t>
      </w:r>
      <w:r w:rsidR="007A5CAF" w:rsidRPr="00810756">
        <w:rPr>
          <w:rFonts w:ascii="Times New Roman" w:hAnsi="Times New Roman" w:cs="Times New Roman"/>
        </w:rPr>
        <w:t xml:space="preserve">z </w:t>
      </w:r>
      <w:r w:rsidR="008E2A9C" w:rsidRPr="00810756">
        <w:rPr>
          <w:rFonts w:ascii="Times New Roman" w:hAnsi="Times New Roman" w:cs="Times New Roman"/>
        </w:rPr>
        <w:t xml:space="preserve">dnia </w:t>
      </w:r>
      <w:r w:rsidR="007A5CAF" w:rsidRPr="00810756">
        <w:rPr>
          <w:rFonts w:ascii="Times New Roman" w:hAnsi="Times New Roman" w:cs="Times New Roman"/>
        </w:rPr>
        <w:t>17 września 2021 r. i równocze</w:t>
      </w:r>
      <w:r w:rsidR="008E2A9C" w:rsidRPr="00810756">
        <w:rPr>
          <w:rFonts w:ascii="Times New Roman" w:hAnsi="Times New Roman" w:cs="Times New Roman"/>
        </w:rPr>
        <w:t>sne</w:t>
      </w:r>
      <w:r w:rsidR="007A5CAF" w:rsidRPr="00810756">
        <w:rPr>
          <w:rFonts w:ascii="Times New Roman" w:hAnsi="Times New Roman" w:cs="Times New Roman"/>
        </w:rPr>
        <w:t xml:space="preserve"> sformułowanie nowego wypowiedzenia </w:t>
      </w:r>
      <w:r w:rsidRPr="005466C2">
        <w:rPr>
          <w:rFonts w:ascii="Times New Roman" w:hAnsi="Times New Roman" w:cs="Times New Roman"/>
        </w:rPr>
        <w:t>not</w:t>
      </w:r>
      <w:r w:rsidRPr="005466C2">
        <w:rPr>
          <w:rFonts w:ascii="Times New Roman" w:hAnsi="Times New Roman" w:cs="Times New Roman" w:hint="cs"/>
        </w:rPr>
        <w:t>ą</w:t>
      </w:r>
      <w:r w:rsidRPr="005466C2">
        <w:rPr>
          <w:rFonts w:ascii="Times New Roman" w:hAnsi="Times New Roman" w:cs="Times New Roman"/>
        </w:rPr>
        <w:t xml:space="preserve"> </w:t>
      </w:r>
      <w:r w:rsidR="001F330E" w:rsidRPr="00810756">
        <w:rPr>
          <w:rFonts w:ascii="Times New Roman" w:hAnsi="Times New Roman" w:cs="Times New Roman"/>
        </w:rPr>
        <w:t xml:space="preserve">Ambasady </w:t>
      </w:r>
      <w:bookmarkStart w:id="1" w:name="_Hlk126842582"/>
      <w:r w:rsidR="001F330E" w:rsidRPr="00810756">
        <w:rPr>
          <w:rFonts w:ascii="Times New Roman" w:hAnsi="Times New Roman" w:cs="Times New Roman"/>
        </w:rPr>
        <w:t>Królestwa Norwegii w Warszawie nr 16/10743-364 z dnia 14 września 2022 r.</w:t>
      </w:r>
      <w:r w:rsidR="00395B89" w:rsidRPr="00810756">
        <w:rPr>
          <w:rFonts w:ascii="Times New Roman" w:hAnsi="Times New Roman" w:cs="Times New Roman"/>
        </w:rPr>
        <w:t>, którą</w:t>
      </w:r>
      <w:r w:rsidR="007565F1" w:rsidRPr="00810756">
        <w:rPr>
          <w:rFonts w:ascii="Times New Roman" w:hAnsi="Times New Roman" w:cs="Times New Roman"/>
        </w:rPr>
        <w:t xml:space="preserve">, w związku z dalej trwającymi negocjacjami, </w:t>
      </w:r>
      <w:r w:rsidR="00395B89" w:rsidRPr="00810756">
        <w:rPr>
          <w:rFonts w:ascii="Times New Roman" w:hAnsi="Times New Roman" w:cs="Times New Roman"/>
        </w:rPr>
        <w:t xml:space="preserve">zastąpiła </w:t>
      </w:r>
      <w:bookmarkEnd w:id="1"/>
      <w:r w:rsidR="00395B89" w:rsidRPr="005466C2">
        <w:rPr>
          <w:rFonts w:ascii="Times New Roman" w:hAnsi="Times New Roman" w:cs="Times New Roman"/>
        </w:rPr>
        <w:t>not</w:t>
      </w:r>
      <w:r w:rsidR="00957C8B" w:rsidRPr="005466C2">
        <w:rPr>
          <w:rFonts w:ascii="Times New Roman" w:hAnsi="Times New Roman" w:cs="Times New Roman"/>
        </w:rPr>
        <w:t>a</w:t>
      </w:r>
      <w:r w:rsidR="00395B89" w:rsidRPr="005466C2">
        <w:rPr>
          <w:rFonts w:ascii="Times New Roman" w:hAnsi="Times New Roman" w:cs="Times New Roman"/>
        </w:rPr>
        <w:t xml:space="preserve"> </w:t>
      </w:r>
      <w:r w:rsidR="00395B89" w:rsidRPr="00810756">
        <w:rPr>
          <w:rFonts w:ascii="Times New Roman" w:hAnsi="Times New Roman" w:cs="Times New Roman"/>
        </w:rPr>
        <w:t xml:space="preserve">Ambasady </w:t>
      </w:r>
      <w:r w:rsidR="00395B89" w:rsidRPr="00810756">
        <w:rPr>
          <w:rFonts w:ascii="Times New Roman" w:hAnsi="Times New Roman" w:cs="Times New Roman"/>
        </w:rPr>
        <w:lastRenderedPageBreak/>
        <w:t>Królestwa Norwegii w Warszawie nr 16/10743-</w:t>
      </w:r>
      <w:r w:rsidR="00957C8B" w:rsidRPr="00810756">
        <w:rPr>
          <w:rFonts w:ascii="Times New Roman" w:hAnsi="Times New Roman" w:cs="Times New Roman"/>
        </w:rPr>
        <w:t>445</w:t>
      </w:r>
      <w:r w:rsidR="00395B89" w:rsidRPr="00810756">
        <w:rPr>
          <w:rFonts w:ascii="Times New Roman" w:hAnsi="Times New Roman" w:cs="Times New Roman"/>
        </w:rPr>
        <w:t xml:space="preserve"> z dnia </w:t>
      </w:r>
      <w:r w:rsidR="00957C8B" w:rsidRPr="00810756">
        <w:rPr>
          <w:rFonts w:ascii="Times New Roman" w:hAnsi="Times New Roman" w:cs="Times New Roman"/>
        </w:rPr>
        <w:t>7</w:t>
      </w:r>
      <w:r w:rsidR="00395B89" w:rsidRPr="00810756">
        <w:rPr>
          <w:rFonts w:ascii="Times New Roman" w:hAnsi="Times New Roman" w:cs="Times New Roman"/>
        </w:rPr>
        <w:t xml:space="preserve"> września 202</w:t>
      </w:r>
      <w:r w:rsidR="00957C8B" w:rsidRPr="00810756">
        <w:rPr>
          <w:rFonts w:ascii="Times New Roman" w:hAnsi="Times New Roman" w:cs="Times New Roman"/>
        </w:rPr>
        <w:t>3</w:t>
      </w:r>
      <w:r w:rsidR="00395B89" w:rsidRPr="00810756">
        <w:rPr>
          <w:rFonts w:ascii="Times New Roman" w:hAnsi="Times New Roman" w:cs="Times New Roman"/>
        </w:rPr>
        <w:t xml:space="preserve"> r. </w:t>
      </w:r>
      <w:r w:rsidR="00C93AD2" w:rsidRPr="00810756">
        <w:rPr>
          <w:rFonts w:ascii="Times New Roman" w:hAnsi="Times New Roman" w:cs="Times New Roman"/>
        </w:rPr>
        <w:t xml:space="preserve">W przypadku gdy </w:t>
      </w:r>
      <w:r w:rsidR="00BE1CB9" w:rsidRPr="0017407B">
        <w:rPr>
          <w:rFonts w:ascii="Times New Roman" w:hAnsi="Times New Roman" w:cs="Times New Roman"/>
        </w:rPr>
        <w:t xml:space="preserve">Rzeczpospolita </w:t>
      </w:r>
      <w:r w:rsidR="00C93AD2" w:rsidRPr="0017407B">
        <w:rPr>
          <w:rFonts w:ascii="Times New Roman" w:hAnsi="Times New Roman" w:cs="Times New Roman"/>
        </w:rPr>
        <w:t xml:space="preserve">Polska i Norwegia nie rozwiążą </w:t>
      </w:r>
      <w:r w:rsidR="002A055D" w:rsidRPr="0017407B">
        <w:rPr>
          <w:rFonts w:ascii="Times New Roman" w:hAnsi="Times New Roman" w:cs="Times New Roman"/>
        </w:rPr>
        <w:t xml:space="preserve">Umowy </w:t>
      </w:r>
      <w:r w:rsidR="00C93AD2" w:rsidRPr="0017407B">
        <w:rPr>
          <w:rFonts w:ascii="Times New Roman" w:hAnsi="Times New Roman" w:cs="Times New Roman"/>
        </w:rPr>
        <w:t xml:space="preserve">do </w:t>
      </w:r>
      <w:r w:rsidR="007F5F0B" w:rsidRPr="0017407B">
        <w:rPr>
          <w:rFonts w:ascii="Times New Roman" w:hAnsi="Times New Roman" w:cs="Times New Roman"/>
        </w:rPr>
        <w:t xml:space="preserve">dnia </w:t>
      </w:r>
      <w:r w:rsidR="00957C8B" w:rsidRPr="0017407B">
        <w:rPr>
          <w:rFonts w:ascii="Times New Roman" w:hAnsi="Times New Roman" w:cs="Times New Roman"/>
        </w:rPr>
        <w:t xml:space="preserve">6 </w:t>
      </w:r>
      <w:r w:rsidR="00C93AD2" w:rsidRPr="0017407B">
        <w:rPr>
          <w:rFonts w:ascii="Times New Roman" w:hAnsi="Times New Roman" w:cs="Times New Roman"/>
        </w:rPr>
        <w:t>września 202</w:t>
      </w:r>
      <w:r w:rsidR="00957C8B" w:rsidRPr="0017407B">
        <w:rPr>
          <w:rFonts w:ascii="Times New Roman" w:hAnsi="Times New Roman" w:cs="Times New Roman"/>
        </w:rPr>
        <w:t>4</w:t>
      </w:r>
      <w:r w:rsidR="00C93AD2" w:rsidRPr="0017407B">
        <w:rPr>
          <w:rFonts w:ascii="Times New Roman" w:hAnsi="Times New Roman" w:cs="Times New Roman"/>
        </w:rPr>
        <w:t xml:space="preserve"> r.</w:t>
      </w:r>
      <w:r w:rsidR="001B6BE4" w:rsidRPr="0017407B">
        <w:rPr>
          <w:rFonts w:ascii="Times New Roman" w:hAnsi="Times New Roman" w:cs="Times New Roman"/>
        </w:rPr>
        <w:t>,</w:t>
      </w:r>
      <w:r w:rsidR="00C93AD2" w:rsidRPr="0017407B">
        <w:rPr>
          <w:rFonts w:ascii="Times New Roman" w:hAnsi="Times New Roman" w:cs="Times New Roman"/>
        </w:rPr>
        <w:t xml:space="preserve"> nota </w:t>
      </w:r>
      <w:r w:rsidR="00CA6BED" w:rsidRPr="00810756">
        <w:rPr>
          <w:rFonts w:ascii="Times New Roman" w:hAnsi="Times New Roman" w:cs="Times New Roman"/>
        </w:rPr>
        <w:t xml:space="preserve">Ambasady Królestwa </w:t>
      </w:r>
      <w:r w:rsidR="00C93AD2" w:rsidRPr="00810756">
        <w:rPr>
          <w:rFonts w:ascii="Times New Roman" w:hAnsi="Times New Roman" w:cs="Times New Roman"/>
        </w:rPr>
        <w:t xml:space="preserve">Norwegii nr </w:t>
      </w:r>
      <w:r w:rsidR="00742E4B" w:rsidRPr="00810756">
        <w:rPr>
          <w:rFonts w:ascii="Times New Roman" w:hAnsi="Times New Roman" w:cs="Times New Roman"/>
        </w:rPr>
        <w:t>1</w:t>
      </w:r>
      <w:r w:rsidR="00C93AD2" w:rsidRPr="00810756">
        <w:rPr>
          <w:rFonts w:ascii="Times New Roman" w:hAnsi="Times New Roman" w:cs="Times New Roman"/>
        </w:rPr>
        <w:t>6/10743-</w:t>
      </w:r>
      <w:r w:rsidR="00742E4B" w:rsidRPr="00810756">
        <w:rPr>
          <w:rFonts w:ascii="Times New Roman" w:hAnsi="Times New Roman" w:cs="Times New Roman"/>
        </w:rPr>
        <w:t>445</w:t>
      </w:r>
      <w:r w:rsidR="00C93AD2" w:rsidRPr="00810756">
        <w:rPr>
          <w:rFonts w:ascii="Times New Roman" w:hAnsi="Times New Roman" w:cs="Times New Roman"/>
        </w:rPr>
        <w:t xml:space="preserve"> z dnia </w:t>
      </w:r>
      <w:r w:rsidR="00742E4B" w:rsidRPr="00810756">
        <w:rPr>
          <w:rFonts w:ascii="Times New Roman" w:hAnsi="Times New Roman" w:cs="Times New Roman"/>
        </w:rPr>
        <w:t xml:space="preserve">7 </w:t>
      </w:r>
      <w:r w:rsidR="00C93AD2" w:rsidRPr="00810756">
        <w:rPr>
          <w:rFonts w:ascii="Times New Roman" w:hAnsi="Times New Roman" w:cs="Times New Roman"/>
        </w:rPr>
        <w:t xml:space="preserve">września </w:t>
      </w:r>
      <w:r w:rsidR="00742E4B" w:rsidRPr="00810756">
        <w:rPr>
          <w:rFonts w:ascii="Times New Roman" w:hAnsi="Times New Roman" w:cs="Times New Roman"/>
        </w:rPr>
        <w:t xml:space="preserve">2023 </w:t>
      </w:r>
      <w:r w:rsidR="00C93AD2" w:rsidRPr="00810756">
        <w:rPr>
          <w:rFonts w:ascii="Times New Roman" w:hAnsi="Times New Roman" w:cs="Times New Roman"/>
        </w:rPr>
        <w:t>r. będzie skutkowała wypowiedzeniem Umowy przez Norwegię</w:t>
      </w:r>
      <w:r w:rsidR="00CA6BED" w:rsidRPr="00810756">
        <w:rPr>
          <w:rFonts w:ascii="Times New Roman" w:hAnsi="Times New Roman" w:cs="Times New Roman"/>
        </w:rPr>
        <w:t xml:space="preserve"> z dniem </w:t>
      </w:r>
      <w:r w:rsidR="00742E4B" w:rsidRPr="00810756">
        <w:rPr>
          <w:rFonts w:ascii="Times New Roman" w:hAnsi="Times New Roman" w:cs="Times New Roman"/>
        </w:rPr>
        <w:t xml:space="preserve">7 </w:t>
      </w:r>
      <w:r w:rsidR="00CA6BED" w:rsidRPr="00810756">
        <w:rPr>
          <w:rFonts w:ascii="Times New Roman" w:hAnsi="Times New Roman" w:cs="Times New Roman"/>
        </w:rPr>
        <w:t>września 202</w:t>
      </w:r>
      <w:r w:rsidR="00742E4B" w:rsidRPr="00810756">
        <w:rPr>
          <w:rFonts w:ascii="Times New Roman" w:hAnsi="Times New Roman" w:cs="Times New Roman"/>
        </w:rPr>
        <w:t>4</w:t>
      </w:r>
      <w:r w:rsidR="00CA6BED" w:rsidRPr="00810756">
        <w:rPr>
          <w:rFonts w:ascii="Times New Roman" w:hAnsi="Times New Roman" w:cs="Times New Roman"/>
        </w:rPr>
        <w:t xml:space="preserve"> r.</w:t>
      </w:r>
      <w:r w:rsidR="00C93AD2" w:rsidRPr="00810756">
        <w:rPr>
          <w:rFonts w:ascii="Times New Roman" w:hAnsi="Times New Roman" w:cs="Times New Roman"/>
        </w:rPr>
        <w:t>, przy czym 1</w:t>
      </w:r>
      <w:r w:rsidR="00D12C2E" w:rsidRPr="00810756">
        <w:rPr>
          <w:rFonts w:ascii="Times New Roman" w:hAnsi="Times New Roman" w:cs="Times New Roman"/>
        </w:rPr>
        <w:t>0</w:t>
      </w:r>
      <w:r w:rsidR="00C93AD2" w:rsidRPr="00810756">
        <w:rPr>
          <w:rFonts w:ascii="Times New Roman" w:hAnsi="Times New Roman" w:cs="Times New Roman"/>
        </w:rPr>
        <w:t>-letnia klauzula przedłużonego obowiązywania zacznie obowiązywać</w:t>
      </w:r>
      <w:r w:rsidR="00CA6BED" w:rsidRPr="00810756">
        <w:rPr>
          <w:rFonts w:ascii="Times New Roman" w:hAnsi="Times New Roman" w:cs="Times New Roman"/>
        </w:rPr>
        <w:t xml:space="preserve"> na mocy art. 13 ust</w:t>
      </w:r>
      <w:r w:rsidR="007F5F0B" w:rsidRPr="00810756">
        <w:rPr>
          <w:rFonts w:ascii="Times New Roman" w:hAnsi="Times New Roman" w:cs="Times New Roman"/>
        </w:rPr>
        <w:t xml:space="preserve">. </w:t>
      </w:r>
      <w:r w:rsidR="00CA6BED" w:rsidRPr="00810756">
        <w:rPr>
          <w:rFonts w:ascii="Times New Roman" w:hAnsi="Times New Roman" w:cs="Times New Roman"/>
        </w:rPr>
        <w:t>2 Umowy</w:t>
      </w:r>
      <w:r w:rsidR="00FE7ECB" w:rsidRPr="00810756">
        <w:rPr>
          <w:rFonts w:ascii="Times New Roman" w:hAnsi="Times New Roman" w:cs="Times New Roman"/>
        </w:rPr>
        <w:t>,</w:t>
      </w:r>
      <w:r w:rsidR="00CA6BED" w:rsidRPr="00810756">
        <w:rPr>
          <w:rFonts w:ascii="Times New Roman" w:hAnsi="Times New Roman" w:cs="Times New Roman"/>
        </w:rPr>
        <w:t xml:space="preserve"> chroniąc </w:t>
      </w:r>
      <w:bookmarkStart w:id="2" w:name="__DdeLink__578_271021031"/>
      <w:r w:rsidR="00023295" w:rsidRPr="005466C2">
        <w:rPr>
          <w:rFonts w:ascii="Times New Roman" w:hAnsi="Times New Roman" w:cs="Times New Roman"/>
        </w:rPr>
        <w:t>inwestycje dokonane przed wejściem w życie wypowiedzenia Umowy</w:t>
      </w:r>
      <w:r w:rsidR="00CA6BED" w:rsidRPr="005466C2">
        <w:rPr>
          <w:rFonts w:ascii="Times New Roman" w:hAnsi="Times New Roman" w:cs="Times New Roman"/>
        </w:rPr>
        <w:t>.</w:t>
      </w:r>
    </w:p>
    <w:p w14:paraId="33D9A059" w14:textId="2B844BA5" w:rsidR="00584B67" w:rsidRPr="00810756" w:rsidRDefault="00937788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bookmarkStart w:id="3" w:name="__DdeLink__120_3247322178"/>
      <w:bookmarkEnd w:id="2"/>
      <w:bookmarkEnd w:id="3"/>
      <w:r w:rsidRPr="005466C2">
        <w:rPr>
          <w:rFonts w:ascii="Times New Roman" w:hAnsi="Times New Roman" w:cs="Times New Roman"/>
          <w:color w:val="000000"/>
        </w:rPr>
        <w:t xml:space="preserve">Notą nr DPT.2701.23.2021/4 z dnia </w:t>
      </w:r>
      <w:r w:rsidR="0054708E" w:rsidRPr="005466C2">
        <w:rPr>
          <w:rFonts w:ascii="Times New Roman" w:hAnsi="Times New Roman" w:cs="Times New Roman"/>
          <w:color w:val="000000"/>
        </w:rPr>
        <w:t xml:space="preserve">27 czerwca 2023 r. Ministerstwo Spraw Zagranicznych Rzeczypospolitej Polskiej zwróciło się do Ambasady Królestwa Norwegii z propozycją zawarcia </w:t>
      </w:r>
      <w:r w:rsidR="00D4141E" w:rsidRPr="00810756">
        <w:rPr>
          <w:rFonts w:ascii="Times New Roman" w:hAnsi="Times New Roman" w:cs="Times New Roman"/>
        </w:rPr>
        <w:t xml:space="preserve">Porozumienia między Rządem Rzeczypospolitej Polskiej a Rządem Królestwa Norwegii o zakończeniu obowiązywania Umowy między Rządem Rzeczypospolitej Polskiej </w:t>
      </w:r>
      <w:r w:rsidR="004A2353" w:rsidRPr="00810756">
        <w:rPr>
          <w:rFonts w:ascii="Times New Roman" w:hAnsi="Times New Roman" w:cs="Times New Roman"/>
        </w:rPr>
        <w:t>a</w:t>
      </w:r>
      <w:r w:rsidR="004A2353">
        <w:rPr>
          <w:rFonts w:ascii="Times New Roman" w:hAnsi="Times New Roman" w:cs="Times New Roman"/>
        </w:rPr>
        <w:t> </w:t>
      </w:r>
      <w:r w:rsidR="00D4141E" w:rsidRPr="00810756">
        <w:rPr>
          <w:rFonts w:ascii="Times New Roman" w:hAnsi="Times New Roman" w:cs="Times New Roman"/>
        </w:rPr>
        <w:t>Rządem Królestwa Norwegii w sprawie popierania i wzajemnej ochrony inwestycji, podpisanej w Warszawie dnia 5 czerwca 1990 r. (dalej jako „Porozumienie</w:t>
      </w:r>
      <w:r w:rsidR="00BE1CB9" w:rsidRPr="00810756">
        <w:rPr>
          <w:rFonts w:ascii="Times New Roman" w:hAnsi="Times New Roman" w:cs="Times New Roman"/>
        </w:rPr>
        <w:t>”</w:t>
      </w:r>
      <w:r w:rsidR="00D4141E" w:rsidRPr="00810756">
        <w:rPr>
          <w:rFonts w:ascii="Times New Roman" w:hAnsi="Times New Roman" w:cs="Times New Roman"/>
        </w:rPr>
        <w:t>)</w:t>
      </w:r>
      <w:r w:rsidR="0004181A" w:rsidRPr="00810756">
        <w:rPr>
          <w:rFonts w:ascii="Times New Roman" w:hAnsi="Times New Roman" w:cs="Times New Roman"/>
        </w:rPr>
        <w:t xml:space="preserve">. </w:t>
      </w:r>
      <w:r w:rsidR="00674295" w:rsidRPr="00810756">
        <w:rPr>
          <w:rFonts w:ascii="Times New Roman" w:hAnsi="Times New Roman" w:cs="Times New Roman"/>
        </w:rPr>
        <w:t xml:space="preserve">Porozumienie stanowi, że </w:t>
      </w:r>
      <w:r w:rsidR="004B26C9" w:rsidRPr="00810756">
        <w:rPr>
          <w:rFonts w:ascii="Times New Roman" w:hAnsi="Times New Roman" w:cs="Times New Roman"/>
        </w:rPr>
        <w:t>Umowa</w:t>
      </w:r>
      <w:r w:rsidR="00D4141E" w:rsidRPr="00810756">
        <w:rPr>
          <w:rFonts w:ascii="Times New Roman" w:hAnsi="Times New Roman" w:cs="Times New Roman"/>
        </w:rPr>
        <w:t xml:space="preserve">, razem z klauzulą przedłużonego obowiązywania, o której mowa </w:t>
      </w:r>
      <w:r w:rsidR="004A2353" w:rsidRPr="00810756">
        <w:rPr>
          <w:rFonts w:ascii="Times New Roman" w:hAnsi="Times New Roman" w:cs="Times New Roman"/>
        </w:rPr>
        <w:t>w</w:t>
      </w:r>
      <w:r w:rsidR="004A2353">
        <w:rPr>
          <w:rFonts w:ascii="Times New Roman" w:hAnsi="Times New Roman" w:cs="Times New Roman"/>
        </w:rPr>
        <w:t> </w:t>
      </w:r>
      <w:r w:rsidR="00D4141E" w:rsidRPr="00810756">
        <w:rPr>
          <w:rFonts w:ascii="Times New Roman" w:hAnsi="Times New Roman" w:cs="Times New Roman"/>
        </w:rPr>
        <w:t>art</w:t>
      </w:r>
      <w:r w:rsidR="001B6BE4" w:rsidRPr="00810756">
        <w:rPr>
          <w:rFonts w:ascii="Times New Roman" w:hAnsi="Times New Roman" w:cs="Times New Roman"/>
        </w:rPr>
        <w:t>ykule</w:t>
      </w:r>
      <w:r w:rsidR="00D4141E" w:rsidRPr="00810756">
        <w:rPr>
          <w:rFonts w:ascii="Times New Roman" w:hAnsi="Times New Roman" w:cs="Times New Roman"/>
        </w:rPr>
        <w:t xml:space="preserve"> 13 ust</w:t>
      </w:r>
      <w:r w:rsidR="007F5F0B" w:rsidRPr="00810756">
        <w:rPr>
          <w:rFonts w:ascii="Times New Roman" w:hAnsi="Times New Roman" w:cs="Times New Roman"/>
        </w:rPr>
        <w:t xml:space="preserve">. </w:t>
      </w:r>
      <w:r w:rsidR="00D4141E" w:rsidRPr="00810756">
        <w:rPr>
          <w:rFonts w:ascii="Times New Roman" w:hAnsi="Times New Roman" w:cs="Times New Roman"/>
        </w:rPr>
        <w:t>2 Umowy</w:t>
      </w:r>
      <w:r w:rsidR="00560A0E" w:rsidRPr="00810756">
        <w:rPr>
          <w:rFonts w:ascii="Times New Roman" w:hAnsi="Times New Roman" w:cs="Times New Roman"/>
        </w:rPr>
        <w:t>,</w:t>
      </w:r>
      <w:r w:rsidR="00D4141E" w:rsidRPr="00810756">
        <w:rPr>
          <w:rFonts w:ascii="Times New Roman" w:hAnsi="Times New Roman" w:cs="Times New Roman"/>
        </w:rPr>
        <w:t xml:space="preserve"> </w:t>
      </w:r>
      <w:r w:rsidR="004B26C9" w:rsidRPr="00810756">
        <w:rPr>
          <w:rFonts w:ascii="Times New Roman" w:hAnsi="Times New Roman" w:cs="Times New Roman"/>
        </w:rPr>
        <w:t>traci moc.</w:t>
      </w:r>
      <w:r w:rsidR="00D4141E" w:rsidRPr="00810756">
        <w:rPr>
          <w:rFonts w:ascii="Times New Roman" w:hAnsi="Times New Roman" w:cs="Times New Roman"/>
        </w:rPr>
        <w:t xml:space="preserve"> Klauzula ta nie</w:t>
      </w:r>
      <w:r w:rsidR="004B26C9" w:rsidRPr="00810756">
        <w:rPr>
          <w:rFonts w:ascii="Times New Roman" w:hAnsi="Times New Roman" w:cs="Times New Roman"/>
        </w:rPr>
        <w:t xml:space="preserve"> będzie wywoływał</w:t>
      </w:r>
      <w:r w:rsidR="00D4141E" w:rsidRPr="00810756">
        <w:rPr>
          <w:rFonts w:ascii="Times New Roman" w:hAnsi="Times New Roman" w:cs="Times New Roman"/>
        </w:rPr>
        <w:t>a</w:t>
      </w:r>
      <w:r w:rsidR="004B26C9" w:rsidRPr="00810756">
        <w:rPr>
          <w:rFonts w:ascii="Times New Roman" w:hAnsi="Times New Roman" w:cs="Times New Roman"/>
        </w:rPr>
        <w:t xml:space="preserve"> żadnych skutków prawnych po wejściu w życie Porozumienia</w:t>
      </w:r>
      <w:r w:rsidR="0004181A" w:rsidRPr="00810756">
        <w:rPr>
          <w:rFonts w:ascii="Times New Roman" w:hAnsi="Times New Roman" w:cs="Times New Roman"/>
        </w:rPr>
        <w:t xml:space="preserve">. </w:t>
      </w:r>
      <w:r w:rsidR="004B26C9" w:rsidRPr="00810756">
        <w:rPr>
          <w:rFonts w:ascii="Times New Roman" w:hAnsi="Times New Roman" w:cs="Times New Roman"/>
        </w:rPr>
        <w:t>Umowa nie będzie stanowiła podstawy prawnej do wszczynania jakichkolwiek nowych postępowań arbitrażowych po wejściu w życie Porozumienia</w:t>
      </w:r>
      <w:r w:rsidR="0004181A" w:rsidRPr="00810756">
        <w:rPr>
          <w:rFonts w:ascii="Times New Roman" w:hAnsi="Times New Roman" w:cs="Times New Roman"/>
        </w:rPr>
        <w:t xml:space="preserve">. </w:t>
      </w:r>
      <w:r w:rsidR="003E7D6B" w:rsidRPr="00810756">
        <w:rPr>
          <w:rFonts w:ascii="Times New Roman" w:hAnsi="Times New Roman" w:cs="Times New Roman"/>
        </w:rPr>
        <w:t>Postępowania te o</w:t>
      </w:r>
      <w:r w:rsidR="004B26C9" w:rsidRPr="00810756">
        <w:rPr>
          <w:rFonts w:ascii="Times New Roman" w:hAnsi="Times New Roman" w:cs="Times New Roman"/>
        </w:rPr>
        <w:t xml:space="preserve">bejmują każde potencjalne postępowanie, w którym </w:t>
      </w:r>
      <w:r w:rsidR="0004181A" w:rsidRPr="00810756">
        <w:rPr>
          <w:rFonts w:ascii="Times New Roman" w:hAnsi="Times New Roman" w:cs="Times New Roman"/>
        </w:rPr>
        <w:t>t</w:t>
      </w:r>
      <w:r w:rsidR="004B26C9" w:rsidRPr="00810756">
        <w:rPr>
          <w:rFonts w:ascii="Times New Roman" w:hAnsi="Times New Roman" w:cs="Times New Roman"/>
        </w:rPr>
        <w:t xml:space="preserve">rybunał </w:t>
      </w:r>
      <w:r w:rsidR="0004181A" w:rsidRPr="00810756">
        <w:rPr>
          <w:rFonts w:ascii="Times New Roman" w:hAnsi="Times New Roman" w:cs="Times New Roman"/>
        </w:rPr>
        <w:t xml:space="preserve">arbitrażowy </w:t>
      </w:r>
      <w:r w:rsidR="004B26C9" w:rsidRPr="00810756">
        <w:rPr>
          <w:rFonts w:ascii="Times New Roman" w:hAnsi="Times New Roman" w:cs="Times New Roman"/>
        </w:rPr>
        <w:t xml:space="preserve">nie został jeszcze ustanowiony. </w:t>
      </w:r>
      <w:r w:rsidR="0004181A" w:rsidRPr="00810756">
        <w:rPr>
          <w:rFonts w:ascii="Times New Roman" w:hAnsi="Times New Roman" w:cs="Times New Roman"/>
        </w:rPr>
        <w:t xml:space="preserve">Powyższe postanowienia Porozumienia odnoszą się do </w:t>
      </w:r>
      <w:r w:rsidR="004B26C9" w:rsidRPr="00810756">
        <w:rPr>
          <w:rFonts w:ascii="Times New Roman" w:hAnsi="Times New Roman" w:cs="Times New Roman"/>
        </w:rPr>
        <w:t xml:space="preserve">wszystkich postępowań arbitrażowych państwo – państwo oraz inwestor – państwo prowadzonych w oparciu o Umowę na podstawie jakiejkolwiek konwencji arbitrażowej czy </w:t>
      </w:r>
      <w:r w:rsidR="0004181A" w:rsidRPr="00810756">
        <w:rPr>
          <w:rFonts w:ascii="Times New Roman" w:hAnsi="Times New Roman" w:cs="Times New Roman"/>
        </w:rPr>
        <w:t>regulaminu</w:t>
      </w:r>
      <w:r w:rsidR="004B26C9" w:rsidRPr="00810756">
        <w:rPr>
          <w:rFonts w:ascii="Times New Roman" w:hAnsi="Times New Roman" w:cs="Times New Roman"/>
        </w:rPr>
        <w:t xml:space="preserve">. </w:t>
      </w:r>
    </w:p>
    <w:p w14:paraId="2290E9E8" w14:textId="08B77C57" w:rsidR="004B26C9" w:rsidRPr="00810756" w:rsidRDefault="0004181A" w:rsidP="005466C2">
      <w:pPr>
        <w:spacing w:before="120" w:line="360" w:lineRule="auto"/>
        <w:jc w:val="both"/>
        <w:rPr>
          <w:rFonts w:ascii="Times New Roman" w:hAnsi="Times New Roman" w:cs="Times New Roman"/>
          <w:i/>
        </w:rPr>
      </w:pPr>
      <w:r w:rsidRPr="00810756">
        <w:rPr>
          <w:rFonts w:ascii="Times New Roman" w:hAnsi="Times New Roman" w:cs="Times New Roman"/>
        </w:rPr>
        <w:t>Porozumienie jest zawierane w formie wymiany not.</w:t>
      </w:r>
      <w:r w:rsidR="0054708E" w:rsidRPr="00810756">
        <w:rPr>
          <w:rFonts w:ascii="Times New Roman" w:hAnsi="Times New Roman" w:cs="Times New Roman"/>
        </w:rPr>
        <w:t xml:space="preserve"> </w:t>
      </w:r>
      <w:r w:rsidR="00937788" w:rsidRPr="00810756">
        <w:rPr>
          <w:rFonts w:ascii="Times New Roman" w:hAnsi="Times New Roman" w:cs="Times New Roman"/>
        </w:rPr>
        <w:t xml:space="preserve">Notą nr 16/10743-433 z </w:t>
      </w:r>
      <w:r w:rsidR="0054708E" w:rsidRPr="005466C2">
        <w:rPr>
          <w:rFonts w:ascii="Times New Roman" w:eastAsia="Garamond" w:hAnsi="Times New Roman" w:cs="Times New Roman"/>
          <w:color w:val="000000"/>
        </w:rPr>
        <w:t>dni</w:t>
      </w:r>
      <w:r w:rsidR="00937788" w:rsidRPr="005466C2">
        <w:rPr>
          <w:rFonts w:ascii="Times New Roman" w:eastAsia="Garamond" w:hAnsi="Times New Roman" w:cs="Times New Roman"/>
          <w:color w:val="000000"/>
        </w:rPr>
        <w:t>a</w:t>
      </w:r>
      <w:r w:rsidR="0054708E" w:rsidRPr="005466C2">
        <w:rPr>
          <w:rFonts w:ascii="Times New Roman" w:eastAsia="Garamond" w:hAnsi="Times New Roman" w:cs="Times New Roman"/>
          <w:color w:val="000000"/>
        </w:rPr>
        <w:t xml:space="preserve"> 18 lipca 2023 r. Ambasada Królestwa Norwegii w Warszawie przekazała </w:t>
      </w:r>
      <w:r w:rsidR="0054708E" w:rsidRPr="005466C2">
        <w:rPr>
          <w:rFonts w:ascii="Times New Roman" w:hAnsi="Times New Roman" w:cs="Times New Roman"/>
          <w:color w:val="000000"/>
        </w:rPr>
        <w:t xml:space="preserve">Ministerstwu Spraw Zagranicznych Rzeczypospolitej Polskiej, </w:t>
      </w:r>
      <w:r w:rsidR="0054708E" w:rsidRPr="005466C2">
        <w:rPr>
          <w:rFonts w:ascii="Times New Roman" w:eastAsia="Garamond" w:hAnsi="Times New Roman" w:cs="Times New Roman"/>
          <w:color w:val="000000"/>
        </w:rPr>
        <w:t>że Rząd Królestwa Norwegii zgadza się na zawarcie niniejszego Porozumienia.</w:t>
      </w:r>
    </w:p>
    <w:p w14:paraId="01D7A25F" w14:textId="6FAB04F3" w:rsidR="00FB31FC" w:rsidRPr="005466C2" w:rsidRDefault="00023295" w:rsidP="005466C2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4" w:name="__DdeLink__120_324732217811"/>
      <w:r w:rsidRPr="00810756">
        <w:rPr>
          <w:rFonts w:ascii="Times New Roman" w:eastAsia="Garamond" w:hAnsi="Times New Roman" w:cs="Times New Roman"/>
          <w:b/>
          <w:color w:val="000000"/>
          <w:szCs w:val="26"/>
        </w:rPr>
        <w:t>Dotychczasowy a projektowany stan prawny</w:t>
      </w:r>
      <w:bookmarkEnd w:id="4"/>
    </w:p>
    <w:p w14:paraId="487CC87D" w14:textId="5B7219E3" w:rsidR="00FB31FC" w:rsidRPr="005466C2" w:rsidRDefault="00333677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756">
        <w:rPr>
          <w:rFonts w:ascii="Times New Roman" w:eastAsia="Garamond" w:hAnsi="Times New Roman" w:cs="Times New Roman"/>
          <w:color w:val="000000"/>
        </w:rPr>
        <w:t xml:space="preserve">Wraz z wejściem w życie Porozumienia Umowa </w:t>
      </w:r>
      <w:r w:rsidR="00636A94" w:rsidRPr="00810756">
        <w:rPr>
          <w:rFonts w:ascii="Times New Roman" w:eastAsia="Garamond" w:hAnsi="Times New Roman" w:cs="Times New Roman"/>
          <w:color w:val="000000"/>
        </w:rPr>
        <w:t>traci moc</w:t>
      </w:r>
      <w:r w:rsidRPr="00810756">
        <w:rPr>
          <w:rFonts w:ascii="Times New Roman" w:eastAsia="Garamond" w:hAnsi="Times New Roman" w:cs="Times New Roman"/>
          <w:color w:val="000000"/>
        </w:rPr>
        <w:t xml:space="preserve">. Traci moc także </w:t>
      </w:r>
      <w:r w:rsidR="00023295" w:rsidRPr="00810756">
        <w:rPr>
          <w:rFonts w:ascii="Times New Roman" w:eastAsia="Garamond" w:hAnsi="Times New Roman" w:cs="Times New Roman"/>
          <w:color w:val="000000"/>
        </w:rPr>
        <w:t>art</w:t>
      </w:r>
      <w:r w:rsidR="001B6BE4" w:rsidRPr="00810756">
        <w:rPr>
          <w:rFonts w:ascii="Times New Roman" w:eastAsia="Garamond" w:hAnsi="Times New Roman" w:cs="Times New Roman"/>
          <w:color w:val="000000"/>
        </w:rPr>
        <w:t>ykuł</w:t>
      </w:r>
      <w:r w:rsidR="00023295" w:rsidRPr="00810756">
        <w:rPr>
          <w:rFonts w:ascii="Times New Roman" w:eastAsia="Garamond" w:hAnsi="Times New Roman" w:cs="Times New Roman"/>
          <w:color w:val="000000"/>
        </w:rPr>
        <w:t xml:space="preserve"> 1</w:t>
      </w:r>
      <w:r w:rsidRPr="00810756">
        <w:rPr>
          <w:rFonts w:ascii="Times New Roman" w:eastAsia="Garamond" w:hAnsi="Times New Roman" w:cs="Times New Roman"/>
          <w:color w:val="000000"/>
        </w:rPr>
        <w:t>3</w:t>
      </w:r>
      <w:r w:rsidR="00023295" w:rsidRPr="00810756">
        <w:rPr>
          <w:rFonts w:ascii="Times New Roman" w:eastAsia="Garamond" w:hAnsi="Times New Roman" w:cs="Times New Roman"/>
          <w:color w:val="000000"/>
        </w:rPr>
        <w:t xml:space="preserve"> ust</w:t>
      </w:r>
      <w:r w:rsidR="007F5F0B" w:rsidRPr="00810756">
        <w:rPr>
          <w:rFonts w:ascii="Times New Roman" w:eastAsia="Garamond" w:hAnsi="Times New Roman" w:cs="Times New Roman"/>
          <w:color w:val="000000"/>
        </w:rPr>
        <w:t xml:space="preserve">. </w:t>
      </w:r>
      <w:r w:rsidRPr="00810756">
        <w:rPr>
          <w:rFonts w:ascii="Times New Roman" w:eastAsia="Garamond" w:hAnsi="Times New Roman" w:cs="Times New Roman"/>
          <w:color w:val="000000"/>
        </w:rPr>
        <w:t>2</w:t>
      </w:r>
      <w:r w:rsidR="00023295" w:rsidRPr="00810756">
        <w:rPr>
          <w:rFonts w:ascii="Times New Roman" w:eastAsia="Garamond" w:hAnsi="Times New Roman" w:cs="Times New Roman"/>
          <w:color w:val="000000"/>
        </w:rPr>
        <w:t xml:space="preserve"> Umowy</w:t>
      </w:r>
      <w:r w:rsidRPr="0017407B">
        <w:rPr>
          <w:rFonts w:ascii="Times New Roman" w:eastAsia="Garamond" w:hAnsi="Times New Roman" w:cs="Times New Roman"/>
          <w:color w:val="000000"/>
        </w:rPr>
        <w:t xml:space="preserve">, </w:t>
      </w:r>
      <w:r w:rsidR="005E7BE0" w:rsidRPr="0017407B">
        <w:rPr>
          <w:rFonts w:ascii="Times New Roman" w:eastAsia="Garamond" w:hAnsi="Times New Roman" w:cs="Times New Roman"/>
          <w:color w:val="000000"/>
        </w:rPr>
        <w:t xml:space="preserve">na mocy którego </w:t>
      </w:r>
      <w:r w:rsidRPr="0017407B">
        <w:rPr>
          <w:rFonts w:ascii="Times New Roman" w:eastAsia="Garamond" w:hAnsi="Times New Roman" w:cs="Times New Roman"/>
          <w:color w:val="000000"/>
        </w:rPr>
        <w:t>i</w:t>
      </w:r>
      <w:r w:rsidR="00023295" w:rsidRPr="0017407B">
        <w:rPr>
          <w:rFonts w:ascii="Times New Roman" w:eastAsia="Garamond" w:hAnsi="Times New Roman" w:cs="Times New Roman"/>
          <w:color w:val="000000"/>
        </w:rPr>
        <w:t>nwestycje dokonane przed wejściem w życie wypowiedzenia Umowy</w:t>
      </w:r>
      <w:r w:rsidR="005E7BE0" w:rsidRPr="0017407B">
        <w:rPr>
          <w:rFonts w:ascii="Times New Roman" w:eastAsia="Garamond" w:hAnsi="Times New Roman" w:cs="Times New Roman"/>
          <w:color w:val="000000"/>
        </w:rPr>
        <w:t xml:space="preserve"> </w:t>
      </w:r>
      <w:r w:rsidR="00023295" w:rsidRPr="0017407B">
        <w:rPr>
          <w:rFonts w:ascii="Times New Roman" w:eastAsia="Garamond" w:hAnsi="Times New Roman" w:cs="Times New Roman"/>
          <w:color w:val="000000"/>
        </w:rPr>
        <w:t xml:space="preserve">są chronione na </w:t>
      </w:r>
      <w:r w:rsidR="00221098" w:rsidRPr="0017407B">
        <w:rPr>
          <w:rFonts w:ascii="Times New Roman" w:eastAsia="Garamond" w:hAnsi="Times New Roman" w:cs="Times New Roman"/>
          <w:color w:val="000000"/>
        </w:rPr>
        <w:t>jej podstawie</w:t>
      </w:r>
      <w:r w:rsidR="00023295" w:rsidRPr="0017407B">
        <w:rPr>
          <w:rFonts w:ascii="Times New Roman" w:eastAsia="Garamond" w:hAnsi="Times New Roman" w:cs="Times New Roman"/>
          <w:color w:val="000000"/>
        </w:rPr>
        <w:t xml:space="preserve"> przez </w:t>
      </w:r>
      <w:r w:rsidR="005E7BE0" w:rsidRPr="0017407B">
        <w:rPr>
          <w:rFonts w:ascii="Times New Roman" w:eastAsia="Garamond" w:hAnsi="Times New Roman" w:cs="Times New Roman"/>
          <w:color w:val="000000"/>
        </w:rPr>
        <w:t xml:space="preserve">dziesięć lat od czasu wygaśnięcia Umowy. </w:t>
      </w:r>
      <w:r w:rsidR="00221098" w:rsidRPr="0017407B">
        <w:rPr>
          <w:rFonts w:ascii="Times New Roman" w:eastAsia="Garamond" w:hAnsi="Times New Roman" w:cs="Times New Roman"/>
          <w:color w:val="000000"/>
        </w:rPr>
        <w:t xml:space="preserve">Stosownie do </w:t>
      </w:r>
      <w:r w:rsidR="00023295" w:rsidRPr="0017407B">
        <w:rPr>
          <w:rFonts w:ascii="Times New Roman" w:eastAsia="Garamond" w:hAnsi="Times New Roman" w:cs="Times New Roman"/>
          <w:color w:val="000000"/>
        </w:rPr>
        <w:t xml:space="preserve">Porozumienia ochrona ta </w:t>
      </w:r>
      <w:r w:rsidR="005C17DB" w:rsidRPr="0017407B">
        <w:rPr>
          <w:rFonts w:ascii="Times New Roman" w:eastAsia="Garamond" w:hAnsi="Times New Roman" w:cs="Times New Roman"/>
          <w:color w:val="000000"/>
        </w:rPr>
        <w:t>s</w:t>
      </w:r>
      <w:r w:rsidR="00636A94" w:rsidRPr="0017407B">
        <w:rPr>
          <w:rFonts w:ascii="Times New Roman" w:eastAsia="Garamond" w:hAnsi="Times New Roman" w:cs="Times New Roman"/>
          <w:color w:val="000000"/>
        </w:rPr>
        <w:t xml:space="preserve">kończy </w:t>
      </w:r>
      <w:r w:rsidR="005C17DB" w:rsidRPr="0017407B">
        <w:rPr>
          <w:rFonts w:ascii="Times New Roman" w:eastAsia="Garamond" w:hAnsi="Times New Roman" w:cs="Times New Roman"/>
          <w:color w:val="000000"/>
        </w:rPr>
        <w:t>się</w:t>
      </w:r>
      <w:r w:rsidR="00636A94" w:rsidRPr="0017407B">
        <w:rPr>
          <w:rFonts w:ascii="Times New Roman" w:eastAsia="Garamond" w:hAnsi="Times New Roman" w:cs="Times New Roman"/>
          <w:color w:val="000000"/>
        </w:rPr>
        <w:t xml:space="preserve"> </w:t>
      </w:r>
      <w:r w:rsidR="00023295" w:rsidRPr="0017407B">
        <w:rPr>
          <w:rFonts w:ascii="Times New Roman" w:eastAsia="Garamond" w:hAnsi="Times New Roman" w:cs="Times New Roman"/>
          <w:color w:val="000000"/>
        </w:rPr>
        <w:t xml:space="preserve">wraz z </w:t>
      </w:r>
      <w:r w:rsidR="00221098" w:rsidRPr="0017407B">
        <w:rPr>
          <w:rFonts w:ascii="Times New Roman" w:eastAsia="Garamond" w:hAnsi="Times New Roman" w:cs="Times New Roman"/>
          <w:color w:val="000000"/>
        </w:rPr>
        <w:t xml:space="preserve">jego </w:t>
      </w:r>
      <w:r w:rsidR="00023295" w:rsidRPr="0017407B">
        <w:rPr>
          <w:rFonts w:ascii="Times New Roman" w:eastAsia="Garamond" w:hAnsi="Times New Roman" w:cs="Times New Roman"/>
          <w:color w:val="000000"/>
        </w:rPr>
        <w:t xml:space="preserve">wejściem w życie. </w:t>
      </w:r>
    </w:p>
    <w:p w14:paraId="6831BEB5" w14:textId="0551377A" w:rsidR="00FB31FC" w:rsidRPr="005466C2" w:rsidRDefault="00023295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756">
        <w:rPr>
          <w:rFonts w:ascii="Times New Roman" w:eastAsia="Garamond" w:hAnsi="Times New Roman" w:cs="Times New Roman"/>
          <w:color w:val="000000"/>
        </w:rPr>
        <w:t xml:space="preserve">Porozumienie wejdzie w życie </w:t>
      </w:r>
      <w:r w:rsidR="00333677" w:rsidRPr="00810756">
        <w:rPr>
          <w:rFonts w:ascii="Times New Roman" w:eastAsia="Garamond" w:hAnsi="Times New Roman" w:cs="Times New Roman"/>
          <w:color w:val="000000"/>
        </w:rPr>
        <w:t xml:space="preserve">po upływie miesiąca od </w:t>
      </w:r>
      <w:r w:rsidR="001E4FD0" w:rsidRPr="00810756">
        <w:rPr>
          <w:rFonts w:ascii="Times New Roman" w:eastAsia="Garamond" w:hAnsi="Times New Roman" w:cs="Times New Roman"/>
          <w:color w:val="000000"/>
        </w:rPr>
        <w:t xml:space="preserve">daty </w:t>
      </w:r>
      <w:r w:rsidRPr="00810756">
        <w:rPr>
          <w:rFonts w:ascii="Times New Roman" w:eastAsia="Garamond" w:hAnsi="Times New Roman" w:cs="Times New Roman"/>
          <w:color w:val="000000"/>
        </w:rPr>
        <w:t xml:space="preserve">otrzymania późniejszej noty potwierdzającej zakończenie procedur wewnętrznych niezbędnych do </w:t>
      </w:r>
      <w:r w:rsidR="00221098" w:rsidRPr="00810756">
        <w:rPr>
          <w:rFonts w:ascii="Times New Roman" w:eastAsia="Garamond" w:hAnsi="Times New Roman" w:cs="Times New Roman"/>
          <w:color w:val="000000"/>
        </w:rPr>
        <w:t xml:space="preserve">jego </w:t>
      </w:r>
      <w:r w:rsidRPr="00810756">
        <w:rPr>
          <w:rFonts w:ascii="Times New Roman" w:eastAsia="Garamond" w:hAnsi="Times New Roman" w:cs="Times New Roman"/>
          <w:color w:val="000000"/>
        </w:rPr>
        <w:t xml:space="preserve">wejścia w życie. </w:t>
      </w:r>
    </w:p>
    <w:p w14:paraId="337A2A4E" w14:textId="382AD782" w:rsidR="00840B08" w:rsidRPr="005466C2" w:rsidRDefault="00840B08" w:rsidP="005466C2">
      <w:pPr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  <w:b/>
        </w:rPr>
        <w:lastRenderedPageBreak/>
        <w:t>Przewidywane skutki społeczne, gospodarcze, finansowe, polityczne i prawne</w:t>
      </w:r>
    </w:p>
    <w:p w14:paraId="70B5B458" w14:textId="77777777" w:rsidR="00840B08" w:rsidRPr="005466C2" w:rsidRDefault="00840B08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</w:rPr>
        <w:t>Zawarcie Porozumienia nie będzie miało konsekwencji politycznych.</w:t>
      </w:r>
    </w:p>
    <w:p w14:paraId="476A8BFA" w14:textId="77777777" w:rsidR="00E82F9A" w:rsidRPr="005466C2" w:rsidRDefault="00840B08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</w:rPr>
        <w:t xml:space="preserve">Zawarcie Porozumienia nie będzie miało negatywnych skutków społecznych. </w:t>
      </w:r>
    </w:p>
    <w:p w14:paraId="623A9318" w14:textId="10566876" w:rsidR="00840B08" w:rsidRPr="0017407B" w:rsidRDefault="00840B08" w:rsidP="005466C2">
      <w:pPr>
        <w:keepLines/>
        <w:spacing w:before="120" w:line="360" w:lineRule="auto"/>
        <w:jc w:val="both"/>
        <w:rPr>
          <w:rFonts w:ascii="Times New Roman" w:hAnsi="Times New Roman" w:cs="Times New Roman"/>
        </w:rPr>
      </w:pPr>
      <w:r w:rsidRPr="00810756">
        <w:rPr>
          <w:rFonts w:ascii="Times New Roman" w:hAnsi="Times New Roman" w:cs="Times New Roman"/>
        </w:rPr>
        <w:t xml:space="preserve">Zawarcie Porozumienia nie powinno wpłynąć na stosunki gospodarcze między Rzecząpospolitą Polską a Królestwem Norwegii. Według danych NBP łączna wartość kapitału zainwestowanego przez firmy norweskie w Polsce wyniosła na koniec 2022 r. 1 792,3 mln EUR, co dało Norwegii 18 miejsce wśród inwestorów zagranicznych w Polsce z udziałem 0,76% </w:t>
      </w:r>
      <w:r w:rsidR="004A2353" w:rsidRPr="00810756">
        <w:rPr>
          <w:rFonts w:ascii="Times New Roman" w:hAnsi="Times New Roman" w:cs="Times New Roman"/>
        </w:rPr>
        <w:t>w</w:t>
      </w:r>
      <w:r w:rsidR="004A2353">
        <w:rPr>
          <w:rFonts w:ascii="Times New Roman" w:hAnsi="Times New Roman" w:cs="Times New Roman"/>
        </w:rPr>
        <w:t> </w:t>
      </w:r>
      <w:r w:rsidRPr="00810756">
        <w:rPr>
          <w:rFonts w:ascii="Times New Roman" w:hAnsi="Times New Roman" w:cs="Times New Roman"/>
        </w:rPr>
        <w:t>inwestycjach zagranicznych ogółem. Firmy norweskie w 2022 r. osiągnęły dochody w wys. 66,6 mln EUR, reinwestowane zyski to 22,1 mln EUR.</w:t>
      </w:r>
      <w:r w:rsidR="00285B83" w:rsidRPr="00810756">
        <w:rPr>
          <w:rFonts w:ascii="Times New Roman" w:hAnsi="Times New Roman" w:cs="Times New Roman"/>
        </w:rPr>
        <w:t xml:space="preserve"> </w:t>
      </w:r>
      <w:r w:rsidRPr="00810756">
        <w:rPr>
          <w:rFonts w:ascii="Times New Roman" w:hAnsi="Times New Roman" w:cs="Times New Roman"/>
        </w:rPr>
        <w:t xml:space="preserve">Według danych GUS za 2021 r. </w:t>
      </w:r>
      <w:r w:rsidR="004A2353" w:rsidRPr="00810756">
        <w:rPr>
          <w:rFonts w:ascii="Times New Roman" w:hAnsi="Times New Roman" w:cs="Times New Roman"/>
        </w:rPr>
        <w:t>w</w:t>
      </w:r>
      <w:r w:rsidR="004A2353">
        <w:rPr>
          <w:rFonts w:ascii="Times New Roman" w:hAnsi="Times New Roman" w:cs="Times New Roman"/>
        </w:rPr>
        <w:t> </w:t>
      </w:r>
      <w:r w:rsidRPr="00810756">
        <w:rPr>
          <w:rFonts w:ascii="Times New Roman" w:hAnsi="Times New Roman" w:cs="Times New Roman"/>
        </w:rPr>
        <w:t xml:space="preserve">Polsce było zarejestrowanych 438 firm z udziałem kapitału norweskiego, </w:t>
      </w:r>
      <w:r w:rsidR="00D65102" w:rsidRPr="00810756">
        <w:rPr>
          <w:rFonts w:ascii="Times New Roman" w:hAnsi="Times New Roman" w:cs="Times New Roman"/>
        </w:rPr>
        <w:t>w</w:t>
      </w:r>
      <w:r w:rsidR="00D65102">
        <w:rPr>
          <w:rFonts w:ascii="Times New Roman" w:hAnsi="Times New Roman" w:cs="Times New Roman"/>
        </w:rPr>
        <w:t> </w:t>
      </w:r>
      <w:r w:rsidRPr="00810756">
        <w:rPr>
          <w:rFonts w:ascii="Times New Roman" w:hAnsi="Times New Roman" w:cs="Times New Roman"/>
        </w:rPr>
        <w:t>t</w:t>
      </w:r>
      <w:r w:rsidRPr="0017407B">
        <w:rPr>
          <w:rFonts w:ascii="Times New Roman" w:hAnsi="Times New Roman" w:cs="Times New Roman"/>
        </w:rPr>
        <w:t>ym</w:t>
      </w:r>
      <w:r w:rsidR="00D65102">
        <w:rPr>
          <w:rFonts w:ascii="Times New Roman" w:hAnsi="Times New Roman" w:cs="Times New Roman"/>
        </w:rPr>
        <w:t> </w:t>
      </w:r>
      <w:r w:rsidR="00D65102" w:rsidRPr="0017407B">
        <w:rPr>
          <w:rFonts w:ascii="Times New Roman" w:hAnsi="Times New Roman" w:cs="Times New Roman"/>
        </w:rPr>
        <w:t>156</w:t>
      </w:r>
      <w:r w:rsidR="00D65102">
        <w:rPr>
          <w:rFonts w:ascii="Times New Roman" w:hAnsi="Times New Roman" w:cs="Times New Roman"/>
        </w:rPr>
        <w:t> </w:t>
      </w:r>
      <w:r w:rsidRPr="0017407B">
        <w:rPr>
          <w:rFonts w:ascii="Times New Roman" w:hAnsi="Times New Roman" w:cs="Times New Roman"/>
        </w:rPr>
        <w:t>zatrudniających powyżej 9 osób. Kapitał udziałowców zagranicznych wynosił 1995,5 mln PLN i stanowił 0,91% kapitału zagranicznego ogółem. 100 firm dysponowało kapitałem udziałowców norweskich powyżej 1 mln USD. Firmy z udziałem kapitału norweskiego zatrudniały w Polsce w 2020 r. ponad 18,24 tys. pracowników.</w:t>
      </w:r>
    </w:p>
    <w:p w14:paraId="6F12D785" w14:textId="132AB88B" w:rsidR="00840B08" w:rsidRPr="00810756" w:rsidRDefault="00840B08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17407B">
        <w:rPr>
          <w:rFonts w:ascii="Times New Roman" w:hAnsi="Times New Roman" w:cs="Times New Roman"/>
        </w:rPr>
        <w:t xml:space="preserve">Na liście największych inwestorów zagranicznych </w:t>
      </w:r>
      <w:r w:rsidR="00285B83" w:rsidRPr="00810756">
        <w:rPr>
          <w:rFonts w:ascii="Times New Roman" w:hAnsi="Times New Roman" w:cs="Times New Roman"/>
        </w:rPr>
        <w:t xml:space="preserve">Polskiej Agencji Inwestycji i Handlu </w:t>
      </w:r>
      <w:r w:rsidRPr="00810756">
        <w:rPr>
          <w:rFonts w:ascii="Times New Roman" w:hAnsi="Times New Roman" w:cs="Times New Roman"/>
        </w:rPr>
        <w:t>zna</w:t>
      </w:r>
      <w:r w:rsidR="00285B83" w:rsidRPr="00810756">
        <w:rPr>
          <w:rFonts w:ascii="Times New Roman" w:hAnsi="Times New Roman" w:cs="Times New Roman"/>
        </w:rPr>
        <w:t xml:space="preserve">jdują się </w:t>
      </w:r>
      <w:r w:rsidRPr="00810756">
        <w:rPr>
          <w:rFonts w:ascii="Times New Roman" w:hAnsi="Times New Roman" w:cs="Times New Roman"/>
        </w:rPr>
        <w:t xml:space="preserve">m.in. firmy norweskie: </w:t>
      </w:r>
      <w:proofErr w:type="spellStart"/>
      <w:r w:rsidRPr="00810756">
        <w:rPr>
          <w:rFonts w:ascii="Times New Roman" w:hAnsi="Times New Roman" w:cs="Times New Roman"/>
        </w:rPr>
        <w:t>Aluko</w:t>
      </w:r>
      <w:proofErr w:type="spellEnd"/>
      <w:r w:rsidRPr="00810756">
        <w:rPr>
          <w:rFonts w:ascii="Times New Roman" w:hAnsi="Times New Roman" w:cs="Times New Roman"/>
        </w:rPr>
        <w:t xml:space="preserve"> AS (producent szkła), </w:t>
      </w:r>
      <w:proofErr w:type="spellStart"/>
      <w:r w:rsidRPr="00810756">
        <w:rPr>
          <w:rFonts w:ascii="Times New Roman" w:hAnsi="Times New Roman" w:cs="Times New Roman"/>
        </w:rPr>
        <w:t>Elopak</w:t>
      </w:r>
      <w:proofErr w:type="spellEnd"/>
      <w:r w:rsidRPr="00810756">
        <w:rPr>
          <w:rFonts w:ascii="Times New Roman" w:hAnsi="Times New Roman" w:cs="Times New Roman"/>
        </w:rPr>
        <w:t xml:space="preserve"> (produkcja wyrobów gumowych i plastikowych), Euro Terminal AS (transport), </w:t>
      </w:r>
      <w:proofErr w:type="spellStart"/>
      <w:r w:rsidRPr="00810756">
        <w:rPr>
          <w:rFonts w:ascii="Times New Roman" w:hAnsi="Times New Roman" w:cs="Times New Roman"/>
        </w:rPr>
        <w:t>Firmus</w:t>
      </w:r>
      <w:proofErr w:type="spellEnd"/>
      <w:r w:rsidRPr="00810756">
        <w:rPr>
          <w:rFonts w:ascii="Times New Roman" w:hAnsi="Times New Roman" w:cs="Times New Roman"/>
        </w:rPr>
        <w:t xml:space="preserve"> AS (wyroby z drewna), </w:t>
      </w:r>
      <w:proofErr w:type="spellStart"/>
      <w:r w:rsidRPr="00810756">
        <w:rPr>
          <w:rFonts w:ascii="Times New Roman" w:hAnsi="Times New Roman" w:cs="Times New Roman"/>
        </w:rPr>
        <w:t>Istrail</w:t>
      </w:r>
      <w:proofErr w:type="spellEnd"/>
      <w:r w:rsidRPr="00810756">
        <w:rPr>
          <w:rFonts w:ascii="Times New Roman" w:hAnsi="Times New Roman" w:cs="Times New Roman"/>
        </w:rPr>
        <w:t xml:space="preserve"> AS (transport), Jakob </w:t>
      </w:r>
      <w:proofErr w:type="spellStart"/>
      <w:r w:rsidRPr="00810756">
        <w:rPr>
          <w:rFonts w:ascii="Times New Roman" w:hAnsi="Times New Roman" w:cs="Times New Roman"/>
        </w:rPr>
        <w:t>Hatteland</w:t>
      </w:r>
      <w:proofErr w:type="spellEnd"/>
      <w:r w:rsidRPr="00810756">
        <w:rPr>
          <w:rFonts w:ascii="Times New Roman" w:hAnsi="Times New Roman" w:cs="Times New Roman"/>
        </w:rPr>
        <w:t xml:space="preserve"> </w:t>
      </w:r>
      <w:proofErr w:type="spellStart"/>
      <w:r w:rsidRPr="00810756">
        <w:rPr>
          <w:rFonts w:ascii="Times New Roman" w:hAnsi="Times New Roman" w:cs="Times New Roman"/>
        </w:rPr>
        <w:t>bygg</w:t>
      </w:r>
      <w:proofErr w:type="spellEnd"/>
      <w:r w:rsidRPr="00810756">
        <w:rPr>
          <w:rFonts w:ascii="Times New Roman" w:hAnsi="Times New Roman" w:cs="Times New Roman"/>
        </w:rPr>
        <w:t xml:space="preserve"> AS (wyroby elektryczne), </w:t>
      </w:r>
      <w:proofErr w:type="spellStart"/>
      <w:r w:rsidRPr="00810756">
        <w:rPr>
          <w:rFonts w:ascii="Times New Roman" w:hAnsi="Times New Roman" w:cs="Times New Roman"/>
        </w:rPr>
        <w:t>Klaveness</w:t>
      </w:r>
      <w:proofErr w:type="spellEnd"/>
      <w:r w:rsidRPr="00810756">
        <w:rPr>
          <w:rFonts w:ascii="Times New Roman" w:hAnsi="Times New Roman" w:cs="Times New Roman"/>
        </w:rPr>
        <w:t xml:space="preserve"> </w:t>
      </w:r>
      <w:proofErr w:type="spellStart"/>
      <w:r w:rsidRPr="00810756">
        <w:rPr>
          <w:rFonts w:ascii="Times New Roman" w:hAnsi="Times New Roman" w:cs="Times New Roman"/>
        </w:rPr>
        <w:t>Skofabrikk</w:t>
      </w:r>
      <w:proofErr w:type="spellEnd"/>
      <w:r w:rsidRPr="00810756">
        <w:rPr>
          <w:rFonts w:ascii="Times New Roman" w:hAnsi="Times New Roman" w:cs="Times New Roman"/>
        </w:rPr>
        <w:t xml:space="preserve"> (wyroby skórzane), </w:t>
      </w:r>
      <w:proofErr w:type="spellStart"/>
      <w:r w:rsidRPr="00810756">
        <w:rPr>
          <w:rFonts w:ascii="Times New Roman" w:hAnsi="Times New Roman" w:cs="Times New Roman"/>
        </w:rPr>
        <w:t>Kongsberg</w:t>
      </w:r>
      <w:proofErr w:type="spellEnd"/>
      <w:r w:rsidRPr="00810756">
        <w:rPr>
          <w:rFonts w:ascii="Times New Roman" w:hAnsi="Times New Roman" w:cs="Times New Roman"/>
        </w:rPr>
        <w:t xml:space="preserve"> Automotive (wytwarzanie części zamiennych do samochodów), Mielno Holding AS (budownictwo), </w:t>
      </w:r>
      <w:proofErr w:type="spellStart"/>
      <w:r w:rsidRPr="00810756">
        <w:rPr>
          <w:rFonts w:ascii="Times New Roman" w:hAnsi="Times New Roman" w:cs="Times New Roman"/>
        </w:rPr>
        <w:t>Nevion</w:t>
      </w:r>
      <w:proofErr w:type="spellEnd"/>
      <w:r w:rsidRPr="00810756">
        <w:rPr>
          <w:rFonts w:ascii="Times New Roman" w:hAnsi="Times New Roman" w:cs="Times New Roman"/>
        </w:rPr>
        <w:t xml:space="preserve"> (transport), „NO-PO” AS (art. spożywcze), </w:t>
      </w:r>
      <w:proofErr w:type="spellStart"/>
      <w:r w:rsidRPr="00810756">
        <w:rPr>
          <w:rFonts w:ascii="Times New Roman" w:hAnsi="Times New Roman" w:cs="Times New Roman"/>
        </w:rPr>
        <w:t>Norgips</w:t>
      </w:r>
      <w:proofErr w:type="spellEnd"/>
      <w:r w:rsidRPr="00810756">
        <w:rPr>
          <w:rFonts w:ascii="Times New Roman" w:hAnsi="Times New Roman" w:cs="Times New Roman"/>
        </w:rPr>
        <w:t xml:space="preserve"> (producent płyt gipsowo-kartonowych), Orkla ASA (suplementy diety), </w:t>
      </w:r>
      <w:proofErr w:type="spellStart"/>
      <w:r w:rsidRPr="00810756">
        <w:rPr>
          <w:rFonts w:ascii="Times New Roman" w:hAnsi="Times New Roman" w:cs="Times New Roman"/>
        </w:rPr>
        <w:t>Qubus</w:t>
      </w:r>
      <w:proofErr w:type="spellEnd"/>
      <w:r w:rsidRPr="00810756">
        <w:rPr>
          <w:rFonts w:ascii="Times New Roman" w:hAnsi="Times New Roman" w:cs="Times New Roman"/>
        </w:rPr>
        <w:t xml:space="preserve"> Hotel System (sieć hoteli), </w:t>
      </w:r>
      <w:proofErr w:type="spellStart"/>
      <w:r w:rsidRPr="00810756">
        <w:rPr>
          <w:rFonts w:ascii="Times New Roman" w:hAnsi="Times New Roman" w:cs="Times New Roman"/>
        </w:rPr>
        <w:t>Rieber</w:t>
      </w:r>
      <w:proofErr w:type="spellEnd"/>
      <w:r w:rsidRPr="00810756">
        <w:rPr>
          <w:rFonts w:ascii="Times New Roman" w:hAnsi="Times New Roman" w:cs="Times New Roman"/>
        </w:rPr>
        <w:t xml:space="preserve"> and </w:t>
      </w:r>
      <w:proofErr w:type="spellStart"/>
      <w:r w:rsidRPr="00810756">
        <w:rPr>
          <w:rFonts w:ascii="Times New Roman" w:hAnsi="Times New Roman" w:cs="Times New Roman"/>
        </w:rPr>
        <w:t>Son</w:t>
      </w:r>
      <w:proofErr w:type="spellEnd"/>
      <w:r w:rsidRPr="00810756">
        <w:rPr>
          <w:rFonts w:ascii="Times New Roman" w:hAnsi="Times New Roman" w:cs="Times New Roman"/>
        </w:rPr>
        <w:t xml:space="preserve"> ASA (art. spożywcze i tytoniowe), </w:t>
      </w:r>
      <w:proofErr w:type="spellStart"/>
      <w:r w:rsidRPr="00810756">
        <w:rPr>
          <w:rFonts w:ascii="Times New Roman" w:hAnsi="Times New Roman" w:cs="Times New Roman"/>
        </w:rPr>
        <w:t>Wenaasgruppen</w:t>
      </w:r>
      <w:proofErr w:type="spellEnd"/>
      <w:r w:rsidRPr="00810756">
        <w:rPr>
          <w:rFonts w:ascii="Times New Roman" w:hAnsi="Times New Roman" w:cs="Times New Roman"/>
        </w:rPr>
        <w:t xml:space="preserve"> AS (hotel Sobieski w Warszawie), </w:t>
      </w:r>
      <w:proofErr w:type="spellStart"/>
      <w:r w:rsidRPr="00810756">
        <w:rPr>
          <w:rFonts w:ascii="Times New Roman" w:hAnsi="Times New Roman" w:cs="Times New Roman"/>
        </w:rPr>
        <w:t>Yara</w:t>
      </w:r>
      <w:proofErr w:type="spellEnd"/>
      <w:r w:rsidRPr="00810756">
        <w:rPr>
          <w:rFonts w:ascii="Times New Roman" w:hAnsi="Times New Roman" w:cs="Times New Roman"/>
        </w:rPr>
        <w:t xml:space="preserve"> International ASA (sprzedaż hurtowa i detaliczna części samochodowych). W 2012 r. norweska sieć stacji Statoil obecna w Polsce od 1993 r. została przejęta przez grupę kanadyjską </w:t>
      </w:r>
      <w:proofErr w:type="spellStart"/>
      <w:r w:rsidRPr="00810756">
        <w:rPr>
          <w:rFonts w:ascii="Times New Roman" w:hAnsi="Times New Roman" w:cs="Times New Roman"/>
          <w:iCs/>
        </w:rPr>
        <w:t>Alimentation</w:t>
      </w:r>
      <w:proofErr w:type="spellEnd"/>
      <w:r w:rsidRPr="00810756">
        <w:rPr>
          <w:rFonts w:ascii="Times New Roman" w:hAnsi="Times New Roman" w:cs="Times New Roman"/>
          <w:iCs/>
        </w:rPr>
        <w:t xml:space="preserve"> </w:t>
      </w:r>
      <w:proofErr w:type="spellStart"/>
      <w:r w:rsidRPr="00810756">
        <w:rPr>
          <w:rFonts w:ascii="Times New Roman" w:hAnsi="Times New Roman" w:cs="Times New Roman"/>
          <w:iCs/>
        </w:rPr>
        <w:t>Couche-Tard</w:t>
      </w:r>
      <w:proofErr w:type="spellEnd"/>
      <w:r w:rsidRPr="00810756">
        <w:rPr>
          <w:rFonts w:ascii="Times New Roman" w:hAnsi="Times New Roman" w:cs="Times New Roman"/>
          <w:iCs/>
        </w:rPr>
        <w:t xml:space="preserve"> i od 2018 r. działa pod nową nazwą </w:t>
      </w:r>
      <w:proofErr w:type="spellStart"/>
      <w:r w:rsidRPr="00810756">
        <w:rPr>
          <w:rFonts w:ascii="Times New Roman" w:hAnsi="Times New Roman" w:cs="Times New Roman"/>
          <w:iCs/>
        </w:rPr>
        <w:t>Circle</w:t>
      </w:r>
      <w:proofErr w:type="spellEnd"/>
      <w:r w:rsidRPr="00810756">
        <w:rPr>
          <w:rFonts w:ascii="Times New Roman" w:hAnsi="Times New Roman" w:cs="Times New Roman"/>
          <w:iCs/>
        </w:rPr>
        <w:t xml:space="preserve"> K.</w:t>
      </w:r>
      <w:r w:rsidRPr="00810756">
        <w:rPr>
          <w:rFonts w:ascii="Times New Roman" w:hAnsi="Times New Roman" w:cs="Times New Roman"/>
        </w:rPr>
        <w:t xml:space="preserve"> W marcu 2018 r. </w:t>
      </w:r>
      <w:proofErr w:type="spellStart"/>
      <w:r w:rsidRPr="00810756">
        <w:rPr>
          <w:rFonts w:ascii="Times New Roman" w:hAnsi="Times New Roman" w:cs="Times New Roman"/>
        </w:rPr>
        <w:t>Equinor</w:t>
      </w:r>
      <w:proofErr w:type="spellEnd"/>
      <w:r w:rsidRPr="00810756">
        <w:rPr>
          <w:rFonts w:ascii="Times New Roman" w:hAnsi="Times New Roman" w:cs="Times New Roman"/>
        </w:rPr>
        <w:t xml:space="preserve"> (pod starą jeszcze nazwą Statoil) ponownie wszedł na polski rynek</w:t>
      </w:r>
      <w:r w:rsidR="004A2353">
        <w:rPr>
          <w:rFonts w:ascii="Times New Roman" w:hAnsi="Times New Roman" w:cs="Times New Roman"/>
        </w:rPr>
        <w:t>,</w:t>
      </w:r>
      <w:r w:rsidRPr="00810756">
        <w:rPr>
          <w:rFonts w:ascii="Times New Roman" w:hAnsi="Times New Roman" w:cs="Times New Roman"/>
        </w:rPr>
        <w:t xml:space="preserve"> kupując 50% udziałów w dwóch spółkach zależnych </w:t>
      </w:r>
      <w:proofErr w:type="spellStart"/>
      <w:r w:rsidRPr="00810756">
        <w:rPr>
          <w:rFonts w:ascii="Times New Roman" w:hAnsi="Times New Roman" w:cs="Times New Roman"/>
        </w:rPr>
        <w:t>Polenergii</w:t>
      </w:r>
      <w:proofErr w:type="spellEnd"/>
      <w:r w:rsidRPr="00810756">
        <w:rPr>
          <w:rFonts w:ascii="Times New Roman" w:hAnsi="Times New Roman" w:cs="Times New Roman"/>
        </w:rPr>
        <w:t xml:space="preserve"> SA, </w:t>
      </w:r>
      <w:proofErr w:type="spellStart"/>
      <w:r w:rsidRPr="00810756">
        <w:rPr>
          <w:rFonts w:ascii="Times New Roman" w:hAnsi="Times New Roman" w:cs="Times New Roman"/>
        </w:rPr>
        <w:t>Polenergii</w:t>
      </w:r>
      <w:proofErr w:type="spellEnd"/>
      <w:r w:rsidRPr="00810756">
        <w:rPr>
          <w:rFonts w:ascii="Times New Roman" w:hAnsi="Times New Roman" w:cs="Times New Roman"/>
        </w:rPr>
        <w:t xml:space="preserve"> Bałtyk III Sp. z o.o. i </w:t>
      </w:r>
      <w:proofErr w:type="spellStart"/>
      <w:r w:rsidRPr="00810756">
        <w:rPr>
          <w:rFonts w:ascii="Times New Roman" w:hAnsi="Times New Roman" w:cs="Times New Roman"/>
        </w:rPr>
        <w:t>Polenergii</w:t>
      </w:r>
      <w:proofErr w:type="spellEnd"/>
      <w:r w:rsidRPr="00810756">
        <w:rPr>
          <w:rFonts w:ascii="Times New Roman" w:hAnsi="Times New Roman" w:cs="Times New Roman"/>
        </w:rPr>
        <w:t xml:space="preserve"> Bałtyk II Sp. z o.o. W grudniu 2018 r. </w:t>
      </w:r>
      <w:proofErr w:type="spellStart"/>
      <w:r w:rsidRPr="00810756">
        <w:rPr>
          <w:rFonts w:ascii="Times New Roman" w:hAnsi="Times New Roman" w:cs="Times New Roman"/>
        </w:rPr>
        <w:t>Equinor</w:t>
      </w:r>
      <w:proofErr w:type="spellEnd"/>
      <w:r w:rsidRPr="00810756">
        <w:rPr>
          <w:rFonts w:ascii="Times New Roman" w:hAnsi="Times New Roman" w:cs="Times New Roman"/>
        </w:rPr>
        <w:t xml:space="preserve"> powiększył swoje portfolio w Polsce</w:t>
      </w:r>
      <w:r w:rsidR="004A2353">
        <w:rPr>
          <w:rFonts w:ascii="Times New Roman" w:hAnsi="Times New Roman" w:cs="Times New Roman"/>
        </w:rPr>
        <w:t>,</w:t>
      </w:r>
      <w:r w:rsidRPr="00810756">
        <w:rPr>
          <w:rFonts w:ascii="Times New Roman" w:hAnsi="Times New Roman" w:cs="Times New Roman"/>
        </w:rPr>
        <w:t xml:space="preserve"> zawierając umowę z </w:t>
      </w:r>
      <w:proofErr w:type="spellStart"/>
      <w:r w:rsidRPr="00810756">
        <w:rPr>
          <w:rFonts w:ascii="Times New Roman" w:hAnsi="Times New Roman" w:cs="Times New Roman"/>
        </w:rPr>
        <w:t>Polenergią</w:t>
      </w:r>
      <w:proofErr w:type="spellEnd"/>
      <w:r w:rsidRPr="00810756">
        <w:rPr>
          <w:rFonts w:ascii="Times New Roman" w:hAnsi="Times New Roman" w:cs="Times New Roman"/>
        </w:rPr>
        <w:t xml:space="preserve"> na zakup 50% w trzecim projekcie Bałtyk I.</w:t>
      </w:r>
      <w:r w:rsidR="00285B83" w:rsidRPr="00810756">
        <w:rPr>
          <w:rFonts w:ascii="Times New Roman" w:hAnsi="Times New Roman" w:cs="Times New Roman"/>
        </w:rPr>
        <w:t xml:space="preserve"> </w:t>
      </w:r>
      <w:r w:rsidRPr="00810756">
        <w:rPr>
          <w:rFonts w:ascii="Times New Roman" w:hAnsi="Times New Roman" w:cs="Times New Roman"/>
        </w:rPr>
        <w:t xml:space="preserve">W październiku 2018 r. firma </w:t>
      </w:r>
      <w:proofErr w:type="spellStart"/>
      <w:r w:rsidRPr="00810756">
        <w:rPr>
          <w:rFonts w:ascii="Times New Roman" w:hAnsi="Times New Roman" w:cs="Times New Roman"/>
        </w:rPr>
        <w:t>Kongsberg</w:t>
      </w:r>
      <w:proofErr w:type="spellEnd"/>
      <w:r w:rsidRPr="00810756">
        <w:rPr>
          <w:rFonts w:ascii="Times New Roman" w:hAnsi="Times New Roman" w:cs="Times New Roman"/>
        </w:rPr>
        <w:t xml:space="preserve"> Automotive oficjalnie otworzyła trzecią fabrykę </w:t>
      </w:r>
      <w:r w:rsidR="00D65102" w:rsidRPr="00810756">
        <w:rPr>
          <w:rFonts w:ascii="Times New Roman" w:hAnsi="Times New Roman" w:cs="Times New Roman"/>
        </w:rPr>
        <w:t>w</w:t>
      </w:r>
      <w:r w:rsidR="00D65102">
        <w:rPr>
          <w:rFonts w:ascii="Times New Roman" w:hAnsi="Times New Roman" w:cs="Times New Roman"/>
        </w:rPr>
        <w:t> </w:t>
      </w:r>
      <w:r w:rsidRPr="00810756">
        <w:rPr>
          <w:rFonts w:ascii="Times New Roman" w:hAnsi="Times New Roman" w:cs="Times New Roman"/>
        </w:rPr>
        <w:t>Polsce</w:t>
      </w:r>
      <w:r w:rsidR="00285B83" w:rsidRPr="00810756">
        <w:rPr>
          <w:rFonts w:ascii="Times New Roman" w:hAnsi="Times New Roman" w:cs="Times New Roman"/>
        </w:rPr>
        <w:t xml:space="preserve"> (</w:t>
      </w:r>
      <w:r w:rsidR="00E82F9A" w:rsidRPr="00810756">
        <w:rPr>
          <w:rFonts w:ascii="Times New Roman" w:hAnsi="Times New Roman" w:cs="Times New Roman"/>
        </w:rPr>
        <w:t xml:space="preserve">maty </w:t>
      </w:r>
      <w:r w:rsidRPr="00810756">
        <w:rPr>
          <w:rFonts w:ascii="Times New Roman" w:hAnsi="Times New Roman" w:cs="Times New Roman"/>
        </w:rPr>
        <w:t>grzewcze do siedzeń samochodowych oraz przewody paliwowe i powietrzne</w:t>
      </w:r>
      <w:r w:rsidR="00E82F9A" w:rsidRPr="00810756">
        <w:rPr>
          <w:rFonts w:ascii="Times New Roman" w:hAnsi="Times New Roman" w:cs="Times New Roman"/>
        </w:rPr>
        <w:t>)</w:t>
      </w:r>
      <w:r w:rsidRPr="00810756">
        <w:rPr>
          <w:rFonts w:ascii="Times New Roman" w:hAnsi="Times New Roman" w:cs="Times New Roman"/>
        </w:rPr>
        <w:t xml:space="preserve">. </w:t>
      </w:r>
    </w:p>
    <w:p w14:paraId="5FE890F6" w14:textId="2F000AA5" w:rsidR="00840B08" w:rsidRPr="00810756" w:rsidRDefault="00840B08" w:rsidP="005466C2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810756">
        <w:rPr>
          <w:rFonts w:ascii="Times New Roman" w:hAnsi="Times New Roman" w:cs="Times New Roman"/>
        </w:rPr>
        <w:t xml:space="preserve">Największym inwestorem norweskim w Polsce jest </w:t>
      </w:r>
      <w:proofErr w:type="spellStart"/>
      <w:r w:rsidRPr="00810756">
        <w:rPr>
          <w:rFonts w:ascii="Times New Roman" w:hAnsi="Times New Roman" w:cs="Times New Roman"/>
        </w:rPr>
        <w:t>Pension</w:t>
      </w:r>
      <w:proofErr w:type="spellEnd"/>
      <w:r w:rsidRPr="00810756">
        <w:rPr>
          <w:rFonts w:ascii="Times New Roman" w:hAnsi="Times New Roman" w:cs="Times New Roman"/>
        </w:rPr>
        <w:t xml:space="preserve"> Fund Global, inwestujący środki pozyskiwane jako dochody z tytułu wydobycia węglowodorów (gaz, ropa naftowa) na </w:t>
      </w:r>
      <w:r w:rsidRPr="00810756">
        <w:rPr>
          <w:rFonts w:ascii="Times New Roman" w:hAnsi="Times New Roman" w:cs="Times New Roman"/>
        </w:rPr>
        <w:lastRenderedPageBreak/>
        <w:t>norweskim szelfie kontynentalnym. Inwestor ten nie został ujęty na powyższej liście, ponieważ jest on typowym funduszem lokującym kapitał w inwestycje portfelowe, które nie mają charakteru bezpośrednich inwestycji zagranicznych. Wartość inwestycji Funduszu w Polsce na koniec 2022 r. wynosiła w akcjach i udziałach 12,538</w:t>
      </w:r>
      <w:r w:rsidR="00787C2D" w:rsidRPr="00810756">
        <w:rPr>
          <w:rFonts w:ascii="Times New Roman" w:hAnsi="Times New Roman" w:cs="Times New Roman"/>
        </w:rPr>
        <w:t xml:space="preserve"> </w:t>
      </w:r>
      <w:r w:rsidRPr="00810756">
        <w:rPr>
          <w:rFonts w:ascii="Times New Roman" w:hAnsi="Times New Roman" w:cs="Times New Roman"/>
        </w:rPr>
        <w:t>mld NOK (równowartość ok. 1,17</w:t>
      </w:r>
      <w:r w:rsidRPr="00810756">
        <w:rPr>
          <w:rFonts w:ascii="Times New Roman" w:hAnsi="Times New Roman" w:cs="Times New Roman"/>
          <w:color w:val="FF0000"/>
        </w:rPr>
        <w:t xml:space="preserve"> </w:t>
      </w:r>
      <w:r w:rsidRPr="00810756">
        <w:rPr>
          <w:rFonts w:ascii="Times New Roman" w:hAnsi="Times New Roman" w:cs="Times New Roman"/>
        </w:rPr>
        <w:t>mld USD) w 104 spółkach, 1,427 mln NOK (równowartość 133,4 mln USD) w obligacjach skarbowych i bankowych oraz 1,930 mld NOK w 26 nieruchomościach (równowartość ok</w:t>
      </w:r>
      <w:r w:rsidR="004A2353">
        <w:rPr>
          <w:rFonts w:ascii="Times New Roman" w:hAnsi="Times New Roman" w:cs="Times New Roman"/>
        </w:rPr>
        <w:t>.</w:t>
      </w:r>
      <w:r w:rsidR="00D65102">
        <w:rPr>
          <w:rFonts w:ascii="Times New Roman" w:hAnsi="Times New Roman" w:cs="Times New Roman"/>
        </w:rPr>
        <w:t> </w:t>
      </w:r>
      <w:r w:rsidR="00D65102" w:rsidRPr="00810756">
        <w:rPr>
          <w:rFonts w:ascii="Times New Roman" w:hAnsi="Times New Roman" w:cs="Times New Roman"/>
        </w:rPr>
        <w:t>180</w:t>
      </w:r>
      <w:r w:rsidR="00D65102">
        <w:rPr>
          <w:rFonts w:ascii="Times New Roman" w:hAnsi="Times New Roman" w:cs="Times New Roman"/>
        </w:rPr>
        <w:t> </w:t>
      </w:r>
      <w:r w:rsidRPr="00810756">
        <w:rPr>
          <w:rFonts w:ascii="Times New Roman" w:hAnsi="Times New Roman" w:cs="Times New Roman"/>
        </w:rPr>
        <w:t xml:space="preserve">mln USD). Biorąc pod uwagę fakt, że kapitalizacja wszystkich spółek obecnych na Warszawskiej Giełdzie Papierów Wartościowych wyniosła w całym 2022 r. ok. 1 194,8 mld PLN (ok. 270 mld USD), to udział </w:t>
      </w:r>
      <w:proofErr w:type="spellStart"/>
      <w:r w:rsidRPr="00810756">
        <w:rPr>
          <w:rFonts w:ascii="Times New Roman" w:hAnsi="Times New Roman" w:cs="Times New Roman"/>
        </w:rPr>
        <w:t>Pension</w:t>
      </w:r>
      <w:proofErr w:type="spellEnd"/>
      <w:r w:rsidRPr="00810756">
        <w:rPr>
          <w:rFonts w:ascii="Times New Roman" w:hAnsi="Times New Roman" w:cs="Times New Roman"/>
        </w:rPr>
        <w:t xml:space="preserve"> Fund Global wyniósł na GPW ok. 0,4%. </w:t>
      </w:r>
    </w:p>
    <w:p w14:paraId="4D84EA6F" w14:textId="77777777" w:rsidR="00840B08" w:rsidRPr="00810756" w:rsidRDefault="00840B08" w:rsidP="005466C2">
      <w:pPr>
        <w:keepNext/>
        <w:spacing w:before="120" w:line="360" w:lineRule="auto"/>
        <w:jc w:val="both"/>
        <w:rPr>
          <w:rFonts w:ascii="Times New Roman" w:hAnsi="Times New Roman" w:cs="Times New Roman"/>
          <w:spacing w:val="3"/>
        </w:rPr>
      </w:pPr>
      <w:r w:rsidRPr="00810756">
        <w:rPr>
          <w:rFonts w:ascii="Times New Roman" w:hAnsi="Times New Roman" w:cs="Times New Roman"/>
        </w:rPr>
        <w:t>Wartość polskiego kapitału zainwestowanego w Norwegii na koniec 2022 r. wedłu</w:t>
      </w:r>
      <w:r w:rsidR="00E82F9A" w:rsidRPr="00810756">
        <w:rPr>
          <w:rFonts w:ascii="Times New Roman" w:hAnsi="Times New Roman" w:cs="Times New Roman"/>
        </w:rPr>
        <w:t xml:space="preserve">g NBP wyniosła 963,6 mln EUR, co stanowi </w:t>
      </w:r>
      <w:r w:rsidRPr="00810756">
        <w:rPr>
          <w:rFonts w:ascii="Times New Roman" w:hAnsi="Times New Roman" w:cs="Times New Roman"/>
        </w:rPr>
        <w:t xml:space="preserve">4% polskich kapitałów zainwestowanych za granicą. Dochody polskiego kapitału w Norwegii w 2022 r. wynosiły 3,443 mln EUR. Największymi polskimi inwestorami w Norwegii są firmy: </w:t>
      </w:r>
      <w:r w:rsidRPr="00810756">
        <w:rPr>
          <w:rFonts w:ascii="Times New Roman" w:hAnsi="Times New Roman" w:cs="Times New Roman"/>
          <w:spacing w:val="3"/>
        </w:rPr>
        <w:t xml:space="preserve">PGNiG </w:t>
      </w:r>
      <w:proofErr w:type="spellStart"/>
      <w:r w:rsidRPr="00810756">
        <w:rPr>
          <w:rFonts w:ascii="Times New Roman" w:hAnsi="Times New Roman" w:cs="Times New Roman"/>
          <w:spacing w:val="3"/>
        </w:rPr>
        <w:t>Upstream</w:t>
      </w:r>
      <w:proofErr w:type="spellEnd"/>
      <w:r w:rsidRPr="0081075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10756">
        <w:rPr>
          <w:rFonts w:ascii="Times New Roman" w:hAnsi="Times New Roman" w:cs="Times New Roman"/>
          <w:spacing w:val="3"/>
        </w:rPr>
        <w:t>Norway</w:t>
      </w:r>
      <w:proofErr w:type="spellEnd"/>
      <w:r w:rsidRPr="00810756">
        <w:rPr>
          <w:rFonts w:ascii="Times New Roman" w:hAnsi="Times New Roman" w:cs="Times New Roman"/>
          <w:spacing w:val="3"/>
        </w:rPr>
        <w:t xml:space="preserve"> AS należąca do Grupy </w:t>
      </w:r>
      <w:r w:rsidRPr="00810756">
        <w:rPr>
          <w:rFonts w:ascii="Times New Roman" w:hAnsi="Times New Roman" w:cs="Times New Roman"/>
        </w:rPr>
        <w:t>ORLEN S.A. (</w:t>
      </w:r>
      <w:r w:rsidRPr="00810756">
        <w:rPr>
          <w:rFonts w:ascii="Times New Roman" w:hAnsi="Times New Roman" w:cs="Times New Roman"/>
          <w:spacing w:val="3"/>
        </w:rPr>
        <w:t xml:space="preserve">z początkiem maja 2023 r. przejął aktywa wydobywcze LOTOS Exploration and </w:t>
      </w:r>
      <w:proofErr w:type="spellStart"/>
      <w:r w:rsidRPr="00810756">
        <w:rPr>
          <w:rFonts w:ascii="Times New Roman" w:hAnsi="Times New Roman" w:cs="Times New Roman"/>
          <w:spacing w:val="3"/>
        </w:rPr>
        <w:t>Production</w:t>
      </w:r>
      <w:proofErr w:type="spellEnd"/>
      <w:r w:rsidRPr="0081075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10756">
        <w:rPr>
          <w:rFonts w:ascii="Times New Roman" w:hAnsi="Times New Roman" w:cs="Times New Roman"/>
          <w:spacing w:val="3"/>
        </w:rPr>
        <w:t>Norge</w:t>
      </w:r>
      <w:proofErr w:type="spellEnd"/>
      <w:r w:rsidRPr="00810756">
        <w:rPr>
          <w:rFonts w:ascii="Times New Roman" w:hAnsi="Times New Roman" w:cs="Times New Roman"/>
          <w:spacing w:val="3"/>
        </w:rPr>
        <w:t xml:space="preserve"> AS – </w:t>
      </w:r>
      <w:r w:rsidRPr="00810756">
        <w:rPr>
          <w:rFonts w:ascii="Times New Roman" w:hAnsi="Times New Roman" w:cs="Times New Roman"/>
        </w:rPr>
        <w:t xml:space="preserve">wydobycie węglowodorów), Solaris </w:t>
      </w:r>
      <w:proofErr w:type="spellStart"/>
      <w:r w:rsidRPr="00810756">
        <w:rPr>
          <w:rFonts w:ascii="Times New Roman" w:hAnsi="Times New Roman" w:cs="Times New Roman"/>
        </w:rPr>
        <w:t>Norge</w:t>
      </w:r>
      <w:proofErr w:type="spellEnd"/>
      <w:r w:rsidRPr="00810756">
        <w:rPr>
          <w:rFonts w:ascii="Times New Roman" w:hAnsi="Times New Roman" w:cs="Times New Roman"/>
        </w:rPr>
        <w:t xml:space="preserve">, przedstawicielstwo Solaris </w:t>
      </w:r>
      <w:proofErr w:type="spellStart"/>
      <w:r w:rsidRPr="00810756">
        <w:rPr>
          <w:rFonts w:ascii="Times New Roman" w:hAnsi="Times New Roman" w:cs="Times New Roman"/>
        </w:rPr>
        <w:t>Bus&amp;Coach</w:t>
      </w:r>
      <w:proofErr w:type="spellEnd"/>
      <w:r w:rsidRPr="00810756">
        <w:rPr>
          <w:rFonts w:ascii="Times New Roman" w:hAnsi="Times New Roman" w:cs="Times New Roman"/>
        </w:rPr>
        <w:t xml:space="preserve"> S.A. (sprzedaż i serwis autobusów).</w:t>
      </w:r>
    </w:p>
    <w:p w14:paraId="69D31CFA" w14:textId="77777777" w:rsidR="005E7BE0" w:rsidRPr="005466C2" w:rsidRDefault="005E7BE0" w:rsidP="005466C2">
      <w:pPr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  <w:r w:rsidRPr="005466C2">
        <w:rPr>
          <w:rFonts w:ascii="Times New Roman" w:hAnsi="Times New Roman" w:cs="Times New Roman"/>
          <w:color w:val="000000"/>
        </w:rPr>
        <w:t xml:space="preserve">Z informacji </w:t>
      </w:r>
      <w:r w:rsidR="00056459" w:rsidRPr="005466C2">
        <w:rPr>
          <w:rFonts w:ascii="Times New Roman" w:hAnsi="Times New Roman" w:cs="Times New Roman"/>
          <w:color w:val="000000"/>
        </w:rPr>
        <w:t xml:space="preserve">posiadanych przez </w:t>
      </w:r>
      <w:r w:rsidRPr="005466C2">
        <w:rPr>
          <w:rFonts w:ascii="Times New Roman" w:hAnsi="Times New Roman" w:cs="Times New Roman"/>
          <w:color w:val="000000"/>
        </w:rPr>
        <w:t>Ministerstwo Rozwoju i Technologii wynika, że polscy inwestorzy nie kierowali na podstawie Umowy roszczeń do międzynarodowych trybunałów arbitrażowych przeciwko Królestwu Norwegii, natomiast R</w:t>
      </w:r>
      <w:r w:rsidR="00BE606D" w:rsidRPr="005466C2">
        <w:rPr>
          <w:rFonts w:ascii="Times New Roman" w:hAnsi="Times New Roman" w:cs="Times New Roman"/>
          <w:color w:val="000000"/>
        </w:rPr>
        <w:t xml:space="preserve">zeczpospolita </w:t>
      </w:r>
      <w:r w:rsidRPr="005466C2">
        <w:rPr>
          <w:rFonts w:ascii="Times New Roman" w:hAnsi="Times New Roman" w:cs="Times New Roman"/>
          <w:color w:val="000000"/>
        </w:rPr>
        <w:t>P</w:t>
      </w:r>
      <w:r w:rsidR="00BE606D" w:rsidRPr="005466C2">
        <w:rPr>
          <w:rFonts w:ascii="Times New Roman" w:hAnsi="Times New Roman" w:cs="Times New Roman"/>
          <w:color w:val="000000"/>
        </w:rPr>
        <w:t>olska</w:t>
      </w:r>
      <w:r w:rsidRPr="005466C2">
        <w:rPr>
          <w:rFonts w:ascii="Times New Roman" w:hAnsi="Times New Roman" w:cs="Times New Roman"/>
          <w:color w:val="000000"/>
        </w:rPr>
        <w:t xml:space="preserve"> była raz pozwana prze</w:t>
      </w:r>
      <w:r w:rsidR="00DB046D" w:rsidRPr="005466C2">
        <w:rPr>
          <w:rFonts w:ascii="Times New Roman" w:hAnsi="Times New Roman" w:cs="Times New Roman"/>
          <w:color w:val="000000"/>
        </w:rPr>
        <w:t>z inwestora na podstawie Umowy (sprawa zakończyła się wygraną R</w:t>
      </w:r>
      <w:r w:rsidR="00BE606D" w:rsidRPr="005466C2">
        <w:rPr>
          <w:rFonts w:ascii="Times New Roman" w:hAnsi="Times New Roman" w:cs="Times New Roman"/>
          <w:color w:val="000000"/>
        </w:rPr>
        <w:t xml:space="preserve">zeczypospolitej </w:t>
      </w:r>
      <w:r w:rsidR="00DB046D" w:rsidRPr="005466C2">
        <w:rPr>
          <w:rFonts w:ascii="Times New Roman" w:hAnsi="Times New Roman" w:cs="Times New Roman"/>
          <w:color w:val="000000"/>
        </w:rPr>
        <w:t>P</w:t>
      </w:r>
      <w:r w:rsidR="00BE606D" w:rsidRPr="005466C2">
        <w:rPr>
          <w:rFonts w:ascii="Times New Roman" w:hAnsi="Times New Roman" w:cs="Times New Roman"/>
          <w:color w:val="000000"/>
        </w:rPr>
        <w:t>olskiej</w:t>
      </w:r>
      <w:r w:rsidR="00DB046D" w:rsidRPr="005466C2">
        <w:rPr>
          <w:rFonts w:ascii="Times New Roman" w:hAnsi="Times New Roman" w:cs="Times New Roman"/>
          <w:color w:val="000000"/>
        </w:rPr>
        <w:t xml:space="preserve">). </w:t>
      </w:r>
      <w:r w:rsidR="00F80EE1" w:rsidRPr="005466C2">
        <w:rPr>
          <w:rFonts w:ascii="Times New Roman" w:hAnsi="Times New Roman" w:cs="Times New Roman"/>
          <w:color w:val="000000"/>
        </w:rPr>
        <w:t xml:space="preserve">Porozumienie </w:t>
      </w:r>
      <w:r w:rsidR="00DB046D" w:rsidRPr="005466C2">
        <w:rPr>
          <w:rFonts w:ascii="Times New Roman" w:hAnsi="Times New Roman" w:cs="Times New Roman"/>
          <w:color w:val="000000"/>
        </w:rPr>
        <w:t xml:space="preserve">może </w:t>
      </w:r>
      <w:r w:rsidR="00F80EE1" w:rsidRPr="005466C2">
        <w:rPr>
          <w:rFonts w:ascii="Times New Roman" w:hAnsi="Times New Roman" w:cs="Times New Roman"/>
          <w:color w:val="000000"/>
        </w:rPr>
        <w:t>wi</w:t>
      </w:r>
      <w:r w:rsidR="00D12C2E" w:rsidRPr="005466C2">
        <w:rPr>
          <w:rFonts w:ascii="Times New Roman" w:hAnsi="Times New Roman" w:cs="Times New Roman"/>
          <w:color w:val="000000"/>
        </w:rPr>
        <w:t>ę</w:t>
      </w:r>
      <w:r w:rsidR="00F80EE1" w:rsidRPr="005466C2">
        <w:rPr>
          <w:rFonts w:ascii="Times New Roman" w:hAnsi="Times New Roman" w:cs="Times New Roman"/>
          <w:color w:val="000000"/>
        </w:rPr>
        <w:t xml:space="preserve">c </w:t>
      </w:r>
      <w:r w:rsidR="00DB046D" w:rsidRPr="005466C2">
        <w:rPr>
          <w:rFonts w:ascii="Times New Roman" w:hAnsi="Times New Roman" w:cs="Times New Roman"/>
          <w:color w:val="000000"/>
        </w:rPr>
        <w:t xml:space="preserve">potencjalnie zmniejszyć </w:t>
      </w:r>
      <w:r w:rsidR="00F80EE1" w:rsidRPr="005466C2">
        <w:rPr>
          <w:rFonts w:ascii="Times New Roman" w:hAnsi="Times New Roman" w:cs="Times New Roman"/>
          <w:color w:val="000000"/>
        </w:rPr>
        <w:t xml:space="preserve">obciążenie państwa pod względem finansowym, ponieważ nie będzie zachodzić konieczność ponoszenia kosztów postępowań arbitrażowych.  </w:t>
      </w:r>
    </w:p>
    <w:p w14:paraId="50BEEBBF" w14:textId="44D62918" w:rsidR="00FB31FC" w:rsidRPr="005466C2" w:rsidRDefault="00023295" w:rsidP="005466C2">
      <w:pPr>
        <w:pStyle w:val="Tekstpodstawowy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</w:rPr>
        <w:t xml:space="preserve">Zawarcie Porozumienia </w:t>
      </w:r>
      <w:r w:rsidRPr="00810756">
        <w:rPr>
          <w:rFonts w:ascii="Times New Roman" w:hAnsi="Times New Roman" w:cs="Times New Roman"/>
          <w:color w:val="000000"/>
        </w:rPr>
        <w:t>nie naruszy polskiego porządku prawnego</w:t>
      </w:r>
      <w:r w:rsidR="0070054B" w:rsidRPr="00810756">
        <w:rPr>
          <w:rFonts w:ascii="Times New Roman" w:hAnsi="Times New Roman" w:cs="Times New Roman"/>
          <w:color w:val="000000"/>
        </w:rPr>
        <w:t>.</w:t>
      </w:r>
      <w:r w:rsidR="001C451D" w:rsidRPr="00810756">
        <w:rPr>
          <w:rFonts w:ascii="Times New Roman" w:hAnsi="Times New Roman" w:cs="Times New Roman"/>
          <w:color w:val="000000"/>
        </w:rPr>
        <w:t xml:space="preserve"> Skutkiem prawnym zawarcia Porozumienia będzie zakończenie mocy obowiązującej Umowy wraz z jej art.</w:t>
      </w:r>
      <w:r w:rsidR="001C451D" w:rsidRPr="00810756">
        <w:rPr>
          <w:rFonts w:ascii="Times New Roman" w:eastAsia="Garamond" w:hAnsi="Times New Roman" w:cs="Times New Roman"/>
          <w:color w:val="000000"/>
        </w:rPr>
        <w:t>13 ust. 2.</w:t>
      </w:r>
      <w:r w:rsidR="00FE5F7B" w:rsidRPr="005466C2">
        <w:rPr>
          <w:rFonts w:ascii="Times New Roman" w:hAnsi="Times New Roman" w:cs="Times New Roman"/>
        </w:rPr>
        <w:t xml:space="preserve"> Podmiotami prawa krajowego, których dotyczy Porozumienie</w:t>
      </w:r>
      <w:r w:rsidR="004A2353">
        <w:rPr>
          <w:rFonts w:ascii="Times New Roman" w:hAnsi="Times New Roman" w:cs="Times New Roman"/>
        </w:rPr>
        <w:t>,</w:t>
      </w:r>
      <w:r w:rsidR="00FE5F7B" w:rsidRPr="005466C2">
        <w:rPr>
          <w:rFonts w:ascii="Times New Roman" w:hAnsi="Times New Roman" w:cs="Times New Roman"/>
        </w:rPr>
        <w:t xml:space="preserve"> są inwestorzy (osoby fizyczne lub prawne), inwestujące w państwie drugiej strony. Porozumienie zakończy obowiązywanie Umowy w polskim prawie wewnętrznym. Wykonanie Porozumienia nie wymaga przyjęcia żadnych środków prawnych.</w:t>
      </w:r>
    </w:p>
    <w:p w14:paraId="51DD9F95" w14:textId="196FC839" w:rsidR="00FB31FC" w:rsidRPr="005466C2" w:rsidRDefault="00023295" w:rsidP="005466C2">
      <w:pPr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  <w:b/>
        </w:rPr>
        <w:t>Tryb związania Rzeczypospolitej Polskiej Porozumieniem</w:t>
      </w:r>
    </w:p>
    <w:p w14:paraId="3E400174" w14:textId="30C7FC53" w:rsidR="00FB31FC" w:rsidRPr="005466C2" w:rsidRDefault="00023295" w:rsidP="005466C2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5466C2">
        <w:rPr>
          <w:rFonts w:ascii="Times New Roman" w:hAnsi="Times New Roman" w:cs="Times New Roman"/>
        </w:rPr>
        <w:t xml:space="preserve">Porozumienie </w:t>
      </w:r>
      <w:r w:rsidR="00221098" w:rsidRPr="005466C2">
        <w:rPr>
          <w:rFonts w:ascii="Times New Roman" w:hAnsi="Times New Roman" w:cs="Times New Roman"/>
        </w:rPr>
        <w:t>ma</w:t>
      </w:r>
      <w:r w:rsidRPr="005466C2">
        <w:rPr>
          <w:rFonts w:ascii="Times New Roman" w:hAnsi="Times New Roman" w:cs="Times New Roman"/>
        </w:rPr>
        <w:t xml:space="preserve"> rangę umowy między</w:t>
      </w:r>
      <w:r w:rsidR="009174BB" w:rsidRPr="005466C2">
        <w:rPr>
          <w:rFonts w:ascii="Times New Roman" w:hAnsi="Times New Roman" w:cs="Times New Roman"/>
        </w:rPr>
        <w:t>rządowej</w:t>
      </w:r>
      <w:r w:rsidRPr="005466C2">
        <w:rPr>
          <w:rFonts w:ascii="Times New Roman" w:hAnsi="Times New Roman" w:cs="Times New Roman"/>
        </w:rPr>
        <w:t>. Rozwiązywan</w:t>
      </w:r>
      <w:r w:rsidR="00042F87" w:rsidRPr="005466C2">
        <w:rPr>
          <w:rFonts w:ascii="Times New Roman" w:hAnsi="Times New Roman" w:cs="Times New Roman"/>
        </w:rPr>
        <w:t>a</w:t>
      </w:r>
      <w:r w:rsidRPr="005466C2">
        <w:rPr>
          <w:rFonts w:ascii="Times New Roman" w:hAnsi="Times New Roman" w:cs="Times New Roman"/>
        </w:rPr>
        <w:t xml:space="preserve"> </w:t>
      </w:r>
      <w:r w:rsidR="0007605A" w:rsidRPr="005466C2">
        <w:rPr>
          <w:rFonts w:ascii="Times New Roman" w:hAnsi="Times New Roman" w:cs="Times New Roman"/>
        </w:rPr>
        <w:t>U</w:t>
      </w:r>
      <w:r w:rsidRPr="005466C2">
        <w:rPr>
          <w:rFonts w:ascii="Times New Roman" w:hAnsi="Times New Roman" w:cs="Times New Roman"/>
        </w:rPr>
        <w:t>mow</w:t>
      </w:r>
      <w:r w:rsidR="00042F87" w:rsidRPr="005466C2">
        <w:rPr>
          <w:rFonts w:ascii="Times New Roman" w:hAnsi="Times New Roman" w:cs="Times New Roman"/>
        </w:rPr>
        <w:t>a</w:t>
      </w:r>
      <w:r w:rsidRPr="005466C2">
        <w:rPr>
          <w:rFonts w:ascii="Times New Roman" w:hAnsi="Times New Roman" w:cs="Times New Roman"/>
        </w:rPr>
        <w:t xml:space="preserve"> </w:t>
      </w:r>
      <w:r w:rsidR="00042F87" w:rsidRPr="005466C2">
        <w:rPr>
          <w:rFonts w:ascii="Times New Roman" w:hAnsi="Times New Roman" w:cs="Times New Roman"/>
        </w:rPr>
        <w:t xml:space="preserve">jest </w:t>
      </w:r>
      <w:r w:rsidRPr="005466C2">
        <w:rPr>
          <w:rFonts w:ascii="Times New Roman" w:hAnsi="Times New Roman" w:cs="Times New Roman"/>
        </w:rPr>
        <w:t>traktowan</w:t>
      </w:r>
      <w:r w:rsidR="00042F87" w:rsidRPr="005466C2">
        <w:rPr>
          <w:rFonts w:ascii="Times New Roman" w:hAnsi="Times New Roman" w:cs="Times New Roman"/>
        </w:rPr>
        <w:t>a</w:t>
      </w:r>
      <w:r w:rsidRPr="005466C2">
        <w:rPr>
          <w:rFonts w:ascii="Times New Roman" w:hAnsi="Times New Roman" w:cs="Times New Roman"/>
        </w:rPr>
        <w:t xml:space="preserve"> </w:t>
      </w:r>
      <w:r w:rsidR="00D65102" w:rsidRPr="005466C2">
        <w:rPr>
          <w:rFonts w:ascii="Times New Roman" w:hAnsi="Times New Roman" w:cs="Times New Roman"/>
        </w:rPr>
        <w:t>w</w:t>
      </w:r>
      <w:r w:rsidR="00D65102">
        <w:rPr>
          <w:rFonts w:ascii="Times New Roman" w:hAnsi="Times New Roman" w:cs="Times New Roman"/>
        </w:rPr>
        <w:t> </w:t>
      </w:r>
      <w:r w:rsidRPr="005466C2">
        <w:rPr>
          <w:rFonts w:ascii="Times New Roman" w:hAnsi="Times New Roman" w:cs="Times New Roman"/>
        </w:rPr>
        <w:t xml:space="preserve">polskim porządku prawnym jako </w:t>
      </w:r>
      <w:r w:rsidR="00A12B4C" w:rsidRPr="005466C2">
        <w:rPr>
          <w:rFonts w:ascii="Times New Roman" w:hAnsi="Times New Roman" w:cs="Times New Roman"/>
        </w:rPr>
        <w:t xml:space="preserve">umowa ratyfikowana </w:t>
      </w:r>
      <w:r w:rsidRPr="005466C2">
        <w:rPr>
          <w:rFonts w:ascii="Times New Roman" w:hAnsi="Times New Roman" w:cs="Times New Roman"/>
        </w:rPr>
        <w:t xml:space="preserve">za uprzednią zgodą wyrażoną </w:t>
      </w:r>
      <w:r w:rsidR="00D65102" w:rsidRPr="005466C2">
        <w:rPr>
          <w:rFonts w:ascii="Times New Roman" w:hAnsi="Times New Roman" w:cs="Times New Roman"/>
        </w:rPr>
        <w:t>w</w:t>
      </w:r>
      <w:r w:rsidR="00D65102">
        <w:rPr>
          <w:rFonts w:ascii="Times New Roman" w:hAnsi="Times New Roman" w:cs="Times New Roman"/>
        </w:rPr>
        <w:t> </w:t>
      </w:r>
      <w:r w:rsidRPr="005466C2">
        <w:rPr>
          <w:rFonts w:ascii="Times New Roman" w:hAnsi="Times New Roman" w:cs="Times New Roman"/>
        </w:rPr>
        <w:t>ustawie, stosownie do art. 241 ust. 1 Konstytucj</w:t>
      </w:r>
      <w:r w:rsidR="00B00897" w:rsidRPr="005466C2">
        <w:rPr>
          <w:rFonts w:ascii="Times New Roman" w:hAnsi="Times New Roman" w:cs="Times New Roman"/>
        </w:rPr>
        <w:t>i</w:t>
      </w:r>
      <w:r w:rsidRPr="005466C2">
        <w:rPr>
          <w:rFonts w:ascii="Times New Roman" w:hAnsi="Times New Roman" w:cs="Times New Roman"/>
        </w:rPr>
        <w:t xml:space="preserve"> Rzeczypospolitej Polskiej </w:t>
      </w:r>
      <w:r w:rsidR="00B00897" w:rsidRPr="005466C2">
        <w:rPr>
          <w:rFonts w:ascii="Times New Roman" w:hAnsi="Times New Roman" w:cs="Times New Roman"/>
        </w:rPr>
        <w:t xml:space="preserve">z dnia 2 kwietnia </w:t>
      </w:r>
      <w:r w:rsidR="00B00897" w:rsidRPr="005466C2">
        <w:rPr>
          <w:rFonts w:ascii="Times New Roman" w:hAnsi="Times New Roman" w:cs="Times New Roman"/>
        </w:rPr>
        <w:lastRenderedPageBreak/>
        <w:t xml:space="preserve">1997 r. </w:t>
      </w:r>
      <w:r w:rsidRPr="005466C2">
        <w:rPr>
          <w:rFonts w:ascii="Times New Roman" w:hAnsi="Times New Roman" w:cs="Times New Roman"/>
        </w:rPr>
        <w:t xml:space="preserve">(Dz. U. poz. 483, z </w:t>
      </w:r>
      <w:proofErr w:type="spellStart"/>
      <w:r w:rsidRPr="005466C2">
        <w:rPr>
          <w:rFonts w:ascii="Times New Roman" w:hAnsi="Times New Roman" w:cs="Times New Roman"/>
        </w:rPr>
        <w:t>późn</w:t>
      </w:r>
      <w:proofErr w:type="spellEnd"/>
      <w:r w:rsidRPr="005466C2">
        <w:rPr>
          <w:rFonts w:ascii="Times New Roman" w:hAnsi="Times New Roman" w:cs="Times New Roman"/>
        </w:rPr>
        <w:t>. zm.). Dlatego też związanie R</w:t>
      </w:r>
      <w:r w:rsidR="00BE606D" w:rsidRPr="005466C2">
        <w:rPr>
          <w:rFonts w:ascii="Times New Roman" w:hAnsi="Times New Roman" w:cs="Times New Roman"/>
        </w:rPr>
        <w:t xml:space="preserve">zeczypospolitej </w:t>
      </w:r>
      <w:r w:rsidRPr="005466C2">
        <w:rPr>
          <w:rFonts w:ascii="Times New Roman" w:hAnsi="Times New Roman" w:cs="Times New Roman"/>
        </w:rPr>
        <w:t>P</w:t>
      </w:r>
      <w:r w:rsidR="00BE606D" w:rsidRPr="005466C2">
        <w:rPr>
          <w:rFonts w:ascii="Times New Roman" w:hAnsi="Times New Roman" w:cs="Times New Roman"/>
        </w:rPr>
        <w:t>olskiej</w:t>
      </w:r>
      <w:r w:rsidRPr="005466C2">
        <w:rPr>
          <w:rFonts w:ascii="Times New Roman" w:hAnsi="Times New Roman" w:cs="Times New Roman"/>
        </w:rPr>
        <w:t xml:space="preserve"> Porozumieniem nastąpi również za uprzednią zgodą wyrażoną w ustawie, tym bardziej że Porozumienie dotyczy wolności, praw i obowiązków obywatelskich</w:t>
      </w:r>
      <w:r w:rsidR="00BE606D" w:rsidRPr="005466C2">
        <w:rPr>
          <w:rFonts w:ascii="Times New Roman" w:hAnsi="Times New Roman" w:cs="Times New Roman"/>
        </w:rPr>
        <w:t xml:space="preserve"> oraz</w:t>
      </w:r>
      <w:r w:rsidRPr="005466C2">
        <w:rPr>
          <w:rFonts w:ascii="Times New Roman" w:hAnsi="Times New Roman" w:cs="Times New Roman"/>
        </w:rPr>
        <w:t xml:space="preserve"> spraw uregulowanych w ustawie lub w których Konstytucja wymaga ustawy (zasady prowadzenia działalności gospodarczej, ochrona prawa własności, kwestia wywłaszczenia oraz odszkodowania w tym zakresie), a więc spraw, o których mowa w art. 89 ust. 1 pkt 2 i 5 Konstytucji </w:t>
      </w:r>
      <w:r w:rsidR="00BE606D" w:rsidRPr="005466C2">
        <w:rPr>
          <w:rFonts w:ascii="Times New Roman" w:hAnsi="Times New Roman" w:cs="Times New Roman"/>
        </w:rPr>
        <w:t>Rzeczypospolitej Polskiej</w:t>
      </w:r>
      <w:r w:rsidRPr="005466C2">
        <w:rPr>
          <w:rFonts w:ascii="Times New Roman" w:hAnsi="Times New Roman" w:cs="Times New Roman"/>
        </w:rPr>
        <w:t>.</w:t>
      </w:r>
    </w:p>
    <w:sectPr w:rsidR="00FB31FC" w:rsidRPr="005466C2" w:rsidSect="004A2353">
      <w:footerReference w:type="default" r:id="rId8"/>
      <w:pgSz w:w="11906" w:h="16838"/>
      <w:pgMar w:top="1418" w:right="1418" w:bottom="1276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4C06" w14:textId="77777777" w:rsidR="003E1AED" w:rsidRDefault="003E1AED">
      <w:r>
        <w:separator/>
      </w:r>
    </w:p>
  </w:endnote>
  <w:endnote w:type="continuationSeparator" w:id="0">
    <w:p w14:paraId="3E755F06" w14:textId="77777777" w:rsidR="003E1AED" w:rsidRDefault="003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960784"/>
      <w:docPartObj>
        <w:docPartGallery w:val="Page Numbers (Bottom of Page)"/>
        <w:docPartUnique/>
      </w:docPartObj>
    </w:sdtPr>
    <w:sdtEndPr/>
    <w:sdtContent>
      <w:p w14:paraId="15B5E99C" w14:textId="3ED1DA1F" w:rsidR="00FB31FC" w:rsidRDefault="0017407B" w:rsidP="001740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1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F2EF" w14:textId="77777777" w:rsidR="003E1AED" w:rsidRDefault="003E1AED"/>
  </w:footnote>
  <w:footnote w:type="continuationSeparator" w:id="0">
    <w:p w14:paraId="7AC5FCB1" w14:textId="77777777" w:rsidR="003E1AED" w:rsidRDefault="003E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58C"/>
    <w:multiLevelType w:val="multilevel"/>
    <w:tmpl w:val="B6544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532DF7"/>
    <w:multiLevelType w:val="multilevel"/>
    <w:tmpl w:val="248428EC"/>
    <w:lvl w:ilvl="0">
      <w:start w:val="1"/>
      <w:numFmt w:val="decimal"/>
      <w:lvlText w:val="%1."/>
      <w:lvlJc w:val="left"/>
      <w:pPr>
        <w:ind w:left="8299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223FCB"/>
    <w:multiLevelType w:val="hybridMultilevel"/>
    <w:tmpl w:val="395E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B384C"/>
    <w:multiLevelType w:val="hybridMultilevel"/>
    <w:tmpl w:val="F1F868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FC"/>
    <w:rsid w:val="000057FE"/>
    <w:rsid w:val="00022A92"/>
    <w:rsid w:val="00023295"/>
    <w:rsid w:val="0004181A"/>
    <w:rsid w:val="00042F87"/>
    <w:rsid w:val="00050901"/>
    <w:rsid w:val="00056459"/>
    <w:rsid w:val="0007605A"/>
    <w:rsid w:val="0008120E"/>
    <w:rsid w:val="000A499E"/>
    <w:rsid w:val="000A7C86"/>
    <w:rsid w:val="000B160C"/>
    <w:rsid w:val="000B18C1"/>
    <w:rsid w:val="000D26BF"/>
    <w:rsid w:val="000F2EB0"/>
    <w:rsid w:val="0013746C"/>
    <w:rsid w:val="00140BDE"/>
    <w:rsid w:val="00150A3C"/>
    <w:rsid w:val="00154F25"/>
    <w:rsid w:val="0017407B"/>
    <w:rsid w:val="00186530"/>
    <w:rsid w:val="00186C7A"/>
    <w:rsid w:val="001B6BE4"/>
    <w:rsid w:val="001C451D"/>
    <w:rsid w:val="001D038B"/>
    <w:rsid w:val="001E4FD0"/>
    <w:rsid w:val="001E5382"/>
    <w:rsid w:val="001F2F22"/>
    <w:rsid w:val="001F330E"/>
    <w:rsid w:val="00221098"/>
    <w:rsid w:val="00246354"/>
    <w:rsid w:val="002518C6"/>
    <w:rsid w:val="00257552"/>
    <w:rsid w:val="002668C3"/>
    <w:rsid w:val="00273DA6"/>
    <w:rsid w:val="00284685"/>
    <w:rsid w:val="00285B83"/>
    <w:rsid w:val="002A055D"/>
    <w:rsid w:val="00303013"/>
    <w:rsid w:val="00312890"/>
    <w:rsid w:val="00333677"/>
    <w:rsid w:val="00334603"/>
    <w:rsid w:val="00351A51"/>
    <w:rsid w:val="00370EBB"/>
    <w:rsid w:val="0039230A"/>
    <w:rsid w:val="00395B89"/>
    <w:rsid w:val="0039746B"/>
    <w:rsid w:val="003A730E"/>
    <w:rsid w:val="003B7C7E"/>
    <w:rsid w:val="003C2B1D"/>
    <w:rsid w:val="003C523A"/>
    <w:rsid w:val="003C6D7E"/>
    <w:rsid w:val="003E1AED"/>
    <w:rsid w:val="003E374E"/>
    <w:rsid w:val="003E7D6B"/>
    <w:rsid w:val="004716BD"/>
    <w:rsid w:val="004735D5"/>
    <w:rsid w:val="00496B04"/>
    <w:rsid w:val="004A10DB"/>
    <w:rsid w:val="004A2353"/>
    <w:rsid w:val="004A2413"/>
    <w:rsid w:val="004A6D51"/>
    <w:rsid w:val="004B26C9"/>
    <w:rsid w:val="004B6CFD"/>
    <w:rsid w:val="00512CD4"/>
    <w:rsid w:val="00515A98"/>
    <w:rsid w:val="00525850"/>
    <w:rsid w:val="00525EF2"/>
    <w:rsid w:val="005466C2"/>
    <w:rsid w:val="0054708E"/>
    <w:rsid w:val="00560A0E"/>
    <w:rsid w:val="00584B67"/>
    <w:rsid w:val="005944DB"/>
    <w:rsid w:val="00595EC5"/>
    <w:rsid w:val="005C17DB"/>
    <w:rsid w:val="005C41C9"/>
    <w:rsid w:val="005C44D6"/>
    <w:rsid w:val="005E7BE0"/>
    <w:rsid w:val="005F0D2C"/>
    <w:rsid w:val="005F71E3"/>
    <w:rsid w:val="00602DC5"/>
    <w:rsid w:val="00621AA4"/>
    <w:rsid w:val="00625501"/>
    <w:rsid w:val="00636A94"/>
    <w:rsid w:val="006576E9"/>
    <w:rsid w:val="0066362B"/>
    <w:rsid w:val="006710DC"/>
    <w:rsid w:val="00673DDD"/>
    <w:rsid w:val="00674295"/>
    <w:rsid w:val="006B5247"/>
    <w:rsid w:val="006B7AB8"/>
    <w:rsid w:val="0070054B"/>
    <w:rsid w:val="007068C7"/>
    <w:rsid w:val="00732CF2"/>
    <w:rsid w:val="00735B6D"/>
    <w:rsid w:val="00742E4B"/>
    <w:rsid w:val="00751807"/>
    <w:rsid w:val="007565F1"/>
    <w:rsid w:val="007764F9"/>
    <w:rsid w:val="00787C2D"/>
    <w:rsid w:val="007A5CAF"/>
    <w:rsid w:val="007C0375"/>
    <w:rsid w:val="007C6243"/>
    <w:rsid w:val="007D7333"/>
    <w:rsid w:val="007F5F0B"/>
    <w:rsid w:val="007F7687"/>
    <w:rsid w:val="008033B5"/>
    <w:rsid w:val="00804310"/>
    <w:rsid w:val="00810756"/>
    <w:rsid w:val="008143E0"/>
    <w:rsid w:val="00826A84"/>
    <w:rsid w:val="0083512B"/>
    <w:rsid w:val="00840B08"/>
    <w:rsid w:val="00853F3E"/>
    <w:rsid w:val="00854106"/>
    <w:rsid w:val="008746C7"/>
    <w:rsid w:val="008C5C39"/>
    <w:rsid w:val="008E2A9C"/>
    <w:rsid w:val="008F72CF"/>
    <w:rsid w:val="009018CE"/>
    <w:rsid w:val="00905156"/>
    <w:rsid w:val="00907621"/>
    <w:rsid w:val="00913384"/>
    <w:rsid w:val="009174BB"/>
    <w:rsid w:val="0092474B"/>
    <w:rsid w:val="00937788"/>
    <w:rsid w:val="00942018"/>
    <w:rsid w:val="00957C8B"/>
    <w:rsid w:val="009A200D"/>
    <w:rsid w:val="009E0AC9"/>
    <w:rsid w:val="009E768F"/>
    <w:rsid w:val="00A12B4C"/>
    <w:rsid w:val="00A13315"/>
    <w:rsid w:val="00A1364C"/>
    <w:rsid w:val="00A42388"/>
    <w:rsid w:val="00A65300"/>
    <w:rsid w:val="00AA03AB"/>
    <w:rsid w:val="00AA7C48"/>
    <w:rsid w:val="00AB334B"/>
    <w:rsid w:val="00AC23F1"/>
    <w:rsid w:val="00AE7724"/>
    <w:rsid w:val="00B00897"/>
    <w:rsid w:val="00B10115"/>
    <w:rsid w:val="00B21FDB"/>
    <w:rsid w:val="00B22595"/>
    <w:rsid w:val="00B534CC"/>
    <w:rsid w:val="00B554DE"/>
    <w:rsid w:val="00B87ABD"/>
    <w:rsid w:val="00B9685E"/>
    <w:rsid w:val="00BE1CB9"/>
    <w:rsid w:val="00BE606D"/>
    <w:rsid w:val="00BF0F5F"/>
    <w:rsid w:val="00C32890"/>
    <w:rsid w:val="00C35F8A"/>
    <w:rsid w:val="00C57AA8"/>
    <w:rsid w:val="00C82720"/>
    <w:rsid w:val="00C93AD2"/>
    <w:rsid w:val="00C96227"/>
    <w:rsid w:val="00CA6BED"/>
    <w:rsid w:val="00CB635D"/>
    <w:rsid w:val="00CE475F"/>
    <w:rsid w:val="00CF18C4"/>
    <w:rsid w:val="00D12C2E"/>
    <w:rsid w:val="00D16C85"/>
    <w:rsid w:val="00D22094"/>
    <w:rsid w:val="00D4141E"/>
    <w:rsid w:val="00D65102"/>
    <w:rsid w:val="00D836DC"/>
    <w:rsid w:val="00D90ACE"/>
    <w:rsid w:val="00DB046D"/>
    <w:rsid w:val="00DB19C7"/>
    <w:rsid w:val="00DB65A5"/>
    <w:rsid w:val="00DC1931"/>
    <w:rsid w:val="00DD38FB"/>
    <w:rsid w:val="00DE2A2D"/>
    <w:rsid w:val="00E0465C"/>
    <w:rsid w:val="00E217B0"/>
    <w:rsid w:val="00E55242"/>
    <w:rsid w:val="00E654A3"/>
    <w:rsid w:val="00E82F9A"/>
    <w:rsid w:val="00EC6DD5"/>
    <w:rsid w:val="00F3013E"/>
    <w:rsid w:val="00F42E7F"/>
    <w:rsid w:val="00F674DA"/>
    <w:rsid w:val="00F730E5"/>
    <w:rsid w:val="00F76E29"/>
    <w:rsid w:val="00F80EE1"/>
    <w:rsid w:val="00FB31FC"/>
    <w:rsid w:val="00FD5EF7"/>
    <w:rsid w:val="00FE5F7B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BA8"/>
  <w15:docId w15:val="{CE39CDA3-B1DA-49AD-BC1F-A5AD6F0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kern w:val="0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1"/>
  </w:style>
  <w:style w:type="character" w:customStyle="1" w:styleId="h1">
    <w:name w:val="h1"/>
    <w:basedOn w:val="Domylnaczcionkaakapitu1"/>
    <w:qFormat/>
  </w:style>
  <w:style w:type="character" w:customStyle="1" w:styleId="trescpismaZnak">
    <w:name w:val="tresc.pisma Znak"/>
    <w:qFormat/>
    <w:rPr>
      <w:rFonts w:eastAsia="Calibri;Calibri"/>
      <w:sz w:val="24"/>
      <w:szCs w:val="24"/>
      <w:lang w:val="en-US" w:bidi="ar-SA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57C1"/>
    <w:rPr>
      <w:sz w:val="16"/>
      <w:szCs w:val="16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qFormat/>
    <w:rsid w:val="002457C1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customStyle="1" w:styleId="StopkaZnak">
    <w:name w:val="Stopka Znak"/>
    <w:basedOn w:val="Domylnaczcionkaakapitu"/>
    <w:uiPriority w:val="99"/>
    <w:qFormat/>
    <w:rPr>
      <w:sz w:val="24"/>
      <w:szCs w:val="24"/>
      <w:lang w:val="pl-PL" w:eastAsia="pl-PL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rescpisma">
    <w:name w:val="tresc.pisma"/>
    <w:basedOn w:val="Normalny"/>
    <w:qFormat/>
    <w:pPr>
      <w:spacing w:line="360" w:lineRule="auto"/>
      <w:ind w:firstLine="709"/>
      <w:jc w:val="both"/>
    </w:pPr>
    <w:rPr>
      <w:rFonts w:eastAsia="Calibri;Calibri"/>
      <w:lang w:val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Default">
    <w:name w:val="Default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color w:val="000000"/>
      <w:kern w:val="0"/>
      <w:sz w:val="24"/>
      <w:lang w:bidi="ar-SA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Calibri;Calibri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kern w:val="0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qFormat/>
    <w:rsid w:val="002457C1"/>
    <w:rPr>
      <w:sz w:val="20"/>
      <w:szCs w:val="20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SimSun, 宋体" w:hAnsi="Times New Roman" w:cs="Times New Roman"/>
      <w:sz w:val="24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Odwoanieprzypisukocowego">
    <w:name w:val="endnote reference"/>
    <w:basedOn w:val="Domylnaczcionkaakapitu"/>
    <w:uiPriority w:val="99"/>
    <w:semiHidden/>
    <w:unhideWhenUsed/>
    <w:rsid w:val="00F80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C4C-0ED4-4E72-8A13-51A36BA1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[projekt]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[projekt]</dc:title>
  <dc:subject/>
  <dc:creator>Kolibabska Marta</dc:creator>
  <cp:keywords/>
  <dc:description/>
  <cp:lastModifiedBy>Rybkowska Bożena</cp:lastModifiedBy>
  <cp:revision>6</cp:revision>
  <cp:lastPrinted>2023-07-31T07:15:00Z</cp:lastPrinted>
  <dcterms:created xsi:type="dcterms:W3CDTF">2024-03-22T09:09:00Z</dcterms:created>
  <dcterms:modified xsi:type="dcterms:W3CDTF">2024-03-27T08:47:00Z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