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180B" w14:textId="53A9A479" w:rsidR="00CE5554" w:rsidRPr="00406A62" w:rsidRDefault="006F57E7" w:rsidP="00406A62">
      <w:pPr>
        <w:spacing w:before="120" w:after="0" w:line="360" w:lineRule="auto"/>
        <w:jc w:val="center"/>
        <w:rPr>
          <w:rFonts w:ascii="Times New Roman" w:hAnsi="Times New Roman" w:cs="Times New Roman"/>
          <w:bCs/>
          <w:sz w:val="24"/>
          <w:szCs w:val="24"/>
        </w:rPr>
      </w:pPr>
      <w:r w:rsidRPr="00406A62">
        <w:rPr>
          <w:rFonts w:ascii="Times New Roman" w:hAnsi="Times New Roman" w:cs="Times New Roman"/>
          <w:bCs/>
          <w:sz w:val="24"/>
          <w:szCs w:val="24"/>
        </w:rPr>
        <w:t>UZASADNIENIE</w:t>
      </w:r>
    </w:p>
    <w:p w14:paraId="757D4E35" w14:textId="77777777" w:rsidR="00934BB9" w:rsidRPr="00406A62" w:rsidRDefault="00934BB9" w:rsidP="00406A62">
      <w:pPr>
        <w:pStyle w:val="Akapitzlist"/>
        <w:numPr>
          <w:ilvl w:val="0"/>
          <w:numId w:val="32"/>
        </w:numPr>
        <w:spacing w:before="120" w:after="0" w:line="360" w:lineRule="auto"/>
        <w:ind w:left="284" w:hanging="142"/>
        <w:jc w:val="both"/>
        <w:rPr>
          <w:rFonts w:ascii="Times New Roman" w:hAnsi="Times New Roman" w:cs="Times New Roman"/>
          <w:b/>
          <w:sz w:val="24"/>
          <w:szCs w:val="24"/>
        </w:rPr>
      </w:pPr>
      <w:r w:rsidRPr="00406A62">
        <w:rPr>
          <w:rFonts w:ascii="Times New Roman" w:hAnsi="Times New Roman" w:cs="Times New Roman"/>
          <w:b/>
          <w:sz w:val="24"/>
          <w:szCs w:val="24"/>
        </w:rPr>
        <w:t>Potrzeba i cel regulacji</w:t>
      </w:r>
    </w:p>
    <w:p w14:paraId="7BBA8EFC" w14:textId="77777777" w:rsidR="001202F5" w:rsidRPr="00406A62" w:rsidRDefault="001202F5"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 xml:space="preserve">Zasadniczym celem opracowania projektu ustawy jest potrzeba przyspieszenia procesu przygotowania oraz realizacji kluczowych inwestycji infrastrukturalnych, które mają bezpośredni wpływ na obronność, bezpieczeństwo oraz gospodarkę Polski. </w:t>
      </w:r>
    </w:p>
    <w:p w14:paraId="016D5C34" w14:textId="59E1D4A9" w:rsidR="00FC5DA1" w:rsidRPr="00406A62" w:rsidRDefault="001202F5"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Obowiązujące przepisy prawa</w:t>
      </w:r>
      <w:r w:rsidR="00FC5DA1" w:rsidRPr="00406A62">
        <w:rPr>
          <w:rFonts w:ascii="Times New Roman" w:eastAsia="Times New Roman" w:hAnsi="Times New Roman" w:cs="Times New Roman"/>
          <w:sz w:val="24"/>
          <w:szCs w:val="24"/>
        </w:rPr>
        <w:t xml:space="preserve"> w zakresie przygotowania i </w:t>
      </w:r>
      <w:r w:rsidR="00651CA8" w:rsidRPr="00406A62">
        <w:rPr>
          <w:rFonts w:ascii="Times New Roman" w:eastAsia="Times New Roman" w:hAnsi="Times New Roman" w:cs="Times New Roman"/>
          <w:sz w:val="24"/>
          <w:szCs w:val="24"/>
        </w:rPr>
        <w:t>realizacji</w:t>
      </w:r>
      <w:r w:rsidR="00FC5DA1" w:rsidRPr="00406A62">
        <w:rPr>
          <w:rFonts w:ascii="Times New Roman" w:eastAsia="Times New Roman" w:hAnsi="Times New Roman" w:cs="Times New Roman"/>
          <w:sz w:val="24"/>
          <w:szCs w:val="24"/>
        </w:rPr>
        <w:t xml:space="preserve"> inwestycji</w:t>
      </w:r>
      <w:r w:rsidRPr="00406A62">
        <w:rPr>
          <w:rFonts w:ascii="Times New Roman" w:eastAsia="Times New Roman" w:hAnsi="Times New Roman" w:cs="Times New Roman"/>
          <w:sz w:val="24"/>
          <w:szCs w:val="24"/>
        </w:rPr>
        <w:t xml:space="preserve"> nie </w:t>
      </w:r>
      <w:r w:rsidR="00651CA8" w:rsidRPr="00406A62">
        <w:rPr>
          <w:rFonts w:ascii="Times New Roman" w:eastAsia="Times New Roman" w:hAnsi="Times New Roman" w:cs="Times New Roman"/>
          <w:sz w:val="24"/>
          <w:szCs w:val="24"/>
        </w:rPr>
        <w:t xml:space="preserve">w pełni </w:t>
      </w:r>
      <w:r w:rsidRPr="00406A62">
        <w:rPr>
          <w:rFonts w:ascii="Times New Roman" w:eastAsia="Times New Roman" w:hAnsi="Times New Roman" w:cs="Times New Roman"/>
          <w:sz w:val="24"/>
          <w:szCs w:val="24"/>
        </w:rPr>
        <w:t>odpowiadają na potrzeby związane z szybką realizacją priorytetowych dla kraju inwestycji. W</w:t>
      </w:r>
      <w:r w:rsidR="00FE02C3">
        <w:rPr>
          <w:rFonts w:ascii="Times New Roman" w:eastAsia="Times New Roman" w:hAnsi="Times New Roman" w:cs="Times New Roman"/>
          <w:sz w:val="24"/>
          <w:szCs w:val="24"/>
        </w:rPr>
        <w:t> </w:t>
      </w:r>
      <w:r w:rsidRPr="00406A62">
        <w:rPr>
          <w:rFonts w:ascii="Times New Roman" w:eastAsia="Times New Roman" w:hAnsi="Times New Roman" w:cs="Times New Roman"/>
          <w:sz w:val="24"/>
          <w:szCs w:val="24"/>
        </w:rPr>
        <w:t>obecnym systemie prawnym, w zależności od stopnia skomplikowania przedsięwzięcia, proces inwestycyjny dużych projektów trwa średnio kilka lat</w:t>
      </w:r>
      <w:r w:rsidR="00B43EDB" w:rsidRPr="00406A62">
        <w:rPr>
          <w:rFonts w:ascii="Times New Roman" w:eastAsia="Times New Roman" w:hAnsi="Times New Roman" w:cs="Times New Roman"/>
          <w:sz w:val="24"/>
          <w:szCs w:val="24"/>
        </w:rPr>
        <w:t xml:space="preserve"> </w:t>
      </w:r>
      <w:r w:rsidR="00FC5DA1" w:rsidRPr="00406A62">
        <w:rPr>
          <w:rFonts w:ascii="Times New Roman" w:eastAsia="Times New Roman" w:hAnsi="Times New Roman" w:cs="Times New Roman"/>
          <w:sz w:val="24"/>
          <w:szCs w:val="24"/>
        </w:rPr>
        <w:t>lub</w:t>
      </w:r>
      <w:r w:rsidR="00B43EDB" w:rsidRPr="00406A62">
        <w:rPr>
          <w:rFonts w:ascii="Times New Roman" w:eastAsia="Times New Roman" w:hAnsi="Times New Roman" w:cs="Times New Roman"/>
          <w:sz w:val="24"/>
          <w:szCs w:val="24"/>
        </w:rPr>
        <w:t xml:space="preserve"> więcej</w:t>
      </w:r>
      <w:r w:rsidRPr="00406A62">
        <w:rPr>
          <w:rFonts w:ascii="Times New Roman" w:eastAsia="Times New Roman" w:hAnsi="Times New Roman" w:cs="Times New Roman"/>
          <w:sz w:val="24"/>
          <w:szCs w:val="24"/>
        </w:rPr>
        <w:t>, a w przypadku inwestycji drogowych –</w:t>
      </w:r>
      <w:r w:rsidR="00FC5DA1" w:rsidRPr="00406A62">
        <w:rPr>
          <w:rFonts w:ascii="Times New Roman" w:eastAsia="Times New Roman" w:hAnsi="Times New Roman" w:cs="Times New Roman"/>
          <w:sz w:val="24"/>
          <w:szCs w:val="24"/>
        </w:rPr>
        <w:t xml:space="preserve"> </w:t>
      </w:r>
      <w:r w:rsidRPr="00406A62">
        <w:rPr>
          <w:rFonts w:ascii="Times New Roman" w:eastAsia="Times New Roman" w:hAnsi="Times New Roman" w:cs="Times New Roman"/>
          <w:sz w:val="24"/>
          <w:szCs w:val="24"/>
        </w:rPr>
        <w:t>przekracza 10 lat</w:t>
      </w:r>
      <w:r w:rsidR="008B27B6">
        <w:rPr>
          <w:rFonts w:ascii="Times New Roman" w:eastAsia="Times New Roman" w:hAnsi="Times New Roman" w:cs="Times New Roman"/>
          <w:sz w:val="24"/>
          <w:szCs w:val="24"/>
        </w:rPr>
        <w:t>,</w:t>
      </w:r>
      <w:r w:rsidRPr="00406A62">
        <w:rPr>
          <w:rFonts w:ascii="Times New Roman" w:eastAsia="Times New Roman" w:hAnsi="Times New Roman" w:cs="Times New Roman"/>
          <w:sz w:val="24"/>
          <w:szCs w:val="24"/>
        </w:rPr>
        <w:t xml:space="preserve"> </w:t>
      </w:r>
      <w:r w:rsidR="00B43EDB" w:rsidRPr="00406A62">
        <w:rPr>
          <w:rFonts w:ascii="Times New Roman" w:eastAsia="Times New Roman" w:hAnsi="Times New Roman" w:cs="Times New Roman"/>
          <w:sz w:val="24"/>
          <w:szCs w:val="24"/>
        </w:rPr>
        <w:t xml:space="preserve">licząc </w:t>
      </w:r>
      <w:r w:rsidRPr="00406A62">
        <w:rPr>
          <w:rFonts w:ascii="Times New Roman" w:eastAsia="Times New Roman" w:hAnsi="Times New Roman" w:cs="Times New Roman"/>
          <w:sz w:val="24"/>
          <w:szCs w:val="24"/>
        </w:rPr>
        <w:t xml:space="preserve">od rozpoczęcia prac projektowych do oddania obiektu do użytkowania. Procedury </w:t>
      </w:r>
      <w:r w:rsidR="00EA5D20" w:rsidRPr="00406A62">
        <w:rPr>
          <w:rFonts w:ascii="Times New Roman" w:eastAsia="Times New Roman" w:hAnsi="Times New Roman" w:cs="Times New Roman"/>
          <w:sz w:val="24"/>
          <w:szCs w:val="24"/>
        </w:rPr>
        <w:t xml:space="preserve">administracyjne </w:t>
      </w:r>
      <w:r w:rsidRPr="00406A62">
        <w:rPr>
          <w:rFonts w:ascii="Times New Roman" w:eastAsia="Times New Roman" w:hAnsi="Times New Roman" w:cs="Times New Roman"/>
          <w:sz w:val="24"/>
          <w:szCs w:val="24"/>
        </w:rPr>
        <w:t xml:space="preserve">wymagane w trakcie procesu inwestycyjnego często dodatkowo się wydłużają na etapie </w:t>
      </w:r>
      <w:r w:rsidR="009E6994" w:rsidRPr="00406A62">
        <w:rPr>
          <w:rFonts w:ascii="Times New Roman" w:eastAsia="Times New Roman" w:hAnsi="Times New Roman" w:cs="Times New Roman"/>
          <w:sz w:val="24"/>
          <w:szCs w:val="24"/>
        </w:rPr>
        <w:t xml:space="preserve">uzgodnień konserwatorskich, </w:t>
      </w:r>
      <w:r w:rsidRPr="00406A62">
        <w:rPr>
          <w:rFonts w:ascii="Times New Roman" w:eastAsia="Times New Roman" w:hAnsi="Times New Roman" w:cs="Times New Roman"/>
          <w:sz w:val="24"/>
          <w:szCs w:val="24"/>
        </w:rPr>
        <w:t xml:space="preserve">oceny oddziaływania na środowisko, </w:t>
      </w:r>
      <w:r w:rsidR="009E6994" w:rsidRPr="00406A62">
        <w:rPr>
          <w:rFonts w:ascii="Times New Roman" w:eastAsia="Times New Roman" w:hAnsi="Times New Roman" w:cs="Times New Roman"/>
          <w:sz w:val="24"/>
          <w:szCs w:val="24"/>
        </w:rPr>
        <w:t xml:space="preserve">uzgodnień i opiniowania przed złożeniem wniosku o zezwolenie na realizację, </w:t>
      </w:r>
      <w:r w:rsidRPr="00406A62">
        <w:rPr>
          <w:rFonts w:ascii="Times New Roman" w:eastAsia="Times New Roman" w:hAnsi="Times New Roman" w:cs="Times New Roman"/>
          <w:sz w:val="24"/>
          <w:szCs w:val="24"/>
        </w:rPr>
        <w:t xml:space="preserve">rozpatrywania odwołań i skarg, przygotowania placu budowy, </w:t>
      </w:r>
      <w:r w:rsidR="00693017" w:rsidRPr="00406A62">
        <w:rPr>
          <w:rFonts w:ascii="Times New Roman" w:eastAsia="Times New Roman" w:hAnsi="Times New Roman" w:cs="Times New Roman"/>
          <w:sz w:val="24"/>
          <w:szCs w:val="24"/>
        </w:rPr>
        <w:t xml:space="preserve">przyłączenia do sieci elektroenergetycznej </w:t>
      </w:r>
      <w:r w:rsidRPr="00406A62">
        <w:rPr>
          <w:rFonts w:ascii="Times New Roman" w:eastAsia="Times New Roman" w:hAnsi="Times New Roman" w:cs="Times New Roman"/>
          <w:sz w:val="24"/>
          <w:szCs w:val="24"/>
        </w:rPr>
        <w:t xml:space="preserve">czy pozyskiwania nieruchomości. Dotychczasowe doświadczenia pokazują, że </w:t>
      </w:r>
      <w:r w:rsidR="00EA5D20" w:rsidRPr="00406A62">
        <w:rPr>
          <w:rFonts w:ascii="Times New Roman" w:eastAsia="Times New Roman" w:hAnsi="Times New Roman" w:cs="Times New Roman"/>
          <w:sz w:val="24"/>
          <w:szCs w:val="24"/>
        </w:rPr>
        <w:t xml:space="preserve">niektóre </w:t>
      </w:r>
      <w:r w:rsidRPr="00406A62">
        <w:rPr>
          <w:rFonts w:ascii="Times New Roman" w:eastAsia="Times New Roman" w:hAnsi="Times New Roman" w:cs="Times New Roman"/>
          <w:sz w:val="24"/>
          <w:szCs w:val="24"/>
        </w:rPr>
        <w:t>proces</w:t>
      </w:r>
      <w:r w:rsidR="00EA5D20" w:rsidRPr="00406A62">
        <w:rPr>
          <w:rFonts w:ascii="Times New Roman" w:eastAsia="Times New Roman" w:hAnsi="Times New Roman" w:cs="Times New Roman"/>
          <w:sz w:val="24"/>
          <w:szCs w:val="24"/>
        </w:rPr>
        <w:t>y</w:t>
      </w:r>
      <w:r w:rsidRPr="00406A62">
        <w:rPr>
          <w:rFonts w:ascii="Times New Roman" w:eastAsia="Times New Roman" w:hAnsi="Times New Roman" w:cs="Times New Roman"/>
          <w:sz w:val="24"/>
          <w:szCs w:val="24"/>
        </w:rPr>
        <w:t xml:space="preserve"> </w:t>
      </w:r>
      <w:r w:rsidR="00EA5D20" w:rsidRPr="00406A62">
        <w:rPr>
          <w:rFonts w:ascii="Times New Roman" w:eastAsia="Times New Roman" w:hAnsi="Times New Roman" w:cs="Times New Roman"/>
          <w:sz w:val="24"/>
          <w:szCs w:val="24"/>
        </w:rPr>
        <w:t xml:space="preserve">uzgodnień i opiniowania, </w:t>
      </w:r>
      <w:r w:rsidRPr="00406A62">
        <w:rPr>
          <w:rFonts w:ascii="Times New Roman" w:eastAsia="Times New Roman" w:hAnsi="Times New Roman" w:cs="Times New Roman"/>
          <w:sz w:val="24"/>
          <w:szCs w:val="24"/>
        </w:rPr>
        <w:t xml:space="preserve">kompletowania </w:t>
      </w:r>
      <w:r w:rsidR="00693017" w:rsidRPr="00406A62">
        <w:rPr>
          <w:rFonts w:ascii="Times New Roman" w:eastAsia="Times New Roman" w:hAnsi="Times New Roman" w:cs="Times New Roman"/>
          <w:sz w:val="24"/>
          <w:szCs w:val="24"/>
        </w:rPr>
        <w:t xml:space="preserve">wymaganej </w:t>
      </w:r>
      <w:r w:rsidRPr="00406A62">
        <w:rPr>
          <w:rFonts w:ascii="Times New Roman" w:eastAsia="Times New Roman" w:hAnsi="Times New Roman" w:cs="Times New Roman"/>
          <w:sz w:val="24"/>
          <w:szCs w:val="24"/>
        </w:rPr>
        <w:t xml:space="preserve">dokumentacji, uzyskiwania decyzji oraz procedury </w:t>
      </w:r>
      <w:r w:rsidR="009E6994" w:rsidRPr="00406A62">
        <w:rPr>
          <w:rFonts w:ascii="Times New Roman" w:eastAsia="Times New Roman" w:hAnsi="Times New Roman" w:cs="Times New Roman"/>
          <w:sz w:val="24"/>
          <w:szCs w:val="24"/>
        </w:rPr>
        <w:t xml:space="preserve">odwoławcze </w:t>
      </w:r>
      <w:r w:rsidRPr="00406A62">
        <w:rPr>
          <w:rFonts w:ascii="Times New Roman" w:eastAsia="Times New Roman" w:hAnsi="Times New Roman" w:cs="Times New Roman"/>
          <w:sz w:val="24"/>
          <w:szCs w:val="24"/>
        </w:rPr>
        <w:t>mogą i powinny zostać usprawnione.</w:t>
      </w:r>
      <w:r w:rsidR="00BF0B07" w:rsidRPr="00406A62">
        <w:rPr>
          <w:rFonts w:ascii="Times New Roman" w:eastAsia="Times New Roman" w:hAnsi="Times New Roman" w:cs="Times New Roman"/>
          <w:sz w:val="24"/>
          <w:szCs w:val="24"/>
        </w:rPr>
        <w:t xml:space="preserve"> </w:t>
      </w:r>
      <w:r w:rsidR="00FC5DA1" w:rsidRPr="00406A62">
        <w:rPr>
          <w:rFonts w:ascii="Times New Roman" w:eastAsia="Times New Roman" w:hAnsi="Times New Roman" w:cs="Times New Roman"/>
          <w:sz w:val="24"/>
          <w:szCs w:val="24"/>
        </w:rPr>
        <w:t>W</w:t>
      </w:r>
      <w:r w:rsidR="00FE1D87" w:rsidRPr="00406A62">
        <w:rPr>
          <w:rFonts w:ascii="Times New Roman" w:eastAsia="Times New Roman" w:hAnsi="Times New Roman" w:cs="Times New Roman"/>
          <w:sz w:val="24"/>
          <w:szCs w:val="24"/>
        </w:rPr>
        <w:t xml:space="preserve"> szczególności w</w:t>
      </w:r>
      <w:r w:rsidR="00FC5DA1" w:rsidRPr="00406A62">
        <w:rPr>
          <w:rFonts w:ascii="Times New Roman" w:eastAsia="Times New Roman" w:hAnsi="Times New Roman" w:cs="Times New Roman"/>
          <w:sz w:val="24"/>
          <w:szCs w:val="24"/>
        </w:rPr>
        <w:t xml:space="preserve"> przypadku wyselekcjonowanej grupy projektów istnieje potencjał optymalizacyjny, pozwalający na skrócenie procedur administracyjnych. </w:t>
      </w:r>
    </w:p>
    <w:p w14:paraId="5BF7972B" w14:textId="47A8508E" w:rsidR="007D193E" w:rsidRPr="00406A62" w:rsidRDefault="007D193E"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 xml:space="preserve">Przyjęte rozwiązania prawne obejmują w szczególności odformalizowanie procedur budowlanych, konserwatorskich oraz administracyjnych na etapie realizacji wybranych zadań. Wprowadzają one również priorytetyzację wniosków dla inwestycji kluczowych w zakresie ocen oddziaływania na środowisko oraz zgód wodnoprawnych. Ponadto przewidują skrócenie terminów weryfikacji dokumentacji geodezyjnej, przyłączeń do sieci elektroenergetycznej, uzgodnień konserwatorskich, a także procedur wydawania zezwoleń na realizację, opiniowania i uzgodnień. Projekt zakłada również stworzenie szczególnych regulacji, które uproszczą przygotowanie placu budowy. </w:t>
      </w:r>
      <w:r w:rsidR="00FC5DA1" w:rsidRPr="00406A62">
        <w:rPr>
          <w:rFonts w:ascii="Times New Roman" w:eastAsia="Times New Roman" w:hAnsi="Times New Roman" w:cs="Times New Roman"/>
          <w:sz w:val="24"/>
          <w:szCs w:val="24"/>
        </w:rPr>
        <w:t>Nowe rozwiązania prawne wprowadzą mechanizm odgórnej priorytetyzacji, który zobliguje właściwe organy do skoncentrowania uwagi oraz posiadanych zasobów kadrowo-organizacyjnych na sprawnej i terminowej obsłudze tych kluczowych inwestycji.</w:t>
      </w:r>
    </w:p>
    <w:p w14:paraId="774DCFD1" w14:textId="1B2E5820" w:rsidR="007D193E" w:rsidRPr="00406A62" w:rsidRDefault="007D193E"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 xml:space="preserve">Oczekiwanym efektem tych zmian będzie priorytetowe traktowanie wybranych projektów – zarówno przez samych inwestorów, jak i w toku postępowań przed organami administracji </w:t>
      </w:r>
      <w:r w:rsidRPr="00406A62">
        <w:rPr>
          <w:rFonts w:ascii="Times New Roman" w:eastAsia="Times New Roman" w:hAnsi="Times New Roman" w:cs="Times New Roman"/>
          <w:sz w:val="24"/>
          <w:szCs w:val="24"/>
        </w:rPr>
        <w:lastRenderedPageBreak/>
        <w:t>publicznej – a także skrócenie czasu trwania, usprawnienie oraz odformalizowanie kluczowych procedur administracyjnych.</w:t>
      </w:r>
    </w:p>
    <w:p w14:paraId="76E2B971" w14:textId="4BF3A731" w:rsidR="00CE4220" w:rsidRPr="00406A62" w:rsidRDefault="001202F5"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 xml:space="preserve">Opracowanie projektu ustawy jest determinowane również obecną sytuacją geopolityczną. Wymusza ona usprawnienie inwestycji realizujących potrzeby bezpieczeństwa i obronności państwa, bezpieczeństwa energetycznego, a także stymulujących rozwój gospodarczy Polski i zabezpieczających kraj przed skutkami klęsk żywiołowych. Mając na uwadze działania wojenne prowadzone za naszą wschodnią granicą, </w:t>
      </w:r>
      <w:r w:rsidR="00FE51CC" w:rsidRPr="00406A62">
        <w:rPr>
          <w:rFonts w:ascii="Times New Roman" w:eastAsia="Times New Roman" w:hAnsi="Times New Roman" w:cs="Times New Roman"/>
          <w:sz w:val="24"/>
          <w:szCs w:val="24"/>
        </w:rPr>
        <w:t xml:space="preserve">jest </w:t>
      </w:r>
      <w:r w:rsidRPr="00406A62">
        <w:rPr>
          <w:rFonts w:ascii="Times New Roman" w:eastAsia="Times New Roman" w:hAnsi="Times New Roman" w:cs="Times New Roman"/>
          <w:sz w:val="24"/>
          <w:szCs w:val="24"/>
        </w:rPr>
        <w:t xml:space="preserve">niezbędna modernizacja istniejącej oraz budowa nowej infrastruktury strategicznej. Powinna ona służyć nie tylko ludności cywilnej, ale także spełniać warunki techniczne umożliwiające jej wykorzystanie przez Siły Zbrojne Rzeczypospolitej Polskiej. </w:t>
      </w:r>
    </w:p>
    <w:p w14:paraId="2802EF29" w14:textId="77777777" w:rsidR="00CE4220" w:rsidRPr="00406A62" w:rsidRDefault="001202F5"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 xml:space="preserve">Powódź, która nawiedziła Polskę w 2024 r., oraz jej odczuwalne do dziś skutki wskazują na niedostateczny rozwój infrastruktury przeciwpowodziowej w kraju. Wychodząc naprzeciw tym wyzwaniom, w projekcie zidentyfikowano kluczowe inwestycje mające na celu poprawę bezpieczeństwa hydrologicznego i zapobieganie kolejnym katastrofom naturalnym. </w:t>
      </w:r>
    </w:p>
    <w:p w14:paraId="26A93E26" w14:textId="72F1241A" w:rsidR="001202F5" w:rsidRPr="00406A62" w:rsidRDefault="001202F5" w:rsidP="00406A62">
      <w:pPr>
        <w:spacing w:before="120" w:after="0" w:line="360" w:lineRule="auto"/>
        <w:jc w:val="both"/>
        <w:rPr>
          <w:rFonts w:ascii="Times New Roman" w:eastAsia="Times New Roman" w:hAnsi="Times New Roman" w:cs="Times New Roman"/>
          <w:sz w:val="24"/>
          <w:szCs w:val="24"/>
        </w:rPr>
      </w:pPr>
      <w:r w:rsidRPr="00406A62">
        <w:rPr>
          <w:rFonts w:ascii="Times New Roman" w:eastAsia="Times New Roman" w:hAnsi="Times New Roman" w:cs="Times New Roman"/>
          <w:sz w:val="24"/>
          <w:szCs w:val="24"/>
        </w:rPr>
        <w:t>Podsumowując, zidentyfikowana grupa projektów o kluczowym znaczeniu dla państwa wymaga jak najszybszego wdrożenia. Wiąże się to z koniecznością zastosowania odrębnej ścieżki ich przygotowania i realizacji, co uzasadnia pilne wprowadzenie proponowanych zmian przepisów.</w:t>
      </w:r>
    </w:p>
    <w:p w14:paraId="47C27C48" w14:textId="77777777" w:rsidR="00F31C89" w:rsidRPr="00406A62" w:rsidRDefault="00F31C89" w:rsidP="00406A62">
      <w:pPr>
        <w:pStyle w:val="Akapitzlist"/>
        <w:numPr>
          <w:ilvl w:val="0"/>
          <w:numId w:val="32"/>
        </w:numPr>
        <w:spacing w:before="120" w:after="0" w:line="360" w:lineRule="auto"/>
        <w:ind w:hanging="76"/>
        <w:jc w:val="both"/>
        <w:rPr>
          <w:rFonts w:ascii="Times New Roman" w:hAnsi="Times New Roman" w:cs="Times New Roman"/>
          <w:b/>
          <w:sz w:val="24"/>
          <w:szCs w:val="24"/>
        </w:rPr>
      </w:pPr>
      <w:r w:rsidRPr="00406A62">
        <w:rPr>
          <w:rFonts w:ascii="Times New Roman" w:hAnsi="Times New Roman" w:cs="Times New Roman"/>
          <w:b/>
          <w:sz w:val="24"/>
          <w:szCs w:val="24"/>
        </w:rPr>
        <w:t>Kluczowe inwestycje infrastrukturalne</w:t>
      </w:r>
    </w:p>
    <w:p w14:paraId="0B26A4FC" w14:textId="663BEC7B" w:rsidR="00D63FD0" w:rsidRPr="00406A62" w:rsidRDefault="00033491"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 xml:space="preserve">W projekcie ustawy wprost zdefiniowano kluczowe inwestycje infrastrukturalne, których realizacja wynika z potrzeb obronności, bezpieczeństwa energetycznego kraju, ochrony przed skutkami katastrof naturalnych oraz determinujące w znaczący sposób rozwój kraju. Ograniczenie tego katalogu wyłącznie do kilku zadań z różnych gałęzi transportu umożliwia priorytetyzację istotnych dla kraju przedsięwzięć w procesie ich przygotowania, jak i w urzędowych procedurach administracyjnych. </w:t>
      </w:r>
    </w:p>
    <w:p w14:paraId="00D09075" w14:textId="48A18D7C" w:rsidR="002A3AB0" w:rsidRPr="00406A62" w:rsidRDefault="002A3AB0"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 xml:space="preserve">Projektowana infrastruktura łączy cele gospodarcze ze zwiększeniem przepustowości transportowej, pełniąc funkcję </w:t>
      </w:r>
      <w:r w:rsidR="00FE1D87" w:rsidRPr="00406A62">
        <w:rPr>
          <w:rFonts w:ascii="Times New Roman" w:hAnsi="Times New Roman" w:cs="Times New Roman"/>
          <w:spacing w:val="-2"/>
          <w:sz w:val="24"/>
          <w:szCs w:val="24"/>
        </w:rPr>
        <w:t xml:space="preserve">infrastruktury </w:t>
      </w:r>
      <w:r w:rsidRPr="00406A62">
        <w:rPr>
          <w:rFonts w:ascii="Times New Roman" w:hAnsi="Times New Roman" w:cs="Times New Roman"/>
          <w:spacing w:val="-2"/>
          <w:sz w:val="24"/>
          <w:szCs w:val="24"/>
        </w:rPr>
        <w:t xml:space="preserve">podwójnego zastosowania (dual-use). W obecnej, dynamicznie zmieniającej się sytuacji geopolitycznej Rzeczpospolita Polska musi dysponować siecią zdolną do natychmiastowego zabezpieczenia procesów logistycznych i wojskowych. Obejmuje to sprawny przerzut sił sojuszniczych oraz sprzętu, a także ewakuację ludności cywilnej. Synergia pilnych potrzeb społeczno-gospodarczych z wymogami obronności uzasadnia </w:t>
      </w:r>
      <w:r w:rsidRPr="00406A62">
        <w:rPr>
          <w:rFonts w:ascii="Times New Roman" w:hAnsi="Times New Roman" w:cs="Times New Roman"/>
          <w:spacing w:val="-2"/>
          <w:sz w:val="24"/>
          <w:szCs w:val="24"/>
        </w:rPr>
        <w:lastRenderedPageBreak/>
        <w:t>konieczność wdrożenia dla tych zadań w trybie specjalnych i przyspieszonych ścieżek decyzyjnych.</w:t>
      </w:r>
    </w:p>
    <w:p w14:paraId="5913B482" w14:textId="1F27266A"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Zapewnienie przepustowości logistycznej w sektorze morskim uzasadnia dedykowane rygory dla takich inwestycji jak budowa drogi krajowej nr 7 (tzw. Droga Czerwona) zapewniającej dostęp do terminala w Gdyni czy rozbudowa portów zewnętrznych w Gdyni i Świnoujściu. Są to kluczowe węzły dla łańcuchów dostaw o znaczeniu gospodarczym i militarnym.</w:t>
      </w:r>
    </w:p>
    <w:p w14:paraId="5D609DC3" w14:textId="7B3E7259" w:rsidR="00560A06"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Rozbudowa i przebudowa lotnisk w Rzeszowie-Jasionce, Krakowie-Balicach oraz Lotniska Chopina</w:t>
      </w:r>
      <w:r w:rsidR="00F12C25" w:rsidRPr="00406A62">
        <w:rPr>
          <w:rFonts w:ascii="Times New Roman" w:hAnsi="Times New Roman" w:cs="Times New Roman"/>
          <w:spacing w:val="-2"/>
          <w:sz w:val="24"/>
          <w:szCs w:val="24"/>
        </w:rPr>
        <w:t xml:space="preserve"> wraz z lotniskiem Modlin</w:t>
      </w:r>
      <w:r w:rsidRPr="00406A62">
        <w:rPr>
          <w:rFonts w:ascii="Times New Roman" w:hAnsi="Times New Roman" w:cs="Times New Roman"/>
          <w:spacing w:val="-2"/>
          <w:sz w:val="24"/>
          <w:szCs w:val="24"/>
        </w:rPr>
        <w:t>, a także zapewnienie przepustowości kluczowych magistral kolejowych (np. linia nr 401 Szczecin – Świnoujście), odpowiada w pierwszej kolejności na rosnące zapotrzebowanie cywilnego ruchu pasażerskiego i towarowego. Szybka realizacja tych inwestycji jest niezbędna dla utrzymania dynamiki rozwoju gospodarczego, sprawności łańcuchów dostaw oraz konkurencyjności polskich regionów. Niemniej jednak, ze względu na swoje strategiczne położenie, infrastruktura ta nabiera krytycznego znaczenia w kontekście bezpieczeństwa państwa. Zrealizowanie tych cywilnych celów inwestycyjnych staje się nierozerwalnie powiązane z koniecznością sprostania wymogom mobilności wojskowej oraz zagwarantowania niezakłóconej operacyjności lotnictwa i kolei w sytuacjach kryzysowych, co ostatecznie uzasadnia zastosowanie wobec nich nadzwyczajnych i przyspieszonych procedur.</w:t>
      </w:r>
    </w:p>
    <w:p w14:paraId="5D5D238E" w14:textId="32430879"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Kolejna grupa dedykowanych regulacji odnosi się do infrastruktury, która jest warunkiem koniecznym dla transformacji energetycznej Polski. Elektrownia jądrowa stanowi fundament przyszłego bezpieczeństwa energetycznego, a tym samym niezależności gospodarczej kraju, w aktualnej, trudnej sytuacji geopolitycznej, zwłaszcza na rynku energii i paliw.</w:t>
      </w:r>
    </w:p>
    <w:p w14:paraId="50A8D40F" w14:textId="4D9605C7"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 xml:space="preserve">Wprowadzenie szczególnych rozwiązań jest w tym przypadku niezbędne, aby wyprzedzająco i bez zbędnej zwłoki zrealizować </w:t>
      </w:r>
      <w:r w:rsidR="00F12C25" w:rsidRPr="00406A62">
        <w:rPr>
          <w:rFonts w:ascii="Times New Roman" w:hAnsi="Times New Roman" w:cs="Times New Roman"/>
          <w:spacing w:val="-2"/>
          <w:sz w:val="24"/>
          <w:szCs w:val="24"/>
        </w:rPr>
        <w:t>Program wspierania inwestycji infrastrukturalnych w związku z realizacją kluczowych inwestycji w zakresie strategicznej infrastruktury energetycznej, w tym elektrowni jądrowej, w województwie pomorskim</w:t>
      </w:r>
      <w:r w:rsidRPr="00406A62">
        <w:rPr>
          <w:rFonts w:ascii="Times New Roman" w:hAnsi="Times New Roman" w:cs="Times New Roman"/>
          <w:spacing w:val="-2"/>
          <w:sz w:val="24"/>
          <w:szCs w:val="24"/>
        </w:rPr>
        <w:t xml:space="preserve">. Obejmuje to m.in. budowę infrastruktury hydrotechnicznej w gminach Choczewo i Krokowa, drogi </w:t>
      </w:r>
      <w:r w:rsidR="00D74A7A" w:rsidRPr="00406A62">
        <w:rPr>
          <w:rFonts w:ascii="Times New Roman" w:hAnsi="Times New Roman" w:cs="Times New Roman"/>
          <w:spacing w:val="-2"/>
          <w:sz w:val="24"/>
          <w:szCs w:val="24"/>
        </w:rPr>
        <w:t xml:space="preserve">na </w:t>
      </w:r>
      <w:r w:rsidRPr="00406A62">
        <w:rPr>
          <w:rFonts w:ascii="Times New Roman" w:hAnsi="Times New Roman" w:cs="Times New Roman"/>
          <w:spacing w:val="-2"/>
          <w:sz w:val="24"/>
          <w:szCs w:val="24"/>
        </w:rPr>
        <w:t>odcin</w:t>
      </w:r>
      <w:r w:rsidR="00D74A7A" w:rsidRPr="00406A62">
        <w:rPr>
          <w:rFonts w:ascii="Times New Roman" w:hAnsi="Times New Roman" w:cs="Times New Roman"/>
          <w:spacing w:val="-2"/>
          <w:sz w:val="24"/>
          <w:szCs w:val="24"/>
        </w:rPr>
        <w:t>ku</w:t>
      </w:r>
      <w:r w:rsidRPr="00406A62">
        <w:rPr>
          <w:rFonts w:ascii="Times New Roman" w:hAnsi="Times New Roman" w:cs="Times New Roman"/>
          <w:spacing w:val="-2"/>
          <w:sz w:val="24"/>
          <w:szCs w:val="24"/>
        </w:rPr>
        <w:t xml:space="preserve"> Lubiatowo – S6 oraz całego układu torowego (m.in. w gminach Lębork, Wejherowo, Gniewino).</w:t>
      </w:r>
      <w:r w:rsidR="00F12C25" w:rsidRPr="00406A62">
        <w:rPr>
          <w:rFonts w:ascii="Times New Roman" w:hAnsi="Times New Roman" w:cs="Times New Roman"/>
          <w:spacing w:val="-2"/>
          <w:sz w:val="24"/>
          <w:szCs w:val="24"/>
        </w:rPr>
        <w:t xml:space="preserve"> </w:t>
      </w:r>
      <w:r w:rsidRPr="00406A62">
        <w:rPr>
          <w:rFonts w:ascii="Times New Roman" w:hAnsi="Times New Roman" w:cs="Times New Roman"/>
          <w:spacing w:val="-2"/>
          <w:sz w:val="24"/>
          <w:szCs w:val="24"/>
        </w:rPr>
        <w:t>Zwłoka proceduralna w realizacji tej infrastruktury towarzyszącej bezpośrednio sparaliżowałaby budowę samej elektrowni atomowej.</w:t>
      </w:r>
    </w:p>
    <w:p w14:paraId="5C9E5D50" w14:textId="297B4B42"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 xml:space="preserve">Projekt odnosi się również do pilnych inwestycji przeciwpowodziowych, co stanowi bezpośrednią odpowiedź na dramatyczne problemy, jakie uwidoczniła powódź z 2024 r. </w:t>
      </w:r>
      <w:r w:rsidRPr="00406A62">
        <w:rPr>
          <w:rFonts w:ascii="Times New Roman" w:hAnsi="Times New Roman" w:cs="Times New Roman"/>
          <w:spacing w:val="-2"/>
          <w:sz w:val="24"/>
          <w:szCs w:val="24"/>
        </w:rPr>
        <w:lastRenderedPageBreak/>
        <w:t>Obowiązek ochrony życia, zdrowia i mienia obywateli wymaga zastosowania nadzwyczajnych, szybkich trybów realizacji.</w:t>
      </w:r>
    </w:p>
    <w:p w14:paraId="7A02EE80" w14:textId="3BF96748"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Specyficzne regulacje z zakresu gospodarki wodnej wprowadzono precyzyjnie dla inwestycji ratunkowych i prewencyjnych, takich jak odbudowa suchego zbiornika retencyjnego w Stroniu Śląskim (który uległ zniszczeniu w 2024 r.), budowa zbiornika Międzyrzecze oraz zabezpieczenie przeciwpowodziowe w dolinie potoku Wątok. Zastosowanie tu standardowych rygorów administracyjnych i długotrwałych procedur odwoławczych stwarzałoby bezpośrednie, ponowne zagrożenie dla mieszkańców terenów zalewowych.</w:t>
      </w:r>
    </w:p>
    <w:p w14:paraId="3DEFB692" w14:textId="597A97C4" w:rsidR="00922C63" w:rsidRPr="00406A62" w:rsidRDefault="00922C63" w:rsidP="00406A62">
      <w:pPr>
        <w:spacing w:before="120" w:after="0" w:line="360" w:lineRule="auto"/>
        <w:jc w:val="both"/>
        <w:rPr>
          <w:rFonts w:ascii="Times New Roman" w:hAnsi="Times New Roman" w:cs="Times New Roman"/>
          <w:spacing w:val="-2"/>
          <w:sz w:val="24"/>
          <w:szCs w:val="24"/>
        </w:rPr>
      </w:pPr>
      <w:r w:rsidRPr="00406A62">
        <w:rPr>
          <w:rFonts w:ascii="Times New Roman" w:hAnsi="Times New Roman" w:cs="Times New Roman"/>
          <w:spacing w:val="-2"/>
          <w:sz w:val="24"/>
          <w:szCs w:val="24"/>
        </w:rPr>
        <w:t>Celem wprowadzenia różnych rozwiązań odnoszących się do różnych inwestycji jest ochrona nadrzędnych interesów Rzeczypospolitej Polskiej, których zabezpieczenie na gruncie obowiązujących, ogólnych zasad systemowych i procedur administracyjnych jest w obecnych uwarunkowaniach utrudnione.</w:t>
      </w:r>
    </w:p>
    <w:p w14:paraId="64940E51" w14:textId="508AA1CF" w:rsidR="00DF5420" w:rsidRPr="00F66CE4" w:rsidRDefault="00A66450" w:rsidP="00406A62">
      <w:pPr>
        <w:pStyle w:val="Akapitzlist"/>
        <w:numPr>
          <w:ilvl w:val="0"/>
          <w:numId w:val="33"/>
        </w:numPr>
        <w:spacing w:before="120" w:after="0" w:line="360" w:lineRule="auto"/>
        <w:ind w:left="284" w:hanging="284"/>
        <w:jc w:val="both"/>
        <w:rPr>
          <w:rFonts w:ascii="Times New Roman" w:hAnsi="Times New Roman" w:cs="Times New Roman"/>
          <w:b/>
          <w:sz w:val="24"/>
          <w:szCs w:val="24"/>
          <w:u w:val="single"/>
        </w:rPr>
      </w:pPr>
      <w:r w:rsidRPr="00406A62">
        <w:rPr>
          <w:rFonts w:ascii="Times New Roman" w:hAnsi="Times New Roman" w:cs="Times New Roman"/>
          <w:b/>
          <w:sz w:val="24"/>
          <w:szCs w:val="24"/>
          <w:u w:val="single"/>
        </w:rPr>
        <w:t>K</w:t>
      </w:r>
      <w:r w:rsidR="003A698C" w:rsidRPr="00406A62">
        <w:rPr>
          <w:rFonts w:ascii="Times New Roman" w:hAnsi="Times New Roman" w:cs="Times New Roman"/>
          <w:b/>
          <w:sz w:val="24"/>
          <w:szCs w:val="24"/>
          <w:u w:val="single"/>
        </w:rPr>
        <w:t>luczow</w:t>
      </w:r>
      <w:r w:rsidR="009117FB" w:rsidRPr="00406A62">
        <w:rPr>
          <w:rFonts w:ascii="Times New Roman" w:hAnsi="Times New Roman" w:cs="Times New Roman"/>
          <w:b/>
          <w:sz w:val="24"/>
          <w:szCs w:val="24"/>
          <w:u w:val="single"/>
        </w:rPr>
        <w:t>a</w:t>
      </w:r>
      <w:r w:rsidR="003A698C" w:rsidRPr="00406A62">
        <w:rPr>
          <w:rFonts w:ascii="Times New Roman" w:hAnsi="Times New Roman" w:cs="Times New Roman"/>
          <w:b/>
          <w:sz w:val="24"/>
          <w:szCs w:val="24"/>
          <w:u w:val="single"/>
        </w:rPr>
        <w:t xml:space="preserve"> inwestycj</w:t>
      </w:r>
      <w:r w:rsidR="009117FB" w:rsidRPr="00406A62">
        <w:rPr>
          <w:rFonts w:ascii="Times New Roman" w:hAnsi="Times New Roman" w:cs="Times New Roman"/>
          <w:b/>
          <w:sz w:val="24"/>
          <w:szCs w:val="24"/>
          <w:u w:val="single"/>
        </w:rPr>
        <w:t>a</w:t>
      </w:r>
      <w:r w:rsidR="003A698C" w:rsidRPr="00406A62">
        <w:rPr>
          <w:rFonts w:ascii="Times New Roman" w:hAnsi="Times New Roman" w:cs="Times New Roman"/>
          <w:b/>
          <w:sz w:val="24"/>
          <w:szCs w:val="24"/>
          <w:u w:val="single"/>
        </w:rPr>
        <w:t xml:space="preserve"> </w:t>
      </w:r>
      <w:r w:rsidR="003A698C" w:rsidRPr="00406A62">
        <w:rPr>
          <w:rFonts w:ascii="Times New Roman" w:hAnsi="Times New Roman" w:cs="Times New Roman"/>
          <w:b/>
          <w:color w:val="000000" w:themeColor="text1"/>
          <w:sz w:val="24"/>
          <w:szCs w:val="24"/>
          <w:u w:val="single"/>
        </w:rPr>
        <w:t>infrastrukturaln</w:t>
      </w:r>
      <w:r w:rsidR="009117FB" w:rsidRPr="00406A62">
        <w:rPr>
          <w:rFonts w:ascii="Times New Roman" w:hAnsi="Times New Roman" w:cs="Times New Roman"/>
          <w:b/>
          <w:color w:val="000000" w:themeColor="text1"/>
          <w:sz w:val="24"/>
          <w:szCs w:val="24"/>
          <w:u w:val="single"/>
        </w:rPr>
        <w:t>a</w:t>
      </w:r>
      <w:r w:rsidRPr="00406A62">
        <w:rPr>
          <w:rFonts w:ascii="Times New Roman" w:hAnsi="Times New Roman" w:cs="Times New Roman"/>
          <w:b/>
          <w:color w:val="000000" w:themeColor="text1"/>
          <w:sz w:val="24"/>
          <w:szCs w:val="24"/>
          <w:u w:val="single"/>
        </w:rPr>
        <w:t xml:space="preserve"> </w:t>
      </w:r>
      <w:r w:rsidR="003A698C" w:rsidRPr="00406A62">
        <w:rPr>
          <w:rFonts w:ascii="Times New Roman" w:hAnsi="Times New Roman" w:cs="Times New Roman"/>
          <w:b/>
          <w:color w:val="000000" w:themeColor="text1"/>
          <w:sz w:val="24"/>
          <w:szCs w:val="24"/>
          <w:u w:val="single"/>
        </w:rPr>
        <w:t>w obszarze dróg</w:t>
      </w:r>
    </w:p>
    <w:p w14:paraId="1EF6312A" w14:textId="69FC0687" w:rsidR="00AB1F5B" w:rsidRPr="00F66CE4" w:rsidRDefault="00AB1F5B"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Budowa drogi krajowej nr 7 od ul. Morskiej </w:t>
      </w:r>
      <w:r w:rsidR="00B76BE2" w:rsidRPr="00F66CE4">
        <w:rPr>
          <w:rFonts w:ascii="Times New Roman" w:hAnsi="Times New Roman" w:cs="Times New Roman"/>
          <w:b/>
          <w:sz w:val="24"/>
          <w:szCs w:val="24"/>
        </w:rPr>
        <w:t>do publicznego terminala promowego w</w:t>
      </w:r>
      <w:r w:rsidR="00FE02C3">
        <w:rPr>
          <w:rFonts w:ascii="Times New Roman" w:hAnsi="Times New Roman" w:cs="Times New Roman"/>
          <w:b/>
          <w:sz w:val="24"/>
          <w:szCs w:val="24"/>
        </w:rPr>
        <w:t> </w:t>
      </w:r>
      <w:r w:rsidR="00B76BE2" w:rsidRPr="00F66CE4">
        <w:rPr>
          <w:rFonts w:ascii="Times New Roman" w:hAnsi="Times New Roman" w:cs="Times New Roman"/>
          <w:b/>
          <w:sz w:val="24"/>
          <w:szCs w:val="24"/>
        </w:rPr>
        <w:t xml:space="preserve">porcie morskim w Gdyni </w:t>
      </w:r>
      <w:r w:rsidRPr="00F66CE4">
        <w:rPr>
          <w:rFonts w:ascii="Times New Roman" w:hAnsi="Times New Roman" w:cs="Times New Roman"/>
          <w:b/>
          <w:sz w:val="24"/>
          <w:szCs w:val="24"/>
        </w:rPr>
        <w:t xml:space="preserve">(tzw. </w:t>
      </w:r>
      <w:r w:rsidR="00B76BE2" w:rsidRPr="00F66CE4">
        <w:rPr>
          <w:rFonts w:ascii="Times New Roman" w:hAnsi="Times New Roman" w:cs="Times New Roman"/>
          <w:b/>
          <w:sz w:val="24"/>
          <w:szCs w:val="24"/>
        </w:rPr>
        <w:t>D</w:t>
      </w:r>
      <w:r w:rsidRPr="00F66CE4">
        <w:rPr>
          <w:rFonts w:ascii="Times New Roman" w:hAnsi="Times New Roman" w:cs="Times New Roman"/>
          <w:b/>
          <w:sz w:val="24"/>
          <w:szCs w:val="24"/>
        </w:rPr>
        <w:t xml:space="preserve">roga </w:t>
      </w:r>
      <w:r w:rsidR="00B76BE2" w:rsidRPr="00F66CE4">
        <w:rPr>
          <w:rFonts w:ascii="Times New Roman" w:hAnsi="Times New Roman" w:cs="Times New Roman"/>
          <w:b/>
          <w:sz w:val="24"/>
          <w:szCs w:val="24"/>
        </w:rPr>
        <w:t>C</w:t>
      </w:r>
      <w:r w:rsidRPr="00F66CE4">
        <w:rPr>
          <w:rFonts w:ascii="Times New Roman" w:hAnsi="Times New Roman" w:cs="Times New Roman"/>
          <w:b/>
          <w:sz w:val="24"/>
          <w:szCs w:val="24"/>
        </w:rPr>
        <w:t>zerwona)</w:t>
      </w:r>
    </w:p>
    <w:p w14:paraId="65C8D5C6" w14:textId="770A44D7" w:rsidR="00AB1F5B" w:rsidRPr="00F66CE4" w:rsidRDefault="00AB1F5B"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Budowa Drogi Czerwonej w Gdyni ma istotne znaczenie dla interesów gospodarcz</w:t>
      </w:r>
      <w:r w:rsidR="00375213" w:rsidRPr="00F66CE4">
        <w:rPr>
          <w:rFonts w:ascii="Times New Roman" w:hAnsi="Times New Roman" w:cs="Times New Roman"/>
          <w:sz w:val="24"/>
          <w:szCs w:val="24"/>
        </w:rPr>
        <w:t>ych</w:t>
      </w:r>
      <w:r w:rsidR="003A698C" w:rsidRPr="00F66CE4">
        <w:rPr>
          <w:rFonts w:ascii="Times New Roman" w:hAnsi="Times New Roman" w:cs="Times New Roman"/>
          <w:sz w:val="24"/>
          <w:szCs w:val="24"/>
        </w:rPr>
        <w:t xml:space="preserve"> i</w:t>
      </w:r>
      <w:r w:rsidRPr="00F66CE4">
        <w:rPr>
          <w:rFonts w:ascii="Times New Roman" w:hAnsi="Times New Roman" w:cs="Times New Roman"/>
          <w:sz w:val="24"/>
          <w:szCs w:val="24"/>
        </w:rPr>
        <w:t xml:space="preserve"> obronnych kraju. Droga Czerwona zapewni powiązanie </w:t>
      </w:r>
      <w:r w:rsidR="00375213" w:rsidRPr="00F66CE4">
        <w:rPr>
          <w:rFonts w:ascii="Times New Roman" w:hAnsi="Times New Roman" w:cs="Times New Roman"/>
          <w:sz w:val="24"/>
          <w:szCs w:val="24"/>
        </w:rPr>
        <w:t>port</w:t>
      </w:r>
      <w:r w:rsidR="009B5FA6" w:rsidRPr="00F66CE4">
        <w:rPr>
          <w:rFonts w:ascii="Times New Roman" w:hAnsi="Times New Roman" w:cs="Times New Roman"/>
          <w:sz w:val="24"/>
          <w:szCs w:val="24"/>
        </w:rPr>
        <w:t>u</w:t>
      </w:r>
      <w:r w:rsidR="00375213" w:rsidRPr="00F66CE4">
        <w:rPr>
          <w:rFonts w:ascii="Times New Roman" w:hAnsi="Times New Roman" w:cs="Times New Roman"/>
          <w:sz w:val="24"/>
          <w:szCs w:val="24"/>
        </w:rPr>
        <w:t xml:space="preserve"> o podstawowym znaczeniu dla gospodarki narodowej</w:t>
      </w:r>
      <w:r w:rsidR="009B5FA6" w:rsidRPr="00F66CE4">
        <w:rPr>
          <w:rFonts w:ascii="Times New Roman" w:hAnsi="Times New Roman" w:cs="Times New Roman"/>
          <w:sz w:val="24"/>
          <w:szCs w:val="24"/>
        </w:rPr>
        <w:t xml:space="preserve"> </w:t>
      </w:r>
      <w:r w:rsidR="00DD66B8" w:rsidRPr="00F66CE4">
        <w:rPr>
          <w:rFonts w:ascii="Times New Roman" w:hAnsi="Times New Roman" w:cs="Times New Roman"/>
          <w:spacing w:val="-2"/>
          <w:sz w:val="24"/>
          <w:szCs w:val="24"/>
        </w:rPr>
        <w:t>–</w:t>
      </w:r>
      <w:r w:rsidR="009B5FA6" w:rsidRPr="00F66CE4">
        <w:rPr>
          <w:rFonts w:ascii="Times New Roman" w:hAnsi="Times New Roman" w:cs="Times New Roman"/>
          <w:sz w:val="24"/>
          <w:szCs w:val="24"/>
        </w:rPr>
        <w:t xml:space="preserve"> </w:t>
      </w:r>
      <w:r w:rsidR="00D8686C" w:rsidRPr="00F66CE4">
        <w:rPr>
          <w:rFonts w:ascii="Times New Roman" w:hAnsi="Times New Roman" w:cs="Times New Roman"/>
          <w:sz w:val="24"/>
          <w:szCs w:val="24"/>
        </w:rPr>
        <w:t>portu m</w:t>
      </w:r>
      <w:r w:rsidR="00375213" w:rsidRPr="00F66CE4">
        <w:rPr>
          <w:rFonts w:ascii="Times New Roman" w:hAnsi="Times New Roman" w:cs="Times New Roman"/>
          <w:sz w:val="24"/>
          <w:szCs w:val="24"/>
        </w:rPr>
        <w:t>orskiego w Gdyni</w:t>
      </w:r>
      <w:r w:rsidR="003A698C" w:rsidRPr="00F66CE4">
        <w:rPr>
          <w:rFonts w:ascii="Times New Roman" w:hAnsi="Times New Roman" w:cs="Times New Roman"/>
          <w:sz w:val="24"/>
          <w:szCs w:val="24"/>
        </w:rPr>
        <w:t xml:space="preserve"> z siecią dróg szybkiego ruchu,</w:t>
      </w:r>
      <w:r w:rsidRPr="00F66CE4">
        <w:rPr>
          <w:rFonts w:ascii="Times New Roman" w:hAnsi="Times New Roman" w:cs="Times New Roman"/>
          <w:sz w:val="24"/>
          <w:szCs w:val="24"/>
        </w:rPr>
        <w:t xml:space="preserve"> bezpośrednio przez drogi ekspresowe S7 i S6. Jej budowa spowoduje zwiększenie możliwości przeładunkowych i rozwojowych portu, co w konsekwencji pozwoli na szybszy transport wojsk i zwiększenie mobilności sił zbrojnych</w:t>
      </w:r>
      <w:r w:rsidR="003A698C" w:rsidRPr="00F66CE4">
        <w:rPr>
          <w:rFonts w:ascii="Times New Roman" w:hAnsi="Times New Roman" w:cs="Times New Roman"/>
          <w:sz w:val="24"/>
          <w:szCs w:val="24"/>
        </w:rPr>
        <w:t xml:space="preserve">. Jest ona </w:t>
      </w:r>
      <w:r w:rsidRPr="00F66CE4">
        <w:rPr>
          <w:rFonts w:ascii="Times New Roman" w:hAnsi="Times New Roman" w:cs="Times New Roman"/>
          <w:sz w:val="24"/>
          <w:szCs w:val="24"/>
        </w:rPr>
        <w:t xml:space="preserve">szczególnie istotna dla potrzeb obronnościowych państwa. Z tego względu usprawnienie procesu inwestycyjnego, a w konsekwencji szybsze oddanie drogi do użytkowania pozwoli na oczekiwane, w kontekście obecnej sytuacji geopolitycznej, zabezpieczenie interesów </w:t>
      </w:r>
      <w:r w:rsidR="003A698C" w:rsidRPr="00F66CE4">
        <w:rPr>
          <w:rFonts w:ascii="Times New Roman" w:hAnsi="Times New Roman" w:cs="Times New Roman"/>
          <w:sz w:val="24"/>
          <w:szCs w:val="24"/>
        </w:rPr>
        <w:t>obronnych</w:t>
      </w:r>
      <w:r w:rsidR="002B1D18">
        <w:rPr>
          <w:rFonts w:ascii="Times New Roman" w:hAnsi="Times New Roman" w:cs="Times New Roman"/>
          <w:sz w:val="24"/>
          <w:szCs w:val="24"/>
        </w:rPr>
        <w:t>,</w:t>
      </w:r>
      <w:r w:rsidR="003A698C" w:rsidRPr="00F66CE4">
        <w:rPr>
          <w:rFonts w:ascii="Times New Roman" w:hAnsi="Times New Roman" w:cs="Times New Roman"/>
          <w:sz w:val="24"/>
          <w:szCs w:val="24"/>
        </w:rPr>
        <w:t xml:space="preserve"> ale również gospodarczych</w:t>
      </w:r>
      <w:r w:rsidRPr="00F66CE4">
        <w:rPr>
          <w:rFonts w:ascii="Times New Roman" w:hAnsi="Times New Roman" w:cs="Times New Roman"/>
          <w:sz w:val="24"/>
          <w:szCs w:val="24"/>
        </w:rPr>
        <w:t xml:space="preserve"> i ekonomicznych państwa, w szczególności w zakresie dostępu do strategicznego portu morskiego.</w:t>
      </w:r>
    </w:p>
    <w:p w14:paraId="64BDEBA3" w14:textId="3212BA34" w:rsidR="003A698C" w:rsidRPr="00F66CE4" w:rsidRDefault="00AB1F5B"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Droga Czerwona będzie drogą krajową klasy GP (głównej ruchu przyspieszonego). </w:t>
      </w:r>
      <w:r w:rsidR="003A698C" w:rsidRPr="00F66CE4">
        <w:rPr>
          <w:rFonts w:ascii="Times New Roman" w:hAnsi="Times New Roman" w:cs="Times New Roman"/>
          <w:sz w:val="24"/>
          <w:szCs w:val="24"/>
        </w:rPr>
        <w:t>Koszt budowy Drogi Czerwonej obecnie szacuje się na ok. 4,45 mld zł.</w:t>
      </w:r>
    </w:p>
    <w:p w14:paraId="6505BCD5" w14:textId="77777777" w:rsidR="00AB1F5B" w:rsidRPr="00F66CE4" w:rsidRDefault="003A698C"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W</w:t>
      </w:r>
      <w:r w:rsidR="00AB1F5B" w:rsidRPr="00F66CE4">
        <w:rPr>
          <w:rFonts w:ascii="Times New Roman" w:hAnsi="Times New Roman" w:cs="Times New Roman"/>
          <w:sz w:val="24"/>
          <w:szCs w:val="24"/>
        </w:rPr>
        <w:t xml:space="preserve"> październiku 2022 r. rozpoczęły się prace przygotowawcze</w:t>
      </w:r>
      <w:r w:rsidRPr="00F66CE4">
        <w:rPr>
          <w:rFonts w:ascii="Times New Roman" w:hAnsi="Times New Roman" w:cs="Times New Roman"/>
          <w:sz w:val="24"/>
          <w:szCs w:val="24"/>
        </w:rPr>
        <w:t xml:space="preserve"> dla tej inwestycji</w:t>
      </w:r>
      <w:r w:rsidR="00AB1F5B" w:rsidRPr="00F66CE4">
        <w:rPr>
          <w:rFonts w:ascii="Times New Roman" w:hAnsi="Times New Roman" w:cs="Times New Roman"/>
          <w:sz w:val="24"/>
          <w:szCs w:val="24"/>
        </w:rPr>
        <w:t xml:space="preserve"> w podziale na trzy odcinki:</w:t>
      </w:r>
    </w:p>
    <w:p w14:paraId="282A1172" w14:textId="77777777" w:rsidR="00AB1F5B" w:rsidRPr="00F66CE4" w:rsidRDefault="00AB1F5B" w:rsidP="00406A62">
      <w:pPr>
        <w:pStyle w:val="Akapitzlist"/>
        <w:numPr>
          <w:ilvl w:val="0"/>
          <w:numId w:val="17"/>
        </w:num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lastRenderedPageBreak/>
        <w:t>odcinek 1. Gdynia Chylonia – Trasa Kwiatkowskiego o długości ok. 5,5 km i przekroju 2/3,</w:t>
      </w:r>
    </w:p>
    <w:p w14:paraId="70EC02A0" w14:textId="77777777" w:rsidR="00AB1F5B" w:rsidRPr="00F66CE4" w:rsidRDefault="00AB1F5B" w:rsidP="00406A62">
      <w:pPr>
        <w:pStyle w:val="Akapitzlist"/>
        <w:numPr>
          <w:ilvl w:val="0"/>
          <w:numId w:val="17"/>
        </w:num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odcinek 2. Trasa Kwiatkowskiego – węzeł Ofiar Grudnia 70 o długości ok. 2,4 km i przekroju 2/3,</w:t>
      </w:r>
    </w:p>
    <w:p w14:paraId="292DA784" w14:textId="77777777" w:rsidR="00AB1F5B" w:rsidRPr="00F66CE4" w:rsidRDefault="00AB1F5B" w:rsidP="00406A62">
      <w:pPr>
        <w:pStyle w:val="Akapitzlist"/>
        <w:numPr>
          <w:ilvl w:val="0"/>
          <w:numId w:val="17"/>
        </w:num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odcinek 3. Węzeł Ofiar Grudnia 70 – Terminal Promowy o długości ok. 1,1 km i przekroju 2/2.</w:t>
      </w:r>
    </w:p>
    <w:p w14:paraId="5780424D" w14:textId="137E2041" w:rsidR="00AB1F5B" w:rsidRPr="00F66CE4" w:rsidRDefault="003A698C"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W przypadku</w:t>
      </w:r>
      <w:r w:rsidR="00AB1F5B" w:rsidRPr="00F66CE4">
        <w:rPr>
          <w:rFonts w:ascii="Times New Roman" w:hAnsi="Times New Roman" w:cs="Times New Roman"/>
          <w:sz w:val="24"/>
          <w:szCs w:val="24"/>
        </w:rPr>
        <w:t xml:space="preserve"> pierwszego odcinka wykonawca opracow</w:t>
      </w:r>
      <w:r w:rsidR="00D36E0B" w:rsidRPr="00F66CE4">
        <w:rPr>
          <w:rFonts w:ascii="Times New Roman" w:hAnsi="Times New Roman" w:cs="Times New Roman"/>
          <w:sz w:val="24"/>
          <w:szCs w:val="24"/>
        </w:rPr>
        <w:t>ał</w:t>
      </w:r>
      <w:r w:rsidR="00AB1F5B" w:rsidRPr="00F66CE4">
        <w:rPr>
          <w:rFonts w:ascii="Times New Roman" w:hAnsi="Times New Roman" w:cs="Times New Roman"/>
          <w:sz w:val="24"/>
          <w:szCs w:val="24"/>
        </w:rPr>
        <w:t xml:space="preserve"> koncepcję programową wraz z dokumentacją umożliwiającą złożenie wniosku o wydanie decyzji o środowiskowych uwarunkowaniach</w:t>
      </w:r>
      <w:r w:rsidRPr="00F66CE4">
        <w:rPr>
          <w:rFonts w:ascii="Times New Roman" w:hAnsi="Times New Roman" w:cs="Times New Roman"/>
          <w:sz w:val="24"/>
          <w:szCs w:val="24"/>
        </w:rPr>
        <w:t>.</w:t>
      </w:r>
      <w:r w:rsidR="00AB1F5B" w:rsidRPr="00F66CE4">
        <w:rPr>
          <w:rFonts w:ascii="Times New Roman" w:hAnsi="Times New Roman" w:cs="Times New Roman"/>
          <w:sz w:val="24"/>
          <w:szCs w:val="24"/>
        </w:rPr>
        <w:t xml:space="preserve"> </w:t>
      </w:r>
      <w:r w:rsidR="00D36E0B" w:rsidRPr="00F66CE4">
        <w:rPr>
          <w:rFonts w:ascii="Times New Roman" w:hAnsi="Times New Roman" w:cs="Times New Roman"/>
          <w:sz w:val="24"/>
          <w:szCs w:val="24"/>
        </w:rPr>
        <w:t xml:space="preserve">W dniu 14 stycznia 2026 r. został złożony wniosek o wydanie decyzji o środowiskowych uwarunkowaniach dla tego odcinka. </w:t>
      </w:r>
      <w:r w:rsidR="00AB1F5B" w:rsidRPr="00F66CE4">
        <w:rPr>
          <w:rFonts w:ascii="Times New Roman" w:hAnsi="Times New Roman" w:cs="Times New Roman"/>
          <w:sz w:val="24"/>
          <w:szCs w:val="24"/>
        </w:rPr>
        <w:t>Dla odcinka drugiego i trzeciego finalizowane jest opracowanie studium komunikacyjnego, które ma na celu ustalenie zakresu rzeczowego i finansowego inwestycji. Z uwagi</w:t>
      </w:r>
      <w:r w:rsidRPr="00F66CE4">
        <w:rPr>
          <w:rFonts w:ascii="Times New Roman" w:hAnsi="Times New Roman" w:cs="Times New Roman"/>
          <w:sz w:val="24"/>
          <w:szCs w:val="24"/>
        </w:rPr>
        <w:t xml:space="preserve"> na fakt,</w:t>
      </w:r>
      <w:r w:rsidR="00AB1F5B" w:rsidRPr="00F66CE4">
        <w:rPr>
          <w:rFonts w:ascii="Times New Roman" w:hAnsi="Times New Roman" w:cs="Times New Roman"/>
          <w:sz w:val="24"/>
          <w:szCs w:val="24"/>
        </w:rPr>
        <w:t xml:space="preserve"> iż dla tych odcinków wymagane jest jeszcze wykonanie dokumentacji przygotowawczej o większej szczegółowości poszczególne etapy procesu inwestycyjnego mają przesunięcie w czasie.</w:t>
      </w:r>
    </w:p>
    <w:p w14:paraId="6E7C6B85" w14:textId="77777777" w:rsidR="009D000E" w:rsidRPr="00F66CE4" w:rsidRDefault="00A66450" w:rsidP="00406A62">
      <w:pPr>
        <w:pStyle w:val="Akapitzlist"/>
        <w:numPr>
          <w:ilvl w:val="0"/>
          <w:numId w:val="33"/>
        </w:numPr>
        <w:spacing w:before="120" w:after="0" w:line="360" w:lineRule="auto"/>
        <w:ind w:left="284" w:hanging="284"/>
        <w:jc w:val="both"/>
        <w:rPr>
          <w:rFonts w:ascii="Times New Roman" w:hAnsi="Times New Roman" w:cs="Times New Roman"/>
          <w:b/>
          <w:sz w:val="24"/>
          <w:szCs w:val="24"/>
          <w:u w:val="single"/>
        </w:rPr>
      </w:pPr>
      <w:r w:rsidRPr="00F66CE4">
        <w:rPr>
          <w:rFonts w:ascii="Times New Roman" w:hAnsi="Times New Roman" w:cs="Times New Roman"/>
          <w:b/>
          <w:sz w:val="24"/>
          <w:szCs w:val="24"/>
          <w:u w:val="single"/>
        </w:rPr>
        <w:t>K</w:t>
      </w:r>
      <w:r w:rsidR="000437D0" w:rsidRPr="00F66CE4">
        <w:rPr>
          <w:rFonts w:ascii="Times New Roman" w:hAnsi="Times New Roman" w:cs="Times New Roman"/>
          <w:b/>
          <w:sz w:val="24"/>
          <w:szCs w:val="24"/>
          <w:u w:val="single"/>
        </w:rPr>
        <w:t>luczo</w:t>
      </w:r>
      <w:r w:rsidR="00DE598E" w:rsidRPr="00F66CE4">
        <w:rPr>
          <w:rFonts w:ascii="Times New Roman" w:hAnsi="Times New Roman" w:cs="Times New Roman"/>
          <w:b/>
          <w:sz w:val="24"/>
          <w:szCs w:val="24"/>
          <w:u w:val="single"/>
        </w:rPr>
        <w:t>we</w:t>
      </w:r>
      <w:r w:rsidR="000437D0" w:rsidRPr="00F66CE4">
        <w:rPr>
          <w:rFonts w:ascii="Times New Roman" w:hAnsi="Times New Roman" w:cs="Times New Roman"/>
          <w:b/>
          <w:sz w:val="24"/>
          <w:szCs w:val="24"/>
          <w:u w:val="single"/>
        </w:rPr>
        <w:t xml:space="preserve"> inwestycj</w:t>
      </w:r>
      <w:r w:rsidRPr="00F66CE4">
        <w:rPr>
          <w:rFonts w:ascii="Times New Roman" w:hAnsi="Times New Roman" w:cs="Times New Roman"/>
          <w:b/>
          <w:sz w:val="24"/>
          <w:szCs w:val="24"/>
          <w:u w:val="single"/>
        </w:rPr>
        <w:t>e</w:t>
      </w:r>
      <w:r w:rsidR="000437D0" w:rsidRPr="00F66CE4">
        <w:rPr>
          <w:rFonts w:ascii="Times New Roman" w:hAnsi="Times New Roman" w:cs="Times New Roman"/>
          <w:b/>
          <w:sz w:val="24"/>
          <w:szCs w:val="24"/>
          <w:u w:val="single"/>
        </w:rPr>
        <w:t xml:space="preserve"> infrastruktural</w:t>
      </w:r>
      <w:r w:rsidRPr="00F66CE4">
        <w:rPr>
          <w:rFonts w:ascii="Times New Roman" w:hAnsi="Times New Roman" w:cs="Times New Roman"/>
          <w:b/>
          <w:sz w:val="24"/>
          <w:szCs w:val="24"/>
          <w:u w:val="single"/>
        </w:rPr>
        <w:t xml:space="preserve">ne </w:t>
      </w:r>
      <w:r w:rsidR="00DE598E" w:rsidRPr="00F66CE4">
        <w:rPr>
          <w:rFonts w:ascii="Times New Roman" w:hAnsi="Times New Roman" w:cs="Times New Roman"/>
          <w:b/>
          <w:sz w:val="24"/>
          <w:szCs w:val="24"/>
          <w:u w:val="single"/>
        </w:rPr>
        <w:t>z zakresu gospodarki morskiej</w:t>
      </w:r>
    </w:p>
    <w:p w14:paraId="3635CE92" w14:textId="21FAD872" w:rsidR="009D000E" w:rsidRPr="00F66CE4" w:rsidRDefault="009D000E"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Porty morskie pełnią rolę węzłów w globalnych łańcuchach dostaw, wpływają na konkurencyjność importu i eksportu towarów, </w:t>
      </w:r>
      <w:r w:rsidR="00371B16" w:rsidRPr="00F66CE4">
        <w:rPr>
          <w:rFonts w:ascii="Times New Roman" w:hAnsi="Times New Roman" w:cs="Times New Roman"/>
          <w:sz w:val="24"/>
          <w:szCs w:val="24"/>
        </w:rPr>
        <w:t xml:space="preserve">jednocześnie </w:t>
      </w:r>
      <w:r w:rsidRPr="00F66CE4">
        <w:rPr>
          <w:rFonts w:ascii="Times New Roman" w:hAnsi="Times New Roman" w:cs="Times New Roman"/>
          <w:sz w:val="24"/>
          <w:szCs w:val="24"/>
        </w:rPr>
        <w:t>rośnie ich znaczenie w handlu międzynarodowym. Zakres działalności portów morskich nigdy dotąd nie był tak szeroki jak obecnie. Z multimodalnych hubów łączących w łańcuch dostaw morze z lądem</w:t>
      </w:r>
      <w:r w:rsidR="00371B16" w:rsidRPr="00F66CE4">
        <w:rPr>
          <w:rFonts w:ascii="Times New Roman" w:hAnsi="Times New Roman" w:cs="Times New Roman"/>
          <w:sz w:val="24"/>
          <w:szCs w:val="24"/>
        </w:rPr>
        <w:t>,</w:t>
      </w:r>
      <w:r w:rsidRPr="00F66CE4">
        <w:rPr>
          <w:rFonts w:ascii="Times New Roman" w:hAnsi="Times New Roman" w:cs="Times New Roman"/>
          <w:sz w:val="24"/>
          <w:szCs w:val="24"/>
        </w:rPr>
        <w:t xml:space="preserve"> porty przekształcają się w centra wspomagające rozwój zrównoważonych źródeł wytwarzania energii (morska energetyka wiatrowa), klastry przemysłu i gospodarki o zamkniętym obiegu, a także ważne filary geopolitycznej odporności. Strumień realizowanych i planowanych inwestycji w portach morskich odzwierciedla tę zmieniającą się i wielowymiarową rolę.</w:t>
      </w:r>
    </w:p>
    <w:p w14:paraId="49427741" w14:textId="2F4E57AB" w:rsidR="00DF5420" w:rsidRPr="00F66CE4" w:rsidRDefault="009D000E"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Z prognoz dotyczących projektów portowych w Gdańsku, Gdyni i Świnoujściu wynika, że inwestycje w infrastrukturę portową są kluczowym czynnikiem zapewniających wzrost przeładunków oraz dostosowanie ich do specyficznych wymagań (np. terminale instalacyjne dla morskiej energetyki wiatrowej).</w:t>
      </w:r>
    </w:p>
    <w:p w14:paraId="15E5C5A4" w14:textId="646B1294" w:rsidR="000437D0" w:rsidRPr="00F66CE4" w:rsidRDefault="0013783A"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Roz</w:t>
      </w:r>
      <w:r w:rsidR="00AC5BDD" w:rsidRPr="00F66CE4">
        <w:rPr>
          <w:rFonts w:ascii="Times New Roman" w:hAnsi="Times New Roman" w:cs="Times New Roman"/>
          <w:b/>
          <w:sz w:val="24"/>
          <w:szCs w:val="24"/>
        </w:rPr>
        <w:t>b</w:t>
      </w:r>
      <w:r w:rsidR="00DE598E" w:rsidRPr="00F66CE4">
        <w:rPr>
          <w:rFonts w:ascii="Times New Roman" w:hAnsi="Times New Roman" w:cs="Times New Roman"/>
          <w:b/>
          <w:sz w:val="24"/>
          <w:szCs w:val="24"/>
        </w:rPr>
        <w:t xml:space="preserve">udowa portu zewnętrznego w porcie morskim w Świnoujściu wraz z budową i rozbudową infrastruktury </w:t>
      </w:r>
      <w:r w:rsidR="002F6C2C" w:rsidRPr="00F66CE4">
        <w:rPr>
          <w:rFonts w:ascii="Times New Roman" w:hAnsi="Times New Roman" w:cs="Times New Roman"/>
          <w:b/>
          <w:sz w:val="24"/>
          <w:szCs w:val="24"/>
        </w:rPr>
        <w:t>zapewniającej dostęp</w:t>
      </w:r>
      <w:r w:rsidRPr="00F66CE4">
        <w:rPr>
          <w:rFonts w:ascii="Times New Roman" w:hAnsi="Times New Roman" w:cs="Times New Roman"/>
          <w:sz w:val="24"/>
          <w:szCs w:val="24"/>
        </w:rPr>
        <w:t xml:space="preserve"> </w:t>
      </w:r>
      <w:r w:rsidRPr="00F66CE4">
        <w:rPr>
          <w:rFonts w:ascii="Times New Roman" w:hAnsi="Times New Roman" w:cs="Times New Roman"/>
          <w:b/>
          <w:sz w:val="24"/>
          <w:szCs w:val="24"/>
        </w:rPr>
        <w:t>od strony morza</w:t>
      </w:r>
      <w:r w:rsidR="002F6C2C" w:rsidRPr="00F66CE4">
        <w:rPr>
          <w:rFonts w:ascii="Times New Roman" w:hAnsi="Times New Roman" w:cs="Times New Roman"/>
          <w:b/>
          <w:sz w:val="24"/>
          <w:szCs w:val="24"/>
        </w:rPr>
        <w:t xml:space="preserve"> </w:t>
      </w:r>
      <w:r w:rsidR="00DE598E" w:rsidRPr="00F66CE4">
        <w:rPr>
          <w:rFonts w:ascii="Times New Roman" w:hAnsi="Times New Roman" w:cs="Times New Roman"/>
          <w:b/>
          <w:sz w:val="24"/>
          <w:szCs w:val="24"/>
        </w:rPr>
        <w:t>do portu morskiego w Świnoujściu</w:t>
      </w:r>
      <w:r w:rsidR="0065519C" w:rsidRPr="00F66CE4">
        <w:rPr>
          <w:rFonts w:ascii="Times New Roman" w:hAnsi="Times New Roman" w:cs="Times New Roman"/>
          <w:b/>
          <w:sz w:val="24"/>
          <w:szCs w:val="24"/>
        </w:rPr>
        <w:t xml:space="preserve"> – Przylądek Pomerania</w:t>
      </w:r>
    </w:p>
    <w:p w14:paraId="2ADBF3EE" w14:textId="77777777" w:rsidR="00D63FD0" w:rsidRPr="00F66CE4" w:rsidRDefault="000437D0"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I</w:t>
      </w:r>
      <w:r w:rsidR="00D63FD0" w:rsidRPr="00F66CE4">
        <w:rPr>
          <w:rFonts w:ascii="Times New Roman" w:hAnsi="Times New Roman" w:cs="Times New Roman"/>
          <w:sz w:val="24"/>
          <w:szCs w:val="24"/>
        </w:rPr>
        <w:t xml:space="preserve">nwestycja stanowi aktualnie jedną z najważniejszych inwestycji gospodarczych w skali kraju, dzięki której port </w:t>
      </w:r>
      <w:r w:rsidR="005040AE" w:rsidRPr="00F66CE4">
        <w:rPr>
          <w:rFonts w:ascii="Times New Roman" w:hAnsi="Times New Roman" w:cs="Times New Roman"/>
          <w:sz w:val="24"/>
          <w:szCs w:val="24"/>
        </w:rPr>
        <w:t xml:space="preserve">morski </w:t>
      </w:r>
      <w:r w:rsidR="00D63FD0" w:rsidRPr="00F66CE4">
        <w:rPr>
          <w:rFonts w:ascii="Times New Roman" w:hAnsi="Times New Roman" w:cs="Times New Roman"/>
          <w:sz w:val="24"/>
          <w:szCs w:val="24"/>
        </w:rPr>
        <w:t xml:space="preserve">w Świnoujściu może stać się hubem przeładunkowym, obsługującym </w:t>
      </w:r>
      <w:r w:rsidR="00D63FD0" w:rsidRPr="00F66CE4">
        <w:rPr>
          <w:rFonts w:ascii="Times New Roman" w:hAnsi="Times New Roman" w:cs="Times New Roman"/>
          <w:sz w:val="24"/>
          <w:szCs w:val="24"/>
        </w:rPr>
        <w:lastRenderedPageBreak/>
        <w:t>największe jednostki pływające, jakie są zdolne do żeglugi po Bałtyku.</w:t>
      </w:r>
      <w:r w:rsidR="00D63FD0" w:rsidRPr="00F66CE4">
        <w:rPr>
          <w:rFonts w:ascii="Times New Roman" w:eastAsia="Times New Roman" w:hAnsi="Times New Roman" w:cs="Times New Roman"/>
          <w:sz w:val="24"/>
          <w:szCs w:val="24"/>
          <w:lang w:eastAsia="pl-PL"/>
        </w:rPr>
        <w:t xml:space="preserve"> </w:t>
      </w:r>
      <w:r w:rsidR="00D63FD0" w:rsidRPr="00F66CE4">
        <w:rPr>
          <w:rFonts w:ascii="Times New Roman" w:hAnsi="Times New Roman" w:cs="Times New Roman"/>
          <w:sz w:val="24"/>
          <w:szCs w:val="24"/>
        </w:rPr>
        <w:t xml:space="preserve">Inwestycja wpłynie na rozwój portu w Świnoujściu </w:t>
      </w:r>
      <w:r w:rsidR="00371B16" w:rsidRPr="00F66CE4">
        <w:rPr>
          <w:rFonts w:ascii="Times New Roman" w:hAnsi="Times New Roman" w:cs="Times New Roman"/>
          <w:sz w:val="24"/>
          <w:szCs w:val="24"/>
        </w:rPr>
        <w:t>oraz</w:t>
      </w:r>
      <w:r w:rsidR="00D63FD0" w:rsidRPr="00F66CE4">
        <w:rPr>
          <w:rFonts w:ascii="Times New Roman" w:hAnsi="Times New Roman" w:cs="Times New Roman"/>
          <w:sz w:val="24"/>
          <w:szCs w:val="24"/>
        </w:rPr>
        <w:t xml:space="preserve"> </w:t>
      </w:r>
      <w:r w:rsidR="00552703" w:rsidRPr="00F66CE4">
        <w:rPr>
          <w:rFonts w:ascii="Times New Roman" w:hAnsi="Times New Roman" w:cs="Times New Roman"/>
          <w:sz w:val="24"/>
          <w:szCs w:val="24"/>
        </w:rPr>
        <w:t xml:space="preserve">wzmocnienie </w:t>
      </w:r>
      <w:r w:rsidR="00D63FD0" w:rsidRPr="00F66CE4">
        <w:rPr>
          <w:rFonts w:ascii="Times New Roman" w:hAnsi="Times New Roman" w:cs="Times New Roman"/>
          <w:sz w:val="24"/>
          <w:szCs w:val="24"/>
        </w:rPr>
        <w:t>jego pozycji wśród wiodących portów morskich Morza Bałtyckiego, w celu pełnienia roli kluczowego węzła globalnych łańcuchów dostaw dla Europy Środkowo-Wschodniej, zwiększenie jego udziału w rozwoju społeczno-gospodarczym regionu i kraju. W wyniku realizacji inwestycji powstanie terminal kontenerowy o planowanej rocznej zdolności przeładunkowej 2 mln TEU oraz</w:t>
      </w:r>
      <w:r w:rsidR="007C664C" w:rsidRPr="00F66CE4">
        <w:rPr>
          <w:rFonts w:ascii="Times New Roman" w:hAnsi="Times New Roman" w:cs="Times New Roman"/>
          <w:sz w:val="24"/>
          <w:szCs w:val="24"/>
        </w:rPr>
        <w:t xml:space="preserve"> </w:t>
      </w:r>
      <w:r w:rsidR="00D63FD0" w:rsidRPr="00F66CE4">
        <w:rPr>
          <w:rFonts w:ascii="Times New Roman" w:hAnsi="Times New Roman" w:cs="Times New Roman"/>
          <w:sz w:val="24"/>
          <w:szCs w:val="24"/>
        </w:rPr>
        <w:t>w przyszłości terminal uniwersalny.</w:t>
      </w:r>
    </w:p>
    <w:p w14:paraId="5329B2A6" w14:textId="1614B221" w:rsidR="00D13EC3" w:rsidRPr="00F66CE4" w:rsidRDefault="00D63FD0"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Budowa i osiągnięcie pełnej funkcjonalności terminali w Porcie Zewnętrznym w Świnoujściu stanowi strategiczne działanie inwestycyjne w </w:t>
      </w:r>
      <w:r w:rsidR="002F6C2C" w:rsidRPr="00F66CE4">
        <w:rPr>
          <w:rFonts w:ascii="Times New Roman" w:hAnsi="Times New Roman" w:cs="Times New Roman"/>
          <w:sz w:val="24"/>
          <w:szCs w:val="24"/>
        </w:rPr>
        <w:t>p</w:t>
      </w:r>
      <w:r w:rsidRPr="00F66CE4">
        <w:rPr>
          <w:rFonts w:ascii="Times New Roman" w:hAnsi="Times New Roman" w:cs="Times New Roman"/>
          <w:sz w:val="24"/>
          <w:szCs w:val="24"/>
        </w:rPr>
        <w:t xml:space="preserve">orcie </w:t>
      </w:r>
      <w:r w:rsidR="002F6C2C" w:rsidRPr="00F66CE4">
        <w:rPr>
          <w:rFonts w:ascii="Times New Roman" w:hAnsi="Times New Roman" w:cs="Times New Roman"/>
          <w:sz w:val="24"/>
          <w:szCs w:val="24"/>
        </w:rPr>
        <w:t>m</w:t>
      </w:r>
      <w:r w:rsidRPr="00F66CE4">
        <w:rPr>
          <w:rFonts w:ascii="Times New Roman" w:hAnsi="Times New Roman" w:cs="Times New Roman"/>
          <w:sz w:val="24"/>
          <w:szCs w:val="24"/>
        </w:rPr>
        <w:t xml:space="preserve">orskim w Świnoujściu, które wzmocni i ustabilizuje rynkową pozycję zespołu portowego Szczecin-Świnoujście. Inwestycja finansowana </w:t>
      </w:r>
      <w:r w:rsidR="00371B16" w:rsidRPr="00F66CE4">
        <w:rPr>
          <w:rFonts w:ascii="Times New Roman" w:hAnsi="Times New Roman" w:cs="Times New Roman"/>
          <w:sz w:val="24"/>
          <w:szCs w:val="24"/>
        </w:rPr>
        <w:t xml:space="preserve">jest </w:t>
      </w:r>
      <w:r w:rsidRPr="00F66CE4">
        <w:rPr>
          <w:rFonts w:ascii="Times New Roman" w:hAnsi="Times New Roman" w:cs="Times New Roman"/>
          <w:sz w:val="24"/>
          <w:szCs w:val="24"/>
        </w:rPr>
        <w:t xml:space="preserve">ze środków Zarządu Morskich Portów Szczecin i Świnoujście S.A. </w:t>
      </w:r>
      <w:r w:rsidR="0065519C" w:rsidRPr="00F66CE4">
        <w:rPr>
          <w:rFonts w:ascii="Times New Roman" w:hAnsi="Times New Roman" w:cs="Times New Roman"/>
          <w:sz w:val="24"/>
          <w:szCs w:val="24"/>
        </w:rPr>
        <w:t>oraz w zakresie infrastruktury dostępowej od strony morza – ze środków budżetu państwa.</w:t>
      </w:r>
    </w:p>
    <w:p w14:paraId="01B76532" w14:textId="7E70D7F5" w:rsidR="00D63FD0" w:rsidRPr="00F66CE4" w:rsidRDefault="000437D0"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R</w:t>
      </w:r>
      <w:r w:rsidR="00D63FD0" w:rsidRPr="00F66CE4">
        <w:rPr>
          <w:rFonts w:ascii="Times New Roman" w:hAnsi="Times New Roman" w:cs="Times New Roman"/>
          <w:sz w:val="24"/>
          <w:szCs w:val="24"/>
        </w:rPr>
        <w:t>ealizacja pro</w:t>
      </w:r>
      <w:r w:rsidR="00371B16" w:rsidRPr="00F66CE4">
        <w:rPr>
          <w:rFonts w:ascii="Times New Roman" w:hAnsi="Times New Roman" w:cs="Times New Roman"/>
          <w:sz w:val="24"/>
          <w:szCs w:val="24"/>
        </w:rPr>
        <w:t>jektu</w:t>
      </w:r>
      <w:r w:rsidR="00D63FD0" w:rsidRPr="00F66CE4">
        <w:rPr>
          <w:rFonts w:ascii="Times New Roman" w:hAnsi="Times New Roman" w:cs="Times New Roman"/>
          <w:sz w:val="24"/>
          <w:szCs w:val="24"/>
        </w:rPr>
        <w:t xml:space="preserve"> zapewni odpowiednią, bezpieczną infrastrukturę dostępową dla głębokowodnych terminali w Świnoujściu, które wymagają rozbudowy istniejącej infrastruktury dostępowej do portu </w:t>
      </w:r>
      <w:r w:rsidR="005040AE" w:rsidRPr="00F66CE4">
        <w:rPr>
          <w:rFonts w:ascii="Times New Roman" w:hAnsi="Times New Roman" w:cs="Times New Roman"/>
          <w:sz w:val="24"/>
          <w:szCs w:val="24"/>
        </w:rPr>
        <w:t xml:space="preserve">morskiego </w:t>
      </w:r>
      <w:r w:rsidR="00D63FD0" w:rsidRPr="00F66CE4">
        <w:rPr>
          <w:rFonts w:ascii="Times New Roman" w:hAnsi="Times New Roman" w:cs="Times New Roman"/>
          <w:sz w:val="24"/>
          <w:szCs w:val="24"/>
        </w:rPr>
        <w:t xml:space="preserve">w Świnoujściu, w szczególności toru podejściowego oraz falochronów. Infrastruktura dostępowa, tor podejściowy oraz </w:t>
      </w:r>
      <w:r w:rsidR="0065519C" w:rsidRPr="00F66CE4">
        <w:rPr>
          <w:rFonts w:ascii="Times New Roman" w:hAnsi="Times New Roman" w:cs="Times New Roman"/>
          <w:sz w:val="24"/>
          <w:szCs w:val="24"/>
        </w:rPr>
        <w:t xml:space="preserve">zintegrowany z lądem </w:t>
      </w:r>
      <w:r w:rsidR="00D63FD0" w:rsidRPr="00F66CE4">
        <w:rPr>
          <w:rFonts w:ascii="Times New Roman" w:hAnsi="Times New Roman" w:cs="Times New Roman"/>
          <w:sz w:val="24"/>
          <w:szCs w:val="24"/>
        </w:rPr>
        <w:t xml:space="preserve">falochron, wraz ze sprzętem zapewni nieprzerwane możliwości dostawy surowców do portów Szczecin, Świnoujście oraz Police, co bezpośrednio przełoży się na zapewnienie bezpieczeństwa państwa, w tym bezpieczeństwa energetycznego. </w:t>
      </w:r>
      <w:r w:rsidR="00371B16" w:rsidRPr="00F66CE4">
        <w:rPr>
          <w:rFonts w:ascii="Times New Roman" w:hAnsi="Times New Roman" w:cs="Times New Roman"/>
          <w:sz w:val="24"/>
          <w:szCs w:val="24"/>
        </w:rPr>
        <w:t>W</w:t>
      </w:r>
      <w:r w:rsidR="00D63FD0" w:rsidRPr="00F66CE4">
        <w:rPr>
          <w:rFonts w:ascii="Times New Roman" w:hAnsi="Times New Roman" w:cs="Times New Roman"/>
          <w:sz w:val="24"/>
          <w:szCs w:val="24"/>
        </w:rPr>
        <w:t xml:space="preserve">ybudowana infrastruktura będzie </w:t>
      </w:r>
      <w:r w:rsidR="00B972E3" w:rsidRPr="00F66CE4">
        <w:rPr>
          <w:rFonts w:ascii="Times New Roman" w:hAnsi="Times New Roman" w:cs="Times New Roman"/>
          <w:sz w:val="24"/>
          <w:szCs w:val="24"/>
        </w:rPr>
        <w:t>mogła być wykorzystywana do celów cywilnych i wojskowych</w:t>
      </w:r>
      <w:r w:rsidR="00371B16" w:rsidRPr="00F66CE4">
        <w:rPr>
          <w:rFonts w:ascii="Times New Roman" w:hAnsi="Times New Roman" w:cs="Times New Roman"/>
          <w:sz w:val="24"/>
          <w:szCs w:val="24"/>
        </w:rPr>
        <w:t>.</w:t>
      </w:r>
    </w:p>
    <w:p w14:paraId="73B1EF4D" w14:textId="77777777" w:rsidR="00D63FD0" w:rsidRPr="00F66CE4" w:rsidRDefault="00DE598E"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Budowa portu zewnętrznego w porcie morskim w Gdyni wraz z budową i rozbudową infrastruktury dostępowej do portu</w:t>
      </w:r>
      <w:r w:rsidR="005820A6" w:rsidRPr="00F66CE4">
        <w:rPr>
          <w:rFonts w:ascii="Times New Roman" w:hAnsi="Times New Roman" w:cs="Times New Roman"/>
          <w:b/>
          <w:sz w:val="24"/>
          <w:szCs w:val="24"/>
        </w:rPr>
        <w:t xml:space="preserve"> morskiego</w:t>
      </w:r>
      <w:r w:rsidRPr="00F66CE4">
        <w:rPr>
          <w:rFonts w:ascii="Times New Roman" w:hAnsi="Times New Roman" w:cs="Times New Roman"/>
          <w:b/>
          <w:sz w:val="24"/>
          <w:szCs w:val="24"/>
        </w:rPr>
        <w:t xml:space="preserve"> w Gdyni</w:t>
      </w:r>
    </w:p>
    <w:p w14:paraId="0C364966" w14:textId="0D603C81" w:rsidR="00D63FD0" w:rsidRPr="00F66CE4" w:rsidRDefault="00D63FD0"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Budowa </w:t>
      </w:r>
      <w:r w:rsidR="00DC4695" w:rsidRPr="00F66CE4">
        <w:rPr>
          <w:rFonts w:ascii="Times New Roman" w:hAnsi="Times New Roman" w:cs="Times New Roman"/>
          <w:sz w:val="24"/>
          <w:szCs w:val="24"/>
        </w:rPr>
        <w:t>p</w:t>
      </w:r>
      <w:r w:rsidRPr="00F66CE4">
        <w:rPr>
          <w:rFonts w:ascii="Times New Roman" w:hAnsi="Times New Roman" w:cs="Times New Roman"/>
          <w:sz w:val="24"/>
          <w:szCs w:val="24"/>
        </w:rPr>
        <w:t xml:space="preserve">ortu </w:t>
      </w:r>
      <w:r w:rsidR="00C21200" w:rsidRPr="00F66CE4">
        <w:rPr>
          <w:rFonts w:ascii="Times New Roman" w:hAnsi="Times New Roman" w:cs="Times New Roman"/>
          <w:sz w:val="24"/>
          <w:szCs w:val="24"/>
        </w:rPr>
        <w:t>z</w:t>
      </w:r>
      <w:r w:rsidRPr="00F66CE4">
        <w:rPr>
          <w:rFonts w:ascii="Times New Roman" w:hAnsi="Times New Roman" w:cs="Times New Roman"/>
          <w:sz w:val="24"/>
          <w:szCs w:val="24"/>
        </w:rPr>
        <w:t xml:space="preserve">ewnętrznego ma na celu zapewnienie perspektywy wieloletniego rozwoju </w:t>
      </w:r>
      <w:r w:rsidR="0002490E" w:rsidRPr="00F66CE4">
        <w:rPr>
          <w:rFonts w:ascii="Times New Roman" w:hAnsi="Times New Roman" w:cs="Times New Roman"/>
          <w:sz w:val="24"/>
          <w:szCs w:val="24"/>
        </w:rPr>
        <w:t xml:space="preserve">portu morskiego </w:t>
      </w:r>
      <w:r w:rsidR="004F78F8" w:rsidRPr="00F66CE4">
        <w:rPr>
          <w:rFonts w:ascii="Times New Roman" w:hAnsi="Times New Roman" w:cs="Times New Roman"/>
          <w:sz w:val="24"/>
          <w:szCs w:val="24"/>
        </w:rPr>
        <w:t xml:space="preserve">w </w:t>
      </w:r>
      <w:r w:rsidRPr="00F66CE4">
        <w:rPr>
          <w:rFonts w:ascii="Times New Roman" w:hAnsi="Times New Roman" w:cs="Times New Roman"/>
          <w:sz w:val="24"/>
          <w:szCs w:val="24"/>
        </w:rPr>
        <w:t xml:space="preserve">Gdyni. Pozytywne skutki realizacji inwestycji będą odczuwalne w gospodarce Gdyni, </w:t>
      </w:r>
      <w:r w:rsidR="0055469E" w:rsidRPr="00F66CE4">
        <w:rPr>
          <w:rFonts w:ascii="Times New Roman" w:hAnsi="Times New Roman" w:cs="Times New Roman"/>
          <w:sz w:val="24"/>
          <w:szCs w:val="24"/>
        </w:rPr>
        <w:t xml:space="preserve">województwa pomorskiego </w:t>
      </w:r>
      <w:r w:rsidRPr="00F66CE4">
        <w:rPr>
          <w:rFonts w:ascii="Times New Roman" w:hAnsi="Times New Roman" w:cs="Times New Roman"/>
          <w:sz w:val="24"/>
          <w:szCs w:val="24"/>
        </w:rPr>
        <w:t>oraz Polski przez wzrost wskaźników makroekonomicznych. Korzyściami z inwestycji będzie rozwój sieci transportowej, zmniejszenie negatywnego oddziaływania na środowisko transportu towarowego</w:t>
      </w:r>
      <w:r w:rsidR="00371B16" w:rsidRPr="00F66CE4">
        <w:rPr>
          <w:rFonts w:ascii="Times New Roman" w:hAnsi="Times New Roman" w:cs="Times New Roman"/>
          <w:sz w:val="24"/>
          <w:szCs w:val="24"/>
        </w:rPr>
        <w:t xml:space="preserve"> oraz</w:t>
      </w:r>
      <w:r w:rsidRPr="00F66CE4">
        <w:rPr>
          <w:rFonts w:ascii="Times New Roman" w:hAnsi="Times New Roman" w:cs="Times New Roman"/>
          <w:sz w:val="24"/>
          <w:szCs w:val="24"/>
        </w:rPr>
        <w:t xml:space="preserve"> rozwój rynku pracy. W </w:t>
      </w:r>
      <w:r w:rsidR="00C21200" w:rsidRPr="00F66CE4">
        <w:rPr>
          <w:rFonts w:ascii="Times New Roman" w:hAnsi="Times New Roman" w:cs="Times New Roman"/>
          <w:sz w:val="24"/>
          <w:szCs w:val="24"/>
        </w:rPr>
        <w:t>p</w:t>
      </w:r>
      <w:r w:rsidRPr="00F66CE4">
        <w:rPr>
          <w:rFonts w:ascii="Times New Roman" w:hAnsi="Times New Roman" w:cs="Times New Roman"/>
          <w:sz w:val="24"/>
          <w:szCs w:val="24"/>
        </w:rPr>
        <w:t xml:space="preserve">orcie </w:t>
      </w:r>
      <w:r w:rsidR="00C21200" w:rsidRPr="00F66CE4">
        <w:rPr>
          <w:rFonts w:ascii="Times New Roman" w:hAnsi="Times New Roman" w:cs="Times New Roman"/>
          <w:sz w:val="24"/>
          <w:szCs w:val="24"/>
        </w:rPr>
        <w:t>z</w:t>
      </w:r>
      <w:r w:rsidRPr="00F66CE4">
        <w:rPr>
          <w:rFonts w:ascii="Times New Roman" w:hAnsi="Times New Roman" w:cs="Times New Roman"/>
          <w:sz w:val="24"/>
          <w:szCs w:val="24"/>
        </w:rPr>
        <w:t>ewnętrznym będzie możliwa efektywna obsługa kontenerowych statków oceanicznych o parametrach Baltmax, to znaczy o długości do 430 metrów (w dalszej perspektywie 490 metrów), szerokoś</w:t>
      </w:r>
      <w:r w:rsidR="00371B16" w:rsidRPr="00F66CE4">
        <w:rPr>
          <w:rFonts w:ascii="Times New Roman" w:hAnsi="Times New Roman" w:cs="Times New Roman"/>
          <w:sz w:val="24"/>
          <w:szCs w:val="24"/>
        </w:rPr>
        <w:t>ci</w:t>
      </w:r>
      <w:r w:rsidRPr="00F66CE4">
        <w:rPr>
          <w:rFonts w:ascii="Times New Roman" w:hAnsi="Times New Roman" w:cs="Times New Roman"/>
          <w:sz w:val="24"/>
          <w:szCs w:val="24"/>
        </w:rPr>
        <w:t xml:space="preserve"> do około 60 metrów (w dalszej perspektywie do około 70 metrów) oraz zanurzeniu do 15,5 metra. Poza obsługą kontenerów, na pirsie Portu Zewnętrznego możliwa będzie obsługa również innych grup ładunkowych, np. project cargo, elementów turbin wiatrowych, ładunków toczn</w:t>
      </w:r>
      <w:r w:rsidR="00371B16" w:rsidRPr="00F66CE4">
        <w:rPr>
          <w:rFonts w:ascii="Times New Roman" w:hAnsi="Times New Roman" w:cs="Times New Roman"/>
          <w:sz w:val="24"/>
          <w:szCs w:val="24"/>
        </w:rPr>
        <w:t>ych</w:t>
      </w:r>
      <w:r w:rsidRPr="00F66CE4">
        <w:rPr>
          <w:rFonts w:ascii="Times New Roman" w:hAnsi="Times New Roman" w:cs="Times New Roman"/>
          <w:sz w:val="24"/>
          <w:szCs w:val="24"/>
        </w:rPr>
        <w:t>, drobnicy konwencjonalnej.</w:t>
      </w:r>
    </w:p>
    <w:p w14:paraId="19AA922B" w14:textId="77777777" w:rsidR="00DA5C67" w:rsidRPr="00F66CE4" w:rsidRDefault="00D63FD0"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lastRenderedPageBreak/>
        <w:t xml:space="preserve">Należy podkreślić, że inwestycja przyczyni się do znaczącej poprawy bezpieczeństwa gospodarczego, militarnego oraz energetycznego. Inwestycja jest realizowana w ścisłym uzgodnieniu z jednostkami </w:t>
      </w:r>
      <w:r w:rsidR="0002490E" w:rsidRPr="00F66CE4">
        <w:rPr>
          <w:rFonts w:ascii="Times New Roman" w:hAnsi="Times New Roman" w:cs="Times New Roman"/>
          <w:sz w:val="24"/>
          <w:szCs w:val="24"/>
        </w:rPr>
        <w:t>podległymi i nadzorowanymi przez Ministerstwo Obrony Narodowej</w:t>
      </w:r>
      <w:r w:rsidRPr="00F66CE4">
        <w:rPr>
          <w:rFonts w:ascii="Times New Roman" w:hAnsi="Times New Roman" w:cs="Times New Roman"/>
          <w:sz w:val="24"/>
          <w:szCs w:val="24"/>
        </w:rPr>
        <w:t xml:space="preserve">. Szacowana wartość projektu wynosi ok. 5 mld zł. Inwestycja realizowana </w:t>
      </w:r>
      <w:r w:rsidR="00F773C7" w:rsidRPr="00F66CE4">
        <w:rPr>
          <w:rFonts w:ascii="Times New Roman" w:hAnsi="Times New Roman" w:cs="Times New Roman"/>
          <w:sz w:val="24"/>
          <w:szCs w:val="24"/>
        </w:rPr>
        <w:t xml:space="preserve">jest </w:t>
      </w:r>
      <w:r w:rsidRPr="00F66CE4">
        <w:rPr>
          <w:rFonts w:ascii="Times New Roman" w:hAnsi="Times New Roman" w:cs="Times New Roman"/>
          <w:sz w:val="24"/>
          <w:szCs w:val="24"/>
        </w:rPr>
        <w:t>w formule Partnerstwa Publiczno-Prywatnego.</w:t>
      </w:r>
    </w:p>
    <w:p w14:paraId="3FB6335E" w14:textId="77777777" w:rsidR="0013783A" w:rsidRPr="00F66CE4" w:rsidRDefault="0013783A"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Budowa infrastruktury stacyjno-przeładunkowej na Wyspie Portowej wraz z przeprawą kolejowo-drogową przez Martwą Wisłę oraz budowa odcinka nowej linii kolejowej wokół rafinerii i włączenie jej do istniejącej linii kolejowej nr 226 do stacji Gdańsk Olszynka</w:t>
      </w:r>
    </w:p>
    <w:p w14:paraId="4BDD7C62" w14:textId="14567D81" w:rsidR="00DA5C67" w:rsidRPr="00F66CE4" w:rsidRDefault="007B0CC4" w:rsidP="00406A62">
      <w:pPr>
        <w:spacing w:before="120" w:after="0" w:line="360" w:lineRule="auto"/>
        <w:jc w:val="both"/>
        <w:rPr>
          <w:rFonts w:ascii="Times New Roman" w:hAnsi="Times New Roman" w:cs="Times New Roman"/>
          <w:iCs/>
          <w:sz w:val="24"/>
          <w:szCs w:val="24"/>
        </w:rPr>
      </w:pPr>
      <w:r w:rsidRPr="00F66CE4">
        <w:rPr>
          <w:rFonts w:ascii="Times New Roman" w:hAnsi="Times New Roman" w:cs="Times New Roman"/>
          <w:iCs/>
          <w:sz w:val="24"/>
          <w:szCs w:val="24"/>
        </w:rPr>
        <w:t>Przedmiotowy p</w:t>
      </w:r>
      <w:r w:rsidR="00DA5C67" w:rsidRPr="00F66CE4">
        <w:rPr>
          <w:rFonts w:ascii="Times New Roman" w:hAnsi="Times New Roman" w:cs="Times New Roman"/>
          <w:iCs/>
          <w:sz w:val="24"/>
          <w:szCs w:val="24"/>
        </w:rPr>
        <w:t>rojekt inwestycyjny ma strategiczny charakter dla wzmocnienia gospodarki Polski przez zwiększenie potencjału logistycznego.</w:t>
      </w:r>
    </w:p>
    <w:p w14:paraId="0AF99046" w14:textId="77777777" w:rsidR="00B935D8" w:rsidRPr="00F66CE4" w:rsidRDefault="00DA5C67" w:rsidP="00406A62">
      <w:pPr>
        <w:spacing w:before="120" w:after="0" w:line="360" w:lineRule="auto"/>
        <w:jc w:val="both"/>
        <w:rPr>
          <w:rFonts w:ascii="Times New Roman" w:hAnsi="Times New Roman" w:cs="Times New Roman"/>
          <w:iCs/>
          <w:sz w:val="24"/>
          <w:szCs w:val="24"/>
        </w:rPr>
      </w:pPr>
      <w:r w:rsidRPr="00F66CE4">
        <w:rPr>
          <w:rFonts w:ascii="Times New Roman" w:hAnsi="Times New Roman" w:cs="Times New Roman"/>
          <w:iCs/>
          <w:sz w:val="24"/>
          <w:szCs w:val="24"/>
        </w:rPr>
        <w:t xml:space="preserve">Analiza, zaprojektowanie i budowa drugiej głównej magistrali kolejowej oraz drogowej łączącej głębokowodne terminale przeładunkowe </w:t>
      </w:r>
      <w:r w:rsidR="0002490E" w:rsidRPr="00F66CE4">
        <w:rPr>
          <w:rFonts w:ascii="Times New Roman" w:hAnsi="Times New Roman" w:cs="Times New Roman"/>
          <w:iCs/>
          <w:sz w:val="24"/>
          <w:szCs w:val="24"/>
        </w:rPr>
        <w:t xml:space="preserve">portu morskiego </w:t>
      </w:r>
      <w:r w:rsidR="004F78F8" w:rsidRPr="00F66CE4">
        <w:rPr>
          <w:rFonts w:ascii="Times New Roman" w:hAnsi="Times New Roman" w:cs="Times New Roman"/>
          <w:iCs/>
          <w:sz w:val="24"/>
          <w:szCs w:val="24"/>
        </w:rPr>
        <w:t xml:space="preserve">w </w:t>
      </w:r>
      <w:r w:rsidRPr="00F66CE4">
        <w:rPr>
          <w:rFonts w:ascii="Times New Roman" w:hAnsi="Times New Roman" w:cs="Times New Roman"/>
          <w:iCs/>
          <w:sz w:val="24"/>
          <w:szCs w:val="24"/>
        </w:rPr>
        <w:t>Gdańsk</w:t>
      </w:r>
      <w:r w:rsidR="004F78F8" w:rsidRPr="00F66CE4">
        <w:rPr>
          <w:rFonts w:ascii="Times New Roman" w:hAnsi="Times New Roman" w:cs="Times New Roman"/>
          <w:iCs/>
          <w:sz w:val="24"/>
          <w:szCs w:val="24"/>
        </w:rPr>
        <w:t>u</w:t>
      </w:r>
      <w:r w:rsidRPr="00F66CE4">
        <w:rPr>
          <w:rFonts w:ascii="Times New Roman" w:hAnsi="Times New Roman" w:cs="Times New Roman"/>
          <w:iCs/>
          <w:sz w:val="24"/>
          <w:szCs w:val="24"/>
        </w:rPr>
        <w:t xml:space="preserve"> z głównymi szlakami logistycznymi kraju i Europy, znacząco odciąży istniejący układ komunikacyjny, podniesie poziom bezpieczeństwa obsługiwanych ładunków strategicznych, pozwoli na wykorzystanie stale rosnącego potencjału terminali głębokowodnych, w tym – kontenerowych. Pozwoli także na skuteczniejsze zarządzanie potokami ładunków ruchu kolejowego i drogowego, np. w sytuacjach kryzysowych, spiętrzeniach przewozów i sprostaniu wymogom rosnących wolumenów ładunków obsługiwanych w </w:t>
      </w:r>
      <w:r w:rsidR="0002490E" w:rsidRPr="00F66CE4">
        <w:rPr>
          <w:rFonts w:ascii="Times New Roman" w:hAnsi="Times New Roman" w:cs="Times New Roman"/>
          <w:iCs/>
          <w:sz w:val="24"/>
          <w:szCs w:val="24"/>
        </w:rPr>
        <w:t xml:space="preserve">porcie morskim </w:t>
      </w:r>
      <w:r w:rsidR="004F78F8" w:rsidRPr="00F66CE4">
        <w:rPr>
          <w:rFonts w:ascii="Times New Roman" w:hAnsi="Times New Roman" w:cs="Times New Roman"/>
          <w:iCs/>
          <w:sz w:val="24"/>
          <w:szCs w:val="24"/>
        </w:rPr>
        <w:t xml:space="preserve">w </w:t>
      </w:r>
      <w:r w:rsidRPr="00F66CE4">
        <w:rPr>
          <w:rFonts w:ascii="Times New Roman" w:hAnsi="Times New Roman" w:cs="Times New Roman"/>
          <w:iCs/>
          <w:sz w:val="24"/>
          <w:szCs w:val="24"/>
        </w:rPr>
        <w:t>Gdańsk</w:t>
      </w:r>
      <w:r w:rsidR="004F78F8" w:rsidRPr="00F66CE4">
        <w:rPr>
          <w:rFonts w:ascii="Times New Roman" w:hAnsi="Times New Roman" w:cs="Times New Roman"/>
          <w:iCs/>
          <w:sz w:val="24"/>
          <w:szCs w:val="24"/>
        </w:rPr>
        <w:t>u</w:t>
      </w:r>
      <w:r w:rsidRPr="00F66CE4">
        <w:rPr>
          <w:rFonts w:ascii="Times New Roman" w:hAnsi="Times New Roman" w:cs="Times New Roman"/>
          <w:iCs/>
          <w:sz w:val="24"/>
          <w:szCs w:val="24"/>
        </w:rPr>
        <w:t>.</w:t>
      </w:r>
    </w:p>
    <w:p w14:paraId="23208AA6" w14:textId="77777777" w:rsidR="009D000E" w:rsidRPr="00F66CE4" w:rsidRDefault="009D000E" w:rsidP="00406A62">
      <w:pPr>
        <w:pStyle w:val="Akapitzlist"/>
        <w:numPr>
          <w:ilvl w:val="0"/>
          <w:numId w:val="33"/>
        </w:numPr>
        <w:spacing w:before="120" w:after="0" w:line="360" w:lineRule="auto"/>
        <w:ind w:left="284" w:hanging="284"/>
        <w:jc w:val="both"/>
        <w:rPr>
          <w:rFonts w:ascii="Times New Roman" w:hAnsi="Times New Roman" w:cs="Times New Roman"/>
          <w:b/>
          <w:sz w:val="24"/>
          <w:szCs w:val="24"/>
          <w:u w:val="single"/>
        </w:rPr>
      </w:pPr>
      <w:r w:rsidRPr="00F66CE4">
        <w:rPr>
          <w:rFonts w:ascii="Times New Roman" w:hAnsi="Times New Roman" w:cs="Times New Roman"/>
          <w:b/>
          <w:sz w:val="24"/>
          <w:szCs w:val="24"/>
          <w:u w:val="single"/>
        </w:rPr>
        <w:t>Kluczowe inwestycje z zakresu transportu kolejowego realizowane na liniach kolejowych</w:t>
      </w:r>
    </w:p>
    <w:p w14:paraId="3273C524" w14:textId="77777777" w:rsidR="00FB3CF6" w:rsidRPr="00F66CE4" w:rsidRDefault="00FB3CF6"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Modernizacja linii kolejowych:</w:t>
      </w:r>
    </w:p>
    <w:p w14:paraId="1E5ED0D2" w14:textId="0F688F0C" w:rsidR="000C1EA7" w:rsidRPr="00F66CE4" w:rsidRDefault="00D74A7A" w:rsidP="00406A62">
      <w:pPr>
        <w:pStyle w:val="Akapitzlist"/>
        <w:numPr>
          <w:ilvl w:val="0"/>
          <w:numId w:val="35"/>
        </w:num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nr 401 </w:t>
      </w:r>
      <w:r w:rsidR="009D000E" w:rsidRPr="00F66CE4">
        <w:rPr>
          <w:rFonts w:ascii="Times New Roman" w:hAnsi="Times New Roman" w:cs="Times New Roman"/>
          <w:b/>
          <w:sz w:val="24"/>
          <w:szCs w:val="24"/>
        </w:rPr>
        <w:t xml:space="preserve">Szczecin </w:t>
      </w:r>
      <w:r w:rsidR="002E6528" w:rsidRPr="00F66CE4">
        <w:rPr>
          <w:rFonts w:ascii="Times New Roman" w:hAnsi="Times New Roman" w:cs="Times New Roman"/>
          <w:b/>
          <w:sz w:val="24"/>
          <w:szCs w:val="24"/>
        </w:rPr>
        <w:t xml:space="preserve">– </w:t>
      </w:r>
      <w:r w:rsidR="009D000E" w:rsidRPr="00F66CE4">
        <w:rPr>
          <w:rFonts w:ascii="Times New Roman" w:hAnsi="Times New Roman" w:cs="Times New Roman"/>
          <w:b/>
          <w:sz w:val="24"/>
          <w:szCs w:val="24"/>
        </w:rPr>
        <w:t>Świnoujście,</w:t>
      </w:r>
    </w:p>
    <w:p w14:paraId="367DBA7E" w14:textId="39446B1E" w:rsidR="000C1EA7" w:rsidRPr="00F66CE4" w:rsidRDefault="00D74A7A" w:rsidP="00406A62">
      <w:pPr>
        <w:pStyle w:val="Akapitzlist"/>
        <w:numPr>
          <w:ilvl w:val="0"/>
          <w:numId w:val="35"/>
        </w:num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nr 273 </w:t>
      </w:r>
      <w:r w:rsidR="009D000E" w:rsidRPr="00F66CE4">
        <w:rPr>
          <w:rFonts w:ascii="Times New Roman" w:hAnsi="Times New Roman" w:cs="Times New Roman"/>
          <w:b/>
          <w:sz w:val="24"/>
          <w:szCs w:val="24"/>
        </w:rPr>
        <w:t xml:space="preserve">Wrocław </w:t>
      </w:r>
      <w:r w:rsidR="002E6528" w:rsidRPr="00F66CE4">
        <w:rPr>
          <w:rFonts w:ascii="Times New Roman" w:hAnsi="Times New Roman" w:cs="Times New Roman"/>
          <w:b/>
          <w:sz w:val="24"/>
          <w:szCs w:val="24"/>
        </w:rPr>
        <w:t xml:space="preserve">– </w:t>
      </w:r>
      <w:r w:rsidR="009D000E" w:rsidRPr="00F66CE4">
        <w:rPr>
          <w:rFonts w:ascii="Times New Roman" w:hAnsi="Times New Roman" w:cs="Times New Roman"/>
          <w:b/>
          <w:sz w:val="24"/>
          <w:szCs w:val="24"/>
        </w:rPr>
        <w:t>Szczecin,</w:t>
      </w:r>
    </w:p>
    <w:p w14:paraId="10684214" w14:textId="48E864E5" w:rsidR="000C1EA7" w:rsidRPr="00F66CE4" w:rsidRDefault="00D74A7A" w:rsidP="00406A62">
      <w:pPr>
        <w:pStyle w:val="Akapitzlist"/>
        <w:numPr>
          <w:ilvl w:val="0"/>
          <w:numId w:val="35"/>
        </w:num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nr 131 </w:t>
      </w:r>
      <w:r w:rsidR="009D000E" w:rsidRPr="00F66CE4">
        <w:rPr>
          <w:rFonts w:ascii="Times New Roman" w:hAnsi="Times New Roman" w:cs="Times New Roman"/>
          <w:b/>
          <w:sz w:val="24"/>
          <w:szCs w:val="24"/>
        </w:rPr>
        <w:t xml:space="preserve">Chorzów Batory </w:t>
      </w:r>
      <w:r w:rsidR="002E6528" w:rsidRPr="00F66CE4">
        <w:rPr>
          <w:rFonts w:ascii="Times New Roman" w:hAnsi="Times New Roman" w:cs="Times New Roman"/>
          <w:b/>
          <w:sz w:val="24"/>
          <w:szCs w:val="24"/>
        </w:rPr>
        <w:t xml:space="preserve">– </w:t>
      </w:r>
      <w:r w:rsidR="009D000E" w:rsidRPr="00F66CE4">
        <w:rPr>
          <w:rFonts w:ascii="Times New Roman" w:hAnsi="Times New Roman" w:cs="Times New Roman"/>
          <w:b/>
          <w:sz w:val="24"/>
          <w:szCs w:val="24"/>
        </w:rPr>
        <w:t>Tczew,</w:t>
      </w:r>
    </w:p>
    <w:p w14:paraId="0ABBA5A0" w14:textId="16738268" w:rsidR="006E47D4" w:rsidRPr="00F66CE4" w:rsidRDefault="00D74A7A" w:rsidP="00406A62">
      <w:pPr>
        <w:pStyle w:val="Akapitzlist"/>
        <w:numPr>
          <w:ilvl w:val="0"/>
          <w:numId w:val="35"/>
        </w:num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nr 9 </w:t>
      </w:r>
      <w:r w:rsidR="009D000E" w:rsidRPr="00F66CE4">
        <w:rPr>
          <w:rFonts w:ascii="Times New Roman" w:hAnsi="Times New Roman" w:cs="Times New Roman"/>
          <w:b/>
          <w:sz w:val="24"/>
          <w:szCs w:val="24"/>
        </w:rPr>
        <w:t xml:space="preserve">Warszawa </w:t>
      </w:r>
      <w:r w:rsidR="002E6528" w:rsidRPr="00F66CE4">
        <w:rPr>
          <w:rFonts w:ascii="Times New Roman" w:hAnsi="Times New Roman" w:cs="Times New Roman"/>
          <w:b/>
          <w:sz w:val="24"/>
          <w:szCs w:val="24"/>
        </w:rPr>
        <w:t xml:space="preserve">– </w:t>
      </w:r>
      <w:r w:rsidR="009D000E" w:rsidRPr="00F66CE4">
        <w:rPr>
          <w:rFonts w:ascii="Times New Roman" w:hAnsi="Times New Roman" w:cs="Times New Roman"/>
          <w:b/>
          <w:sz w:val="24"/>
          <w:szCs w:val="24"/>
        </w:rPr>
        <w:t>Gdańsk</w:t>
      </w:r>
      <w:r w:rsidR="006E47D4" w:rsidRPr="00F66CE4">
        <w:rPr>
          <w:rFonts w:ascii="Times New Roman" w:hAnsi="Times New Roman" w:cs="Times New Roman"/>
          <w:b/>
          <w:sz w:val="24"/>
          <w:szCs w:val="24"/>
        </w:rPr>
        <w:t>,</w:t>
      </w:r>
    </w:p>
    <w:p w14:paraId="5BCDB2FB" w14:textId="685E81C2" w:rsidR="000C1EA7" w:rsidRPr="00F66CE4" w:rsidRDefault="00D74A7A" w:rsidP="00406A62">
      <w:pPr>
        <w:pStyle w:val="Akapitzlist"/>
        <w:numPr>
          <w:ilvl w:val="0"/>
          <w:numId w:val="35"/>
        </w:num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nr 201 </w:t>
      </w:r>
      <w:r w:rsidR="006E47D4" w:rsidRPr="00F66CE4">
        <w:rPr>
          <w:rFonts w:ascii="Times New Roman" w:hAnsi="Times New Roman" w:cs="Times New Roman"/>
          <w:b/>
          <w:sz w:val="24"/>
          <w:szCs w:val="24"/>
        </w:rPr>
        <w:t xml:space="preserve">Nowa Wieś Wielka </w:t>
      </w:r>
      <w:r w:rsidR="00E8465A" w:rsidRPr="00F66CE4">
        <w:rPr>
          <w:rFonts w:ascii="Times New Roman" w:hAnsi="Times New Roman" w:cs="Times New Roman"/>
          <w:b/>
          <w:sz w:val="24"/>
          <w:szCs w:val="24"/>
        </w:rPr>
        <w:t xml:space="preserve">– </w:t>
      </w:r>
      <w:r w:rsidR="006E47D4" w:rsidRPr="00F66CE4">
        <w:rPr>
          <w:rFonts w:ascii="Times New Roman" w:hAnsi="Times New Roman" w:cs="Times New Roman"/>
          <w:b/>
          <w:sz w:val="24"/>
          <w:szCs w:val="24"/>
        </w:rPr>
        <w:t>Gdynia.</w:t>
      </w:r>
    </w:p>
    <w:p w14:paraId="7D582870" w14:textId="77777777" w:rsidR="0014012B" w:rsidRPr="00F66CE4" w:rsidRDefault="0014012B"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Inwestycje z zakresu transportu kolejowego określone w art. 2 pkt </w:t>
      </w:r>
      <w:r w:rsidR="001A537C" w:rsidRPr="00F66CE4">
        <w:rPr>
          <w:rFonts w:ascii="Times New Roman" w:hAnsi="Times New Roman" w:cs="Times New Roman"/>
          <w:sz w:val="24"/>
          <w:szCs w:val="24"/>
        </w:rPr>
        <w:t>3</w:t>
      </w:r>
      <w:r w:rsidR="005820A6" w:rsidRPr="00F66CE4">
        <w:rPr>
          <w:rFonts w:ascii="Times New Roman" w:hAnsi="Times New Roman" w:cs="Times New Roman"/>
          <w:sz w:val="24"/>
          <w:szCs w:val="24"/>
        </w:rPr>
        <w:t xml:space="preserve"> projektu ustawy</w:t>
      </w:r>
      <w:r w:rsidRPr="00F66CE4">
        <w:rPr>
          <w:rFonts w:ascii="Times New Roman" w:hAnsi="Times New Roman" w:cs="Times New Roman"/>
          <w:sz w:val="24"/>
          <w:szCs w:val="24"/>
        </w:rPr>
        <w:t xml:space="preserve"> dotyczą inwestycji realizowanych na liniach kolejowych należących do </w:t>
      </w:r>
      <w:r w:rsidR="006470FD" w:rsidRPr="00F66CE4">
        <w:rPr>
          <w:rFonts w:ascii="Times New Roman" w:hAnsi="Times New Roman" w:cs="Times New Roman"/>
          <w:sz w:val="24"/>
          <w:szCs w:val="24"/>
        </w:rPr>
        <w:t xml:space="preserve">Transeuropejskiej </w:t>
      </w:r>
      <w:r w:rsidRPr="00F66CE4">
        <w:rPr>
          <w:rFonts w:ascii="Times New Roman" w:hAnsi="Times New Roman" w:cs="Times New Roman"/>
          <w:sz w:val="24"/>
          <w:szCs w:val="24"/>
        </w:rPr>
        <w:t xml:space="preserve">sieci </w:t>
      </w:r>
      <w:r w:rsidR="006470FD" w:rsidRPr="00F66CE4">
        <w:rPr>
          <w:rFonts w:ascii="Times New Roman" w:hAnsi="Times New Roman" w:cs="Times New Roman"/>
          <w:sz w:val="24"/>
          <w:szCs w:val="24"/>
        </w:rPr>
        <w:t>transportowej (</w:t>
      </w:r>
      <w:r w:rsidRPr="00F66CE4">
        <w:rPr>
          <w:rFonts w:ascii="Times New Roman" w:hAnsi="Times New Roman" w:cs="Times New Roman"/>
          <w:sz w:val="24"/>
          <w:szCs w:val="24"/>
        </w:rPr>
        <w:t>TEN-T</w:t>
      </w:r>
      <w:r w:rsidR="006470FD" w:rsidRPr="00F66CE4">
        <w:rPr>
          <w:rFonts w:ascii="Times New Roman" w:hAnsi="Times New Roman" w:cs="Times New Roman"/>
          <w:sz w:val="24"/>
          <w:szCs w:val="24"/>
        </w:rPr>
        <w:t>)</w:t>
      </w:r>
      <w:r w:rsidR="0055469E" w:rsidRPr="00F66CE4">
        <w:rPr>
          <w:rFonts w:ascii="Times New Roman" w:hAnsi="Times New Roman" w:cs="Times New Roman"/>
          <w:sz w:val="24"/>
          <w:szCs w:val="24"/>
        </w:rPr>
        <w:t xml:space="preserve">. Poprawa </w:t>
      </w:r>
      <w:r w:rsidRPr="00F66CE4">
        <w:rPr>
          <w:rFonts w:ascii="Times New Roman" w:hAnsi="Times New Roman" w:cs="Times New Roman"/>
          <w:sz w:val="24"/>
          <w:szCs w:val="24"/>
        </w:rPr>
        <w:t xml:space="preserve">stanu technicznego tych linii kolejowych w celu osiągnięcia odpowiednich parametrów jest wymagana rozporządzeniem Parlamentu Europejskiego </w:t>
      </w:r>
      <w:r w:rsidR="006215C4" w:rsidRPr="00F66CE4">
        <w:rPr>
          <w:rFonts w:ascii="Times New Roman" w:hAnsi="Times New Roman" w:cs="Times New Roman"/>
          <w:sz w:val="24"/>
          <w:szCs w:val="24"/>
        </w:rPr>
        <w:t>i</w:t>
      </w:r>
      <w:r w:rsidRPr="00F66CE4">
        <w:rPr>
          <w:rFonts w:ascii="Times New Roman" w:hAnsi="Times New Roman" w:cs="Times New Roman"/>
          <w:sz w:val="24"/>
          <w:szCs w:val="24"/>
        </w:rPr>
        <w:t xml:space="preserve"> Rady (UE) 2024/1679 z dnia 13 czerwca 2024 r. w sprawie unijnych wytycznych dotyczących </w:t>
      </w:r>
      <w:r w:rsidRPr="00F66CE4">
        <w:rPr>
          <w:rFonts w:ascii="Times New Roman" w:hAnsi="Times New Roman" w:cs="Times New Roman"/>
          <w:sz w:val="24"/>
          <w:szCs w:val="24"/>
        </w:rPr>
        <w:lastRenderedPageBreak/>
        <w:t xml:space="preserve">rozwoju transeuropejskiej sieci transportowej, </w:t>
      </w:r>
      <w:r w:rsidR="0055469E" w:rsidRPr="00F66CE4">
        <w:rPr>
          <w:rFonts w:ascii="Times New Roman" w:hAnsi="Times New Roman" w:cs="Times New Roman"/>
          <w:sz w:val="24"/>
          <w:szCs w:val="24"/>
        </w:rPr>
        <w:t xml:space="preserve">zmieniającym </w:t>
      </w:r>
      <w:r w:rsidRPr="00F66CE4">
        <w:rPr>
          <w:rFonts w:ascii="Times New Roman" w:hAnsi="Times New Roman" w:cs="Times New Roman"/>
          <w:sz w:val="24"/>
          <w:szCs w:val="24"/>
        </w:rPr>
        <w:t>rozporządzenia (UE) 2021/1153 i (UE) nr 913/2010 oraz uchylając</w:t>
      </w:r>
      <w:r w:rsidR="002E6528" w:rsidRPr="00F66CE4">
        <w:rPr>
          <w:rFonts w:ascii="Times New Roman" w:hAnsi="Times New Roman" w:cs="Times New Roman"/>
          <w:sz w:val="24"/>
          <w:szCs w:val="24"/>
        </w:rPr>
        <w:t>ym</w:t>
      </w:r>
      <w:r w:rsidRPr="00F66CE4">
        <w:rPr>
          <w:rFonts w:ascii="Times New Roman" w:hAnsi="Times New Roman" w:cs="Times New Roman"/>
          <w:sz w:val="24"/>
          <w:szCs w:val="24"/>
        </w:rPr>
        <w:t xml:space="preserve"> rozporządzenie (UE) nr 1315/2013</w:t>
      </w:r>
      <w:r w:rsidR="00394098" w:rsidRPr="00F66CE4">
        <w:rPr>
          <w:rFonts w:ascii="Times New Roman" w:hAnsi="Times New Roman" w:cs="Times New Roman"/>
          <w:sz w:val="24"/>
          <w:szCs w:val="24"/>
        </w:rPr>
        <w:t xml:space="preserve"> (Dz. Urz. UE L </w:t>
      </w:r>
      <w:r w:rsidR="009F62C5" w:rsidRPr="00F66CE4">
        <w:rPr>
          <w:rFonts w:ascii="Times New Roman" w:hAnsi="Times New Roman" w:cs="Times New Roman"/>
          <w:sz w:val="24"/>
          <w:szCs w:val="24"/>
        </w:rPr>
        <w:t>2024/1679 z 28.06.2024</w:t>
      </w:r>
      <w:r w:rsidR="00E8465A" w:rsidRPr="00F66CE4">
        <w:rPr>
          <w:rFonts w:ascii="Times New Roman" w:hAnsi="Times New Roman" w:cs="Times New Roman"/>
          <w:sz w:val="24"/>
          <w:szCs w:val="24"/>
        </w:rPr>
        <w:t>, z późn. zm.</w:t>
      </w:r>
      <w:r w:rsidR="009F62C5" w:rsidRPr="00F66CE4">
        <w:rPr>
          <w:rFonts w:ascii="Times New Roman" w:hAnsi="Times New Roman" w:cs="Times New Roman"/>
          <w:sz w:val="24"/>
          <w:szCs w:val="24"/>
        </w:rPr>
        <w:t>)</w:t>
      </w:r>
      <w:r w:rsidRPr="00F66CE4">
        <w:rPr>
          <w:rFonts w:ascii="Times New Roman" w:hAnsi="Times New Roman" w:cs="Times New Roman"/>
          <w:sz w:val="24"/>
          <w:szCs w:val="24"/>
        </w:rPr>
        <w:t>.</w:t>
      </w:r>
    </w:p>
    <w:p w14:paraId="3A14480D" w14:textId="5519686C" w:rsidR="0014012B" w:rsidRPr="00F66CE4" w:rsidRDefault="0014012B"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Ponadto należy podkreślić, że inwestycje, o których mowa w art. 2 pkt </w:t>
      </w:r>
      <w:r w:rsidR="001A537C" w:rsidRPr="00F66CE4">
        <w:rPr>
          <w:rFonts w:ascii="Times New Roman" w:hAnsi="Times New Roman" w:cs="Times New Roman"/>
          <w:sz w:val="24"/>
          <w:szCs w:val="24"/>
        </w:rPr>
        <w:t>3</w:t>
      </w:r>
      <w:r w:rsidR="005820A6" w:rsidRPr="00F66CE4">
        <w:rPr>
          <w:rFonts w:ascii="Times New Roman" w:hAnsi="Times New Roman" w:cs="Times New Roman"/>
          <w:sz w:val="24"/>
          <w:szCs w:val="24"/>
        </w:rPr>
        <w:t xml:space="preserve"> projektu ustawy</w:t>
      </w:r>
      <w:r w:rsidR="00D85C6B" w:rsidRPr="00F66CE4">
        <w:rPr>
          <w:rFonts w:ascii="Times New Roman" w:hAnsi="Times New Roman" w:cs="Times New Roman"/>
          <w:sz w:val="24"/>
          <w:szCs w:val="24"/>
        </w:rPr>
        <w:t>,</w:t>
      </w:r>
      <w:r w:rsidRPr="00F66CE4">
        <w:rPr>
          <w:rFonts w:ascii="Times New Roman" w:hAnsi="Times New Roman" w:cs="Times New Roman"/>
          <w:sz w:val="24"/>
          <w:szCs w:val="24"/>
        </w:rPr>
        <w:t xml:space="preserve"> znajdują się na kolejowych ciągach transportowych w Polsce mających kluczowe znaczenie dla ruchu towarowego i pasażerskiego.</w:t>
      </w:r>
    </w:p>
    <w:p w14:paraId="371CDBD6" w14:textId="77777777" w:rsidR="002273FF" w:rsidRPr="00F66CE4" w:rsidRDefault="0014012B"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Inwestycje kluczowe w zakresie transportu kolejowego zostały przedstawione w zakresie ciągów komunikacyjnych w celu jak najszerszego zastosowania ustawy, co nie powinno generować w przyszłości kolejnych zmian w tym obszarze.</w:t>
      </w:r>
    </w:p>
    <w:p w14:paraId="692A74A9" w14:textId="77777777" w:rsidR="006E47D4" w:rsidRPr="00F66CE4" w:rsidRDefault="006E47D4"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Pon</w:t>
      </w:r>
      <w:r w:rsidR="008619F0" w:rsidRPr="00F66CE4">
        <w:rPr>
          <w:rFonts w:ascii="Times New Roman" w:hAnsi="Times New Roman" w:cs="Times New Roman"/>
          <w:sz w:val="24"/>
          <w:szCs w:val="24"/>
        </w:rPr>
        <w:t xml:space="preserve">adto należy wskazać, że </w:t>
      </w:r>
      <w:r w:rsidRPr="00F66CE4">
        <w:rPr>
          <w:rFonts w:ascii="Times New Roman" w:hAnsi="Times New Roman" w:cs="Times New Roman"/>
          <w:sz w:val="24"/>
          <w:szCs w:val="24"/>
        </w:rPr>
        <w:t>uwzględni</w:t>
      </w:r>
      <w:r w:rsidR="008619F0" w:rsidRPr="00F66CE4">
        <w:rPr>
          <w:rFonts w:ascii="Times New Roman" w:hAnsi="Times New Roman" w:cs="Times New Roman"/>
          <w:sz w:val="24"/>
          <w:szCs w:val="24"/>
        </w:rPr>
        <w:t>e</w:t>
      </w:r>
      <w:r w:rsidRPr="00F66CE4">
        <w:rPr>
          <w:rFonts w:ascii="Times New Roman" w:hAnsi="Times New Roman" w:cs="Times New Roman"/>
          <w:sz w:val="24"/>
          <w:szCs w:val="24"/>
        </w:rPr>
        <w:t>n</w:t>
      </w:r>
      <w:r w:rsidR="008619F0" w:rsidRPr="00F66CE4">
        <w:rPr>
          <w:rFonts w:ascii="Times New Roman" w:hAnsi="Times New Roman" w:cs="Times New Roman"/>
          <w:sz w:val="24"/>
          <w:szCs w:val="24"/>
        </w:rPr>
        <w:t>ie</w:t>
      </w:r>
      <w:r w:rsidRPr="00F66CE4">
        <w:rPr>
          <w:rFonts w:ascii="Times New Roman" w:hAnsi="Times New Roman" w:cs="Times New Roman"/>
          <w:sz w:val="24"/>
          <w:szCs w:val="24"/>
        </w:rPr>
        <w:t xml:space="preserve"> w proje</w:t>
      </w:r>
      <w:r w:rsidR="008619F0" w:rsidRPr="00F66CE4">
        <w:rPr>
          <w:rFonts w:ascii="Times New Roman" w:hAnsi="Times New Roman" w:cs="Times New Roman"/>
          <w:sz w:val="24"/>
          <w:szCs w:val="24"/>
        </w:rPr>
        <w:t>k</w:t>
      </w:r>
      <w:r w:rsidRPr="00F66CE4">
        <w:rPr>
          <w:rFonts w:ascii="Times New Roman" w:hAnsi="Times New Roman" w:cs="Times New Roman"/>
          <w:sz w:val="24"/>
          <w:szCs w:val="24"/>
        </w:rPr>
        <w:t xml:space="preserve">cie ustawy </w:t>
      </w:r>
      <w:r w:rsidR="008619F0" w:rsidRPr="00F66CE4">
        <w:rPr>
          <w:rFonts w:ascii="Times New Roman" w:hAnsi="Times New Roman" w:cs="Times New Roman"/>
          <w:sz w:val="24"/>
          <w:szCs w:val="24"/>
        </w:rPr>
        <w:t>linii kolejowej nr 201 jest</w:t>
      </w:r>
      <w:r w:rsidRPr="00F66CE4">
        <w:rPr>
          <w:rFonts w:ascii="Times New Roman" w:hAnsi="Times New Roman" w:cs="Times New Roman"/>
          <w:sz w:val="24"/>
          <w:szCs w:val="24"/>
        </w:rPr>
        <w:t xml:space="preserve"> w pełni uzasadnione z gospodarczego punktu widzenia, w związku z inwestycjami w portach </w:t>
      </w:r>
      <w:r w:rsidR="00541E36" w:rsidRPr="00F66CE4">
        <w:rPr>
          <w:rFonts w:ascii="Times New Roman" w:hAnsi="Times New Roman" w:cs="Times New Roman"/>
          <w:sz w:val="24"/>
          <w:szCs w:val="24"/>
        </w:rPr>
        <w:t xml:space="preserve">morskich </w:t>
      </w:r>
      <w:r w:rsidRPr="00F66CE4">
        <w:rPr>
          <w:rFonts w:ascii="Times New Roman" w:hAnsi="Times New Roman" w:cs="Times New Roman"/>
          <w:sz w:val="24"/>
          <w:szCs w:val="24"/>
        </w:rPr>
        <w:t>w Gdyni i Gdańsku, których celem jest zwiększenie ich potencjału przeładunkowego</w:t>
      </w:r>
      <w:r w:rsidR="008619F0" w:rsidRPr="00F66CE4">
        <w:rPr>
          <w:rFonts w:ascii="Times New Roman" w:hAnsi="Times New Roman" w:cs="Times New Roman"/>
          <w:sz w:val="24"/>
          <w:szCs w:val="24"/>
        </w:rPr>
        <w:t xml:space="preserve">. Powyższe </w:t>
      </w:r>
      <w:r w:rsidRPr="00F66CE4">
        <w:rPr>
          <w:rFonts w:ascii="Times New Roman" w:hAnsi="Times New Roman" w:cs="Times New Roman"/>
          <w:sz w:val="24"/>
          <w:szCs w:val="24"/>
        </w:rPr>
        <w:t>umożliwi odciążenie obecnie eksploatowanych l</w:t>
      </w:r>
      <w:r w:rsidR="008619F0" w:rsidRPr="00F66CE4">
        <w:rPr>
          <w:rFonts w:ascii="Times New Roman" w:hAnsi="Times New Roman" w:cs="Times New Roman"/>
          <w:sz w:val="24"/>
          <w:szCs w:val="24"/>
        </w:rPr>
        <w:t>inii kolejowych</w:t>
      </w:r>
      <w:r w:rsidRPr="00F66CE4">
        <w:rPr>
          <w:rFonts w:ascii="Times New Roman" w:hAnsi="Times New Roman" w:cs="Times New Roman"/>
          <w:sz w:val="24"/>
          <w:szCs w:val="24"/>
        </w:rPr>
        <w:t xml:space="preserve"> oraz przyjęcie prognozowanego wzrostu przewozów z i do portów.</w:t>
      </w:r>
      <w:r w:rsidR="008619F0" w:rsidRPr="00F66CE4">
        <w:rPr>
          <w:rFonts w:ascii="Times New Roman" w:hAnsi="Times New Roman" w:cs="Times New Roman"/>
          <w:sz w:val="24"/>
          <w:szCs w:val="24"/>
        </w:rPr>
        <w:t xml:space="preserve"> Jednocześnie</w:t>
      </w:r>
      <w:r w:rsidR="004F78F8" w:rsidRPr="00F66CE4">
        <w:rPr>
          <w:rFonts w:ascii="Times New Roman" w:hAnsi="Times New Roman" w:cs="Times New Roman"/>
          <w:sz w:val="24"/>
          <w:szCs w:val="24"/>
        </w:rPr>
        <w:t xml:space="preserve"> </w:t>
      </w:r>
      <w:r w:rsidR="008619F0" w:rsidRPr="00F66CE4">
        <w:rPr>
          <w:rFonts w:ascii="Times New Roman" w:hAnsi="Times New Roman" w:cs="Times New Roman"/>
          <w:sz w:val="24"/>
          <w:szCs w:val="24"/>
        </w:rPr>
        <w:t xml:space="preserve">modernizacja </w:t>
      </w:r>
      <w:r w:rsidRPr="00F66CE4">
        <w:rPr>
          <w:rFonts w:ascii="Times New Roman" w:hAnsi="Times New Roman" w:cs="Times New Roman"/>
          <w:sz w:val="24"/>
          <w:szCs w:val="24"/>
        </w:rPr>
        <w:t>tej l</w:t>
      </w:r>
      <w:r w:rsidR="008619F0" w:rsidRPr="00F66CE4">
        <w:rPr>
          <w:rFonts w:ascii="Times New Roman" w:hAnsi="Times New Roman" w:cs="Times New Roman"/>
          <w:sz w:val="24"/>
          <w:szCs w:val="24"/>
        </w:rPr>
        <w:t>inii</w:t>
      </w:r>
      <w:r w:rsidRPr="00F66CE4">
        <w:rPr>
          <w:rFonts w:ascii="Times New Roman" w:hAnsi="Times New Roman" w:cs="Times New Roman"/>
          <w:sz w:val="24"/>
          <w:szCs w:val="24"/>
        </w:rPr>
        <w:t xml:space="preserve"> znacząc</w:t>
      </w:r>
      <w:r w:rsidR="008619F0" w:rsidRPr="00F66CE4">
        <w:rPr>
          <w:rFonts w:ascii="Times New Roman" w:hAnsi="Times New Roman" w:cs="Times New Roman"/>
          <w:sz w:val="24"/>
          <w:szCs w:val="24"/>
        </w:rPr>
        <w:t>o</w:t>
      </w:r>
      <w:r w:rsidRPr="00F66CE4">
        <w:rPr>
          <w:rFonts w:ascii="Times New Roman" w:hAnsi="Times New Roman" w:cs="Times New Roman"/>
          <w:sz w:val="24"/>
          <w:szCs w:val="24"/>
        </w:rPr>
        <w:t xml:space="preserve"> zwiększ</w:t>
      </w:r>
      <w:r w:rsidR="008619F0" w:rsidRPr="00F66CE4">
        <w:rPr>
          <w:rFonts w:ascii="Times New Roman" w:hAnsi="Times New Roman" w:cs="Times New Roman"/>
          <w:sz w:val="24"/>
          <w:szCs w:val="24"/>
        </w:rPr>
        <w:t>y</w:t>
      </w:r>
      <w:r w:rsidRPr="00F66CE4">
        <w:rPr>
          <w:rFonts w:ascii="Times New Roman" w:hAnsi="Times New Roman" w:cs="Times New Roman"/>
          <w:sz w:val="24"/>
          <w:szCs w:val="24"/>
        </w:rPr>
        <w:t xml:space="preserve"> poziom bezpieczeństwa i obronności oraz odporności.</w:t>
      </w:r>
    </w:p>
    <w:p w14:paraId="1CCA6205" w14:textId="6B86152F" w:rsidR="009117FB" w:rsidRPr="00F66CE4" w:rsidRDefault="009117FB" w:rsidP="00406A62">
      <w:pPr>
        <w:spacing w:before="120" w:after="0" w:line="360" w:lineRule="auto"/>
        <w:jc w:val="both"/>
        <w:rPr>
          <w:rFonts w:ascii="Times New Roman" w:hAnsi="Times New Roman" w:cs="Times New Roman"/>
          <w:b/>
          <w:sz w:val="24"/>
          <w:szCs w:val="24"/>
        </w:rPr>
      </w:pPr>
      <w:r w:rsidRPr="00F66CE4">
        <w:rPr>
          <w:rFonts w:ascii="Times New Roman" w:hAnsi="Times New Roman" w:cs="Times New Roman"/>
          <w:b/>
          <w:sz w:val="24"/>
          <w:szCs w:val="24"/>
        </w:rPr>
        <w:t xml:space="preserve">Budowa elementów Kolejowego Systemu Ruchomej Łączności Radiowej (RMR), służących realizacji zadań zarządcy infrastruktury określonych w art. 5 </w:t>
      </w:r>
      <w:r w:rsidR="002E6528" w:rsidRPr="00F66CE4">
        <w:rPr>
          <w:rFonts w:ascii="Times New Roman" w:hAnsi="Times New Roman" w:cs="Times New Roman"/>
          <w:b/>
          <w:sz w:val="24"/>
          <w:szCs w:val="24"/>
        </w:rPr>
        <w:t xml:space="preserve">ust. 1 </w:t>
      </w:r>
      <w:r w:rsidRPr="00F66CE4">
        <w:rPr>
          <w:rFonts w:ascii="Times New Roman" w:hAnsi="Times New Roman" w:cs="Times New Roman"/>
          <w:b/>
          <w:sz w:val="24"/>
          <w:szCs w:val="24"/>
        </w:rPr>
        <w:t>ustawy z dnia 28 marca 2003 r. o transporcie kolejowym</w:t>
      </w:r>
      <w:r w:rsidR="009F62C5" w:rsidRPr="00F66CE4">
        <w:rPr>
          <w:rFonts w:ascii="Times New Roman" w:hAnsi="Times New Roman" w:cs="Times New Roman"/>
          <w:b/>
          <w:sz w:val="24"/>
          <w:szCs w:val="24"/>
        </w:rPr>
        <w:t xml:space="preserve"> (</w:t>
      </w:r>
      <w:r w:rsidR="00BC4A48" w:rsidRPr="00F66CE4">
        <w:rPr>
          <w:rFonts w:ascii="Times New Roman" w:hAnsi="Times New Roman" w:cs="Times New Roman"/>
          <w:b/>
          <w:sz w:val="24"/>
          <w:szCs w:val="24"/>
        </w:rPr>
        <w:t xml:space="preserve">Dz. U. z 2025 r. poz. 1234, z </w:t>
      </w:r>
      <w:r w:rsidR="007E2142" w:rsidRPr="00F66CE4">
        <w:rPr>
          <w:rFonts w:ascii="Times New Roman" w:hAnsi="Times New Roman" w:cs="Times New Roman"/>
          <w:b/>
          <w:sz w:val="24"/>
          <w:szCs w:val="24"/>
        </w:rPr>
        <w:t>późn</w:t>
      </w:r>
      <w:r w:rsidR="00BC4A48" w:rsidRPr="00F66CE4">
        <w:rPr>
          <w:rFonts w:ascii="Times New Roman" w:hAnsi="Times New Roman" w:cs="Times New Roman"/>
          <w:b/>
          <w:sz w:val="24"/>
          <w:szCs w:val="24"/>
        </w:rPr>
        <w:t>. zm.</w:t>
      </w:r>
      <w:r w:rsidR="009F62C5" w:rsidRPr="00F66CE4">
        <w:rPr>
          <w:rFonts w:ascii="Times New Roman" w:hAnsi="Times New Roman" w:cs="Times New Roman"/>
          <w:b/>
          <w:sz w:val="24"/>
          <w:szCs w:val="24"/>
        </w:rPr>
        <w:t>)</w:t>
      </w:r>
      <w:r w:rsidRPr="00F66CE4">
        <w:rPr>
          <w:rFonts w:ascii="Times New Roman" w:hAnsi="Times New Roman" w:cs="Times New Roman"/>
          <w:b/>
          <w:sz w:val="24"/>
          <w:szCs w:val="24"/>
        </w:rPr>
        <w:t xml:space="preserve"> realizowanych na obszarze kolejowym w rozumieniu art. 4 pkt 8 tej ustawy.</w:t>
      </w:r>
    </w:p>
    <w:p w14:paraId="1B1F1F81" w14:textId="77777777" w:rsidR="009D000E" w:rsidRPr="00F66CE4" w:rsidRDefault="00F8755F"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 xml:space="preserve">System GSM-R (ang. </w:t>
      </w:r>
      <w:r w:rsidRPr="00406A62">
        <w:rPr>
          <w:rFonts w:ascii="Times New Roman" w:hAnsi="Times New Roman" w:cs="Times New Roman"/>
          <w:i/>
          <w:iCs/>
          <w:sz w:val="24"/>
          <w:szCs w:val="24"/>
        </w:rPr>
        <w:t>Global System for Mobile Communications – Railway</w:t>
      </w:r>
      <w:r w:rsidRPr="00F66CE4">
        <w:rPr>
          <w:rFonts w:ascii="Times New Roman" w:hAnsi="Times New Roman" w:cs="Times New Roman"/>
          <w:sz w:val="24"/>
          <w:szCs w:val="24"/>
        </w:rPr>
        <w:t xml:space="preserve">) to specjalistyczna sieć łączności radiowej przeznaczona dla kolei, zapewniająca niezawodną komunikację między maszynistami, dyspozytorami i służbami zarządzającymi ruchem kolejowym. Jest to standard wdrażany w całej Unii Europejskiej jako część systemu Europejskiego Systemu Zarządzania Ruchem Kolejowym (ERTMS). Budowa i wdrożenie elementów GSM-R w Polsce </w:t>
      </w:r>
      <w:r w:rsidR="002E6528" w:rsidRPr="00F66CE4">
        <w:rPr>
          <w:rFonts w:ascii="Times New Roman" w:hAnsi="Times New Roman" w:cs="Times New Roman"/>
          <w:sz w:val="24"/>
          <w:szCs w:val="24"/>
        </w:rPr>
        <w:t>ma zasadnicze znaczenie dla</w:t>
      </w:r>
      <w:r w:rsidRPr="00F66CE4">
        <w:rPr>
          <w:rFonts w:ascii="Times New Roman" w:hAnsi="Times New Roman" w:cs="Times New Roman"/>
          <w:sz w:val="24"/>
          <w:szCs w:val="24"/>
        </w:rPr>
        <w:t xml:space="preserve"> modernizacji infrastruktury kolejowej oraz </w:t>
      </w:r>
      <w:r w:rsidR="002E6528" w:rsidRPr="00F66CE4">
        <w:rPr>
          <w:rFonts w:ascii="Times New Roman" w:hAnsi="Times New Roman" w:cs="Times New Roman"/>
          <w:sz w:val="24"/>
          <w:szCs w:val="24"/>
        </w:rPr>
        <w:t xml:space="preserve">poprawy </w:t>
      </w:r>
      <w:r w:rsidRPr="00F66CE4">
        <w:rPr>
          <w:rFonts w:ascii="Times New Roman" w:hAnsi="Times New Roman" w:cs="Times New Roman"/>
          <w:sz w:val="24"/>
          <w:szCs w:val="24"/>
        </w:rPr>
        <w:t>bezpieczeństwa i efektywności transportu kolejowego</w:t>
      </w:r>
      <w:r w:rsidR="002E6528" w:rsidRPr="00F66CE4">
        <w:rPr>
          <w:rFonts w:ascii="Times New Roman" w:hAnsi="Times New Roman" w:cs="Times New Roman"/>
          <w:sz w:val="24"/>
          <w:szCs w:val="24"/>
        </w:rPr>
        <w:t xml:space="preserve">, jak również w </w:t>
      </w:r>
      <w:r w:rsidRPr="00F66CE4">
        <w:rPr>
          <w:rFonts w:ascii="Times New Roman" w:hAnsi="Times New Roman" w:cs="Times New Roman"/>
          <w:sz w:val="24"/>
          <w:szCs w:val="24"/>
        </w:rPr>
        <w:t>dostosowaniu go do standardów europejskich. Wdrożenie tego systemu przyniesie korzyści w postaci zwiększenia bezpieczeństwa, poprawy efektywności i interoperacyjności ruchu kolejowego, a także zmniejszenia kosztów operacyjnych przewoźników. Jest to kluczowa inwestycja dla rozwoju nowoczesnej kolei w Polsce oraz wzmocnienia jej roli jako ekologicznego i efektywnego środka transportu</w:t>
      </w:r>
      <w:r w:rsidR="00F773C7" w:rsidRPr="00F66CE4">
        <w:rPr>
          <w:rFonts w:ascii="Times New Roman" w:hAnsi="Times New Roman" w:cs="Times New Roman"/>
          <w:sz w:val="24"/>
          <w:szCs w:val="24"/>
        </w:rPr>
        <w:t>.</w:t>
      </w:r>
    </w:p>
    <w:p w14:paraId="1408487F" w14:textId="77777777" w:rsidR="009D000E" w:rsidRPr="00F66CE4" w:rsidRDefault="009D000E" w:rsidP="00406A62">
      <w:pPr>
        <w:pStyle w:val="Akapitzlist"/>
        <w:keepNext/>
        <w:numPr>
          <w:ilvl w:val="0"/>
          <w:numId w:val="33"/>
        </w:numPr>
        <w:spacing w:before="120" w:after="0" w:line="360" w:lineRule="auto"/>
        <w:ind w:left="284" w:hanging="284"/>
        <w:jc w:val="both"/>
        <w:rPr>
          <w:rFonts w:ascii="Times New Roman" w:hAnsi="Times New Roman" w:cs="Times New Roman"/>
          <w:b/>
          <w:sz w:val="24"/>
          <w:szCs w:val="24"/>
          <w:u w:val="single"/>
        </w:rPr>
      </w:pPr>
      <w:r w:rsidRPr="00F66CE4">
        <w:rPr>
          <w:rFonts w:ascii="Times New Roman" w:hAnsi="Times New Roman" w:cs="Times New Roman"/>
          <w:b/>
          <w:sz w:val="24"/>
          <w:szCs w:val="24"/>
          <w:u w:val="single"/>
        </w:rPr>
        <w:lastRenderedPageBreak/>
        <w:t xml:space="preserve">Kluczowe </w:t>
      </w:r>
      <w:r w:rsidR="00BE3B0D" w:rsidRPr="00F66CE4">
        <w:rPr>
          <w:rFonts w:ascii="Times New Roman" w:hAnsi="Times New Roman" w:cs="Times New Roman"/>
          <w:b/>
          <w:sz w:val="24"/>
          <w:szCs w:val="24"/>
          <w:u w:val="single"/>
        </w:rPr>
        <w:t>i</w:t>
      </w:r>
      <w:r w:rsidRPr="00F66CE4">
        <w:rPr>
          <w:rFonts w:ascii="Times New Roman" w:hAnsi="Times New Roman" w:cs="Times New Roman"/>
          <w:b/>
          <w:sz w:val="24"/>
          <w:szCs w:val="24"/>
          <w:u w:val="single"/>
        </w:rPr>
        <w:t>nwestycje przeciwpowodziowe</w:t>
      </w:r>
    </w:p>
    <w:p w14:paraId="1CD1DF32" w14:textId="11E792A7" w:rsidR="005124CD" w:rsidRPr="00406A62" w:rsidRDefault="005124CD" w:rsidP="00406A62">
      <w:pPr>
        <w:spacing w:before="120" w:after="0" w:line="360" w:lineRule="auto"/>
        <w:jc w:val="both"/>
        <w:rPr>
          <w:rFonts w:ascii="Times New Roman" w:hAnsi="Times New Roman" w:cs="Times New Roman"/>
          <w:sz w:val="24"/>
          <w:szCs w:val="24"/>
        </w:rPr>
      </w:pPr>
      <w:r w:rsidRPr="00F66CE4">
        <w:rPr>
          <w:rFonts w:ascii="Times New Roman" w:hAnsi="Times New Roman" w:cs="Times New Roman"/>
          <w:sz w:val="24"/>
          <w:szCs w:val="24"/>
        </w:rPr>
        <w:t>Zgodnie z art. 163 ust. 1 ustawy z dnia 20 lipca 2017 r. – Prawo wodne (Dz. U. z 2025 r. poz.</w:t>
      </w:r>
      <w:r w:rsidR="00885F18">
        <w:rPr>
          <w:rFonts w:ascii="Times New Roman" w:hAnsi="Times New Roman" w:cs="Times New Roman"/>
          <w:sz w:val="24"/>
          <w:szCs w:val="24"/>
        </w:rPr>
        <w:t> </w:t>
      </w:r>
      <w:r w:rsidRPr="00406A62">
        <w:rPr>
          <w:rFonts w:ascii="Times New Roman" w:hAnsi="Times New Roman" w:cs="Times New Roman"/>
          <w:sz w:val="24"/>
          <w:szCs w:val="24"/>
        </w:rPr>
        <w:t>960, z późn. zm.) ochrona przed powodzią jest zadaniem Państwowego Gospodarstwa Wodnego Wody Polskie</w:t>
      </w:r>
      <w:r w:rsidR="00843DF8" w:rsidRPr="00406A62">
        <w:rPr>
          <w:rFonts w:ascii="Times New Roman" w:hAnsi="Times New Roman" w:cs="Times New Roman"/>
          <w:sz w:val="24"/>
          <w:szCs w:val="24"/>
        </w:rPr>
        <w:t xml:space="preserve">, zwanego </w:t>
      </w:r>
      <w:r w:rsidRPr="00406A62">
        <w:rPr>
          <w:rFonts w:ascii="Times New Roman" w:hAnsi="Times New Roman" w:cs="Times New Roman"/>
          <w:sz w:val="24"/>
          <w:szCs w:val="24"/>
        </w:rPr>
        <w:t>dalej „PGW Wody Polskie”</w:t>
      </w:r>
      <w:r w:rsidR="00843DF8" w:rsidRPr="00406A62">
        <w:rPr>
          <w:rFonts w:ascii="Times New Roman" w:hAnsi="Times New Roman" w:cs="Times New Roman"/>
          <w:sz w:val="24"/>
          <w:szCs w:val="24"/>
        </w:rPr>
        <w:t xml:space="preserve">, </w:t>
      </w:r>
      <w:r w:rsidRPr="00406A62">
        <w:rPr>
          <w:rFonts w:ascii="Times New Roman" w:hAnsi="Times New Roman" w:cs="Times New Roman"/>
          <w:sz w:val="24"/>
          <w:szCs w:val="24"/>
        </w:rPr>
        <w:t>oraz organów administracji rządowej i samorządowej.</w:t>
      </w:r>
    </w:p>
    <w:p w14:paraId="3A6C3756" w14:textId="77777777" w:rsidR="005124CD"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następstwie wystąpienia powodzi we wrześniu i październiku 2024 r. konieczne jest zintensyfikowanie prac nad ochroną przeciwpowodziową, również w zakresie działań polegających na ułatwieniu wieloletniego procesu inwestycyjnego mającego na celu realizację dużych projektów hydrotechnicznych – kluczowych dla sprawnego zarządzania ochroną przeciwpowodziową.</w:t>
      </w:r>
    </w:p>
    <w:p w14:paraId="6493C498" w14:textId="6FA98C31" w:rsidR="005124CD"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Wskazane w projekcie ustawy zadania inwestycyjne mają kluczowe znaczenie ze względu na zamknięcie systemu ochrony przeciwpowodziowej o znacznej skali oddziaływania. Inwestycje znajdują się już w planach PGW Wody Polskie, a celem proponowanych zmian jest jedynie przyspieszenie procesu inwestycyjnego, co może przełożyć się na szybszą realizację zadań i tym samym zwiększyć ochronę przed powodzią.</w:t>
      </w:r>
    </w:p>
    <w:p w14:paraId="13E9D9B5" w14:textId="77777777" w:rsidR="005124CD"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Przyjęcie projektu ustawy pozwoli na rozwój usług z obszaru hydrotechniki świadczonych przez polskie przedsiębiorstwa.</w:t>
      </w:r>
    </w:p>
    <w:p w14:paraId="2D436C18" w14:textId="01CF87EB" w:rsidR="00DF5420"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Nie jest możliwe osiągnięcie celów za pomocą innych środków, ze względu na wynikającą z przepisów prawa obligatoryjność prowadzenia postępowań administracyjnych dla wszystkich inwestycji hydrotechnicznych. Wprowadzenie nawet nieznacznych ułatwień dla wybranych – kluczowych zadań przyczyni się do zwiększenia bezpieczeństwa przeciwpowodziowego w Polsce.</w:t>
      </w:r>
    </w:p>
    <w:p w14:paraId="0E96904A" w14:textId="2FB4EBF9" w:rsidR="0013783A" w:rsidRPr="00406A62" w:rsidRDefault="0013783A"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 xml:space="preserve">Zabezpieczenie przeciwpowodziowe w dolinie potoku Wątok w gm. </w:t>
      </w:r>
      <w:r w:rsidR="005361A7" w:rsidRPr="00406A62">
        <w:rPr>
          <w:rFonts w:ascii="Times New Roman" w:hAnsi="Times New Roman" w:cs="Times New Roman"/>
          <w:b/>
          <w:sz w:val="24"/>
          <w:szCs w:val="24"/>
        </w:rPr>
        <w:t>m</w:t>
      </w:r>
      <w:r w:rsidRPr="00406A62">
        <w:rPr>
          <w:rFonts w:ascii="Times New Roman" w:hAnsi="Times New Roman" w:cs="Times New Roman"/>
          <w:b/>
          <w:sz w:val="24"/>
          <w:szCs w:val="24"/>
        </w:rPr>
        <w:t>iasto Tarnów oraz Skrzyszów i Ryglice, powiat tarnowski</w:t>
      </w:r>
    </w:p>
    <w:p w14:paraId="09951254" w14:textId="7BF1DDC4" w:rsidR="0013783A"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ramach zadania zaplanowano budowę 54 urządzeń wodnych: 1 polderu przeciwpowodziowego na</w:t>
      </w:r>
      <w:r w:rsidR="005228D7" w:rsidRPr="00406A62">
        <w:rPr>
          <w:rFonts w:ascii="Times New Roman" w:hAnsi="Times New Roman" w:cs="Times New Roman"/>
          <w:sz w:val="24"/>
          <w:szCs w:val="24"/>
        </w:rPr>
        <w:t xml:space="preserve"> </w:t>
      </w:r>
      <w:r w:rsidRPr="00406A62">
        <w:rPr>
          <w:rFonts w:ascii="Times New Roman" w:hAnsi="Times New Roman" w:cs="Times New Roman"/>
          <w:sz w:val="24"/>
          <w:szCs w:val="24"/>
        </w:rPr>
        <w:t>Wątoku o pojemności 0,048 mln m</w:t>
      </w:r>
      <w:r w:rsidRPr="00406A62">
        <w:rPr>
          <w:rFonts w:ascii="Times New Roman" w:hAnsi="Times New Roman" w:cs="Times New Roman"/>
          <w:sz w:val="24"/>
          <w:szCs w:val="24"/>
          <w:vertAlign w:val="superscript"/>
        </w:rPr>
        <w:t>3</w:t>
      </w:r>
      <w:r w:rsidRPr="00406A62">
        <w:rPr>
          <w:rFonts w:ascii="Times New Roman" w:hAnsi="Times New Roman" w:cs="Times New Roman"/>
          <w:sz w:val="24"/>
          <w:szCs w:val="24"/>
        </w:rPr>
        <w:t>, 8 zbiorników wodnych o pojemności od 0,025 do 0,06 mln m</w:t>
      </w:r>
      <w:r w:rsidRPr="00406A62">
        <w:rPr>
          <w:rFonts w:ascii="Times New Roman" w:hAnsi="Times New Roman" w:cs="Times New Roman"/>
          <w:sz w:val="24"/>
          <w:szCs w:val="24"/>
          <w:vertAlign w:val="superscript"/>
        </w:rPr>
        <w:t>3</w:t>
      </w:r>
      <w:r w:rsidRPr="00406A62">
        <w:rPr>
          <w:rFonts w:ascii="Times New Roman" w:hAnsi="Times New Roman" w:cs="Times New Roman"/>
          <w:sz w:val="24"/>
          <w:szCs w:val="24"/>
        </w:rPr>
        <w:t xml:space="preserve"> na dopływach Wątoku i Wątoczku, budowę 29 odcinków wałów przeciwpowodziowych Strusinki, Wątoku i Wątoczku oraz budowę 16 odcinków liniowych zabezpieczeń przeciwpowodziowych Strusinki, Wątoku i Wątoczku. Szczegółowe lokalizacje urządzeń wodnych objętych zadaniem inwestycyjnym pn.: „Zabezpieczenie przeciwpowodziowe w dolinie potoku Wątok w gm. </w:t>
      </w:r>
      <w:r w:rsidR="005361A7" w:rsidRPr="00406A62">
        <w:rPr>
          <w:rFonts w:ascii="Times New Roman" w:hAnsi="Times New Roman" w:cs="Times New Roman"/>
          <w:sz w:val="24"/>
          <w:szCs w:val="24"/>
        </w:rPr>
        <w:t>m</w:t>
      </w:r>
      <w:r w:rsidRPr="00406A62">
        <w:rPr>
          <w:rFonts w:ascii="Times New Roman" w:hAnsi="Times New Roman" w:cs="Times New Roman"/>
          <w:sz w:val="24"/>
          <w:szCs w:val="24"/>
        </w:rPr>
        <w:t xml:space="preserve">iasto Tarnów oraz Skrzyszów i Ryglice powiat tarnowski” zostały wskazane w Rozporządzeniu Ministra Infrastruktury z dnia </w:t>
      </w:r>
      <w:r w:rsidRPr="00406A62">
        <w:rPr>
          <w:rFonts w:ascii="Times New Roman" w:hAnsi="Times New Roman" w:cs="Times New Roman"/>
          <w:sz w:val="24"/>
          <w:szCs w:val="24"/>
        </w:rPr>
        <w:lastRenderedPageBreak/>
        <w:t>18</w:t>
      </w:r>
      <w:r w:rsidR="00A95408">
        <w:rPr>
          <w:rFonts w:ascii="Times New Roman" w:hAnsi="Times New Roman" w:cs="Times New Roman"/>
          <w:sz w:val="24"/>
          <w:szCs w:val="24"/>
        </w:rPr>
        <w:t> </w:t>
      </w:r>
      <w:r w:rsidRPr="00406A62">
        <w:rPr>
          <w:rFonts w:ascii="Times New Roman" w:hAnsi="Times New Roman" w:cs="Times New Roman"/>
          <w:sz w:val="24"/>
          <w:szCs w:val="24"/>
        </w:rPr>
        <w:t>października 2022 r. w sprawie przyjęcia Planu zarządzania ryzykiem powodziowym dla obszaru dorzecza Wisły (Dz. U. poz. 2739).</w:t>
      </w:r>
    </w:p>
    <w:p w14:paraId="36ECCA7A" w14:textId="5674222B" w:rsidR="0013783A" w:rsidRPr="00406A62" w:rsidRDefault="0013783A"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Budowa zbiornika Międzyrzecze, gm. Jasienica</w:t>
      </w:r>
    </w:p>
    <w:p w14:paraId="39DCFD31" w14:textId="08D5A4E3" w:rsidR="0013783A"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Zadanie ma bezsporne znaczenie dla stabilności hydrologicznej południowej części województwa śląskiego. Zgodnie z wynikami modelowania przeprowadzonymi na potrzeby opracowania „Programu Redukcji Ryzyka Powodziowego dla zlewni rzeki Iłownicy i Białej” w sytuacji wystąpienia powodzi z września 2024 r. budowa zbiornika Międzyrzecze, którego zapora ma być zlokalizowana w km 7+871 cieku Jasienickiego w m. Międzyrzecze Górne, gm.</w:t>
      </w:r>
      <w:r w:rsidR="002B1D18">
        <w:rPr>
          <w:rFonts w:ascii="Times New Roman" w:hAnsi="Times New Roman" w:cs="Times New Roman"/>
          <w:sz w:val="24"/>
          <w:szCs w:val="24"/>
        </w:rPr>
        <w:t> </w:t>
      </w:r>
      <w:r w:rsidRPr="00406A62">
        <w:rPr>
          <w:rFonts w:ascii="Times New Roman" w:hAnsi="Times New Roman" w:cs="Times New Roman"/>
          <w:sz w:val="24"/>
          <w:szCs w:val="24"/>
        </w:rPr>
        <w:t>Jasienica, miałaby istotny wpływ na zmniejszenie zagrożenia powodziowego na Jasienicy poniżej zbiornika oraz Iłownicy poniżej ujścia Jasienicy, tym samym zmniejszając zagrożenie powodziowe dla takich miejscowości i gmin jak Jasienica i Czechowice-Dziedzice. Dodatkowo widoczny jest wpływ zbiornika na zmniejszenie stanów wody na Wiśle, na odcinku od ujścia Jasienicy do wodowskazu Goczałkowice. Zbiornik wpływa również na obniżenie rzędnych zwierciadła wody i natężenia przepływu Wapienicy poniżej kanału Ligockiego. Analizy przeprowadzone w ramach „Programu Redukcji Ryzyka Powodziowego dla zlewni rzeki Iłownicy i Białej” wskazują na pilną potrzebę realizacji inwestycji mającej na celu redukcję fali wezbraniowej na rzece Iłownicy i Białej, tym samym zmniejszenie ryzyka powodzi na tym obszarze, a także w zlewni górnej Wisły.</w:t>
      </w:r>
    </w:p>
    <w:p w14:paraId="6DEA05CF" w14:textId="77777777" w:rsidR="0013783A" w:rsidRPr="00406A62" w:rsidRDefault="0013783A"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Odbudowa suchego zbiornika retencyjnego Stronie Śląskie</w:t>
      </w:r>
    </w:p>
    <w:p w14:paraId="45EDBB34" w14:textId="49BA1E8C" w:rsidR="005124CD"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Zadanie ma na celu przywrócenie sprawności technicznej zbiornika przez odbudowę rozmytej w wyniku katastrofy budowlanej zapory ziemnej czołowej zbiornika, zwiększenie przepustowości urządzeń zrzutowych oraz dostosowanie parametrów zbiornika do przepływów wód jakie miały miejsce w czasie powodzi z września 2024 r.</w:t>
      </w:r>
    </w:p>
    <w:p w14:paraId="70DCC86E" w14:textId="4B4803E7" w:rsidR="00477940" w:rsidRPr="00406A62" w:rsidRDefault="005124C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Odbudowa zbiornika w Stroniu Śląskim jest inwestycją priorytetową dla przywrócenia ciągłości systemu ochrony przeciwpowodziowej dorzecza Nysy Kłodzkiej. Obiekt ten pełni kluczową rolę w redukcji fali powodziowej ze zlewni Morawki, stanowiąc pierwszą linię obrony dla Stronia Śląskiego, Lądka-Zdroju</w:t>
      </w:r>
      <w:r w:rsidR="005228D7" w:rsidRPr="00406A62">
        <w:rPr>
          <w:rFonts w:ascii="Times New Roman" w:hAnsi="Times New Roman" w:cs="Times New Roman"/>
          <w:sz w:val="24"/>
          <w:szCs w:val="24"/>
        </w:rPr>
        <w:t xml:space="preserve"> </w:t>
      </w:r>
      <w:r w:rsidRPr="00406A62">
        <w:rPr>
          <w:rFonts w:ascii="Times New Roman" w:hAnsi="Times New Roman" w:cs="Times New Roman"/>
          <w:sz w:val="24"/>
          <w:szCs w:val="24"/>
        </w:rPr>
        <w:t>oraz miejscowości w dolinie Białej Lądeckiej. Brak sprawnego zbiornika generuje bezpośrednie zagrożenie dla życia tysięcy mieszkańców oraz infrastruktury regionu. Zadanie stanowi integralną część „Programu redukcji ryzyka powodziowego w zlewni Nysy Kłodzkiej”, co w połączeniu z koniecznością naprawy skutków katastrofy budowlanej, nadaje mu status inwestycji o najwyższym znaczeniu strategicznym.</w:t>
      </w:r>
    </w:p>
    <w:p w14:paraId="61022A02" w14:textId="77777777" w:rsidR="00A66450" w:rsidRPr="00406A62" w:rsidRDefault="00A66450" w:rsidP="00406A62">
      <w:pPr>
        <w:pStyle w:val="Akapitzlist"/>
        <w:keepNext/>
        <w:numPr>
          <w:ilvl w:val="0"/>
          <w:numId w:val="33"/>
        </w:numPr>
        <w:spacing w:before="120" w:after="0" w:line="360" w:lineRule="auto"/>
        <w:ind w:left="284" w:hanging="284"/>
        <w:jc w:val="both"/>
        <w:rPr>
          <w:rFonts w:ascii="Times New Roman" w:hAnsi="Times New Roman" w:cs="Times New Roman"/>
          <w:b/>
          <w:sz w:val="24"/>
          <w:szCs w:val="24"/>
          <w:u w:val="single"/>
        </w:rPr>
      </w:pPr>
      <w:r w:rsidRPr="00406A62">
        <w:rPr>
          <w:rFonts w:ascii="Times New Roman" w:hAnsi="Times New Roman" w:cs="Times New Roman"/>
          <w:b/>
          <w:sz w:val="24"/>
          <w:szCs w:val="24"/>
          <w:u w:val="single"/>
        </w:rPr>
        <w:lastRenderedPageBreak/>
        <w:t xml:space="preserve">Kluczowe inwestycje infrastrukturalne w </w:t>
      </w:r>
      <w:r w:rsidR="00723F02" w:rsidRPr="00406A62">
        <w:rPr>
          <w:rFonts w:ascii="Times New Roman" w:hAnsi="Times New Roman" w:cs="Times New Roman"/>
          <w:b/>
          <w:sz w:val="24"/>
          <w:szCs w:val="24"/>
          <w:u w:val="single"/>
        </w:rPr>
        <w:t>zakresie</w:t>
      </w:r>
      <w:r w:rsidR="000437D0" w:rsidRPr="00406A62">
        <w:rPr>
          <w:rFonts w:ascii="Times New Roman" w:hAnsi="Times New Roman" w:cs="Times New Roman"/>
          <w:b/>
          <w:sz w:val="24"/>
          <w:szCs w:val="24"/>
          <w:u w:val="single"/>
        </w:rPr>
        <w:t xml:space="preserve"> </w:t>
      </w:r>
      <w:r w:rsidRPr="00406A62">
        <w:rPr>
          <w:rFonts w:ascii="Times New Roman" w:hAnsi="Times New Roman" w:cs="Times New Roman"/>
          <w:b/>
          <w:sz w:val="24"/>
          <w:szCs w:val="24"/>
          <w:u w:val="single"/>
        </w:rPr>
        <w:t>transport</w:t>
      </w:r>
      <w:r w:rsidR="00723F02" w:rsidRPr="00406A62">
        <w:rPr>
          <w:rFonts w:ascii="Times New Roman" w:hAnsi="Times New Roman" w:cs="Times New Roman"/>
          <w:b/>
          <w:sz w:val="24"/>
          <w:szCs w:val="24"/>
          <w:u w:val="single"/>
        </w:rPr>
        <w:t>u</w:t>
      </w:r>
      <w:r w:rsidR="000437D0" w:rsidRPr="00406A62">
        <w:rPr>
          <w:rFonts w:ascii="Times New Roman" w:hAnsi="Times New Roman" w:cs="Times New Roman"/>
          <w:b/>
          <w:sz w:val="24"/>
          <w:szCs w:val="24"/>
          <w:u w:val="single"/>
        </w:rPr>
        <w:t xml:space="preserve"> lotnicz</w:t>
      </w:r>
      <w:r w:rsidR="00723F02" w:rsidRPr="00406A62">
        <w:rPr>
          <w:rFonts w:ascii="Times New Roman" w:hAnsi="Times New Roman" w:cs="Times New Roman"/>
          <w:b/>
          <w:sz w:val="24"/>
          <w:szCs w:val="24"/>
          <w:u w:val="single"/>
        </w:rPr>
        <w:t>ego</w:t>
      </w:r>
    </w:p>
    <w:p w14:paraId="2B1266EB" w14:textId="77777777" w:rsidR="00723F02" w:rsidRPr="00406A62" w:rsidRDefault="003711A0" w:rsidP="00406A62">
      <w:pPr>
        <w:pStyle w:val="LITlitera"/>
        <w:spacing w:before="120"/>
        <w:ind w:left="0" w:firstLine="0"/>
        <w:rPr>
          <w:rFonts w:ascii="Times New Roman" w:hAnsi="Times New Roman" w:cs="Times New Roman"/>
          <w:b/>
          <w:bCs w:val="0"/>
          <w:szCs w:val="24"/>
        </w:rPr>
      </w:pPr>
      <w:r w:rsidRPr="00406A62">
        <w:rPr>
          <w:rFonts w:ascii="Times New Roman" w:hAnsi="Times New Roman" w:cs="Times New Roman"/>
          <w:b/>
          <w:bCs w:val="0"/>
          <w:szCs w:val="24"/>
        </w:rPr>
        <w:t>Rozbudowa i przebudowa strefy operacyjnej na terenie Międzynarodowego Portu Lotniczego im. Jana Pawła II Kraków-Balice</w:t>
      </w:r>
    </w:p>
    <w:p w14:paraId="7C031730" w14:textId="71951DAB" w:rsidR="004271B0" w:rsidRPr="00406A62" w:rsidRDefault="003C73BA" w:rsidP="00406A62">
      <w:pPr>
        <w:pStyle w:val="LITlitera"/>
        <w:spacing w:before="120"/>
        <w:ind w:left="0" w:firstLine="0"/>
        <w:rPr>
          <w:rFonts w:ascii="Times New Roman" w:hAnsi="Times New Roman" w:cs="Times New Roman"/>
          <w:szCs w:val="24"/>
        </w:rPr>
      </w:pPr>
      <w:r w:rsidRPr="00406A62">
        <w:rPr>
          <w:rFonts w:ascii="Times New Roman" w:hAnsi="Times New Roman" w:cs="Times New Roman"/>
          <w:szCs w:val="24"/>
        </w:rPr>
        <w:t xml:space="preserve">Zasadność </w:t>
      </w:r>
      <w:r w:rsidR="00C53A8E" w:rsidRPr="00406A62">
        <w:rPr>
          <w:rFonts w:ascii="Times New Roman" w:hAnsi="Times New Roman" w:cs="Times New Roman"/>
          <w:szCs w:val="24"/>
        </w:rPr>
        <w:t>uwzględnienia</w:t>
      </w:r>
      <w:r w:rsidRPr="00406A62">
        <w:rPr>
          <w:rFonts w:ascii="Times New Roman" w:hAnsi="Times New Roman" w:cs="Times New Roman"/>
          <w:szCs w:val="24"/>
        </w:rPr>
        <w:t xml:space="preserve"> inwestycji </w:t>
      </w:r>
      <w:r w:rsidR="00C53A8E" w:rsidRPr="00406A62">
        <w:rPr>
          <w:rFonts w:ascii="Times New Roman" w:hAnsi="Times New Roman" w:cs="Times New Roman"/>
          <w:szCs w:val="24"/>
        </w:rPr>
        <w:t xml:space="preserve">zarządzającego lotniskiem </w:t>
      </w:r>
      <w:r w:rsidRPr="00406A62">
        <w:rPr>
          <w:rFonts w:ascii="Times New Roman" w:hAnsi="Times New Roman" w:cs="Times New Roman"/>
          <w:szCs w:val="24"/>
        </w:rPr>
        <w:t>Kraków</w:t>
      </w:r>
      <w:r w:rsidR="00C53A8E" w:rsidRPr="00406A62">
        <w:rPr>
          <w:rFonts w:ascii="Times New Roman" w:hAnsi="Times New Roman" w:cs="Times New Roman"/>
          <w:szCs w:val="24"/>
        </w:rPr>
        <w:t>-</w:t>
      </w:r>
      <w:r w:rsidRPr="00406A62">
        <w:rPr>
          <w:rFonts w:ascii="Times New Roman" w:hAnsi="Times New Roman" w:cs="Times New Roman"/>
          <w:szCs w:val="24"/>
        </w:rPr>
        <w:t>Balice</w:t>
      </w:r>
      <w:r w:rsidR="00C53A8E" w:rsidRPr="00406A62">
        <w:rPr>
          <w:rFonts w:ascii="Times New Roman" w:hAnsi="Times New Roman" w:cs="Times New Roman"/>
          <w:szCs w:val="24"/>
        </w:rPr>
        <w:t>, jako jednej z inwestycji kluczowych,</w:t>
      </w:r>
      <w:r w:rsidRPr="00406A62">
        <w:rPr>
          <w:rFonts w:ascii="Times New Roman" w:hAnsi="Times New Roman" w:cs="Times New Roman"/>
          <w:szCs w:val="24"/>
        </w:rPr>
        <w:t xml:space="preserve"> wynika głównie z konieczności zapewnienia bezpieczeństwa użytkowników, w tym przede wszystkim pasażerów, a także ciągłości i niezakłóconego </w:t>
      </w:r>
      <w:r w:rsidR="00592357" w:rsidRPr="00406A62">
        <w:rPr>
          <w:rFonts w:ascii="Times New Roman" w:hAnsi="Times New Roman" w:cs="Times New Roman"/>
          <w:szCs w:val="24"/>
        </w:rPr>
        <w:t xml:space="preserve">funkcjonowania tego lotniska. Na istniejącej drodze startowej występują liczne spękania strukturalne płyt betonowych oraz liczne pęknięcia szczelinowe, wykruszenia, odłamania krawędzi i naroży. Jakkolwiek uszkodzenia naprawiane są na bieżąco, to w dłuższej perspektywie wymagana jest budowa nowej drogi startowej. Dodatkowo, eksploatowana droga startowa nie spełnia szeregu wymagań technicznych stawianych infrastrukturze lotniskowej przez normy </w:t>
      </w:r>
      <w:r w:rsidR="00F4160D" w:rsidRPr="00406A62">
        <w:rPr>
          <w:rFonts w:ascii="Times New Roman" w:hAnsi="Times New Roman" w:cs="Times New Roman"/>
          <w:szCs w:val="24"/>
        </w:rPr>
        <w:t xml:space="preserve">Agencji Unii Europejskiej ds. Bezpieczeństwa Lotniczego (ang. </w:t>
      </w:r>
      <w:r w:rsidR="00F4160D" w:rsidRPr="00406A62">
        <w:rPr>
          <w:rFonts w:ascii="Times New Roman" w:hAnsi="Times New Roman" w:cs="Times New Roman"/>
          <w:iCs/>
          <w:szCs w:val="24"/>
        </w:rPr>
        <w:t>European Union Aviation Safety Agency,</w:t>
      </w:r>
      <w:r w:rsidR="00F4160D" w:rsidRPr="00406A62">
        <w:rPr>
          <w:rFonts w:ascii="Times New Roman" w:hAnsi="Times New Roman" w:cs="Times New Roman"/>
          <w:szCs w:val="24"/>
        </w:rPr>
        <w:t xml:space="preserve"> </w:t>
      </w:r>
      <w:r w:rsidR="00592357" w:rsidRPr="00406A62">
        <w:rPr>
          <w:rFonts w:ascii="Times New Roman" w:hAnsi="Times New Roman" w:cs="Times New Roman"/>
          <w:szCs w:val="24"/>
        </w:rPr>
        <w:t>EASA</w:t>
      </w:r>
      <w:r w:rsidR="00F4160D" w:rsidRPr="00406A62">
        <w:rPr>
          <w:rFonts w:ascii="Times New Roman" w:hAnsi="Times New Roman" w:cs="Times New Roman"/>
          <w:szCs w:val="24"/>
        </w:rPr>
        <w:t>)</w:t>
      </w:r>
      <w:r w:rsidR="00592357" w:rsidRPr="00406A62">
        <w:rPr>
          <w:rFonts w:ascii="Times New Roman" w:hAnsi="Times New Roman" w:cs="Times New Roman"/>
          <w:szCs w:val="24"/>
        </w:rPr>
        <w:t>. Zakres prac wymagałby jednak zamknięcia lotniska nawet na ponad rok. Stąd też zarządzający lotniskiem w 2016 r. podjął decyzję o budowie nowej drogi startowej o długości 2800 m w nowym przebiegu, która docelowo ma zastąpić istniejącą. Wieloletnie problemy</w:t>
      </w:r>
      <w:r w:rsidR="00833F53" w:rsidRPr="00406A62">
        <w:rPr>
          <w:rFonts w:ascii="Times New Roman" w:hAnsi="Times New Roman" w:cs="Times New Roman"/>
          <w:szCs w:val="24"/>
        </w:rPr>
        <w:t xml:space="preserve"> z uzyskaniem decyzji środowiskowej są przyczyną, dla której przedmiotowa inwestycja dotychczas się nie rozpoczęła. Pogarszający się stan istniejącej drogi startowej może mieć negatywy wpływ na bezpieczeństwo wykonywania operacji lotniczych. Dodatkowo</w:t>
      </w:r>
      <w:r w:rsidR="00B27D13" w:rsidRPr="00406A62">
        <w:rPr>
          <w:rFonts w:ascii="Times New Roman" w:hAnsi="Times New Roman" w:cs="Times New Roman"/>
          <w:szCs w:val="24"/>
        </w:rPr>
        <w:t>,</w:t>
      </w:r>
      <w:r w:rsidR="00833F53" w:rsidRPr="00406A62">
        <w:rPr>
          <w:rFonts w:ascii="Times New Roman" w:hAnsi="Times New Roman" w:cs="Times New Roman"/>
          <w:szCs w:val="24"/>
        </w:rPr>
        <w:t xml:space="preserve"> może również negatywnie wpłynąć na możliwości sił zbrojnych wykorzystujących to lotnisko, co należy rozpatrywać w szerokim kontekście negatywnego wpływu na bezpieczeństwo Państwa (lotnisko Kraków-Balice jest lotniskiem współużytkowanym)</w:t>
      </w:r>
      <w:r w:rsidR="004271B0" w:rsidRPr="00406A62">
        <w:rPr>
          <w:rFonts w:ascii="Times New Roman" w:hAnsi="Times New Roman" w:cs="Times New Roman"/>
          <w:szCs w:val="24"/>
        </w:rPr>
        <w:t>.</w:t>
      </w:r>
    </w:p>
    <w:p w14:paraId="1D9D9A21" w14:textId="77777777"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Budowa drogi startowej na lotnisku Kraków-Balice jest najważniejszą inwestycją o znaczeniu wojskowym i cywilnym. Ze względu na postępującą degradację istniejącej drogi startowej oraz nieakceptowalne długotrwałe zamknięcie lotniska w przypadku gruntownej przebudowy istniejącej drogi startowej, jak również długoterminowe negatywne skutki ekonomiczne o nieprzewidywalnej skali wynikające z zamknięcia, planuje się budowę </w:t>
      </w:r>
      <w:r w:rsidR="002E6528" w:rsidRPr="00406A62">
        <w:rPr>
          <w:rFonts w:ascii="Times New Roman" w:hAnsi="Times New Roman" w:cs="Times New Roman"/>
          <w:sz w:val="24"/>
          <w:szCs w:val="24"/>
        </w:rPr>
        <w:t xml:space="preserve">nowej </w:t>
      </w:r>
      <w:r w:rsidRPr="00406A62">
        <w:rPr>
          <w:rFonts w:ascii="Times New Roman" w:hAnsi="Times New Roman" w:cs="Times New Roman"/>
          <w:sz w:val="24"/>
          <w:szCs w:val="24"/>
        </w:rPr>
        <w:t>drogi startowej.</w:t>
      </w:r>
    </w:p>
    <w:p w14:paraId="133E61D5" w14:textId="00A00C1B"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Nowa droga startowa będzie miała długość 2800 m, a jej szerokość części jezdnej wyniesie 45</w:t>
      </w:r>
      <w:r w:rsidR="002B1D18">
        <w:rPr>
          <w:rFonts w:ascii="Times New Roman" w:hAnsi="Times New Roman" w:cs="Times New Roman"/>
          <w:sz w:val="24"/>
          <w:szCs w:val="24"/>
        </w:rPr>
        <w:t> </w:t>
      </w:r>
      <w:r w:rsidRPr="00406A62">
        <w:rPr>
          <w:rFonts w:ascii="Times New Roman" w:hAnsi="Times New Roman" w:cs="Times New Roman"/>
          <w:sz w:val="24"/>
          <w:szCs w:val="24"/>
        </w:rPr>
        <w:t>m oraz obustronnych poboczy po 7,5 m z każdej strony. Droga startowa zostanie wykonana zgodnie z obowiązującymi przepisami dot</w:t>
      </w:r>
      <w:r w:rsidR="002E6528" w:rsidRPr="00406A62">
        <w:rPr>
          <w:rFonts w:ascii="Times New Roman" w:hAnsi="Times New Roman" w:cs="Times New Roman"/>
          <w:sz w:val="24"/>
          <w:szCs w:val="24"/>
        </w:rPr>
        <w:t>yczącymi</w:t>
      </w:r>
      <w:r w:rsidRPr="00406A62">
        <w:rPr>
          <w:rFonts w:ascii="Times New Roman" w:hAnsi="Times New Roman" w:cs="Times New Roman"/>
          <w:sz w:val="24"/>
          <w:szCs w:val="24"/>
        </w:rPr>
        <w:t xml:space="preserve"> bezpieczeństwa operacji. W ramach inwestycji planuje się budowę dróg szybkiego zjazdu oraz dowiązanie do istniejącej sieci dróg – całość nowopowstałej infrastruktury zostanie dostosowana do obsługi samolotów kodu E. Nowa droga startowa zostanie wyposażona w system do obserwacji meteorologicznych AWOS</w:t>
      </w:r>
      <w:r w:rsidR="00E37230" w:rsidRPr="00406A62">
        <w:rPr>
          <w:rFonts w:ascii="Times New Roman" w:hAnsi="Times New Roman" w:cs="Times New Roman"/>
          <w:sz w:val="24"/>
          <w:szCs w:val="24"/>
        </w:rPr>
        <w:t xml:space="preserve"> </w:t>
      </w:r>
      <w:r w:rsidR="00E37230" w:rsidRPr="00406A62">
        <w:rPr>
          <w:rFonts w:ascii="Times New Roman" w:hAnsi="Times New Roman" w:cs="Times New Roman"/>
          <w:sz w:val="24"/>
          <w:szCs w:val="24"/>
        </w:rPr>
        <w:lastRenderedPageBreak/>
        <w:t>(Automated Weather Observing System)</w:t>
      </w:r>
      <w:r w:rsidRPr="00406A62">
        <w:rPr>
          <w:rFonts w:ascii="Times New Roman" w:hAnsi="Times New Roman" w:cs="Times New Roman"/>
          <w:sz w:val="24"/>
          <w:szCs w:val="24"/>
        </w:rPr>
        <w:t>, niezbędne urządzenia nawigacyjne oraz oświetlenie, a także w urządzenia ILS kat. III zarówno na kierunku głównym, jak i pomocniczym.</w:t>
      </w:r>
    </w:p>
    <w:p w14:paraId="5B3BE931" w14:textId="77777777"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Dodatkowo należy wskazać, iż </w:t>
      </w:r>
      <w:r w:rsidR="002E6528" w:rsidRPr="00406A62">
        <w:rPr>
          <w:rFonts w:ascii="Times New Roman" w:hAnsi="Times New Roman" w:cs="Times New Roman"/>
          <w:sz w:val="24"/>
          <w:szCs w:val="24"/>
        </w:rPr>
        <w:t xml:space="preserve">w </w:t>
      </w:r>
      <w:r w:rsidRPr="00406A62">
        <w:rPr>
          <w:rFonts w:ascii="Times New Roman" w:hAnsi="Times New Roman" w:cs="Times New Roman"/>
          <w:sz w:val="24"/>
          <w:szCs w:val="24"/>
        </w:rPr>
        <w:t>dni</w:t>
      </w:r>
      <w:r w:rsidR="002E6528" w:rsidRPr="00406A62">
        <w:rPr>
          <w:rFonts w:ascii="Times New Roman" w:hAnsi="Times New Roman" w:cs="Times New Roman"/>
          <w:sz w:val="24"/>
          <w:szCs w:val="24"/>
        </w:rPr>
        <w:t>u</w:t>
      </w:r>
      <w:r w:rsidRPr="00406A62">
        <w:rPr>
          <w:rFonts w:ascii="Times New Roman" w:hAnsi="Times New Roman" w:cs="Times New Roman"/>
          <w:sz w:val="24"/>
          <w:szCs w:val="24"/>
        </w:rPr>
        <w:t xml:space="preserve"> 15 sierpnia 2020 r. została </w:t>
      </w:r>
      <w:r w:rsidR="002E6528" w:rsidRPr="00406A62">
        <w:rPr>
          <w:rFonts w:ascii="Times New Roman" w:hAnsi="Times New Roman" w:cs="Times New Roman"/>
          <w:sz w:val="24"/>
          <w:szCs w:val="24"/>
        </w:rPr>
        <w:t xml:space="preserve">podpisana Umowa między Rządem Rzeczypospolitej Polskiej a Rządem Stanów Zjednoczonych Ameryki o wzmocnionej współpracy obronnej (Dz. U. poz. 2153), </w:t>
      </w:r>
      <w:r w:rsidRPr="00406A62">
        <w:rPr>
          <w:rFonts w:ascii="Times New Roman" w:hAnsi="Times New Roman" w:cs="Times New Roman"/>
          <w:sz w:val="24"/>
          <w:szCs w:val="24"/>
        </w:rPr>
        <w:t>przewidująca współpracę Stron m. in. w zakresie ruchu statków powietrznych, w ramach której Rzeczpospolita Polska zobowiązała się do zapewnienia określonych projektów infrastrukturalnych, w tym pasa startowego dostosowanego do przyjmowania ciężkich wojskowych samolotów transportowych Lockhead C-5 Galaxy, zlokalizowanego na lotnisku Kraków-Balice.</w:t>
      </w:r>
    </w:p>
    <w:p w14:paraId="246DDB36" w14:textId="77777777"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W przeważającej większości inwestycja będzie realizowana w obecnej granicy lotniska, jednakże realizacja części infrastruktury będzie wymagać pozyskania </w:t>
      </w:r>
      <w:r w:rsidR="00C161EE" w:rsidRPr="00406A62">
        <w:rPr>
          <w:rFonts w:ascii="Times New Roman" w:hAnsi="Times New Roman" w:cs="Times New Roman"/>
          <w:sz w:val="24"/>
          <w:szCs w:val="24"/>
        </w:rPr>
        <w:t xml:space="preserve">tytułu </w:t>
      </w:r>
      <w:r w:rsidRPr="00406A62">
        <w:rPr>
          <w:rFonts w:ascii="Times New Roman" w:hAnsi="Times New Roman" w:cs="Times New Roman"/>
          <w:sz w:val="24"/>
          <w:szCs w:val="24"/>
        </w:rPr>
        <w:t>prawnego do nieruchomości</w:t>
      </w:r>
      <w:r w:rsidR="008356D9" w:rsidRPr="00406A62">
        <w:rPr>
          <w:rFonts w:ascii="Times New Roman" w:hAnsi="Times New Roman" w:cs="Times New Roman"/>
          <w:sz w:val="24"/>
          <w:szCs w:val="24"/>
        </w:rPr>
        <w:t>,</w:t>
      </w:r>
      <w:r w:rsidRPr="00406A62">
        <w:rPr>
          <w:rFonts w:ascii="Times New Roman" w:hAnsi="Times New Roman" w:cs="Times New Roman"/>
          <w:sz w:val="24"/>
          <w:szCs w:val="24"/>
        </w:rPr>
        <w:t xml:space="preserve"> na których będzie realizowana. Ponadto, inwestycja będzie wymagać zmiany obszaru ograniczonego użytkowania.</w:t>
      </w:r>
    </w:p>
    <w:p w14:paraId="257F7B5D" w14:textId="16FD1957"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ramach zadania przewiduje się rozbudowę sieci infrastruktury technicznej, w tym sieci energetycznej wraz z budową dodatkowej stacji transformatorowej. Realizacja budowy nowej drogi startowej zakładana jest w etapach, przy założeniu, że przez cały okres prowadzenia robót budowl</w:t>
      </w:r>
      <w:r w:rsidR="00C63A24" w:rsidRPr="00406A62">
        <w:rPr>
          <w:rFonts w:ascii="Times New Roman" w:hAnsi="Times New Roman" w:cs="Times New Roman"/>
          <w:sz w:val="24"/>
          <w:szCs w:val="24"/>
        </w:rPr>
        <w:t>a</w:t>
      </w:r>
      <w:r w:rsidRPr="00406A62">
        <w:rPr>
          <w:rFonts w:ascii="Times New Roman" w:hAnsi="Times New Roman" w:cs="Times New Roman"/>
          <w:sz w:val="24"/>
          <w:szCs w:val="24"/>
        </w:rPr>
        <w:t>nych utrzymane zostaną operacje startów i lądowań statków powietrznych, z możliwością ew</w:t>
      </w:r>
      <w:r w:rsidR="002E6528" w:rsidRPr="00406A62">
        <w:rPr>
          <w:rFonts w:ascii="Times New Roman" w:hAnsi="Times New Roman" w:cs="Times New Roman"/>
          <w:sz w:val="24"/>
          <w:szCs w:val="24"/>
        </w:rPr>
        <w:t>entualnych</w:t>
      </w:r>
      <w:r w:rsidRPr="00406A62">
        <w:rPr>
          <w:rFonts w:ascii="Times New Roman" w:hAnsi="Times New Roman" w:cs="Times New Roman"/>
          <w:sz w:val="24"/>
          <w:szCs w:val="24"/>
        </w:rPr>
        <w:t xml:space="preserve"> nocnych lub weekendowych wyłączeń w ruchu lotniczym.</w:t>
      </w:r>
    </w:p>
    <w:p w14:paraId="26AC62F9" w14:textId="688340E5" w:rsidR="004271B0" w:rsidRPr="00406A62" w:rsidRDefault="004271B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Szacuje się, że roboty budowalne oraz operacyjne uruchomienie poszczególnych etapów będą łącznie trwać ok. 3 lata i 6 miesięcy, od momentu pozyskania wszystkich niezbędnych decyzji administracyjnych oraz wyboru wykonawcy robót budowlanych.</w:t>
      </w:r>
    </w:p>
    <w:p w14:paraId="3E5DA92C" w14:textId="488DD694" w:rsidR="005C61E0" w:rsidRPr="00406A62" w:rsidRDefault="00E006A8" w:rsidP="00406A62">
      <w:pPr>
        <w:pStyle w:val="LITlitera"/>
        <w:spacing w:before="120"/>
        <w:ind w:left="0" w:firstLine="0"/>
        <w:rPr>
          <w:rFonts w:ascii="Times New Roman" w:hAnsi="Times New Roman" w:cs="Times New Roman"/>
          <w:b/>
          <w:szCs w:val="24"/>
        </w:rPr>
      </w:pPr>
      <w:r w:rsidRPr="00406A62">
        <w:rPr>
          <w:rFonts w:ascii="Times New Roman" w:hAnsi="Times New Roman" w:cs="Times New Roman"/>
          <w:b/>
          <w:bCs w:val="0"/>
          <w:iCs/>
          <w:szCs w:val="24"/>
        </w:rPr>
        <w:t>Rozbudowa i przebudowa elementów infrastruktury Lotniska Chopina w Warszawie w części lotniczej lotniska i w części ogólnodostępnej</w:t>
      </w:r>
    </w:p>
    <w:p w14:paraId="2A2FD819" w14:textId="4EAEA6AD" w:rsidR="003B42F5" w:rsidRPr="00406A62" w:rsidRDefault="004224D2" w:rsidP="00406A62">
      <w:pPr>
        <w:pStyle w:val="LITlitera"/>
        <w:spacing w:before="120"/>
        <w:ind w:left="0" w:firstLine="0"/>
        <w:rPr>
          <w:rFonts w:ascii="Times New Roman" w:eastAsiaTheme="minorHAnsi" w:hAnsi="Times New Roman" w:cs="Times New Roman"/>
          <w:szCs w:val="24"/>
          <w:lang w:eastAsia="en-US"/>
        </w:rPr>
      </w:pPr>
      <w:r w:rsidRPr="00406A62">
        <w:rPr>
          <w:rFonts w:ascii="Times New Roman" w:hAnsi="Times New Roman" w:cs="Times New Roman"/>
          <w:szCs w:val="24"/>
        </w:rPr>
        <w:t xml:space="preserve">Lotnisko </w:t>
      </w:r>
      <w:r w:rsidR="00C53A8E" w:rsidRPr="00406A62">
        <w:rPr>
          <w:rFonts w:ascii="Times New Roman" w:hAnsi="Times New Roman" w:cs="Times New Roman"/>
          <w:szCs w:val="24"/>
        </w:rPr>
        <w:t>Chopina w Warszawie</w:t>
      </w:r>
      <w:r w:rsidRPr="00406A62">
        <w:rPr>
          <w:rFonts w:ascii="Times New Roman" w:hAnsi="Times New Roman" w:cs="Times New Roman"/>
          <w:szCs w:val="24"/>
        </w:rPr>
        <w:t xml:space="preserve"> pełni obecnie funkcję lotniska centralnego, obsługującego ruch długodystansowy oraz przesiadkowy. Aby w sposób niezakłócony mogło pełnić tę funkcję do czasu operacyjnego uruchomienia </w:t>
      </w:r>
      <w:r w:rsidR="00A67109" w:rsidRPr="00406A62">
        <w:rPr>
          <w:rFonts w:ascii="Times New Roman" w:hAnsi="Times New Roman" w:cs="Times New Roman"/>
          <w:szCs w:val="24"/>
        </w:rPr>
        <w:t>Portu Polska</w:t>
      </w:r>
      <w:r w:rsidRPr="00406A62">
        <w:rPr>
          <w:rFonts w:ascii="Times New Roman" w:hAnsi="Times New Roman" w:cs="Times New Roman"/>
          <w:szCs w:val="24"/>
        </w:rPr>
        <w:t xml:space="preserve"> w roku 2032, podjęto decyzję o jego rozbudowie, umożliwiającej obsługę ponad 30 mln </w:t>
      </w:r>
      <w:r w:rsidR="002E7F16" w:rsidRPr="00406A62">
        <w:rPr>
          <w:rFonts w:ascii="Times New Roman" w:hAnsi="Times New Roman" w:cs="Times New Roman"/>
          <w:szCs w:val="24"/>
        </w:rPr>
        <w:t xml:space="preserve">pasażerów </w:t>
      </w:r>
      <w:r w:rsidRPr="00406A62">
        <w:rPr>
          <w:rFonts w:ascii="Times New Roman" w:hAnsi="Times New Roman" w:cs="Times New Roman"/>
          <w:szCs w:val="24"/>
        </w:rPr>
        <w:t>rocznie. W ramach planowanych do realizacji w latach 2026</w:t>
      </w:r>
      <w:r w:rsidR="00917C83" w:rsidRPr="00406A62">
        <w:rPr>
          <w:rFonts w:ascii="Times New Roman" w:hAnsi="Times New Roman" w:cs="Times New Roman"/>
          <w:szCs w:val="24"/>
        </w:rPr>
        <w:t>–</w:t>
      </w:r>
      <w:r w:rsidRPr="00406A62">
        <w:rPr>
          <w:rFonts w:ascii="Times New Roman" w:hAnsi="Times New Roman" w:cs="Times New Roman"/>
          <w:szCs w:val="24"/>
        </w:rPr>
        <w:t>2029 inwestycji zostanie zwiększona liczba stanowisk postojowych dla samolotów oraz zmodernizowany (powiększony o ok. 15%) terminal pasażerski</w:t>
      </w:r>
      <w:r w:rsidR="003B42F5" w:rsidRPr="00406A62">
        <w:rPr>
          <w:rFonts w:ascii="Times New Roman" w:hAnsi="Times New Roman" w:cs="Times New Roman"/>
          <w:szCs w:val="24"/>
        </w:rPr>
        <w:t>.</w:t>
      </w:r>
      <w:r w:rsidR="00B47421" w:rsidRPr="00406A62">
        <w:rPr>
          <w:rFonts w:ascii="Times New Roman" w:hAnsi="Times New Roman" w:cs="Times New Roman"/>
          <w:szCs w:val="24"/>
        </w:rPr>
        <w:t xml:space="preserve"> </w:t>
      </w:r>
      <w:r w:rsidR="003B42F5" w:rsidRPr="00406A62">
        <w:rPr>
          <w:rFonts w:ascii="Times New Roman" w:eastAsiaTheme="minorHAnsi" w:hAnsi="Times New Roman" w:cs="Times New Roman"/>
          <w:szCs w:val="24"/>
          <w:lang w:eastAsia="en-US"/>
        </w:rPr>
        <w:t xml:space="preserve">Inwestycje planowane do realizacji w ramach zwiększenia przepustowości Lotniska Chopina </w:t>
      </w:r>
      <w:r w:rsidR="0098150B" w:rsidRPr="00406A62">
        <w:rPr>
          <w:rFonts w:ascii="Times New Roman" w:eastAsiaTheme="minorHAnsi" w:hAnsi="Times New Roman" w:cs="Times New Roman"/>
          <w:szCs w:val="24"/>
          <w:lang w:eastAsia="en-US"/>
        </w:rPr>
        <w:t>w Warszawie</w:t>
      </w:r>
      <w:r w:rsidR="00917C83" w:rsidRPr="00406A62">
        <w:rPr>
          <w:rFonts w:ascii="Times New Roman" w:eastAsiaTheme="minorHAnsi" w:hAnsi="Times New Roman" w:cs="Times New Roman"/>
          <w:szCs w:val="24"/>
          <w:lang w:eastAsia="en-US"/>
        </w:rPr>
        <w:t xml:space="preserve"> </w:t>
      </w:r>
      <w:r w:rsidR="003B42F5" w:rsidRPr="00406A62">
        <w:rPr>
          <w:rFonts w:ascii="Times New Roman" w:eastAsiaTheme="minorHAnsi" w:hAnsi="Times New Roman" w:cs="Times New Roman"/>
          <w:szCs w:val="24"/>
          <w:lang w:eastAsia="en-US"/>
        </w:rPr>
        <w:t>to między innymi:</w:t>
      </w:r>
    </w:p>
    <w:p w14:paraId="08820C21" w14:textId="77777777" w:rsidR="0098150B" w:rsidRPr="00406A62" w:rsidRDefault="0098150B" w:rsidP="00406A62">
      <w:pPr>
        <w:pStyle w:val="Akapitzlist"/>
        <w:numPr>
          <w:ilvl w:val="0"/>
          <w:numId w:val="6"/>
        </w:numPr>
        <w:spacing w:after="0" w:line="360" w:lineRule="auto"/>
        <w:ind w:left="714" w:hanging="357"/>
        <w:contextualSpacing w:val="0"/>
        <w:jc w:val="both"/>
        <w:rPr>
          <w:rFonts w:ascii="Times New Roman" w:hAnsi="Times New Roman" w:cs="Times New Roman"/>
          <w:sz w:val="24"/>
          <w:szCs w:val="24"/>
        </w:rPr>
      </w:pPr>
      <w:r w:rsidRPr="00406A62">
        <w:rPr>
          <w:rFonts w:ascii="Times New Roman" w:hAnsi="Times New Roman" w:cs="Times New Roman"/>
          <w:sz w:val="24"/>
          <w:szCs w:val="24"/>
        </w:rPr>
        <w:t>przebudowa, rozbudowa terminala oraz przebudowa i rozbudowa układu drogowego</w:t>
      </w:r>
      <w:r w:rsidR="00917C83" w:rsidRPr="00406A62">
        <w:rPr>
          <w:rFonts w:ascii="Times New Roman" w:hAnsi="Times New Roman" w:cs="Times New Roman"/>
          <w:sz w:val="24"/>
          <w:szCs w:val="24"/>
        </w:rPr>
        <w:t>,</w:t>
      </w:r>
    </w:p>
    <w:p w14:paraId="001807B0"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lastRenderedPageBreak/>
        <w:t>budowa obiektów bazy handlingu,</w:t>
      </w:r>
    </w:p>
    <w:p w14:paraId="34EB992B" w14:textId="0432CF28"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budowa nowej Strażnicy Satelitarnej Lotniskowej Służby Ratunkowo</w:t>
      </w:r>
      <w:r w:rsidR="00B6051D" w:rsidRPr="00406A62">
        <w:rPr>
          <w:rFonts w:ascii="Times New Roman" w:hAnsi="Times New Roman" w:cs="Times New Roman"/>
          <w:sz w:val="24"/>
          <w:szCs w:val="24"/>
        </w:rPr>
        <w:t>-</w:t>
      </w:r>
      <w:r w:rsidRPr="00406A62">
        <w:rPr>
          <w:rFonts w:ascii="Times New Roman" w:hAnsi="Times New Roman" w:cs="Times New Roman"/>
          <w:sz w:val="24"/>
          <w:szCs w:val="24"/>
        </w:rPr>
        <w:t>Gaśniczej wraz z infrastrukturą techniczną,</w:t>
      </w:r>
    </w:p>
    <w:p w14:paraId="4D5FE33C"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rozbudowa płyty PPS-12 i PPS-Cargo,</w:t>
      </w:r>
    </w:p>
    <w:p w14:paraId="729D4963"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budowa płyty dla pojazdów agentów obsługi naziemnej,</w:t>
      </w:r>
    </w:p>
    <w:p w14:paraId="17155DF1"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budowa posterunku kontroli bezpieczeństwa nr 12 wraz z infrastrukturą towarzyszącą,</w:t>
      </w:r>
    </w:p>
    <w:p w14:paraId="29C1AD82"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budowa posterunku kontroli bezpieczeństwa nr 14 wraz z infrastrukturą towarzyszącą,</w:t>
      </w:r>
    </w:p>
    <w:p w14:paraId="062A2E98"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przebudowa, budowa parkingów w strefie landside,</w:t>
      </w:r>
    </w:p>
    <w:p w14:paraId="1B4A32F2"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lang w:val="en-GB"/>
        </w:rPr>
      </w:pPr>
      <w:r w:rsidRPr="00406A62">
        <w:rPr>
          <w:rFonts w:ascii="Times New Roman" w:hAnsi="Times New Roman" w:cs="Times New Roman"/>
          <w:sz w:val="24"/>
          <w:szCs w:val="24"/>
          <w:lang w:val="en-GB"/>
        </w:rPr>
        <w:t>budowa systemu AWOS (Automated Weather Observing System),</w:t>
      </w:r>
    </w:p>
    <w:p w14:paraId="08912A76" w14:textId="77777777" w:rsidR="0098150B" w:rsidRPr="00406A62" w:rsidRDefault="0098150B" w:rsidP="00406A62">
      <w:pPr>
        <w:pStyle w:val="Akapitzlist"/>
        <w:numPr>
          <w:ilvl w:val="0"/>
          <w:numId w:val="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budowa budynku do prowadzenia działań Straży Granicznej związanych z realizacją kontroli przesiewowej obywateli państw trzecich na granicach zewnętrznych Unii Europejskiej.</w:t>
      </w:r>
    </w:p>
    <w:p w14:paraId="44169B5A" w14:textId="330D8A7D" w:rsidR="003B42F5" w:rsidRPr="00406A62" w:rsidRDefault="00B47421"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Wartość szacowana inwestycji wyniesie 1</w:t>
      </w:r>
      <w:r w:rsidR="00E260BE" w:rsidRPr="00406A62">
        <w:rPr>
          <w:rFonts w:ascii="Times New Roman" w:hAnsi="Times New Roman" w:cs="Times New Roman"/>
          <w:sz w:val="24"/>
          <w:szCs w:val="24"/>
        </w:rPr>
        <w:t xml:space="preserve"> </w:t>
      </w:r>
      <w:r w:rsidRPr="00406A62">
        <w:rPr>
          <w:rFonts w:ascii="Times New Roman" w:hAnsi="Times New Roman" w:cs="Times New Roman"/>
          <w:sz w:val="24"/>
          <w:szCs w:val="24"/>
        </w:rPr>
        <w:t>430</w:t>
      </w:r>
      <w:r w:rsidR="00E260BE" w:rsidRPr="00406A62">
        <w:rPr>
          <w:rFonts w:ascii="Times New Roman" w:hAnsi="Times New Roman" w:cs="Times New Roman"/>
          <w:sz w:val="24"/>
          <w:szCs w:val="24"/>
        </w:rPr>
        <w:t xml:space="preserve"> </w:t>
      </w:r>
      <w:r w:rsidRPr="00406A62">
        <w:rPr>
          <w:rFonts w:ascii="Times New Roman" w:hAnsi="Times New Roman" w:cs="Times New Roman"/>
          <w:sz w:val="24"/>
          <w:szCs w:val="24"/>
        </w:rPr>
        <w:t>477</w:t>
      </w:r>
      <w:r w:rsidR="00E260BE"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000 </w:t>
      </w:r>
      <w:r w:rsidR="00E260BE" w:rsidRPr="00406A62">
        <w:rPr>
          <w:rFonts w:ascii="Times New Roman" w:hAnsi="Times New Roman" w:cs="Times New Roman"/>
          <w:sz w:val="24"/>
          <w:szCs w:val="24"/>
        </w:rPr>
        <w:t>zł</w:t>
      </w:r>
      <w:r w:rsidRPr="00406A62">
        <w:rPr>
          <w:rFonts w:ascii="Times New Roman" w:hAnsi="Times New Roman" w:cs="Times New Roman"/>
          <w:sz w:val="24"/>
          <w:szCs w:val="24"/>
        </w:rPr>
        <w:t>, co stanowi około 65% inwestycji planowanych w latach 2025</w:t>
      </w:r>
      <w:r w:rsidR="00E260BE" w:rsidRPr="00406A62">
        <w:rPr>
          <w:rFonts w:ascii="Times New Roman" w:hAnsi="Times New Roman" w:cs="Times New Roman"/>
          <w:sz w:val="24"/>
          <w:szCs w:val="24"/>
        </w:rPr>
        <w:t>–</w:t>
      </w:r>
      <w:r w:rsidRPr="00406A62">
        <w:rPr>
          <w:rFonts w:ascii="Times New Roman" w:hAnsi="Times New Roman" w:cs="Times New Roman"/>
          <w:sz w:val="24"/>
          <w:szCs w:val="24"/>
        </w:rPr>
        <w:t>2029.</w:t>
      </w:r>
    </w:p>
    <w:p w14:paraId="3252A529" w14:textId="0CA4CF3D" w:rsidR="005C61E0" w:rsidRPr="00406A62" w:rsidRDefault="00E006A8" w:rsidP="00406A62">
      <w:pPr>
        <w:pStyle w:val="LITlitera"/>
        <w:spacing w:before="120"/>
        <w:ind w:left="0" w:firstLine="0"/>
        <w:rPr>
          <w:rFonts w:ascii="Times New Roman" w:hAnsi="Times New Roman" w:cs="Times New Roman"/>
          <w:b/>
          <w:bCs w:val="0"/>
          <w:szCs w:val="24"/>
        </w:rPr>
      </w:pPr>
      <w:r w:rsidRPr="00406A62">
        <w:rPr>
          <w:rFonts w:ascii="Times New Roman" w:hAnsi="Times New Roman" w:cs="Times New Roman"/>
          <w:b/>
          <w:bCs w:val="0"/>
          <w:iCs/>
          <w:szCs w:val="24"/>
        </w:rPr>
        <w:t>Budowa i przebudowa strefy operacyjnej oraz strefy ogólnodostępnej na terenie Portu Lotniczego Rzeszów-Jasionka oraz</w:t>
      </w:r>
      <w:r w:rsidR="00DB4338" w:rsidRPr="00406A62">
        <w:rPr>
          <w:rFonts w:ascii="Times New Roman" w:hAnsi="Times New Roman" w:cs="Times New Roman"/>
          <w:szCs w:val="24"/>
        </w:rPr>
        <w:t xml:space="preserve"> </w:t>
      </w:r>
      <w:r w:rsidR="00DB4338" w:rsidRPr="00406A62">
        <w:rPr>
          <w:rFonts w:ascii="Times New Roman" w:hAnsi="Times New Roman" w:cs="Times New Roman"/>
          <w:b/>
          <w:bCs w:val="0"/>
          <w:iCs/>
          <w:szCs w:val="24"/>
        </w:rPr>
        <w:t>elementów infrastruktury Portu Lotniczego Rzeszów-Jasionka umożliwiających integrację tego portu lotniczego</w:t>
      </w:r>
      <w:r w:rsidRPr="00406A62">
        <w:rPr>
          <w:rFonts w:ascii="Times New Roman" w:hAnsi="Times New Roman" w:cs="Times New Roman"/>
          <w:b/>
          <w:bCs w:val="0"/>
          <w:iCs/>
          <w:szCs w:val="24"/>
        </w:rPr>
        <w:t xml:space="preserve"> z innymi gałęziami transportu</w:t>
      </w:r>
    </w:p>
    <w:p w14:paraId="2796EB17" w14:textId="57530947" w:rsidR="00E04FFA" w:rsidRPr="00406A62" w:rsidRDefault="00E04FFA" w:rsidP="00406A62">
      <w:pPr>
        <w:pStyle w:val="LITlitera"/>
        <w:spacing w:before="120"/>
        <w:ind w:left="0" w:firstLine="0"/>
        <w:rPr>
          <w:rFonts w:ascii="Times New Roman" w:hAnsi="Times New Roman" w:cs="Times New Roman"/>
          <w:szCs w:val="24"/>
        </w:rPr>
      </w:pPr>
      <w:r w:rsidRPr="00406A62">
        <w:rPr>
          <w:rFonts w:ascii="Times New Roman" w:hAnsi="Times New Roman" w:cs="Times New Roman"/>
          <w:szCs w:val="24"/>
        </w:rPr>
        <w:t>Zamierzeniem zarządzającego lotniskiem Rzeszów-Jasionka jest realizacja inwestycji kluczowych o</w:t>
      </w:r>
      <w:r w:rsidR="005228D7" w:rsidRPr="00406A62">
        <w:rPr>
          <w:rFonts w:ascii="Times New Roman" w:hAnsi="Times New Roman" w:cs="Times New Roman"/>
          <w:szCs w:val="24"/>
        </w:rPr>
        <w:t> </w:t>
      </w:r>
      <w:r w:rsidRPr="00406A62">
        <w:rPr>
          <w:rFonts w:ascii="Times New Roman" w:hAnsi="Times New Roman" w:cs="Times New Roman"/>
          <w:szCs w:val="24"/>
        </w:rPr>
        <w:t>znaczeniu strategicznym z przeznaczeniem podwójnego ich wykorzystania cywilno-wojskowego oraz podnoszących bezpieczeństwo operacyjne lotniska w kontekście ruchu lotniczego.</w:t>
      </w:r>
    </w:p>
    <w:p w14:paraId="63C598FC" w14:textId="6B15B796" w:rsidR="00E04FFA" w:rsidRPr="00406A62" w:rsidRDefault="00E04FFA" w:rsidP="00406A62">
      <w:pPr>
        <w:pStyle w:val="LITlitera"/>
        <w:spacing w:before="120"/>
        <w:ind w:left="0" w:firstLine="0"/>
        <w:rPr>
          <w:rFonts w:ascii="Times New Roman" w:hAnsi="Times New Roman" w:cs="Times New Roman"/>
          <w:szCs w:val="24"/>
        </w:rPr>
      </w:pPr>
      <w:r w:rsidRPr="00406A62">
        <w:rPr>
          <w:rFonts w:ascii="Times New Roman" w:hAnsi="Times New Roman" w:cs="Times New Roman"/>
          <w:szCs w:val="24"/>
        </w:rPr>
        <w:t>W zakresie syntetycznie wskazanych poniżej inwestycji:</w:t>
      </w:r>
    </w:p>
    <w:p w14:paraId="2E8AEE43" w14:textId="7BA0F38A"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„II etap budowy równoległej drogi kołowania oraz I etap przebudowy drogi startowej na odcinku o długości ok. 700 m wraz z infrastrukturą techniczną na lotnisku Rzeszów-Jasionka” – zakres z</w:t>
      </w:r>
      <w:r w:rsidR="00917C83" w:rsidRPr="00406A62">
        <w:rPr>
          <w:rFonts w:ascii="Times New Roman" w:hAnsi="Times New Roman" w:cs="Times New Roman"/>
          <w:szCs w:val="24"/>
        </w:rPr>
        <w:t>a</w:t>
      </w:r>
      <w:r w:rsidRPr="00406A62">
        <w:rPr>
          <w:rFonts w:ascii="Times New Roman" w:hAnsi="Times New Roman" w:cs="Times New Roman"/>
          <w:szCs w:val="24"/>
        </w:rPr>
        <w:t>dania obejmuje budowę II etapu równoległej drogi kołowania, dwóch prostopadłych łączników drogi kołowania z drogą startową oraz nawierzchni do zawracania samolotów przy progu od wschodniej części lotniska, a także przebudowa istniejącej drogi startowej na odcinku 700 m. Inwestycja jest współfinansowana ze środków Unii Europejskiej w ramach instrumentu „Łącząc Europę” 2021</w:t>
      </w:r>
      <w:r w:rsidR="00917C83" w:rsidRPr="00406A62">
        <w:rPr>
          <w:rFonts w:ascii="Times New Roman" w:hAnsi="Times New Roman" w:cs="Times New Roman"/>
          <w:szCs w:val="24"/>
        </w:rPr>
        <w:t>–</w:t>
      </w:r>
      <w:r w:rsidRPr="00406A62">
        <w:rPr>
          <w:rFonts w:ascii="Times New Roman" w:hAnsi="Times New Roman" w:cs="Times New Roman"/>
          <w:szCs w:val="24"/>
        </w:rPr>
        <w:t>2027 (CEF Military Mobility),</w:t>
      </w:r>
    </w:p>
    <w:p w14:paraId="22E35DB4" w14:textId="460E8983"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„II etap przebudowy drogi startowej na odcinku o długości ok. 1800 m wraz z</w:t>
      </w:r>
      <w:r w:rsidR="00BD3B0C" w:rsidRPr="00406A62">
        <w:rPr>
          <w:rFonts w:ascii="Times New Roman" w:hAnsi="Times New Roman" w:cs="Times New Roman"/>
          <w:szCs w:val="24"/>
        </w:rPr>
        <w:t> </w:t>
      </w:r>
      <w:r w:rsidRPr="00406A62">
        <w:rPr>
          <w:rFonts w:ascii="Times New Roman" w:hAnsi="Times New Roman" w:cs="Times New Roman"/>
          <w:szCs w:val="24"/>
        </w:rPr>
        <w:t>infrastrukturą techniczną na lotnisku Rzeszów-Jasionka” – zakres z</w:t>
      </w:r>
      <w:r w:rsidR="006D58DC" w:rsidRPr="00406A62">
        <w:rPr>
          <w:rFonts w:ascii="Times New Roman" w:hAnsi="Times New Roman" w:cs="Times New Roman"/>
          <w:szCs w:val="24"/>
        </w:rPr>
        <w:t>a</w:t>
      </w:r>
      <w:r w:rsidRPr="00406A62">
        <w:rPr>
          <w:rFonts w:ascii="Times New Roman" w:hAnsi="Times New Roman" w:cs="Times New Roman"/>
          <w:szCs w:val="24"/>
        </w:rPr>
        <w:t xml:space="preserve">dania obejmuje </w:t>
      </w:r>
      <w:r w:rsidRPr="00406A62">
        <w:rPr>
          <w:rFonts w:ascii="Times New Roman" w:hAnsi="Times New Roman" w:cs="Times New Roman"/>
          <w:szCs w:val="24"/>
        </w:rPr>
        <w:lastRenderedPageBreak/>
        <w:t xml:space="preserve">przebudowę środkowego </w:t>
      </w:r>
      <w:r w:rsidR="001F09DC" w:rsidRPr="00406A62">
        <w:rPr>
          <w:rFonts w:ascii="Times New Roman" w:hAnsi="Times New Roman" w:cs="Times New Roman"/>
          <w:szCs w:val="24"/>
        </w:rPr>
        <w:t xml:space="preserve">odcinka </w:t>
      </w:r>
      <w:r w:rsidRPr="00406A62">
        <w:rPr>
          <w:rFonts w:ascii="Times New Roman" w:hAnsi="Times New Roman" w:cs="Times New Roman"/>
          <w:szCs w:val="24"/>
        </w:rPr>
        <w:t>pasa startowego na długości 1800 m celem wzmocnienia jej konstrukcji oraz dogęszczenie opraw oświetlenia nawigacyjnego. Prace będą realizowane etapami, co pozwoli zminimalizować ograniczenia w prowadzeniu operacji lotniczych. Inwestycja jest współfinansowana ze środków Unii Europejskiej w ramach instrumentu „Łącząc Europę” 2021</w:t>
      </w:r>
      <w:r w:rsidR="00917C83" w:rsidRPr="00406A62">
        <w:rPr>
          <w:rFonts w:ascii="Times New Roman" w:hAnsi="Times New Roman" w:cs="Times New Roman"/>
          <w:szCs w:val="24"/>
        </w:rPr>
        <w:t>–</w:t>
      </w:r>
      <w:r w:rsidRPr="00406A62">
        <w:rPr>
          <w:rFonts w:ascii="Times New Roman" w:hAnsi="Times New Roman" w:cs="Times New Roman"/>
          <w:szCs w:val="24"/>
        </w:rPr>
        <w:t>2027 (CEF Military Mobility),</w:t>
      </w:r>
    </w:p>
    <w:p w14:paraId="078E824F" w14:textId="0F7AD104"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„Budowa nowego wjazdu na teren zastrzeżony Portu Lotniczego „Rzeszów-Jasionka” Sp. z o.o. wraz z infrastrukturą towarzyszącą” – zakres z</w:t>
      </w:r>
      <w:r w:rsidR="00917C83" w:rsidRPr="00406A62">
        <w:rPr>
          <w:rFonts w:ascii="Times New Roman" w:hAnsi="Times New Roman" w:cs="Times New Roman"/>
          <w:szCs w:val="24"/>
        </w:rPr>
        <w:t>a</w:t>
      </w:r>
      <w:r w:rsidRPr="00406A62">
        <w:rPr>
          <w:rFonts w:ascii="Times New Roman" w:hAnsi="Times New Roman" w:cs="Times New Roman"/>
          <w:szCs w:val="24"/>
        </w:rPr>
        <w:t>dania obejmuje budowę nowych obiektów kubaturowych służących do obsługi i kontroli osób, pojazdów oraz towarów; budowę zadaszonej, 3-pasmowej śluzy kontroli pojazdów, a także budowę i przebudowę infrastruktury towarzyszącej. W ramach zadania zostanie także zrealizowane wyposażenie obiektów nowego wjazdu w urządzenia i systemy bezpieczeństwa, kontroli oraz monitoringu, w tym kontroli rentgenowskiej i radiometrycznej bagażu i przewożonych ładunków. Inwestycja jest współfinansowana ze środków Unii Europejskiej w ramach działania FENX.04.03 Infrastruktura lotnicza w sieci TEN-T, priorytet FENX.04 Wsparcie sektora transportu z</w:t>
      </w:r>
      <w:r w:rsidR="00BD3B0C" w:rsidRPr="00406A62">
        <w:rPr>
          <w:rFonts w:ascii="Times New Roman" w:hAnsi="Times New Roman" w:cs="Times New Roman"/>
          <w:szCs w:val="24"/>
        </w:rPr>
        <w:t> </w:t>
      </w:r>
      <w:r w:rsidRPr="00406A62">
        <w:rPr>
          <w:rFonts w:ascii="Times New Roman" w:hAnsi="Times New Roman" w:cs="Times New Roman"/>
          <w:szCs w:val="24"/>
        </w:rPr>
        <w:t>Funduszu Spójności Programu Fundusze Europejskie na Infrastrukturę, Klimat, Środowisko (FEnIKS) 2021–2027,</w:t>
      </w:r>
    </w:p>
    <w:p w14:paraId="0129C1DB" w14:textId="304B6320"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„Przebudowa i rozbudowa terminalu pasażerskiego wschodniego T2 w zakresie jego funkcjonalności i przystosowania do komponentu mobilności wojskowej wraz z</w:t>
      </w:r>
      <w:r w:rsidR="00BD3B0C" w:rsidRPr="00406A62">
        <w:rPr>
          <w:rFonts w:ascii="Times New Roman" w:hAnsi="Times New Roman" w:cs="Times New Roman"/>
          <w:szCs w:val="24"/>
        </w:rPr>
        <w:t> </w:t>
      </w:r>
      <w:r w:rsidRPr="00406A62">
        <w:rPr>
          <w:rFonts w:ascii="Times New Roman" w:hAnsi="Times New Roman" w:cs="Times New Roman"/>
          <w:szCs w:val="24"/>
        </w:rPr>
        <w:t>infrastrukturą towarzyszącą” – zakres zadania obejmuje realizację międzynarodowego terminala pasażerskiego wyposażonego w niezbędne pomieszczenia dla służb technicznych, operacyjnych, wojskowych, straży granicznej, służb celno-skarbowych oraz pomieszczeń biurowych wraz z infrastrukturą towarzyszącą. Podstawowym celem projektu jest niezbędne techniczne i funkcjonalne dostosowanie istniejącej infrastruktury terminalowej, celem zapewnienia zdolności wojsk do szybkiego i sprawnego przemieszczania personelu militarnego i ratunkowego, zwłaszcza w ramach współpracy NATO i Unii Europejskiej. Dodatkowo powstały obiekt w sytuacji kryzysowej będzie mógł być wykorzystany jako miejsce ewakuacji i</w:t>
      </w:r>
      <w:r w:rsidR="00BD3B0C" w:rsidRPr="00406A62">
        <w:rPr>
          <w:rFonts w:ascii="Times New Roman" w:hAnsi="Times New Roman" w:cs="Times New Roman"/>
          <w:szCs w:val="24"/>
        </w:rPr>
        <w:t> </w:t>
      </w:r>
      <w:r w:rsidRPr="00406A62">
        <w:rPr>
          <w:rFonts w:ascii="Times New Roman" w:hAnsi="Times New Roman" w:cs="Times New Roman"/>
          <w:szCs w:val="24"/>
        </w:rPr>
        <w:t>schronienia, a także jako centrum zarządzania akcjami ratowniczymi lub centrum dowodzenia,</w:t>
      </w:r>
    </w:p>
    <w:p w14:paraId="39FEA807" w14:textId="16842DAA"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 xml:space="preserve">zadanie pn. „Budowa magazynów i obiektów do obsługi transportu lotniczego o podwójnym cywilno-wojskowym zastosowaniu wraz z infrastrukturą towarzyszącą” – </w:t>
      </w:r>
      <w:r w:rsidRPr="00406A62">
        <w:rPr>
          <w:rFonts w:ascii="Times New Roman" w:hAnsi="Times New Roman" w:cs="Times New Roman"/>
          <w:szCs w:val="24"/>
        </w:rPr>
        <w:lastRenderedPageBreak/>
        <w:t>zakres zadania obejmuje budowę obiektów kubaturowych, dróg dojazdowych nawierzchni lotniskowych z</w:t>
      </w:r>
      <w:r w:rsidR="00BD3B0C" w:rsidRPr="00406A62">
        <w:rPr>
          <w:rFonts w:ascii="Times New Roman" w:hAnsi="Times New Roman" w:cs="Times New Roman"/>
          <w:szCs w:val="24"/>
        </w:rPr>
        <w:t> </w:t>
      </w:r>
      <w:r w:rsidRPr="00406A62">
        <w:rPr>
          <w:rFonts w:ascii="Times New Roman" w:hAnsi="Times New Roman" w:cs="Times New Roman"/>
          <w:szCs w:val="24"/>
        </w:rPr>
        <w:t>przeznaczeniem na postój statków powietrznych wraz z niezbędna infrastrukturą towarzyszącą. W ramach zadania zostanie także zrealizowane wyposażenie obiektów w</w:t>
      </w:r>
      <w:r w:rsidR="00BD3B0C" w:rsidRPr="00406A62">
        <w:rPr>
          <w:rFonts w:ascii="Times New Roman" w:hAnsi="Times New Roman" w:cs="Times New Roman"/>
          <w:szCs w:val="24"/>
        </w:rPr>
        <w:t> </w:t>
      </w:r>
      <w:r w:rsidRPr="00406A62">
        <w:rPr>
          <w:rFonts w:ascii="Times New Roman" w:hAnsi="Times New Roman" w:cs="Times New Roman"/>
          <w:szCs w:val="24"/>
        </w:rPr>
        <w:t>urządzenia i systemy bezpieczeństwa, kontroli oraz monitoringu, w tym kontroli rentgenowskiej i radiometrycznej przewożonych ładunków. Budowa zaplecza magazynowego do obsługi towarów cargo o podwójnym, cywilno-wojskowym zastosowaniu (mobility military) to kluczowy element strategii rozwoju infrastruktury, zapewniający obsługę ruchu lotniczego zarówno w czasie pokoju, jak i w sytuacjach kryzysowych, co wymaga specjalistycznych rozwiązań logistycznych i technologicznych.</w:t>
      </w:r>
    </w:p>
    <w:p w14:paraId="7980FA98" w14:textId="03C07C0E"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„Budowa instalacji fotowoltaicznej i magazynów energii na potrzeby zasilania infrastruktury krytycznej lotniska – zakres zadania obejmuje budowę instalacji fotowoltaicznej o mocy ok. 5 MW wraz z magazynami energii na terenie lotniska i jej połączenie do istniejącej infrastruktury energetycznej portu. Realizacja zadania wpisuje się w zwiększenie dostępności infrastruktury niskoemisyjnej, zarówno w kontekście infrastruktury istniejącej jak i</w:t>
      </w:r>
      <w:r w:rsidR="00BD3B0C" w:rsidRPr="00406A62">
        <w:rPr>
          <w:rFonts w:ascii="Times New Roman" w:hAnsi="Times New Roman" w:cs="Times New Roman"/>
          <w:szCs w:val="24"/>
        </w:rPr>
        <w:t> </w:t>
      </w:r>
      <w:r w:rsidRPr="00406A62">
        <w:rPr>
          <w:rFonts w:ascii="Times New Roman" w:hAnsi="Times New Roman" w:cs="Times New Roman"/>
          <w:szCs w:val="24"/>
        </w:rPr>
        <w:t>projektowanej oraz pozwala zwiększyć bezpieczeństwo energetyczne lotniska,</w:t>
      </w:r>
    </w:p>
    <w:p w14:paraId="641A8DA8" w14:textId="2C41F365" w:rsidR="00E04FFA" w:rsidRPr="00406A62" w:rsidRDefault="00E04FFA" w:rsidP="00406A62">
      <w:pPr>
        <w:pStyle w:val="LITlitera"/>
        <w:numPr>
          <w:ilvl w:val="0"/>
          <w:numId w:val="45"/>
        </w:numPr>
        <w:spacing w:before="120"/>
        <w:rPr>
          <w:rFonts w:ascii="Times New Roman" w:hAnsi="Times New Roman" w:cs="Times New Roman"/>
          <w:szCs w:val="24"/>
        </w:rPr>
      </w:pPr>
      <w:r w:rsidRPr="00406A62">
        <w:rPr>
          <w:rFonts w:ascii="Times New Roman" w:hAnsi="Times New Roman" w:cs="Times New Roman"/>
          <w:szCs w:val="24"/>
        </w:rPr>
        <w:t>zadanie pn. „Przebudowa i rozbudowa płaszczyzn postoju samolotów PPS1 i PPS3 wraz z</w:t>
      </w:r>
      <w:r w:rsidR="00BD3B0C" w:rsidRPr="00406A62">
        <w:rPr>
          <w:rFonts w:ascii="Times New Roman" w:hAnsi="Times New Roman" w:cs="Times New Roman"/>
          <w:szCs w:val="24"/>
        </w:rPr>
        <w:t> </w:t>
      </w:r>
      <w:r w:rsidRPr="00406A62">
        <w:rPr>
          <w:rFonts w:ascii="Times New Roman" w:hAnsi="Times New Roman" w:cs="Times New Roman"/>
          <w:szCs w:val="24"/>
        </w:rPr>
        <w:t>infrastrukturą towarzyszącą” - zakres zadania obejmuje budowę nowych miejsc postoju samolotów oraz przebudowę istniejących płaszczyzn w zakresie ich dostosowania do potrzeb zasilania statków powietrznych. Z uwagi na przynależność do transeuropejskiej sieci transportowej (TEN-T) Lotniska EPRZ, realizacja zadania przez zwiększenie miejsc dla postoju samolotów, przyczynia się do ponad granicznej synergii w kontekście wojskowym. Jego lokalizacja w południowej części kraju, w pobliżu granicy ze Słowacją oraz w pobliżu wschodniej granicy z Ukrainą, umożliwia wykorzystanie lotniska jako lotnisko docelowe lub zapasowe w razie konieczności przemieszczania polskich lub europejskich sił zbrojnych w celu wsparci</w:t>
      </w:r>
      <w:r w:rsidR="00917C83" w:rsidRPr="00406A62">
        <w:rPr>
          <w:rFonts w:ascii="Times New Roman" w:hAnsi="Times New Roman" w:cs="Times New Roman"/>
          <w:szCs w:val="24"/>
        </w:rPr>
        <w:t>a</w:t>
      </w:r>
      <w:r w:rsidRPr="00406A62">
        <w:rPr>
          <w:rFonts w:ascii="Times New Roman" w:hAnsi="Times New Roman" w:cs="Times New Roman"/>
          <w:szCs w:val="24"/>
        </w:rPr>
        <w:t xml:space="preserve"> operacji w ramach sił NATO lub UE.</w:t>
      </w:r>
    </w:p>
    <w:p w14:paraId="69B94A5C" w14:textId="77777777" w:rsidR="00F02AC3" w:rsidRPr="00406A62" w:rsidRDefault="003711A0" w:rsidP="00406A62">
      <w:pPr>
        <w:spacing w:before="120" w:after="0" w:line="360" w:lineRule="auto"/>
        <w:jc w:val="both"/>
        <w:rPr>
          <w:rFonts w:ascii="Times New Roman" w:eastAsiaTheme="minorEastAsia" w:hAnsi="Times New Roman" w:cs="Times New Roman"/>
          <w:b/>
          <w:bCs/>
          <w:sz w:val="24"/>
          <w:szCs w:val="24"/>
          <w:lang w:eastAsia="pl-PL"/>
        </w:rPr>
      </w:pPr>
      <w:r w:rsidRPr="00406A62">
        <w:rPr>
          <w:rFonts w:ascii="Times New Roman" w:eastAsiaTheme="minorEastAsia" w:hAnsi="Times New Roman" w:cs="Times New Roman"/>
          <w:b/>
          <w:bCs/>
          <w:sz w:val="24"/>
          <w:szCs w:val="24"/>
          <w:lang w:eastAsia="pl-PL"/>
        </w:rPr>
        <w:t>Rozbudowa i przebudowa strefy operacyjnej oraz strefy ogólnodostępnej na terenie Mazowieckiego Portu Lotniczego Warszawa-Modlin</w:t>
      </w:r>
    </w:p>
    <w:p w14:paraId="04668D95" w14:textId="77777777" w:rsidR="00631C48" w:rsidRPr="00406A62" w:rsidRDefault="00C53A8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Cs/>
          <w:sz w:val="24"/>
          <w:szCs w:val="24"/>
        </w:rPr>
        <w:t>Z</w:t>
      </w:r>
      <w:r w:rsidR="004152E6" w:rsidRPr="00406A62">
        <w:rPr>
          <w:rFonts w:ascii="Times New Roman" w:hAnsi="Times New Roman" w:cs="Times New Roman"/>
          <w:bCs/>
          <w:sz w:val="24"/>
          <w:szCs w:val="24"/>
        </w:rPr>
        <w:t>arządzający lotniskiem</w:t>
      </w:r>
      <w:r w:rsidR="004152E6" w:rsidRPr="00406A62">
        <w:rPr>
          <w:rFonts w:ascii="Times New Roman" w:hAnsi="Times New Roman" w:cs="Times New Roman"/>
          <w:sz w:val="24"/>
          <w:szCs w:val="24"/>
        </w:rPr>
        <w:t xml:space="preserve"> </w:t>
      </w:r>
      <w:r w:rsidR="005C61E0" w:rsidRPr="00406A62">
        <w:rPr>
          <w:rFonts w:ascii="Times New Roman" w:hAnsi="Times New Roman" w:cs="Times New Roman"/>
          <w:sz w:val="24"/>
          <w:szCs w:val="24"/>
        </w:rPr>
        <w:t>Warszawa</w:t>
      </w:r>
      <w:r w:rsidRPr="00406A62">
        <w:rPr>
          <w:rFonts w:ascii="Times New Roman" w:hAnsi="Times New Roman" w:cs="Times New Roman"/>
          <w:sz w:val="24"/>
          <w:szCs w:val="24"/>
        </w:rPr>
        <w:t>-</w:t>
      </w:r>
      <w:r w:rsidR="005C61E0" w:rsidRPr="00406A62">
        <w:rPr>
          <w:rFonts w:ascii="Times New Roman" w:hAnsi="Times New Roman" w:cs="Times New Roman"/>
          <w:sz w:val="24"/>
          <w:szCs w:val="24"/>
        </w:rPr>
        <w:t xml:space="preserve">Modlin </w:t>
      </w:r>
      <w:r w:rsidR="004152E6" w:rsidRPr="00406A62">
        <w:rPr>
          <w:rFonts w:ascii="Times New Roman" w:hAnsi="Times New Roman" w:cs="Times New Roman"/>
          <w:sz w:val="24"/>
          <w:szCs w:val="24"/>
        </w:rPr>
        <w:t xml:space="preserve">podzielił plan rozbudowy </w:t>
      </w:r>
      <w:r w:rsidR="00C01F35" w:rsidRPr="00406A62">
        <w:rPr>
          <w:rFonts w:ascii="Times New Roman" w:hAnsi="Times New Roman" w:cs="Times New Roman"/>
          <w:sz w:val="24"/>
          <w:szCs w:val="24"/>
        </w:rPr>
        <w:t>na trzy etapy:</w:t>
      </w:r>
    </w:p>
    <w:p w14:paraId="6D523EA7" w14:textId="165BF950" w:rsidR="0098150B" w:rsidRPr="00406A62" w:rsidRDefault="0098150B" w:rsidP="00406A62">
      <w:pPr>
        <w:pStyle w:val="Akapitzlist"/>
        <w:numPr>
          <w:ilvl w:val="0"/>
          <w:numId w:val="8"/>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lastRenderedPageBreak/>
        <w:t>I etap – lata 2024–2029, kluczowe inwestycje: rozbudowa części terminalowej, rozbudowa płyt PPS1 o 5 stanowisk dla statków powietrznych, remonty kapitalne i modernizacje starych nawierzchni istniejących dróg kołowania i PPS, remonty cząstkowe istniejącej drogi startowej, inwestycje towarzyszące i odtworzeniowe (maszyny, urządzenia i pojazdy lotniskowe, ciągi kontroli bezpieczeństwa, pasażerów i bagażu, system bagażowy), budowa strażnicy LSRG południowej, budowa powierzchni biurowej i socjalnej, budowa infrastruktury drogowej i</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parkingowej, rozbudowa sieci, instalacji i systemów lotniskowych zewnętrznych i</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wewnętrznych, opracowanie dokumentacji projektowej na realizowane inwestycje I etapu.</w:t>
      </w:r>
    </w:p>
    <w:p w14:paraId="073A8F59" w14:textId="1B8C1DD1" w:rsidR="0098150B" w:rsidRPr="00406A62" w:rsidRDefault="0098150B" w:rsidP="00406A62">
      <w:pPr>
        <w:pStyle w:val="Akapitzlist"/>
        <w:numPr>
          <w:ilvl w:val="0"/>
          <w:numId w:val="8"/>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II etap – lata 2030–2035, kluczowe inwestycje: budowa nowej drogi startowej długości 3500m z elementami PRN koniecznymi do jej uruchomienia w tym m.in. nowe drogi kołowania, drogi szybkiego zejścia, płyty do odladzania, nowe stanowiska postojowe dla statków powietrznych, płyta SWW wraz z urządzeniami i systemami nawigacyjnymi i lotniskowymi, instalacjami systemami i sieciami energetycznymi, teletechnicznymi i sanitarnymi, strażnica LSRG północna, budowa hangarów na potrzeby utrzymania lotniska, rozwój infrastruktury lotniskowej kubaturowej i drogowej wspomagającej obsługę operacji lotniczych, budowa II terminala pasażerskiego z kompletnym wyposażeniem w systemy odpraw i kontroli pasażerów i bagażu z wyposażeniem użytkowym i technicznym oraz infrastrukturą towarzyszącą drogową i instalacyjną, rozbudowa powierzchni operacyjnej magazynowej, biurowej i socjalnej, zakupy środków trwałych umożliwiających obsługę pasażerów w związku z większym ruchem lotniczym, zakupy urządzeń, maszyn i pojazdów lotniskowych, opracowanie dokumentacji projektowej i środowiskowej do realizacji II etapu.</w:t>
      </w:r>
    </w:p>
    <w:p w14:paraId="6C99F46A" w14:textId="7CF8E809" w:rsidR="0098150B" w:rsidRPr="00406A62" w:rsidRDefault="0098150B" w:rsidP="00406A62">
      <w:pPr>
        <w:pStyle w:val="Akapitzlist"/>
        <w:numPr>
          <w:ilvl w:val="0"/>
          <w:numId w:val="8"/>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III etap – 2036–2048, inwestycje zakładające dalszy rozwój portu lotniczego obejmujące m.in. rozbudowę elementów Pola Ruchu Naziemnego, infrastruktury terminalowej pasażerskiej i</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cargo, zakup i wymiana urządzeń, sprzętu, rozbudowa sieci i instalacji.</w:t>
      </w:r>
    </w:p>
    <w:p w14:paraId="6942715A" w14:textId="727FFF21" w:rsidR="00631C48" w:rsidRPr="00406A62" w:rsidRDefault="00C01F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Dotychczasowa droga startowa, po wybudowaniu nowej, będzie pełniła rolę drogi kołowania. Takie rozwiązanie przyczyni się do zwiększenia przepustowości pola manewrowego. Jednocześnie planuje się </w:t>
      </w:r>
      <w:r w:rsidR="00A251BF" w:rsidRPr="00406A62">
        <w:rPr>
          <w:rFonts w:ascii="Times New Roman" w:hAnsi="Times New Roman" w:cs="Times New Roman"/>
          <w:sz w:val="24"/>
          <w:szCs w:val="24"/>
        </w:rPr>
        <w:t xml:space="preserve">realizację </w:t>
      </w:r>
      <w:r w:rsidRPr="00406A62">
        <w:rPr>
          <w:rFonts w:ascii="Times New Roman" w:hAnsi="Times New Roman" w:cs="Times New Roman"/>
          <w:sz w:val="24"/>
          <w:szCs w:val="24"/>
        </w:rPr>
        <w:t>inwestycji związanych z uruchomieniem terminala CARGO, rozbudową terminala pasażerskiego, budową parkingu wielopoziomowego</w:t>
      </w:r>
      <w:r w:rsidR="00A251BF" w:rsidRPr="00406A62">
        <w:rPr>
          <w:rFonts w:ascii="Times New Roman" w:hAnsi="Times New Roman" w:cs="Times New Roman"/>
          <w:sz w:val="24"/>
          <w:szCs w:val="24"/>
        </w:rPr>
        <w:t>,</w:t>
      </w:r>
      <w:r w:rsidRPr="00406A62">
        <w:rPr>
          <w:rFonts w:ascii="Times New Roman" w:hAnsi="Times New Roman" w:cs="Times New Roman"/>
          <w:sz w:val="24"/>
          <w:szCs w:val="24"/>
        </w:rPr>
        <w:t xml:space="preserve"> a także rozbudowę infrastruktury lotniczej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 xml:space="preserve">tym: </w:t>
      </w:r>
      <w:r w:rsidR="00F61439" w:rsidRPr="00406A62">
        <w:rPr>
          <w:rFonts w:ascii="Times New Roman" w:hAnsi="Times New Roman" w:cs="Times New Roman"/>
          <w:sz w:val="24"/>
          <w:szCs w:val="24"/>
        </w:rPr>
        <w:t xml:space="preserve">zwiększenie </w:t>
      </w:r>
      <w:r w:rsidRPr="00406A62">
        <w:rPr>
          <w:rFonts w:ascii="Times New Roman" w:hAnsi="Times New Roman" w:cs="Times New Roman"/>
          <w:sz w:val="24"/>
          <w:szCs w:val="24"/>
        </w:rPr>
        <w:t xml:space="preserve">liczby płyt postojowych dla statków powietrznych, budowę stanowisk do odladzania samolotów bliżej progu drogi startowej, </w:t>
      </w:r>
      <w:r w:rsidRPr="00406A62">
        <w:rPr>
          <w:rFonts w:ascii="Times New Roman" w:hAnsi="Times New Roman" w:cs="Times New Roman"/>
          <w:sz w:val="24"/>
          <w:szCs w:val="24"/>
        </w:rPr>
        <w:lastRenderedPageBreak/>
        <w:t>rozbudowę dróg kołowania.</w:t>
      </w:r>
      <w:r w:rsidR="00E4520D" w:rsidRPr="00406A62">
        <w:rPr>
          <w:rFonts w:ascii="Times New Roman" w:hAnsi="Times New Roman" w:cs="Times New Roman"/>
          <w:sz w:val="24"/>
          <w:szCs w:val="24"/>
        </w:rPr>
        <w:t xml:space="preserve"> </w:t>
      </w:r>
      <w:r w:rsidR="00A251BF" w:rsidRPr="00406A62">
        <w:rPr>
          <w:rFonts w:ascii="Times New Roman" w:hAnsi="Times New Roman" w:cs="Times New Roman"/>
          <w:sz w:val="24"/>
          <w:szCs w:val="24"/>
        </w:rPr>
        <w:t xml:space="preserve">Zaplanowano </w:t>
      </w:r>
      <w:r w:rsidR="00631C48" w:rsidRPr="00406A62">
        <w:rPr>
          <w:rFonts w:ascii="Times New Roman" w:hAnsi="Times New Roman" w:cs="Times New Roman"/>
          <w:sz w:val="24"/>
          <w:szCs w:val="24"/>
        </w:rPr>
        <w:t xml:space="preserve">także rozbudowę elementów infrastruktury lotniskowej towarzyszącej z wyposażeniem technicznym jak LSRG, hangary utrzymania, zaplecze biurowe oraz inwestycje zwiększające dostępność lotniska w tym nowe parkingi, obiekty biurowe itp. oraz inwestycje odtworzeniowe sprzętu i systemów lotniskowych. </w:t>
      </w:r>
      <w:r w:rsidRPr="00406A62">
        <w:rPr>
          <w:rFonts w:ascii="Times New Roman" w:hAnsi="Times New Roman" w:cs="Times New Roman"/>
          <w:sz w:val="24"/>
          <w:szCs w:val="24"/>
        </w:rPr>
        <w:t xml:space="preserve">Zakłada się również realizację </w:t>
      </w:r>
      <w:r w:rsidR="002E6528" w:rsidRPr="00406A62">
        <w:rPr>
          <w:rFonts w:ascii="Times New Roman" w:hAnsi="Times New Roman" w:cs="Times New Roman"/>
          <w:sz w:val="24"/>
          <w:szCs w:val="24"/>
        </w:rPr>
        <w:t xml:space="preserve">inwestycji </w:t>
      </w:r>
      <w:r w:rsidRPr="00406A62">
        <w:rPr>
          <w:rFonts w:ascii="Times New Roman" w:hAnsi="Times New Roman" w:cs="Times New Roman"/>
          <w:sz w:val="24"/>
          <w:szCs w:val="24"/>
        </w:rPr>
        <w:t>celu publicznego w zakresie transportu kolejowego tj. budowę odcinka linii kolejowej od stacji Modlin do Mazowieckiego Portu Lotniczego (MPL) Warszawa/Modlin oraz budowę stacji kolejowej Mazowiecki Port Lotniczy (MPL) Warszawa/Modlin.</w:t>
      </w:r>
    </w:p>
    <w:p w14:paraId="63F08CAC" w14:textId="06C1D48F" w:rsidR="00A66450" w:rsidRPr="00406A62" w:rsidRDefault="00631C48"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Szacowany koszt nakładów inwestycyjnych, które umożliwią rozwój tego lotni</w:t>
      </w:r>
      <w:r w:rsidR="00F61439" w:rsidRPr="00406A62">
        <w:rPr>
          <w:rFonts w:ascii="Times New Roman" w:hAnsi="Times New Roman" w:cs="Times New Roman"/>
          <w:sz w:val="24"/>
          <w:szCs w:val="24"/>
        </w:rPr>
        <w:t>s</w:t>
      </w:r>
      <w:r w:rsidRPr="00406A62">
        <w:rPr>
          <w:rFonts w:ascii="Times New Roman" w:hAnsi="Times New Roman" w:cs="Times New Roman"/>
          <w:sz w:val="24"/>
          <w:szCs w:val="24"/>
        </w:rPr>
        <w:t>ka w komplementarnym wymiarze i odpowiadają wszelkim potrzebom ujętym w Master Planie lotniska, zaplanowanych w latach od 2025</w:t>
      </w:r>
      <w:r w:rsidR="00F61439" w:rsidRPr="00406A62">
        <w:rPr>
          <w:rFonts w:ascii="Times New Roman" w:hAnsi="Times New Roman" w:cs="Times New Roman"/>
          <w:sz w:val="24"/>
          <w:szCs w:val="24"/>
        </w:rPr>
        <w:t>–</w:t>
      </w:r>
      <w:r w:rsidRPr="00406A62">
        <w:rPr>
          <w:rFonts w:ascii="Times New Roman" w:hAnsi="Times New Roman" w:cs="Times New Roman"/>
          <w:sz w:val="24"/>
          <w:szCs w:val="24"/>
        </w:rPr>
        <w:t>2039, wynosi łącznie 2</w:t>
      </w:r>
      <w:r w:rsidR="00A251BF" w:rsidRPr="00406A62">
        <w:rPr>
          <w:rFonts w:ascii="Times New Roman" w:hAnsi="Times New Roman" w:cs="Times New Roman"/>
          <w:sz w:val="24"/>
          <w:szCs w:val="24"/>
        </w:rPr>
        <w:t> </w:t>
      </w:r>
      <w:r w:rsidRPr="00406A62">
        <w:rPr>
          <w:rFonts w:ascii="Times New Roman" w:hAnsi="Times New Roman" w:cs="Times New Roman"/>
          <w:sz w:val="24"/>
          <w:szCs w:val="24"/>
        </w:rPr>
        <w:t>200</w:t>
      </w:r>
      <w:r w:rsidR="00A251BF"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mln </w:t>
      </w:r>
      <w:r w:rsidR="006D3AC2" w:rsidRPr="00406A62">
        <w:rPr>
          <w:rFonts w:ascii="Times New Roman" w:hAnsi="Times New Roman" w:cs="Times New Roman"/>
          <w:sz w:val="24"/>
          <w:szCs w:val="24"/>
        </w:rPr>
        <w:t>zł</w:t>
      </w:r>
      <w:r w:rsidRPr="00406A62">
        <w:rPr>
          <w:rFonts w:ascii="Times New Roman" w:hAnsi="Times New Roman" w:cs="Times New Roman"/>
          <w:sz w:val="24"/>
          <w:szCs w:val="24"/>
        </w:rPr>
        <w:t xml:space="preserve">. </w:t>
      </w:r>
    </w:p>
    <w:p w14:paraId="1E519726" w14:textId="55042889" w:rsidR="00723F02" w:rsidRPr="00406A62" w:rsidRDefault="008D7617" w:rsidP="00406A62">
      <w:pPr>
        <w:pStyle w:val="Akapitzlist"/>
        <w:numPr>
          <w:ilvl w:val="0"/>
          <w:numId w:val="33"/>
        </w:numPr>
        <w:spacing w:before="120" w:after="0" w:line="360" w:lineRule="auto"/>
        <w:jc w:val="both"/>
        <w:rPr>
          <w:rFonts w:ascii="Times New Roman" w:hAnsi="Times New Roman" w:cs="Times New Roman"/>
          <w:b/>
          <w:sz w:val="24"/>
          <w:szCs w:val="24"/>
          <w:u w:val="single"/>
        </w:rPr>
      </w:pPr>
      <w:r w:rsidRPr="00406A62">
        <w:rPr>
          <w:rFonts w:ascii="Times New Roman" w:hAnsi="Times New Roman" w:cs="Times New Roman"/>
          <w:b/>
          <w:sz w:val="24"/>
          <w:szCs w:val="24"/>
          <w:u w:val="single"/>
        </w:rPr>
        <w:t>I</w:t>
      </w:r>
      <w:r w:rsidR="00723F02" w:rsidRPr="00406A62">
        <w:rPr>
          <w:rFonts w:ascii="Times New Roman" w:hAnsi="Times New Roman" w:cs="Times New Roman"/>
          <w:b/>
          <w:sz w:val="24"/>
          <w:szCs w:val="24"/>
          <w:u w:val="single"/>
        </w:rPr>
        <w:t>nwestycje w ramach programu wieloletniego pod nazwą „Program wspierania inwestycji infrastrukturalnych w związku z realizacją kluczowych inwestycji w zakresie strategicznej infrastruktury energetycznej, w tym elektrowni jądrowej, w</w:t>
      </w:r>
      <w:r w:rsidR="00A95408">
        <w:rPr>
          <w:rFonts w:ascii="Times New Roman" w:hAnsi="Times New Roman" w:cs="Times New Roman"/>
          <w:b/>
          <w:sz w:val="24"/>
          <w:szCs w:val="24"/>
          <w:u w:val="single"/>
        </w:rPr>
        <w:t> </w:t>
      </w:r>
      <w:r w:rsidR="00723F02" w:rsidRPr="00406A62">
        <w:rPr>
          <w:rFonts w:ascii="Times New Roman" w:hAnsi="Times New Roman" w:cs="Times New Roman"/>
          <w:b/>
          <w:sz w:val="24"/>
          <w:szCs w:val="24"/>
          <w:u w:val="single"/>
        </w:rPr>
        <w:t>województwie pomorskim”</w:t>
      </w:r>
    </w:p>
    <w:p w14:paraId="3B205F87" w14:textId="607C3859" w:rsidR="00E003FD" w:rsidRPr="00406A62" w:rsidRDefault="00E003F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Celem Programu jest wsparcie inwestycji infrastrukturalnych w związku z realizacją kluczowych inwestycji w zakresie strategicznej infrastruktury energetycznej, w tym elektrowni jądrowej,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województwie pomorskim. W kontekście istniejącej, niewystarczającej infrastruktury drogowej, kolejowej oraz hydrotechnicznej, przewidziane Programem inwestycje infrastrukturalne mają umożliwić sprawną realizację infrastruktury energetycznej lokalizowanej na terenie tego województwa.</w:t>
      </w:r>
    </w:p>
    <w:p w14:paraId="63FD85E6" w14:textId="1B93E2E8" w:rsidR="00E920F0" w:rsidRPr="00406A62" w:rsidRDefault="00E920F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Budowa infrastruktury hydrotechnicznej w granicach pasa technicznego na obszarze gmin Choczewo lub Krokowa oraz na obszarach morskich Rzeczypospolitej Polskiej,</w:t>
      </w:r>
      <w:r w:rsidR="00321E90" w:rsidRPr="00406A62">
        <w:rPr>
          <w:rFonts w:ascii="Times New Roman" w:hAnsi="Times New Roman" w:cs="Times New Roman"/>
          <w:b/>
          <w:sz w:val="24"/>
          <w:szCs w:val="24"/>
        </w:rPr>
        <w:t xml:space="preserve"> w</w:t>
      </w:r>
      <w:r w:rsidR="00FE02C3">
        <w:rPr>
          <w:rFonts w:ascii="Times New Roman" w:hAnsi="Times New Roman" w:cs="Times New Roman"/>
          <w:b/>
          <w:sz w:val="24"/>
          <w:szCs w:val="24"/>
        </w:rPr>
        <w:t> </w:t>
      </w:r>
      <w:r w:rsidR="00321E90" w:rsidRPr="00406A62">
        <w:rPr>
          <w:rFonts w:ascii="Times New Roman" w:hAnsi="Times New Roman" w:cs="Times New Roman"/>
          <w:b/>
          <w:sz w:val="24"/>
          <w:szCs w:val="24"/>
        </w:rPr>
        <w:t>szczególności</w:t>
      </w:r>
      <w:r w:rsidRPr="00406A62">
        <w:rPr>
          <w:rFonts w:ascii="Times New Roman" w:hAnsi="Times New Roman" w:cs="Times New Roman"/>
          <w:b/>
          <w:sz w:val="24"/>
          <w:szCs w:val="24"/>
        </w:rPr>
        <w:t xml:space="preserve"> na potrzeby elektrowni jądrowej</w:t>
      </w:r>
    </w:p>
    <w:p w14:paraId="1006A9D1" w14:textId="343D6737" w:rsidR="00E920F0" w:rsidRPr="00406A62" w:rsidRDefault="00E003F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Inwestycja przygotowywana i realizowana przez Dyrektora Urzędu Morskiego w Gdyni polegać będzie na budowie konstrukcji morskiej o długości ok. 1100 m służącej do rozładunku ponadnormatywnych materiałów i elementów wyposażenia oraz infrastruktury technicznej umożliwiającej prawidłową eksploatację konstrukcji morskiej. Realizacja wyżej wymienionej inwestycji umożliwi dostarczenie na miejsce budowy elektrowni jądrowej znacznej ilości materiałów oraz wielkogabarytowych i</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 xml:space="preserve">wysokotonażowych elementów jej wyposażenia. Po zakończeniu budowy elektrowni jądrowej możliwe będzie wykorzystanie wyżej opisanej </w:t>
      </w:r>
      <w:r w:rsidRPr="00406A62">
        <w:rPr>
          <w:rFonts w:ascii="Times New Roman" w:hAnsi="Times New Roman" w:cs="Times New Roman"/>
          <w:sz w:val="24"/>
          <w:szCs w:val="24"/>
        </w:rPr>
        <w:lastRenderedPageBreak/>
        <w:t>infrastruktury do przybijania, cumowania i postoju niewielkich jednostek pływających, w tym związanych z obsługą budowy i eksploatacji morskich farm wiatrowych czy turystyką.</w:t>
      </w:r>
    </w:p>
    <w:p w14:paraId="6AAD618F" w14:textId="29AF0FE2" w:rsidR="00E920F0" w:rsidRPr="00406A62" w:rsidRDefault="00E920F0" w:rsidP="00406A62">
      <w:pPr>
        <w:keepNext/>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Budowa drogi na odcinku Lubiatowo – droga ekspresowa S6</w:t>
      </w:r>
    </w:p>
    <w:p w14:paraId="1884925A" w14:textId="69609F42" w:rsidR="00E920F0" w:rsidRPr="00406A62" w:rsidRDefault="00E920F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Planowana droga do elektrowni jądrowej od węzła na drodze ekspresowej S6 zapewni bezpośrednie skomunikowanie pierwszej w Polsce elektrowni jądrowej z siecią dróg szybkiego ruchu. Pozwoli na sprawną realizację tej infrastruktury energetycznej. W przypadku ewentualnego konfliktu zbrojnego pozwoli na płynne przemieszczanie wojsk i sprzętu wojskowego celem ochrony elektrowni jądrowej jako obiektu </w:t>
      </w:r>
      <w:r w:rsidR="00A251BF" w:rsidRPr="00406A62">
        <w:rPr>
          <w:rFonts w:ascii="Times New Roman" w:hAnsi="Times New Roman" w:cs="Times New Roman"/>
          <w:sz w:val="24"/>
          <w:szCs w:val="24"/>
        </w:rPr>
        <w:t>strategicznego</w:t>
      </w:r>
      <w:r w:rsidRPr="00406A62">
        <w:rPr>
          <w:rFonts w:ascii="Times New Roman" w:hAnsi="Times New Roman" w:cs="Times New Roman"/>
          <w:sz w:val="24"/>
          <w:szCs w:val="24"/>
        </w:rPr>
        <w:t>. Z uwagi na powyższe usprawnienie procesu inwestycyjnego, a finalnie szybsze oddanie drogi do użytkowania istotnie wpłynie na bezpieczeństwo energetyczne państwa oraz zabezpieczenie interesów gospodarczych, obronnych i ekonomicznych państwa. Ponadto, ambitny harmonogram budowy samej elektrowni jądrowej przemawia za przyśpieszeniem procesu inwestycyjnego budowy drogi do niej prowadzącej.</w:t>
      </w:r>
    </w:p>
    <w:p w14:paraId="30EF53A6" w14:textId="77777777" w:rsidR="002F6C2C" w:rsidRPr="00406A62" w:rsidRDefault="002F6C2C"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grudniu 2024 r. oraz w styczniu 2025 r. wydane zostały decyzje o środowiskowych uwarunkowaniach odpowiednio dla pierwszego i drugiego odcinka drogi. Umowa na realizację robót w trybie P&amp;B dla pierwszego odcinka została zawarta 17 kwietnia 2025 r., natomiast dla drugiego odcinka</w:t>
      </w:r>
      <w:r w:rsidR="00D85C6B" w:rsidRPr="00406A62">
        <w:rPr>
          <w:rFonts w:ascii="Times New Roman" w:hAnsi="Times New Roman" w:cs="Times New Roman"/>
          <w:sz w:val="24"/>
          <w:szCs w:val="24"/>
        </w:rPr>
        <w:t xml:space="preserve"> w dniu 4 lipca 2025 r</w:t>
      </w:r>
      <w:r w:rsidRPr="00406A62">
        <w:rPr>
          <w:rFonts w:ascii="Times New Roman" w:hAnsi="Times New Roman" w:cs="Times New Roman"/>
          <w:sz w:val="24"/>
          <w:szCs w:val="24"/>
        </w:rPr>
        <w:t>. Przygotowanie i realizacja pierwszej w Polsce elektrowni jądrowej oraz inwestycji towarzyszących podlega „Zasadom Koordynacji Inwestycji w zakresie EJ1 oraz jej Inwestycji Towarzyszących”, zatwierdzonym przez Pełnomocnika Rządu do spraw Strategicznej Infrastruktury Energetycznej.</w:t>
      </w:r>
    </w:p>
    <w:p w14:paraId="6868CFAF" w14:textId="752586C7" w:rsidR="00E920F0" w:rsidRPr="00406A62" w:rsidRDefault="00E920F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Planowana długość drogi to ok. 26,4 km. Szacowany koszt inwestycji to </w:t>
      </w:r>
      <w:r w:rsidR="00D36E0B" w:rsidRPr="00406A62">
        <w:rPr>
          <w:rFonts w:ascii="Times New Roman" w:hAnsi="Times New Roman" w:cs="Times New Roman"/>
          <w:sz w:val="24"/>
          <w:szCs w:val="24"/>
        </w:rPr>
        <w:t xml:space="preserve">ok. 637 </w:t>
      </w:r>
      <w:r w:rsidRPr="00406A62">
        <w:rPr>
          <w:rFonts w:ascii="Times New Roman" w:hAnsi="Times New Roman" w:cs="Times New Roman"/>
          <w:sz w:val="24"/>
          <w:szCs w:val="24"/>
        </w:rPr>
        <w:t>mln zł.</w:t>
      </w:r>
    </w:p>
    <w:p w14:paraId="17F45840" w14:textId="77777777" w:rsidR="00E920F0" w:rsidRPr="00406A62" w:rsidRDefault="00B964A5"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Budowa lub przebudowa infrastruktury kolejowej zapewniającej dojazd do gmin Nowa Wieś Lęborska, Kartuzy, Chmielno, Sierakowice, Linia, Łęczyce, Lębork, Wicko, Łeba, Wejherowo, Choczewo, Gniewino i Krokowa, w tym linii kolejowych wraz z sieciami trakcyjnymi, stacji pasażerskich, terminali towarowych i obiektów inżynieryjnych</w:t>
      </w:r>
    </w:p>
    <w:p w14:paraId="1D288A15" w14:textId="70F5C069" w:rsidR="00F24221" w:rsidRPr="00406A62" w:rsidRDefault="00E920F0" w:rsidP="00406A62">
      <w:pPr>
        <w:spacing w:before="120" w:after="0" w:line="360" w:lineRule="auto"/>
        <w:jc w:val="both"/>
        <w:rPr>
          <w:rFonts w:ascii="Times New Roman" w:hAnsi="Times New Roman" w:cs="Times New Roman"/>
          <w:bCs/>
          <w:sz w:val="24"/>
          <w:szCs w:val="24"/>
        </w:rPr>
      </w:pPr>
      <w:r w:rsidRPr="00406A62">
        <w:rPr>
          <w:rFonts w:ascii="Times New Roman" w:hAnsi="Times New Roman" w:cs="Times New Roman"/>
          <w:sz w:val="24"/>
          <w:szCs w:val="24"/>
        </w:rPr>
        <w:t>„Program wspierania inwestycji infrastrukturalnych w związku z realizacją kluczowych inwestycji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zakresie strategicznej infrastruktury energetycznej, w tym elektrowni jądrowej, w województwie pomorskim”</w:t>
      </w:r>
      <w:r w:rsidR="00F24221" w:rsidRPr="00406A62">
        <w:rPr>
          <w:rFonts w:ascii="Times New Roman" w:hAnsi="Times New Roman" w:cs="Times New Roman"/>
          <w:sz w:val="24"/>
          <w:szCs w:val="24"/>
        </w:rPr>
        <w:t xml:space="preserve"> </w:t>
      </w:r>
      <w:r w:rsidR="00E003FD" w:rsidRPr="00406A62">
        <w:rPr>
          <w:rFonts w:ascii="Times New Roman" w:hAnsi="Times New Roman" w:cs="Times New Roman"/>
          <w:sz w:val="24"/>
          <w:szCs w:val="24"/>
        </w:rPr>
        <w:t xml:space="preserve">przewiduje również budowę, przebudowę lub remont infrastruktury kolejowej zapewniającej dojazd do gmin </w:t>
      </w:r>
      <w:r w:rsidR="0080451F" w:rsidRPr="00406A62">
        <w:rPr>
          <w:rFonts w:ascii="Times New Roman" w:hAnsi="Times New Roman" w:cs="Times New Roman"/>
          <w:sz w:val="24"/>
          <w:szCs w:val="24"/>
        </w:rPr>
        <w:t>Nowa Wieś Lęborska, Kartuzy, Chmielno, Sierakowice, Linia, Łęczyce, Lębork, Wicko, Łeba, Wejherowo, Choczewo, Gniewino i Krokowa</w:t>
      </w:r>
      <w:r w:rsidR="00E003FD" w:rsidRPr="00406A62">
        <w:rPr>
          <w:rFonts w:ascii="Times New Roman" w:hAnsi="Times New Roman" w:cs="Times New Roman"/>
          <w:sz w:val="24"/>
          <w:szCs w:val="24"/>
        </w:rPr>
        <w:t xml:space="preserve">, </w:t>
      </w:r>
      <w:r w:rsidR="00F24221" w:rsidRPr="00406A62">
        <w:rPr>
          <w:rFonts w:ascii="Times New Roman" w:hAnsi="Times New Roman" w:cs="Times New Roman"/>
          <w:sz w:val="24"/>
          <w:szCs w:val="24"/>
        </w:rPr>
        <w:t>w tym linii kolejowych wraz z</w:t>
      </w:r>
      <w:r w:rsidR="00BD3B0C" w:rsidRPr="00406A62">
        <w:rPr>
          <w:rFonts w:ascii="Times New Roman" w:hAnsi="Times New Roman" w:cs="Times New Roman"/>
          <w:sz w:val="24"/>
          <w:szCs w:val="24"/>
        </w:rPr>
        <w:t> </w:t>
      </w:r>
      <w:r w:rsidR="00F24221" w:rsidRPr="00406A62">
        <w:rPr>
          <w:rFonts w:ascii="Times New Roman" w:hAnsi="Times New Roman" w:cs="Times New Roman"/>
          <w:sz w:val="24"/>
          <w:szCs w:val="24"/>
        </w:rPr>
        <w:t xml:space="preserve">sieciami trakcyjnymi, stacji pasażerskich, terminali towarowych i obiektów inżynieryjnych. W ramach inwestycji przewiduje się </w:t>
      </w:r>
      <w:r w:rsidR="00F24221" w:rsidRPr="00406A62">
        <w:rPr>
          <w:rFonts w:ascii="Times New Roman" w:hAnsi="Times New Roman" w:cs="Times New Roman"/>
          <w:sz w:val="24"/>
          <w:szCs w:val="24"/>
        </w:rPr>
        <w:lastRenderedPageBreak/>
        <w:t>usprawnienie systemów sterowania ruchem kolejowym oraz poprawienie parametrów technicznych linii kolejowych, co wpłynie na bezpieczeństwo ruchu kolejowego i</w:t>
      </w:r>
      <w:r w:rsidR="00BD3B0C" w:rsidRPr="00406A62">
        <w:rPr>
          <w:rFonts w:ascii="Times New Roman" w:hAnsi="Times New Roman" w:cs="Times New Roman"/>
          <w:sz w:val="24"/>
          <w:szCs w:val="24"/>
        </w:rPr>
        <w:t> </w:t>
      </w:r>
      <w:r w:rsidR="00F24221" w:rsidRPr="00406A62">
        <w:rPr>
          <w:rFonts w:ascii="Times New Roman" w:hAnsi="Times New Roman" w:cs="Times New Roman"/>
          <w:sz w:val="24"/>
          <w:szCs w:val="24"/>
        </w:rPr>
        <w:t xml:space="preserve">skrócenie czasu przewozów. Budowa infrastruktury kolejowej </w:t>
      </w:r>
      <w:r w:rsidR="0003108F" w:rsidRPr="00406A62">
        <w:rPr>
          <w:rFonts w:ascii="Times New Roman" w:hAnsi="Times New Roman" w:cs="Times New Roman"/>
          <w:sz w:val="24"/>
          <w:szCs w:val="24"/>
        </w:rPr>
        <w:t>umożliwi dowóz pracowników i</w:t>
      </w:r>
      <w:r w:rsidR="00BD3B0C" w:rsidRPr="00406A62">
        <w:rPr>
          <w:rFonts w:ascii="Times New Roman" w:hAnsi="Times New Roman" w:cs="Times New Roman"/>
          <w:sz w:val="24"/>
          <w:szCs w:val="24"/>
        </w:rPr>
        <w:t> </w:t>
      </w:r>
      <w:r w:rsidR="0003108F" w:rsidRPr="00406A62">
        <w:rPr>
          <w:rFonts w:ascii="Times New Roman" w:hAnsi="Times New Roman" w:cs="Times New Roman"/>
          <w:sz w:val="24"/>
          <w:szCs w:val="24"/>
        </w:rPr>
        <w:t xml:space="preserve">materiałów na czas budowy elektrowni, </w:t>
      </w:r>
      <w:r w:rsidR="00F24221" w:rsidRPr="00406A62">
        <w:rPr>
          <w:rFonts w:ascii="Times New Roman" w:hAnsi="Times New Roman" w:cs="Times New Roman"/>
          <w:sz w:val="24"/>
          <w:szCs w:val="24"/>
        </w:rPr>
        <w:t>zapewni dostęp do stabilniejszych dostaw energii, oraz wpłynie pozytywnie na rozwoju gospodarki, turystyki oraz przemysłu. Infrastruktura ta będzie wykorzystywana również do transportu materiałów, urządzeń oraz sprzętu wojskowego.</w:t>
      </w:r>
    </w:p>
    <w:p w14:paraId="3745FBEE" w14:textId="77777777" w:rsidR="0053274B" w:rsidRPr="00406A62" w:rsidRDefault="0053274B" w:rsidP="00406A62">
      <w:pPr>
        <w:pStyle w:val="Akapitzlist"/>
        <w:numPr>
          <w:ilvl w:val="0"/>
          <w:numId w:val="32"/>
        </w:numPr>
        <w:spacing w:before="120" w:after="0" w:line="360" w:lineRule="auto"/>
        <w:ind w:hanging="76"/>
        <w:jc w:val="both"/>
        <w:rPr>
          <w:rFonts w:ascii="Times New Roman" w:hAnsi="Times New Roman" w:cs="Times New Roman"/>
          <w:b/>
          <w:sz w:val="24"/>
          <w:szCs w:val="24"/>
        </w:rPr>
      </w:pPr>
      <w:r w:rsidRPr="00406A62">
        <w:rPr>
          <w:rFonts w:ascii="Times New Roman" w:hAnsi="Times New Roman" w:cs="Times New Roman"/>
          <w:b/>
          <w:sz w:val="24"/>
          <w:szCs w:val="24"/>
        </w:rPr>
        <w:t>Zakres projektowanej regulacji</w:t>
      </w:r>
    </w:p>
    <w:p w14:paraId="12DEAB10" w14:textId="77777777" w:rsidR="0080451F" w:rsidRPr="00406A62" w:rsidRDefault="00E040CA"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 1</w:t>
      </w:r>
      <w:r w:rsidRPr="00406A62">
        <w:rPr>
          <w:rFonts w:ascii="Times New Roman" w:hAnsi="Times New Roman" w:cs="Times New Roman"/>
          <w:sz w:val="24"/>
          <w:szCs w:val="24"/>
        </w:rPr>
        <w:t xml:space="preserve"> </w:t>
      </w:r>
      <w:r w:rsidR="0080451F" w:rsidRPr="00406A62">
        <w:rPr>
          <w:rFonts w:ascii="Times New Roman" w:hAnsi="Times New Roman" w:cs="Times New Roman"/>
          <w:sz w:val="24"/>
          <w:szCs w:val="24"/>
        </w:rPr>
        <w:t>zawiera przepis wprowadzający i określający zakres przedmiotowy ustawy. Jego celem jest zdefiniowanie kategorii kluczowych inwestycji infrastrukturalnych objętych regulacją oraz wskazanie, że ustawa wprowadza szczególne rozwiązania prawne służące usprawnieniu procesu ich przygotowania i realizacji. Przepis ten pełni funkcję porządkującą, stanowiąc punkt odniesienia dla dalszych regulacji ustawy.</w:t>
      </w:r>
    </w:p>
    <w:p w14:paraId="035530E0" w14:textId="48A22C91" w:rsidR="00A95173" w:rsidRPr="00406A62" w:rsidRDefault="00A9517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 2</w:t>
      </w:r>
      <w:r w:rsidRPr="00406A62">
        <w:rPr>
          <w:rFonts w:ascii="Times New Roman" w:hAnsi="Times New Roman" w:cs="Times New Roman"/>
          <w:sz w:val="24"/>
          <w:szCs w:val="24"/>
        </w:rPr>
        <w:t xml:space="preserve"> określa katalog wytypowanych</w:t>
      </w:r>
      <w:r w:rsidR="00E040CA" w:rsidRPr="00406A62">
        <w:rPr>
          <w:rFonts w:ascii="Times New Roman" w:hAnsi="Times New Roman" w:cs="Times New Roman"/>
          <w:sz w:val="24"/>
          <w:szCs w:val="24"/>
        </w:rPr>
        <w:t xml:space="preserve"> </w:t>
      </w:r>
      <w:r w:rsidRPr="00406A62">
        <w:rPr>
          <w:rFonts w:ascii="Times New Roman" w:hAnsi="Times New Roman" w:cs="Times New Roman"/>
          <w:sz w:val="24"/>
          <w:szCs w:val="24"/>
        </w:rPr>
        <w:t>inwestycji kluczowych (szczegółowo scharakteryzowanych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 xml:space="preserve">rozdziale </w:t>
      </w:r>
      <w:r w:rsidR="008D7617" w:rsidRPr="00406A62">
        <w:rPr>
          <w:rFonts w:ascii="Times New Roman" w:hAnsi="Times New Roman" w:cs="Times New Roman"/>
          <w:sz w:val="24"/>
          <w:szCs w:val="24"/>
        </w:rPr>
        <w:t>II</w:t>
      </w:r>
      <w:r w:rsidRPr="00406A62">
        <w:rPr>
          <w:rFonts w:ascii="Times New Roman" w:hAnsi="Times New Roman" w:cs="Times New Roman"/>
          <w:sz w:val="24"/>
          <w:szCs w:val="24"/>
        </w:rPr>
        <w:t xml:space="preserve"> </w:t>
      </w:r>
      <w:r w:rsidRPr="00406A62">
        <w:rPr>
          <w:rFonts w:ascii="Times New Roman" w:hAnsi="Times New Roman" w:cs="Times New Roman"/>
          <w:i/>
          <w:sz w:val="24"/>
          <w:szCs w:val="24"/>
        </w:rPr>
        <w:t xml:space="preserve">Kluczowe inwestycje infrastrukturalne), </w:t>
      </w:r>
      <w:r w:rsidRPr="00406A62">
        <w:rPr>
          <w:rFonts w:ascii="Times New Roman" w:hAnsi="Times New Roman" w:cs="Times New Roman"/>
          <w:sz w:val="24"/>
          <w:szCs w:val="24"/>
        </w:rPr>
        <w:t>obejmujących transport drogowy, transport kolejowy, transport lotniczy, inwestycje przeciwpowodziowe, inwestycje z zakresu gospodarki morskiej</w:t>
      </w:r>
      <w:r w:rsidR="006C632B" w:rsidRPr="00406A62">
        <w:rPr>
          <w:rFonts w:ascii="Times New Roman" w:hAnsi="Times New Roman" w:cs="Times New Roman"/>
          <w:sz w:val="24"/>
          <w:szCs w:val="24"/>
        </w:rPr>
        <w:t xml:space="preserve"> oraz</w:t>
      </w:r>
      <w:r w:rsidRPr="00406A62">
        <w:rPr>
          <w:rFonts w:ascii="Times New Roman" w:hAnsi="Times New Roman" w:cs="Times New Roman"/>
          <w:sz w:val="24"/>
          <w:szCs w:val="24"/>
        </w:rPr>
        <w:t xml:space="preserve"> inwestycje związane z realizacją kluczowych inwestycji w zakresie strategicznej infrastruktury energetycznej, w tym elektrowni jądrowej.</w:t>
      </w:r>
    </w:p>
    <w:p w14:paraId="72841054" w14:textId="77777777" w:rsidR="004C421E" w:rsidRPr="00406A62" w:rsidRDefault="004C421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Nazwy inwestycji kluczowych zachowują spójność z ich nazwami w dotychczas wypracowanych materiałach koncepcyjnych, planistycznych i dokumentacjach oraz zapewniają jednoznaczną identyfikowalność inwestycji dla wszystkich uczestników na każdym z etapów procesu inwestycyjnego.</w:t>
      </w:r>
    </w:p>
    <w:p w14:paraId="00411113" w14:textId="429C05D1" w:rsidR="00560A06" w:rsidRPr="00406A62" w:rsidRDefault="00922C6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Wskazane</w:t>
      </w:r>
      <w:r w:rsidR="00560A06" w:rsidRPr="00406A62">
        <w:rPr>
          <w:rFonts w:ascii="Times New Roman" w:hAnsi="Times New Roman" w:cs="Times New Roman"/>
          <w:sz w:val="24"/>
          <w:szCs w:val="24"/>
        </w:rPr>
        <w:t xml:space="preserve"> inwestycj</w:t>
      </w:r>
      <w:r w:rsidRPr="00406A62">
        <w:rPr>
          <w:rFonts w:ascii="Times New Roman" w:hAnsi="Times New Roman" w:cs="Times New Roman"/>
          <w:sz w:val="24"/>
          <w:szCs w:val="24"/>
        </w:rPr>
        <w:t>e są</w:t>
      </w:r>
      <w:r w:rsidR="00560A06" w:rsidRPr="00406A62">
        <w:rPr>
          <w:rFonts w:ascii="Times New Roman" w:hAnsi="Times New Roman" w:cs="Times New Roman"/>
          <w:sz w:val="24"/>
          <w:szCs w:val="24"/>
        </w:rPr>
        <w:t xml:space="preserve"> precyzyjnie identyfikowaln</w:t>
      </w:r>
      <w:r w:rsidRPr="00406A62">
        <w:rPr>
          <w:rFonts w:ascii="Times New Roman" w:hAnsi="Times New Roman" w:cs="Times New Roman"/>
          <w:sz w:val="24"/>
          <w:szCs w:val="24"/>
        </w:rPr>
        <w:t>e</w:t>
      </w:r>
      <w:r w:rsidR="00560A06" w:rsidRPr="00406A62">
        <w:rPr>
          <w:rFonts w:ascii="Times New Roman" w:hAnsi="Times New Roman" w:cs="Times New Roman"/>
          <w:sz w:val="24"/>
          <w:szCs w:val="24"/>
        </w:rPr>
        <w:t xml:space="preserve"> przedmiotowo </w:t>
      </w:r>
      <w:r w:rsidR="004C421E" w:rsidRPr="00406A62">
        <w:rPr>
          <w:rFonts w:ascii="Times New Roman" w:hAnsi="Times New Roman" w:cs="Times New Roman"/>
          <w:sz w:val="24"/>
          <w:szCs w:val="24"/>
        </w:rPr>
        <w:t xml:space="preserve">(budowa, rozbudowa, przebudowa, odbudowa) </w:t>
      </w:r>
      <w:r w:rsidR="00560A06" w:rsidRPr="00406A62">
        <w:rPr>
          <w:rFonts w:ascii="Times New Roman" w:hAnsi="Times New Roman" w:cs="Times New Roman"/>
          <w:sz w:val="24"/>
          <w:szCs w:val="24"/>
        </w:rPr>
        <w:t xml:space="preserve">i terytorialnie (w przypadku inwestycji drogowych – </w:t>
      </w:r>
      <w:r w:rsidRPr="00406A62">
        <w:rPr>
          <w:rFonts w:ascii="Times New Roman" w:hAnsi="Times New Roman" w:cs="Times New Roman"/>
          <w:sz w:val="24"/>
          <w:szCs w:val="24"/>
        </w:rPr>
        <w:t xml:space="preserve">przez </w:t>
      </w:r>
      <w:r w:rsidR="00560A06" w:rsidRPr="00406A62">
        <w:rPr>
          <w:rFonts w:ascii="Times New Roman" w:hAnsi="Times New Roman" w:cs="Times New Roman"/>
          <w:sz w:val="24"/>
          <w:szCs w:val="24"/>
        </w:rPr>
        <w:t xml:space="preserve">wskazanie początku, końca i trasy; w przypadku inwestycji portowych i morskich – </w:t>
      </w:r>
      <w:r w:rsidRPr="00406A62">
        <w:rPr>
          <w:rFonts w:ascii="Times New Roman" w:hAnsi="Times New Roman" w:cs="Times New Roman"/>
          <w:sz w:val="24"/>
          <w:szCs w:val="24"/>
        </w:rPr>
        <w:t xml:space="preserve">przez </w:t>
      </w:r>
      <w:r w:rsidR="00560A06" w:rsidRPr="00406A62">
        <w:rPr>
          <w:rFonts w:ascii="Times New Roman" w:hAnsi="Times New Roman" w:cs="Times New Roman"/>
          <w:sz w:val="24"/>
          <w:szCs w:val="24"/>
        </w:rPr>
        <w:t xml:space="preserve">wskazanie konkretnych obiektów i akwenów; w przypadku inwestycji kolejowych – </w:t>
      </w:r>
      <w:r w:rsidRPr="00406A62">
        <w:rPr>
          <w:rFonts w:ascii="Times New Roman" w:hAnsi="Times New Roman" w:cs="Times New Roman"/>
          <w:sz w:val="24"/>
          <w:szCs w:val="24"/>
        </w:rPr>
        <w:t xml:space="preserve">przez </w:t>
      </w:r>
      <w:r w:rsidR="00560A06" w:rsidRPr="00406A62">
        <w:rPr>
          <w:rFonts w:ascii="Times New Roman" w:hAnsi="Times New Roman" w:cs="Times New Roman"/>
          <w:sz w:val="24"/>
          <w:szCs w:val="24"/>
        </w:rPr>
        <w:t>wskazanie numerów linii i relacji; w</w:t>
      </w:r>
      <w:r w:rsidR="00BD3B0C" w:rsidRPr="00406A62">
        <w:rPr>
          <w:rFonts w:ascii="Times New Roman" w:hAnsi="Times New Roman" w:cs="Times New Roman"/>
          <w:sz w:val="24"/>
          <w:szCs w:val="24"/>
        </w:rPr>
        <w:t> </w:t>
      </w:r>
      <w:r w:rsidR="00560A06" w:rsidRPr="00406A62">
        <w:rPr>
          <w:rFonts w:ascii="Times New Roman" w:hAnsi="Times New Roman" w:cs="Times New Roman"/>
          <w:sz w:val="24"/>
          <w:szCs w:val="24"/>
        </w:rPr>
        <w:t xml:space="preserve">przypadku inwestycji lotniczych – </w:t>
      </w:r>
      <w:r w:rsidRPr="00406A62">
        <w:rPr>
          <w:rFonts w:ascii="Times New Roman" w:hAnsi="Times New Roman" w:cs="Times New Roman"/>
          <w:sz w:val="24"/>
          <w:szCs w:val="24"/>
        </w:rPr>
        <w:t xml:space="preserve">przez </w:t>
      </w:r>
      <w:r w:rsidR="00560A06" w:rsidRPr="00406A62">
        <w:rPr>
          <w:rFonts w:ascii="Times New Roman" w:hAnsi="Times New Roman" w:cs="Times New Roman"/>
          <w:sz w:val="24"/>
          <w:szCs w:val="24"/>
        </w:rPr>
        <w:t xml:space="preserve">wskazanie konkretnych portów lotniczych i zastosowanie pojęć ustawowych z </w:t>
      </w:r>
      <w:r w:rsidR="00450442" w:rsidRPr="00406A62">
        <w:rPr>
          <w:rFonts w:ascii="Times New Roman" w:hAnsi="Times New Roman" w:cs="Times New Roman"/>
          <w:sz w:val="24"/>
          <w:szCs w:val="24"/>
        </w:rPr>
        <w:t xml:space="preserve">ustawy z dnia 3 lipca 2002 r. – </w:t>
      </w:r>
      <w:r w:rsidR="00560A06" w:rsidRPr="00406A62">
        <w:rPr>
          <w:rFonts w:ascii="Times New Roman" w:hAnsi="Times New Roman" w:cs="Times New Roman"/>
          <w:sz w:val="24"/>
          <w:szCs w:val="24"/>
        </w:rPr>
        <w:t>Praw</w:t>
      </w:r>
      <w:r w:rsidR="00450442" w:rsidRPr="00406A62">
        <w:rPr>
          <w:rFonts w:ascii="Times New Roman" w:hAnsi="Times New Roman" w:cs="Times New Roman"/>
          <w:sz w:val="24"/>
          <w:szCs w:val="24"/>
        </w:rPr>
        <w:t>o</w:t>
      </w:r>
      <w:r w:rsidR="00560A06" w:rsidRPr="00406A62">
        <w:rPr>
          <w:rFonts w:ascii="Times New Roman" w:hAnsi="Times New Roman" w:cs="Times New Roman"/>
          <w:sz w:val="24"/>
          <w:szCs w:val="24"/>
        </w:rPr>
        <w:t xml:space="preserve"> lotnicze</w:t>
      </w:r>
      <w:r w:rsidR="00450442" w:rsidRPr="00406A62">
        <w:rPr>
          <w:rFonts w:ascii="Times New Roman" w:hAnsi="Times New Roman" w:cs="Times New Roman"/>
          <w:sz w:val="24"/>
          <w:szCs w:val="24"/>
        </w:rPr>
        <w:t xml:space="preserve"> (Dz. U. z 2025 r. poz. 1431, z późn. zm.)</w:t>
      </w:r>
      <w:r w:rsidR="00560A06" w:rsidRPr="00406A62">
        <w:rPr>
          <w:rFonts w:ascii="Times New Roman" w:hAnsi="Times New Roman" w:cs="Times New Roman"/>
          <w:sz w:val="24"/>
          <w:szCs w:val="24"/>
        </w:rPr>
        <w:t>, np. „część lotnicza lotniska”).</w:t>
      </w:r>
    </w:p>
    <w:p w14:paraId="557400C7" w14:textId="79233691" w:rsidR="00082549" w:rsidRPr="00406A62" w:rsidRDefault="0080451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 3</w:t>
      </w:r>
      <w:r w:rsidRPr="00406A62">
        <w:rPr>
          <w:rFonts w:ascii="Times New Roman" w:hAnsi="Times New Roman" w:cs="Times New Roman"/>
          <w:sz w:val="24"/>
          <w:szCs w:val="24"/>
        </w:rPr>
        <w:t xml:space="preserve"> </w:t>
      </w:r>
      <w:r w:rsidR="00082549" w:rsidRPr="00406A62">
        <w:rPr>
          <w:rFonts w:ascii="Times New Roman" w:hAnsi="Times New Roman" w:cs="Times New Roman"/>
          <w:sz w:val="24"/>
          <w:szCs w:val="24"/>
        </w:rPr>
        <w:t>Zawiera normę określającą relację przepisów niniejszej ustawy do przepisów innych ustaw o</w:t>
      </w:r>
      <w:r w:rsidR="00BD3B0C" w:rsidRPr="00406A62">
        <w:rPr>
          <w:rFonts w:ascii="Times New Roman" w:hAnsi="Times New Roman" w:cs="Times New Roman"/>
          <w:sz w:val="24"/>
          <w:szCs w:val="24"/>
        </w:rPr>
        <w:t> </w:t>
      </w:r>
      <w:r w:rsidR="00082549" w:rsidRPr="00406A62">
        <w:rPr>
          <w:rFonts w:ascii="Times New Roman" w:hAnsi="Times New Roman" w:cs="Times New Roman"/>
          <w:sz w:val="24"/>
          <w:szCs w:val="24"/>
        </w:rPr>
        <w:t xml:space="preserve">charakterze ogólnym i szczególnym, które regulują problematykę procesu inwestycyjnego, a swoim zakresem obejmują także inwestycje zakwalifikowane jako inwestycje kluczowe w rozumieniu niniejszej ustawy. </w:t>
      </w:r>
      <w:r w:rsidR="00082549" w:rsidRPr="00406A62">
        <w:rPr>
          <w:rFonts w:ascii="Times New Roman" w:eastAsia="Aptos" w:hAnsi="Times New Roman" w:cs="Times New Roman"/>
          <w:sz w:val="24"/>
          <w:szCs w:val="24"/>
          <w14:ligatures w14:val="standardContextual"/>
        </w:rPr>
        <w:t xml:space="preserve">Przewiduje się, </w:t>
      </w:r>
      <w:r w:rsidR="000C7DFA" w:rsidRPr="00406A62">
        <w:rPr>
          <w:rFonts w:ascii="Times New Roman" w:eastAsia="Aptos" w:hAnsi="Times New Roman" w:cs="Times New Roman"/>
          <w:sz w:val="24"/>
          <w:szCs w:val="24"/>
          <w14:ligatures w14:val="standardContextual"/>
        </w:rPr>
        <w:t>że</w:t>
      </w:r>
      <w:r w:rsidR="00082549" w:rsidRPr="00406A62">
        <w:rPr>
          <w:rFonts w:ascii="Times New Roman" w:eastAsia="Aptos" w:hAnsi="Times New Roman" w:cs="Times New Roman"/>
          <w:sz w:val="24"/>
          <w:szCs w:val="24"/>
          <w14:ligatures w14:val="standardContextual"/>
        </w:rPr>
        <w:t xml:space="preserve"> do inwestycji </w:t>
      </w:r>
      <w:r w:rsidR="00082549" w:rsidRPr="00406A62">
        <w:rPr>
          <w:rFonts w:ascii="Times New Roman" w:eastAsia="Aptos" w:hAnsi="Times New Roman" w:cs="Times New Roman"/>
          <w:sz w:val="24"/>
          <w:szCs w:val="24"/>
          <w14:ligatures w14:val="standardContextual"/>
        </w:rPr>
        <w:lastRenderedPageBreak/>
        <w:t xml:space="preserve">kluczowych </w:t>
      </w:r>
      <w:r w:rsidR="00EA7355" w:rsidRPr="00406A62">
        <w:rPr>
          <w:rFonts w:ascii="Times New Roman" w:eastAsia="Aptos" w:hAnsi="Times New Roman" w:cs="Times New Roman"/>
          <w:sz w:val="24"/>
          <w:szCs w:val="24"/>
          <w14:ligatures w14:val="standardContextual"/>
        </w:rPr>
        <w:t xml:space="preserve">stosować </w:t>
      </w:r>
      <w:r w:rsidR="00082549" w:rsidRPr="00406A62">
        <w:rPr>
          <w:rFonts w:ascii="Times New Roman" w:eastAsia="Aptos" w:hAnsi="Times New Roman" w:cs="Times New Roman"/>
          <w:sz w:val="24"/>
          <w:szCs w:val="24"/>
          <w14:ligatures w14:val="standardContextual"/>
        </w:rPr>
        <w:t xml:space="preserve">się będzie takie przepisy </w:t>
      </w:r>
      <w:r w:rsidR="00082549" w:rsidRPr="00406A62">
        <w:rPr>
          <w:rFonts w:ascii="Times New Roman" w:eastAsia="Times New Roman" w:hAnsi="Times New Roman" w:cs="Times New Roman"/>
          <w:sz w:val="24"/>
          <w:szCs w:val="24"/>
          <w14:ligatures w14:val="standardContextual"/>
        </w:rPr>
        <w:t>z</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 xml:space="preserve">uwzględnieniem przepisów niniejszej ustawy. Tym samym do inwestycji kluczowych będą miały zastosowanie przepisy obowiązujących ustaw regulujących ogólne zasady przygotowania i realizacji inwestycji w szczególności: ustawy z dnia 14 czerwca 1960 r. </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Kodeks postępowania administracyjnego (Dz. U. z 2025 r. poz. 1691);</w:t>
      </w:r>
      <w:r w:rsidR="00BD3B0C"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 xml:space="preserve">ustawy z dnia 30 sierpnia 2002 r. </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Prawo o postępowaniu przed sądami administracyjnymi (Dz. U. z 2026 r. poz. 143</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xml:space="preserve">), ustawy z dnia 7 lipca 1994 r. </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 xml:space="preserve">Prawo budowlane (Dz. U. z 2026 r. poz. 524, </w:t>
      </w:r>
      <w:r w:rsidR="00EA7355" w:rsidRPr="00406A62">
        <w:rPr>
          <w:rFonts w:ascii="Times New Roman" w:eastAsia="Times New Roman" w:hAnsi="Times New Roman" w:cs="Times New Roman"/>
          <w:sz w:val="24"/>
          <w:szCs w:val="24"/>
          <w14:ligatures w14:val="standardContextual"/>
        </w:rPr>
        <w:t>z późn. zm.</w:t>
      </w:r>
      <w:r w:rsidR="00082549" w:rsidRPr="00406A62">
        <w:rPr>
          <w:rFonts w:ascii="Times New Roman" w:eastAsia="Times New Roman" w:hAnsi="Times New Roman" w:cs="Times New Roman"/>
          <w:sz w:val="24"/>
          <w:szCs w:val="24"/>
          <w14:ligatures w14:val="standardContextual"/>
        </w:rPr>
        <w:t>), ustawy z dnia 21 sierpnia 1997 r. o gospodarce nieruchomościami (Dz. U. z 2026 r. poz. 399</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ustawy z dnia 23 lipca 2003 r. o ochronie zabytków i opiece nad zabytkami (Dz. U. z 2024 r. poz. 1292</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ustawy z dnia 16 kwietnia 2004 r. o ochronie przyrody (Dz. U. z 2026 r. poz. 13</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oraz ustawy z dnia 3 października 2008 r o</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udostępnianiu informacji o środowisku i jego ochronie, udziale społeczeństwa w ochronie środowiska oraz o ocenach oddziaływania na środowisko (Dz. U. z 2026 r. poz. 670</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xml:space="preserve">). Będą również do nich miały zastosowanie </w:t>
      </w:r>
      <w:r w:rsidR="00082549" w:rsidRPr="00406A62">
        <w:rPr>
          <w:rFonts w:ascii="Times New Roman" w:eastAsia="Aptos" w:hAnsi="Times New Roman" w:cs="Times New Roman"/>
          <w:sz w:val="24"/>
          <w:szCs w:val="24"/>
          <w14:ligatures w14:val="standardContextual"/>
        </w:rPr>
        <w:t xml:space="preserve">przepisy </w:t>
      </w:r>
      <w:r w:rsidR="00082549" w:rsidRPr="00406A62">
        <w:rPr>
          <w:rFonts w:ascii="Times New Roman" w:eastAsia="Times New Roman" w:hAnsi="Times New Roman" w:cs="Times New Roman"/>
          <w:sz w:val="24"/>
          <w:szCs w:val="24"/>
          <w14:ligatures w14:val="standardContextual"/>
        </w:rPr>
        <w:t>ustaw regulujących szczególne zasady przygotowania i realizacji inwestycji z zakresu gospodarki morskiej, dróg publicznych, transportu kolejowego, transportu lotniczego oraz inwestycji przeciwpowodziowych, w szczególności: ustawy z dnia 28 marca 2003 r. o</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transporcie kolejowym (Dz.</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U. z 2025 r. poz. 1234</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ustawy z dnia 10 kwietnia 2003 r. o szczególnych zasadach przygotowania i realizacji inwestycji w zakresie dróg publicznych (Dz. U. z 2024 r. poz. 311), ustawy z dnia 12 lutego 2009 r. o szczególnych zasadach przygotowania i</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realizacji inwestycji w zakresie lotnisk użytku publicznego (Dz.</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U. z 2024 r. poz. 1464</w:t>
      </w:r>
      <w:r w:rsidR="00EA7355" w:rsidRPr="00406A62">
        <w:rPr>
          <w:rFonts w:ascii="Times New Roman" w:eastAsia="Times New Roman" w:hAnsi="Times New Roman" w:cs="Times New Roman"/>
          <w:sz w:val="24"/>
          <w:szCs w:val="24"/>
          <w14:ligatures w14:val="standardContextual"/>
        </w:rPr>
        <w:t>)</w:t>
      </w:r>
      <w:r w:rsidR="00082549" w:rsidRPr="00406A62">
        <w:rPr>
          <w:rFonts w:ascii="Times New Roman" w:eastAsia="Times New Roman" w:hAnsi="Times New Roman" w:cs="Times New Roman"/>
          <w:sz w:val="24"/>
          <w:szCs w:val="24"/>
          <w14:ligatures w14:val="standardContextual"/>
        </w:rPr>
        <w:t>,</w:t>
      </w:r>
      <w:r w:rsidR="00EA7355" w:rsidRPr="00406A62">
        <w:rPr>
          <w:rFonts w:ascii="Times New Roman" w:eastAsia="Times New Roman" w:hAnsi="Times New Roman" w:cs="Times New Roman"/>
          <w:sz w:val="24"/>
          <w:szCs w:val="24"/>
          <w14:ligatures w14:val="standardContextual"/>
        </w:rPr>
        <w:t xml:space="preserve"> </w:t>
      </w:r>
      <w:r w:rsidR="00082549" w:rsidRPr="00406A62">
        <w:rPr>
          <w:rFonts w:ascii="Times New Roman" w:eastAsia="Times New Roman" w:hAnsi="Times New Roman" w:cs="Times New Roman"/>
          <w:sz w:val="24"/>
          <w:szCs w:val="24"/>
          <w14:ligatures w14:val="standardContextual"/>
        </w:rPr>
        <w:t>ustawy z dnia 8</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lipca 2010 r. o szczególnych zasadach przygotowania do realizacji inwestycji w zakresie budowli przeciwpowodziowych (Dz. U. z 2026 r. poz. 104</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czy ustawy z dnia 9 sierpnia 2019 r. o</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inwestycjach w zakresie budowy portów zewnętrznych (Dz. U. z 2024 r. poz. 1852</w:t>
      </w:r>
      <w:r w:rsidR="00EA7355" w:rsidRPr="00406A62">
        <w:rPr>
          <w:rFonts w:ascii="Times New Roman" w:eastAsia="Times New Roman" w:hAnsi="Times New Roman" w:cs="Times New Roman"/>
          <w:sz w:val="24"/>
          <w:szCs w:val="24"/>
          <w14:ligatures w14:val="standardContextual"/>
        </w:rPr>
        <w:t>, z późn. zm.</w:t>
      </w:r>
      <w:r w:rsidR="00082549" w:rsidRPr="00406A62">
        <w:rPr>
          <w:rFonts w:ascii="Times New Roman" w:eastAsia="Times New Roman" w:hAnsi="Times New Roman" w:cs="Times New Roman"/>
          <w:sz w:val="24"/>
          <w:szCs w:val="24"/>
          <w14:ligatures w14:val="standardContextual"/>
        </w:rPr>
        <w:t>). Jednakże</w:t>
      </w:r>
      <w:r w:rsidR="00BD3B0C" w:rsidRPr="00406A62">
        <w:rPr>
          <w:rFonts w:ascii="Times New Roman" w:eastAsia="Times New Roman" w:hAnsi="Times New Roman" w:cs="Times New Roman"/>
          <w:sz w:val="24"/>
          <w:szCs w:val="24"/>
          <w14:ligatures w14:val="standardContextual"/>
        </w:rPr>
        <w:t>,</w:t>
      </w:r>
      <w:r w:rsidR="00082549" w:rsidRPr="00406A62">
        <w:rPr>
          <w:rFonts w:ascii="Times New Roman" w:eastAsia="Times New Roman" w:hAnsi="Times New Roman" w:cs="Times New Roman"/>
          <w:sz w:val="24"/>
          <w:szCs w:val="24"/>
          <w14:ligatures w14:val="standardContextual"/>
        </w:rPr>
        <w:t xml:space="preserve"> ilekroć ustawa niniejsza przewiduje rozwiązania odmienne od zawartych w</w:t>
      </w:r>
      <w:r w:rsidR="00BD3B0C" w:rsidRPr="00406A62">
        <w:rPr>
          <w:rFonts w:ascii="Times New Roman" w:eastAsia="Times New Roman" w:hAnsi="Times New Roman" w:cs="Times New Roman"/>
          <w:sz w:val="24"/>
          <w:szCs w:val="24"/>
          <w14:ligatures w14:val="standardContextual"/>
        </w:rPr>
        <w:t> </w:t>
      </w:r>
      <w:r w:rsidR="00082549" w:rsidRPr="00406A62">
        <w:rPr>
          <w:rFonts w:ascii="Times New Roman" w:eastAsia="Times New Roman" w:hAnsi="Times New Roman" w:cs="Times New Roman"/>
          <w:sz w:val="24"/>
          <w:szCs w:val="24"/>
          <w14:ligatures w14:val="standardContextual"/>
        </w:rPr>
        <w:t>obowiązujących już przepisach ogólnych i szczególnych</w:t>
      </w:r>
      <w:r w:rsidR="00BD3B0C" w:rsidRPr="00406A62">
        <w:rPr>
          <w:rFonts w:ascii="Times New Roman" w:eastAsia="Times New Roman" w:hAnsi="Times New Roman" w:cs="Times New Roman"/>
          <w:sz w:val="24"/>
          <w:szCs w:val="24"/>
          <w14:ligatures w14:val="standardContextual"/>
        </w:rPr>
        <w:t>,</w:t>
      </w:r>
      <w:r w:rsidR="00082549" w:rsidRPr="00406A62">
        <w:rPr>
          <w:rFonts w:ascii="Times New Roman" w:eastAsia="Times New Roman" w:hAnsi="Times New Roman" w:cs="Times New Roman"/>
          <w:sz w:val="24"/>
          <w:szCs w:val="24"/>
          <w14:ligatures w14:val="standardContextual"/>
        </w:rPr>
        <w:t xml:space="preserve"> to do inwestycji kluczowych zastosowanie będą mieć przepisy niniejszej ustawy.</w:t>
      </w:r>
    </w:p>
    <w:p w14:paraId="2A476DCE" w14:textId="68466698" w:rsidR="00C04E6E" w:rsidRPr="00406A62" w:rsidRDefault="0053274B"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w:t>
      </w:r>
      <w:r w:rsidR="00E003FD" w:rsidRPr="00406A62">
        <w:rPr>
          <w:rFonts w:ascii="Times New Roman" w:hAnsi="Times New Roman" w:cs="Times New Roman"/>
          <w:b/>
          <w:sz w:val="24"/>
          <w:szCs w:val="24"/>
        </w:rPr>
        <w:t xml:space="preserve"> </w:t>
      </w:r>
      <w:r w:rsidR="0080451F" w:rsidRPr="00406A62">
        <w:rPr>
          <w:rFonts w:ascii="Times New Roman" w:hAnsi="Times New Roman" w:cs="Times New Roman"/>
          <w:b/>
          <w:sz w:val="24"/>
          <w:szCs w:val="24"/>
        </w:rPr>
        <w:t>4</w:t>
      </w:r>
      <w:r w:rsidR="00A95173" w:rsidRPr="00406A62">
        <w:rPr>
          <w:rFonts w:ascii="Times New Roman" w:hAnsi="Times New Roman" w:cs="Times New Roman"/>
          <w:sz w:val="24"/>
          <w:szCs w:val="24"/>
        </w:rPr>
        <w:t xml:space="preserve"> </w:t>
      </w:r>
      <w:r w:rsidR="007765C3" w:rsidRPr="00406A62">
        <w:rPr>
          <w:rFonts w:ascii="Times New Roman" w:hAnsi="Times New Roman" w:cs="Times New Roman"/>
          <w:sz w:val="24"/>
          <w:szCs w:val="24"/>
        </w:rPr>
        <w:t xml:space="preserve">nadaje priorytet dla rozpatrywania wniosków o </w:t>
      </w:r>
      <w:r w:rsidR="005D161D" w:rsidRPr="00406A62">
        <w:rPr>
          <w:rFonts w:ascii="Times New Roman" w:hAnsi="Times New Roman" w:cs="Times New Roman"/>
          <w:sz w:val="24"/>
          <w:szCs w:val="24"/>
        </w:rPr>
        <w:t>wydani</w:t>
      </w:r>
      <w:r w:rsidR="007765C3" w:rsidRPr="00406A62">
        <w:rPr>
          <w:rFonts w:ascii="Times New Roman" w:hAnsi="Times New Roman" w:cs="Times New Roman"/>
          <w:sz w:val="24"/>
          <w:szCs w:val="24"/>
        </w:rPr>
        <w:t>e</w:t>
      </w:r>
      <w:r w:rsidR="005D161D" w:rsidRPr="00406A62">
        <w:rPr>
          <w:rFonts w:ascii="Times New Roman" w:hAnsi="Times New Roman" w:cs="Times New Roman"/>
          <w:sz w:val="24"/>
          <w:szCs w:val="24"/>
        </w:rPr>
        <w:t xml:space="preserve"> decyzji</w:t>
      </w:r>
      <w:r w:rsidR="005A3280" w:rsidRPr="00406A62">
        <w:rPr>
          <w:rFonts w:ascii="Times New Roman" w:hAnsi="Times New Roman" w:cs="Times New Roman"/>
          <w:sz w:val="24"/>
          <w:szCs w:val="24"/>
        </w:rPr>
        <w:t xml:space="preserve">, o której mowa w art. 71 ustawy z dnia 3 października 2008 r. o udostępnianiu informacji o środowisku i jego ochronie, udziale społeczeństwa w ochronie środowiska oraz o ocenach oddziaływania na środowisko (Dz. U. z </w:t>
      </w:r>
      <w:r w:rsidR="00EA7355" w:rsidRPr="00406A62">
        <w:rPr>
          <w:rFonts w:ascii="Times New Roman" w:hAnsi="Times New Roman" w:cs="Times New Roman"/>
          <w:sz w:val="24"/>
          <w:szCs w:val="24"/>
        </w:rPr>
        <w:t xml:space="preserve">2026 </w:t>
      </w:r>
      <w:r w:rsidR="005A3280" w:rsidRPr="00406A62">
        <w:rPr>
          <w:rFonts w:ascii="Times New Roman" w:hAnsi="Times New Roman" w:cs="Times New Roman"/>
          <w:sz w:val="24"/>
          <w:szCs w:val="24"/>
        </w:rPr>
        <w:t xml:space="preserve">r. poz. </w:t>
      </w:r>
      <w:r w:rsidR="00EA7355" w:rsidRPr="00406A62">
        <w:rPr>
          <w:rFonts w:ascii="Times New Roman" w:hAnsi="Times New Roman" w:cs="Times New Roman"/>
          <w:sz w:val="24"/>
          <w:szCs w:val="24"/>
        </w:rPr>
        <w:t>670</w:t>
      </w:r>
      <w:r w:rsidR="005A3280" w:rsidRPr="00406A62">
        <w:rPr>
          <w:rFonts w:ascii="Times New Roman" w:hAnsi="Times New Roman" w:cs="Times New Roman"/>
          <w:sz w:val="24"/>
          <w:szCs w:val="24"/>
        </w:rPr>
        <w:t>, z późn. zm.),</w:t>
      </w:r>
      <w:r w:rsidR="00591312" w:rsidRPr="00406A62">
        <w:rPr>
          <w:rFonts w:ascii="Times New Roman" w:hAnsi="Times New Roman" w:cs="Times New Roman"/>
          <w:sz w:val="24"/>
          <w:szCs w:val="24"/>
        </w:rPr>
        <w:t xml:space="preserve"> </w:t>
      </w:r>
      <w:r w:rsidR="005A3280" w:rsidRPr="00406A62">
        <w:rPr>
          <w:rFonts w:ascii="Times New Roman" w:hAnsi="Times New Roman" w:cs="Times New Roman"/>
          <w:sz w:val="24"/>
          <w:szCs w:val="24"/>
        </w:rPr>
        <w:t xml:space="preserve">zwanej </w:t>
      </w:r>
      <w:r w:rsidR="00591312" w:rsidRPr="00406A62">
        <w:rPr>
          <w:rFonts w:ascii="Times New Roman" w:hAnsi="Times New Roman" w:cs="Times New Roman"/>
          <w:sz w:val="24"/>
          <w:szCs w:val="24"/>
        </w:rPr>
        <w:t>dalej „decyzj</w:t>
      </w:r>
      <w:r w:rsidR="005A3280" w:rsidRPr="00406A62">
        <w:rPr>
          <w:rFonts w:ascii="Times New Roman" w:hAnsi="Times New Roman" w:cs="Times New Roman"/>
          <w:sz w:val="24"/>
          <w:szCs w:val="24"/>
        </w:rPr>
        <w:t>ą</w:t>
      </w:r>
      <w:r w:rsidR="00591312" w:rsidRPr="00406A62">
        <w:rPr>
          <w:rFonts w:ascii="Times New Roman" w:hAnsi="Times New Roman" w:cs="Times New Roman"/>
          <w:sz w:val="24"/>
          <w:szCs w:val="24"/>
        </w:rPr>
        <w:t xml:space="preserve"> środowiskow</w:t>
      </w:r>
      <w:r w:rsidR="005A3280" w:rsidRPr="00406A62">
        <w:rPr>
          <w:rFonts w:ascii="Times New Roman" w:hAnsi="Times New Roman" w:cs="Times New Roman"/>
          <w:sz w:val="24"/>
          <w:szCs w:val="24"/>
        </w:rPr>
        <w:t>ą</w:t>
      </w:r>
      <w:r w:rsidR="00591312" w:rsidRPr="00406A62">
        <w:rPr>
          <w:rFonts w:ascii="Times New Roman" w:hAnsi="Times New Roman" w:cs="Times New Roman"/>
          <w:sz w:val="24"/>
          <w:szCs w:val="24"/>
        </w:rPr>
        <w:t>”</w:t>
      </w:r>
      <w:r w:rsidR="005A3280" w:rsidRPr="00406A62">
        <w:rPr>
          <w:rFonts w:ascii="Times New Roman" w:hAnsi="Times New Roman" w:cs="Times New Roman"/>
          <w:sz w:val="24"/>
          <w:szCs w:val="24"/>
        </w:rPr>
        <w:t>,</w:t>
      </w:r>
      <w:r w:rsidR="005D161D" w:rsidRPr="00406A62">
        <w:rPr>
          <w:rFonts w:ascii="Times New Roman" w:hAnsi="Times New Roman" w:cs="Times New Roman"/>
          <w:sz w:val="24"/>
          <w:szCs w:val="24"/>
        </w:rPr>
        <w:t xml:space="preserve"> dla inwestycji kluczowych</w:t>
      </w:r>
      <w:r w:rsidR="007765C3" w:rsidRPr="00406A62">
        <w:rPr>
          <w:rFonts w:ascii="Times New Roman" w:hAnsi="Times New Roman" w:cs="Times New Roman"/>
          <w:sz w:val="24"/>
          <w:szCs w:val="24"/>
        </w:rPr>
        <w:t>. Wnioski te mają być rozpatrywane niezwłocznie, poza kolejnością wpływu do właściwego organu.</w:t>
      </w:r>
      <w:r w:rsidR="00082549" w:rsidRPr="00406A62">
        <w:rPr>
          <w:rFonts w:ascii="Times New Roman" w:hAnsi="Times New Roman" w:cs="Times New Roman"/>
          <w:sz w:val="24"/>
          <w:szCs w:val="24"/>
        </w:rPr>
        <w:t xml:space="preserve"> Analogiczny priorytet rozpatrywania zostanie wprowadzony również w zakresie wniosków o wydanie pozwoleń wodnoprawnych oraz ocen </w:t>
      </w:r>
      <w:r w:rsidR="00082549" w:rsidRPr="00406A62">
        <w:rPr>
          <w:rFonts w:ascii="Times New Roman" w:hAnsi="Times New Roman" w:cs="Times New Roman"/>
          <w:sz w:val="24"/>
          <w:szCs w:val="24"/>
        </w:rPr>
        <w:lastRenderedPageBreak/>
        <w:t>wodnoprawnych, o których mowa w ustawie z dnia 20 lipca 2017 r. – Prawo wodne (Dz. U. z 2025 r. poz. 960</w:t>
      </w:r>
      <w:r w:rsidR="00EA7355" w:rsidRPr="00406A62">
        <w:rPr>
          <w:rFonts w:ascii="Times New Roman" w:hAnsi="Times New Roman" w:cs="Times New Roman"/>
          <w:sz w:val="24"/>
          <w:szCs w:val="24"/>
        </w:rPr>
        <w:t>, z późn. zm.</w:t>
      </w:r>
      <w:r w:rsidR="00082549" w:rsidRPr="00406A62">
        <w:rPr>
          <w:rFonts w:ascii="Times New Roman" w:hAnsi="Times New Roman" w:cs="Times New Roman"/>
          <w:sz w:val="24"/>
          <w:szCs w:val="24"/>
        </w:rPr>
        <w:t>), dotyczących inwestycji kluczowych.</w:t>
      </w:r>
    </w:p>
    <w:p w14:paraId="420EF019" w14:textId="30B090DC" w:rsidR="00AC59C8" w:rsidRPr="00406A62" w:rsidRDefault="00AC59C8"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w:t>
      </w:r>
      <w:r w:rsidR="006D0C67" w:rsidRPr="00406A62">
        <w:rPr>
          <w:rFonts w:ascii="Times New Roman" w:hAnsi="Times New Roman" w:cs="Times New Roman"/>
          <w:b/>
          <w:sz w:val="24"/>
          <w:szCs w:val="24"/>
        </w:rPr>
        <w:t xml:space="preserve"> </w:t>
      </w:r>
      <w:r w:rsidR="00DF41E1" w:rsidRPr="00406A62">
        <w:rPr>
          <w:rFonts w:ascii="Times New Roman" w:hAnsi="Times New Roman" w:cs="Times New Roman"/>
          <w:b/>
          <w:sz w:val="24"/>
          <w:szCs w:val="24"/>
        </w:rPr>
        <w:t>5</w:t>
      </w:r>
      <w:r w:rsidR="00DF41E1"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wskazuje na możliwość </w:t>
      </w:r>
      <w:r w:rsidR="006D0C67" w:rsidRPr="00406A62">
        <w:rPr>
          <w:rFonts w:ascii="Times New Roman" w:hAnsi="Times New Roman" w:cs="Times New Roman"/>
          <w:sz w:val="24"/>
          <w:szCs w:val="24"/>
        </w:rPr>
        <w:t>odstąpienia od zatwierdzonego projektu zagospodarowania działki lub terenu oraz projektu architektoniczno-budowlanego w zakresie objętym projektem zagospodarowania terenu w liniach rozgraniczających teren realizacji inwestycji kluczowej,</w:t>
      </w:r>
      <w:r w:rsidR="00801966" w:rsidRPr="00406A62">
        <w:rPr>
          <w:rFonts w:ascii="Times New Roman" w:hAnsi="Times New Roman" w:cs="Times New Roman"/>
          <w:sz w:val="24"/>
          <w:szCs w:val="24"/>
        </w:rPr>
        <w:t xml:space="preserve"> bez naruszenia</w:t>
      </w:r>
      <w:r w:rsidR="006D0C67" w:rsidRPr="00406A62">
        <w:rPr>
          <w:rFonts w:ascii="Times New Roman" w:hAnsi="Times New Roman" w:cs="Times New Roman"/>
          <w:sz w:val="24"/>
          <w:szCs w:val="24"/>
        </w:rPr>
        <w:t xml:space="preserve"> przy tym wymagań określonych </w:t>
      </w:r>
      <w:r w:rsidR="00CF42CA" w:rsidRPr="00406A62">
        <w:rPr>
          <w:rFonts w:ascii="Times New Roman" w:hAnsi="Times New Roman" w:cs="Times New Roman"/>
          <w:sz w:val="24"/>
          <w:szCs w:val="24"/>
        </w:rPr>
        <w:t xml:space="preserve">w art. 36a </w:t>
      </w:r>
      <w:r w:rsidR="006D0C67" w:rsidRPr="00406A62">
        <w:rPr>
          <w:rFonts w:ascii="Times New Roman" w:hAnsi="Times New Roman" w:cs="Times New Roman"/>
          <w:sz w:val="24"/>
          <w:szCs w:val="24"/>
        </w:rPr>
        <w:t>ustaw</w:t>
      </w:r>
      <w:r w:rsidR="00CF42CA" w:rsidRPr="00406A62">
        <w:rPr>
          <w:rFonts w:ascii="Times New Roman" w:hAnsi="Times New Roman" w:cs="Times New Roman"/>
          <w:sz w:val="24"/>
          <w:szCs w:val="24"/>
        </w:rPr>
        <w:t>y</w:t>
      </w:r>
      <w:r w:rsidR="006D0C67" w:rsidRPr="00406A62">
        <w:rPr>
          <w:rFonts w:ascii="Times New Roman" w:hAnsi="Times New Roman" w:cs="Times New Roman"/>
          <w:sz w:val="24"/>
          <w:szCs w:val="24"/>
        </w:rPr>
        <w:t xml:space="preserve"> </w:t>
      </w:r>
      <w:r w:rsidR="00EC5BBF" w:rsidRPr="00406A62">
        <w:rPr>
          <w:rFonts w:ascii="Times New Roman" w:hAnsi="Times New Roman" w:cs="Times New Roman"/>
          <w:sz w:val="24"/>
          <w:szCs w:val="24"/>
        </w:rPr>
        <w:t xml:space="preserve">z dnia 7 lipca 1994 r. – </w:t>
      </w:r>
      <w:r w:rsidR="006D0C67" w:rsidRPr="00406A62">
        <w:rPr>
          <w:rFonts w:ascii="Times New Roman" w:hAnsi="Times New Roman" w:cs="Times New Roman"/>
          <w:sz w:val="24"/>
          <w:szCs w:val="24"/>
        </w:rPr>
        <w:t>Prawo budowlane</w:t>
      </w:r>
      <w:r w:rsidR="00CF42CA" w:rsidRPr="00406A62">
        <w:rPr>
          <w:rFonts w:ascii="Times New Roman" w:hAnsi="Times New Roman" w:cs="Times New Roman"/>
          <w:sz w:val="24"/>
          <w:szCs w:val="24"/>
        </w:rPr>
        <w:t xml:space="preserve">, </w:t>
      </w:r>
      <w:r w:rsidR="004E1153" w:rsidRPr="00406A62">
        <w:rPr>
          <w:rFonts w:ascii="Times New Roman" w:hAnsi="Times New Roman" w:cs="Times New Roman"/>
          <w:sz w:val="24"/>
          <w:szCs w:val="24"/>
        </w:rPr>
        <w:t xml:space="preserve">jeżeli zakres zmian nie wymaga </w:t>
      </w:r>
      <w:r w:rsidR="00960D0F" w:rsidRPr="00406A62">
        <w:rPr>
          <w:rFonts w:ascii="Times New Roman" w:hAnsi="Times New Roman" w:cs="Times New Roman"/>
          <w:sz w:val="24"/>
          <w:szCs w:val="24"/>
        </w:rPr>
        <w:t xml:space="preserve">uzyskania lub </w:t>
      </w:r>
      <w:r w:rsidR="004E1153" w:rsidRPr="00406A62">
        <w:rPr>
          <w:rFonts w:ascii="Times New Roman" w:hAnsi="Times New Roman" w:cs="Times New Roman"/>
          <w:sz w:val="24"/>
          <w:szCs w:val="24"/>
        </w:rPr>
        <w:t xml:space="preserve">zmiany decyzji o środowiskowych uwarunkowaniach wydanej dla przedsięwzięcia </w:t>
      </w:r>
      <w:r w:rsidR="00CF42CA" w:rsidRPr="00406A62">
        <w:rPr>
          <w:rFonts w:ascii="Times New Roman" w:hAnsi="Times New Roman" w:cs="Times New Roman"/>
          <w:sz w:val="24"/>
          <w:szCs w:val="24"/>
        </w:rPr>
        <w:t xml:space="preserve">tj. takie odstąpienie nie </w:t>
      </w:r>
      <w:r w:rsidR="00FE0BA0" w:rsidRPr="00406A62">
        <w:rPr>
          <w:rFonts w:ascii="Times New Roman" w:hAnsi="Times New Roman" w:cs="Times New Roman"/>
          <w:sz w:val="24"/>
          <w:szCs w:val="24"/>
        </w:rPr>
        <w:t xml:space="preserve">będzie </w:t>
      </w:r>
      <w:r w:rsidR="00CF42CA" w:rsidRPr="00406A62">
        <w:rPr>
          <w:rFonts w:ascii="Times New Roman" w:hAnsi="Times New Roman" w:cs="Times New Roman"/>
          <w:sz w:val="24"/>
          <w:szCs w:val="24"/>
        </w:rPr>
        <w:t>stanowi</w:t>
      </w:r>
      <w:r w:rsidR="00FE0BA0" w:rsidRPr="00406A62">
        <w:rPr>
          <w:rFonts w:ascii="Times New Roman" w:hAnsi="Times New Roman" w:cs="Times New Roman"/>
          <w:sz w:val="24"/>
          <w:szCs w:val="24"/>
        </w:rPr>
        <w:t>ć</w:t>
      </w:r>
      <w:r w:rsidR="00CF42CA" w:rsidRPr="00406A62">
        <w:rPr>
          <w:rFonts w:ascii="Times New Roman" w:hAnsi="Times New Roman" w:cs="Times New Roman"/>
          <w:sz w:val="24"/>
          <w:szCs w:val="24"/>
        </w:rPr>
        <w:t xml:space="preserve"> istotnego odstąpienia od zatwierdzonego projektu zagospodarowania działki lub terenu oraz projektu architektoniczno-budowlanego.</w:t>
      </w:r>
    </w:p>
    <w:p w14:paraId="521DD6A2" w14:textId="4BDD31FD" w:rsidR="00405E28" w:rsidRPr="00406A62" w:rsidRDefault="00405E28"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DF41E1" w:rsidRPr="00406A62">
        <w:rPr>
          <w:rFonts w:ascii="Times New Roman" w:hAnsi="Times New Roman" w:cs="Times New Roman"/>
          <w:b/>
          <w:sz w:val="24"/>
          <w:szCs w:val="24"/>
        </w:rPr>
        <w:t>6</w:t>
      </w:r>
      <w:r w:rsidR="00DF41E1"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reguluje przekazanie akt </w:t>
      </w:r>
      <w:r w:rsidR="00992AEE" w:rsidRPr="00406A62">
        <w:rPr>
          <w:rFonts w:ascii="Times New Roman" w:hAnsi="Times New Roman" w:cs="Times New Roman"/>
          <w:sz w:val="24"/>
          <w:szCs w:val="24"/>
        </w:rPr>
        <w:t xml:space="preserve">sprawy </w:t>
      </w:r>
      <w:r w:rsidRPr="00406A62">
        <w:rPr>
          <w:rFonts w:ascii="Times New Roman" w:hAnsi="Times New Roman" w:cs="Times New Roman"/>
          <w:sz w:val="24"/>
          <w:szCs w:val="24"/>
        </w:rPr>
        <w:t>i odpowiedzi na skargę</w:t>
      </w:r>
      <w:r w:rsidR="00992AEE" w:rsidRPr="00406A62">
        <w:rPr>
          <w:rFonts w:ascii="Times New Roman" w:hAnsi="Times New Roman" w:cs="Times New Roman"/>
          <w:sz w:val="24"/>
          <w:szCs w:val="24"/>
        </w:rPr>
        <w:t xml:space="preserve"> do sądu administracyjnego</w:t>
      </w:r>
      <w:r w:rsidRPr="00406A62">
        <w:rPr>
          <w:rFonts w:ascii="Times New Roman" w:hAnsi="Times New Roman" w:cs="Times New Roman"/>
          <w:sz w:val="24"/>
          <w:szCs w:val="24"/>
        </w:rPr>
        <w:t xml:space="preserve"> w terminie </w:t>
      </w:r>
      <w:r w:rsidR="002F1DC0" w:rsidRPr="00406A62">
        <w:rPr>
          <w:rFonts w:ascii="Times New Roman" w:hAnsi="Times New Roman" w:cs="Times New Roman"/>
          <w:sz w:val="24"/>
          <w:szCs w:val="24"/>
        </w:rPr>
        <w:t>7</w:t>
      </w:r>
      <w:r w:rsidRPr="00406A62">
        <w:rPr>
          <w:rFonts w:ascii="Times New Roman" w:hAnsi="Times New Roman" w:cs="Times New Roman"/>
          <w:sz w:val="24"/>
          <w:szCs w:val="24"/>
        </w:rPr>
        <w:t xml:space="preserve"> dni od dnia jej otrzymania. Sąd zobowiązano natomiast do rozpatrzenia skargi w terminie 30 dni od dnia otrzymania akt wraz z odpowiedzią na skargę.</w:t>
      </w:r>
    </w:p>
    <w:p w14:paraId="5DBFDFBD" w14:textId="77777777" w:rsidR="00405E28" w:rsidRPr="00406A62" w:rsidRDefault="00405E28"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Dodatkowo w przepisie określono termin na rozpatrzenie skargi kasacyjnej </w:t>
      </w:r>
      <w:r w:rsidR="002F1DC0" w:rsidRPr="00406A62">
        <w:rPr>
          <w:rFonts w:ascii="Times New Roman" w:hAnsi="Times New Roman" w:cs="Times New Roman"/>
          <w:sz w:val="24"/>
          <w:szCs w:val="24"/>
        </w:rPr>
        <w:t>na orzeczenie sądu administracyjnego dotyczące decyzji</w:t>
      </w:r>
      <w:r w:rsidR="00992AEE" w:rsidRPr="00406A62">
        <w:rPr>
          <w:rFonts w:ascii="Times New Roman" w:hAnsi="Times New Roman" w:cs="Times New Roman"/>
          <w:sz w:val="24"/>
          <w:szCs w:val="24"/>
        </w:rPr>
        <w:t xml:space="preserve"> wydanej dla inwestycji kluczowej,</w:t>
      </w:r>
      <w:r w:rsidRPr="00406A62">
        <w:rPr>
          <w:rFonts w:ascii="Times New Roman" w:hAnsi="Times New Roman" w:cs="Times New Roman"/>
          <w:sz w:val="24"/>
          <w:szCs w:val="24"/>
        </w:rPr>
        <w:t xml:space="preserve"> wynoszący 2 miesiące od dnia </w:t>
      </w:r>
      <w:r w:rsidR="002F1DC0" w:rsidRPr="00406A62">
        <w:rPr>
          <w:rFonts w:ascii="Times New Roman" w:hAnsi="Times New Roman" w:cs="Times New Roman"/>
          <w:sz w:val="24"/>
          <w:szCs w:val="24"/>
        </w:rPr>
        <w:t>jej</w:t>
      </w:r>
      <w:r w:rsidRPr="00406A62">
        <w:rPr>
          <w:rFonts w:ascii="Times New Roman" w:hAnsi="Times New Roman" w:cs="Times New Roman"/>
          <w:sz w:val="24"/>
          <w:szCs w:val="24"/>
        </w:rPr>
        <w:t xml:space="preserve"> wniesienia</w:t>
      </w:r>
      <w:r w:rsidR="00B9099F" w:rsidRPr="00406A62">
        <w:rPr>
          <w:rFonts w:ascii="Times New Roman" w:hAnsi="Times New Roman" w:cs="Times New Roman"/>
          <w:sz w:val="24"/>
          <w:szCs w:val="24"/>
        </w:rPr>
        <w:t>.</w:t>
      </w:r>
    </w:p>
    <w:p w14:paraId="7926D567" w14:textId="2BD56C8E" w:rsidR="00C7747F" w:rsidRPr="00406A62" w:rsidRDefault="006D0C67"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w:t>
      </w:r>
      <w:r w:rsidR="00405E28" w:rsidRPr="00406A62">
        <w:rPr>
          <w:rFonts w:ascii="Times New Roman" w:hAnsi="Times New Roman" w:cs="Times New Roman"/>
          <w:b/>
          <w:sz w:val="24"/>
          <w:szCs w:val="24"/>
        </w:rPr>
        <w:t xml:space="preserve"> </w:t>
      </w:r>
      <w:r w:rsidR="00DF41E1" w:rsidRPr="00406A62">
        <w:rPr>
          <w:rFonts w:ascii="Times New Roman" w:hAnsi="Times New Roman" w:cs="Times New Roman"/>
          <w:b/>
          <w:sz w:val="24"/>
          <w:szCs w:val="24"/>
        </w:rPr>
        <w:t>7</w:t>
      </w:r>
      <w:r w:rsidR="00DF41E1" w:rsidRPr="00406A62">
        <w:rPr>
          <w:rFonts w:ascii="Times New Roman" w:hAnsi="Times New Roman" w:cs="Times New Roman"/>
          <w:sz w:val="24"/>
          <w:szCs w:val="24"/>
        </w:rPr>
        <w:t xml:space="preserve"> </w:t>
      </w:r>
      <w:r w:rsidR="00C7747F" w:rsidRPr="00406A62">
        <w:rPr>
          <w:rFonts w:ascii="Times New Roman" w:hAnsi="Times New Roman" w:cs="Times New Roman"/>
          <w:sz w:val="24"/>
          <w:szCs w:val="24"/>
        </w:rPr>
        <w:t xml:space="preserve">skraca termin, w którym </w:t>
      </w:r>
      <w:r w:rsidR="00C75E6B" w:rsidRPr="00406A62">
        <w:rPr>
          <w:rFonts w:ascii="Times New Roman" w:hAnsi="Times New Roman" w:cs="Times New Roman"/>
          <w:sz w:val="24"/>
          <w:szCs w:val="24"/>
        </w:rPr>
        <w:t>ma zostać</w:t>
      </w:r>
      <w:r w:rsidR="00012AA1" w:rsidRPr="00406A62">
        <w:rPr>
          <w:rFonts w:ascii="Times New Roman" w:hAnsi="Times New Roman" w:cs="Times New Roman"/>
          <w:sz w:val="24"/>
          <w:szCs w:val="24"/>
        </w:rPr>
        <w:t xml:space="preserve"> </w:t>
      </w:r>
      <w:r w:rsidR="00C75E6B" w:rsidRPr="00406A62">
        <w:rPr>
          <w:rFonts w:ascii="Times New Roman" w:hAnsi="Times New Roman" w:cs="Times New Roman"/>
          <w:sz w:val="24"/>
          <w:szCs w:val="24"/>
        </w:rPr>
        <w:t xml:space="preserve">dokonana weryfikacja </w:t>
      </w:r>
      <w:r w:rsidR="00C7747F" w:rsidRPr="00406A62">
        <w:rPr>
          <w:rFonts w:ascii="Times New Roman" w:hAnsi="Times New Roman" w:cs="Times New Roman"/>
          <w:sz w:val="24"/>
          <w:szCs w:val="24"/>
        </w:rPr>
        <w:t xml:space="preserve">wyników zgłoszonych prac geodezyjnych dotyczących inwestycji kluczowej w zakresie zgodności z obowiązującymi przepisami prawa z zakresu geodezji i kartografii i spójności przekazywanych zbiorów danych z prowadzonymi bazami danych – do 7 dni roboczych od dnia otrzymania </w:t>
      </w:r>
      <w:r w:rsidR="00D74A7A" w:rsidRPr="00406A62">
        <w:rPr>
          <w:rFonts w:ascii="Times New Roman" w:hAnsi="Times New Roman" w:cs="Times New Roman"/>
          <w:sz w:val="24"/>
          <w:szCs w:val="24"/>
        </w:rPr>
        <w:t>przez organ Służby Geodezyjnej i Kartograficznej zawiadomienia o przekazaniu wyników zgłoszonych prac</w:t>
      </w:r>
      <w:r w:rsidR="00C7747F" w:rsidRPr="00406A62">
        <w:rPr>
          <w:rFonts w:ascii="Times New Roman" w:hAnsi="Times New Roman" w:cs="Times New Roman"/>
          <w:sz w:val="24"/>
          <w:szCs w:val="24"/>
        </w:rPr>
        <w:t>. Obecnie terminy w ustawie z</w:t>
      </w:r>
      <w:r w:rsidR="00BD3B0C" w:rsidRPr="00406A62">
        <w:rPr>
          <w:rFonts w:ascii="Times New Roman" w:hAnsi="Times New Roman" w:cs="Times New Roman"/>
          <w:sz w:val="24"/>
          <w:szCs w:val="24"/>
        </w:rPr>
        <w:t> </w:t>
      </w:r>
      <w:r w:rsidR="00C7747F" w:rsidRPr="00406A62">
        <w:rPr>
          <w:rFonts w:ascii="Times New Roman" w:hAnsi="Times New Roman" w:cs="Times New Roman"/>
          <w:sz w:val="24"/>
          <w:szCs w:val="24"/>
        </w:rPr>
        <w:t>dnia 17 maja 1989 r. – Prawo geodezyjne i kartograficzne (Dz.</w:t>
      </w:r>
      <w:r w:rsidR="00940033">
        <w:rPr>
          <w:rFonts w:ascii="Times New Roman" w:hAnsi="Times New Roman" w:cs="Times New Roman"/>
          <w:sz w:val="24"/>
          <w:szCs w:val="24"/>
        </w:rPr>
        <w:t> </w:t>
      </w:r>
      <w:r w:rsidR="00C7747F" w:rsidRPr="00406A62">
        <w:rPr>
          <w:rFonts w:ascii="Times New Roman" w:hAnsi="Times New Roman" w:cs="Times New Roman"/>
          <w:sz w:val="24"/>
          <w:szCs w:val="24"/>
        </w:rPr>
        <w:t>U. z 2024 r. poz.</w:t>
      </w:r>
      <w:r w:rsidR="00885F18">
        <w:rPr>
          <w:rFonts w:ascii="Times New Roman" w:hAnsi="Times New Roman" w:cs="Times New Roman"/>
          <w:sz w:val="24"/>
          <w:szCs w:val="24"/>
        </w:rPr>
        <w:t> </w:t>
      </w:r>
      <w:r w:rsidR="00C7747F" w:rsidRPr="00406A62">
        <w:rPr>
          <w:rFonts w:ascii="Times New Roman" w:hAnsi="Times New Roman" w:cs="Times New Roman"/>
          <w:sz w:val="24"/>
          <w:szCs w:val="24"/>
        </w:rPr>
        <w:t>1151</w:t>
      </w:r>
      <w:r w:rsidR="00E92987" w:rsidRPr="00406A62">
        <w:rPr>
          <w:rFonts w:ascii="Times New Roman" w:hAnsi="Times New Roman" w:cs="Times New Roman"/>
          <w:sz w:val="24"/>
          <w:szCs w:val="24"/>
        </w:rPr>
        <w:t>, z późn. zm.</w:t>
      </w:r>
      <w:r w:rsidR="00C7747F" w:rsidRPr="00406A62">
        <w:rPr>
          <w:rFonts w:ascii="Times New Roman" w:hAnsi="Times New Roman" w:cs="Times New Roman"/>
          <w:sz w:val="24"/>
          <w:szCs w:val="24"/>
        </w:rPr>
        <w:t>) są uzależnione od wielkości obszaru objętego zgłoszeniem prac i wynoszą od 7 dni do 20 dni roboczych.</w:t>
      </w:r>
    </w:p>
    <w:p w14:paraId="7738BAE8" w14:textId="35B2576F" w:rsidR="00FE5707" w:rsidRPr="00406A62" w:rsidRDefault="00382474"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DF41E1" w:rsidRPr="00406A62">
        <w:rPr>
          <w:rFonts w:ascii="Times New Roman" w:hAnsi="Times New Roman" w:cs="Times New Roman"/>
          <w:b/>
          <w:sz w:val="24"/>
          <w:szCs w:val="24"/>
        </w:rPr>
        <w:t>8</w:t>
      </w:r>
      <w:r w:rsidR="00DF41E1" w:rsidRPr="00406A62">
        <w:rPr>
          <w:rFonts w:ascii="Times New Roman" w:hAnsi="Times New Roman" w:cs="Times New Roman"/>
          <w:sz w:val="24"/>
          <w:szCs w:val="24"/>
        </w:rPr>
        <w:t xml:space="preserve"> </w:t>
      </w:r>
      <w:r w:rsidR="00FE5707" w:rsidRPr="00406A62">
        <w:rPr>
          <w:rFonts w:ascii="Times New Roman" w:hAnsi="Times New Roman" w:cs="Times New Roman"/>
          <w:sz w:val="24"/>
          <w:szCs w:val="24"/>
        </w:rPr>
        <w:t>wprowadza termin na wydanie przez wojewódzkiego konserwatora zabytków decyzji, o</w:t>
      </w:r>
      <w:r w:rsidR="00BD3B0C" w:rsidRPr="00406A62">
        <w:rPr>
          <w:rFonts w:ascii="Times New Roman" w:hAnsi="Times New Roman" w:cs="Times New Roman"/>
          <w:sz w:val="24"/>
          <w:szCs w:val="24"/>
        </w:rPr>
        <w:t> </w:t>
      </w:r>
      <w:r w:rsidR="00FE5707" w:rsidRPr="00406A62">
        <w:rPr>
          <w:rFonts w:ascii="Times New Roman" w:hAnsi="Times New Roman" w:cs="Times New Roman"/>
          <w:sz w:val="24"/>
          <w:szCs w:val="24"/>
        </w:rPr>
        <w:t>których mowa w art. 32 ust. 5 ustawy z dnia 23 lipca 2003 r. o ochronie zabytków i opiece nad zabytkami</w:t>
      </w:r>
      <w:r w:rsidR="00A26BB2" w:rsidRPr="00406A62">
        <w:rPr>
          <w:rFonts w:ascii="Times New Roman" w:hAnsi="Times New Roman" w:cs="Times New Roman"/>
          <w:sz w:val="24"/>
          <w:szCs w:val="24"/>
        </w:rPr>
        <w:t xml:space="preserve"> (Dz. U. z 2024 r. poz. 1292</w:t>
      </w:r>
      <w:r w:rsidR="00D85C6B" w:rsidRPr="00406A62">
        <w:rPr>
          <w:rFonts w:ascii="Times New Roman" w:hAnsi="Times New Roman" w:cs="Times New Roman"/>
          <w:sz w:val="24"/>
          <w:szCs w:val="24"/>
        </w:rPr>
        <w:t>, z późn. zm.</w:t>
      </w:r>
      <w:r w:rsidR="00A26BB2" w:rsidRPr="00406A62">
        <w:rPr>
          <w:rFonts w:ascii="Times New Roman" w:hAnsi="Times New Roman" w:cs="Times New Roman"/>
          <w:sz w:val="24"/>
          <w:szCs w:val="24"/>
        </w:rPr>
        <w:t>)</w:t>
      </w:r>
      <w:r w:rsidR="004E1153" w:rsidRPr="00406A62">
        <w:rPr>
          <w:rFonts w:ascii="Times New Roman" w:hAnsi="Times New Roman" w:cs="Times New Roman"/>
          <w:sz w:val="24"/>
          <w:szCs w:val="24"/>
        </w:rPr>
        <w:t xml:space="preserve"> dotyczącej</w:t>
      </w:r>
      <w:r w:rsidR="00075C23" w:rsidRPr="00406A62">
        <w:rPr>
          <w:rFonts w:ascii="Times New Roman" w:hAnsi="Times New Roman" w:cs="Times New Roman"/>
          <w:sz w:val="24"/>
          <w:szCs w:val="24"/>
        </w:rPr>
        <w:t xml:space="preserve"> </w:t>
      </w:r>
      <w:r w:rsidR="00FE5707" w:rsidRPr="00406A62">
        <w:rPr>
          <w:rFonts w:ascii="Times New Roman" w:hAnsi="Times New Roman" w:cs="Times New Roman"/>
          <w:sz w:val="24"/>
          <w:szCs w:val="24"/>
        </w:rPr>
        <w:t xml:space="preserve">przerwanych robót. Decyzje takie powinny być wydane w terminie niedłuższym niż 5 dni </w:t>
      </w:r>
      <w:r w:rsidR="004E1153" w:rsidRPr="00406A62">
        <w:rPr>
          <w:rFonts w:ascii="Times New Roman" w:hAnsi="Times New Roman" w:cs="Times New Roman"/>
          <w:sz w:val="24"/>
          <w:szCs w:val="24"/>
        </w:rPr>
        <w:t xml:space="preserve">roboczych </w:t>
      </w:r>
      <w:r w:rsidR="00FE5707" w:rsidRPr="00406A62">
        <w:rPr>
          <w:rFonts w:ascii="Times New Roman" w:hAnsi="Times New Roman" w:cs="Times New Roman"/>
          <w:sz w:val="24"/>
          <w:szCs w:val="24"/>
        </w:rPr>
        <w:t xml:space="preserve">od dnia dokonania oględzin. Ponadto sformułowano zasadę, że jeżeli w </w:t>
      </w:r>
      <w:r w:rsidR="004E1153" w:rsidRPr="00406A62">
        <w:rPr>
          <w:rFonts w:ascii="Times New Roman" w:hAnsi="Times New Roman" w:cs="Times New Roman"/>
          <w:sz w:val="24"/>
          <w:szCs w:val="24"/>
        </w:rPr>
        <w:t>ustawowym terminie</w:t>
      </w:r>
      <w:r w:rsidR="00FE5707" w:rsidRPr="00406A62">
        <w:rPr>
          <w:rFonts w:ascii="Times New Roman" w:hAnsi="Times New Roman" w:cs="Times New Roman"/>
          <w:sz w:val="24"/>
          <w:szCs w:val="24"/>
        </w:rPr>
        <w:t xml:space="preserve"> wojewódzki konserwator zabytków nie dokona oględzin odkrytego przedmiotu</w:t>
      </w:r>
      <w:r w:rsidR="00001F63" w:rsidRPr="00406A62">
        <w:rPr>
          <w:rFonts w:ascii="Times New Roman" w:hAnsi="Times New Roman" w:cs="Times New Roman"/>
          <w:sz w:val="24"/>
          <w:szCs w:val="24"/>
        </w:rPr>
        <w:t>,</w:t>
      </w:r>
      <w:r w:rsidR="00FE5707" w:rsidRPr="00406A62">
        <w:rPr>
          <w:rFonts w:ascii="Times New Roman" w:hAnsi="Times New Roman" w:cs="Times New Roman"/>
          <w:sz w:val="24"/>
          <w:szCs w:val="24"/>
        </w:rPr>
        <w:t xml:space="preserve"> przerwane roboty mogą być kontynuowane</w:t>
      </w:r>
      <w:r w:rsidR="00001F63" w:rsidRPr="00406A62">
        <w:rPr>
          <w:rFonts w:ascii="Times New Roman" w:hAnsi="Times New Roman" w:cs="Times New Roman"/>
          <w:sz w:val="24"/>
          <w:szCs w:val="24"/>
        </w:rPr>
        <w:t xml:space="preserve">, a do inwestora lub wykonawcy robót nie mają zastosowania przepisy art. 108 ustawy z dnia 23 lipca 2003 r. o ochronie zabytków i opiece nad zabytkami, określające </w:t>
      </w:r>
      <w:r w:rsidR="00001F63" w:rsidRPr="00406A62">
        <w:rPr>
          <w:rFonts w:ascii="Times New Roman" w:hAnsi="Times New Roman" w:cs="Times New Roman"/>
          <w:sz w:val="24"/>
          <w:szCs w:val="24"/>
        </w:rPr>
        <w:lastRenderedPageBreak/>
        <w:t>odpowiedzialność karną za zniszczenie zabytku</w:t>
      </w:r>
      <w:r w:rsidR="00FE5707" w:rsidRPr="00406A62">
        <w:rPr>
          <w:rFonts w:ascii="Times New Roman" w:hAnsi="Times New Roman" w:cs="Times New Roman"/>
          <w:sz w:val="24"/>
          <w:szCs w:val="24"/>
        </w:rPr>
        <w:t>. Brak precyzyjnego określenia terminu i skutku braku zachowania terminu powoduje znaczące przesunięcia harmonogramów oraz konieczność wypłacania przez inwestorów roszczeń wykonawcom – gdyż w</w:t>
      </w:r>
      <w:r w:rsidR="00BD3B0C" w:rsidRPr="00406A62">
        <w:rPr>
          <w:rFonts w:ascii="Times New Roman" w:hAnsi="Times New Roman" w:cs="Times New Roman"/>
          <w:sz w:val="24"/>
          <w:szCs w:val="24"/>
        </w:rPr>
        <w:t> </w:t>
      </w:r>
      <w:r w:rsidR="00FE5707" w:rsidRPr="00406A62">
        <w:rPr>
          <w:rFonts w:ascii="Times New Roman" w:hAnsi="Times New Roman" w:cs="Times New Roman"/>
          <w:sz w:val="24"/>
          <w:szCs w:val="24"/>
        </w:rPr>
        <w:t>sytuacji</w:t>
      </w:r>
      <w:r w:rsidR="00FD5524">
        <w:rPr>
          <w:rFonts w:ascii="Times New Roman" w:hAnsi="Times New Roman" w:cs="Times New Roman"/>
          <w:sz w:val="24"/>
          <w:szCs w:val="24"/>
        </w:rPr>
        <w:t>,</w:t>
      </w:r>
      <w:r w:rsidR="00FE5707" w:rsidRPr="00406A62">
        <w:rPr>
          <w:rFonts w:ascii="Times New Roman" w:hAnsi="Times New Roman" w:cs="Times New Roman"/>
          <w:sz w:val="24"/>
          <w:szCs w:val="24"/>
        </w:rPr>
        <w:t xml:space="preserve"> gdy wojewódzki konserwator zabytków nie </w:t>
      </w:r>
      <w:r w:rsidR="00006CAA" w:rsidRPr="00406A62">
        <w:rPr>
          <w:rFonts w:ascii="Times New Roman" w:hAnsi="Times New Roman" w:cs="Times New Roman"/>
          <w:sz w:val="24"/>
          <w:szCs w:val="24"/>
        </w:rPr>
        <w:t xml:space="preserve">dokonywał </w:t>
      </w:r>
      <w:r w:rsidR="00FE5707" w:rsidRPr="00406A62">
        <w:rPr>
          <w:rFonts w:ascii="Times New Roman" w:hAnsi="Times New Roman" w:cs="Times New Roman"/>
          <w:sz w:val="24"/>
          <w:szCs w:val="24"/>
        </w:rPr>
        <w:t>oględzin w ustawowym terminie, inwestor nie wznawia</w:t>
      </w:r>
      <w:r w:rsidR="00B9099F" w:rsidRPr="00406A62">
        <w:rPr>
          <w:rFonts w:ascii="Times New Roman" w:hAnsi="Times New Roman" w:cs="Times New Roman"/>
          <w:sz w:val="24"/>
          <w:szCs w:val="24"/>
        </w:rPr>
        <w:t>ł</w:t>
      </w:r>
      <w:r w:rsidR="00FE5707" w:rsidRPr="00406A62">
        <w:rPr>
          <w:rFonts w:ascii="Times New Roman" w:hAnsi="Times New Roman" w:cs="Times New Roman"/>
          <w:sz w:val="24"/>
          <w:szCs w:val="24"/>
        </w:rPr>
        <w:t xml:space="preserve"> robót budowlanych z obawy o ryzyko zniszczenia potencjalnego zabytku i</w:t>
      </w:r>
      <w:r w:rsidR="00BD3B0C" w:rsidRPr="00406A62">
        <w:rPr>
          <w:rFonts w:ascii="Times New Roman" w:hAnsi="Times New Roman" w:cs="Times New Roman"/>
          <w:sz w:val="24"/>
          <w:szCs w:val="24"/>
        </w:rPr>
        <w:t> </w:t>
      </w:r>
      <w:r w:rsidR="00FE5707" w:rsidRPr="00406A62">
        <w:rPr>
          <w:rFonts w:ascii="Times New Roman" w:hAnsi="Times New Roman" w:cs="Times New Roman"/>
          <w:sz w:val="24"/>
          <w:szCs w:val="24"/>
        </w:rPr>
        <w:t>konsekwencji z tego wynikających.</w:t>
      </w:r>
      <w:r w:rsidR="00FE5707" w:rsidRPr="00406A62">
        <w:rPr>
          <w:rFonts w:ascii="Times New Roman" w:hAnsi="Times New Roman" w:cs="Times New Roman"/>
          <w:bCs/>
          <w:sz w:val="24"/>
          <w:szCs w:val="24"/>
        </w:rPr>
        <w:t xml:space="preserve"> </w:t>
      </w:r>
      <w:r w:rsidR="00C10860" w:rsidRPr="00406A62">
        <w:rPr>
          <w:rFonts w:ascii="Times New Roman" w:hAnsi="Times New Roman" w:cs="Times New Roman"/>
          <w:sz w:val="24"/>
          <w:szCs w:val="24"/>
        </w:rPr>
        <w:t>Powyższe ma na celu umożliwienie inwestorowi kontynuowania przerwanych robót budowlanych bez obaw o konsekwencje karne ewentualnego zniszczenia przedmiotu, który mógł być zabytkiem.</w:t>
      </w:r>
    </w:p>
    <w:p w14:paraId="566757C2" w14:textId="37447541" w:rsidR="00C45D42" w:rsidRPr="00406A62" w:rsidRDefault="00BA2A0A" w:rsidP="00406A62">
      <w:pPr>
        <w:spacing w:before="120" w:after="0" w:line="360" w:lineRule="auto"/>
        <w:jc w:val="both"/>
        <w:rPr>
          <w:rFonts w:ascii="Times New Roman" w:hAnsi="Times New Roman" w:cs="Times New Roman"/>
          <w:sz w:val="24"/>
          <w:szCs w:val="24"/>
          <w:highlight w:val="yellow"/>
        </w:rPr>
      </w:pPr>
      <w:r w:rsidRPr="00406A62">
        <w:rPr>
          <w:rFonts w:ascii="Times New Roman" w:hAnsi="Times New Roman" w:cs="Times New Roman"/>
          <w:b/>
          <w:sz w:val="24"/>
          <w:szCs w:val="24"/>
        </w:rPr>
        <w:t xml:space="preserve">Art. </w:t>
      </w:r>
      <w:r w:rsidR="00DF41E1" w:rsidRPr="00406A62">
        <w:rPr>
          <w:rFonts w:ascii="Times New Roman" w:hAnsi="Times New Roman" w:cs="Times New Roman"/>
          <w:b/>
          <w:sz w:val="24"/>
          <w:szCs w:val="24"/>
        </w:rPr>
        <w:t>9</w:t>
      </w:r>
      <w:r w:rsidR="00DF41E1" w:rsidRPr="00406A62">
        <w:rPr>
          <w:rFonts w:ascii="Times New Roman" w:hAnsi="Times New Roman" w:cs="Times New Roman"/>
          <w:sz w:val="24"/>
          <w:szCs w:val="24"/>
        </w:rPr>
        <w:t xml:space="preserve"> </w:t>
      </w:r>
      <w:r w:rsidR="00C45D42" w:rsidRPr="00406A62">
        <w:rPr>
          <w:rFonts w:ascii="Times New Roman" w:hAnsi="Times New Roman" w:cs="Times New Roman"/>
          <w:sz w:val="24"/>
          <w:szCs w:val="24"/>
        </w:rPr>
        <w:t>określa, że decyzje administracyjne zatwierdzające projekt robót geologicznych, a także dodatek do takiego projektu, podlegają natychmiastowemu wykonaniu, w przypadkach:</w:t>
      </w:r>
    </w:p>
    <w:p w14:paraId="559E8285" w14:textId="15D0FA9E" w:rsidR="00C45D42" w:rsidRPr="00406A62" w:rsidRDefault="00C45D42" w:rsidP="00406A62">
      <w:pPr>
        <w:spacing w:after="0" w:line="360" w:lineRule="auto"/>
        <w:ind w:left="425" w:hanging="425"/>
        <w:jc w:val="both"/>
        <w:rPr>
          <w:rFonts w:ascii="Times New Roman" w:hAnsi="Times New Roman" w:cs="Times New Roman"/>
          <w:sz w:val="24"/>
          <w:szCs w:val="24"/>
        </w:rPr>
      </w:pPr>
      <w:r w:rsidRPr="00406A62">
        <w:rPr>
          <w:rFonts w:ascii="Times New Roman" w:hAnsi="Times New Roman" w:cs="Times New Roman"/>
          <w:sz w:val="24"/>
          <w:szCs w:val="24"/>
        </w:rPr>
        <w:t>1)</w:t>
      </w:r>
      <w:r w:rsidR="00885F18">
        <w:rPr>
          <w:rFonts w:ascii="Times New Roman" w:hAnsi="Times New Roman" w:cs="Times New Roman"/>
          <w:sz w:val="24"/>
          <w:szCs w:val="24"/>
        </w:rPr>
        <w:tab/>
      </w:r>
      <w:r w:rsidRPr="00406A62">
        <w:rPr>
          <w:rFonts w:ascii="Times New Roman" w:hAnsi="Times New Roman" w:cs="Times New Roman"/>
          <w:sz w:val="24"/>
          <w:szCs w:val="24"/>
        </w:rPr>
        <w:t>określenia warunków geologiczno-inżynierskich na potrzeby zagospodarowania przestrzennego;</w:t>
      </w:r>
    </w:p>
    <w:p w14:paraId="3D020860" w14:textId="0D2B4935" w:rsidR="00C45D42" w:rsidRPr="00406A62" w:rsidRDefault="00C45D42" w:rsidP="00406A62">
      <w:pPr>
        <w:spacing w:after="0" w:line="360" w:lineRule="auto"/>
        <w:ind w:left="425" w:hanging="425"/>
        <w:jc w:val="both"/>
        <w:rPr>
          <w:rFonts w:ascii="Times New Roman" w:hAnsi="Times New Roman" w:cs="Times New Roman"/>
          <w:sz w:val="24"/>
          <w:szCs w:val="24"/>
        </w:rPr>
      </w:pPr>
      <w:r w:rsidRPr="00406A62">
        <w:rPr>
          <w:rFonts w:ascii="Times New Roman" w:hAnsi="Times New Roman" w:cs="Times New Roman"/>
          <w:sz w:val="24"/>
          <w:szCs w:val="24"/>
        </w:rPr>
        <w:t>2)</w:t>
      </w:r>
      <w:r w:rsidR="00885F18">
        <w:rPr>
          <w:rFonts w:ascii="Times New Roman" w:hAnsi="Times New Roman" w:cs="Times New Roman"/>
          <w:sz w:val="24"/>
          <w:szCs w:val="24"/>
        </w:rPr>
        <w:tab/>
      </w:r>
      <w:r w:rsidRPr="00406A62">
        <w:rPr>
          <w:rFonts w:ascii="Times New Roman" w:hAnsi="Times New Roman" w:cs="Times New Roman"/>
          <w:sz w:val="24"/>
          <w:szCs w:val="24"/>
        </w:rPr>
        <w:t>określenia warunków geologiczno-inżynierskich na potrzeby posadawiania obiektów budowlanych;</w:t>
      </w:r>
    </w:p>
    <w:p w14:paraId="12081F79" w14:textId="50A42682" w:rsidR="00C45D42" w:rsidRPr="00406A62" w:rsidRDefault="00C45D42" w:rsidP="00406A62">
      <w:pPr>
        <w:spacing w:after="0" w:line="360" w:lineRule="auto"/>
        <w:ind w:left="425" w:hanging="425"/>
        <w:jc w:val="both"/>
        <w:rPr>
          <w:rFonts w:ascii="Times New Roman" w:hAnsi="Times New Roman" w:cs="Times New Roman"/>
          <w:sz w:val="24"/>
          <w:szCs w:val="24"/>
        </w:rPr>
      </w:pPr>
      <w:r w:rsidRPr="00406A62">
        <w:rPr>
          <w:rFonts w:ascii="Times New Roman" w:hAnsi="Times New Roman" w:cs="Times New Roman"/>
          <w:sz w:val="24"/>
          <w:szCs w:val="24"/>
        </w:rPr>
        <w:t>3)</w:t>
      </w:r>
      <w:r w:rsidR="00885F18">
        <w:rPr>
          <w:rFonts w:ascii="Times New Roman" w:hAnsi="Times New Roman" w:cs="Times New Roman"/>
          <w:sz w:val="24"/>
          <w:szCs w:val="24"/>
        </w:rPr>
        <w:tab/>
      </w:r>
      <w:r w:rsidRPr="00406A62">
        <w:rPr>
          <w:rFonts w:ascii="Times New Roman" w:hAnsi="Times New Roman" w:cs="Times New Roman"/>
          <w:sz w:val="24"/>
          <w:szCs w:val="24"/>
        </w:rPr>
        <w:t>określenia warunków hydrogeologicznych związanych z zamierzonym wykonywaniem odwodnień budowlanych otworami wiertniczymi;</w:t>
      </w:r>
    </w:p>
    <w:p w14:paraId="5CAC1B34" w14:textId="4466222B" w:rsidR="0033070E" w:rsidRPr="00406A62" w:rsidRDefault="00C45D42" w:rsidP="00406A62">
      <w:pPr>
        <w:spacing w:after="0" w:line="360" w:lineRule="auto"/>
        <w:ind w:left="425" w:hanging="425"/>
        <w:jc w:val="both"/>
        <w:rPr>
          <w:rFonts w:ascii="Times New Roman" w:hAnsi="Times New Roman" w:cs="Times New Roman"/>
          <w:sz w:val="24"/>
          <w:szCs w:val="24"/>
          <w:highlight w:val="yellow"/>
        </w:rPr>
      </w:pPr>
      <w:r w:rsidRPr="00406A62">
        <w:rPr>
          <w:rFonts w:ascii="Times New Roman" w:hAnsi="Times New Roman" w:cs="Times New Roman"/>
          <w:sz w:val="24"/>
          <w:szCs w:val="24"/>
        </w:rPr>
        <w:t>4)</w:t>
      </w:r>
      <w:r w:rsidR="00885F18">
        <w:rPr>
          <w:rFonts w:ascii="Times New Roman" w:hAnsi="Times New Roman" w:cs="Times New Roman"/>
          <w:sz w:val="24"/>
          <w:szCs w:val="24"/>
        </w:rPr>
        <w:tab/>
      </w:r>
      <w:r w:rsidRPr="00406A62">
        <w:rPr>
          <w:rFonts w:ascii="Times New Roman" w:hAnsi="Times New Roman" w:cs="Times New Roman"/>
          <w:sz w:val="24"/>
          <w:szCs w:val="24"/>
        </w:rPr>
        <w:t>określenia warunków hydrogeologicznych związanych z zamierzonym wykonywaniem przedsięwzięć mogących negatywnie oddziaływać na wody podziemne, w tym powodować ich zanieczyszczenie.</w:t>
      </w:r>
    </w:p>
    <w:p w14:paraId="20599B02" w14:textId="3B59AA05" w:rsidR="009652F4" w:rsidRPr="00406A62" w:rsidRDefault="009652F4"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Art. 10</w:t>
      </w:r>
      <w:r w:rsidRPr="00406A62">
        <w:rPr>
          <w:rFonts w:ascii="Times New Roman" w:hAnsi="Times New Roman" w:cs="Times New Roman"/>
          <w:sz w:val="24"/>
          <w:szCs w:val="24"/>
        </w:rPr>
        <w:t xml:space="preserve"> wyłącza stosowanie przepisów art. 83 i art. 84 ustawy z dnia 16 kwietnia 2004 r. o ochronie przyrody w zakresie obowiązku uzyskiwania zezwoleń na usunięcie drzew lub krzewów</w:t>
      </w:r>
      <w:r w:rsidR="00D13442" w:rsidRPr="00406A62">
        <w:rPr>
          <w:rFonts w:ascii="Times New Roman" w:hAnsi="Times New Roman" w:cs="Times New Roman"/>
          <w:sz w:val="24"/>
          <w:szCs w:val="24"/>
        </w:rPr>
        <w:t xml:space="preserve"> i</w:t>
      </w:r>
      <w:r w:rsidRPr="00406A62">
        <w:rPr>
          <w:rFonts w:ascii="Times New Roman" w:hAnsi="Times New Roman" w:cs="Times New Roman"/>
          <w:sz w:val="24"/>
          <w:szCs w:val="24"/>
        </w:rPr>
        <w:t xml:space="preserve"> opłat z tym związanych</w:t>
      </w:r>
      <w:r w:rsidR="004E75DA" w:rsidRPr="00406A62">
        <w:rPr>
          <w:rFonts w:ascii="Times New Roman" w:hAnsi="Times New Roman" w:cs="Times New Roman"/>
          <w:sz w:val="24"/>
          <w:szCs w:val="24"/>
        </w:rPr>
        <w:t xml:space="preserve">, przepisów art. 36 ust. 1 pkt 1 i 1b </w:t>
      </w:r>
      <w:bookmarkStart w:id="0" w:name="_Hlk236204237"/>
      <w:r w:rsidR="004E75DA" w:rsidRPr="00406A62">
        <w:rPr>
          <w:rFonts w:ascii="Times New Roman" w:hAnsi="Times New Roman" w:cs="Times New Roman"/>
          <w:sz w:val="24"/>
          <w:szCs w:val="24"/>
        </w:rPr>
        <w:t>ustawy z dnia 23 lipca 2003 r. o ochronie zabytków i opiece nad zabytkami</w:t>
      </w:r>
      <w:bookmarkEnd w:id="0"/>
      <w:r w:rsidR="004E75DA" w:rsidRPr="00406A62">
        <w:rPr>
          <w:rFonts w:ascii="Times New Roman" w:hAnsi="Times New Roman" w:cs="Times New Roman"/>
          <w:sz w:val="24"/>
          <w:szCs w:val="24"/>
        </w:rPr>
        <w:t xml:space="preserve"> w zakresie uzyskania pozwolenia na prace polegające na usunięciu drzewa lub krzewu </w:t>
      </w:r>
      <w:r w:rsidRPr="00406A62">
        <w:rPr>
          <w:rFonts w:ascii="Times New Roman" w:hAnsi="Times New Roman" w:cs="Times New Roman"/>
          <w:sz w:val="24"/>
          <w:szCs w:val="24"/>
        </w:rPr>
        <w:t xml:space="preserve">oraz przepisów </w:t>
      </w:r>
      <w:r w:rsidR="000C7DFA" w:rsidRPr="00406A62">
        <w:rPr>
          <w:rFonts w:ascii="Times New Roman" w:hAnsi="Times New Roman" w:cs="Times New Roman"/>
          <w:sz w:val="24"/>
          <w:szCs w:val="24"/>
        </w:rPr>
        <w:t>art. 11, art. 12 ustawy z dnia 3</w:t>
      </w:r>
      <w:r w:rsidR="00651176">
        <w:rPr>
          <w:rFonts w:ascii="Times New Roman" w:hAnsi="Times New Roman" w:cs="Times New Roman"/>
          <w:sz w:val="24"/>
          <w:szCs w:val="24"/>
        </w:rPr>
        <w:t> </w:t>
      </w:r>
      <w:r w:rsidR="000C7DFA" w:rsidRPr="00406A62">
        <w:rPr>
          <w:rFonts w:ascii="Times New Roman" w:hAnsi="Times New Roman" w:cs="Times New Roman"/>
          <w:sz w:val="24"/>
          <w:szCs w:val="24"/>
        </w:rPr>
        <w:t xml:space="preserve">lutego 1995 r. o ochronie gruntów rolnych i leśnych </w:t>
      </w:r>
      <w:r w:rsidRPr="00406A62">
        <w:rPr>
          <w:rFonts w:ascii="Times New Roman" w:hAnsi="Times New Roman" w:cs="Times New Roman"/>
          <w:sz w:val="24"/>
          <w:szCs w:val="24"/>
        </w:rPr>
        <w:t>dot</w:t>
      </w:r>
      <w:r w:rsidR="000C7DFA" w:rsidRPr="00406A62">
        <w:rPr>
          <w:rFonts w:ascii="Times New Roman" w:hAnsi="Times New Roman" w:cs="Times New Roman"/>
          <w:sz w:val="24"/>
          <w:szCs w:val="24"/>
        </w:rPr>
        <w:t>yczących</w:t>
      </w:r>
      <w:r w:rsidRPr="00406A62">
        <w:rPr>
          <w:rFonts w:ascii="Times New Roman" w:hAnsi="Times New Roman" w:cs="Times New Roman"/>
          <w:sz w:val="24"/>
          <w:szCs w:val="24"/>
        </w:rPr>
        <w:t xml:space="preserve"> wyłączenia z produkcji leśnej</w:t>
      </w:r>
      <w:r w:rsidR="003C6629"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(Dz. U. z 2024 r. poz. 82, z późn. zm.) </w:t>
      </w:r>
      <w:r w:rsidR="000C7DFA" w:rsidRPr="00406A62">
        <w:rPr>
          <w:rFonts w:ascii="Times New Roman" w:hAnsi="Times New Roman" w:cs="Times New Roman"/>
          <w:sz w:val="24"/>
          <w:szCs w:val="24"/>
        </w:rPr>
        <w:t>oraz</w:t>
      </w:r>
      <w:r w:rsidRPr="00406A62">
        <w:rPr>
          <w:rFonts w:ascii="Times New Roman" w:hAnsi="Times New Roman" w:cs="Times New Roman"/>
          <w:sz w:val="24"/>
          <w:szCs w:val="24"/>
        </w:rPr>
        <w:t xml:space="preserve"> opłat z tym związanych, w tym jednorazowego odszkodowania za przedwczesny wyrąb drzewostanu oraz opłaty rocznej i należności. </w:t>
      </w:r>
      <w:r w:rsidR="00DB4338" w:rsidRPr="00406A62">
        <w:rPr>
          <w:rFonts w:ascii="Times New Roman" w:hAnsi="Times New Roman" w:cs="Times New Roman"/>
          <w:sz w:val="24"/>
          <w:szCs w:val="24"/>
        </w:rPr>
        <w:t>Odesłanie do art. 36 ust. 1 pkt 1b ustawy z dnia 23 lipca 2003 r. o ochronie zabytków i opiece nad zabytkami dodano w związku z nowelizacją art. 36 tej ustawy ustawą z dnia 9</w:t>
      </w:r>
      <w:r w:rsidR="00651176">
        <w:rPr>
          <w:rFonts w:ascii="Times New Roman" w:hAnsi="Times New Roman" w:cs="Times New Roman"/>
          <w:sz w:val="24"/>
          <w:szCs w:val="24"/>
        </w:rPr>
        <w:t> </w:t>
      </w:r>
      <w:r w:rsidR="00DB4338" w:rsidRPr="00406A62">
        <w:rPr>
          <w:rFonts w:ascii="Times New Roman" w:hAnsi="Times New Roman" w:cs="Times New Roman"/>
          <w:sz w:val="24"/>
          <w:szCs w:val="24"/>
        </w:rPr>
        <w:t xml:space="preserve">października 2025 r. o zmianie ustawy o ochronie zabytków i opiece nad zabytkami oraz niektórych innych ustaw (Dz. U. z 2025 r. poz. 1673), zmiana ta nastąpiła w trakcie procesu legislacyjnego projektu ustawy. </w:t>
      </w:r>
      <w:r w:rsidRPr="00406A62">
        <w:rPr>
          <w:rFonts w:ascii="Times New Roman" w:hAnsi="Times New Roman" w:cs="Times New Roman"/>
          <w:sz w:val="24"/>
          <w:szCs w:val="24"/>
        </w:rPr>
        <w:t>Wyłączenie ww. obowiązków ma na celu skrócenie czasu prac przygotowawczych do realizacji inwestycji.</w:t>
      </w:r>
    </w:p>
    <w:p w14:paraId="4E8CE677" w14:textId="79DC60F9" w:rsidR="003C5655" w:rsidRPr="00406A62" w:rsidRDefault="003C565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lastRenderedPageBreak/>
        <w:t xml:space="preserve">Art. </w:t>
      </w:r>
      <w:r w:rsidR="00E1776E" w:rsidRPr="00406A62">
        <w:rPr>
          <w:rFonts w:ascii="Times New Roman" w:hAnsi="Times New Roman" w:cs="Times New Roman"/>
          <w:b/>
          <w:sz w:val="24"/>
          <w:szCs w:val="24"/>
        </w:rPr>
        <w:t>11</w:t>
      </w:r>
      <w:r w:rsidRPr="00406A62">
        <w:rPr>
          <w:rFonts w:ascii="Times New Roman" w:hAnsi="Times New Roman" w:cs="Times New Roman"/>
          <w:sz w:val="24"/>
          <w:szCs w:val="24"/>
        </w:rPr>
        <w:t xml:space="preserve"> wprowadza zobowiązanie dla stron postępowań niezadowolonych z rozstrzygnięć wydawanych przez organy administracji publicznej do jednoznacznego określenia w odwołaniach i zażaleniach: zarzutów wobec rozstrzygnięć organu administracji publicznej, zakresu żądania będącego przedmiotem odwołania oraz wskazania dowodów uzasadniających to żądanie. Celem tego rozwiązania będzie przyspieszenie procedury postepowań administracyjnych, a tym samym przyspieszenie procesów inwestycyjnych. Wymóg wskazania dowodów uzasadniających żądanie nie będzie miał zastosowania w przypadku odwołań od decyzji o środowiskowych uwarunkowaniach dotyczącej inwestycji kluczowych</w:t>
      </w:r>
      <w:r w:rsidR="005F7A7C" w:rsidRPr="00406A62">
        <w:rPr>
          <w:rFonts w:ascii="Times New Roman" w:hAnsi="Times New Roman" w:cs="Times New Roman"/>
          <w:sz w:val="24"/>
          <w:szCs w:val="24"/>
        </w:rPr>
        <w:t xml:space="preserve"> (ust. 3)</w:t>
      </w:r>
      <w:r w:rsidRPr="00406A62">
        <w:rPr>
          <w:rFonts w:ascii="Times New Roman" w:hAnsi="Times New Roman" w:cs="Times New Roman"/>
          <w:sz w:val="24"/>
          <w:szCs w:val="24"/>
        </w:rPr>
        <w:t>.</w:t>
      </w:r>
    </w:p>
    <w:p w14:paraId="380DF9A3" w14:textId="7362EA17" w:rsidR="005F7A7C" w:rsidRPr="00406A62" w:rsidRDefault="003C565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Stosownie do ust. 2</w:t>
      </w:r>
      <w:r w:rsidR="00D90C46">
        <w:rPr>
          <w:rFonts w:ascii="Times New Roman" w:hAnsi="Times New Roman" w:cs="Times New Roman"/>
          <w:sz w:val="24"/>
          <w:szCs w:val="24"/>
        </w:rPr>
        <w:t>,</w:t>
      </w:r>
      <w:r w:rsidRPr="00406A62">
        <w:rPr>
          <w:rFonts w:ascii="Times New Roman" w:hAnsi="Times New Roman" w:cs="Times New Roman"/>
          <w:sz w:val="24"/>
          <w:szCs w:val="24"/>
        </w:rPr>
        <w:t xml:space="preserve"> w przypadku gdy odwołanie od decyzji lub zażalenie na postanowienie nie będzie spełniało powyższych wymogów, zastosowanie będzie miał art. 64 § 2 ustawy z dnia 14</w:t>
      </w:r>
      <w:r w:rsidR="00940033">
        <w:rPr>
          <w:rFonts w:ascii="Times New Roman" w:hAnsi="Times New Roman" w:cs="Times New Roman"/>
          <w:sz w:val="24"/>
          <w:szCs w:val="24"/>
        </w:rPr>
        <w:t> </w:t>
      </w:r>
      <w:r w:rsidRPr="00406A62">
        <w:rPr>
          <w:rFonts w:ascii="Times New Roman" w:hAnsi="Times New Roman" w:cs="Times New Roman"/>
          <w:sz w:val="24"/>
          <w:szCs w:val="24"/>
        </w:rPr>
        <w:t>czerwca 1960 r. – Kodeks postępowania administracyjnego – z tym, że wezwanie wnoszącego do usunięcia braków nie powinno nastąpić później niż po upływie 14 dni od dnia wpływu odwołania lub zażalenia do organu wyższego stopnia.</w:t>
      </w:r>
    </w:p>
    <w:p w14:paraId="4E9DD8B8" w14:textId="77777777" w:rsidR="003C5655" w:rsidRPr="00406A62" w:rsidRDefault="003C565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Zgodnie z zasadą wyrażoną w art. 128 ustawy z dnia 14 czerwca 1960 r. – Kodeks postępowania administracyjnego odwołanie nie wymaga szczególnego uzasadniania, jednakże przepisy szczególne mogą ustalić inne wymogi co do treści odwołania.</w:t>
      </w:r>
    </w:p>
    <w:p w14:paraId="5EB2611D" w14:textId="73504401" w:rsidR="003C5655" w:rsidRPr="00406A62" w:rsidRDefault="003C5655"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sz w:val="24"/>
          <w:szCs w:val="24"/>
        </w:rPr>
        <w:t>Przedmiotowa konstrukcja prawna jest wzorowana na obowiązującym przepisie art. 53 ust. 6 ustawy z dnia 27 marca 2003 r. o planowaniu i zagospodarowaniu przestrzennym (Dz. U. z 2026 r. poz. 538). Została również wykorzystana w projekcie ustawy o rozwiązaniach służących zwiększeniu dostępności gruntów pod budownictwo mieszkaniowe (UA10).</w:t>
      </w:r>
    </w:p>
    <w:p w14:paraId="519C8736" w14:textId="5DE88556" w:rsidR="00C35200" w:rsidRPr="00406A62" w:rsidRDefault="00C3520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6B1A30" w:rsidRPr="00406A62">
        <w:rPr>
          <w:rFonts w:ascii="Times New Roman" w:hAnsi="Times New Roman" w:cs="Times New Roman"/>
          <w:b/>
          <w:sz w:val="24"/>
          <w:szCs w:val="24"/>
        </w:rPr>
        <w:t>1</w:t>
      </w:r>
      <w:r w:rsidR="00021C53" w:rsidRPr="00406A62">
        <w:rPr>
          <w:rFonts w:ascii="Times New Roman" w:hAnsi="Times New Roman" w:cs="Times New Roman"/>
          <w:b/>
          <w:sz w:val="24"/>
          <w:szCs w:val="24"/>
        </w:rPr>
        <w:t>2</w:t>
      </w:r>
      <w:r w:rsidR="006B1A30"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skraca termin z 90 </w:t>
      </w:r>
      <w:r w:rsidR="006D2A72" w:rsidRPr="00406A62">
        <w:rPr>
          <w:rFonts w:ascii="Times New Roman" w:hAnsi="Times New Roman" w:cs="Times New Roman"/>
          <w:sz w:val="24"/>
          <w:szCs w:val="24"/>
        </w:rPr>
        <w:t>do</w:t>
      </w:r>
      <w:r w:rsidR="00A1461D" w:rsidRPr="00406A62">
        <w:rPr>
          <w:rFonts w:ascii="Times New Roman" w:hAnsi="Times New Roman" w:cs="Times New Roman"/>
          <w:sz w:val="24"/>
          <w:szCs w:val="24"/>
        </w:rPr>
        <w:t xml:space="preserve"> </w:t>
      </w:r>
      <w:r w:rsidR="00371603" w:rsidRPr="00406A62">
        <w:rPr>
          <w:rFonts w:ascii="Times New Roman" w:hAnsi="Times New Roman" w:cs="Times New Roman"/>
          <w:sz w:val="24"/>
          <w:szCs w:val="24"/>
        </w:rPr>
        <w:t>45</w:t>
      </w:r>
      <w:r w:rsidRPr="00406A62">
        <w:rPr>
          <w:rFonts w:ascii="Times New Roman" w:hAnsi="Times New Roman" w:cs="Times New Roman"/>
          <w:sz w:val="24"/>
          <w:szCs w:val="24"/>
        </w:rPr>
        <w:t xml:space="preserve"> dni od otrzymania wniosku</w:t>
      </w:r>
      <w:r w:rsidR="00A1461D" w:rsidRPr="00406A62">
        <w:rPr>
          <w:rFonts w:ascii="Times New Roman" w:hAnsi="Times New Roman" w:cs="Times New Roman"/>
          <w:sz w:val="24"/>
          <w:szCs w:val="24"/>
        </w:rPr>
        <w:t>,</w:t>
      </w:r>
      <w:r w:rsidRPr="00406A62">
        <w:rPr>
          <w:rFonts w:ascii="Times New Roman" w:hAnsi="Times New Roman" w:cs="Times New Roman"/>
          <w:sz w:val="24"/>
          <w:szCs w:val="24"/>
        </w:rPr>
        <w:t xml:space="preserve"> na zaopiniowanie wniosku o wydanie pozwolenia ustalającego lokalizację </w:t>
      </w:r>
      <w:r w:rsidR="00A1461D" w:rsidRPr="00406A62">
        <w:rPr>
          <w:rFonts w:ascii="Times New Roman" w:hAnsi="Times New Roman" w:cs="Times New Roman"/>
          <w:sz w:val="24"/>
          <w:szCs w:val="24"/>
        </w:rPr>
        <w:t xml:space="preserve">sztucznych wysp, konstrukcji i urządzeń w polskich obszarach morskich </w:t>
      </w:r>
      <w:r w:rsidRPr="00406A62">
        <w:rPr>
          <w:rFonts w:ascii="Times New Roman" w:hAnsi="Times New Roman" w:cs="Times New Roman"/>
          <w:sz w:val="24"/>
          <w:szCs w:val="24"/>
        </w:rPr>
        <w:t xml:space="preserve">oraz określającego warunki </w:t>
      </w:r>
      <w:r w:rsidR="00A1461D" w:rsidRPr="00406A62">
        <w:rPr>
          <w:rFonts w:ascii="Times New Roman" w:hAnsi="Times New Roman" w:cs="Times New Roman"/>
          <w:sz w:val="24"/>
          <w:szCs w:val="24"/>
        </w:rPr>
        <w:t xml:space="preserve">ich </w:t>
      </w:r>
      <w:r w:rsidRPr="00406A62">
        <w:rPr>
          <w:rFonts w:ascii="Times New Roman" w:hAnsi="Times New Roman" w:cs="Times New Roman"/>
          <w:sz w:val="24"/>
          <w:szCs w:val="24"/>
        </w:rPr>
        <w:t>wykorzystania</w:t>
      </w:r>
      <w:r w:rsidR="00A1461D" w:rsidRPr="00406A62">
        <w:rPr>
          <w:rFonts w:ascii="Times New Roman" w:hAnsi="Times New Roman" w:cs="Times New Roman"/>
          <w:sz w:val="24"/>
          <w:szCs w:val="24"/>
        </w:rPr>
        <w:t xml:space="preserve"> na tych obszarach.</w:t>
      </w:r>
    </w:p>
    <w:p w14:paraId="6A250545" w14:textId="08F3491D" w:rsidR="0050514F" w:rsidRPr="00406A62" w:rsidRDefault="0044774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13</w:t>
      </w:r>
      <w:r w:rsidR="00021C53" w:rsidRPr="00406A62">
        <w:rPr>
          <w:rFonts w:ascii="Times New Roman" w:hAnsi="Times New Roman" w:cs="Times New Roman"/>
          <w:sz w:val="24"/>
          <w:szCs w:val="24"/>
        </w:rPr>
        <w:t xml:space="preserve"> </w:t>
      </w:r>
      <w:r w:rsidR="00B21077" w:rsidRPr="00406A62">
        <w:rPr>
          <w:rFonts w:ascii="Times New Roman" w:hAnsi="Times New Roman" w:cs="Times New Roman"/>
          <w:sz w:val="24"/>
          <w:szCs w:val="24"/>
        </w:rPr>
        <w:t xml:space="preserve">wprowadza dodatkowe wyłączenia i uproszczenia przepisów </w:t>
      </w:r>
      <w:r w:rsidR="00F4018B" w:rsidRPr="00406A62">
        <w:rPr>
          <w:rFonts w:ascii="Times New Roman" w:hAnsi="Times New Roman" w:cs="Times New Roman"/>
          <w:sz w:val="24"/>
          <w:szCs w:val="24"/>
        </w:rPr>
        <w:t>ustawy z dnia 10 kwietnia 2003 r. o szczególnych zasadach przygotowania i realizacji inwestycji w zakresie dróg publicznych</w:t>
      </w:r>
      <w:r w:rsidR="00814AC5" w:rsidRPr="00406A62">
        <w:rPr>
          <w:rFonts w:ascii="Times New Roman" w:hAnsi="Times New Roman" w:cs="Times New Roman"/>
          <w:sz w:val="24"/>
          <w:szCs w:val="24"/>
        </w:rPr>
        <w:t xml:space="preserve">, zwanej </w:t>
      </w:r>
      <w:r w:rsidR="00F4018B" w:rsidRPr="00406A62">
        <w:rPr>
          <w:rFonts w:ascii="Times New Roman" w:hAnsi="Times New Roman" w:cs="Times New Roman"/>
          <w:sz w:val="24"/>
          <w:szCs w:val="24"/>
        </w:rPr>
        <w:t>dalej „specustaw</w:t>
      </w:r>
      <w:r w:rsidR="00814AC5" w:rsidRPr="00406A62">
        <w:rPr>
          <w:rFonts w:ascii="Times New Roman" w:hAnsi="Times New Roman" w:cs="Times New Roman"/>
          <w:sz w:val="24"/>
          <w:szCs w:val="24"/>
        </w:rPr>
        <w:t>ą</w:t>
      </w:r>
      <w:r w:rsidR="00F4018B" w:rsidRPr="00406A62">
        <w:rPr>
          <w:rFonts w:ascii="Times New Roman" w:hAnsi="Times New Roman" w:cs="Times New Roman"/>
          <w:sz w:val="24"/>
          <w:szCs w:val="24"/>
        </w:rPr>
        <w:t xml:space="preserve"> </w:t>
      </w:r>
      <w:r w:rsidR="00D80425" w:rsidRPr="00406A62">
        <w:rPr>
          <w:rFonts w:ascii="Times New Roman" w:hAnsi="Times New Roman" w:cs="Times New Roman"/>
          <w:sz w:val="24"/>
          <w:szCs w:val="24"/>
        </w:rPr>
        <w:t>drogow</w:t>
      </w:r>
      <w:r w:rsidR="00814AC5" w:rsidRPr="00406A62">
        <w:rPr>
          <w:rFonts w:ascii="Times New Roman" w:hAnsi="Times New Roman" w:cs="Times New Roman"/>
          <w:sz w:val="24"/>
          <w:szCs w:val="24"/>
        </w:rPr>
        <w:t>ą</w:t>
      </w:r>
      <w:r w:rsidR="00D80425" w:rsidRPr="00406A62">
        <w:rPr>
          <w:rFonts w:ascii="Times New Roman" w:hAnsi="Times New Roman" w:cs="Times New Roman"/>
          <w:sz w:val="24"/>
          <w:szCs w:val="24"/>
        </w:rPr>
        <w:t>”</w:t>
      </w:r>
      <w:r w:rsidR="00B21077" w:rsidRPr="00406A62">
        <w:rPr>
          <w:rFonts w:ascii="Times New Roman" w:hAnsi="Times New Roman" w:cs="Times New Roman"/>
          <w:sz w:val="24"/>
          <w:szCs w:val="24"/>
        </w:rPr>
        <w:t>, w stosunku do kluczowych inwestycji drogowych. Proponuje się skrócenie terminu wydania decyzji o zezwoleniu na realizację inwestycji drogowej</w:t>
      </w:r>
      <w:r w:rsidR="00814AC5" w:rsidRPr="00406A62">
        <w:rPr>
          <w:rFonts w:ascii="Times New Roman" w:hAnsi="Times New Roman" w:cs="Times New Roman"/>
          <w:sz w:val="24"/>
          <w:szCs w:val="24"/>
        </w:rPr>
        <w:t>, zwanej</w:t>
      </w:r>
      <w:r w:rsidR="00B21077" w:rsidRPr="00406A62">
        <w:rPr>
          <w:rFonts w:ascii="Times New Roman" w:hAnsi="Times New Roman" w:cs="Times New Roman"/>
          <w:sz w:val="24"/>
          <w:szCs w:val="24"/>
        </w:rPr>
        <w:t xml:space="preserve"> </w:t>
      </w:r>
      <w:r w:rsidR="006D2A72" w:rsidRPr="00406A62">
        <w:rPr>
          <w:rFonts w:ascii="Times New Roman" w:hAnsi="Times New Roman" w:cs="Times New Roman"/>
          <w:sz w:val="24"/>
          <w:szCs w:val="24"/>
        </w:rPr>
        <w:t>dalej „</w:t>
      </w:r>
      <w:r w:rsidR="00B21077" w:rsidRPr="00406A62">
        <w:rPr>
          <w:rFonts w:ascii="Times New Roman" w:hAnsi="Times New Roman" w:cs="Times New Roman"/>
          <w:sz w:val="24"/>
          <w:szCs w:val="24"/>
        </w:rPr>
        <w:t>decyzj</w:t>
      </w:r>
      <w:r w:rsidR="00814AC5" w:rsidRPr="00406A62">
        <w:rPr>
          <w:rFonts w:ascii="Times New Roman" w:hAnsi="Times New Roman" w:cs="Times New Roman"/>
          <w:sz w:val="24"/>
          <w:szCs w:val="24"/>
        </w:rPr>
        <w:t>ą</w:t>
      </w:r>
      <w:r w:rsidR="00B21077" w:rsidRPr="00406A62">
        <w:rPr>
          <w:rFonts w:ascii="Times New Roman" w:hAnsi="Times New Roman" w:cs="Times New Roman"/>
          <w:sz w:val="24"/>
          <w:szCs w:val="24"/>
        </w:rPr>
        <w:t xml:space="preserve"> ZRID</w:t>
      </w:r>
      <w:r w:rsidR="006D2A72" w:rsidRPr="00406A62">
        <w:rPr>
          <w:rFonts w:ascii="Times New Roman" w:hAnsi="Times New Roman" w:cs="Times New Roman"/>
          <w:sz w:val="24"/>
          <w:szCs w:val="24"/>
        </w:rPr>
        <w:t>”</w:t>
      </w:r>
      <w:r w:rsidR="00814AC5" w:rsidRPr="00406A62">
        <w:rPr>
          <w:rFonts w:ascii="Times New Roman" w:hAnsi="Times New Roman" w:cs="Times New Roman"/>
          <w:sz w:val="24"/>
          <w:szCs w:val="24"/>
        </w:rPr>
        <w:t>,</w:t>
      </w:r>
      <w:r w:rsidR="00B21077" w:rsidRPr="00406A62">
        <w:rPr>
          <w:rFonts w:ascii="Times New Roman" w:hAnsi="Times New Roman" w:cs="Times New Roman"/>
          <w:sz w:val="24"/>
          <w:szCs w:val="24"/>
        </w:rPr>
        <w:t xml:space="preserve"> z 90 do 60 dni od dni złożenia wniosku o wydanie takiej decyzji. Ponadto skraca się czas na wydanie opinii, o których mowa w art. 11b ust. 1 i 11d ust. 1 pkt 8 specustawy drogowej, wymaganych do złożenia wniosku o wydanie decyzji ZRID, z 14 i 30 dni do </w:t>
      </w:r>
      <w:r w:rsidR="006C78E4" w:rsidRPr="00406A62">
        <w:rPr>
          <w:rFonts w:ascii="Times New Roman" w:hAnsi="Times New Roman" w:cs="Times New Roman"/>
          <w:sz w:val="24"/>
          <w:szCs w:val="24"/>
        </w:rPr>
        <w:t xml:space="preserve">odpowiednio </w:t>
      </w:r>
      <w:r w:rsidR="00B21077" w:rsidRPr="00406A62">
        <w:rPr>
          <w:rFonts w:ascii="Times New Roman" w:hAnsi="Times New Roman" w:cs="Times New Roman"/>
          <w:sz w:val="24"/>
          <w:szCs w:val="24"/>
        </w:rPr>
        <w:t xml:space="preserve">7 </w:t>
      </w:r>
      <w:r w:rsidR="006C78E4" w:rsidRPr="00406A62">
        <w:rPr>
          <w:rFonts w:ascii="Times New Roman" w:hAnsi="Times New Roman" w:cs="Times New Roman"/>
          <w:sz w:val="24"/>
          <w:szCs w:val="24"/>
        </w:rPr>
        <w:t xml:space="preserve">i 14 </w:t>
      </w:r>
      <w:r w:rsidR="00B21077" w:rsidRPr="00406A62">
        <w:rPr>
          <w:rFonts w:ascii="Times New Roman" w:hAnsi="Times New Roman" w:cs="Times New Roman"/>
          <w:sz w:val="24"/>
          <w:szCs w:val="24"/>
        </w:rPr>
        <w:t>dni, co również przyspieszy uzyskanie decyzji ZRID. Ponadto w przypadku</w:t>
      </w:r>
      <w:r w:rsidR="00FD5524">
        <w:rPr>
          <w:rFonts w:ascii="Times New Roman" w:hAnsi="Times New Roman" w:cs="Times New Roman"/>
          <w:sz w:val="24"/>
          <w:szCs w:val="24"/>
        </w:rPr>
        <w:t>,</w:t>
      </w:r>
      <w:r w:rsidR="00B21077" w:rsidRPr="00406A62">
        <w:rPr>
          <w:rFonts w:ascii="Times New Roman" w:hAnsi="Times New Roman" w:cs="Times New Roman"/>
          <w:sz w:val="24"/>
          <w:szCs w:val="24"/>
        </w:rPr>
        <w:t xml:space="preserve"> gdy decyzja ZRID dotyczy rodzinnych ogrodów </w:t>
      </w:r>
      <w:r w:rsidR="00B21077" w:rsidRPr="00406A62">
        <w:rPr>
          <w:rFonts w:ascii="Times New Roman" w:hAnsi="Times New Roman" w:cs="Times New Roman"/>
          <w:sz w:val="24"/>
          <w:szCs w:val="24"/>
        </w:rPr>
        <w:lastRenderedPageBreak/>
        <w:t>działkowych</w:t>
      </w:r>
      <w:r w:rsidR="00FD5524">
        <w:rPr>
          <w:rFonts w:ascii="Times New Roman" w:hAnsi="Times New Roman" w:cs="Times New Roman"/>
          <w:sz w:val="24"/>
          <w:szCs w:val="24"/>
        </w:rPr>
        <w:t>,</w:t>
      </w:r>
      <w:r w:rsidR="00B21077" w:rsidRPr="00406A62">
        <w:rPr>
          <w:rFonts w:ascii="Times New Roman" w:hAnsi="Times New Roman" w:cs="Times New Roman"/>
          <w:sz w:val="24"/>
          <w:szCs w:val="24"/>
        </w:rPr>
        <w:t xml:space="preserve"> wyłączono obowiązek zapewnienia gruntów zastępczych na odtworzenie rodzinnego ogrodu działkowego. </w:t>
      </w:r>
      <w:r w:rsidR="00371603" w:rsidRPr="00406A62">
        <w:rPr>
          <w:rFonts w:ascii="Times New Roman" w:hAnsi="Times New Roman" w:cs="Times New Roman"/>
          <w:sz w:val="24"/>
          <w:szCs w:val="24"/>
        </w:rPr>
        <w:t>Dodatkowo do inwestycji kluczowych dotyczących budowy dróg krajowych wyłączono stosowanie art. 32a ustawy z dnia 10 kwietnia 2003 r. o szczególnych zasadach przygotowania i realizacji inwestycji w zakresie dróg publicznych (dotyczy skutków odstąpienia od zatwierdzonego projektu zagospodarowania działki lub terenu oraz projektu architektoniczno-budowlanego, w zakresie objętym projektem zagospodarowania terenu w liniach rozgraniczających drogi) Skrócenie terminu uzyskania decyzji ZRID wpłynie na szybsze rozpoczęcie realizacji inwestycji.</w:t>
      </w:r>
    </w:p>
    <w:p w14:paraId="29480B0C" w14:textId="34BB6426" w:rsidR="00B21077" w:rsidRPr="00406A62" w:rsidRDefault="00B21077"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14</w:t>
      </w:r>
      <w:r w:rsidR="00021C53" w:rsidRPr="00406A62">
        <w:rPr>
          <w:rFonts w:ascii="Times New Roman" w:hAnsi="Times New Roman" w:cs="Times New Roman"/>
          <w:sz w:val="24"/>
          <w:szCs w:val="24"/>
        </w:rPr>
        <w:t xml:space="preserve"> </w:t>
      </w:r>
      <w:r w:rsidRPr="00406A62">
        <w:rPr>
          <w:rFonts w:ascii="Times New Roman" w:hAnsi="Times New Roman" w:cs="Times New Roman"/>
          <w:sz w:val="24"/>
          <w:szCs w:val="24"/>
        </w:rPr>
        <w:t>określa termin, w którym Państwowe Gospodarstwo Leśne Lasy Państwowe</w:t>
      </w:r>
      <w:r w:rsidR="00413946" w:rsidRPr="00406A62">
        <w:rPr>
          <w:rFonts w:ascii="Times New Roman" w:hAnsi="Times New Roman" w:cs="Times New Roman"/>
          <w:sz w:val="24"/>
          <w:szCs w:val="24"/>
        </w:rPr>
        <w:t xml:space="preserve">, zwane dalej „PGLLP”, </w:t>
      </w:r>
      <w:r w:rsidRPr="00406A62">
        <w:rPr>
          <w:rFonts w:ascii="Times New Roman" w:hAnsi="Times New Roman" w:cs="Times New Roman"/>
          <w:sz w:val="24"/>
          <w:szCs w:val="24"/>
        </w:rPr>
        <w:t>zawiera porozumienie dotyczące dokonania wycinki drzew i krzewów oraz ich uprzątnięcia, o</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których mowa w art. 20b ust.</w:t>
      </w:r>
      <w:r w:rsidR="00D80425"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1 specustawy drogowej. Porozumienie takie będzie zawierane w terminie </w:t>
      </w:r>
      <w:r w:rsidR="00703827" w:rsidRPr="00406A62">
        <w:rPr>
          <w:rFonts w:ascii="Times New Roman" w:hAnsi="Times New Roman" w:cs="Times New Roman"/>
          <w:sz w:val="24"/>
          <w:szCs w:val="24"/>
        </w:rPr>
        <w:t>21</w:t>
      </w:r>
      <w:r w:rsidRPr="00406A62">
        <w:rPr>
          <w:rFonts w:ascii="Times New Roman" w:hAnsi="Times New Roman" w:cs="Times New Roman"/>
          <w:sz w:val="24"/>
          <w:szCs w:val="24"/>
        </w:rPr>
        <w:t xml:space="preserve"> dni od dnia otrzymania przez </w:t>
      </w:r>
      <w:r w:rsidR="00413946" w:rsidRPr="00406A62">
        <w:rPr>
          <w:rFonts w:ascii="Times New Roman" w:hAnsi="Times New Roman" w:cs="Times New Roman"/>
          <w:sz w:val="24"/>
          <w:szCs w:val="24"/>
        </w:rPr>
        <w:t>PGLL</w:t>
      </w:r>
      <w:r w:rsidR="002117C4" w:rsidRPr="00406A62">
        <w:rPr>
          <w:rFonts w:ascii="Times New Roman" w:hAnsi="Times New Roman" w:cs="Times New Roman"/>
          <w:sz w:val="24"/>
          <w:szCs w:val="24"/>
        </w:rPr>
        <w:t>P</w:t>
      </w:r>
      <w:r w:rsidRPr="00406A62">
        <w:rPr>
          <w:rFonts w:ascii="Times New Roman" w:hAnsi="Times New Roman" w:cs="Times New Roman"/>
          <w:sz w:val="24"/>
          <w:szCs w:val="24"/>
        </w:rPr>
        <w:t xml:space="preserve"> wystąpienia o zawarcie porozumienia</w:t>
      </w:r>
      <w:r w:rsidR="00703827" w:rsidRPr="00406A62">
        <w:rPr>
          <w:rFonts w:ascii="Times New Roman" w:hAnsi="Times New Roman" w:cs="Times New Roman"/>
          <w:sz w:val="24"/>
          <w:szCs w:val="24"/>
        </w:rPr>
        <w:t>,</w:t>
      </w:r>
      <w:r w:rsidR="00396D76" w:rsidRPr="00406A62">
        <w:rPr>
          <w:rFonts w:ascii="Times New Roman" w:hAnsi="Times New Roman" w:cs="Times New Roman"/>
          <w:sz w:val="24"/>
          <w:szCs w:val="24"/>
        </w:rPr>
        <w:t xml:space="preserve"> </w:t>
      </w:r>
      <w:r w:rsidR="00703827" w:rsidRPr="00406A62">
        <w:rPr>
          <w:rFonts w:ascii="Times New Roman" w:hAnsi="Times New Roman" w:cs="Times New Roman"/>
          <w:sz w:val="24"/>
          <w:szCs w:val="24"/>
        </w:rPr>
        <w:t xml:space="preserve">a termin wycinki drzew i krzewów oraz ich uprzątnięcia nie może przekraczać 2 miesięcy od dnia zawarcia porozumienia. </w:t>
      </w:r>
      <w:r w:rsidR="003415E3" w:rsidRPr="00406A62">
        <w:rPr>
          <w:rFonts w:ascii="Times New Roman" w:hAnsi="Times New Roman" w:cs="Times New Roman"/>
          <w:sz w:val="24"/>
          <w:szCs w:val="24"/>
        </w:rPr>
        <w:t>Termin wycinki drzew i krzewów oraz ich uprzątnięcia, jeżeli są wymagane, uwzględnia środowiskowe uwarunkowania realizacji przedsięwzięcia określone w decyzji o środowiskowych uwarunkowaniach</w:t>
      </w:r>
      <w:r w:rsidR="006D58DC" w:rsidRPr="00406A62">
        <w:rPr>
          <w:rFonts w:ascii="Times New Roman" w:hAnsi="Times New Roman" w:cs="Times New Roman"/>
          <w:sz w:val="24"/>
          <w:szCs w:val="24"/>
        </w:rPr>
        <w:t>.</w:t>
      </w:r>
      <w:r w:rsidR="003415E3" w:rsidRPr="00406A62" w:rsidDel="003415E3">
        <w:rPr>
          <w:rFonts w:ascii="Times New Roman" w:hAnsi="Times New Roman" w:cs="Times New Roman"/>
          <w:sz w:val="24"/>
          <w:szCs w:val="24"/>
        </w:rPr>
        <w:t xml:space="preserve"> </w:t>
      </w:r>
      <w:r w:rsidRPr="00406A62">
        <w:rPr>
          <w:rFonts w:ascii="Times New Roman" w:hAnsi="Times New Roman" w:cs="Times New Roman"/>
          <w:sz w:val="24"/>
          <w:szCs w:val="24"/>
        </w:rPr>
        <w:t>W przypadku braku zawarcia porozumienia w terminie</w:t>
      </w:r>
      <w:r w:rsidR="00396D76" w:rsidRPr="00406A62">
        <w:rPr>
          <w:rFonts w:ascii="Times New Roman" w:hAnsi="Times New Roman" w:cs="Times New Roman"/>
          <w:sz w:val="24"/>
          <w:szCs w:val="24"/>
        </w:rPr>
        <w:t xml:space="preserve"> </w:t>
      </w:r>
      <w:r w:rsidR="00703827" w:rsidRPr="00406A62">
        <w:rPr>
          <w:rFonts w:ascii="Times New Roman" w:hAnsi="Times New Roman" w:cs="Times New Roman"/>
          <w:sz w:val="24"/>
          <w:szCs w:val="24"/>
        </w:rPr>
        <w:t>21 dni od dnia otrzymania przez Państwowe Gospodarstwo Leśne Lasy Państwowe wystąpienia o zawarcie porozumienia</w:t>
      </w:r>
      <w:r w:rsidRPr="00406A62">
        <w:rPr>
          <w:rFonts w:ascii="Times New Roman" w:hAnsi="Times New Roman" w:cs="Times New Roman"/>
          <w:sz w:val="24"/>
          <w:szCs w:val="24"/>
        </w:rPr>
        <w:t xml:space="preserve">, termin wycinki drzew i krzewów oraz ich uprzątnięcia będzie ustalał wojewoda w drodze decyzji w terminie 21 dni od dnia zawiadomienia przez inwestora o braku zawarcia porozumienia. </w:t>
      </w:r>
      <w:r w:rsidR="00703827" w:rsidRPr="00406A62">
        <w:rPr>
          <w:rFonts w:ascii="Times New Roman" w:hAnsi="Times New Roman" w:cs="Times New Roman"/>
          <w:sz w:val="24"/>
          <w:szCs w:val="24"/>
        </w:rPr>
        <w:t>Jako organ odwoławczy względem decyzji wojewody wskazany został minister właściwy do spraw środowiska.</w:t>
      </w:r>
    </w:p>
    <w:p w14:paraId="4BDCA32D" w14:textId="77777777" w:rsidR="00B21077" w:rsidRPr="00406A62" w:rsidRDefault="00B21077"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Ustawowe określenie terminów do zawarcia ww. porozumień oraz określenie skutków niedotrzymania tych terminów ma zmobilizować do terminowego zawierania porozumień, co ma na celu skrócenie czasu prac przygotowawczych do realizacji inwestycji.</w:t>
      </w:r>
    </w:p>
    <w:p w14:paraId="6AA8BDDE" w14:textId="21BDB2CE" w:rsidR="00404EE5" w:rsidRPr="00406A62" w:rsidRDefault="00FE5707"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15</w:t>
      </w:r>
      <w:r w:rsidR="00021C53" w:rsidRPr="00406A62">
        <w:rPr>
          <w:rFonts w:ascii="Times New Roman" w:hAnsi="Times New Roman" w:cs="Times New Roman"/>
          <w:bCs/>
          <w:sz w:val="24"/>
          <w:szCs w:val="24"/>
        </w:rPr>
        <w:t xml:space="preserve"> </w:t>
      </w:r>
      <w:r w:rsidR="00A773D2" w:rsidRPr="00406A62">
        <w:rPr>
          <w:rFonts w:ascii="Times New Roman" w:hAnsi="Times New Roman" w:cs="Times New Roman"/>
          <w:sz w:val="24"/>
          <w:szCs w:val="24"/>
        </w:rPr>
        <w:t xml:space="preserve">określa </w:t>
      </w:r>
      <w:r w:rsidR="00404EE5" w:rsidRPr="00406A62">
        <w:rPr>
          <w:rFonts w:ascii="Times New Roman" w:hAnsi="Times New Roman" w:cs="Times New Roman"/>
          <w:sz w:val="24"/>
          <w:szCs w:val="24"/>
        </w:rPr>
        <w:t xml:space="preserve">wymóg </w:t>
      </w:r>
      <w:r w:rsidR="00462B8B" w:rsidRPr="00406A62">
        <w:rPr>
          <w:rFonts w:ascii="Times New Roman" w:hAnsi="Times New Roman" w:cs="Times New Roman"/>
          <w:sz w:val="24"/>
          <w:szCs w:val="24"/>
        </w:rPr>
        <w:t xml:space="preserve">zawierania </w:t>
      </w:r>
      <w:r w:rsidR="00A773D2" w:rsidRPr="00406A62">
        <w:rPr>
          <w:rFonts w:ascii="Times New Roman" w:hAnsi="Times New Roman" w:cs="Times New Roman"/>
          <w:sz w:val="24"/>
          <w:szCs w:val="24"/>
        </w:rPr>
        <w:t>porozumień mi</w:t>
      </w:r>
      <w:r w:rsidR="00453F5A" w:rsidRPr="00406A62">
        <w:rPr>
          <w:rFonts w:ascii="Times New Roman" w:hAnsi="Times New Roman" w:cs="Times New Roman"/>
          <w:sz w:val="24"/>
          <w:szCs w:val="24"/>
        </w:rPr>
        <w:t>ę</w:t>
      </w:r>
      <w:r w:rsidR="00A773D2" w:rsidRPr="00406A62">
        <w:rPr>
          <w:rFonts w:ascii="Times New Roman" w:hAnsi="Times New Roman" w:cs="Times New Roman"/>
          <w:sz w:val="24"/>
          <w:szCs w:val="24"/>
        </w:rPr>
        <w:t>dzy</w:t>
      </w:r>
      <w:r w:rsidR="00A94A1F" w:rsidRPr="00406A62">
        <w:rPr>
          <w:rFonts w:ascii="Times New Roman" w:hAnsi="Times New Roman" w:cs="Times New Roman"/>
          <w:sz w:val="24"/>
          <w:szCs w:val="24"/>
        </w:rPr>
        <w:t xml:space="preserve"> PGLLP</w:t>
      </w:r>
      <w:r w:rsidR="00DC2AC0" w:rsidRPr="00406A62">
        <w:rPr>
          <w:rFonts w:ascii="Times New Roman" w:hAnsi="Times New Roman" w:cs="Times New Roman"/>
          <w:sz w:val="24"/>
          <w:szCs w:val="24"/>
        </w:rPr>
        <w:t xml:space="preserve"> lub parkiem narodowym</w:t>
      </w:r>
      <w:r w:rsidR="00814AC5" w:rsidRPr="00406A62">
        <w:rPr>
          <w:rFonts w:ascii="Times New Roman" w:hAnsi="Times New Roman" w:cs="Times New Roman"/>
          <w:sz w:val="24"/>
          <w:szCs w:val="24"/>
        </w:rPr>
        <w:t xml:space="preserve">, </w:t>
      </w:r>
      <w:r w:rsidR="00A773D2" w:rsidRPr="00406A62">
        <w:rPr>
          <w:rFonts w:ascii="Times New Roman" w:hAnsi="Times New Roman" w:cs="Times New Roman"/>
          <w:sz w:val="24"/>
          <w:szCs w:val="24"/>
        </w:rPr>
        <w:t>a</w:t>
      </w:r>
      <w:r w:rsidR="00BD3B0C" w:rsidRPr="00406A62">
        <w:rPr>
          <w:rFonts w:ascii="Times New Roman" w:hAnsi="Times New Roman" w:cs="Times New Roman"/>
          <w:sz w:val="24"/>
          <w:szCs w:val="24"/>
        </w:rPr>
        <w:t> </w:t>
      </w:r>
      <w:r w:rsidR="00A773D2" w:rsidRPr="00406A62">
        <w:rPr>
          <w:rFonts w:ascii="Times New Roman" w:hAnsi="Times New Roman" w:cs="Times New Roman"/>
          <w:sz w:val="24"/>
          <w:szCs w:val="24"/>
        </w:rPr>
        <w:t>inwestorami kluczo</w:t>
      </w:r>
      <w:r w:rsidR="00404EE5" w:rsidRPr="00406A62">
        <w:rPr>
          <w:rFonts w:ascii="Times New Roman" w:hAnsi="Times New Roman" w:cs="Times New Roman"/>
          <w:sz w:val="24"/>
          <w:szCs w:val="24"/>
        </w:rPr>
        <w:t>w</w:t>
      </w:r>
      <w:r w:rsidR="00A773D2" w:rsidRPr="00406A62">
        <w:rPr>
          <w:rFonts w:ascii="Times New Roman" w:hAnsi="Times New Roman" w:cs="Times New Roman"/>
          <w:sz w:val="24"/>
          <w:szCs w:val="24"/>
        </w:rPr>
        <w:t>ych inwestycji infrastruktu</w:t>
      </w:r>
      <w:r w:rsidR="00404EE5" w:rsidRPr="00406A62">
        <w:rPr>
          <w:rFonts w:ascii="Times New Roman" w:hAnsi="Times New Roman" w:cs="Times New Roman"/>
          <w:sz w:val="24"/>
          <w:szCs w:val="24"/>
        </w:rPr>
        <w:t>ralnych</w:t>
      </w:r>
      <w:r w:rsidR="00A773D2" w:rsidRPr="00406A62">
        <w:rPr>
          <w:rFonts w:ascii="Times New Roman" w:hAnsi="Times New Roman" w:cs="Times New Roman"/>
          <w:sz w:val="24"/>
          <w:szCs w:val="24"/>
        </w:rPr>
        <w:t xml:space="preserve"> z zakresu gospodarki morskiej</w:t>
      </w:r>
      <w:r w:rsidR="00371603" w:rsidRPr="00406A62">
        <w:rPr>
          <w:rFonts w:ascii="Times New Roman" w:hAnsi="Times New Roman" w:cs="Times New Roman"/>
          <w:sz w:val="24"/>
          <w:szCs w:val="24"/>
        </w:rPr>
        <w:t xml:space="preserve"> i transportu kolejowego</w:t>
      </w:r>
      <w:r w:rsidR="00295DD2" w:rsidRPr="00406A62">
        <w:rPr>
          <w:rFonts w:ascii="Times New Roman" w:hAnsi="Times New Roman" w:cs="Times New Roman"/>
          <w:sz w:val="24"/>
          <w:szCs w:val="24"/>
        </w:rPr>
        <w:t>. Przedmiotowe porozumienia</w:t>
      </w:r>
      <w:r w:rsidR="00A773D2" w:rsidRPr="00406A62">
        <w:rPr>
          <w:rFonts w:ascii="Times New Roman" w:hAnsi="Times New Roman" w:cs="Times New Roman"/>
          <w:sz w:val="24"/>
          <w:szCs w:val="24"/>
        </w:rPr>
        <w:t xml:space="preserve"> </w:t>
      </w:r>
      <w:r w:rsidR="00295DD2" w:rsidRPr="00406A62">
        <w:rPr>
          <w:rFonts w:ascii="Times New Roman" w:hAnsi="Times New Roman" w:cs="Times New Roman"/>
          <w:sz w:val="24"/>
          <w:szCs w:val="24"/>
        </w:rPr>
        <w:t>regulować mają</w:t>
      </w:r>
      <w:r w:rsidR="00A773D2" w:rsidRPr="00406A62">
        <w:rPr>
          <w:rFonts w:ascii="Times New Roman" w:hAnsi="Times New Roman" w:cs="Times New Roman"/>
          <w:sz w:val="24"/>
          <w:szCs w:val="24"/>
        </w:rPr>
        <w:t xml:space="preserve"> terminy i warunki dokonywania wycink</w:t>
      </w:r>
      <w:r w:rsidR="00D80425" w:rsidRPr="00406A62">
        <w:rPr>
          <w:rFonts w:ascii="Times New Roman" w:hAnsi="Times New Roman" w:cs="Times New Roman"/>
          <w:sz w:val="24"/>
          <w:szCs w:val="24"/>
        </w:rPr>
        <w:t>i</w:t>
      </w:r>
      <w:r w:rsidR="00A773D2" w:rsidRPr="00406A62">
        <w:rPr>
          <w:rFonts w:ascii="Times New Roman" w:hAnsi="Times New Roman" w:cs="Times New Roman"/>
          <w:sz w:val="24"/>
          <w:szCs w:val="24"/>
        </w:rPr>
        <w:t xml:space="preserve"> drzew i krzewów oraz ich upr</w:t>
      </w:r>
      <w:r w:rsidR="00404EE5" w:rsidRPr="00406A62">
        <w:rPr>
          <w:rFonts w:ascii="Times New Roman" w:hAnsi="Times New Roman" w:cs="Times New Roman"/>
          <w:sz w:val="24"/>
          <w:szCs w:val="24"/>
        </w:rPr>
        <w:t>zątnięcia</w:t>
      </w:r>
      <w:r w:rsidR="00A773D2" w:rsidRPr="00406A62">
        <w:rPr>
          <w:rFonts w:ascii="Times New Roman" w:hAnsi="Times New Roman" w:cs="Times New Roman"/>
          <w:sz w:val="24"/>
          <w:szCs w:val="24"/>
        </w:rPr>
        <w:t>. Przedmiotowe porozumienie zawierane ma być w termin</w:t>
      </w:r>
      <w:r w:rsidR="00404EE5" w:rsidRPr="00406A62">
        <w:rPr>
          <w:rFonts w:ascii="Times New Roman" w:hAnsi="Times New Roman" w:cs="Times New Roman"/>
          <w:sz w:val="24"/>
          <w:szCs w:val="24"/>
        </w:rPr>
        <w:t>i</w:t>
      </w:r>
      <w:r w:rsidR="00A773D2" w:rsidRPr="00406A62">
        <w:rPr>
          <w:rFonts w:ascii="Times New Roman" w:hAnsi="Times New Roman" w:cs="Times New Roman"/>
          <w:sz w:val="24"/>
          <w:szCs w:val="24"/>
        </w:rPr>
        <w:t xml:space="preserve">e </w:t>
      </w:r>
      <w:r w:rsidR="00DC2AC0" w:rsidRPr="00406A62">
        <w:rPr>
          <w:rFonts w:ascii="Times New Roman" w:hAnsi="Times New Roman" w:cs="Times New Roman"/>
          <w:sz w:val="24"/>
          <w:szCs w:val="24"/>
        </w:rPr>
        <w:t>21</w:t>
      </w:r>
      <w:r w:rsidR="00A773D2" w:rsidRPr="00406A62">
        <w:rPr>
          <w:rFonts w:ascii="Times New Roman" w:hAnsi="Times New Roman" w:cs="Times New Roman"/>
          <w:sz w:val="24"/>
          <w:szCs w:val="24"/>
        </w:rPr>
        <w:t xml:space="preserve"> dni od </w:t>
      </w:r>
      <w:r w:rsidR="00295DD2" w:rsidRPr="00406A62">
        <w:rPr>
          <w:rFonts w:ascii="Times New Roman" w:hAnsi="Times New Roman" w:cs="Times New Roman"/>
          <w:sz w:val="24"/>
          <w:szCs w:val="24"/>
        </w:rPr>
        <w:t xml:space="preserve">otrzymania przez PGLLP </w:t>
      </w:r>
      <w:r w:rsidR="00DC2AC0" w:rsidRPr="00406A62">
        <w:rPr>
          <w:rFonts w:ascii="Times New Roman" w:hAnsi="Times New Roman" w:cs="Times New Roman"/>
          <w:sz w:val="24"/>
          <w:szCs w:val="24"/>
        </w:rPr>
        <w:t xml:space="preserve">lub park narodowy </w:t>
      </w:r>
      <w:r w:rsidR="00295DD2" w:rsidRPr="00406A62">
        <w:rPr>
          <w:rFonts w:ascii="Times New Roman" w:hAnsi="Times New Roman" w:cs="Times New Roman"/>
          <w:sz w:val="24"/>
          <w:szCs w:val="24"/>
        </w:rPr>
        <w:t>wystąpienia o zawarcie takiego porozumienia</w:t>
      </w:r>
      <w:r w:rsidR="00404EE5" w:rsidRPr="00406A62">
        <w:rPr>
          <w:rFonts w:ascii="Times New Roman" w:hAnsi="Times New Roman" w:cs="Times New Roman"/>
          <w:sz w:val="24"/>
          <w:szCs w:val="24"/>
        </w:rPr>
        <w:t>, a</w:t>
      </w:r>
      <w:r w:rsidR="00BD3B0C" w:rsidRPr="00406A62">
        <w:rPr>
          <w:rFonts w:ascii="Times New Roman" w:hAnsi="Times New Roman" w:cs="Times New Roman"/>
          <w:sz w:val="24"/>
          <w:szCs w:val="24"/>
        </w:rPr>
        <w:t> </w:t>
      </w:r>
      <w:r w:rsidR="00404EE5" w:rsidRPr="00406A62">
        <w:rPr>
          <w:rFonts w:ascii="Times New Roman" w:hAnsi="Times New Roman" w:cs="Times New Roman"/>
          <w:sz w:val="24"/>
          <w:szCs w:val="24"/>
        </w:rPr>
        <w:t>termin wycinki drzew i krzewów oraz ich uprzątnięcia nie może przekraczać 2 miesięcy</w:t>
      </w:r>
      <w:r w:rsidR="002117C4" w:rsidRPr="00406A62">
        <w:rPr>
          <w:rFonts w:ascii="Times New Roman" w:hAnsi="Times New Roman" w:cs="Times New Roman"/>
          <w:sz w:val="24"/>
          <w:szCs w:val="24"/>
        </w:rPr>
        <w:t>.</w:t>
      </w:r>
      <w:r w:rsidR="00DC2AC0" w:rsidRPr="00406A62">
        <w:rPr>
          <w:rFonts w:ascii="Times New Roman" w:hAnsi="Times New Roman" w:cs="Times New Roman"/>
          <w:sz w:val="24"/>
          <w:szCs w:val="24"/>
        </w:rPr>
        <w:t xml:space="preserve"> </w:t>
      </w:r>
      <w:r w:rsidR="003415E3" w:rsidRPr="00406A62">
        <w:rPr>
          <w:rFonts w:ascii="Times New Roman" w:hAnsi="Times New Roman" w:cs="Times New Roman"/>
          <w:sz w:val="24"/>
          <w:szCs w:val="24"/>
        </w:rPr>
        <w:t xml:space="preserve">Termin wycinki drzew i krzewów oraz ich uprzątnięcia, jeżeli są wymagane, uwzględnia środowiskowe uwarunkowania realizacji </w:t>
      </w:r>
      <w:r w:rsidR="003415E3" w:rsidRPr="00406A62">
        <w:rPr>
          <w:rFonts w:ascii="Times New Roman" w:hAnsi="Times New Roman" w:cs="Times New Roman"/>
          <w:sz w:val="24"/>
          <w:szCs w:val="24"/>
        </w:rPr>
        <w:lastRenderedPageBreak/>
        <w:t>przedsięwzięcia określone w decyzji o środowiskowych uwarunkowaniach</w:t>
      </w:r>
      <w:r w:rsidR="00340419" w:rsidRPr="00406A62">
        <w:rPr>
          <w:rFonts w:ascii="Times New Roman" w:hAnsi="Times New Roman" w:cs="Times New Roman"/>
          <w:sz w:val="24"/>
          <w:szCs w:val="24"/>
        </w:rPr>
        <w:t>.</w:t>
      </w:r>
      <w:r w:rsidR="003415E3" w:rsidRPr="00406A62" w:rsidDel="003415E3">
        <w:rPr>
          <w:rFonts w:ascii="Times New Roman" w:hAnsi="Times New Roman" w:cs="Times New Roman"/>
          <w:sz w:val="24"/>
          <w:szCs w:val="24"/>
        </w:rPr>
        <w:t xml:space="preserve"> </w:t>
      </w:r>
      <w:r w:rsidR="00295DD2" w:rsidRPr="00406A62">
        <w:rPr>
          <w:rFonts w:ascii="Times New Roman" w:hAnsi="Times New Roman" w:cs="Times New Roman"/>
          <w:sz w:val="24"/>
          <w:szCs w:val="24"/>
        </w:rPr>
        <w:t xml:space="preserve">Ponadto przepis wskazuje, </w:t>
      </w:r>
      <w:r w:rsidR="00C545B7" w:rsidRPr="00406A62">
        <w:rPr>
          <w:rFonts w:ascii="Times New Roman" w:hAnsi="Times New Roman" w:cs="Times New Roman"/>
          <w:sz w:val="24"/>
          <w:szCs w:val="24"/>
        </w:rPr>
        <w:t xml:space="preserve">że </w:t>
      </w:r>
      <w:r w:rsidR="00295DD2" w:rsidRPr="00406A62">
        <w:rPr>
          <w:rFonts w:ascii="Times New Roman" w:hAnsi="Times New Roman" w:cs="Times New Roman"/>
          <w:sz w:val="24"/>
          <w:szCs w:val="24"/>
        </w:rPr>
        <w:t xml:space="preserve">jeżeli w terminie </w:t>
      </w:r>
      <w:r w:rsidR="00DC2AC0" w:rsidRPr="00406A62">
        <w:rPr>
          <w:rFonts w:ascii="Times New Roman" w:hAnsi="Times New Roman" w:cs="Times New Roman"/>
          <w:sz w:val="24"/>
          <w:szCs w:val="24"/>
        </w:rPr>
        <w:t>21</w:t>
      </w:r>
      <w:r w:rsidR="00295DD2" w:rsidRPr="00406A62">
        <w:rPr>
          <w:rFonts w:ascii="Times New Roman" w:hAnsi="Times New Roman" w:cs="Times New Roman"/>
          <w:sz w:val="24"/>
          <w:szCs w:val="24"/>
        </w:rPr>
        <w:t xml:space="preserve"> dni od dnia otrzymania przez </w:t>
      </w:r>
      <w:r w:rsidR="006D2A72" w:rsidRPr="00406A62">
        <w:rPr>
          <w:rFonts w:ascii="Times New Roman" w:hAnsi="Times New Roman" w:cs="Times New Roman"/>
          <w:sz w:val="24"/>
          <w:szCs w:val="24"/>
        </w:rPr>
        <w:t xml:space="preserve">PGLLP </w:t>
      </w:r>
      <w:r w:rsidR="00DC2AC0" w:rsidRPr="00406A62">
        <w:rPr>
          <w:rFonts w:ascii="Times New Roman" w:hAnsi="Times New Roman" w:cs="Times New Roman"/>
          <w:sz w:val="24"/>
          <w:szCs w:val="24"/>
        </w:rPr>
        <w:t xml:space="preserve">lub park narodowy </w:t>
      </w:r>
      <w:r w:rsidR="00295DD2" w:rsidRPr="00406A62">
        <w:rPr>
          <w:rFonts w:ascii="Times New Roman" w:hAnsi="Times New Roman" w:cs="Times New Roman"/>
          <w:sz w:val="24"/>
          <w:szCs w:val="24"/>
        </w:rPr>
        <w:t>wystąpienia</w:t>
      </w:r>
      <w:r w:rsidR="00404EE5" w:rsidRPr="00406A62">
        <w:rPr>
          <w:rFonts w:ascii="Times New Roman" w:hAnsi="Times New Roman" w:cs="Times New Roman"/>
          <w:sz w:val="24"/>
          <w:szCs w:val="24"/>
        </w:rPr>
        <w:t xml:space="preserve"> o zawarcie porozumienia,</w:t>
      </w:r>
      <w:r w:rsidR="00295DD2" w:rsidRPr="00406A62">
        <w:rPr>
          <w:rFonts w:ascii="Times New Roman" w:hAnsi="Times New Roman" w:cs="Times New Roman"/>
          <w:sz w:val="24"/>
          <w:szCs w:val="24"/>
        </w:rPr>
        <w:t xml:space="preserve"> nie dojdzie do zawarcia </w:t>
      </w:r>
      <w:r w:rsidR="00404EE5" w:rsidRPr="00406A62">
        <w:rPr>
          <w:rFonts w:ascii="Times New Roman" w:hAnsi="Times New Roman" w:cs="Times New Roman"/>
          <w:sz w:val="24"/>
          <w:szCs w:val="24"/>
        </w:rPr>
        <w:t xml:space="preserve">tego </w:t>
      </w:r>
      <w:r w:rsidR="00295DD2" w:rsidRPr="00406A62">
        <w:rPr>
          <w:rFonts w:ascii="Times New Roman" w:hAnsi="Times New Roman" w:cs="Times New Roman"/>
          <w:sz w:val="24"/>
          <w:szCs w:val="24"/>
        </w:rPr>
        <w:t xml:space="preserve">porozumienia, termin wycinki drzew i krzewów oraz ich uprzątnięcia zostanie ustalony w drodze decyzji przez wojewodę. Decyzja powinna zostać wydana w terminie 21 dni od dnia zawiadomienia przez inwestora o braku zawarcia porozumienia. W przedmiotowych postępowaniach organem wyższego </w:t>
      </w:r>
      <w:r w:rsidR="00404EE5" w:rsidRPr="00406A62">
        <w:rPr>
          <w:rFonts w:ascii="Times New Roman" w:hAnsi="Times New Roman" w:cs="Times New Roman"/>
          <w:sz w:val="24"/>
          <w:szCs w:val="24"/>
        </w:rPr>
        <w:t xml:space="preserve">stopnia </w:t>
      </w:r>
      <w:r w:rsidR="00295DD2" w:rsidRPr="00406A62">
        <w:rPr>
          <w:rFonts w:ascii="Times New Roman" w:hAnsi="Times New Roman" w:cs="Times New Roman"/>
          <w:sz w:val="24"/>
          <w:szCs w:val="24"/>
        </w:rPr>
        <w:t xml:space="preserve">względem wojewody </w:t>
      </w:r>
      <w:r w:rsidR="00404EE5" w:rsidRPr="00406A62">
        <w:rPr>
          <w:rFonts w:ascii="Times New Roman" w:hAnsi="Times New Roman" w:cs="Times New Roman"/>
          <w:sz w:val="24"/>
          <w:szCs w:val="24"/>
        </w:rPr>
        <w:t>ma być</w:t>
      </w:r>
      <w:r w:rsidR="00295DD2" w:rsidRPr="00406A62">
        <w:rPr>
          <w:rFonts w:ascii="Times New Roman" w:hAnsi="Times New Roman" w:cs="Times New Roman"/>
          <w:sz w:val="24"/>
          <w:szCs w:val="24"/>
        </w:rPr>
        <w:t xml:space="preserve"> minister właściwy do spraw środowiska</w:t>
      </w:r>
      <w:r w:rsidR="00404EE5" w:rsidRPr="00406A62">
        <w:rPr>
          <w:rFonts w:ascii="Times New Roman" w:hAnsi="Times New Roman" w:cs="Times New Roman"/>
          <w:sz w:val="24"/>
          <w:szCs w:val="24"/>
        </w:rPr>
        <w:t>.</w:t>
      </w:r>
    </w:p>
    <w:p w14:paraId="6688D81F" w14:textId="77777777" w:rsidR="00116222" w:rsidRPr="00406A62" w:rsidRDefault="00404EE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Ustawowe zobowiązanie do zawierania porozumień określających terminy i warunki dokonywania wycinek drzew i krzewów oraz ich uprzątnięcia ma na celu skrócenie czasu prac przygotowawczych do realizacji inwestycji.</w:t>
      </w:r>
    </w:p>
    <w:p w14:paraId="2AD7FB60" w14:textId="13FDDFF2"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16</w:t>
      </w:r>
      <w:r w:rsidR="00021C53" w:rsidRPr="00406A62">
        <w:rPr>
          <w:rFonts w:ascii="Times New Roman" w:hAnsi="Times New Roman" w:cs="Times New Roman"/>
          <w:sz w:val="24"/>
          <w:szCs w:val="24"/>
        </w:rPr>
        <w:t xml:space="preserve"> </w:t>
      </w:r>
      <w:r w:rsidRPr="00406A62">
        <w:rPr>
          <w:rFonts w:ascii="Times New Roman" w:hAnsi="Times New Roman" w:cs="Times New Roman"/>
          <w:sz w:val="24"/>
          <w:szCs w:val="24"/>
        </w:rPr>
        <w:t>określa sposób zawiadamiania oraz strony postępowania, które wojewoda zawiadamia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postępowaniu o wydanie decyzji o ustaleniu lokalizacji linii kolejowej. Zawiad</w:t>
      </w:r>
      <w:r w:rsidR="00BE5E3C" w:rsidRPr="00406A62">
        <w:rPr>
          <w:rFonts w:ascii="Times New Roman" w:hAnsi="Times New Roman" w:cs="Times New Roman"/>
          <w:sz w:val="24"/>
          <w:szCs w:val="24"/>
        </w:rPr>
        <w:t xml:space="preserve">omienie </w:t>
      </w:r>
      <w:r w:rsidRPr="00406A62">
        <w:rPr>
          <w:rFonts w:ascii="Times New Roman" w:hAnsi="Times New Roman" w:cs="Times New Roman"/>
          <w:sz w:val="24"/>
          <w:szCs w:val="24"/>
        </w:rPr>
        <w:t xml:space="preserve">o wszczęciu postępowania </w:t>
      </w:r>
      <w:r w:rsidR="00BE5E3C" w:rsidRPr="00406A62">
        <w:rPr>
          <w:rFonts w:ascii="Times New Roman" w:hAnsi="Times New Roman" w:cs="Times New Roman"/>
          <w:sz w:val="24"/>
          <w:szCs w:val="24"/>
        </w:rPr>
        <w:t>jest wysyłane do:</w:t>
      </w:r>
      <w:r w:rsidRPr="00406A62">
        <w:rPr>
          <w:rFonts w:ascii="Times New Roman" w:hAnsi="Times New Roman" w:cs="Times New Roman"/>
          <w:sz w:val="24"/>
          <w:szCs w:val="24"/>
        </w:rPr>
        <w:t xml:space="preserve"> wnioskodawcy, właściciel</w:t>
      </w:r>
      <w:r w:rsidR="002B10ED" w:rsidRPr="00406A62">
        <w:rPr>
          <w:rFonts w:ascii="Times New Roman" w:hAnsi="Times New Roman" w:cs="Times New Roman"/>
          <w:sz w:val="24"/>
          <w:szCs w:val="24"/>
        </w:rPr>
        <w:t>i</w:t>
      </w:r>
      <w:r w:rsidRPr="00406A62">
        <w:rPr>
          <w:rFonts w:ascii="Times New Roman" w:hAnsi="Times New Roman" w:cs="Times New Roman"/>
          <w:sz w:val="24"/>
          <w:szCs w:val="24"/>
        </w:rPr>
        <w:t xml:space="preserve"> lub użytkown</w:t>
      </w:r>
      <w:r w:rsidR="002B10ED" w:rsidRPr="00406A62">
        <w:rPr>
          <w:rFonts w:ascii="Times New Roman" w:hAnsi="Times New Roman" w:cs="Times New Roman"/>
          <w:sz w:val="24"/>
          <w:szCs w:val="24"/>
        </w:rPr>
        <w:t>ików</w:t>
      </w:r>
      <w:r w:rsidRPr="00406A62">
        <w:rPr>
          <w:rFonts w:ascii="Times New Roman" w:hAnsi="Times New Roman" w:cs="Times New Roman"/>
          <w:sz w:val="24"/>
          <w:szCs w:val="24"/>
        </w:rPr>
        <w:t xml:space="preserve"> wieczy</w:t>
      </w:r>
      <w:r w:rsidR="002B10ED" w:rsidRPr="00406A62">
        <w:rPr>
          <w:rFonts w:ascii="Times New Roman" w:hAnsi="Times New Roman" w:cs="Times New Roman"/>
          <w:sz w:val="24"/>
          <w:szCs w:val="24"/>
        </w:rPr>
        <w:t xml:space="preserve">stych </w:t>
      </w:r>
      <w:r w:rsidRPr="00406A62">
        <w:rPr>
          <w:rFonts w:ascii="Times New Roman" w:hAnsi="Times New Roman" w:cs="Times New Roman"/>
          <w:sz w:val="24"/>
          <w:szCs w:val="24"/>
        </w:rPr>
        <w:t>nieruchomości obję</w:t>
      </w:r>
      <w:r w:rsidR="002B10ED" w:rsidRPr="00406A62">
        <w:rPr>
          <w:rFonts w:ascii="Times New Roman" w:hAnsi="Times New Roman" w:cs="Times New Roman"/>
          <w:sz w:val="24"/>
          <w:szCs w:val="24"/>
        </w:rPr>
        <w:t xml:space="preserve">tych </w:t>
      </w:r>
      <w:r w:rsidRPr="00406A62">
        <w:rPr>
          <w:rFonts w:ascii="Times New Roman" w:hAnsi="Times New Roman" w:cs="Times New Roman"/>
          <w:sz w:val="24"/>
          <w:szCs w:val="24"/>
        </w:rPr>
        <w:t>wnioskiem o wydanie tej decyzji na adres wskazany w katastrze nieruchomości, Prezes</w:t>
      </w:r>
      <w:r w:rsidR="002B10ED" w:rsidRPr="00406A62">
        <w:rPr>
          <w:rFonts w:ascii="Times New Roman" w:hAnsi="Times New Roman" w:cs="Times New Roman"/>
          <w:sz w:val="24"/>
          <w:szCs w:val="24"/>
        </w:rPr>
        <w:t>a</w:t>
      </w:r>
      <w:r w:rsidRPr="00406A62">
        <w:rPr>
          <w:rFonts w:ascii="Times New Roman" w:hAnsi="Times New Roman" w:cs="Times New Roman"/>
          <w:sz w:val="24"/>
          <w:szCs w:val="24"/>
        </w:rPr>
        <w:t xml:space="preserve"> Urzędu Transportu Kolejowego oraz właściw</w:t>
      </w:r>
      <w:r w:rsidR="002B10ED" w:rsidRPr="00406A62">
        <w:rPr>
          <w:rFonts w:ascii="Times New Roman" w:hAnsi="Times New Roman" w:cs="Times New Roman"/>
          <w:sz w:val="24"/>
          <w:szCs w:val="24"/>
        </w:rPr>
        <w:t>ych</w:t>
      </w:r>
      <w:r w:rsidRPr="00406A62">
        <w:rPr>
          <w:rFonts w:ascii="Times New Roman" w:hAnsi="Times New Roman" w:cs="Times New Roman"/>
          <w:sz w:val="24"/>
          <w:szCs w:val="24"/>
        </w:rPr>
        <w:t xml:space="preserve"> organ</w:t>
      </w:r>
      <w:r w:rsidR="002B10ED" w:rsidRPr="00406A62">
        <w:rPr>
          <w:rFonts w:ascii="Times New Roman" w:hAnsi="Times New Roman" w:cs="Times New Roman"/>
          <w:sz w:val="24"/>
          <w:szCs w:val="24"/>
        </w:rPr>
        <w:t>ów</w:t>
      </w:r>
      <w:r w:rsidRPr="00406A62">
        <w:rPr>
          <w:rFonts w:ascii="Times New Roman" w:hAnsi="Times New Roman" w:cs="Times New Roman"/>
          <w:sz w:val="24"/>
          <w:szCs w:val="24"/>
        </w:rPr>
        <w:t xml:space="preserve"> ochrony zabytków. </w:t>
      </w:r>
      <w:r w:rsidR="002B10ED" w:rsidRPr="00406A62">
        <w:rPr>
          <w:rFonts w:ascii="Times New Roman" w:hAnsi="Times New Roman" w:cs="Times New Roman"/>
          <w:sz w:val="24"/>
          <w:szCs w:val="24"/>
        </w:rPr>
        <w:t>D</w:t>
      </w:r>
      <w:r w:rsidR="00BE5E3C" w:rsidRPr="00406A62">
        <w:rPr>
          <w:rFonts w:ascii="Times New Roman" w:hAnsi="Times New Roman" w:cs="Times New Roman"/>
          <w:sz w:val="24"/>
          <w:szCs w:val="24"/>
        </w:rPr>
        <w:t xml:space="preserve">oręczenie zawiadomienia na adres wskazany w katastrze nieruchomości uważa się za skuteczne. </w:t>
      </w:r>
      <w:r w:rsidRPr="00406A62">
        <w:rPr>
          <w:rFonts w:ascii="Times New Roman" w:hAnsi="Times New Roman" w:cs="Times New Roman"/>
          <w:sz w:val="24"/>
          <w:szCs w:val="24"/>
        </w:rPr>
        <w:t>P</w:t>
      </w:r>
      <w:r w:rsidR="00BE5E3C" w:rsidRPr="00406A62">
        <w:rPr>
          <w:rFonts w:ascii="Times New Roman" w:hAnsi="Times New Roman" w:cs="Times New Roman"/>
          <w:sz w:val="24"/>
          <w:szCs w:val="24"/>
        </w:rPr>
        <w:t>onadto p</w:t>
      </w:r>
      <w:r w:rsidRPr="00406A62">
        <w:rPr>
          <w:rFonts w:ascii="Times New Roman" w:hAnsi="Times New Roman" w:cs="Times New Roman"/>
          <w:sz w:val="24"/>
          <w:szCs w:val="24"/>
        </w:rPr>
        <w:t xml:space="preserve">ozostałe strony postępowania są zawiadamiane </w:t>
      </w:r>
      <w:r w:rsidR="00BE5E3C" w:rsidRPr="00406A62">
        <w:rPr>
          <w:rFonts w:ascii="Times New Roman" w:hAnsi="Times New Roman" w:cs="Times New Roman"/>
          <w:sz w:val="24"/>
          <w:szCs w:val="24"/>
        </w:rPr>
        <w:t xml:space="preserve">o postępowaniu </w:t>
      </w:r>
      <w:r w:rsidRPr="00406A62">
        <w:rPr>
          <w:rFonts w:ascii="Times New Roman" w:hAnsi="Times New Roman" w:cs="Times New Roman"/>
          <w:sz w:val="24"/>
          <w:szCs w:val="24"/>
        </w:rPr>
        <w:t>w drodze obwieszczeń w</w:t>
      </w:r>
      <w:r w:rsidR="00FE02C3">
        <w:rPr>
          <w:rFonts w:ascii="Times New Roman" w:hAnsi="Times New Roman" w:cs="Times New Roman"/>
          <w:sz w:val="24"/>
          <w:szCs w:val="24"/>
        </w:rPr>
        <w:t xml:space="preserve"> </w:t>
      </w:r>
      <w:r w:rsidRPr="00406A62">
        <w:rPr>
          <w:rFonts w:ascii="Times New Roman" w:hAnsi="Times New Roman" w:cs="Times New Roman"/>
          <w:sz w:val="24"/>
          <w:szCs w:val="24"/>
        </w:rPr>
        <w:t>urzędzie wojewódzkim i urzędach gmin właściwych ze względu na przebieg linii kolejowej, na stronach internetowych tych gmin oraz urzędu wojewódzkiego, a także w prasie lokalnej.</w:t>
      </w:r>
    </w:p>
    <w:p w14:paraId="3AD34ABF" w14:textId="4C5A225C"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Jednocześnie przepis wskazuje, że w przypadku otrzymania przedmiotowego zawiadomienia przez właściwy organ ochrony zabytków, wszczęcie nowych postępowań w </w:t>
      </w:r>
      <w:r w:rsidR="00021C53" w:rsidRPr="00406A62">
        <w:rPr>
          <w:rFonts w:ascii="Times New Roman" w:hAnsi="Times New Roman" w:cs="Times New Roman"/>
          <w:sz w:val="24"/>
          <w:szCs w:val="24"/>
        </w:rPr>
        <w:t xml:space="preserve">sprawie </w:t>
      </w:r>
      <w:r w:rsidRPr="00406A62">
        <w:rPr>
          <w:rFonts w:ascii="Times New Roman" w:hAnsi="Times New Roman" w:cs="Times New Roman"/>
          <w:sz w:val="24"/>
          <w:szCs w:val="24"/>
        </w:rPr>
        <w:t>wpisu do ewidencji zabytków lub wpisu do rejestru zabytków może nastąpić po uzyskaniu przez inwestora decyzji o</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pozwoleniu na użytkowanie.</w:t>
      </w:r>
    </w:p>
    <w:p w14:paraId="56E7560E" w14:textId="0D850E19"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Zaznaczyć należy, że zgodnie z art. 9o ust. 3 pkt 4 lit. f ustawy z dnia 28 marca 2003 r. o transporcie kolejowym do wniosku o wydanie decyzji o ustaleniu lokalizacji linii kolejowej dołącza się opinię wojewódzkiego konserwatora zabytków. W przypadku</w:t>
      </w:r>
      <w:r w:rsidR="00E378C1">
        <w:rPr>
          <w:rFonts w:ascii="Times New Roman" w:hAnsi="Times New Roman" w:cs="Times New Roman"/>
          <w:sz w:val="24"/>
          <w:szCs w:val="24"/>
        </w:rPr>
        <w:t>,</w:t>
      </w:r>
      <w:r w:rsidRPr="00406A62">
        <w:rPr>
          <w:rFonts w:ascii="Times New Roman" w:hAnsi="Times New Roman" w:cs="Times New Roman"/>
          <w:sz w:val="24"/>
          <w:szCs w:val="24"/>
        </w:rPr>
        <w:t xml:space="preserve"> gdy zgodnie z opinią konserwatora obiekt nie spełnia kryteriów do objęcia ochroną jako zabytek, podejmowanie postępowania o wpisanie obiektu do rejestru zabytków nie powinno mieć miejsca w trakcie postępowania o wydanie decyzji o ustaleniu lokalizacji linii kolejowej.</w:t>
      </w:r>
    </w:p>
    <w:p w14:paraId="03DD3AAB" w14:textId="447A9DFD" w:rsidR="00355635" w:rsidRPr="00406A62" w:rsidRDefault="003415E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Mimo powyższego w</w:t>
      </w:r>
      <w:r w:rsidR="00355635" w:rsidRPr="00406A62">
        <w:rPr>
          <w:rFonts w:ascii="Times New Roman" w:hAnsi="Times New Roman" w:cs="Times New Roman"/>
          <w:sz w:val="24"/>
          <w:szCs w:val="24"/>
        </w:rPr>
        <w:t xml:space="preserve">szczynanie postępowań w przedmiocie wpisu do ewidencji zabytków lub wpisu do rejestru zabytków podczas toczących się postępowań w przedmiocie wydania decyzji </w:t>
      </w:r>
      <w:r w:rsidR="00355635" w:rsidRPr="00406A62">
        <w:rPr>
          <w:rFonts w:ascii="Times New Roman" w:hAnsi="Times New Roman" w:cs="Times New Roman"/>
          <w:sz w:val="24"/>
          <w:szCs w:val="24"/>
        </w:rPr>
        <w:lastRenderedPageBreak/>
        <w:t>o ustaleniu lokalizacji linii kolejowej wpływa negatywnie na możliwość realizacji inwestycji celu publicznego i</w:t>
      </w:r>
      <w:r w:rsidR="00BD3B0C" w:rsidRPr="00406A62">
        <w:rPr>
          <w:rFonts w:ascii="Times New Roman" w:hAnsi="Times New Roman" w:cs="Times New Roman"/>
          <w:sz w:val="24"/>
          <w:szCs w:val="24"/>
        </w:rPr>
        <w:t> </w:t>
      </w:r>
      <w:r w:rsidR="00355635" w:rsidRPr="00406A62">
        <w:rPr>
          <w:rFonts w:ascii="Times New Roman" w:hAnsi="Times New Roman" w:cs="Times New Roman"/>
          <w:sz w:val="24"/>
          <w:szCs w:val="24"/>
        </w:rPr>
        <w:t>wpływa istotnie na proces prowadzenia inwestycji.</w:t>
      </w:r>
    </w:p>
    <w:p w14:paraId="592074F5" w14:textId="6E68F4DB"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odniesieniu do obiektów kolejowych, które mają wartość historyczną, walory zabytkowe i</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kwalifikują się do objęcia ochroną jako zabytek</w:t>
      </w:r>
      <w:r w:rsidR="003415E3" w:rsidRPr="00406A62">
        <w:rPr>
          <w:rFonts w:ascii="Times New Roman" w:hAnsi="Times New Roman" w:cs="Times New Roman"/>
          <w:sz w:val="24"/>
          <w:szCs w:val="24"/>
        </w:rPr>
        <w:t>,</w:t>
      </w:r>
      <w:r w:rsidRPr="00406A62">
        <w:rPr>
          <w:rFonts w:ascii="Times New Roman" w:hAnsi="Times New Roman" w:cs="Times New Roman"/>
          <w:sz w:val="24"/>
          <w:szCs w:val="24"/>
        </w:rPr>
        <w:t xml:space="preserve"> ich ochrona powinna być podejmowana, zgodnie z</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ustawą z dnia 23 lipca 2003 r. o ochronie zabytków i opiece nad zabytkami przez organy właściwe w</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sprawach ochrony zabytków, ale przed rozpoczęciem inwestycji celu publicznego dotyczącej linii kolejowej.</w:t>
      </w:r>
    </w:p>
    <w:p w14:paraId="4D33B5BE" w14:textId="77777777"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Takie podejście ma o tyle istotne znaczenie, że wszczęcie postępowania o wpisanie obiektu do rejestru zabytków skutecznie uniemożliwia prowadzenie jakichkolwiek prac przy zabytku (chociaż nie wstrzymuje procedur administracyjnych) przez bliżej nieokreślony czas do momentu wydania decyzji. Ponadto w wyniku wpisania obiektu do rejestru zabytków, może zaistnieć potrzeba opracowania zupełnie nowej koncepcji projektu na zaawansowanym etapie projektowania lub nowego projektu na etapie realizacji inwestycji.</w:t>
      </w:r>
    </w:p>
    <w:p w14:paraId="53D01296" w14:textId="4B22091B"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Biorąc pod uwagę powyższe (</w:t>
      </w:r>
      <w:r w:rsidR="003415E3" w:rsidRPr="00406A62">
        <w:rPr>
          <w:rFonts w:ascii="Times New Roman" w:hAnsi="Times New Roman" w:cs="Times New Roman"/>
          <w:sz w:val="24"/>
          <w:szCs w:val="24"/>
        </w:rPr>
        <w:t xml:space="preserve">pozyskiwana stosowana </w:t>
      </w:r>
      <w:r w:rsidRPr="00406A62">
        <w:rPr>
          <w:rFonts w:ascii="Times New Roman" w:hAnsi="Times New Roman" w:cs="Times New Roman"/>
          <w:sz w:val="24"/>
          <w:szCs w:val="24"/>
        </w:rPr>
        <w:t>opinia konserwatora dołączona do wniosku o</w:t>
      </w:r>
      <w:r w:rsidR="00BD3B0C" w:rsidRPr="00406A62">
        <w:rPr>
          <w:rFonts w:ascii="Times New Roman" w:hAnsi="Times New Roman" w:cs="Times New Roman"/>
          <w:sz w:val="24"/>
          <w:szCs w:val="24"/>
        </w:rPr>
        <w:t> </w:t>
      </w:r>
      <w:r w:rsidRPr="00406A62">
        <w:rPr>
          <w:rFonts w:ascii="Times New Roman" w:hAnsi="Times New Roman" w:cs="Times New Roman"/>
          <w:sz w:val="24"/>
          <w:szCs w:val="24"/>
        </w:rPr>
        <w:t>wydanie decyzji o ustaleniu lokalizacji linii kolejowej)</w:t>
      </w:r>
      <w:r w:rsidR="003A41AE">
        <w:rPr>
          <w:rFonts w:ascii="Times New Roman" w:hAnsi="Times New Roman" w:cs="Times New Roman"/>
          <w:sz w:val="24"/>
          <w:szCs w:val="24"/>
        </w:rPr>
        <w:t>,</w:t>
      </w:r>
      <w:r w:rsidRPr="00406A62">
        <w:rPr>
          <w:rFonts w:ascii="Times New Roman" w:hAnsi="Times New Roman" w:cs="Times New Roman"/>
          <w:sz w:val="24"/>
          <w:szCs w:val="24"/>
        </w:rPr>
        <w:t xml:space="preserve"> </w:t>
      </w:r>
      <w:r w:rsidR="00915969" w:rsidRPr="00406A62">
        <w:rPr>
          <w:rFonts w:ascii="Times New Roman" w:hAnsi="Times New Roman" w:cs="Times New Roman"/>
          <w:sz w:val="24"/>
          <w:szCs w:val="24"/>
        </w:rPr>
        <w:t xml:space="preserve">jest </w:t>
      </w:r>
      <w:r w:rsidRPr="00406A62">
        <w:rPr>
          <w:rFonts w:ascii="Times New Roman" w:hAnsi="Times New Roman" w:cs="Times New Roman"/>
          <w:sz w:val="24"/>
          <w:szCs w:val="24"/>
        </w:rPr>
        <w:t>zasadne, aby dla inwestycji kluczowych po zawiadomieniu o wszczęciu postępowania w sprawie o wydanie decyzji o ustaleniu lokalizacji linii kolejowej wykluczyć możliwość wszczęcia i prowadzenia postępowań o wpisanie obiektów nieruchomych objętych inwestycją do ewidencji zabytków lub rejestru zabytków. Pozwoli to uniknąć nieprzewidzianych opóźnień, roszczeń wykonawców, czy nawet w skrajnym przypadku konieczności całkowitego wycofania się z przedsięwzięcia z powodu braku możliwości przeprowadzenia inwestycji w planowanym zakresie.</w:t>
      </w:r>
    </w:p>
    <w:p w14:paraId="76A423D9" w14:textId="2F0BC2A3" w:rsidR="00D80425" w:rsidRPr="00406A62" w:rsidRDefault="00D80425"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17</w:t>
      </w:r>
      <w:r w:rsidR="00021C53" w:rsidRPr="00406A62">
        <w:rPr>
          <w:rFonts w:ascii="Times New Roman" w:hAnsi="Times New Roman" w:cs="Times New Roman"/>
          <w:bCs/>
          <w:sz w:val="24"/>
          <w:szCs w:val="24"/>
        </w:rPr>
        <w:t xml:space="preserve"> </w:t>
      </w:r>
      <w:r w:rsidRPr="00406A62">
        <w:rPr>
          <w:rFonts w:ascii="Times New Roman" w:hAnsi="Times New Roman" w:cs="Times New Roman"/>
          <w:sz w:val="24"/>
          <w:szCs w:val="24"/>
        </w:rPr>
        <w:t xml:space="preserve">wprowadza dodatkowe uproszczenie przepisów w ustawie z dnia 8 lipca 2010 r. o szczególnych zasadach przygotowania do realizacji inwestycji w zakresie budowli przeciwpowodziowych, w stosunku do kluczowych inwestycji </w:t>
      </w:r>
      <w:r w:rsidR="00A144A6" w:rsidRPr="00406A62">
        <w:rPr>
          <w:rFonts w:ascii="Times New Roman" w:hAnsi="Times New Roman" w:cs="Times New Roman"/>
          <w:sz w:val="24"/>
          <w:szCs w:val="24"/>
        </w:rPr>
        <w:t xml:space="preserve">infrastrukturalnych o charakterze </w:t>
      </w:r>
      <w:r w:rsidR="00C92AE6" w:rsidRPr="00406A62">
        <w:rPr>
          <w:rFonts w:ascii="Times New Roman" w:hAnsi="Times New Roman" w:cs="Times New Roman"/>
          <w:sz w:val="24"/>
          <w:szCs w:val="24"/>
        </w:rPr>
        <w:t>przeciwpowodziowym</w:t>
      </w:r>
      <w:r w:rsidRPr="00406A62">
        <w:rPr>
          <w:rFonts w:ascii="Times New Roman" w:hAnsi="Times New Roman" w:cs="Times New Roman"/>
          <w:sz w:val="24"/>
          <w:szCs w:val="24"/>
        </w:rPr>
        <w:t>. Proponuje się skrócenie terminu wydania decyzji o zezwoleniu na realizację inwestycji przeciwpowodziowej z 90 do 60 dni od dni</w:t>
      </w:r>
      <w:r w:rsidR="00C31DB8" w:rsidRPr="00406A62">
        <w:rPr>
          <w:rFonts w:ascii="Times New Roman" w:hAnsi="Times New Roman" w:cs="Times New Roman"/>
          <w:sz w:val="24"/>
          <w:szCs w:val="24"/>
        </w:rPr>
        <w:t>a</w:t>
      </w:r>
      <w:r w:rsidRPr="00406A62">
        <w:rPr>
          <w:rFonts w:ascii="Times New Roman" w:hAnsi="Times New Roman" w:cs="Times New Roman"/>
          <w:sz w:val="24"/>
          <w:szCs w:val="24"/>
        </w:rPr>
        <w:t xml:space="preserve"> złożenia wniosku o wydanie takiej decyzji. Skrócenie terminu wpłynie na szybsze rozpoczęcie realizacji inwestycji.</w:t>
      </w:r>
      <w:r w:rsidR="00DC2AC0" w:rsidRPr="00406A62">
        <w:rPr>
          <w:rFonts w:ascii="Times New Roman" w:hAnsi="Times New Roman" w:cs="Times New Roman"/>
          <w:sz w:val="24"/>
          <w:szCs w:val="24"/>
        </w:rPr>
        <w:t xml:space="preserve"> Ponadto przepis wyłącza stosowanie art. 21 ust. 10 pkt 3 ustawy z dnia 8 lipca 2010</w:t>
      </w:r>
      <w:r w:rsidR="00940033">
        <w:rPr>
          <w:rFonts w:ascii="Times New Roman" w:hAnsi="Times New Roman" w:cs="Times New Roman"/>
          <w:sz w:val="24"/>
          <w:szCs w:val="24"/>
        </w:rPr>
        <w:t> </w:t>
      </w:r>
      <w:r w:rsidR="00DC2AC0" w:rsidRPr="00406A62">
        <w:rPr>
          <w:rFonts w:ascii="Times New Roman" w:hAnsi="Times New Roman" w:cs="Times New Roman"/>
          <w:sz w:val="24"/>
          <w:szCs w:val="24"/>
        </w:rPr>
        <w:t xml:space="preserve">r. o szczególnych zasadach przygotowania do realizacji inwestycji w zakresie budowli przeciwpowodziowych, w zakresie </w:t>
      </w:r>
      <w:r w:rsidR="00994783" w:rsidRPr="00406A62">
        <w:rPr>
          <w:rFonts w:ascii="Times New Roman" w:hAnsi="Times New Roman" w:cs="Times New Roman"/>
          <w:sz w:val="24"/>
          <w:szCs w:val="24"/>
        </w:rPr>
        <w:t>obowiązku zapewnienia nieruchomości zamiennych na odtworzenie rodzinnego ogrodu działkowego.</w:t>
      </w:r>
    </w:p>
    <w:p w14:paraId="12003332" w14:textId="58603862" w:rsidR="001B1B48" w:rsidRPr="00406A62" w:rsidRDefault="000126EA"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lastRenderedPageBreak/>
        <w:t xml:space="preserve">Art. </w:t>
      </w:r>
      <w:r w:rsidR="00021C53" w:rsidRPr="00406A62">
        <w:rPr>
          <w:rFonts w:ascii="Times New Roman" w:hAnsi="Times New Roman" w:cs="Times New Roman"/>
          <w:b/>
          <w:sz w:val="24"/>
          <w:szCs w:val="24"/>
        </w:rPr>
        <w:t>18</w:t>
      </w:r>
      <w:r w:rsidR="00021C53" w:rsidRPr="00406A62">
        <w:rPr>
          <w:rFonts w:ascii="Times New Roman" w:hAnsi="Times New Roman" w:cs="Times New Roman"/>
          <w:sz w:val="24"/>
          <w:szCs w:val="24"/>
        </w:rPr>
        <w:t xml:space="preserve"> </w:t>
      </w:r>
      <w:r w:rsidR="00922451" w:rsidRPr="00406A62">
        <w:rPr>
          <w:rFonts w:ascii="Times New Roman" w:hAnsi="Times New Roman" w:cs="Times New Roman"/>
          <w:sz w:val="24"/>
          <w:szCs w:val="24"/>
        </w:rPr>
        <w:t>wprowadza dodatkowe uproszczenia</w:t>
      </w:r>
      <w:r w:rsidR="00814AC5" w:rsidRPr="00406A62">
        <w:rPr>
          <w:rFonts w:ascii="Times New Roman" w:hAnsi="Times New Roman" w:cs="Times New Roman"/>
          <w:sz w:val="24"/>
          <w:szCs w:val="24"/>
        </w:rPr>
        <w:t xml:space="preserve"> w odniesieniu do</w:t>
      </w:r>
      <w:r w:rsidR="00922451" w:rsidRPr="00406A62">
        <w:rPr>
          <w:rFonts w:ascii="Times New Roman" w:hAnsi="Times New Roman" w:cs="Times New Roman"/>
          <w:sz w:val="24"/>
          <w:szCs w:val="24"/>
        </w:rPr>
        <w:t xml:space="preserve"> przepisów</w:t>
      </w:r>
      <w:r w:rsidR="003D16D8" w:rsidRPr="00406A62">
        <w:rPr>
          <w:rFonts w:ascii="Times New Roman" w:hAnsi="Times New Roman" w:cs="Times New Roman"/>
          <w:sz w:val="24"/>
          <w:szCs w:val="24"/>
        </w:rPr>
        <w:t xml:space="preserve"> </w:t>
      </w:r>
      <w:r w:rsidR="00814AC5" w:rsidRPr="00406A62">
        <w:rPr>
          <w:rFonts w:ascii="Times New Roman" w:hAnsi="Times New Roman" w:cs="Times New Roman"/>
          <w:sz w:val="24"/>
          <w:szCs w:val="24"/>
        </w:rPr>
        <w:t>ustawy</w:t>
      </w:r>
      <w:r w:rsidR="00922451" w:rsidRPr="00406A62">
        <w:rPr>
          <w:rFonts w:ascii="Times New Roman" w:hAnsi="Times New Roman" w:cs="Times New Roman"/>
          <w:sz w:val="24"/>
          <w:szCs w:val="24"/>
        </w:rPr>
        <w:t xml:space="preserve"> z dnia 12</w:t>
      </w:r>
      <w:r w:rsidR="00BC5002">
        <w:rPr>
          <w:rFonts w:ascii="Times New Roman" w:hAnsi="Times New Roman" w:cs="Times New Roman"/>
          <w:sz w:val="24"/>
          <w:szCs w:val="24"/>
        </w:rPr>
        <w:t> </w:t>
      </w:r>
      <w:r w:rsidR="00922451" w:rsidRPr="00406A62">
        <w:rPr>
          <w:rFonts w:ascii="Times New Roman" w:hAnsi="Times New Roman" w:cs="Times New Roman"/>
          <w:sz w:val="24"/>
          <w:szCs w:val="24"/>
        </w:rPr>
        <w:t xml:space="preserve">lutego 2009 r. o szczególnych zasadach przygotowania i realizacji inwestycji w zakresie lotnisk użytku publicznego, w stosunku do kluczowych inwestycji </w:t>
      </w:r>
      <w:r w:rsidR="00897526" w:rsidRPr="00406A62">
        <w:rPr>
          <w:rFonts w:ascii="Times New Roman" w:hAnsi="Times New Roman" w:cs="Times New Roman"/>
          <w:sz w:val="24"/>
          <w:szCs w:val="24"/>
        </w:rPr>
        <w:t xml:space="preserve">infrastrukturalnych w infrastrukturę </w:t>
      </w:r>
      <w:r w:rsidR="00922451" w:rsidRPr="00406A62">
        <w:rPr>
          <w:rFonts w:ascii="Times New Roman" w:hAnsi="Times New Roman" w:cs="Times New Roman"/>
          <w:sz w:val="24"/>
          <w:szCs w:val="24"/>
        </w:rPr>
        <w:t>lotniskow</w:t>
      </w:r>
      <w:r w:rsidR="00897526" w:rsidRPr="00406A62">
        <w:rPr>
          <w:rFonts w:ascii="Times New Roman" w:hAnsi="Times New Roman" w:cs="Times New Roman"/>
          <w:sz w:val="24"/>
          <w:szCs w:val="24"/>
        </w:rPr>
        <w:t>ą</w:t>
      </w:r>
      <w:r w:rsidR="00922451" w:rsidRPr="00406A62">
        <w:rPr>
          <w:rFonts w:ascii="Times New Roman" w:hAnsi="Times New Roman" w:cs="Times New Roman"/>
          <w:sz w:val="24"/>
          <w:szCs w:val="24"/>
        </w:rPr>
        <w:t>.</w:t>
      </w:r>
    </w:p>
    <w:p w14:paraId="2CB8C647" w14:textId="3AD9F3F2" w:rsidR="00994783" w:rsidRPr="00406A62" w:rsidRDefault="00922451"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w:t>
      </w:r>
      <w:r w:rsidR="00994783" w:rsidRPr="00406A62">
        <w:rPr>
          <w:rFonts w:ascii="Times New Roman" w:hAnsi="Times New Roman" w:cs="Times New Roman"/>
          <w:sz w:val="24"/>
          <w:szCs w:val="24"/>
        </w:rPr>
        <w:t xml:space="preserve">rzepisy </w:t>
      </w:r>
      <w:r w:rsidR="0098150B" w:rsidRPr="00406A62">
        <w:rPr>
          <w:rFonts w:ascii="Times New Roman" w:hAnsi="Times New Roman" w:cs="Times New Roman"/>
          <w:sz w:val="24"/>
          <w:szCs w:val="24"/>
        </w:rPr>
        <w:t xml:space="preserve">art. </w:t>
      </w:r>
      <w:r w:rsidR="00D31109" w:rsidRPr="00406A62">
        <w:rPr>
          <w:rFonts w:ascii="Times New Roman" w:hAnsi="Times New Roman" w:cs="Times New Roman"/>
          <w:sz w:val="24"/>
          <w:szCs w:val="24"/>
        </w:rPr>
        <w:t xml:space="preserve">18 </w:t>
      </w:r>
      <w:r w:rsidRPr="00406A62">
        <w:rPr>
          <w:rFonts w:ascii="Times New Roman" w:hAnsi="Times New Roman" w:cs="Times New Roman"/>
          <w:sz w:val="24"/>
          <w:szCs w:val="24"/>
        </w:rPr>
        <w:t>skr</w:t>
      </w:r>
      <w:r w:rsidR="00994783" w:rsidRPr="00406A62">
        <w:rPr>
          <w:rFonts w:ascii="Times New Roman" w:hAnsi="Times New Roman" w:cs="Times New Roman"/>
          <w:sz w:val="24"/>
          <w:szCs w:val="24"/>
        </w:rPr>
        <w:t>acają:</w:t>
      </w:r>
    </w:p>
    <w:p w14:paraId="479B65B6" w14:textId="50A86108" w:rsidR="001B1B48" w:rsidRPr="00406A62" w:rsidRDefault="00922451" w:rsidP="00406A62">
      <w:pPr>
        <w:pStyle w:val="Akapitzlist"/>
        <w:numPr>
          <w:ilvl w:val="0"/>
          <w:numId w:val="44"/>
        </w:numPr>
        <w:spacing w:after="0" w:line="360" w:lineRule="auto"/>
        <w:ind w:left="771" w:hanging="357"/>
        <w:contextualSpacing w:val="0"/>
        <w:jc w:val="both"/>
        <w:rPr>
          <w:rFonts w:ascii="Times New Roman" w:hAnsi="Times New Roman" w:cs="Times New Roman"/>
          <w:sz w:val="24"/>
          <w:szCs w:val="24"/>
        </w:rPr>
      </w:pPr>
      <w:r w:rsidRPr="00406A62">
        <w:rPr>
          <w:rFonts w:ascii="Times New Roman" w:hAnsi="Times New Roman" w:cs="Times New Roman"/>
          <w:sz w:val="24"/>
          <w:szCs w:val="24"/>
        </w:rPr>
        <w:t xml:space="preserve">termin wydania decyzji o zezwoleniu na realizację </w:t>
      </w:r>
      <w:r w:rsidR="003D16D8" w:rsidRPr="00406A62">
        <w:rPr>
          <w:rFonts w:ascii="Times New Roman" w:hAnsi="Times New Roman" w:cs="Times New Roman"/>
          <w:sz w:val="24"/>
          <w:szCs w:val="24"/>
        </w:rPr>
        <w:t xml:space="preserve">inwestycji w zakresie lotniska użytku publicznego </w:t>
      </w:r>
      <w:r w:rsidRPr="00406A62">
        <w:rPr>
          <w:rFonts w:ascii="Times New Roman" w:hAnsi="Times New Roman" w:cs="Times New Roman"/>
          <w:sz w:val="24"/>
          <w:szCs w:val="24"/>
        </w:rPr>
        <w:t>z 90</w:t>
      </w:r>
      <w:r w:rsidR="006B1E7F" w:rsidRPr="00406A62">
        <w:rPr>
          <w:rFonts w:ascii="Times New Roman" w:hAnsi="Times New Roman" w:cs="Times New Roman"/>
          <w:sz w:val="24"/>
          <w:szCs w:val="24"/>
        </w:rPr>
        <w:t xml:space="preserve"> dni</w:t>
      </w:r>
      <w:r w:rsidRPr="00406A62">
        <w:rPr>
          <w:rFonts w:ascii="Times New Roman" w:hAnsi="Times New Roman" w:cs="Times New Roman"/>
          <w:sz w:val="24"/>
          <w:szCs w:val="24"/>
        </w:rPr>
        <w:t xml:space="preserve"> do 60 dni od dni</w:t>
      </w:r>
      <w:r w:rsidR="00C545B7" w:rsidRPr="00406A62">
        <w:rPr>
          <w:rFonts w:ascii="Times New Roman" w:hAnsi="Times New Roman" w:cs="Times New Roman"/>
          <w:sz w:val="24"/>
          <w:szCs w:val="24"/>
        </w:rPr>
        <w:t>a</w:t>
      </w:r>
      <w:r w:rsidRPr="00406A62">
        <w:rPr>
          <w:rFonts w:ascii="Times New Roman" w:hAnsi="Times New Roman" w:cs="Times New Roman"/>
          <w:sz w:val="24"/>
          <w:szCs w:val="24"/>
        </w:rPr>
        <w:t xml:space="preserve"> złożenia wniosku o wydanie takiej decyzji</w:t>
      </w:r>
      <w:r w:rsidR="00994783" w:rsidRPr="00406A62">
        <w:rPr>
          <w:rFonts w:ascii="Times New Roman" w:hAnsi="Times New Roman" w:cs="Times New Roman"/>
          <w:sz w:val="24"/>
          <w:szCs w:val="24"/>
        </w:rPr>
        <w:t>,</w:t>
      </w:r>
    </w:p>
    <w:p w14:paraId="2CC57017" w14:textId="77777777" w:rsidR="00021C53" w:rsidRPr="00406A62" w:rsidRDefault="00021C53" w:rsidP="00406A62">
      <w:pPr>
        <w:pStyle w:val="Akapitzlist"/>
        <w:numPr>
          <w:ilvl w:val="0"/>
          <w:numId w:val="44"/>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termin z 14 do 7 dni, od dnia zwrócenia się przez wnioskodawcę, o wyrażenie opinii przez właściwych miejscowo zarząd województwa, zarząd powiatu oraz wójta (burmistrza, prezydenta miasta),</w:t>
      </w:r>
    </w:p>
    <w:p w14:paraId="7C23DBE1" w14:textId="37FA81A0" w:rsidR="00021C53" w:rsidRPr="00406A62" w:rsidRDefault="00021C53" w:rsidP="00406A62">
      <w:pPr>
        <w:pStyle w:val="Akapitzlist"/>
        <w:numPr>
          <w:ilvl w:val="0"/>
          <w:numId w:val="44"/>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termin z 30 do 14 dni, od dnia otrzymania wniosku, o wydanie opinii przez podmioty wskazane w art. 6 ust. 1 pkt 9 ustawy o szczególnych zasadach przygotowania i realizacji inwestycji w zakresie lotnisk użytku publicznego, w zakresie wydania decyzji o zezwoleniu na realizację inwestycji w zakresie lotniska użytku publicznego,</w:t>
      </w:r>
    </w:p>
    <w:p w14:paraId="2F99E1BE" w14:textId="55CEDDE7" w:rsidR="001B1B48" w:rsidRPr="00406A62" w:rsidRDefault="006B1E7F" w:rsidP="00406A62">
      <w:pPr>
        <w:pStyle w:val="Akapitzlist"/>
        <w:numPr>
          <w:ilvl w:val="0"/>
          <w:numId w:val="44"/>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termin z </w:t>
      </w:r>
      <w:r w:rsidR="003D16D8" w:rsidRPr="00406A62">
        <w:rPr>
          <w:rFonts w:ascii="Times New Roman" w:hAnsi="Times New Roman" w:cs="Times New Roman"/>
          <w:sz w:val="24"/>
          <w:szCs w:val="24"/>
        </w:rPr>
        <w:t xml:space="preserve">95 </w:t>
      </w:r>
      <w:r w:rsidRPr="00406A62">
        <w:rPr>
          <w:rFonts w:ascii="Times New Roman" w:hAnsi="Times New Roman" w:cs="Times New Roman"/>
          <w:sz w:val="24"/>
          <w:szCs w:val="24"/>
        </w:rPr>
        <w:t xml:space="preserve">dni </w:t>
      </w:r>
      <w:r w:rsidR="003D16D8" w:rsidRPr="00406A62">
        <w:rPr>
          <w:rFonts w:ascii="Times New Roman" w:hAnsi="Times New Roman" w:cs="Times New Roman"/>
          <w:sz w:val="24"/>
          <w:szCs w:val="24"/>
        </w:rPr>
        <w:t xml:space="preserve">do 65 dni od dnia złożenia wniosku, po którym niewydanie </w:t>
      </w:r>
      <w:r w:rsidR="001B1B48" w:rsidRPr="00406A62">
        <w:rPr>
          <w:rFonts w:ascii="Times New Roman" w:hAnsi="Times New Roman" w:cs="Times New Roman"/>
          <w:sz w:val="24"/>
          <w:szCs w:val="24"/>
        </w:rPr>
        <w:t xml:space="preserve">ww. </w:t>
      </w:r>
      <w:r w:rsidR="003D16D8" w:rsidRPr="00406A62">
        <w:rPr>
          <w:rFonts w:ascii="Times New Roman" w:hAnsi="Times New Roman" w:cs="Times New Roman"/>
          <w:sz w:val="24"/>
          <w:szCs w:val="24"/>
        </w:rPr>
        <w:t>decyzji przez wojewodę skut</w:t>
      </w:r>
      <w:r w:rsidR="001B1B48" w:rsidRPr="00406A62">
        <w:rPr>
          <w:rFonts w:ascii="Times New Roman" w:hAnsi="Times New Roman" w:cs="Times New Roman"/>
          <w:sz w:val="24"/>
          <w:szCs w:val="24"/>
        </w:rPr>
        <w:t>k</w:t>
      </w:r>
      <w:r w:rsidR="003D16D8" w:rsidRPr="00406A62">
        <w:rPr>
          <w:rFonts w:ascii="Times New Roman" w:hAnsi="Times New Roman" w:cs="Times New Roman"/>
          <w:sz w:val="24"/>
          <w:szCs w:val="24"/>
        </w:rPr>
        <w:t>uje dla niego sankcjami w postaci kar pieniężnych w wysokości 500 zł za każdy dzień zwłoki</w:t>
      </w:r>
      <w:r w:rsidR="00994783" w:rsidRPr="00406A62">
        <w:rPr>
          <w:rFonts w:ascii="Times New Roman" w:hAnsi="Times New Roman" w:cs="Times New Roman"/>
          <w:sz w:val="24"/>
          <w:szCs w:val="24"/>
        </w:rPr>
        <w:t>,</w:t>
      </w:r>
    </w:p>
    <w:p w14:paraId="0822E5CF" w14:textId="4F4A92DE" w:rsidR="004A31B4" w:rsidRPr="00406A62" w:rsidRDefault="008B2910" w:rsidP="00406A62">
      <w:pPr>
        <w:pStyle w:val="Akapitzlist"/>
        <w:numPr>
          <w:ilvl w:val="0"/>
          <w:numId w:val="44"/>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termin z 45 do 30 dni od dnia otrzymania wniosku, do przeprowadzenia egzekucji obowiązku wynikającego z decyzji o zezwoleniu na realizację inwestycji w zakresie lotniska użytku publicznego</w:t>
      </w:r>
      <w:r w:rsidR="004A31B4" w:rsidRPr="00406A62">
        <w:rPr>
          <w:rFonts w:ascii="Times New Roman" w:hAnsi="Times New Roman" w:cs="Times New Roman"/>
          <w:sz w:val="24"/>
          <w:szCs w:val="24"/>
        </w:rPr>
        <w:t>.</w:t>
      </w:r>
    </w:p>
    <w:p w14:paraId="3DD6EC5F" w14:textId="77777777" w:rsidR="00390343" w:rsidRPr="00406A62" w:rsidRDefault="0039034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Dodatkowo przepis stanowi, że w przypadku inwestycji lotniskowej:</w:t>
      </w:r>
    </w:p>
    <w:p w14:paraId="7936DEDC" w14:textId="7E5FF020" w:rsidR="00390343" w:rsidRPr="00406A62" w:rsidRDefault="00390343" w:rsidP="00406A62">
      <w:pPr>
        <w:pStyle w:val="Akapitzlist"/>
        <w:numPr>
          <w:ilvl w:val="0"/>
          <w:numId w:val="43"/>
        </w:numPr>
        <w:spacing w:after="0" w:line="360" w:lineRule="auto"/>
        <w:ind w:left="760" w:hanging="357"/>
        <w:contextualSpacing w:val="0"/>
        <w:jc w:val="both"/>
        <w:rPr>
          <w:rFonts w:ascii="Times New Roman" w:hAnsi="Times New Roman" w:cs="Times New Roman"/>
          <w:sz w:val="24"/>
          <w:szCs w:val="24"/>
        </w:rPr>
      </w:pPr>
      <w:r w:rsidRPr="00406A62">
        <w:rPr>
          <w:rFonts w:ascii="Times New Roman" w:hAnsi="Times New Roman" w:cs="Times New Roman"/>
          <w:sz w:val="24"/>
          <w:szCs w:val="24"/>
        </w:rPr>
        <w:t>do wydawania postanowień, o których mowa w art. 63 ust. 1 ustawy z dnia 3</w:t>
      </w:r>
      <w:r w:rsidR="000D05A5">
        <w:rPr>
          <w:rFonts w:ascii="Times New Roman" w:hAnsi="Times New Roman" w:cs="Times New Roman"/>
          <w:sz w:val="24"/>
          <w:szCs w:val="24"/>
        </w:rPr>
        <w:t> </w:t>
      </w:r>
      <w:r w:rsidRPr="00406A62">
        <w:rPr>
          <w:rFonts w:ascii="Times New Roman" w:hAnsi="Times New Roman" w:cs="Times New Roman"/>
          <w:sz w:val="24"/>
          <w:szCs w:val="24"/>
        </w:rPr>
        <w:t>października 2008 r. o udostępnianiu informacji o środowisku i jego ochronie, udziale społeczeństwa w ochronie środowiska oraz o ocenach oddziaływania na środowisko,</w:t>
      </w:r>
    </w:p>
    <w:p w14:paraId="4910A2C5" w14:textId="3A1B6E51" w:rsidR="00390343" w:rsidRPr="00406A62" w:rsidRDefault="00390343" w:rsidP="00406A62">
      <w:pPr>
        <w:pStyle w:val="Akapitzlist"/>
        <w:numPr>
          <w:ilvl w:val="0"/>
          <w:numId w:val="43"/>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do wydawania opinii i dokonywania uzgodnień, o których mowa w </w:t>
      </w:r>
      <w:r w:rsidR="007C6934" w:rsidRPr="00406A62">
        <w:rPr>
          <w:rFonts w:ascii="Times New Roman" w:hAnsi="Times New Roman" w:cs="Times New Roman"/>
          <w:sz w:val="24"/>
          <w:szCs w:val="24"/>
        </w:rPr>
        <w:t xml:space="preserve">art. </w:t>
      </w:r>
      <w:r w:rsidRPr="00406A62">
        <w:rPr>
          <w:rFonts w:ascii="Times New Roman" w:hAnsi="Times New Roman" w:cs="Times New Roman"/>
          <w:sz w:val="24"/>
          <w:szCs w:val="24"/>
        </w:rPr>
        <w:t xml:space="preserve">64 ust. 1–1d </w:t>
      </w:r>
      <w:r w:rsidR="004E0D08" w:rsidRPr="00406A62">
        <w:rPr>
          <w:rFonts w:ascii="Times New Roman" w:hAnsi="Times New Roman" w:cs="Times New Roman"/>
          <w:sz w:val="24"/>
          <w:szCs w:val="24"/>
        </w:rPr>
        <w:t xml:space="preserve">ww. </w:t>
      </w:r>
      <w:r w:rsidRPr="00406A62">
        <w:rPr>
          <w:rFonts w:ascii="Times New Roman" w:hAnsi="Times New Roman" w:cs="Times New Roman"/>
          <w:sz w:val="24"/>
          <w:szCs w:val="24"/>
        </w:rPr>
        <w:t>ustawy,</w:t>
      </w:r>
    </w:p>
    <w:p w14:paraId="1E413B5B" w14:textId="77777777" w:rsidR="00390343" w:rsidRPr="00406A62" w:rsidRDefault="00390343" w:rsidP="00406A62">
      <w:pPr>
        <w:pStyle w:val="Akapitzlist"/>
        <w:numPr>
          <w:ilvl w:val="0"/>
          <w:numId w:val="43"/>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do dokonywania uzgodnień oraz wydawania opinii, o których mowa w art. 77 ust. 1 </w:t>
      </w:r>
      <w:r w:rsidR="004E0D08" w:rsidRPr="00406A62">
        <w:rPr>
          <w:rFonts w:ascii="Times New Roman" w:hAnsi="Times New Roman" w:cs="Times New Roman"/>
          <w:sz w:val="24"/>
          <w:szCs w:val="24"/>
        </w:rPr>
        <w:t xml:space="preserve">ww. </w:t>
      </w:r>
      <w:r w:rsidRPr="00406A62">
        <w:rPr>
          <w:rFonts w:ascii="Times New Roman" w:hAnsi="Times New Roman" w:cs="Times New Roman"/>
          <w:sz w:val="24"/>
          <w:szCs w:val="24"/>
        </w:rPr>
        <w:t>ustawy,</w:t>
      </w:r>
    </w:p>
    <w:p w14:paraId="478ED917" w14:textId="418BE460" w:rsidR="0098150B" w:rsidRPr="00406A62" w:rsidRDefault="00DD053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przepisy </w:t>
      </w:r>
      <w:r w:rsidR="0098150B" w:rsidRPr="00406A62">
        <w:rPr>
          <w:rFonts w:ascii="Times New Roman" w:hAnsi="Times New Roman" w:cs="Times New Roman"/>
          <w:sz w:val="24"/>
          <w:szCs w:val="24"/>
        </w:rPr>
        <w:t xml:space="preserve">art. 36 </w:t>
      </w:r>
      <w:r w:rsidRPr="00406A62">
        <w:rPr>
          <w:rFonts w:ascii="Times New Roman" w:hAnsi="Times New Roman" w:cs="Times New Roman"/>
          <w:sz w:val="24"/>
          <w:szCs w:val="24"/>
        </w:rPr>
        <w:t xml:space="preserve">§ 1 </w:t>
      </w:r>
      <w:r w:rsidR="0098150B" w:rsidRPr="00406A62">
        <w:rPr>
          <w:rFonts w:ascii="Times New Roman" w:hAnsi="Times New Roman" w:cs="Times New Roman"/>
          <w:sz w:val="24"/>
          <w:szCs w:val="24"/>
        </w:rPr>
        <w:t xml:space="preserve">ustawy z dnia 14 czerwca 1960 r. – Kodeks postępowania administracyjnego </w:t>
      </w:r>
      <w:r w:rsidRPr="00406A62">
        <w:rPr>
          <w:rFonts w:ascii="Times New Roman" w:hAnsi="Times New Roman" w:cs="Times New Roman"/>
          <w:sz w:val="24"/>
          <w:szCs w:val="24"/>
        </w:rPr>
        <w:t>stosuje się</w:t>
      </w:r>
      <w:r w:rsidR="000D05A5">
        <w:rPr>
          <w:rFonts w:ascii="Times New Roman" w:hAnsi="Times New Roman" w:cs="Times New Roman"/>
          <w:sz w:val="24"/>
          <w:szCs w:val="24"/>
        </w:rPr>
        <w:t>,</w:t>
      </w:r>
      <w:r w:rsidRPr="00406A62">
        <w:rPr>
          <w:rFonts w:ascii="Times New Roman" w:hAnsi="Times New Roman" w:cs="Times New Roman"/>
          <w:sz w:val="24"/>
          <w:szCs w:val="24"/>
        </w:rPr>
        <w:t xml:space="preserve"> limitując wydłużenie </w:t>
      </w:r>
      <w:r w:rsidR="0098150B" w:rsidRPr="00406A62">
        <w:rPr>
          <w:rFonts w:ascii="Times New Roman" w:hAnsi="Times New Roman" w:cs="Times New Roman"/>
          <w:sz w:val="24"/>
          <w:szCs w:val="24"/>
        </w:rPr>
        <w:t>terminu maksymalnie o miesiąc oraz wyłącznie jeden raz w odniesieniu do każdej z inwestycji.</w:t>
      </w:r>
    </w:p>
    <w:p w14:paraId="4E2B28B0" w14:textId="127FCD2E" w:rsidR="0098150B" w:rsidRPr="00406A62" w:rsidRDefault="00C1086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lastRenderedPageBreak/>
        <w:t>Powyższe rozwiązania wprowadzono</w:t>
      </w:r>
      <w:r w:rsidR="0098150B" w:rsidRPr="00406A62">
        <w:rPr>
          <w:rFonts w:ascii="Times New Roman" w:hAnsi="Times New Roman" w:cs="Times New Roman"/>
          <w:sz w:val="24"/>
          <w:szCs w:val="24"/>
        </w:rPr>
        <w:t xml:space="preserve"> w celu zapewnienia przewidywalności terminu załatwienia sprawy po stronie właściwych organów.</w:t>
      </w:r>
    </w:p>
    <w:p w14:paraId="7BF4FE2F" w14:textId="77BFF3B2" w:rsidR="00C10860" w:rsidRPr="00406A62" w:rsidRDefault="00C1086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Inwestycje lotnicze wymienione w projekcie obejmują wyłącznie przebudowę lub rozbudowę istniejących wybranych lotnisk w celu dostosowania ich do pełnienia funkcji „dual-use”. Inwestycje lotnicze</w:t>
      </w:r>
      <w:r w:rsidR="00560A06" w:rsidRPr="00406A62">
        <w:rPr>
          <w:rFonts w:ascii="Times New Roman" w:hAnsi="Times New Roman" w:cs="Times New Roman"/>
          <w:sz w:val="24"/>
          <w:szCs w:val="24"/>
        </w:rPr>
        <w:t xml:space="preserve"> </w:t>
      </w:r>
      <w:r w:rsidRPr="00406A62">
        <w:rPr>
          <w:rFonts w:ascii="Times New Roman" w:hAnsi="Times New Roman" w:cs="Times New Roman"/>
          <w:sz w:val="24"/>
          <w:szCs w:val="24"/>
        </w:rPr>
        <w:t>wymienione w projekcie aktualnie mają duże znaczenie strategiczne dla bezpieczeństwa</w:t>
      </w:r>
      <w:r w:rsidR="00560A06" w:rsidRPr="00406A62">
        <w:rPr>
          <w:rFonts w:ascii="Times New Roman" w:hAnsi="Times New Roman" w:cs="Times New Roman"/>
          <w:sz w:val="24"/>
          <w:szCs w:val="24"/>
        </w:rPr>
        <w:t xml:space="preserve"> </w:t>
      </w:r>
      <w:r w:rsidRPr="00406A62">
        <w:rPr>
          <w:rFonts w:ascii="Times New Roman" w:hAnsi="Times New Roman" w:cs="Times New Roman"/>
          <w:sz w:val="24"/>
          <w:szCs w:val="24"/>
        </w:rPr>
        <w:t>państwa. Konieczność jak najszybszej realizacji tych inwestycji uzasadnia wprowadzenie</w:t>
      </w:r>
      <w:r w:rsidR="00560A06" w:rsidRPr="00406A62">
        <w:rPr>
          <w:rFonts w:ascii="Times New Roman" w:hAnsi="Times New Roman" w:cs="Times New Roman"/>
          <w:sz w:val="24"/>
          <w:szCs w:val="24"/>
        </w:rPr>
        <w:t xml:space="preserve"> ww. rozwiązań</w:t>
      </w:r>
      <w:r w:rsidRPr="00406A62">
        <w:rPr>
          <w:rFonts w:ascii="Times New Roman" w:hAnsi="Times New Roman" w:cs="Times New Roman"/>
          <w:sz w:val="24"/>
          <w:szCs w:val="24"/>
        </w:rPr>
        <w:t>.</w:t>
      </w:r>
    </w:p>
    <w:p w14:paraId="6DC43456" w14:textId="2EC50E51" w:rsidR="00FC3D97" w:rsidRPr="00406A62" w:rsidRDefault="00806F69"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19</w:t>
      </w:r>
      <w:r w:rsidR="00021C53"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wprowadza termin </w:t>
      </w:r>
      <w:r w:rsidR="00B512FE" w:rsidRPr="00406A62">
        <w:rPr>
          <w:rFonts w:ascii="Times New Roman" w:hAnsi="Times New Roman" w:cs="Times New Roman"/>
          <w:sz w:val="24"/>
          <w:szCs w:val="24"/>
        </w:rPr>
        <w:t>14</w:t>
      </w:r>
      <w:r w:rsidRPr="00406A62">
        <w:rPr>
          <w:rFonts w:ascii="Times New Roman" w:hAnsi="Times New Roman" w:cs="Times New Roman"/>
          <w:sz w:val="24"/>
          <w:szCs w:val="24"/>
        </w:rPr>
        <w:t xml:space="preserve"> dni na wydanie przez operatora systemu dystrybucyjnego warunków przyłączenia do sieci elektroenergetycznej</w:t>
      </w:r>
      <w:r w:rsidR="009859FF" w:rsidRPr="00406A62">
        <w:rPr>
          <w:rFonts w:ascii="Times New Roman" w:hAnsi="Times New Roman" w:cs="Times New Roman"/>
          <w:sz w:val="24"/>
          <w:szCs w:val="24"/>
        </w:rPr>
        <w:t xml:space="preserve"> dla</w:t>
      </w:r>
      <w:r w:rsidRPr="00406A62">
        <w:rPr>
          <w:rFonts w:ascii="Times New Roman" w:hAnsi="Times New Roman" w:cs="Times New Roman"/>
          <w:sz w:val="24"/>
          <w:szCs w:val="24"/>
        </w:rPr>
        <w:t xml:space="preserve"> </w:t>
      </w:r>
      <w:r w:rsidR="009859FF" w:rsidRPr="00406A62">
        <w:rPr>
          <w:rFonts w:ascii="Times New Roman" w:hAnsi="Times New Roman" w:cs="Times New Roman"/>
          <w:sz w:val="24"/>
          <w:szCs w:val="24"/>
        </w:rPr>
        <w:t xml:space="preserve">inwestycji kluczowych w zakresie Kolejowego Systemu Ruchomej Łączności Radiowej (RMR). </w:t>
      </w:r>
      <w:r w:rsidR="00841BCD" w:rsidRPr="00406A62">
        <w:rPr>
          <w:rFonts w:ascii="Times New Roman" w:hAnsi="Times New Roman" w:cs="Times New Roman"/>
          <w:sz w:val="24"/>
          <w:szCs w:val="24"/>
        </w:rPr>
        <w:t>Ponadto przepis ten określa ramy czasowe wykonania samej infrastruktury przyłączeniowej, wyznaczając termin niedłuższy niż 6 miesięcy od dnia zawarcia umowy o przyłączenie.</w:t>
      </w:r>
      <w:r w:rsidR="009859FF" w:rsidRPr="00406A62">
        <w:rPr>
          <w:rFonts w:ascii="Times New Roman" w:hAnsi="Times New Roman" w:cs="Times New Roman"/>
          <w:sz w:val="24"/>
          <w:szCs w:val="24"/>
        </w:rPr>
        <w:t xml:space="preserve"> </w:t>
      </w:r>
      <w:r w:rsidR="00FC3D97" w:rsidRPr="00406A62">
        <w:rPr>
          <w:rFonts w:ascii="Times New Roman" w:hAnsi="Times New Roman" w:cs="Times New Roman"/>
          <w:sz w:val="24"/>
          <w:szCs w:val="24"/>
        </w:rPr>
        <w:t xml:space="preserve">Wprowadzenie tych limitów czasowych ma na celu ograniczenie ryzyka opóźnień na etapie procedur energetycznych oraz zwiększenie przewidywalności procesu inwestycyjnego. </w:t>
      </w:r>
      <w:r w:rsidR="00385378" w:rsidRPr="00406A62">
        <w:rPr>
          <w:rFonts w:ascii="Times New Roman" w:hAnsi="Times New Roman" w:cs="Times New Roman"/>
          <w:sz w:val="24"/>
          <w:szCs w:val="24"/>
        </w:rPr>
        <w:t>R</w:t>
      </w:r>
      <w:r w:rsidRPr="00406A62">
        <w:rPr>
          <w:rFonts w:ascii="Times New Roman" w:hAnsi="Times New Roman" w:cs="Times New Roman"/>
          <w:sz w:val="24"/>
          <w:szCs w:val="24"/>
        </w:rPr>
        <w:t>ealiz</w:t>
      </w:r>
      <w:r w:rsidR="00385378" w:rsidRPr="00406A62">
        <w:rPr>
          <w:rFonts w:ascii="Times New Roman" w:hAnsi="Times New Roman" w:cs="Times New Roman"/>
          <w:sz w:val="24"/>
          <w:szCs w:val="24"/>
        </w:rPr>
        <w:t>acja</w:t>
      </w:r>
      <w:r w:rsidRPr="00406A62">
        <w:rPr>
          <w:rFonts w:ascii="Times New Roman" w:hAnsi="Times New Roman" w:cs="Times New Roman"/>
          <w:sz w:val="24"/>
          <w:szCs w:val="24"/>
        </w:rPr>
        <w:t xml:space="preserve"> przyłącz</w:t>
      </w:r>
      <w:r w:rsidR="00385378" w:rsidRPr="00406A62">
        <w:rPr>
          <w:rFonts w:ascii="Times New Roman" w:hAnsi="Times New Roman" w:cs="Times New Roman"/>
          <w:sz w:val="24"/>
          <w:szCs w:val="24"/>
        </w:rPr>
        <w:t>a</w:t>
      </w:r>
      <w:r w:rsidRPr="00406A62">
        <w:rPr>
          <w:rFonts w:ascii="Times New Roman" w:hAnsi="Times New Roman" w:cs="Times New Roman"/>
          <w:sz w:val="24"/>
          <w:szCs w:val="24"/>
        </w:rPr>
        <w:t xml:space="preserve"> </w:t>
      </w:r>
      <w:r w:rsidR="00385378" w:rsidRPr="00406A62">
        <w:rPr>
          <w:rFonts w:ascii="Times New Roman" w:hAnsi="Times New Roman" w:cs="Times New Roman"/>
          <w:sz w:val="24"/>
          <w:szCs w:val="24"/>
        </w:rPr>
        <w:t>z wy</w:t>
      </w:r>
      <w:r w:rsidRPr="00406A62">
        <w:rPr>
          <w:rFonts w:ascii="Times New Roman" w:hAnsi="Times New Roman" w:cs="Times New Roman"/>
          <w:sz w:val="24"/>
          <w:szCs w:val="24"/>
        </w:rPr>
        <w:t>korzystani</w:t>
      </w:r>
      <w:r w:rsidR="00385378" w:rsidRPr="00406A62">
        <w:rPr>
          <w:rFonts w:ascii="Times New Roman" w:hAnsi="Times New Roman" w:cs="Times New Roman"/>
          <w:sz w:val="24"/>
          <w:szCs w:val="24"/>
        </w:rPr>
        <w:t>em</w:t>
      </w:r>
      <w:r w:rsidRPr="00406A62">
        <w:rPr>
          <w:rFonts w:ascii="Times New Roman" w:hAnsi="Times New Roman" w:cs="Times New Roman"/>
          <w:sz w:val="24"/>
          <w:szCs w:val="24"/>
        </w:rPr>
        <w:t xml:space="preserve"> ułatwień przewidzianych w ustawie umożliwia skuteczne i skoordynowane wykonanie prac niezbędnych do zapewnienia zasilania systemu RMR</w:t>
      </w:r>
      <w:r w:rsidR="00FC3D97" w:rsidRPr="00406A62">
        <w:rPr>
          <w:rFonts w:ascii="Times New Roman" w:hAnsi="Times New Roman" w:cs="Times New Roman"/>
          <w:sz w:val="24"/>
          <w:szCs w:val="24"/>
        </w:rPr>
        <w:t>, który wpływa na bezpieczeństwo ruchu kolejowego</w:t>
      </w:r>
      <w:r w:rsidRPr="00406A62">
        <w:rPr>
          <w:rFonts w:ascii="Times New Roman" w:hAnsi="Times New Roman" w:cs="Times New Roman"/>
          <w:sz w:val="24"/>
          <w:szCs w:val="24"/>
        </w:rPr>
        <w:t>.</w:t>
      </w:r>
      <w:r w:rsidR="00BA7C3F" w:rsidRPr="00406A62">
        <w:rPr>
          <w:rFonts w:ascii="Times New Roman" w:hAnsi="Times New Roman" w:cs="Times New Roman"/>
          <w:sz w:val="24"/>
          <w:szCs w:val="24"/>
        </w:rPr>
        <w:t xml:space="preserve"> </w:t>
      </w:r>
    </w:p>
    <w:p w14:paraId="5F02E432" w14:textId="57AD8406" w:rsidR="00806F69" w:rsidRPr="00406A62" w:rsidRDefault="00BA7C3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Wskazano także jednoznacznie przepisy ustawy jakie będą mogły mieć zastosowanie </w:t>
      </w:r>
      <w:r w:rsidR="00385378" w:rsidRPr="00406A62">
        <w:rPr>
          <w:rFonts w:ascii="Times New Roman" w:hAnsi="Times New Roman" w:cs="Times New Roman"/>
          <w:sz w:val="24"/>
          <w:szCs w:val="24"/>
        </w:rPr>
        <w:t>co</w:t>
      </w:r>
      <w:r w:rsidRPr="00406A62">
        <w:rPr>
          <w:rFonts w:ascii="Times New Roman" w:hAnsi="Times New Roman" w:cs="Times New Roman"/>
          <w:sz w:val="24"/>
          <w:szCs w:val="24"/>
        </w:rPr>
        <w:t xml:space="preserve"> jest konieczne z uwagi na potrzebę wyeliminowania ewentualnych wątpliwości, co do zakresu stosowania </w:t>
      </w:r>
      <w:r w:rsidR="00385378" w:rsidRPr="00406A62">
        <w:rPr>
          <w:rFonts w:ascii="Times New Roman" w:hAnsi="Times New Roman" w:cs="Times New Roman"/>
          <w:sz w:val="24"/>
          <w:szCs w:val="24"/>
        </w:rPr>
        <w:t xml:space="preserve">niniejszej ustawy względem obecnie obowiązujących regulacji. Projektowane </w:t>
      </w:r>
      <w:r w:rsidRPr="00406A62">
        <w:rPr>
          <w:rFonts w:ascii="Times New Roman" w:hAnsi="Times New Roman" w:cs="Times New Roman"/>
          <w:sz w:val="24"/>
          <w:szCs w:val="24"/>
        </w:rPr>
        <w:t>przepis</w:t>
      </w:r>
      <w:r w:rsidR="00385378" w:rsidRPr="00406A62">
        <w:rPr>
          <w:rFonts w:ascii="Times New Roman" w:hAnsi="Times New Roman" w:cs="Times New Roman"/>
          <w:sz w:val="24"/>
          <w:szCs w:val="24"/>
        </w:rPr>
        <w:t>y</w:t>
      </w:r>
      <w:r w:rsidRPr="00406A62">
        <w:rPr>
          <w:rFonts w:ascii="Times New Roman" w:hAnsi="Times New Roman" w:cs="Times New Roman"/>
          <w:sz w:val="24"/>
          <w:szCs w:val="24"/>
        </w:rPr>
        <w:t xml:space="preserve"> wyeliminuj</w:t>
      </w:r>
      <w:r w:rsidR="00385378" w:rsidRPr="00406A62">
        <w:rPr>
          <w:rFonts w:ascii="Times New Roman" w:hAnsi="Times New Roman" w:cs="Times New Roman"/>
          <w:sz w:val="24"/>
          <w:szCs w:val="24"/>
        </w:rPr>
        <w:t>ą</w:t>
      </w:r>
      <w:r w:rsidRPr="00406A62">
        <w:rPr>
          <w:rFonts w:ascii="Times New Roman" w:hAnsi="Times New Roman" w:cs="Times New Roman"/>
          <w:sz w:val="24"/>
          <w:szCs w:val="24"/>
        </w:rPr>
        <w:t xml:space="preserve"> więc ryzyko opóźnień wynikających z procedur energetycznych oraz zwiększają przewidywalność procesu inwestycyjnego.</w:t>
      </w:r>
    </w:p>
    <w:p w14:paraId="0CF945DB" w14:textId="1F49B7A9" w:rsidR="009859FF" w:rsidRPr="00406A62" w:rsidRDefault="009859F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021C53" w:rsidRPr="00406A62">
        <w:rPr>
          <w:rFonts w:ascii="Times New Roman" w:hAnsi="Times New Roman" w:cs="Times New Roman"/>
          <w:b/>
          <w:sz w:val="24"/>
          <w:szCs w:val="24"/>
        </w:rPr>
        <w:t>20</w:t>
      </w:r>
      <w:r w:rsidR="00021C53" w:rsidRPr="00406A62">
        <w:rPr>
          <w:rFonts w:ascii="Times New Roman" w:hAnsi="Times New Roman" w:cs="Times New Roman"/>
          <w:sz w:val="24"/>
          <w:szCs w:val="24"/>
        </w:rPr>
        <w:t xml:space="preserve"> </w:t>
      </w:r>
      <w:r w:rsidRPr="00406A62">
        <w:rPr>
          <w:rFonts w:ascii="Times New Roman" w:hAnsi="Times New Roman" w:cs="Times New Roman"/>
          <w:sz w:val="24"/>
          <w:szCs w:val="24"/>
        </w:rPr>
        <w:t>zapewnia inwestorowi realizującemu inwestycję kluczową w zakresie Kolejowego Systemu Ruchomej Łączności Radiowej (RMR) niezbędny dostęp do nieruchomości w sposób umożliwiający sprawną realizację i późniejszą eksploatację systemu. Obowiązek właściciela, użytkownika wieczystego lub zarządcy nieruchomości gwarantuje, że elementy infrastruktury, takie jak stacje bazowe, kontenery techniczne, urządzenia zasilające i światłowody, mogą być prawidłowo umieszczone i utrzymywane. Przepis zapewnia również możliwość wykonania przyłączy energetycznych i telekomunikacyjnych oraz stały dostęp do infrastruktury w celu eksploatacji, konserwacji, modernizacji i rozbudowy systemu RMR, co jest niezbędne dla bezpieczeństwa i niezawodności działania systemu krytycznego dla transportu kolejowego.</w:t>
      </w:r>
    </w:p>
    <w:p w14:paraId="65F74F1A" w14:textId="77777777" w:rsidR="0006314E" w:rsidRPr="00406A62" w:rsidRDefault="00BA7C3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Ust. 2 określa, że dostęp do nieruchomości jest odpłatny, chyba że strony umowy o dostępie postanowią inaczej. </w:t>
      </w:r>
    </w:p>
    <w:p w14:paraId="14D90946" w14:textId="5BA29799" w:rsidR="00BA7C3F" w:rsidRPr="00406A62" w:rsidRDefault="00BA7C3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lastRenderedPageBreak/>
        <w:t>Umowa taka będzie zawierana, pod rygorem nieważności, w formie pisemnej z podpisami notarialnie poświadczonymi. Jeśli stosowna umowa nie zostanie zawarta terminie 30 dni od dnia złożenia wniosku przez inwestora, zastosowanie będą mieć przepisy ustawy o gospodarce nieruchomościami.</w:t>
      </w:r>
    </w:p>
    <w:p w14:paraId="71988AEF" w14:textId="1EB41CC7" w:rsidR="007E05AC" w:rsidRPr="00406A62" w:rsidRDefault="007E05AC"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W ust. </w:t>
      </w:r>
      <w:r w:rsidR="0006314E" w:rsidRPr="00406A62">
        <w:rPr>
          <w:rFonts w:ascii="Times New Roman" w:hAnsi="Times New Roman" w:cs="Times New Roman"/>
          <w:sz w:val="24"/>
          <w:szCs w:val="24"/>
        </w:rPr>
        <w:t>4</w:t>
      </w:r>
      <w:r w:rsidRPr="00406A62">
        <w:rPr>
          <w:rFonts w:ascii="Times New Roman" w:hAnsi="Times New Roman" w:cs="Times New Roman"/>
          <w:sz w:val="24"/>
          <w:szCs w:val="24"/>
        </w:rPr>
        <w:t xml:space="preserve"> wskazano</w:t>
      </w:r>
      <w:r w:rsidR="00021C53" w:rsidRPr="00406A62">
        <w:rPr>
          <w:rFonts w:ascii="Times New Roman" w:hAnsi="Times New Roman" w:cs="Times New Roman"/>
          <w:sz w:val="24"/>
          <w:szCs w:val="24"/>
        </w:rPr>
        <w:t xml:space="preserve"> podstawę materialnoprawną do </w:t>
      </w:r>
      <w:r w:rsidR="001038EF" w:rsidRPr="00406A62">
        <w:rPr>
          <w:rFonts w:ascii="Times New Roman" w:hAnsi="Times New Roman" w:cs="Times New Roman"/>
          <w:sz w:val="24"/>
          <w:szCs w:val="24"/>
        </w:rPr>
        <w:t>ujawnienia w</w:t>
      </w:r>
      <w:r w:rsidR="00021C53" w:rsidRPr="00406A62">
        <w:rPr>
          <w:rFonts w:ascii="Times New Roman" w:hAnsi="Times New Roman" w:cs="Times New Roman"/>
          <w:sz w:val="24"/>
          <w:szCs w:val="24"/>
        </w:rPr>
        <w:t xml:space="preserve"> księ</w:t>
      </w:r>
      <w:r w:rsidR="001038EF" w:rsidRPr="00406A62">
        <w:rPr>
          <w:rFonts w:ascii="Times New Roman" w:hAnsi="Times New Roman" w:cs="Times New Roman"/>
          <w:sz w:val="24"/>
          <w:szCs w:val="24"/>
        </w:rPr>
        <w:t>dze</w:t>
      </w:r>
      <w:r w:rsidR="00021C53" w:rsidRPr="00406A62">
        <w:rPr>
          <w:rFonts w:ascii="Times New Roman" w:hAnsi="Times New Roman" w:cs="Times New Roman"/>
          <w:sz w:val="24"/>
          <w:szCs w:val="24"/>
        </w:rPr>
        <w:t xml:space="preserve"> wieczystej</w:t>
      </w:r>
      <w:r w:rsidR="001038EF" w:rsidRPr="00406A62">
        <w:rPr>
          <w:rFonts w:ascii="Times New Roman" w:hAnsi="Times New Roman" w:cs="Times New Roman"/>
          <w:sz w:val="24"/>
          <w:szCs w:val="24"/>
        </w:rPr>
        <w:t xml:space="preserve"> uprawnienia inwestora do dostępu do nieruchomości. Wpis w księdze wieczystej będzie dokonywany na</w:t>
      </w:r>
      <w:r w:rsidRPr="00406A62">
        <w:rPr>
          <w:rFonts w:ascii="Times New Roman" w:hAnsi="Times New Roman" w:cs="Times New Roman"/>
          <w:sz w:val="24"/>
          <w:szCs w:val="24"/>
        </w:rPr>
        <w:t xml:space="preserve"> podstawie umowy</w:t>
      </w:r>
      <w:r w:rsidR="001038EF" w:rsidRPr="00406A62">
        <w:rPr>
          <w:rFonts w:ascii="Times New Roman" w:hAnsi="Times New Roman" w:cs="Times New Roman"/>
          <w:sz w:val="24"/>
          <w:szCs w:val="24"/>
        </w:rPr>
        <w:t xml:space="preserve"> o dostępie</w:t>
      </w:r>
      <w:r w:rsidRPr="00406A62">
        <w:rPr>
          <w:rFonts w:ascii="Times New Roman" w:hAnsi="Times New Roman" w:cs="Times New Roman"/>
          <w:sz w:val="24"/>
          <w:szCs w:val="24"/>
        </w:rPr>
        <w:t>.</w:t>
      </w:r>
    </w:p>
    <w:p w14:paraId="4C97BF3D" w14:textId="266080B0" w:rsidR="001038EF" w:rsidRPr="00406A62" w:rsidRDefault="001038E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ust. 5 określono, że warunki korzystania z pasa drogowego ustala się na podstawie przepisów ustawy z dnia 21 marca 1985 r. o drogach publicznych (Dz. U. z 2025 r. poz. 889</w:t>
      </w:r>
      <w:r w:rsidR="00B719E8">
        <w:rPr>
          <w:rFonts w:ascii="Times New Roman" w:hAnsi="Times New Roman" w:cs="Times New Roman"/>
          <w:sz w:val="24"/>
          <w:szCs w:val="24"/>
        </w:rPr>
        <w:t>, z późn. zm.</w:t>
      </w:r>
      <w:r w:rsidRPr="00406A62">
        <w:rPr>
          <w:rFonts w:ascii="Times New Roman" w:hAnsi="Times New Roman" w:cs="Times New Roman"/>
          <w:sz w:val="24"/>
          <w:szCs w:val="24"/>
        </w:rPr>
        <w:t>).</w:t>
      </w:r>
    </w:p>
    <w:p w14:paraId="2C5A2DA1" w14:textId="7EC0B6EF" w:rsidR="00FB2B2E" w:rsidRPr="00406A62" w:rsidRDefault="00FB2B2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W ust. </w:t>
      </w:r>
      <w:r w:rsidR="003C5655" w:rsidRPr="00406A62">
        <w:rPr>
          <w:rFonts w:ascii="Times New Roman" w:hAnsi="Times New Roman" w:cs="Times New Roman"/>
          <w:sz w:val="24"/>
          <w:szCs w:val="24"/>
        </w:rPr>
        <w:t>6</w:t>
      </w:r>
      <w:r w:rsidRPr="00406A62">
        <w:rPr>
          <w:rFonts w:ascii="Times New Roman" w:hAnsi="Times New Roman" w:cs="Times New Roman"/>
          <w:sz w:val="24"/>
          <w:szCs w:val="24"/>
        </w:rPr>
        <w:t xml:space="preserve">. zapisane wyłączenie art. 33 </w:t>
      </w:r>
      <w:r w:rsidR="00FD1109" w:rsidRPr="00406A62">
        <w:rPr>
          <w:rFonts w:ascii="Times New Roman" w:hAnsi="Times New Roman" w:cs="Times New Roman"/>
          <w:sz w:val="24"/>
          <w:szCs w:val="24"/>
        </w:rPr>
        <w:t>ustawy z dnia 7 maja 2010 r. o wspieraniu rozwoju usług i sieci telekomunikacyjnych (Dz. U. z 2026 r. poz. 562 i 815)</w:t>
      </w:r>
      <w:r w:rsidRPr="00406A62">
        <w:rPr>
          <w:rFonts w:ascii="Times New Roman" w:hAnsi="Times New Roman" w:cs="Times New Roman"/>
          <w:sz w:val="24"/>
          <w:szCs w:val="24"/>
        </w:rPr>
        <w:t xml:space="preserve"> eliminuje ryzyko tzw. „zbiegu przepisów” i sporów kompetencyjnych. Odesłanie w art. 20 ust. 2 projektu ustawy do ustawy o gospodarce nieruchomościami (art. 124 i 124a) jest wystarczające do wydania decyzji dotyczącej sposobu korzystania z nieruchomości zastępującej umowę o dostępie.</w:t>
      </w:r>
    </w:p>
    <w:p w14:paraId="0416F594" w14:textId="7FC61A4E" w:rsidR="008B2910" w:rsidRPr="00406A62" w:rsidRDefault="008B291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3C5655" w:rsidRPr="00406A62">
        <w:rPr>
          <w:rFonts w:ascii="Times New Roman" w:hAnsi="Times New Roman" w:cs="Times New Roman"/>
          <w:b/>
          <w:sz w:val="24"/>
          <w:szCs w:val="24"/>
        </w:rPr>
        <w:t>21</w:t>
      </w:r>
      <w:r w:rsidR="003C5655" w:rsidRPr="00406A62">
        <w:rPr>
          <w:rFonts w:ascii="Times New Roman" w:hAnsi="Times New Roman" w:cs="Times New Roman"/>
          <w:sz w:val="24"/>
          <w:szCs w:val="24"/>
        </w:rPr>
        <w:t xml:space="preserve"> </w:t>
      </w:r>
      <w:r w:rsidR="00E0231B" w:rsidRPr="00406A62">
        <w:rPr>
          <w:rFonts w:ascii="Times New Roman" w:hAnsi="Times New Roman" w:cs="Times New Roman"/>
          <w:sz w:val="24"/>
          <w:szCs w:val="24"/>
        </w:rPr>
        <w:t xml:space="preserve">określa </w:t>
      </w:r>
      <w:r w:rsidR="000953FF" w:rsidRPr="00406A62">
        <w:rPr>
          <w:rFonts w:ascii="Times New Roman" w:hAnsi="Times New Roman" w:cs="Times New Roman"/>
          <w:sz w:val="24"/>
          <w:szCs w:val="24"/>
        </w:rPr>
        <w:t>delegację ustawową dla</w:t>
      </w:r>
      <w:r w:rsidR="00E0231B" w:rsidRPr="00406A62">
        <w:rPr>
          <w:rFonts w:ascii="Times New Roman" w:hAnsi="Times New Roman" w:cs="Times New Roman"/>
          <w:sz w:val="24"/>
          <w:szCs w:val="24"/>
        </w:rPr>
        <w:t xml:space="preserve"> Rady Ministrów do wydania rozporządzenia, wskazującego gminy lub ich części, na których terenie stosowane będą szczególne zasady nabywania nieruchomości, </w:t>
      </w:r>
      <w:r w:rsidR="001C0C6C" w:rsidRPr="00406A62">
        <w:rPr>
          <w:rFonts w:ascii="Times New Roman" w:hAnsi="Times New Roman" w:cs="Times New Roman"/>
          <w:sz w:val="24"/>
          <w:szCs w:val="24"/>
        </w:rPr>
        <w:t>w celu</w:t>
      </w:r>
      <w:r w:rsidR="00E0231B" w:rsidRPr="00406A62">
        <w:rPr>
          <w:rFonts w:ascii="Times New Roman" w:hAnsi="Times New Roman" w:cs="Times New Roman"/>
          <w:sz w:val="24"/>
          <w:szCs w:val="24"/>
        </w:rPr>
        <w:t xml:space="preserve"> przygotowania obszaru inwestycji kluczowej.</w:t>
      </w:r>
    </w:p>
    <w:p w14:paraId="2766DD03" w14:textId="5645D80B" w:rsidR="00D00515" w:rsidRPr="00406A62" w:rsidRDefault="00D0051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Ustawa wyłącza stosowanie szczególnych zasad nabywania nieruchomości do inwestycji drogowych, o</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których mowa w projektowanym art. 2 pkt 1 i pkt 4 lit. b.</w:t>
      </w:r>
    </w:p>
    <w:p w14:paraId="7FD7E0E4" w14:textId="5F35A94A" w:rsidR="000B3765" w:rsidRPr="00406A62" w:rsidRDefault="00E0231B"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3C5655" w:rsidRPr="00406A62">
        <w:rPr>
          <w:rFonts w:ascii="Times New Roman" w:hAnsi="Times New Roman" w:cs="Times New Roman"/>
          <w:b/>
          <w:sz w:val="24"/>
          <w:szCs w:val="24"/>
        </w:rPr>
        <w:t>22</w:t>
      </w:r>
      <w:r w:rsidR="003C5655" w:rsidRPr="00406A62">
        <w:rPr>
          <w:rFonts w:ascii="Times New Roman" w:hAnsi="Times New Roman" w:cs="Times New Roman"/>
          <w:sz w:val="24"/>
          <w:szCs w:val="24"/>
        </w:rPr>
        <w:t xml:space="preserve"> </w:t>
      </w:r>
      <w:r w:rsidRPr="00406A62">
        <w:rPr>
          <w:rFonts w:ascii="Times New Roman" w:hAnsi="Times New Roman" w:cs="Times New Roman"/>
          <w:sz w:val="24"/>
          <w:szCs w:val="24"/>
        </w:rPr>
        <w:t>ustala szczególne zasady nabywania nieruchomości</w:t>
      </w:r>
      <w:r w:rsidR="008F1EDE" w:rsidRPr="00406A62">
        <w:rPr>
          <w:rFonts w:ascii="Times New Roman" w:hAnsi="Times New Roman" w:cs="Times New Roman"/>
          <w:sz w:val="24"/>
          <w:szCs w:val="24"/>
        </w:rPr>
        <w:t xml:space="preserve"> w zakresie realizacji inwestycji kluczowych. </w:t>
      </w:r>
      <w:r w:rsidR="000B3765" w:rsidRPr="00406A62">
        <w:rPr>
          <w:rFonts w:ascii="Times New Roman" w:hAnsi="Times New Roman" w:cs="Times New Roman"/>
          <w:sz w:val="24"/>
          <w:szCs w:val="24"/>
        </w:rPr>
        <w:t xml:space="preserve">Są to przepisy </w:t>
      </w:r>
      <w:r w:rsidR="00F103FD" w:rsidRPr="00406A62">
        <w:rPr>
          <w:rFonts w:ascii="Times New Roman" w:hAnsi="Times New Roman" w:cs="Times New Roman"/>
          <w:sz w:val="24"/>
          <w:szCs w:val="24"/>
        </w:rPr>
        <w:t>a</w:t>
      </w:r>
      <w:r w:rsidR="000B3765" w:rsidRPr="00406A62">
        <w:rPr>
          <w:rFonts w:ascii="Times New Roman" w:hAnsi="Times New Roman" w:cs="Times New Roman"/>
          <w:sz w:val="24"/>
          <w:szCs w:val="24"/>
        </w:rPr>
        <w:t>nalog</w:t>
      </w:r>
      <w:r w:rsidR="00F103FD" w:rsidRPr="00406A62">
        <w:rPr>
          <w:rFonts w:ascii="Times New Roman" w:hAnsi="Times New Roman" w:cs="Times New Roman"/>
          <w:sz w:val="24"/>
          <w:szCs w:val="24"/>
        </w:rPr>
        <w:t>i</w:t>
      </w:r>
      <w:r w:rsidR="000B3765" w:rsidRPr="00406A62">
        <w:rPr>
          <w:rFonts w:ascii="Times New Roman" w:hAnsi="Times New Roman" w:cs="Times New Roman"/>
          <w:sz w:val="24"/>
          <w:szCs w:val="24"/>
        </w:rPr>
        <w:t>czne do zaw</w:t>
      </w:r>
      <w:r w:rsidR="00F103FD" w:rsidRPr="00406A62">
        <w:rPr>
          <w:rFonts w:ascii="Times New Roman" w:hAnsi="Times New Roman" w:cs="Times New Roman"/>
          <w:sz w:val="24"/>
          <w:szCs w:val="24"/>
        </w:rPr>
        <w:t>ar</w:t>
      </w:r>
      <w:r w:rsidR="000B3765" w:rsidRPr="00406A62">
        <w:rPr>
          <w:rFonts w:ascii="Times New Roman" w:hAnsi="Times New Roman" w:cs="Times New Roman"/>
          <w:sz w:val="24"/>
          <w:szCs w:val="24"/>
        </w:rPr>
        <w:t>t</w:t>
      </w:r>
      <w:r w:rsidR="00F103FD" w:rsidRPr="00406A62">
        <w:rPr>
          <w:rFonts w:ascii="Times New Roman" w:hAnsi="Times New Roman" w:cs="Times New Roman"/>
          <w:sz w:val="24"/>
          <w:szCs w:val="24"/>
        </w:rPr>
        <w:t>y</w:t>
      </w:r>
      <w:r w:rsidR="000B3765" w:rsidRPr="00406A62">
        <w:rPr>
          <w:rFonts w:ascii="Times New Roman" w:hAnsi="Times New Roman" w:cs="Times New Roman"/>
          <w:sz w:val="24"/>
          <w:szCs w:val="24"/>
        </w:rPr>
        <w:t>ch w</w:t>
      </w:r>
      <w:r w:rsidR="001C0C6C" w:rsidRPr="00406A62">
        <w:rPr>
          <w:rFonts w:ascii="Times New Roman" w:hAnsi="Times New Roman" w:cs="Times New Roman"/>
          <w:sz w:val="24"/>
          <w:szCs w:val="24"/>
        </w:rPr>
        <w:t xml:space="preserve"> art. 29b</w:t>
      </w:r>
      <w:r w:rsidR="000B3765" w:rsidRPr="00406A62">
        <w:rPr>
          <w:rFonts w:ascii="Times New Roman" w:hAnsi="Times New Roman" w:cs="Times New Roman"/>
          <w:sz w:val="24"/>
          <w:szCs w:val="24"/>
        </w:rPr>
        <w:t xml:space="preserve"> </w:t>
      </w:r>
      <w:r w:rsidR="00F103FD" w:rsidRPr="00406A62">
        <w:rPr>
          <w:rFonts w:ascii="Times New Roman" w:hAnsi="Times New Roman" w:cs="Times New Roman"/>
          <w:sz w:val="24"/>
          <w:szCs w:val="24"/>
        </w:rPr>
        <w:t>ustaw</w:t>
      </w:r>
      <w:r w:rsidR="001C0C6C" w:rsidRPr="00406A62">
        <w:rPr>
          <w:rFonts w:ascii="Times New Roman" w:hAnsi="Times New Roman" w:cs="Times New Roman"/>
          <w:sz w:val="24"/>
          <w:szCs w:val="24"/>
        </w:rPr>
        <w:t>y</w:t>
      </w:r>
      <w:r w:rsidR="00F103FD" w:rsidRPr="00406A62">
        <w:rPr>
          <w:rFonts w:ascii="Times New Roman" w:hAnsi="Times New Roman" w:cs="Times New Roman"/>
          <w:sz w:val="24"/>
          <w:szCs w:val="24"/>
        </w:rPr>
        <w:t xml:space="preserve"> z dnia 10 maja 2018</w:t>
      </w:r>
      <w:r w:rsidR="00885F18">
        <w:rPr>
          <w:rFonts w:ascii="Times New Roman" w:hAnsi="Times New Roman" w:cs="Times New Roman"/>
          <w:sz w:val="24"/>
          <w:szCs w:val="24"/>
        </w:rPr>
        <w:t> </w:t>
      </w:r>
      <w:r w:rsidR="00F103FD" w:rsidRPr="00406A62">
        <w:rPr>
          <w:rFonts w:ascii="Times New Roman" w:hAnsi="Times New Roman" w:cs="Times New Roman"/>
          <w:sz w:val="24"/>
          <w:szCs w:val="24"/>
        </w:rPr>
        <w:t>r. o</w:t>
      </w:r>
      <w:r w:rsidR="00C77034" w:rsidRPr="00406A62">
        <w:rPr>
          <w:rFonts w:ascii="Times New Roman" w:hAnsi="Times New Roman" w:cs="Times New Roman"/>
          <w:sz w:val="24"/>
          <w:szCs w:val="24"/>
        </w:rPr>
        <w:t> </w:t>
      </w:r>
      <w:r w:rsidR="00F103FD" w:rsidRPr="00406A62">
        <w:rPr>
          <w:rFonts w:ascii="Times New Roman" w:hAnsi="Times New Roman" w:cs="Times New Roman"/>
          <w:sz w:val="24"/>
          <w:szCs w:val="24"/>
        </w:rPr>
        <w:t>Centralnym Porcie Komunikacyjnym</w:t>
      </w:r>
      <w:r w:rsidR="002A5436" w:rsidRPr="00406A62">
        <w:rPr>
          <w:rFonts w:ascii="Times New Roman" w:hAnsi="Times New Roman" w:cs="Times New Roman"/>
          <w:sz w:val="24"/>
          <w:szCs w:val="24"/>
        </w:rPr>
        <w:t xml:space="preserve"> (Dz. U. z 2024 r. poz. 1747</w:t>
      </w:r>
      <w:r w:rsidR="00AD1B29" w:rsidRPr="00406A62">
        <w:rPr>
          <w:rFonts w:ascii="Times New Roman" w:hAnsi="Times New Roman" w:cs="Times New Roman"/>
          <w:sz w:val="24"/>
          <w:szCs w:val="24"/>
        </w:rPr>
        <w:t>, z późn. zm.</w:t>
      </w:r>
      <w:r w:rsidR="002A5436" w:rsidRPr="00406A62">
        <w:rPr>
          <w:rFonts w:ascii="Times New Roman" w:hAnsi="Times New Roman" w:cs="Times New Roman"/>
          <w:sz w:val="24"/>
          <w:szCs w:val="24"/>
        </w:rPr>
        <w:t>)</w:t>
      </w:r>
      <w:r w:rsidR="000B3765" w:rsidRPr="00406A62">
        <w:rPr>
          <w:rFonts w:ascii="Times New Roman" w:hAnsi="Times New Roman" w:cs="Times New Roman"/>
          <w:sz w:val="24"/>
          <w:szCs w:val="24"/>
        </w:rPr>
        <w:t>.</w:t>
      </w:r>
    </w:p>
    <w:p w14:paraId="17DB7887" w14:textId="77777777" w:rsidR="00EC2243" w:rsidRPr="00406A62" w:rsidRDefault="00EC224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Przewidziane w projekcie ustawy szczególne zasady nabywania nieruchomości obejmują uprawnienie inwestora do zapłaty osobie zbywającej nieruchomość ceny wynikającej z zastosowania mechanizmów ustalających cenę nabycia nieruchomości.</w:t>
      </w:r>
    </w:p>
    <w:p w14:paraId="59AB8385" w14:textId="4F340B2A" w:rsidR="00EC2243" w:rsidRPr="00406A62" w:rsidRDefault="00EC224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Zgodnie z projektowanym art. </w:t>
      </w:r>
      <w:r w:rsidR="00D31109" w:rsidRPr="00406A62">
        <w:rPr>
          <w:rFonts w:ascii="Times New Roman" w:hAnsi="Times New Roman" w:cs="Times New Roman"/>
          <w:sz w:val="24"/>
          <w:szCs w:val="24"/>
        </w:rPr>
        <w:t xml:space="preserve">22 </w:t>
      </w:r>
      <w:r w:rsidRPr="00406A62">
        <w:rPr>
          <w:rFonts w:ascii="Times New Roman" w:hAnsi="Times New Roman" w:cs="Times New Roman"/>
          <w:sz w:val="24"/>
          <w:szCs w:val="24"/>
        </w:rPr>
        <w:t xml:space="preserve">ust. 2 podstawę ustalenia ceny nieruchomości w przypadku nabycia jej przez inwestora stanowi wartość nieruchomości określona zgodnie z przepisami </w:t>
      </w:r>
      <w:r w:rsidR="00D85C6B" w:rsidRPr="00406A62">
        <w:rPr>
          <w:rFonts w:ascii="Times New Roman" w:hAnsi="Times New Roman" w:cs="Times New Roman"/>
          <w:sz w:val="24"/>
          <w:szCs w:val="24"/>
        </w:rPr>
        <w:t xml:space="preserve">ustawy z dnia 21 sierpnia 1997 r. </w:t>
      </w:r>
      <w:r w:rsidRPr="00406A62">
        <w:rPr>
          <w:rFonts w:ascii="Times New Roman" w:hAnsi="Times New Roman" w:cs="Times New Roman"/>
          <w:sz w:val="24"/>
          <w:szCs w:val="24"/>
        </w:rPr>
        <w:t>o gospodarce nieruchomościami. Jednakże projekt przewiduje uprawnienie inwestora do nabycia nieruchomości za cenę wyższą niż określona zgodnie z</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ww. ust. 2.</w:t>
      </w:r>
    </w:p>
    <w:p w14:paraId="23E1732A" w14:textId="442F047B" w:rsidR="00EC2243" w:rsidRPr="00406A62" w:rsidRDefault="00EC224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lastRenderedPageBreak/>
        <w:t>Po pierwsze cena nabycia może zostać ustalona jako wartość rynkowa nieruchomości powiększona o</w:t>
      </w:r>
      <w:r w:rsidR="00C77034" w:rsidRPr="00406A62">
        <w:rPr>
          <w:rFonts w:ascii="Times New Roman" w:hAnsi="Times New Roman" w:cs="Times New Roman"/>
          <w:sz w:val="24"/>
          <w:szCs w:val="24"/>
        </w:rPr>
        <w:t> </w:t>
      </w:r>
      <w:r w:rsidR="00D85C6B" w:rsidRPr="00406A62">
        <w:rPr>
          <w:rFonts w:ascii="Times New Roman" w:hAnsi="Times New Roman" w:cs="Times New Roman"/>
          <w:sz w:val="24"/>
          <w:szCs w:val="24"/>
        </w:rPr>
        <w:t>20</w:t>
      </w:r>
      <w:r w:rsidR="003C5655"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 wartości gruntu oraz </w:t>
      </w:r>
      <w:r w:rsidR="00D85C6B" w:rsidRPr="00406A62">
        <w:rPr>
          <w:rFonts w:ascii="Times New Roman" w:hAnsi="Times New Roman" w:cs="Times New Roman"/>
          <w:sz w:val="24"/>
          <w:szCs w:val="24"/>
        </w:rPr>
        <w:t>40</w:t>
      </w:r>
      <w:r w:rsidR="003C5655" w:rsidRPr="00406A62">
        <w:rPr>
          <w:rFonts w:ascii="Times New Roman" w:hAnsi="Times New Roman" w:cs="Times New Roman"/>
          <w:sz w:val="24"/>
          <w:szCs w:val="24"/>
        </w:rPr>
        <w:t xml:space="preserve"> </w:t>
      </w:r>
      <w:r w:rsidRPr="00406A62">
        <w:rPr>
          <w:rFonts w:ascii="Times New Roman" w:hAnsi="Times New Roman" w:cs="Times New Roman"/>
          <w:sz w:val="24"/>
          <w:szCs w:val="24"/>
        </w:rPr>
        <w:t>% różnicy pomiędzy wartością nieruchomości i wartością gruntu, albo 20</w:t>
      </w:r>
      <w:r w:rsidR="003C5655" w:rsidRPr="00406A62">
        <w:rPr>
          <w:rFonts w:ascii="Times New Roman" w:hAnsi="Times New Roman" w:cs="Times New Roman"/>
          <w:sz w:val="24"/>
          <w:szCs w:val="24"/>
        </w:rPr>
        <w:t xml:space="preserve"> </w:t>
      </w:r>
      <w:r w:rsidRPr="00406A62">
        <w:rPr>
          <w:rFonts w:ascii="Times New Roman" w:hAnsi="Times New Roman" w:cs="Times New Roman"/>
          <w:sz w:val="24"/>
          <w:szCs w:val="24"/>
        </w:rPr>
        <w:t>%</w:t>
      </w:r>
      <w:r w:rsidR="00D85C6B" w:rsidRPr="00406A62">
        <w:rPr>
          <w:rFonts w:ascii="Times New Roman" w:hAnsi="Times New Roman" w:cs="Times New Roman"/>
          <w:sz w:val="24"/>
          <w:szCs w:val="24"/>
        </w:rPr>
        <w:t xml:space="preserve"> wartości prawa użytkowania wieczystego albo 40</w:t>
      </w:r>
      <w:r w:rsidR="003C5655" w:rsidRPr="00406A62">
        <w:rPr>
          <w:rFonts w:ascii="Times New Roman" w:hAnsi="Times New Roman" w:cs="Times New Roman"/>
          <w:sz w:val="24"/>
          <w:szCs w:val="24"/>
        </w:rPr>
        <w:t xml:space="preserve"> </w:t>
      </w:r>
      <w:r w:rsidR="00D85C6B" w:rsidRPr="00406A62">
        <w:rPr>
          <w:rFonts w:ascii="Times New Roman" w:hAnsi="Times New Roman" w:cs="Times New Roman"/>
          <w:sz w:val="24"/>
          <w:szCs w:val="24"/>
        </w:rPr>
        <w:t>%</w:t>
      </w:r>
      <w:r w:rsidRPr="00406A62">
        <w:rPr>
          <w:rFonts w:ascii="Times New Roman" w:hAnsi="Times New Roman" w:cs="Times New Roman"/>
          <w:sz w:val="24"/>
          <w:szCs w:val="24"/>
        </w:rPr>
        <w:t xml:space="preserve"> wartości lokalu, stanowiącego odrębny przedmiot własności</w:t>
      </w:r>
      <w:r w:rsidR="00D85C6B" w:rsidRPr="00406A62">
        <w:rPr>
          <w:rFonts w:ascii="Times New Roman" w:hAnsi="Times New Roman" w:cs="Times New Roman"/>
          <w:sz w:val="24"/>
          <w:szCs w:val="24"/>
        </w:rPr>
        <w:t>, albo</w:t>
      </w:r>
      <w:r w:rsidR="003C5655" w:rsidRPr="00406A62">
        <w:rPr>
          <w:rFonts w:ascii="Times New Roman" w:hAnsi="Times New Roman" w:cs="Times New Roman"/>
          <w:sz w:val="24"/>
          <w:szCs w:val="24"/>
        </w:rPr>
        <w:t xml:space="preserve"> 40 %</w:t>
      </w:r>
      <w:r w:rsidR="00D85C6B" w:rsidRPr="00406A62">
        <w:rPr>
          <w:rFonts w:ascii="Times New Roman" w:hAnsi="Times New Roman" w:cs="Times New Roman"/>
          <w:sz w:val="24"/>
          <w:szCs w:val="24"/>
        </w:rPr>
        <w:t xml:space="preserve"> wartości spółdzielczego własnościowego prawa do lokalu</w:t>
      </w:r>
      <w:r w:rsidRPr="00406A62">
        <w:rPr>
          <w:rFonts w:ascii="Times New Roman" w:hAnsi="Times New Roman" w:cs="Times New Roman"/>
          <w:sz w:val="24"/>
          <w:szCs w:val="24"/>
        </w:rPr>
        <w:t>. Proponowane podwyższenie wysokości odszkodowania o procentowo określoną część wartości rynkowej stanowi zryczałtowaną formę rekompensaty pieniężnej związanej z przymusowym charakterem nabycia nieruchomości przez podmiot publiczny. Brak takiej formy rekompensaty powoduje konieczność ponoszenia przez właścicieli szeregu kosztów, związanych m. in. z nabyciem nowej nieruchomości i</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przeprowadzką.</w:t>
      </w:r>
    </w:p>
    <w:p w14:paraId="1B0BD0AD" w14:textId="77777777" w:rsidR="00EC2243" w:rsidRPr="00406A62" w:rsidRDefault="00EC224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Po wtóre inwestor może nabyć nieruchomość za cenę stanowiącą równowartość wartości odtworzeniowej nieruchomości określonej bez uwzględnienia stopnia zużycia.</w:t>
      </w:r>
    </w:p>
    <w:p w14:paraId="2F513C17" w14:textId="0AE796D2" w:rsidR="006A3D26" w:rsidRPr="00406A62" w:rsidRDefault="006A3D2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Kolejnym uprawnieniem jest możliwość nabycia </w:t>
      </w:r>
      <w:r w:rsidR="00AD1B29" w:rsidRPr="00406A62">
        <w:rPr>
          <w:rFonts w:ascii="Times New Roman" w:hAnsi="Times New Roman" w:cs="Times New Roman"/>
          <w:sz w:val="24"/>
          <w:szCs w:val="24"/>
        </w:rPr>
        <w:t xml:space="preserve">nieruchomości </w:t>
      </w:r>
      <w:r w:rsidRPr="00406A62">
        <w:rPr>
          <w:rFonts w:ascii="Times New Roman" w:hAnsi="Times New Roman" w:cs="Times New Roman"/>
          <w:sz w:val="24"/>
          <w:szCs w:val="24"/>
        </w:rPr>
        <w:t xml:space="preserve">za cenę stanowiącą </w:t>
      </w:r>
      <w:r w:rsidR="000D276D">
        <w:rPr>
          <w:rFonts w:ascii="Times New Roman" w:hAnsi="Times New Roman" w:cs="Times New Roman"/>
          <w:sz w:val="24"/>
          <w:szCs w:val="24"/>
        </w:rPr>
        <w:br/>
      </w:r>
      <w:r w:rsidRPr="00406A62">
        <w:rPr>
          <w:rFonts w:ascii="Times New Roman" w:hAnsi="Times New Roman" w:cs="Times New Roman"/>
          <w:sz w:val="24"/>
          <w:szCs w:val="24"/>
        </w:rPr>
        <w:t xml:space="preserve">25-krotność wskaźnika przeliczeniowego kosztu odtworzenia 1 metra kwadratowego powierzchni użytkowej budynków mieszkalnych ogłaszanego przez wojewodę </w:t>
      </w:r>
      <w:r w:rsidR="00D85C6B" w:rsidRPr="00406A62">
        <w:rPr>
          <w:rFonts w:ascii="Times New Roman" w:hAnsi="Times New Roman" w:cs="Times New Roman"/>
          <w:sz w:val="24"/>
          <w:szCs w:val="24"/>
        </w:rPr>
        <w:t xml:space="preserve">obowiązującego </w:t>
      </w:r>
      <w:r w:rsidRPr="00406A62">
        <w:rPr>
          <w:rFonts w:ascii="Times New Roman" w:hAnsi="Times New Roman" w:cs="Times New Roman"/>
          <w:sz w:val="24"/>
          <w:szCs w:val="24"/>
        </w:rPr>
        <w:t>w roku poprzedzającym dzień dokonania transakcji. Natomiast w przypadku, gdy w budynku mieszkalnym albo samodzielnym lokalu mieszkalnym zameldowane na pobyt stały są więcej niż 2 osoby</w:t>
      </w:r>
      <w:r w:rsidR="00FD5524">
        <w:rPr>
          <w:rFonts w:ascii="Times New Roman" w:hAnsi="Times New Roman" w:cs="Times New Roman"/>
          <w:sz w:val="24"/>
          <w:szCs w:val="24"/>
        </w:rPr>
        <w:t>,</w:t>
      </w:r>
      <w:r w:rsidRPr="00406A62">
        <w:rPr>
          <w:rFonts w:ascii="Times New Roman" w:hAnsi="Times New Roman" w:cs="Times New Roman"/>
          <w:sz w:val="24"/>
          <w:szCs w:val="24"/>
        </w:rPr>
        <w:t xml:space="preserve"> inwestor może nabyć nieruchomość za łączną wysokość ceny ustalonej zgodnie z zasadą opisaną powyżej, powiększoną w odniesieniu do trzeciej i każdej kolejnej osoby o 10-krotność wskaźnika przeliczeniowego. Wskazać również należy, że przy ustalaniu liczby osób zameldowanych na pobyt stały pomija się osoby inne niż: osoby bliskie wobec właściciela albo użytkownika wieczystego nieruchomości, w rozumieniu art. 4 pkt 13 ustawy z</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dnia 21 sierpnia 1997 r. o gospodarce nieruchomościami, oraz osoby zameldowane na pobyt stały krócej niż przez rok poprzedzający bezpośrednio dzień dokonania transakcji, przy czym warunek zameldowania stosuje się również do właściciela albo użytkownika wieczystego nieruchomości. Nie podlega ona natomiast zastosowaniu wobec osób, które urodziły się albo nabyły w drodze dziedziczenia, zapisu albo zapisu windykacyjnego prawo własności lub prawo użytkowania wieczystego nieruchomości w okresie roku poprzedzającego bezpośrednio dzień dokonania transakcji</w:t>
      </w:r>
      <w:r w:rsidR="00E768D5" w:rsidRPr="00406A62">
        <w:rPr>
          <w:rFonts w:ascii="Times New Roman" w:hAnsi="Times New Roman" w:cs="Times New Roman"/>
          <w:sz w:val="24"/>
          <w:szCs w:val="24"/>
        </w:rPr>
        <w:t>.</w:t>
      </w:r>
      <w:r w:rsidRPr="00406A62">
        <w:rPr>
          <w:rFonts w:ascii="Times New Roman" w:hAnsi="Times New Roman" w:cs="Times New Roman"/>
          <w:sz w:val="24"/>
          <w:szCs w:val="24"/>
        </w:rPr>
        <w:t xml:space="preserve"> Zgodnie z projektowanym ust. </w:t>
      </w:r>
      <w:r w:rsidR="00D85C6B" w:rsidRPr="00406A62">
        <w:rPr>
          <w:rFonts w:ascii="Times New Roman" w:hAnsi="Times New Roman" w:cs="Times New Roman"/>
          <w:sz w:val="24"/>
          <w:szCs w:val="24"/>
        </w:rPr>
        <w:t xml:space="preserve">9 </w:t>
      </w:r>
      <w:r w:rsidRPr="00406A62">
        <w:rPr>
          <w:rFonts w:ascii="Times New Roman" w:hAnsi="Times New Roman" w:cs="Times New Roman"/>
          <w:sz w:val="24"/>
          <w:szCs w:val="24"/>
        </w:rPr>
        <w:t xml:space="preserve">przy ustalaniu liczby osób zameldowanych na pobyt stały pomija się osoby posiadające tytuł prawny do innego lokalu mieszkalnego lub budynku mieszkalnego. Podstawą ustalenia ww. okoliczności jest oświadczenie, składane pod rygorem odpowiedzialności karnej za składanie fałszywych zeznań. Składający oświadczenie jest obowiązany do zawarcia w nim klauzuli </w:t>
      </w:r>
      <w:r w:rsidR="00321D7C">
        <w:rPr>
          <w:rFonts w:ascii="Times New Roman" w:hAnsi="Times New Roman" w:cs="Times New Roman"/>
          <w:sz w:val="24"/>
          <w:szCs w:val="24"/>
        </w:rPr>
        <w:t xml:space="preserve">o </w:t>
      </w:r>
      <w:r w:rsidRPr="00406A62">
        <w:rPr>
          <w:rFonts w:ascii="Times New Roman" w:hAnsi="Times New Roman" w:cs="Times New Roman"/>
          <w:sz w:val="24"/>
          <w:szCs w:val="24"/>
        </w:rPr>
        <w:t xml:space="preserve">następującej </w:t>
      </w:r>
      <w:r w:rsidRPr="00406A62">
        <w:rPr>
          <w:rFonts w:ascii="Times New Roman" w:hAnsi="Times New Roman" w:cs="Times New Roman"/>
          <w:sz w:val="24"/>
          <w:szCs w:val="24"/>
        </w:rPr>
        <w:lastRenderedPageBreak/>
        <w:t>treści:</w:t>
      </w:r>
      <w:r w:rsidR="003930B2">
        <w:rPr>
          <w:rFonts w:ascii="Times New Roman" w:hAnsi="Times New Roman" w:cs="Times New Roman"/>
          <w:sz w:val="24"/>
          <w:szCs w:val="24"/>
        </w:rPr>
        <w:t xml:space="preserve"> </w:t>
      </w:r>
      <w:r w:rsidRPr="00406A62">
        <w:rPr>
          <w:rFonts w:ascii="Times New Roman" w:hAnsi="Times New Roman" w:cs="Times New Roman"/>
          <w:sz w:val="24"/>
          <w:szCs w:val="24"/>
        </w:rPr>
        <w:t>,,Jestem świadomy</w:t>
      </w:r>
      <w:r w:rsidR="00915969" w:rsidRPr="00406A62">
        <w:rPr>
          <w:rFonts w:ascii="Times New Roman" w:hAnsi="Times New Roman" w:cs="Times New Roman"/>
          <w:sz w:val="24"/>
          <w:szCs w:val="24"/>
        </w:rPr>
        <w:t>(-ma)</w:t>
      </w:r>
      <w:r w:rsidRPr="00406A62">
        <w:rPr>
          <w:rFonts w:ascii="Times New Roman" w:hAnsi="Times New Roman" w:cs="Times New Roman"/>
          <w:sz w:val="24"/>
          <w:szCs w:val="24"/>
        </w:rPr>
        <w:t xml:space="preserve"> odpowiedzialności karnej za złożenie fałszywego oświadczenia</w:t>
      </w:r>
      <w:r w:rsidR="00900E95" w:rsidRPr="00406A62">
        <w:rPr>
          <w:rFonts w:ascii="Times New Roman" w:hAnsi="Times New Roman" w:cs="Times New Roman"/>
          <w:sz w:val="24"/>
          <w:szCs w:val="24"/>
        </w:rPr>
        <w:t xml:space="preserve"> wynikającej z art. 233 § 6 ustawy z dnia 6 czerwca 1997 r. – Kodeks karny</w:t>
      </w:r>
      <w:r w:rsidRPr="00406A62">
        <w:rPr>
          <w:rFonts w:ascii="Times New Roman" w:hAnsi="Times New Roman" w:cs="Times New Roman"/>
          <w:sz w:val="24"/>
          <w:szCs w:val="24"/>
        </w:rPr>
        <w:t>.”. Klauzula ta zastępuje pouczenie o odpowiedzialności karnej za składanie fałszywych zeznań.</w:t>
      </w:r>
    </w:p>
    <w:p w14:paraId="5A7AFD85" w14:textId="20020FAD" w:rsidR="006A3D26" w:rsidRPr="00406A62" w:rsidRDefault="006A3D2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Kolejnym uprawnieniem jest przyznanie </w:t>
      </w:r>
      <w:r w:rsidR="00733D8A" w:rsidRPr="00406A62">
        <w:rPr>
          <w:rFonts w:ascii="Times New Roman" w:hAnsi="Times New Roman" w:cs="Times New Roman"/>
          <w:sz w:val="24"/>
          <w:szCs w:val="24"/>
        </w:rPr>
        <w:t>inwestorowi</w:t>
      </w:r>
      <w:r w:rsidRPr="00406A62">
        <w:rPr>
          <w:rFonts w:ascii="Times New Roman" w:hAnsi="Times New Roman" w:cs="Times New Roman"/>
          <w:sz w:val="24"/>
          <w:szCs w:val="24"/>
        </w:rPr>
        <w:t xml:space="preserve"> możliwości nabycia nieruchomości do realizacji danego Przedsięwzięcia za cenę ustaloną jako iloczyn metrów kwadratowych tej nieruchomości i 150 % średniej ceny metra kwadratowego uzgodnionej dla danej inwestycji przez inwestora.</w:t>
      </w:r>
    </w:p>
    <w:p w14:paraId="3B5CB5E0" w14:textId="10775917" w:rsidR="006A3D26" w:rsidRPr="00406A62" w:rsidRDefault="006A3D2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W kolejnych przepisach projektu formułuje się zasadę, zgodnie z którą</w:t>
      </w:r>
      <w:r w:rsidR="00B719E8">
        <w:rPr>
          <w:rFonts w:ascii="Times New Roman" w:hAnsi="Times New Roman" w:cs="Times New Roman"/>
          <w:sz w:val="24"/>
          <w:szCs w:val="24"/>
        </w:rPr>
        <w:t>,</w:t>
      </w:r>
      <w:r w:rsidRPr="00406A62">
        <w:rPr>
          <w:rFonts w:ascii="Times New Roman" w:hAnsi="Times New Roman" w:cs="Times New Roman"/>
          <w:sz w:val="24"/>
          <w:szCs w:val="24"/>
        </w:rPr>
        <w:t xml:space="preserve"> dokonując szacowania wartości nieruchomości, rzeczoznawca majątkowy przy podejściu porównawczym w transakcjach uwzględnia wyłącznie wartość rynkową nieruchomości, bez elementów ceny przewyższających tę wartość.</w:t>
      </w:r>
    </w:p>
    <w:p w14:paraId="6EBA350E" w14:textId="5C787CAF" w:rsidR="00D85C6B" w:rsidRPr="00406A62" w:rsidRDefault="006A3D2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Analizując powyższe zasady nabywania nieruchomości</w:t>
      </w:r>
      <w:r w:rsidR="00321D7C">
        <w:rPr>
          <w:rFonts w:ascii="Times New Roman" w:hAnsi="Times New Roman" w:cs="Times New Roman"/>
          <w:sz w:val="24"/>
          <w:szCs w:val="24"/>
        </w:rPr>
        <w:t>,</w:t>
      </w:r>
      <w:r w:rsidRPr="00406A62">
        <w:rPr>
          <w:rFonts w:ascii="Times New Roman" w:hAnsi="Times New Roman" w:cs="Times New Roman"/>
          <w:sz w:val="24"/>
          <w:szCs w:val="24"/>
        </w:rPr>
        <w:t xml:space="preserve"> należy podkreślić, że zasadniczym celem projektowanych przepisów jest uregulowanie uprawnień inwestora w zakresie wydatkowania środków publicznych – ustanowienia granic, w jakich inwestor może wydatkować te środki na zakup nieruchomości, mieszcząc się w granicach celowości i gospodarności wydatkowania.</w:t>
      </w:r>
    </w:p>
    <w:p w14:paraId="1D23AE28" w14:textId="7191BAB2" w:rsidR="0051167C" w:rsidRPr="00406A62" w:rsidRDefault="0051167C"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3C5655" w:rsidRPr="00406A62">
        <w:rPr>
          <w:rFonts w:ascii="Times New Roman" w:hAnsi="Times New Roman" w:cs="Times New Roman"/>
          <w:b/>
          <w:sz w:val="24"/>
          <w:szCs w:val="24"/>
        </w:rPr>
        <w:t>23</w:t>
      </w:r>
      <w:r w:rsidR="003C5655" w:rsidRPr="00406A62">
        <w:rPr>
          <w:rFonts w:ascii="Times New Roman" w:hAnsi="Times New Roman" w:cs="Times New Roman"/>
          <w:sz w:val="24"/>
          <w:szCs w:val="24"/>
        </w:rPr>
        <w:t xml:space="preserve"> </w:t>
      </w:r>
      <w:r w:rsidR="00E006A8" w:rsidRPr="00406A62">
        <w:rPr>
          <w:rFonts w:ascii="Times New Roman" w:hAnsi="Times New Roman" w:cs="Times New Roman"/>
          <w:sz w:val="24"/>
          <w:szCs w:val="24"/>
        </w:rPr>
        <w:t>nowelizuje ustawę</w:t>
      </w:r>
      <w:r w:rsidR="006641FE" w:rsidRPr="00406A62">
        <w:rPr>
          <w:rFonts w:ascii="Times New Roman" w:hAnsi="Times New Roman" w:cs="Times New Roman"/>
          <w:sz w:val="24"/>
          <w:szCs w:val="24"/>
        </w:rPr>
        <w:t xml:space="preserve"> z dnia 7 lipca 1994 r. –</w:t>
      </w:r>
      <w:r w:rsidR="00E006A8" w:rsidRPr="00406A62">
        <w:rPr>
          <w:rFonts w:ascii="Times New Roman" w:hAnsi="Times New Roman" w:cs="Times New Roman"/>
          <w:sz w:val="24"/>
          <w:szCs w:val="24"/>
        </w:rPr>
        <w:t xml:space="preserve"> Prawo budowlane (PB) przez rozszerzenie listy inwestycji podlegających procedurze zgłoszenia, określonej w art. 29 w ust. 1 ustawy PB. W konsekwencji powyższej zmiany dokonane zostały zmiany art. 30</w:t>
      </w:r>
      <w:r w:rsidR="00214950" w:rsidRPr="00406A62">
        <w:rPr>
          <w:rFonts w:ascii="Times New Roman" w:hAnsi="Times New Roman" w:cs="Times New Roman"/>
          <w:sz w:val="24"/>
          <w:szCs w:val="24"/>
        </w:rPr>
        <w:t xml:space="preserve"> ust. 2a pkt 5</w:t>
      </w:r>
      <w:r w:rsidR="00E006A8" w:rsidRPr="00406A62">
        <w:rPr>
          <w:rFonts w:ascii="Times New Roman" w:hAnsi="Times New Roman" w:cs="Times New Roman"/>
          <w:sz w:val="24"/>
          <w:szCs w:val="24"/>
        </w:rPr>
        <w:t xml:space="preserve">, </w:t>
      </w:r>
      <w:r w:rsidR="00214950" w:rsidRPr="00406A62">
        <w:rPr>
          <w:rFonts w:ascii="Times New Roman" w:hAnsi="Times New Roman" w:cs="Times New Roman"/>
          <w:sz w:val="24"/>
          <w:szCs w:val="24"/>
        </w:rPr>
        <w:t xml:space="preserve">art. </w:t>
      </w:r>
      <w:r w:rsidR="00AB2CFB" w:rsidRPr="00406A62">
        <w:rPr>
          <w:rFonts w:ascii="Times New Roman" w:hAnsi="Times New Roman" w:cs="Times New Roman"/>
          <w:sz w:val="24"/>
          <w:szCs w:val="24"/>
        </w:rPr>
        <w:t>41</w:t>
      </w:r>
      <w:r w:rsidR="00214950" w:rsidRPr="00406A62">
        <w:rPr>
          <w:rFonts w:ascii="Times New Roman" w:hAnsi="Times New Roman" w:cs="Times New Roman"/>
          <w:sz w:val="24"/>
          <w:szCs w:val="24"/>
        </w:rPr>
        <w:t xml:space="preserve"> ust.</w:t>
      </w:r>
      <w:r w:rsidR="003930B2">
        <w:rPr>
          <w:rFonts w:ascii="Times New Roman" w:hAnsi="Times New Roman" w:cs="Times New Roman"/>
          <w:sz w:val="24"/>
          <w:szCs w:val="24"/>
        </w:rPr>
        <w:t> </w:t>
      </w:r>
      <w:r w:rsidR="00214950" w:rsidRPr="00406A62">
        <w:rPr>
          <w:rFonts w:ascii="Times New Roman" w:hAnsi="Times New Roman" w:cs="Times New Roman"/>
          <w:sz w:val="24"/>
          <w:szCs w:val="24"/>
        </w:rPr>
        <w:t>4</w:t>
      </w:r>
      <w:r w:rsidR="00AB2CFB" w:rsidRPr="00406A62">
        <w:rPr>
          <w:rFonts w:ascii="Times New Roman" w:hAnsi="Times New Roman" w:cs="Times New Roman"/>
          <w:sz w:val="24"/>
          <w:szCs w:val="24"/>
        </w:rPr>
        <w:t xml:space="preserve">, </w:t>
      </w:r>
      <w:r w:rsidR="00214950" w:rsidRPr="00406A62">
        <w:rPr>
          <w:rFonts w:ascii="Times New Roman" w:hAnsi="Times New Roman" w:cs="Times New Roman"/>
          <w:sz w:val="24"/>
          <w:szCs w:val="24"/>
        </w:rPr>
        <w:t xml:space="preserve">art. </w:t>
      </w:r>
      <w:r w:rsidR="00E006A8" w:rsidRPr="00406A62">
        <w:rPr>
          <w:rFonts w:ascii="Times New Roman" w:hAnsi="Times New Roman" w:cs="Times New Roman"/>
          <w:sz w:val="24"/>
          <w:szCs w:val="24"/>
        </w:rPr>
        <w:t>42</w:t>
      </w:r>
      <w:r w:rsidR="00214950" w:rsidRPr="00406A62">
        <w:rPr>
          <w:rFonts w:ascii="Times New Roman" w:hAnsi="Times New Roman" w:cs="Times New Roman"/>
          <w:sz w:val="24"/>
          <w:szCs w:val="24"/>
        </w:rPr>
        <w:t xml:space="preserve"> ust. 1</w:t>
      </w:r>
      <w:r w:rsidR="00E006A8" w:rsidRPr="00406A62">
        <w:rPr>
          <w:rFonts w:ascii="Times New Roman" w:hAnsi="Times New Roman" w:cs="Times New Roman"/>
          <w:sz w:val="24"/>
          <w:szCs w:val="24"/>
        </w:rPr>
        <w:t xml:space="preserve">, </w:t>
      </w:r>
      <w:r w:rsidR="00214950" w:rsidRPr="00406A62">
        <w:rPr>
          <w:rFonts w:ascii="Times New Roman" w:hAnsi="Times New Roman" w:cs="Times New Roman"/>
          <w:sz w:val="24"/>
          <w:szCs w:val="24"/>
        </w:rPr>
        <w:t xml:space="preserve">art. </w:t>
      </w:r>
      <w:r w:rsidR="00E006A8" w:rsidRPr="00406A62">
        <w:rPr>
          <w:rFonts w:ascii="Times New Roman" w:hAnsi="Times New Roman" w:cs="Times New Roman"/>
          <w:sz w:val="24"/>
          <w:szCs w:val="24"/>
        </w:rPr>
        <w:t xml:space="preserve">43 </w:t>
      </w:r>
      <w:r w:rsidR="00214950" w:rsidRPr="00406A62">
        <w:rPr>
          <w:rFonts w:ascii="Times New Roman" w:hAnsi="Times New Roman" w:cs="Times New Roman"/>
          <w:sz w:val="24"/>
          <w:szCs w:val="24"/>
        </w:rPr>
        <w:t xml:space="preserve">ust. 1 pkt 2 </w:t>
      </w:r>
      <w:r w:rsidR="00E006A8" w:rsidRPr="00406A62">
        <w:rPr>
          <w:rFonts w:ascii="Times New Roman" w:hAnsi="Times New Roman" w:cs="Times New Roman"/>
          <w:sz w:val="24"/>
          <w:szCs w:val="24"/>
        </w:rPr>
        <w:t>PB mające na celu określenie dodatkowych wymogów dla kluczowych inwestycji podlegających zgłoszeniu takich jak: sporządzanie projektu budowlanego, ustanowienia kierownika budowy, prowadzenie dziennika budowy oraz geodezyjne wyznaczenie w</w:t>
      </w:r>
      <w:r w:rsidR="00C77034" w:rsidRPr="00406A62">
        <w:rPr>
          <w:rFonts w:ascii="Times New Roman" w:hAnsi="Times New Roman" w:cs="Times New Roman"/>
          <w:sz w:val="24"/>
          <w:szCs w:val="24"/>
        </w:rPr>
        <w:t> </w:t>
      </w:r>
      <w:r w:rsidR="00E006A8" w:rsidRPr="00406A62">
        <w:rPr>
          <w:rFonts w:ascii="Times New Roman" w:hAnsi="Times New Roman" w:cs="Times New Roman"/>
          <w:sz w:val="24"/>
          <w:szCs w:val="24"/>
        </w:rPr>
        <w:t xml:space="preserve">terenie, a po wybudowaniu - geodezyjna inwentaryzacja powykonawcza. Zgodnie z opinią projektodawcy, w odniesieniu do dużych i skomplikowanych inwestycji </w:t>
      </w:r>
      <w:r w:rsidR="008F7013" w:rsidRPr="00406A62">
        <w:rPr>
          <w:rFonts w:ascii="Times New Roman" w:hAnsi="Times New Roman" w:cs="Times New Roman"/>
          <w:sz w:val="24"/>
          <w:szCs w:val="24"/>
        </w:rPr>
        <w:t xml:space="preserve">jest </w:t>
      </w:r>
      <w:r w:rsidR="00E006A8" w:rsidRPr="00406A62">
        <w:rPr>
          <w:rFonts w:ascii="Times New Roman" w:hAnsi="Times New Roman" w:cs="Times New Roman"/>
          <w:sz w:val="24"/>
          <w:szCs w:val="24"/>
        </w:rPr>
        <w:t>zasadne sporządzić projekt budowlany, ustanowić kierownika budowy i prowadzić dziennik budowy.</w:t>
      </w:r>
    </w:p>
    <w:p w14:paraId="319B484B" w14:textId="106BF0F5" w:rsidR="00B52006" w:rsidRPr="00406A62" w:rsidRDefault="00B52006" w:rsidP="00406A62">
      <w:pPr>
        <w:spacing w:before="120" w:after="0" w:line="360" w:lineRule="auto"/>
        <w:jc w:val="both"/>
        <w:rPr>
          <w:rFonts w:ascii="Times New Roman" w:hAnsi="Times New Roman" w:cs="Times New Roman"/>
          <w:sz w:val="24"/>
          <w:szCs w:val="24"/>
        </w:rPr>
      </w:pPr>
      <w:bookmarkStart w:id="1" w:name="_Hlk222317003"/>
      <w:r w:rsidRPr="00406A62">
        <w:rPr>
          <w:rFonts w:ascii="Times New Roman" w:hAnsi="Times New Roman" w:cs="Times New Roman"/>
          <w:sz w:val="24"/>
          <w:szCs w:val="24"/>
        </w:rPr>
        <w:t>Procedurze zgłoszenia robót budowlanych będą podlegały inwestycje polegające na budowie:</w:t>
      </w:r>
    </w:p>
    <w:bookmarkEnd w:id="1"/>
    <w:p w14:paraId="53A773AD" w14:textId="6E06EC9E" w:rsidR="00B52006" w:rsidRPr="00406A62" w:rsidRDefault="00B52006" w:rsidP="00406A62">
      <w:pPr>
        <w:pStyle w:val="Akapitzlist"/>
        <w:numPr>
          <w:ilvl w:val="0"/>
          <w:numId w:val="46"/>
        </w:numPr>
        <w:spacing w:after="0" w:line="360" w:lineRule="auto"/>
        <w:ind w:left="714" w:hanging="357"/>
        <w:contextualSpacing w:val="0"/>
        <w:jc w:val="both"/>
        <w:rPr>
          <w:rFonts w:ascii="Times New Roman" w:hAnsi="Times New Roman" w:cs="Times New Roman"/>
          <w:sz w:val="24"/>
          <w:szCs w:val="24"/>
        </w:rPr>
      </w:pPr>
      <w:r w:rsidRPr="00406A62">
        <w:rPr>
          <w:rFonts w:ascii="Times New Roman" w:hAnsi="Times New Roman" w:cs="Times New Roman"/>
          <w:sz w:val="24"/>
          <w:szCs w:val="24"/>
        </w:rPr>
        <w:t>obiektów budowlanych związanych z realizacją inwestycji kluczowych, zlokalizowanych w</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granicach portu morskiego o podstawowym znaczeniu dla gospodarki narodowej</w:t>
      </w:r>
      <w:r w:rsidR="00AB2CFB" w:rsidRPr="00406A62">
        <w:rPr>
          <w:rFonts w:ascii="Times New Roman" w:hAnsi="Times New Roman" w:cs="Times New Roman"/>
          <w:sz w:val="24"/>
          <w:szCs w:val="24"/>
        </w:rPr>
        <w:t>;</w:t>
      </w:r>
    </w:p>
    <w:p w14:paraId="5A0D8538" w14:textId="4E281F68" w:rsidR="00B52006" w:rsidRPr="00406A62" w:rsidRDefault="00B52006" w:rsidP="00406A62">
      <w:pPr>
        <w:pStyle w:val="Akapitzlist"/>
        <w:numPr>
          <w:ilvl w:val="0"/>
          <w:numId w:val="46"/>
        </w:numPr>
        <w:spacing w:before="120" w:after="0" w:line="360" w:lineRule="auto"/>
        <w:ind w:left="714" w:hanging="357"/>
        <w:jc w:val="both"/>
        <w:rPr>
          <w:rFonts w:ascii="Times New Roman" w:hAnsi="Times New Roman" w:cs="Times New Roman"/>
          <w:sz w:val="24"/>
          <w:szCs w:val="24"/>
        </w:rPr>
      </w:pPr>
      <w:r w:rsidRPr="00406A62">
        <w:rPr>
          <w:rFonts w:ascii="Times New Roman" w:hAnsi="Times New Roman" w:cs="Times New Roman"/>
          <w:sz w:val="24"/>
          <w:szCs w:val="24"/>
        </w:rPr>
        <w:t>umocnień dna, związanych z realizacją inwestycji kluczowych, zlokalizowanych w granicach portu morskiego o podstawowym znaczeniu dla gospodarki narodowej;</w:t>
      </w:r>
    </w:p>
    <w:p w14:paraId="276FBD05" w14:textId="0AA87E3D" w:rsidR="005B57EB" w:rsidRPr="00406A62" w:rsidRDefault="005B57EB" w:rsidP="00406A62">
      <w:pPr>
        <w:pStyle w:val="Akapitzlist"/>
        <w:numPr>
          <w:ilvl w:val="0"/>
          <w:numId w:val="46"/>
        </w:numPr>
        <w:spacing w:before="120" w:after="0" w:line="360" w:lineRule="auto"/>
        <w:ind w:left="714" w:hanging="357"/>
        <w:jc w:val="both"/>
        <w:rPr>
          <w:rFonts w:ascii="Times New Roman" w:hAnsi="Times New Roman" w:cs="Times New Roman"/>
          <w:sz w:val="24"/>
          <w:szCs w:val="24"/>
        </w:rPr>
      </w:pPr>
      <w:r w:rsidRPr="00406A62">
        <w:rPr>
          <w:rFonts w:ascii="Times New Roman" w:hAnsi="Times New Roman" w:cs="Times New Roman"/>
          <w:sz w:val="24"/>
          <w:szCs w:val="24"/>
        </w:rPr>
        <w:lastRenderedPageBreak/>
        <w:t>obiektów budowlanych i budowli realizowanych w ramach inwestycji kluczowych w</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rozumieniu art. 2 pkt 7</w:t>
      </w:r>
      <w:r w:rsidR="006D58DC" w:rsidRPr="00406A62">
        <w:rPr>
          <w:rFonts w:ascii="Times New Roman" w:hAnsi="Times New Roman" w:cs="Times New Roman"/>
          <w:sz w:val="24"/>
          <w:szCs w:val="24"/>
        </w:rPr>
        <w:t xml:space="preserve"> projektu ustawy</w:t>
      </w:r>
      <w:r w:rsidRPr="00406A62">
        <w:rPr>
          <w:rFonts w:ascii="Times New Roman" w:hAnsi="Times New Roman" w:cs="Times New Roman"/>
          <w:sz w:val="24"/>
          <w:szCs w:val="24"/>
        </w:rPr>
        <w:t>;</w:t>
      </w:r>
    </w:p>
    <w:p w14:paraId="04B33459" w14:textId="480EC4FA" w:rsidR="005B57EB" w:rsidRPr="00406A62" w:rsidRDefault="005B57EB" w:rsidP="00406A62">
      <w:pPr>
        <w:pStyle w:val="Akapitzlist"/>
        <w:numPr>
          <w:ilvl w:val="0"/>
          <w:numId w:val="4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obiektów budowlanych realizowanych w ramach inwestycji kluczowych, </w:t>
      </w:r>
      <w:r w:rsidR="008B4257" w:rsidRPr="00406A62">
        <w:rPr>
          <w:rFonts w:ascii="Times New Roman" w:hAnsi="Times New Roman" w:cs="Times New Roman"/>
          <w:sz w:val="24"/>
          <w:szCs w:val="24"/>
        </w:rPr>
        <w:t>o których mowa w</w:t>
      </w:r>
      <w:r w:rsidR="00C77034" w:rsidRPr="00406A62">
        <w:rPr>
          <w:rFonts w:ascii="Times New Roman" w:hAnsi="Times New Roman" w:cs="Times New Roman"/>
          <w:sz w:val="24"/>
          <w:szCs w:val="24"/>
        </w:rPr>
        <w:t> </w:t>
      </w:r>
      <w:r w:rsidR="008B4257" w:rsidRPr="00406A62">
        <w:rPr>
          <w:rFonts w:ascii="Times New Roman" w:hAnsi="Times New Roman" w:cs="Times New Roman"/>
          <w:sz w:val="24"/>
          <w:szCs w:val="24"/>
        </w:rPr>
        <w:t>art. 2 pkt 2 lit. c, pkt 3 i 4 lit. c ustawy z dnia … o usprawnieniu procesu inwestycyjnego w</w:t>
      </w:r>
      <w:r w:rsidR="00C77034" w:rsidRPr="00406A62">
        <w:rPr>
          <w:rFonts w:ascii="Times New Roman" w:hAnsi="Times New Roman" w:cs="Times New Roman"/>
          <w:sz w:val="24"/>
          <w:szCs w:val="24"/>
        </w:rPr>
        <w:t> </w:t>
      </w:r>
      <w:r w:rsidR="008B4257" w:rsidRPr="00406A62">
        <w:rPr>
          <w:rFonts w:ascii="Times New Roman" w:hAnsi="Times New Roman" w:cs="Times New Roman"/>
          <w:sz w:val="24"/>
          <w:szCs w:val="24"/>
        </w:rPr>
        <w:t xml:space="preserve">zakresie kluczowych inwestycji infrastrukturalnych, </w:t>
      </w:r>
      <w:r w:rsidRPr="00406A62">
        <w:rPr>
          <w:rFonts w:ascii="Times New Roman" w:hAnsi="Times New Roman" w:cs="Times New Roman"/>
          <w:sz w:val="24"/>
          <w:szCs w:val="24"/>
        </w:rPr>
        <w:t>wchodzących w skład infrastruktury kolejowej</w:t>
      </w:r>
      <w:r w:rsidR="003C5655" w:rsidRPr="00406A62">
        <w:rPr>
          <w:rFonts w:ascii="Times New Roman" w:hAnsi="Times New Roman" w:cs="Times New Roman"/>
          <w:sz w:val="24"/>
          <w:szCs w:val="24"/>
        </w:rPr>
        <w:t xml:space="preserve"> w rozumieniu</w:t>
      </w:r>
      <w:r w:rsidRPr="00406A62">
        <w:rPr>
          <w:rFonts w:ascii="Times New Roman" w:hAnsi="Times New Roman" w:cs="Times New Roman"/>
          <w:sz w:val="24"/>
          <w:szCs w:val="24"/>
        </w:rPr>
        <w:t xml:space="preserve"> art. 4 pkt 1 ustawy z dnia 28 marca 2003</w:t>
      </w:r>
      <w:r w:rsidR="003930B2">
        <w:rPr>
          <w:rFonts w:ascii="Times New Roman" w:hAnsi="Times New Roman" w:cs="Times New Roman"/>
          <w:sz w:val="24"/>
          <w:szCs w:val="24"/>
        </w:rPr>
        <w:t> </w:t>
      </w:r>
      <w:r w:rsidRPr="00406A62">
        <w:rPr>
          <w:rFonts w:ascii="Times New Roman" w:hAnsi="Times New Roman" w:cs="Times New Roman"/>
          <w:sz w:val="24"/>
          <w:szCs w:val="24"/>
        </w:rPr>
        <w:t>r. o transporcie kolejowym realizowanej na obszarze kolejowym w rozumieniu art. 4 pkt</w:t>
      </w:r>
      <w:r w:rsidR="003930B2">
        <w:rPr>
          <w:rFonts w:ascii="Times New Roman" w:hAnsi="Times New Roman" w:cs="Times New Roman"/>
          <w:sz w:val="24"/>
          <w:szCs w:val="24"/>
        </w:rPr>
        <w:t> </w:t>
      </w:r>
      <w:r w:rsidRPr="00406A62">
        <w:rPr>
          <w:rFonts w:ascii="Times New Roman" w:hAnsi="Times New Roman" w:cs="Times New Roman"/>
          <w:sz w:val="24"/>
          <w:szCs w:val="24"/>
        </w:rPr>
        <w:t>8 tej ustawy;</w:t>
      </w:r>
    </w:p>
    <w:p w14:paraId="316474B2" w14:textId="3F4965A5" w:rsidR="00C2608C" w:rsidRPr="00406A62" w:rsidRDefault="00CA2D1B" w:rsidP="00406A62">
      <w:pPr>
        <w:pStyle w:val="Akapitzlist"/>
        <w:numPr>
          <w:ilvl w:val="0"/>
          <w:numId w:val="46"/>
        </w:num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połączeń obiektów budowlanych, o których mowa w pkt 5–11 załącznika nr 1 do ustawy z dnia 28 marca 2003 r. o transporcie kolejowym, realizowanych w ramach inwestycji kluczowych, o</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których mowa w art. 2 pkt 2 lit. c, pkt 3 i 4 lit. c ustawy z dnia … o usprawnieniu procesu inwestycyjnego w zakresie kluczowych inwestycji infrastrukturalnych, z siecią dystrybucyjną lub siecią przesyłową elektroenergetyczną w rozumieniu art. 3 pkt 11a i 11b ustawy z dnia 10 kwietnia 1997 r. – Prawo energetyczne</w:t>
      </w:r>
      <w:r w:rsidR="006F022C" w:rsidRPr="00406A62">
        <w:rPr>
          <w:rFonts w:ascii="Times New Roman" w:hAnsi="Times New Roman" w:cs="Times New Roman"/>
          <w:sz w:val="24"/>
          <w:szCs w:val="24"/>
        </w:rPr>
        <w:t>.”</w:t>
      </w:r>
      <w:r w:rsidR="00C2608C" w:rsidRPr="00406A62">
        <w:rPr>
          <w:rFonts w:ascii="Times New Roman" w:hAnsi="Times New Roman" w:cs="Times New Roman"/>
          <w:sz w:val="24"/>
          <w:szCs w:val="24"/>
        </w:rPr>
        <w:t>.</w:t>
      </w:r>
    </w:p>
    <w:p w14:paraId="53BC9939" w14:textId="5795E9DD" w:rsidR="00B52006" w:rsidRPr="00406A62" w:rsidRDefault="00B5200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Ze względu na charakter tych prac do zgłoszenia ww. robót budowlanych będzie wymagane dołączenie projektu zagospodarowania działki lub terenu, wykonanego przez projektanta posiadającego wymagane uprawnienia budowlane.</w:t>
      </w:r>
    </w:p>
    <w:p w14:paraId="778B6770" w14:textId="469307F7" w:rsidR="00B52006" w:rsidRPr="00406A62" w:rsidRDefault="00B52006"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Ponadto dla tych zgłoszeń będzie wymagane zawiadomienie organu nadzoru budowlanego oraz projektanta sprawującego nadzór nad zgodnością realizacji budowy z projektem o zamierzonym terminie rozpoczęcia robót budowlanych. Propozycja zmiany art. 42 przewiduje obowiązek sporządzenia projektu technicznego oraz ustanowienia kierownika budowy. Z kolei propozycja zmian w art. 43 przewiduje dla ww. prac budowlanych obowiązek geodezyjnego wyznaczenia w terenie, a po wybudowaniu – geodezyjnej inwentaryzacji powykonawczej.</w:t>
      </w:r>
    </w:p>
    <w:p w14:paraId="45961073" w14:textId="79A78A33" w:rsidR="006A6935" w:rsidRPr="00406A62" w:rsidRDefault="006A69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bCs/>
          <w:sz w:val="24"/>
          <w:szCs w:val="24"/>
        </w:rPr>
        <w:t xml:space="preserve">Art. </w:t>
      </w:r>
      <w:r w:rsidR="003C5655" w:rsidRPr="00406A62">
        <w:rPr>
          <w:rFonts w:ascii="Times New Roman" w:hAnsi="Times New Roman" w:cs="Times New Roman"/>
          <w:b/>
          <w:bCs/>
          <w:sz w:val="24"/>
          <w:szCs w:val="24"/>
        </w:rPr>
        <w:t>24</w:t>
      </w:r>
      <w:r w:rsidRPr="00406A62">
        <w:rPr>
          <w:rFonts w:ascii="Times New Roman" w:hAnsi="Times New Roman" w:cs="Times New Roman"/>
          <w:b/>
          <w:bCs/>
          <w:sz w:val="24"/>
          <w:szCs w:val="24"/>
        </w:rPr>
        <w:t>.</w:t>
      </w:r>
      <w:r w:rsidRPr="00406A62">
        <w:rPr>
          <w:rFonts w:ascii="Times New Roman" w:hAnsi="Times New Roman" w:cs="Times New Roman"/>
          <w:sz w:val="24"/>
          <w:szCs w:val="24"/>
        </w:rPr>
        <w:t xml:space="preserve"> Określa zmiany w ustawie </w:t>
      </w:r>
      <w:r w:rsidR="006641FE" w:rsidRPr="00406A62">
        <w:rPr>
          <w:rFonts w:ascii="Times New Roman" w:hAnsi="Times New Roman" w:cs="Times New Roman"/>
          <w:sz w:val="24"/>
          <w:szCs w:val="24"/>
        </w:rPr>
        <w:t xml:space="preserve">z dnia 10 kwietnia 1997 r. </w:t>
      </w:r>
      <w:r w:rsidRPr="00406A62">
        <w:rPr>
          <w:rFonts w:ascii="Times New Roman" w:hAnsi="Times New Roman" w:cs="Times New Roman"/>
          <w:sz w:val="24"/>
          <w:szCs w:val="24"/>
        </w:rPr>
        <w:t>– Prawo energetyczne (Dz. U. z 2026 r. poz. 43, z późn. zm.) dotyczące art. 7 ust. 1aa, art. 8 ust. 1, art. 9c ust. 3 pkt 11 oraz art.</w:t>
      </w:r>
      <w:r w:rsidR="006A3415">
        <w:rPr>
          <w:rFonts w:ascii="Times New Roman" w:hAnsi="Times New Roman" w:cs="Times New Roman"/>
          <w:sz w:val="24"/>
          <w:szCs w:val="24"/>
        </w:rPr>
        <w:t> </w:t>
      </w:r>
      <w:r w:rsidRPr="00406A62">
        <w:rPr>
          <w:rFonts w:ascii="Times New Roman" w:hAnsi="Times New Roman" w:cs="Times New Roman"/>
          <w:sz w:val="24"/>
          <w:szCs w:val="24"/>
        </w:rPr>
        <w:t xml:space="preserve">16 ust. 8b pkt 3 wymagane w celu zapewnienia priorytetowego traktowania dostarczania energii elektrycznej do budowanych lub modernizowanych składników infrastruktury kolejowej </w:t>
      </w:r>
      <w:r w:rsidR="00B240B0" w:rsidRPr="00406A62">
        <w:rPr>
          <w:rFonts w:ascii="Times New Roman" w:hAnsi="Times New Roman" w:cs="Times New Roman"/>
          <w:sz w:val="24"/>
          <w:szCs w:val="24"/>
        </w:rPr>
        <w:t>objętych niniejsza ustawą</w:t>
      </w:r>
      <w:r w:rsidRPr="00406A62">
        <w:rPr>
          <w:rFonts w:ascii="Times New Roman" w:hAnsi="Times New Roman" w:cs="Times New Roman"/>
          <w:sz w:val="24"/>
          <w:szCs w:val="24"/>
        </w:rPr>
        <w:t xml:space="preserve">. Ustanowienie priorytetowego traktowania przyłączeń obiektów budowlanych infrastruktury kolejowej w postaci zapewnienia pierwszeństwa przyłączenia, przyjęcia zasady rozstrzygania spraw spornych w tym zakresie przez Prezesa URE oraz zapewnienie priorytetu dla tych przyłączeń w planach rozwoju przedsiębiorstw energetycznych – stanowi konsekwencję uznania, że osiągnięcie celu ustawy wskazanego w jej </w:t>
      </w:r>
      <w:r w:rsidRPr="00406A62">
        <w:rPr>
          <w:rFonts w:ascii="Times New Roman" w:hAnsi="Times New Roman" w:cs="Times New Roman"/>
          <w:sz w:val="24"/>
          <w:szCs w:val="24"/>
        </w:rPr>
        <w:lastRenderedPageBreak/>
        <w:t xml:space="preserve">art. 1 wymaga zapewnienia usprawnienia realizacji tych elementów inwestycji kluczowych, które służą dostarczaniu energii elektrycznej do budowanych lub modernizowanych składników infrastruktury kolejowej. </w:t>
      </w:r>
      <w:r w:rsidR="00DE6E71" w:rsidRPr="00406A62">
        <w:rPr>
          <w:rFonts w:ascii="Times New Roman" w:hAnsi="Times New Roman" w:cs="Times New Roman"/>
          <w:sz w:val="24"/>
          <w:szCs w:val="24"/>
        </w:rPr>
        <w:t xml:space="preserve">Proponowane regulacje </w:t>
      </w:r>
      <w:r w:rsidR="0073120E" w:rsidRPr="00406A62">
        <w:rPr>
          <w:rFonts w:ascii="Times New Roman" w:hAnsi="Times New Roman" w:cs="Times New Roman"/>
          <w:sz w:val="24"/>
          <w:szCs w:val="24"/>
        </w:rPr>
        <w:t xml:space="preserve">zdejmują z kluczowych inwestycji ryzyka związane z brakiem zasilania, co </w:t>
      </w:r>
      <w:r w:rsidR="00DE6E71" w:rsidRPr="00406A62">
        <w:rPr>
          <w:rFonts w:ascii="Times New Roman" w:hAnsi="Times New Roman" w:cs="Times New Roman"/>
          <w:sz w:val="24"/>
          <w:szCs w:val="24"/>
        </w:rPr>
        <w:t>jest identyfikowane jako</w:t>
      </w:r>
      <w:r w:rsidR="0073120E" w:rsidRPr="00406A62">
        <w:rPr>
          <w:rFonts w:ascii="Times New Roman" w:hAnsi="Times New Roman" w:cs="Times New Roman"/>
          <w:sz w:val="24"/>
          <w:szCs w:val="24"/>
        </w:rPr>
        <w:t xml:space="preserve"> przyczyn</w:t>
      </w:r>
      <w:r w:rsidR="00DE6E71" w:rsidRPr="00406A62">
        <w:rPr>
          <w:rFonts w:ascii="Times New Roman" w:hAnsi="Times New Roman" w:cs="Times New Roman"/>
          <w:sz w:val="24"/>
          <w:szCs w:val="24"/>
        </w:rPr>
        <w:t>a</w:t>
      </w:r>
      <w:r w:rsidR="0073120E" w:rsidRPr="00406A62">
        <w:rPr>
          <w:rFonts w:ascii="Times New Roman" w:hAnsi="Times New Roman" w:cs="Times New Roman"/>
          <w:sz w:val="24"/>
          <w:szCs w:val="24"/>
        </w:rPr>
        <w:t xml:space="preserve"> opóźnień projektów infrastrukturalnych.</w:t>
      </w:r>
    </w:p>
    <w:p w14:paraId="2901DAFA" w14:textId="5713459F" w:rsidR="006A6935" w:rsidRPr="00406A62" w:rsidRDefault="006A6935" w:rsidP="00406A62">
      <w:pPr>
        <w:spacing w:before="120" w:after="0" w:line="360" w:lineRule="auto"/>
        <w:jc w:val="both"/>
        <w:rPr>
          <w:rFonts w:ascii="Times New Roman" w:eastAsia="Times New Roman" w:hAnsi="Times New Roman" w:cs="Times New Roman"/>
          <w:sz w:val="24"/>
          <w:szCs w:val="24"/>
        </w:rPr>
      </w:pPr>
      <w:r w:rsidRPr="00406A62">
        <w:rPr>
          <w:rFonts w:ascii="Times New Roman" w:hAnsi="Times New Roman" w:cs="Times New Roman"/>
          <w:sz w:val="24"/>
          <w:szCs w:val="24"/>
        </w:rPr>
        <w:t xml:space="preserve">W przypadku niewprowadzenia omawianego przepisu wystąpiłoby wysokie prawdopodobieństwo wykreowania „wąskich gardeł” w procedowaniu realizacji </w:t>
      </w:r>
      <w:r w:rsidRPr="00406A62">
        <w:rPr>
          <w:rFonts w:ascii="Times New Roman" w:eastAsia="Times New Roman" w:hAnsi="Times New Roman" w:cs="Times New Roman"/>
          <w:sz w:val="24"/>
          <w:szCs w:val="24"/>
        </w:rPr>
        <w:t xml:space="preserve">kluczowych inwestycji infrastrukturalnych, wynikających z trudnej sytuacji w odniesieniu do dostępu do mocy przyłączeniowych w Krajowym Systemie Elektroenergetycznym wynikającej z nasilenia „konkurencji” w ubieganiu się o uzyskanie warunków przyłączenia do sieci ze strony wytwórców energii oraz instalacji odbiorczych, a także wynikających z wydłużających się procedur administracyjnych. </w:t>
      </w:r>
      <w:r w:rsidR="0073120E" w:rsidRPr="00406A62">
        <w:rPr>
          <w:rFonts w:ascii="Times New Roman" w:eastAsia="Times New Roman" w:hAnsi="Times New Roman" w:cs="Times New Roman"/>
          <w:sz w:val="24"/>
          <w:szCs w:val="24"/>
        </w:rPr>
        <w:t xml:space="preserve">Projektowane zmiany pozwolą na ograniczenie ryzyka opóźnień związanych z procedurami energetycznymi oraz przyczynią się do zwiększenia przewidywalności procesu inwestycyjnego. </w:t>
      </w:r>
    </w:p>
    <w:p w14:paraId="7CDD08AC" w14:textId="778ED2AD" w:rsidR="0051167C" w:rsidRPr="00406A62" w:rsidRDefault="0051167C"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3C5655" w:rsidRPr="00406A62">
        <w:rPr>
          <w:rFonts w:ascii="Times New Roman" w:hAnsi="Times New Roman" w:cs="Times New Roman"/>
          <w:b/>
          <w:sz w:val="24"/>
          <w:szCs w:val="24"/>
        </w:rPr>
        <w:t>25</w:t>
      </w:r>
      <w:r w:rsidR="003C5655"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nowelizuje ustawę </w:t>
      </w:r>
      <w:r w:rsidR="001344EB" w:rsidRPr="00406A62">
        <w:rPr>
          <w:rFonts w:ascii="Times New Roman" w:hAnsi="Times New Roman" w:cs="Times New Roman"/>
          <w:sz w:val="24"/>
          <w:szCs w:val="24"/>
        </w:rPr>
        <w:t xml:space="preserve">z dnia 9 czerwca 2011 r. – </w:t>
      </w:r>
      <w:r w:rsidRPr="00406A62">
        <w:rPr>
          <w:rFonts w:ascii="Times New Roman" w:hAnsi="Times New Roman" w:cs="Times New Roman"/>
          <w:sz w:val="24"/>
          <w:szCs w:val="24"/>
        </w:rPr>
        <w:t>Prawo geologiczne i górnicze</w:t>
      </w:r>
      <w:r w:rsidR="001344EB" w:rsidRPr="00406A62">
        <w:rPr>
          <w:rFonts w:ascii="Times New Roman" w:hAnsi="Times New Roman" w:cs="Times New Roman"/>
          <w:sz w:val="24"/>
          <w:szCs w:val="24"/>
        </w:rPr>
        <w:t xml:space="preserve"> (Dz. U. z 2026 r. poz. 69)</w:t>
      </w:r>
      <w:r w:rsidRPr="00406A62">
        <w:rPr>
          <w:rFonts w:ascii="Times New Roman" w:hAnsi="Times New Roman" w:cs="Times New Roman"/>
          <w:sz w:val="24"/>
          <w:szCs w:val="24"/>
        </w:rPr>
        <w:t>, określając, że zgłoszenia zamiaru rozpoczęcia robót geologicznych właściwemu organowi należy dokonać najpóźniej na 7 dni przed zamierzonym terminem rozpoczęcia robót geologicznych.</w:t>
      </w:r>
    </w:p>
    <w:p w14:paraId="69FA88EC" w14:textId="3A8E0D71" w:rsidR="0051167C" w:rsidRPr="00406A62" w:rsidRDefault="0051167C" w:rsidP="00406A62">
      <w:pPr>
        <w:spacing w:before="120" w:after="0" w:line="360" w:lineRule="auto"/>
        <w:jc w:val="both"/>
        <w:rPr>
          <w:rFonts w:ascii="Times New Roman" w:hAnsi="Times New Roman" w:cs="Times New Roman"/>
          <w:b/>
          <w:sz w:val="24"/>
          <w:szCs w:val="24"/>
        </w:rPr>
      </w:pPr>
      <w:r w:rsidRPr="00406A62">
        <w:rPr>
          <w:rFonts w:ascii="Times New Roman" w:hAnsi="Times New Roman" w:cs="Times New Roman"/>
          <w:sz w:val="24"/>
          <w:szCs w:val="24"/>
        </w:rPr>
        <w:t>Ww. terminu nie stosuje się, gdy decyzji zatwierdzającej projekt robót geologicznych nadano rygor natychmiastowej wykonalności. W takim przypadku zgłoszenie powinno nastąpić po wydaniu tej decyzji, a przed rozpoczęciem robót geologicznych.</w:t>
      </w:r>
    </w:p>
    <w:p w14:paraId="33CD3DD8" w14:textId="244D8EEF" w:rsidR="006B7AF9" w:rsidRPr="00406A62" w:rsidRDefault="001741AE"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B15A94" w:rsidRPr="00406A62">
        <w:rPr>
          <w:rFonts w:ascii="Times New Roman" w:hAnsi="Times New Roman" w:cs="Times New Roman"/>
          <w:b/>
          <w:sz w:val="24"/>
          <w:szCs w:val="24"/>
        </w:rPr>
        <w:t xml:space="preserve">26 </w:t>
      </w:r>
      <w:r w:rsidR="00F33FC4" w:rsidRPr="00406A62">
        <w:rPr>
          <w:rFonts w:ascii="Times New Roman" w:hAnsi="Times New Roman" w:cs="Times New Roman"/>
          <w:sz w:val="24"/>
          <w:szCs w:val="24"/>
        </w:rPr>
        <w:t>określa przepisy przejściowe</w:t>
      </w:r>
      <w:r w:rsidR="00231E5D" w:rsidRPr="00406A62">
        <w:rPr>
          <w:rFonts w:ascii="Times New Roman" w:hAnsi="Times New Roman" w:cs="Times New Roman"/>
          <w:sz w:val="24"/>
          <w:szCs w:val="24"/>
        </w:rPr>
        <w:t xml:space="preserve"> odnoszące się do </w:t>
      </w:r>
      <w:r w:rsidR="00F33FC4" w:rsidRPr="00406A62">
        <w:rPr>
          <w:rFonts w:ascii="Times New Roman" w:hAnsi="Times New Roman" w:cs="Times New Roman"/>
          <w:sz w:val="24"/>
          <w:szCs w:val="24"/>
        </w:rPr>
        <w:t>postępowa</w:t>
      </w:r>
      <w:r w:rsidR="00231E5D" w:rsidRPr="00406A62">
        <w:rPr>
          <w:rFonts w:ascii="Times New Roman" w:hAnsi="Times New Roman" w:cs="Times New Roman"/>
          <w:sz w:val="24"/>
          <w:szCs w:val="24"/>
        </w:rPr>
        <w:t>ń</w:t>
      </w:r>
      <w:r w:rsidR="005F7A7C" w:rsidRPr="00406A62">
        <w:rPr>
          <w:rFonts w:ascii="Times New Roman" w:hAnsi="Times New Roman" w:cs="Times New Roman"/>
          <w:sz w:val="24"/>
          <w:szCs w:val="24"/>
        </w:rPr>
        <w:t xml:space="preserve"> w sprawie ze skarg na decyzje dotyczące inwestycji kluczowych</w:t>
      </w:r>
      <w:r w:rsidR="00231E5D" w:rsidRPr="00406A62">
        <w:rPr>
          <w:rFonts w:ascii="Times New Roman" w:hAnsi="Times New Roman" w:cs="Times New Roman"/>
          <w:sz w:val="24"/>
          <w:szCs w:val="24"/>
        </w:rPr>
        <w:t xml:space="preserve"> </w:t>
      </w:r>
      <w:bookmarkStart w:id="2" w:name="_Hlk192152613"/>
      <w:r w:rsidR="00F33FC4" w:rsidRPr="00406A62">
        <w:rPr>
          <w:rFonts w:ascii="Times New Roman" w:hAnsi="Times New Roman" w:cs="Times New Roman"/>
          <w:sz w:val="24"/>
          <w:szCs w:val="24"/>
        </w:rPr>
        <w:t xml:space="preserve">wszczętych i niezakończonych </w:t>
      </w:r>
      <w:r w:rsidR="00004A60" w:rsidRPr="00406A62">
        <w:rPr>
          <w:rFonts w:ascii="Times New Roman" w:hAnsi="Times New Roman" w:cs="Times New Roman"/>
          <w:sz w:val="24"/>
          <w:szCs w:val="24"/>
        </w:rPr>
        <w:t xml:space="preserve">przed </w:t>
      </w:r>
      <w:r w:rsidR="00F33FC4" w:rsidRPr="00406A62">
        <w:rPr>
          <w:rFonts w:ascii="Times New Roman" w:hAnsi="Times New Roman" w:cs="Times New Roman"/>
          <w:sz w:val="24"/>
          <w:szCs w:val="24"/>
        </w:rPr>
        <w:t>dniem wej</w:t>
      </w:r>
      <w:r w:rsidR="004F55B3" w:rsidRPr="00406A62">
        <w:rPr>
          <w:rFonts w:ascii="Times New Roman" w:hAnsi="Times New Roman" w:cs="Times New Roman"/>
          <w:sz w:val="24"/>
          <w:szCs w:val="24"/>
        </w:rPr>
        <w:t>ści</w:t>
      </w:r>
      <w:r w:rsidR="00231E5D" w:rsidRPr="00406A62">
        <w:rPr>
          <w:rFonts w:ascii="Times New Roman" w:hAnsi="Times New Roman" w:cs="Times New Roman"/>
          <w:sz w:val="24"/>
          <w:szCs w:val="24"/>
        </w:rPr>
        <w:t>a</w:t>
      </w:r>
      <w:r w:rsidR="004F55B3" w:rsidRPr="00406A62">
        <w:rPr>
          <w:rFonts w:ascii="Times New Roman" w:hAnsi="Times New Roman" w:cs="Times New Roman"/>
          <w:sz w:val="24"/>
          <w:szCs w:val="24"/>
        </w:rPr>
        <w:t xml:space="preserve"> w </w:t>
      </w:r>
      <w:r w:rsidR="00231E5D" w:rsidRPr="00406A62">
        <w:rPr>
          <w:rFonts w:ascii="Times New Roman" w:hAnsi="Times New Roman" w:cs="Times New Roman"/>
          <w:sz w:val="24"/>
          <w:szCs w:val="24"/>
        </w:rPr>
        <w:t>ż</w:t>
      </w:r>
      <w:r w:rsidR="004F55B3" w:rsidRPr="00406A62">
        <w:rPr>
          <w:rFonts w:ascii="Times New Roman" w:hAnsi="Times New Roman" w:cs="Times New Roman"/>
          <w:sz w:val="24"/>
          <w:szCs w:val="24"/>
        </w:rPr>
        <w:t>ycie p</w:t>
      </w:r>
      <w:r w:rsidR="00231E5D" w:rsidRPr="00406A62">
        <w:rPr>
          <w:rFonts w:ascii="Times New Roman" w:hAnsi="Times New Roman" w:cs="Times New Roman"/>
          <w:sz w:val="24"/>
          <w:szCs w:val="24"/>
        </w:rPr>
        <w:t>rojektowanej</w:t>
      </w:r>
      <w:r w:rsidR="004F55B3" w:rsidRPr="00406A62">
        <w:rPr>
          <w:rFonts w:ascii="Times New Roman" w:hAnsi="Times New Roman" w:cs="Times New Roman"/>
          <w:sz w:val="24"/>
          <w:szCs w:val="24"/>
        </w:rPr>
        <w:t xml:space="preserve"> us</w:t>
      </w:r>
      <w:r w:rsidR="00231E5D" w:rsidRPr="00406A62">
        <w:rPr>
          <w:rFonts w:ascii="Times New Roman" w:hAnsi="Times New Roman" w:cs="Times New Roman"/>
          <w:sz w:val="24"/>
          <w:szCs w:val="24"/>
        </w:rPr>
        <w:t>tawy</w:t>
      </w:r>
      <w:bookmarkEnd w:id="2"/>
      <w:r w:rsidR="00231E5D" w:rsidRPr="00406A62">
        <w:rPr>
          <w:rFonts w:ascii="Times New Roman" w:hAnsi="Times New Roman" w:cs="Times New Roman"/>
          <w:sz w:val="24"/>
          <w:szCs w:val="24"/>
        </w:rPr>
        <w:t>.</w:t>
      </w:r>
      <w:r w:rsidR="00280180" w:rsidRPr="00406A62">
        <w:rPr>
          <w:rFonts w:ascii="Times New Roman" w:hAnsi="Times New Roman" w:cs="Times New Roman"/>
          <w:sz w:val="24"/>
          <w:szCs w:val="24"/>
        </w:rPr>
        <w:t xml:space="preserve"> </w:t>
      </w:r>
      <w:r w:rsidR="005F7A7C" w:rsidRPr="00406A62">
        <w:rPr>
          <w:rFonts w:ascii="Times New Roman" w:hAnsi="Times New Roman" w:cs="Times New Roman"/>
          <w:sz w:val="24"/>
          <w:szCs w:val="24"/>
        </w:rPr>
        <w:t>Ustalono, że</w:t>
      </w:r>
      <w:r w:rsidR="00B265E4" w:rsidRPr="00406A62">
        <w:rPr>
          <w:rFonts w:ascii="Times New Roman" w:hAnsi="Times New Roman" w:cs="Times New Roman"/>
          <w:sz w:val="24"/>
          <w:szCs w:val="24"/>
        </w:rPr>
        <w:t xml:space="preserve"> </w:t>
      </w:r>
      <w:r w:rsidR="005F7A7C" w:rsidRPr="00406A62">
        <w:rPr>
          <w:rFonts w:ascii="Times New Roman" w:hAnsi="Times New Roman" w:cs="Times New Roman"/>
          <w:sz w:val="24"/>
          <w:szCs w:val="24"/>
        </w:rPr>
        <w:t>stosowane będą przepisy</w:t>
      </w:r>
      <w:r w:rsidR="00B265E4" w:rsidRPr="00406A62">
        <w:rPr>
          <w:rFonts w:ascii="Times New Roman" w:hAnsi="Times New Roman" w:cs="Times New Roman"/>
          <w:sz w:val="24"/>
          <w:szCs w:val="24"/>
        </w:rPr>
        <w:t xml:space="preserve"> </w:t>
      </w:r>
      <w:r w:rsidR="00280180" w:rsidRPr="00406A62">
        <w:rPr>
          <w:rFonts w:ascii="Times New Roman" w:hAnsi="Times New Roman" w:cs="Times New Roman"/>
          <w:sz w:val="24"/>
          <w:szCs w:val="24"/>
        </w:rPr>
        <w:t>projektowanej ustawy</w:t>
      </w:r>
      <w:r w:rsidR="005F7A7C" w:rsidRPr="00406A62">
        <w:rPr>
          <w:rFonts w:ascii="Times New Roman" w:hAnsi="Times New Roman" w:cs="Times New Roman"/>
          <w:sz w:val="24"/>
          <w:szCs w:val="24"/>
        </w:rPr>
        <w:t>, z tym że</w:t>
      </w:r>
      <w:r w:rsidR="00B265E4" w:rsidRPr="00406A62">
        <w:rPr>
          <w:rFonts w:ascii="Times New Roman" w:hAnsi="Times New Roman" w:cs="Times New Roman"/>
          <w:sz w:val="24"/>
          <w:szCs w:val="24"/>
        </w:rPr>
        <w:t xml:space="preserve"> </w:t>
      </w:r>
      <w:r w:rsidR="005F7A7C" w:rsidRPr="00406A62">
        <w:rPr>
          <w:rFonts w:ascii="Times New Roman" w:hAnsi="Times New Roman" w:cs="Times New Roman"/>
          <w:sz w:val="24"/>
          <w:szCs w:val="24"/>
        </w:rPr>
        <w:t>p</w:t>
      </w:r>
      <w:r w:rsidR="00280180" w:rsidRPr="00406A62">
        <w:rPr>
          <w:rFonts w:ascii="Times New Roman" w:hAnsi="Times New Roman" w:cs="Times New Roman"/>
          <w:sz w:val="24"/>
          <w:szCs w:val="24"/>
        </w:rPr>
        <w:t>oczątek biegu termin</w:t>
      </w:r>
      <w:r w:rsidR="00164A45" w:rsidRPr="00406A62">
        <w:rPr>
          <w:rFonts w:ascii="Times New Roman" w:hAnsi="Times New Roman" w:cs="Times New Roman"/>
          <w:sz w:val="24"/>
          <w:szCs w:val="24"/>
        </w:rPr>
        <w:t>u</w:t>
      </w:r>
      <w:r w:rsidR="00280180" w:rsidRPr="00406A62">
        <w:rPr>
          <w:rFonts w:ascii="Times New Roman" w:hAnsi="Times New Roman" w:cs="Times New Roman"/>
          <w:sz w:val="24"/>
          <w:szCs w:val="24"/>
        </w:rPr>
        <w:t xml:space="preserve"> na rozpatrzenie skargi przez sąd okre</w:t>
      </w:r>
      <w:r w:rsidR="00B265E4" w:rsidRPr="00406A62">
        <w:rPr>
          <w:rFonts w:ascii="Times New Roman" w:hAnsi="Times New Roman" w:cs="Times New Roman"/>
          <w:sz w:val="24"/>
          <w:szCs w:val="24"/>
        </w:rPr>
        <w:t>ślony został</w:t>
      </w:r>
      <w:r w:rsidR="00280180" w:rsidRPr="00406A62">
        <w:rPr>
          <w:rFonts w:ascii="Times New Roman" w:hAnsi="Times New Roman" w:cs="Times New Roman"/>
          <w:sz w:val="24"/>
          <w:szCs w:val="24"/>
        </w:rPr>
        <w:t xml:space="preserve"> na dzień wejścia w życie projektowanej ust</w:t>
      </w:r>
      <w:r w:rsidR="00B265E4" w:rsidRPr="00406A62">
        <w:rPr>
          <w:rFonts w:ascii="Times New Roman" w:hAnsi="Times New Roman" w:cs="Times New Roman"/>
          <w:sz w:val="24"/>
          <w:szCs w:val="24"/>
        </w:rPr>
        <w:t>a</w:t>
      </w:r>
      <w:r w:rsidR="00280180" w:rsidRPr="00406A62">
        <w:rPr>
          <w:rFonts w:ascii="Times New Roman" w:hAnsi="Times New Roman" w:cs="Times New Roman"/>
          <w:sz w:val="24"/>
          <w:szCs w:val="24"/>
        </w:rPr>
        <w:t>wy</w:t>
      </w:r>
      <w:r w:rsidR="00A0524F" w:rsidRPr="00406A62">
        <w:rPr>
          <w:rFonts w:ascii="Times New Roman" w:hAnsi="Times New Roman" w:cs="Times New Roman"/>
          <w:sz w:val="24"/>
          <w:szCs w:val="24"/>
        </w:rPr>
        <w:t>, chyba, że zgodnie z przepisami dotychczasowymi termin rozpatrzenia skargi lub skargi kasacyjnej przypadał wcześniej.</w:t>
      </w:r>
    </w:p>
    <w:p w14:paraId="63CA66DA" w14:textId="1EA63295" w:rsidR="00355635"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B15A94" w:rsidRPr="00406A62">
        <w:rPr>
          <w:rFonts w:ascii="Times New Roman" w:hAnsi="Times New Roman" w:cs="Times New Roman"/>
          <w:b/>
          <w:sz w:val="24"/>
          <w:szCs w:val="24"/>
        </w:rPr>
        <w:t>27</w:t>
      </w:r>
      <w:r w:rsidR="00B15A94" w:rsidRPr="00406A62">
        <w:rPr>
          <w:rFonts w:ascii="Times New Roman" w:hAnsi="Times New Roman" w:cs="Times New Roman"/>
          <w:sz w:val="24"/>
          <w:szCs w:val="24"/>
        </w:rPr>
        <w:t xml:space="preserve"> </w:t>
      </w:r>
      <w:r w:rsidR="003415E3" w:rsidRPr="00406A62">
        <w:rPr>
          <w:rFonts w:ascii="Times New Roman" w:hAnsi="Times New Roman" w:cs="Times New Roman"/>
          <w:sz w:val="24"/>
          <w:szCs w:val="24"/>
        </w:rPr>
        <w:t>dotyczy post</w:t>
      </w:r>
      <w:r w:rsidR="00B719E8">
        <w:rPr>
          <w:rFonts w:ascii="Times New Roman" w:hAnsi="Times New Roman" w:cs="Times New Roman"/>
          <w:sz w:val="24"/>
          <w:szCs w:val="24"/>
        </w:rPr>
        <w:t>ę</w:t>
      </w:r>
      <w:r w:rsidR="003415E3" w:rsidRPr="00406A62">
        <w:rPr>
          <w:rFonts w:ascii="Times New Roman" w:hAnsi="Times New Roman" w:cs="Times New Roman"/>
          <w:sz w:val="24"/>
          <w:szCs w:val="24"/>
        </w:rPr>
        <w:t xml:space="preserve">powań wszczętych a niezakończonych przed dniem wejścia w życie niniejszej ustawy i </w:t>
      </w:r>
      <w:r w:rsidRPr="00406A62">
        <w:rPr>
          <w:rFonts w:ascii="Times New Roman" w:hAnsi="Times New Roman" w:cs="Times New Roman"/>
          <w:sz w:val="24"/>
          <w:szCs w:val="24"/>
        </w:rPr>
        <w:t>wprowadza wymóg informowania właściwego organu ochrony zabytków w terminie 7 dni od dnia wejścia w życie niniejszej ustawy o toczącym się postępowaniu o wydanie decyzji o ustaleniu lokalizacji linii kolejowej, o której mowa w ustawie z dnia 28</w:t>
      </w:r>
      <w:r w:rsidR="006A3415">
        <w:rPr>
          <w:rFonts w:ascii="Times New Roman" w:hAnsi="Times New Roman" w:cs="Times New Roman"/>
          <w:sz w:val="24"/>
          <w:szCs w:val="24"/>
        </w:rPr>
        <w:t> </w:t>
      </w:r>
      <w:r w:rsidRPr="00406A62">
        <w:rPr>
          <w:rFonts w:ascii="Times New Roman" w:hAnsi="Times New Roman" w:cs="Times New Roman"/>
          <w:sz w:val="24"/>
          <w:szCs w:val="24"/>
        </w:rPr>
        <w:t xml:space="preserve">marca 2003 r. o transporcie kolejowym, w zakresie kolejowych inwestycji kluczowych, co </w:t>
      </w:r>
      <w:r w:rsidRPr="00406A62">
        <w:rPr>
          <w:rFonts w:ascii="Times New Roman" w:hAnsi="Times New Roman" w:cs="Times New Roman"/>
          <w:sz w:val="24"/>
          <w:szCs w:val="24"/>
        </w:rPr>
        <w:lastRenderedPageBreak/>
        <w:t xml:space="preserve">ma uniemożliwić, do czasu uzyskania przez inwestora decyzji o pozwoleniu na użytkowanie, wszczęcie nowych postępowań w przedmiocie wpisu do ewidencji zabytków lub wpisu do rejestru zabytków. Ponadto na podstawie projektowanego przepisu toczące się postępowania w </w:t>
      </w:r>
      <w:r w:rsidR="005F7A7C" w:rsidRPr="00406A62">
        <w:rPr>
          <w:rFonts w:ascii="Times New Roman" w:hAnsi="Times New Roman" w:cs="Times New Roman"/>
          <w:sz w:val="24"/>
          <w:szCs w:val="24"/>
        </w:rPr>
        <w:t xml:space="preserve">sprawie </w:t>
      </w:r>
      <w:r w:rsidRPr="00406A62">
        <w:rPr>
          <w:rFonts w:ascii="Times New Roman" w:hAnsi="Times New Roman" w:cs="Times New Roman"/>
          <w:sz w:val="24"/>
          <w:szCs w:val="24"/>
        </w:rPr>
        <w:t>wpisania do ewidencji zabytków lub rejestru zabytków są umarzane z dniem otrzymania zawiadomienia o toczącym się postępowaniu o wydanie decyzji o</w:t>
      </w:r>
      <w:r w:rsidR="00C77034" w:rsidRPr="00406A62">
        <w:rPr>
          <w:rFonts w:ascii="Times New Roman" w:hAnsi="Times New Roman" w:cs="Times New Roman"/>
          <w:sz w:val="24"/>
          <w:szCs w:val="24"/>
        </w:rPr>
        <w:t> </w:t>
      </w:r>
      <w:r w:rsidRPr="00406A62">
        <w:rPr>
          <w:rFonts w:ascii="Times New Roman" w:hAnsi="Times New Roman" w:cs="Times New Roman"/>
          <w:sz w:val="24"/>
          <w:szCs w:val="24"/>
        </w:rPr>
        <w:t>ustaleniu lokalizacji linii kolejowej.</w:t>
      </w:r>
    </w:p>
    <w:p w14:paraId="66D89BCD" w14:textId="77777777" w:rsidR="006B7AF9" w:rsidRPr="00406A62" w:rsidRDefault="0035563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Zasadne jest, biorąc pod uwagę, że opinia konserwatora jest dołączana do wniosku o wydanie decyzji o ustaleniu lokalizacji linii kolejowej, aby dla inwestycji kluczowych po zawiadomieniu o toczącym się postępowaniu w sprawie o wydanie decyzji o ustaleniu lokalizacji linii kolejowej wykluczyć możliwość wszczęcia i prowadzenia postępowań o wpisanie obiektów nieruchomych objętych inwestycją do ewidencji zabytków lub rejestru zabytków.</w:t>
      </w:r>
    </w:p>
    <w:p w14:paraId="1EDDE2D0" w14:textId="68EF37BF" w:rsidR="00280180" w:rsidRPr="00406A62" w:rsidRDefault="0028018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 xml:space="preserve">Art. </w:t>
      </w:r>
      <w:r w:rsidR="00B15A94" w:rsidRPr="00406A62">
        <w:rPr>
          <w:rFonts w:ascii="Times New Roman" w:hAnsi="Times New Roman" w:cs="Times New Roman"/>
          <w:b/>
          <w:sz w:val="24"/>
          <w:szCs w:val="24"/>
        </w:rPr>
        <w:t>28</w:t>
      </w:r>
      <w:r w:rsidR="00B15A94" w:rsidRPr="00406A62">
        <w:rPr>
          <w:rFonts w:ascii="Times New Roman" w:hAnsi="Times New Roman" w:cs="Times New Roman"/>
          <w:sz w:val="24"/>
          <w:szCs w:val="24"/>
        </w:rPr>
        <w:t xml:space="preserve"> </w:t>
      </w:r>
      <w:r w:rsidR="00A00229" w:rsidRPr="00406A62">
        <w:rPr>
          <w:rFonts w:ascii="Times New Roman" w:hAnsi="Times New Roman" w:cs="Times New Roman"/>
          <w:sz w:val="24"/>
          <w:szCs w:val="24"/>
        </w:rPr>
        <w:t xml:space="preserve">jest przepisem przejściowym </w:t>
      </w:r>
      <w:r w:rsidR="000953FF" w:rsidRPr="00406A62">
        <w:rPr>
          <w:rFonts w:ascii="Times New Roman" w:hAnsi="Times New Roman" w:cs="Times New Roman"/>
          <w:sz w:val="24"/>
          <w:szCs w:val="24"/>
        </w:rPr>
        <w:t>okre</w:t>
      </w:r>
      <w:r w:rsidR="00164A45" w:rsidRPr="00406A62">
        <w:rPr>
          <w:rFonts w:ascii="Times New Roman" w:hAnsi="Times New Roman" w:cs="Times New Roman"/>
          <w:sz w:val="24"/>
          <w:szCs w:val="24"/>
        </w:rPr>
        <w:t>ś</w:t>
      </w:r>
      <w:r w:rsidR="000953FF" w:rsidRPr="00406A62">
        <w:rPr>
          <w:rFonts w:ascii="Times New Roman" w:hAnsi="Times New Roman" w:cs="Times New Roman"/>
          <w:sz w:val="24"/>
          <w:szCs w:val="24"/>
        </w:rPr>
        <w:t>la</w:t>
      </w:r>
      <w:r w:rsidR="00EE489A" w:rsidRPr="00406A62">
        <w:rPr>
          <w:rFonts w:ascii="Times New Roman" w:hAnsi="Times New Roman" w:cs="Times New Roman"/>
          <w:sz w:val="24"/>
          <w:szCs w:val="24"/>
        </w:rPr>
        <w:t>jącym</w:t>
      </w:r>
      <w:r w:rsidR="000953FF" w:rsidRPr="00406A62">
        <w:rPr>
          <w:rFonts w:ascii="Times New Roman" w:hAnsi="Times New Roman" w:cs="Times New Roman"/>
          <w:sz w:val="24"/>
          <w:szCs w:val="24"/>
        </w:rPr>
        <w:t xml:space="preserve"> </w:t>
      </w:r>
      <w:r w:rsidR="00EE489A" w:rsidRPr="00406A62">
        <w:rPr>
          <w:rFonts w:ascii="Times New Roman" w:hAnsi="Times New Roman" w:cs="Times New Roman"/>
          <w:sz w:val="24"/>
          <w:szCs w:val="24"/>
        </w:rPr>
        <w:t xml:space="preserve">tok procedowania postępowań </w:t>
      </w:r>
      <w:r w:rsidR="00164A45" w:rsidRPr="00406A62">
        <w:rPr>
          <w:rFonts w:ascii="Times New Roman" w:hAnsi="Times New Roman" w:cs="Times New Roman"/>
          <w:sz w:val="24"/>
          <w:szCs w:val="24"/>
        </w:rPr>
        <w:t>wszczętych i</w:t>
      </w:r>
      <w:r w:rsidR="00C77034" w:rsidRPr="00406A62">
        <w:rPr>
          <w:rFonts w:ascii="Times New Roman" w:hAnsi="Times New Roman" w:cs="Times New Roman"/>
          <w:sz w:val="24"/>
          <w:szCs w:val="24"/>
        </w:rPr>
        <w:t> </w:t>
      </w:r>
      <w:r w:rsidR="00164A45" w:rsidRPr="00406A62">
        <w:rPr>
          <w:rFonts w:ascii="Times New Roman" w:hAnsi="Times New Roman" w:cs="Times New Roman"/>
          <w:sz w:val="24"/>
          <w:szCs w:val="24"/>
        </w:rPr>
        <w:t xml:space="preserve">niezakończonych </w:t>
      </w:r>
      <w:r w:rsidR="00E45CFA" w:rsidRPr="00406A62">
        <w:rPr>
          <w:rFonts w:ascii="Times New Roman" w:hAnsi="Times New Roman" w:cs="Times New Roman"/>
          <w:sz w:val="24"/>
          <w:szCs w:val="24"/>
        </w:rPr>
        <w:t xml:space="preserve">przed </w:t>
      </w:r>
      <w:r w:rsidR="00164A45" w:rsidRPr="00406A62">
        <w:rPr>
          <w:rFonts w:ascii="Times New Roman" w:hAnsi="Times New Roman" w:cs="Times New Roman"/>
          <w:sz w:val="24"/>
          <w:szCs w:val="24"/>
        </w:rPr>
        <w:t>dniem wejścia w życie projektowanej ustawy</w:t>
      </w:r>
      <w:r w:rsidR="00EE489A" w:rsidRPr="00406A62">
        <w:rPr>
          <w:rFonts w:ascii="Times New Roman" w:hAnsi="Times New Roman" w:cs="Times New Roman"/>
          <w:sz w:val="24"/>
          <w:szCs w:val="24"/>
        </w:rPr>
        <w:t>,</w:t>
      </w:r>
      <w:r w:rsidR="00E04FFA" w:rsidRPr="00406A62">
        <w:rPr>
          <w:rFonts w:ascii="Times New Roman" w:hAnsi="Times New Roman" w:cs="Times New Roman"/>
          <w:sz w:val="24"/>
          <w:szCs w:val="24"/>
        </w:rPr>
        <w:t xml:space="preserve"> </w:t>
      </w:r>
      <w:r w:rsidR="00164A45" w:rsidRPr="00406A62">
        <w:rPr>
          <w:rFonts w:ascii="Times New Roman" w:hAnsi="Times New Roman" w:cs="Times New Roman"/>
          <w:sz w:val="24"/>
          <w:szCs w:val="24"/>
        </w:rPr>
        <w:t>o których mowa w art.</w:t>
      </w:r>
      <w:r w:rsidR="003A41AE">
        <w:rPr>
          <w:rFonts w:ascii="Times New Roman" w:hAnsi="Times New Roman" w:cs="Times New Roman"/>
          <w:sz w:val="24"/>
          <w:szCs w:val="24"/>
        </w:rPr>
        <w:t> </w:t>
      </w:r>
      <w:r w:rsidR="005F7A7C" w:rsidRPr="00406A62">
        <w:rPr>
          <w:rFonts w:ascii="Times New Roman" w:hAnsi="Times New Roman" w:cs="Times New Roman"/>
          <w:sz w:val="24"/>
          <w:szCs w:val="24"/>
        </w:rPr>
        <w:t xml:space="preserve">23 </w:t>
      </w:r>
      <w:r w:rsidR="00164A45" w:rsidRPr="00406A62">
        <w:rPr>
          <w:rFonts w:ascii="Times New Roman" w:hAnsi="Times New Roman" w:cs="Times New Roman"/>
          <w:sz w:val="24"/>
          <w:szCs w:val="24"/>
        </w:rPr>
        <w:t>projektowanej ustawy. Przedmiotowe postępowania mają być umorzone z mocy prawa, natomiast złożone wnioski o wydanie decyzji o pozwoleniu na budowę podlegają rozpatrzeniu w trybie zgłoszenia, o którym mowa w art. 30 ust. 1b ustawy z dnia 7 lipca 1994 r. – Prawo budowlane. Początek biegu terminu na wniesienie sprzeciwu przez organ administracji architektoniczno-budowlanej określony został na dzień wejścia w życie projektowanej ustawy.</w:t>
      </w:r>
    </w:p>
    <w:p w14:paraId="22B43B0F" w14:textId="53EA080F" w:rsidR="00537E93" w:rsidRPr="00406A62" w:rsidRDefault="00537E93"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bCs/>
          <w:sz w:val="24"/>
          <w:szCs w:val="24"/>
        </w:rPr>
        <w:t xml:space="preserve">Art. </w:t>
      </w:r>
      <w:r w:rsidR="00B15A94" w:rsidRPr="00406A62">
        <w:rPr>
          <w:rFonts w:ascii="Times New Roman" w:hAnsi="Times New Roman" w:cs="Times New Roman"/>
          <w:b/>
          <w:bCs/>
          <w:sz w:val="24"/>
          <w:szCs w:val="24"/>
        </w:rPr>
        <w:t>29</w:t>
      </w:r>
      <w:r w:rsidR="00B15A94" w:rsidRPr="00406A62">
        <w:rPr>
          <w:rFonts w:ascii="Times New Roman" w:hAnsi="Times New Roman" w:cs="Times New Roman"/>
          <w:sz w:val="24"/>
          <w:szCs w:val="24"/>
        </w:rPr>
        <w:t xml:space="preserve"> </w:t>
      </w:r>
      <w:r w:rsidR="00915969" w:rsidRPr="00406A62">
        <w:rPr>
          <w:rFonts w:ascii="Times New Roman" w:hAnsi="Times New Roman" w:cs="Times New Roman"/>
          <w:sz w:val="24"/>
          <w:szCs w:val="24"/>
        </w:rPr>
        <w:t>jest p</w:t>
      </w:r>
      <w:r w:rsidR="00225119" w:rsidRPr="00406A62">
        <w:rPr>
          <w:rFonts w:ascii="Times New Roman" w:hAnsi="Times New Roman" w:cs="Times New Roman"/>
          <w:sz w:val="24"/>
          <w:szCs w:val="24"/>
        </w:rPr>
        <w:t>rzepis</w:t>
      </w:r>
      <w:r w:rsidR="00915969" w:rsidRPr="00406A62">
        <w:rPr>
          <w:rFonts w:ascii="Times New Roman" w:hAnsi="Times New Roman" w:cs="Times New Roman"/>
          <w:sz w:val="24"/>
          <w:szCs w:val="24"/>
        </w:rPr>
        <w:t>em</w:t>
      </w:r>
      <w:r w:rsidR="00225119" w:rsidRPr="00406A62">
        <w:rPr>
          <w:rFonts w:ascii="Times New Roman" w:hAnsi="Times New Roman" w:cs="Times New Roman"/>
          <w:sz w:val="24"/>
          <w:szCs w:val="24"/>
        </w:rPr>
        <w:t xml:space="preserve"> przejściowy</w:t>
      </w:r>
      <w:r w:rsidR="00915969" w:rsidRPr="00406A62">
        <w:rPr>
          <w:rFonts w:ascii="Times New Roman" w:hAnsi="Times New Roman" w:cs="Times New Roman"/>
          <w:sz w:val="24"/>
          <w:szCs w:val="24"/>
        </w:rPr>
        <w:t>m, zgodnie z którym</w:t>
      </w:r>
      <w:r w:rsidR="00225119" w:rsidRPr="00406A62">
        <w:rPr>
          <w:rFonts w:ascii="Times New Roman" w:hAnsi="Times New Roman" w:cs="Times New Roman"/>
          <w:sz w:val="24"/>
          <w:szCs w:val="24"/>
        </w:rPr>
        <w:t xml:space="preserve"> </w:t>
      </w:r>
      <w:r w:rsidR="00915969" w:rsidRPr="00406A62">
        <w:rPr>
          <w:rFonts w:ascii="Times New Roman" w:hAnsi="Times New Roman" w:cs="Times New Roman"/>
          <w:sz w:val="24"/>
          <w:szCs w:val="24"/>
        </w:rPr>
        <w:t>w</w:t>
      </w:r>
      <w:r w:rsidR="001B7C87" w:rsidRPr="00406A62">
        <w:rPr>
          <w:rFonts w:ascii="Times New Roman" w:hAnsi="Times New Roman" w:cs="Times New Roman"/>
          <w:sz w:val="24"/>
          <w:szCs w:val="24"/>
        </w:rPr>
        <w:t xml:space="preserve"> postępowaniach o wydanie decyzji, o której mowa w art. 124 ustawy z dnia 21 sierpnia 1997 r. o gospodarce nieruchomościami w związku z art. 33 </w:t>
      </w:r>
      <w:r w:rsidR="003A5A4E" w:rsidRPr="00406A62">
        <w:rPr>
          <w:rFonts w:ascii="Times New Roman" w:hAnsi="Times New Roman" w:cs="Times New Roman"/>
          <w:sz w:val="24"/>
          <w:szCs w:val="24"/>
        </w:rPr>
        <w:t xml:space="preserve">ust. 7 </w:t>
      </w:r>
      <w:r w:rsidR="001B7C87" w:rsidRPr="00406A62">
        <w:rPr>
          <w:rFonts w:ascii="Times New Roman" w:hAnsi="Times New Roman" w:cs="Times New Roman"/>
          <w:sz w:val="24"/>
          <w:szCs w:val="24"/>
        </w:rPr>
        <w:t xml:space="preserve">ustawy z dnia 7 maja 2010 r. o wspieraniu rozwoju usług i sieci telekomunikacyjnych, w zakresie inwestycji kluczowej, o której mowa w art. 2 pkt 6 projektu ustawy, </w:t>
      </w:r>
      <w:r w:rsidR="00225119" w:rsidRPr="00406A62">
        <w:rPr>
          <w:rFonts w:ascii="Times New Roman" w:hAnsi="Times New Roman" w:cs="Times New Roman"/>
          <w:sz w:val="24"/>
          <w:szCs w:val="24"/>
        </w:rPr>
        <w:t xml:space="preserve">wszczętych i niezakończonych decyzją ostateczną przed dniem wejścia w życie niniejszej ustawy, stosuje się przepisy dotychczasowe. </w:t>
      </w:r>
    </w:p>
    <w:p w14:paraId="7E998644" w14:textId="6E7E66AC" w:rsidR="00227DED" w:rsidRPr="00406A62" w:rsidRDefault="00852F7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b/>
          <w:sz w:val="24"/>
          <w:szCs w:val="24"/>
        </w:rPr>
        <w:t>A</w:t>
      </w:r>
      <w:r w:rsidR="00164A45" w:rsidRPr="00406A62">
        <w:rPr>
          <w:rFonts w:ascii="Times New Roman" w:hAnsi="Times New Roman" w:cs="Times New Roman"/>
          <w:b/>
          <w:sz w:val="24"/>
          <w:szCs w:val="24"/>
        </w:rPr>
        <w:t xml:space="preserve">rt. </w:t>
      </w:r>
      <w:r w:rsidR="00145A85" w:rsidRPr="00406A62">
        <w:rPr>
          <w:rFonts w:ascii="Times New Roman" w:hAnsi="Times New Roman" w:cs="Times New Roman"/>
          <w:b/>
          <w:sz w:val="24"/>
          <w:szCs w:val="24"/>
        </w:rPr>
        <w:t>3</w:t>
      </w:r>
      <w:r w:rsidR="00B15A94" w:rsidRPr="00406A62">
        <w:rPr>
          <w:rFonts w:ascii="Times New Roman" w:hAnsi="Times New Roman" w:cs="Times New Roman"/>
          <w:b/>
          <w:sz w:val="24"/>
          <w:szCs w:val="24"/>
        </w:rPr>
        <w:t>0</w:t>
      </w:r>
      <w:r w:rsidR="00164A45"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statuuje, że </w:t>
      </w:r>
      <w:r w:rsidR="00227DED" w:rsidRPr="00406A62">
        <w:rPr>
          <w:rFonts w:ascii="Times New Roman" w:hAnsi="Times New Roman" w:cs="Times New Roman"/>
          <w:sz w:val="24"/>
          <w:szCs w:val="24"/>
        </w:rPr>
        <w:t>projektowan</w:t>
      </w:r>
      <w:r w:rsidRPr="00406A62">
        <w:rPr>
          <w:rFonts w:ascii="Times New Roman" w:hAnsi="Times New Roman" w:cs="Times New Roman"/>
          <w:sz w:val="24"/>
          <w:szCs w:val="24"/>
        </w:rPr>
        <w:t>a</w:t>
      </w:r>
      <w:r w:rsidR="00227DED" w:rsidRPr="00406A62">
        <w:rPr>
          <w:rFonts w:ascii="Times New Roman" w:hAnsi="Times New Roman" w:cs="Times New Roman"/>
          <w:sz w:val="24"/>
          <w:szCs w:val="24"/>
        </w:rPr>
        <w:t xml:space="preserve"> ustaw</w:t>
      </w:r>
      <w:r w:rsidRPr="00406A62">
        <w:rPr>
          <w:rFonts w:ascii="Times New Roman" w:hAnsi="Times New Roman" w:cs="Times New Roman"/>
          <w:sz w:val="24"/>
          <w:szCs w:val="24"/>
        </w:rPr>
        <w:t>a</w:t>
      </w:r>
      <w:r w:rsidR="006B7AF9" w:rsidRPr="00406A62">
        <w:rPr>
          <w:rFonts w:ascii="Times New Roman" w:hAnsi="Times New Roman" w:cs="Times New Roman"/>
          <w:sz w:val="24"/>
          <w:szCs w:val="24"/>
        </w:rPr>
        <w:t xml:space="preserve"> </w:t>
      </w:r>
      <w:r w:rsidR="00227DED" w:rsidRPr="00406A62">
        <w:rPr>
          <w:rFonts w:ascii="Times New Roman" w:hAnsi="Times New Roman" w:cs="Times New Roman"/>
          <w:sz w:val="24"/>
          <w:szCs w:val="24"/>
        </w:rPr>
        <w:t>wejdzie w życie po upływie 14 dni od dnia ogłoszenia, stosownie do art. 4 ust. 2 ustawy z dnia 20 lipca 2000 r. o ogłaszaniu aktów normatywnych i niektórych innych aktów prawnych (Dz. U. z 2019 r. poz. 1461</w:t>
      </w:r>
      <w:r w:rsidR="001B7C87" w:rsidRPr="00406A62">
        <w:rPr>
          <w:rFonts w:ascii="Times New Roman" w:hAnsi="Times New Roman" w:cs="Times New Roman"/>
          <w:sz w:val="24"/>
          <w:szCs w:val="24"/>
        </w:rPr>
        <w:t>, z późn. zm.</w:t>
      </w:r>
      <w:r w:rsidR="00227DED" w:rsidRPr="00406A62">
        <w:rPr>
          <w:rFonts w:ascii="Times New Roman" w:hAnsi="Times New Roman" w:cs="Times New Roman"/>
          <w:sz w:val="24"/>
          <w:szCs w:val="24"/>
        </w:rPr>
        <w:t>).</w:t>
      </w:r>
    </w:p>
    <w:p w14:paraId="62C0EC17" w14:textId="77777777" w:rsidR="00852F7D" w:rsidRPr="00406A62" w:rsidRDefault="00852F7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Proponowany termin wejścia w życie ustawy zapewnia adresatom projektowanych regulacji odpowiedni okres </w:t>
      </w:r>
      <w:r w:rsidRPr="00406A62">
        <w:rPr>
          <w:rFonts w:ascii="Times New Roman" w:hAnsi="Times New Roman" w:cs="Times New Roman"/>
          <w:i/>
          <w:iCs/>
          <w:sz w:val="24"/>
          <w:szCs w:val="24"/>
        </w:rPr>
        <w:t>vacatio legis</w:t>
      </w:r>
      <w:r w:rsidRPr="00406A62">
        <w:rPr>
          <w:rFonts w:ascii="Times New Roman" w:hAnsi="Times New Roman" w:cs="Times New Roman"/>
          <w:sz w:val="24"/>
          <w:szCs w:val="24"/>
        </w:rPr>
        <w:t xml:space="preserve">, umożliwiający zapoznanie się z treścią przepisów oraz podjęcie niezbędnych działań organizacyjnych i prawnych związanych z ich stosowaniem. Okres ten należy uznać za wystarczający z punktu widzenia zasady pewności i bezpieczeństwa prawnego, a także z uwagi na charakter wprowadzanych rozwiązań, które nie wymagają </w:t>
      </w:r>
      <w:r w:rsidRPr="00406A62">
        <w:rPr>
          <w:rFonts w:ascii="Times New Roman" w:hAnsi="Times New Roman" w:cs="Times New Roman"/>
          <w:sz w:val="24"/>
          <w:szCs w:val="24"/>
        </w:rPr>
        <w:lastRenderedPageBreak/>
        <w:t>dłuższego czasu przygotowawczego. Tym samym przewidziany termin wejścia w życie ustawy pozostaje adekwatny do zakresu oraz przedmiotu regulacji i gwarantuje jej prawidłowe wdrożenie.</w:t>
      </w:r>
    </w:p>
    <w:p w14:paraId="1E2E2545" w14:textId="77777777" w:rsidR="00B11A69" w:rsidRPr="00406A62" w:rsidRDefault="00227DED"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Powyższe umożliwi sprawne przeprowadzenie nowych lub dokończenie trwających procedur administracyjnych oraz realizację robót budowlanych w zakresie wskazanych kluczowych inwestycji infrastrukturalnych.</w:t>
      </w:r>
    </w:p>
    <w:p w14:paraId="6B5885A8" w14:textId="3C3A8E60" w:rsidR="002A759F" w:rsidRPr="00406A62" w:rsidRDefault="002A759F" w:rsidP="00406A62">
      <w:pPr>
        <w:pStyle w:val="Akapitzlist"/>
        <w:numPr>
          <w:ilvl w:val="0"/>
          <w:numId w:val="32"/>
        </w:numPr>
        <w:spacing w:before="120" w:after="0" w:line="360" w:lineRule="auto"/>
        <w:ind w:hanging="76"/>
        <w:jc w:val="both"/>
        <w:rPr>
          <w:rFonts w:ascii="Times New Roman" w:hAnsi="Times New Roman" w:cs="Times New Roman"/>
          <w:b/>
          <w:sz w:val="24"/>
          <w:szCs w:val="24"/>
        </w:rPr>
      </w:pPr>
      <w:r w:rsidRPr="00406A62">
        <w:rPr>
          <w:rFonts w:ascii="Times New Roman" w:hAnsi="Times New Roman" w:cs="Times New Roman"/>
          <w:b/>
          <w:sz w:val="24"/>
          <w:szCs w:val="24"/>
        </w:rPr>
        <w:t>Zgłoszenie lobbingowe</w:t>
      </w:r>
    </w:p>
    <w:p w14:paraId="3E0C63B6" w14:textId="76CCFC40" w:rsidR="002A759F" w:rsidRPr="00406A62" w:rsidRDefault="002A759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Stosownie do art. 5 ustawy z </w:t>
      </w:r>
      <w:r w:rsidR="003A41AE">
        <w:rPr>
          <w:rFonts w:ascii="Times New Roman" w:hAnsi="Times New Roman" w:cs="Times New Roman"/>
          <w:sz w:val="24"/>
          <w:szCs w:val="24"/>
        </w:rPr>
        <w:t xml:space="preserve">dnia </w:t>
      </w:r>
      <w:r w:rsidRPr="00406A62">
        <w:rPr>
          <w:rFonts w:ascii="Times New Roman" w:hAnsi="Times New Roman" w:cs="Times New Roman"/>
          <w:sz w:val="24"/>
          <w:szCs w:val="24"/>
        </w:rPr>
        <w:t xml:space="preserve">7 lipca 2005 r. o działalności lobbingowej w procesie stanowienia prawa </w:t>
      </w:r>
      <w:r w:rsidR="00227DED" w:rsidRPr="00406A62">
        <w:rPr>
          <w:rFonts w:ascii="Times New Roman" w:hAnsi="Times New Roman" w:cs="Times New Roman"/>
          <w:sz w:val="24"/>
          <w:szCs w:val="24"/>
        </w:rPr>
        <w:t xml:space="preserve">(Dz. U. z </w:t>
      </w:r>
      <w:r w:rsidR="001B7C87" w:rsidRPr="00406A62">
        <w:rPr>
          <w:rFonts w:ascii="Times New Roman" w:hAnsi="Times New Roman" w:cs="Times New Roman"/>
          <w:sz w:val="24"/>
          <w:szCs w:val="24"/>
        </w:rPr>
        <w:t xml:space="preserve">2026 </w:t>
      </w:r>
      <w:r w:rsidR="00227DED" w:rsidRPr="00406A62">
        <w:rPr>
          <w:rFonts w:ascii="Times New Roman" w:hAnsi="Times New Roman" w:cs="Times New Roman"/>
          <w:sz w:val="24"/>
          <w:szCs w:val="24"/>
        </w:rPr>
        <w:t xml:space="preserve">r. poz. </w:t>
      </w:r>
      <w:r w:rsidR="001B7C87" w:rsidRPr="00406A62">
        <w:rPr>
          <w:rFonts w:ascii="Times New Roman" w:hAnsi="Times New Roman" w:cs="Times New Roman"/>
          <w:sz w:val="24"/>
          <w:szCs w:val="24"/>
        </w:rPr>
        <w:t>936</w:t>
      </w:r>
      <w:r w:rsidR="00227DED" w:rsidRPr="00406A62">
        <w:rPr>
          <w:rFonts w:ascii="Times New Roman" w:hAnsi="Times New Roman" w:cs="Times New Roman"/>
          <w:sz w:val="24"/>
          <w:szCs w:val="24"/>
        </w:rPr>
        <w:t xml:space="preserve">) </w:t>
      </w:r>
      <w:r w:rsidRPr="00406A62">
        <w:rPr>
          <w:rFonts w:ascii="Times New Roman" w:hAnsi="Times New Roman" w:cs="Times New Roman"/>
          <w:sz w:val="24"/>
          <w:szCs w:val="24"/>
        </w:rPr>
        <w:t xml:space="preserve">oraz art. 52 § 1 uchwały </w:t>
      </w:r>
      <w:r w:rsidR="00885F18">
        <w:rPr>
          <w:rFonts w:ascii="Times New Roman" w:hAnsi="Times New Roman" w:cs="Times New Roman"/>
          <w:sz w:val="24"/>
          <w:szCs w:val="24"/>
        </w:rPr>
        <w:t>n</w:t>
      </w:r>
      <w:r w:rsidRPr="00406A62">
        <w:rPr>
          <w:rFonts w:ascii="Times New Roman" w:hAnsi="Times New Roman" w:cs="Times New Roman"/>
          <w:sz w:val="24"/>
          <w:szCs w:val="24"/>
        </w:rPr>
        <w:t xml:space="preserve">r 190 Rady Ministrów z </w:t>
      </w:r>
      <w:r w:rsidR="003A41AE">
        <w:rPr>
          <w:rFonts w:ascii="Times New Roman" w:hAnsi="Times New Roman" w:cs="Times New Roman"/>
          <w:sz w:val="24"/>
          <w:szCs w:val="24"/>
        </w:rPr>
        <w:t xml:space="preserve">dnia </w:t>
      </w:r>
      <w:r w:rsidRPr="00406A62">
        <w:rPr>
          <w:rFonts w:ascii="Times New Roman" w:hAnsi="Times New Roman" w:cs="Times New Roman"/>
          <w:sz w:val="24"/>
          <w:szCs w:val="24"/>
        </w:rPr>
        <w:t>29</w:t>
      </w:r>
      <w:r w:rsidR="003A41AE">
        <w:rPr>
          <w:rFonts w:ascii="Times New Roman" w:hAnsi="Times New Roman" w:cs="Times New Roman"/>
          <w:sz w:val="24"/>
          <w:szCs w:val="24"/>
        </w:rPr>
        <w:t> </w:t>
      </w:r>
      <w:r w:rsidRPr="00406A62">
        <w:rPr>
          <w:rFonts w:ascii="Times New Roman" w:hAnsi="Times New Roman" w:cs="Times New Roman"/>
          <w:sz w:val="24"/>
          <w:szCs w:val="24"/>
        </w:rPr>
        <w:t xml:space="preserve">października 2013 r. </w:t>
      </w:r>
      <w:r w:rsidR="00E45CFA" w:rsidRPr="00406A62">
        <w:rPr>
          <w:rFonts w:ascii="Times New Roman" w:hAnsi="Times New Roman" w:cs="Times New Roman"/>
          <w:sz w:val="24"/>
          <w:szCs w:val="24"/>
        </w:rPr>
        <w:t>–</w:t>
      </w:r>
      <w:r w:rsidRPr="00406A62">
        <w:rPr>
          <w:rFonts w:ascii="Times New Roman" w:hAnsi="Times New Roman" w:cs="Times New Roman"/>
          <w:sz w:val="24"/>
          <w:szCs w:val="24"/>
        </w:rPr>
        <w:t xml:space="preserve"> Regulamin pracy Rady Ministrów</w:t>
      </w:r>
      <w:r w:rsidR="00E45CFA" w:rsidRPr="00406A62">
        <w:rPr>
          <w:rFonts w:ascii="Times New Roman" w:hAnsi="Times New Roman" w:cs="Times New Roman"/>
          <w:sz w:val="24"/>
          <w:szCs w:val="24"/>
        </w:rPr>
        <w:t xml:space="preserve"> (M.P. z </w:t>
      </w:r>
      <w:r w:rsidR="001B7C87" w:rsidRPr="00406A62">
        <w:rPr>
          <w:rFonts w:ascii="Times New Roman" w:hAnsi="Times New Roman" w:cs="Times New Roman"/>
          <w:sz w:val="24"/>
          <w:szCs w:val="24"/>
        </w:rPr>
        <w:t xml:space="preserve">2026 </w:t>
      </w:r>
      <w:r w:rsidR="00E45CFA" w:rsidRPr="00406A62">
        <w:rPr>
          <w:rFonts w:ascii="Times New Roman" w:hAnsi="Times New Roman" w:cs="Times New Roman"/>
          <w:sz w:val="24"/>
          <w:szCs w:val="24"/>
        </w:rPr>
        <w:t xml:space="preserve">r. poz. </w:t>
      </w:r>
      <w:r w:rsidR="001B7C87" w:rsidRPr="00406A62">
        <w:rPr>
          <w:rFonts w:ascii="Times New Roman" w:hAnsi="Times New Roman" w:cs="Times New Roman"/>
          <w:sz w:val="24"/>
          <w:szCs w:val="24"/>
        </w:rPr>
        <w:t>404</w:t>
      </w:r>
      <w:r w:rsidR="00E45CFA" w:rsidRPr="00406A62">
        <w:rPr>
          <w:rFonts w:ascii="Times New Roman" w:hAnsi="Times New Roman" w:cs="Times New Roman"/>
          <w:sz w:val="24"/>
          <w:szCs w:val="24"/>
        </w:rPr>
        <w:t>)</w:t>
      </w:r>
      <w:r w:rsidRPr="00406A62">
        <w:rPr>
          <w:rFonts w:ascii="Times New Roman" w:hAnsi="Times New Roman" w:cs="Times New Roman"/>
          <w:sz w:val="24"/>
          <w:szCs w:val="24"/>
        </w:rPr>
        <w:t xml:space="preserve"> projekt ustawy </w:t>
      </w:r>
      <w:r w:rsidR="006615CC" w:rsidRPr="00406A62">
        <w:rPr>
          <w:rFonts w:ascii="Times New Roman" w:hAnsi="Times New Roman" w:cs="Times New Roman"/>
          <w:sz w:val="24"/>
          <w:szCs w:val="24"/>
        </w:rPr>
        <w:t xml:space="preserve">został </w:t>
      </w:r>
      <w:r w:rsidRPr="00406A62">
        <w:rPr>
          <w:rFonts w:ascii="Times New Roman" w:hAnsi="Times New Roman" w:cs="Times New Roman"/>
          <w:sz w:val="24"/>
          <w:szCs w:val="24"/>
        </w:rPr>
        <w:t xml:space="preserve">udostępniony w </w:t>
      </w:r>
      <w:r w:rsidR="00227DED" w:rsidRPr="00406A62">
        <w:rPr>
          <w:rFonts w:ascii="Times New Roman" w:hAnsi="Times New Roman" w:cs="Times New Roman"/>
          <w:sz w:val="24"/>
          <w:szCs w:val="24"/>
        </w:rPr>
        <w:t>Biuletynie Informacji Publicznej na stronie podmiotowej Rządowego Centrum Legislacji</w:t>
      </w:r>
      <w:r w:rsidR="003A41AE">
        <w:rPr>
          <w:rFonts w:ascii="Times New Roman" w:hAnsi="Times New Roman" w:cs="Times New Roman"/>
          <w:sz w:val="24"/>
          <w:szCs w:val="24"/>
        </w:rPr>
        <w:t>,</w:t>
      </w:r>
      <w:r w:rsidRPr="00406A62">
        <w:rPr>
          <w:rFonts w:ascii="Times New Roman" w:hAnsi="Times New Roman" w:cs="Times New Roman"/>
          <w:sz w:val="24"/>
          <w:szCs w:val="24"/>
        </w:rPr>
        <w:t xml:space="preserve"> w serwisie </w:t>
      </w:r>
      <w:r w:rsidR="00885F18">
        <w:rPr>
          <w:rFonts w:ascii="Times New Roman" w:hAnsi="Times New Roman" w:cs="Times New Roman"/>
          <w:sz w:val="24"/>
          <w:szCs w:val="24"/>
        </w:rPr>
        <w:t>„</w:t>
      </w:r>
      <w:r w:rsidRPr="00406A62">
        <w:rPr>
          <w:rFonts w:ascii="Times New Roman" w:hAnsi="Times New Roman" w:cs="Times New Roman"/>
          <w:sz w:val="24"/>
          <w:szCs w:val="24"/>
        </w:rPr>
        <w:t>Rządowy Proces Legislacyjny</w:t>
      </w:r>
      <w:r w:rsidR="00885F18">
        <w:rPr>
          <w:rFonts w:ascii="Times New Roman" w:hAnsi="Times New Roman" w:cs="Times New Roman"/>
          <w:sz w:val="24"/>
          <w:szCs w:val="24"/>
        </w:rPr>
        <w:t>”</w:t>
      </w:r>
      <w:r w:rsidRPr="00406A62">
        <w:rPr>
          <w:rFonts w:ascii="Times New Roman" w:hAnsi="Times New Roman" w:cs="Times New Roman"/>
          <w:sz w:val="24"/>
          <w:szCs w:val="24"/>
        </w:rPr>
        <w:t>.</w:t>
      </w:r>
    </w:p>
    <w:p w14:paraId="7C5A0352" w14:textId="30F62780" w:rsidR="002A759F" w:rsidRPr="00406A62" w:rsidRDefault="002A759F" w:rsidP="00406A62">
      <w:pPr>
        <w:pStyle w:val="Akapitzlist"/>
        <w:numPr>
          <w:ilvl w:val="0"/>
          <w:numId w:val="32"/>
        </w:numPr>
        <w:spacing w:before="120" w:after="0" w:line="360" w:lineRule="auto"/>
        <w:ind w:hanging="76"/>
        <w:jc w:val="both"/>
        <w:rPr>
          <w:rFonts w:ascii="Times New Roman" w:hAnsi="Times New Roman" w:cs="Times New Roman"/>
          <w:b/>
          <w:sz w:val="24"/>
          <w:szCs w:val="24"/>
        </w:rPr>
      </w:pPr>
      <w:r w:rsidRPr="00406A62">
        <w:rPr>
          <w:rFonts w:ascii="Times New Roman" w:hAnsi="Times New Roman" w:cs="Times New Roman"/>
          <w:b/>
          <w:sz w:val="24"/>
          <w:szCs w:val="24"/>
        </w:rPr>
        <w:t>Oświadczenie o zgodności projektowanych regulacji z prawem Unii Europejskiej</w:t>
      </w:r>
    </w:p>
    <w:p w14:paraId="243E6890" w14:textId="5FA9E1B4" w:rsidR="002A759F" w:rsidRPr="00406A62" w:rsidRDefault="002A759F" w:rsidP="00641D96">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Projekt ustawy jest zgodny z prawem Unii Europejskiej. </w:t>
      </w:r>
      <w:r w:rsidR="00C837DC" w:rsidRPr="00406A62">
        <w:rPr>
          <w:rFonts w:ascii="Times New Roman" w:hAnsi="Times New Roman" w:cs="Times New Roman"/>
          <w:sz w:val="24"/>
          <w:szCs w:val="24"/>
        </w:rPr>
        <w:t>Projektowana ustaw</w:t>
      </w:r>
      <w:r w:rsidR="00170E70" w:rsidRPr="00406A62">
        <w:rPr>
          <w:rFonts w:ascii="Times New Roman" w:hAnsi="Times New Roman" w:cs="Times New Roman"/>
          <w:sz w:val="24"/>
          <w:szCs w:val="24"/>
        </w:rPr>
        <w:t>a</w:t>
      </w:r>
      <w:r w:rsidR="00C837DC" w:rsidRPr="00406A62">
        <w:rPr>
          <w:rFonts w:ascii="Times New Roman" w:hAnsi="Times New Roman" w:cs="Times New Roman"/>
          <w:sz w:val="24"/>
          <w:szCs w:val="24"/>
        </w:rPr>
        <w:t xml:space="preserve"> nie wymaga przedstawienia właściwym </w:t>
      </w:r>
      <w:r w:rsidR="004B380E" w:rsidRPr="002E6F64">
        <w:rPr>
          <w:rFonts w:ascii="Times New Roman" w:hAnsi="Times New Roman" w:cs="Times New Roman"/>
          <w:sz w:val="24"/>
          <w:szCs w:val="24"/>
        </w:rPr>
        <w:t>organom</w:t>
      </w:r>
      <w:r w:rsidR="004B380E" w:rsidRPr="004B380E">
        <w:rPr>
          <w:rFonts w:ascii="Times New Roman" w:hAnsi="Times New Roman" w:cs="Times New Roman"/>
          <w:sz w:val="24"/>
          <w:szCs w:val="24"/>
        </w:rPr>
        <w:t xml:space="preserve"> </w:t>
      </w:r>
      <w:r w:rsidR="004B380E" w:rsidRPr="00965680">
        <w:rPr>
          <w:rFonts w:ascii="Times New Roman" w:hAnsi="Times New Roman" w:cs="Times New Roman"/>
          <w:sz w:val="24"/>
          <w:szCs w:val="24"/>
        </w:rPr>
        <w:t>i</w:t>
      </w:r>
      <w:r w:rsidR="004B380E" w:rsidRPr="004B380E">
        <w:rPr>
          <w:rFonts w:ascii="Times New Roman" w:hAnsi="Times New Roman" w:cs="Times New Roman"/>
          <w:sz w:val="24"/>
          <w:szCs w:val="24"/>
        </w:rPr>
        <w:t xml:space="preserve"> </w:t>
      </w:r>
      <w:r w:rsidR="00C837DC" w:rsidRPr="00406A62">
        <w:rPr>
          <w:rFonts w:ascii="Times New Roman" w:hAnsi="Times New Roman" w:cs="Times New Roman"/>
          <w:sz w:val="24"/>
          <w:szCs w:val="24"/>
        </w:rPr>
        <w:t>instytucjom Unii Europejskiej, w ty</w:t>
      </w:r>
      <w:r w:rsidR="00641D96">
        <w:rPr>
          <w:rFonts w:ascii="Times New Roman" w:hAnsi="Times New Roman" w:cs="Times New Roman"/>
          <w:sz w:val="24"/>
          <w:szCs w:val="24"/>
        </w:rPr>
        <w:t>m</w:t>
      </w:r>
      <w:r w:rsidR="00C837DC" w:rsidRPr="00641D96">
        <w:rPr>
          <w:rFonts w:ascii="Times New Roman" w:hAnsi="Times New Roman" w:cs="Times New Roman"/>
          <w:sz w:val="24"/>
          <w:szCs w:val="24"/>
        </w:rPr>
        <w:t xml:space="preserve"> </w:t>
      </w:r>
      <w:r w:rsidR="00C837DC" w:rsidRPr="00406A62">
        <w:rPr>
          <w:rFonts w:ascii="Times New Roman" w:hAnsi="Times New Roman" w:cs="Times New Roman"/>
          <w:sz w:val="24"/>
          <w:szCs w:val="24"/>
        </w:rPr>
        <w:t>Europejskiemu Bankowi Centralnemu, celem uzyskania opinii, dokonania powiadomienia, konsultacji publicznych albo uzgodnienia projektu rozporządzenia. W szczególności, zgodnie z art. 2 ust.</w:t>
      </w:r>
      <w:r w:rsidR="00321D7C">
        <w:rPr>
          <w:rFonts w:ascii="Times New Roman" w:hAnsi="Times New Roman" w:cs="Times New Roman"/>
          <w:sz w:val="24"/>
          <w:szCs w:val="24"/>
        </w:rPr>
        <w:t> </w:t>
      </w:r>
      <w:r w:rsidR="00C837DC" w:rsidRPr="00406A62">
        <w:rPr>
          <w:rFonts w:ascii="Times New Roman" w:hAnsi="Times New Roman" w:cs="Times New Roman"/>
          <w:sz w:val="24"/>
          <w:szCs w:val="24"/>
        </w:rPr>
        <w:t>1 decyzji Rady 98/415/WE z dnia 29 czerwca 1998 r. w sprawie konsultacji Europejskiego Banku Centralnego udzielanych władzom krajowym w sprawie projektów przepisów prawnych (Dz.</w:t>
      </w:r>
      <w:r w:rsidR="00321D7C">
        <w:rPr>
          <w:rFonts w:ascii="Times New Roman" w:hAnsi="Times New Roman" w:cs="Times New Roman"/>
          <w:sz w:val="24"/>
          <w:szCs w:val="24"/>
        </w:rPr>
        <w:t> </w:t>
      </w:r>
      <w:r w:rsidR="00C837DC" w:rsidRPr="00406A62">
        <w:rPr>
          <w:rFonts w:ascii="Times New Roman" w:hAnsi="Times New Roman" w:cs="Times New Roman"/>
          <w:sz w:val="24"/>
          <w:szCs w:val="24"/>
        </w:rPr>
        <w:t>Urz. WE L 189 z 03.07.1998, str. 42 – Dz. Urz. UE Polskie wydanie specjalne, rozdz. 1, t. 1, str. 446), projektowana ustawa nie podlega konsultacji z Europejskim Bankiem Centralnym.</w:t>
      </w:r>
    </w:p>
    <w:p w14:paraId="093E14E3" w14:textId="1344AA9C" w:rsidR="002A759F" w:rsidRPr="00406A62" w:rsidRDefault="002A759F" w:rsidP="00406A62">
      <w:pPr>
        <w:pStyle w:val="Akapitzlist"/>
        <w:numPr>
          <w:ilvl w:val="0"/>
          <w:numId w:val="32"/>
        </w:numPr>
        <w:spacing w:before="120" w:after="0" w:line="360" w:lineRule="auto"/>
        <w:ind w:hanging="76"/>
        <w:jc w:val="both"/>
        <w:rPr>
          <w:rFonts w:ascii="Times New Roman" w:hAnsi="Times New Roman" w:cs="Times New Roman"/>
          <w:b/>
          <w:sz w:val="24"/>
          <w:szCs w:val="24"/>
        </w:rPr>
      </w:pPr>
      <w:r w:rsidRPr="00406A62">
        <w:rPr>
          <w:rFonts w:ascii="Times New Roman" w:hAnsi="Times New Roman" w:cs="Times New Roman"/>
          <w:b/>
          <w:sz w:val="24"/>
          <w:szCs w:val="24"/>
        </w:rPr>
        <w:t>Ocena, czy projekt ustawy będzie podlegał notyfikacji, zgodnie z przepisami dotyczącymi funkcjonowania krajowego systemu notyfikacji norm i aktów prawnych</w:t>
      </w:r>
    </w:p>
    <w:p w14:paraId="2DB40143" w14:textId="78FBF3B5" w:rsidR="00F04774" w:rsidRPr="00406A62" w:rsidRDefault="002A759F"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Zawarte w projekcie ustawy regulacje nie stanowią przepisów technicznych w rozumieniu przepisów rozporządzenia Rady Ministrów z </w:t>
      </w:r>
      <w:r w:rsidR="003A41AE">
        <w:rPr>
          <w:rFonts w:ascii="Times New Roman" w:hAnsi="Times New Roman" w:cs="Times New Roman"/>
          <w:sz w:val="24"/>
          <w:szCs w:val="24"/>
        </w:rPr>
        <w:t xml:space="preserve">dnia </w:t>
      </w:r>
      <w:r w:rsidRPr="00406A62">
        <w:rPr>
          <w:rFonts w:ascii="Times New Roman" w:hAnsi="Times New Roman" w:cs="Times New Roman"/>
          <w:sz w:val="24"/>
          <w:szCs w:val="24"/>
        </w:rPr>
        <w:t xml:space="preserve">23 grudnia 2002 r. w sprawie sposobu funkcjonowania krajowego systemu notyfikacji norm </w:t>
      </w:r>
      <w:r w:rsidR="002A5436" w:rsidRPr="00406A62">
        <w:rPr>
          <w:rFonts w:ascii="Times New Roman" w:hAnsi="Times New Roman" w:cs="Times New Roman"/>
          <w:sz w:val="24"/>
          <w:szCs w:val="24"/>
        </w:rPr>
        <w:t xml:space="preserve">i </w:t>
      </w:r>
      <w:r w:rsidRPr="00406A62">
        <w:rPr>
          <w:rFonts w:ascii="Times New Roman" w:hAnsi="Times New Roman" w:cs="Times New Roman"/>
          <w:sz w:val="24"/>
          <w:szCs w:val="24"/>
        </w:rPr>
        <w:t>aktów prawnych</w:t>
      </w:r>
      <w:r w:rsidR="002A5436" w:rsidRPr="00406A62">
        <w:rPr>
          <w:rFonts w:ascii="Times New Roman" w:hAnsi="Times New Roman" w:cs="Times New Roman"/>
          <w:sz w:val="24"/>
          <w:szCs w:val="24"/>
        </w:rPr>
        <w:t xml:space="preserve"> (Dz. U.</w:t>
      </w:r>
      <w:r w:rsidR="00210D75">
        <w:rPr>
          <w:rFonts w:ascii="Times New Roman" w:hAnsi="Times New Roman" w:cs="Times New Roman"/>
          <w:sz w:val="24"/>
          <w:szCs w:val="24"/>
        </w:rPr>
        <w:t xml:space="preserve"> </w:t>
      </w:r>
      <w:r w:rsidR="002A5436" w:rsidRPr="00406A62">
        <w:rPr>
          <w:rFonts w:ascii="Times New Roman" w:hAnsi="Times New Roman" w:cs="Times New Roman"/>
          <w:sz w:val="24"/>
          <w:szCs w:val="24"/>
        </w:rPr>
        <w:t>poz.</w:t>
      </w:r>
      <w:r w:rsidR="00885F18">
        <w:rPr>
          <w:rFonts w:ascii="Times New Roman" w:hAnsi="Times New Roman" w:cs="Times New Roman"/>
          <w:sz w:val="24"/>
          <w:szCs w:val="24"/>
        </w:rPr>
        <w:t> </w:t>
      </w:r>
      <w:r w:rsidR="002A5436" w:rsidRPr="00406A62">
        <w:rPr>
          <w:rFonts w:ascii="Times New Roman" w:hAnsi="Times New Roman" w:cs="Times New Roman"/>
          <w:sz w:val="24"/>
          <w:szCs w:val="24"/>
        </w:rPr>
        <w:t>2039, z późn. zm.)</w:t>
      </w:r>
      <w:r w:rsidRPr="00406A62">
        <w:rPr>
          <w:rFonts w:ascii="Times New Roman" w:hAnsi="Times New Roman" w:cs="Times New Roman"/>
          <w:sz w:val="24"/>
          <w:szCs w:val="24"/>
        </w:rPr>
        <w:t>, w związku z tym projekt nie będzie podlegał notyfikacji.</w:t>
      </w:r>
    </w:p>
    <w:p w14:paraId="6DA1350A" w14:textId="77777777" w:rsidR="00754F69" w:rsidRPr="00406A62" w:rsidRDefault="00754F69" w:rsidP="00406A62">
      <w:pPr>
        <w:pStyle w:val="Akapitzlist"/>
        <w:numPr>
          <w:ilvl w:val="0"/>
          <w:numId w:val="32"/>
        </w:numPr>
        <w:tabs>
          <w:tab w:val="left" w:pos="567"/>
        </w:tabs>
        <w:spacing w:before="120" w:after="0" w:line="360" w:lineRule="auto"/>
        <w:ind w:firstLine="66"/>
        <w:jc w:val="both"/>
        <w:rPr>
          <w:rFonts w:ascii="Times New Roman" w:hAnsi="Times New Roman" w:cs="Times New Roman"/>
          <w:b/>
          <w:sz w:val="24"/>
          <w:szCs w:val="24"/>
        </w:rPr>
      </w:pPr>
      <w:r w:rsidRPr="00406A62">
        <w:rPr>
          <w:rFonts w:ascii="Times New Roman" w:hAnsi="Times New Roman" w:cs="Times New Roman"/>
          <w:b/>
          <w:sz w:val="24"/>
          <w:szCs w:val="24"/>
        </w:rPr>
        <w:t>Inne informacje</w:t>
      </w:r>
    </w:p>
    <w:p w14:paraId="5C7CA855" w14:textId="3B5DEDC1" w:rsidR="006823A5" w:rsidRPr="00406A62" w:rsidRDefault="006823A5"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 xml:space="preserve">Projekt nie zawiera wymogów nakładanych na usługodawców w zakresie określonym w rozporządzeniu Parlamentu Europejskiego i Rady (UE) nr 1024/2012 z dnia 25 października </w:t>
      </w:r>
      <w:r w:rsidRPr="00406A62">
        <w:rPr>
          <w:rFonts w:ascii="Times New Roman" w:hAnsi="Times New Roman" w:cs="Times New Roman"/>
          <w:sz w:val="24"/>
          <w:szCs w:val="24"/>
        </w:rPr>
        <w:lastRenderedPageBreak/>
        <w:t>2012 r. w sprawie współpracy administracyjnej za pośrednictwem systemu wymiany informacji na rynku wewnętrznym i uchylającego decyzję Komisji 2008/49/WE (Dz. Urz. UE L 316 z</w:t>
      </w:r>
      <w:r w:rsidR="00FA4266">
        <w:rPr>
          <w:rFonts w:ascii="Times New Roman" w:hAnsi="Times New Roman" w:cs="Times New Roman"/>
          <w:sz w:val="24"/>
          <w:szCs w:val="24"/>
        </w:rPr>
        <w:t> </w:t>
      </w:r>
      <w:r w:rsidRPr="00406A62">
        <w:rPr>
          <w:rFonts w:ascii="Times New Roman" w:hAnsi="Times New Roman" w:cs="Times New Roman"/>
          <w:sz w:val="24"/>
          <w:szCs w:val="24"/>
        </w:rPr>
        <w:t>14.11.2012, str. 1</w:t>
      </w:r>
      <w:r w:rsidR="006615CC" w:rsidRPr="00406A62">
        <w:rPr>
          <w:rFonts w:ascii="Times New Roman" w:hAnsi="Times New Roman" w:cs="Times New Roman"/>
          <w:sz w:val="24"/>
          <w:szCs w:val="24"/>
        </w:rPr>
        <w:t>, z późn. zm.</w:t>
      </w:r>
      <w:r w:rsidRPr="00406A62">
        <w:rPr>
          <w:rFonts w:ascii="Times New Roman" w:hAnsi="Times New Roman" w:cs="Times New Roman"/>
          <w:sz w:val="24"/>
          <w:szCs w:val="24"/>
        </w:rPr>
        <w:t>).</w:t>
      </w:r>
    </w:p>
    <w:p w14:paraId="3552ADB4" w14:textId="77777777" w:rsidR="00D84970" w:rsidRPr="00406A62" w:rsidRDefault="00D84970"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Osiągnięcie założonego celu w projektowanej ustawie przy użyciu innych środków nie jest możliwe.</w:t>
      </w:r>
    </w:p>
    <w:p w14:paraId="3FDEB0A7" w14:textId="77777777" w:rsidR="00F533FE" w:rsidRPr="00406A62" w:rsidRDefault="00754F69" w:rsidP="00406A62">
      <w:pPr>
        <w:spacing w:before="120" w:after="0" w:line="360" w:lineRule="auto"/>
        <w:jc w:val="both"/>
        <w:rPr>
          <w:rFonts w:ascii="Times New Roman" w:hAnsi="Times New Roman" w:cs="Times New Roman"/>
          <w:sz w:val="24"/>
          <w:szCs w:val="24"/>
        </w:rPr>
      </w:pPr>
      <w:r w:rsidRPr="00406A62">
        <w:rPr>
          <w:rFonts w:ascii="Times New Roman" w:hAnsi="Times New Roman" w:cs="Times New Roman"/>
          <w:sz w:val="24"/>
          <w:szCs w:val="24"/>
        </w:rPr>
        <w:t>Projekt ustawy został ujęty w Wykazie prac legislacyjnych</w:t>
      </w:r>
      <w:r w:rsidR="00827E98" w:rsidRPr="00406A62">
        <w:rPr>
          <w:rFonts w:ascii="Times New Roman" w:hAnsi="Times New Roman" w:cs="Times New Roman"/>
          <w:sz w:val="24"/>
          <w:szCs w:val="24"/>
        </w:rPr>
        <w:t xml:space="preserve"> i programowych</w:t>
      </w:r>
      <w:r w:rsidRPr="00406A62">
        <w:rPr>
          <w:rFonts w:ascii="Times New Roman" w:hAnsi="Times New Roman" w:cs="Times New Roman"/>
          <w:sz w:val="24"/>
          <w:szCs w:val="24"/>
        </w:rPr>
        <w:t xml:space="preserve"> Rady Ministrów pod poz.</w:t>
      </w:r>
      <w:r w:rsidR="00C21200" w:rsidRPr="00406A62">
        <w:rPr>
          <w:rFonts w:ascii="Times New Roman" w:hAnsi="Times New Roman" w:cs="Times New Roman"/>
          <w:sz w:val="24"/>
          <w:szCs w:val="24"/>
        </w:rPr>
        <w:t xml:space="preserve"> UD262.</w:t>
      </w:r>
    </w:p>
    <w:sectPr w:rsidR="00F533FE" w:rsidRPr="00406A62" w:rsidSect="00641D96">
      <w:footerReference w:type="default" r:id="rId8"/>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5A5F" w14:textId="77777777" w:rsidR="005904E3" w:rsidRDefault="005904E3" w:rsidP="00F1390B">
      <w:pPr>
        <w:spacing w:after="0" w:line="240" w:lineRule="auto"/>
      </w:pPr>
      <w:r>
        <w:separator/>
      </w:r>
    </w:p>
  </w:endnote>
  <w:endnote w:type="continuationSeparator" w:id="0">
    <w:p w14:paraId="2A78CCDF" w14:textId="77777777" w:rsidR="005904E3" w:rsidRDefault="005904E3" w:rsidP="00F13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205214"/>
      <w:docPartObj>
        <w:docPartGallery w:val="Page Numbers (Bottom of Page)"/>
        <w:docPartUnique/>
      </w:docPartObj>
    </w:sdtPr>
    <w:sdtEndPr>
      <w:rPr>
        <w:rFonts w:ascii="Times New Roman" w:hAnsi="Times New Roman" w:cs="Times New Roman"/>
        <w:sz w:val="24"/>
        <w:szCs w:val="24"/>
      </w:rPr>
    </w:sdtEndPr>
    <w:sdtContent>
      <w:p w14:paraId="57FBB90F" w14:textId="3409754A" w:rsidR="00885F18" w:rsidRPr="00885F18" w:rsidRDefault="00885F18" w:rsidP="00885F18">
        <w:pPr>
          <w:pStyle w:val="Stopka"/>
          <w:jc w:val="center"/>
          <w:rPr>
            <w:rFonts w:ascii="Times New Roman" w:hAnsi="Times New Roman" w:cs="Times New Roman"/>
            <w:sz w:val="24"/>
            <w:szCs w:val="24"/>
          </w:rPr>
        </w:pPr>
        <w:r w:rsidRPr="00885F18">
          <w:rPr>
            <w:rFonts w:ascii="Times New Roman" w:hAnsi="Times New Roman" w:cs="Times New Roman"/>
            <w:sz w:val="24"/>
            <w:szCs w:val="24"/>
          </w:rPr>
          <w:fldChar w:fldCharType="begin"/>
        </w:r>
        <w:r w:rsidRPr="00885F18">
          <w:rPr>
            <w:rFonts w:ascii="Times New Roman" w:hAnsi="Times New Roman" w:cs="Times New Roman"/>
            <w:sz w:val="24"/>
            <w:szCs w:val="24"/>
          </w:rPr>
          <w:instrText>PAGE   \* MERGEFORMAT</w:instrText>
        </w:r>
        <w:r w:rsidRPr="00885F18">
          <w:rPr>
            <w:rFonts w:ascii="Times New Roman" w:hAnsi="Times New Roman" w:cs="Times New Roman"/>
            <w:sz w:val="24"/>
            <w:szCs w:val="24"/>
          </w:rPr>
          <w:fldChar w:fldCharType="separate"/>
        </w:r>
        <w:r w:rsidRPr="00885F18">
          <w:rPr>
            <w:rFonts w:ascii="Times New Roman" w:hAnsi="Times New Roman" w:cs="Times New Roman"/>
            <w:sz w:val="24"/>
            <w:szCs w:val="24"/>
          </w:rPr>
          <w:t>2</w:t>
        </w:r>
        <w:r w:rsidRPr="00885F1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3A2B" w14:textId="77777777" w:rsidR="005904E3" w:rsidRDefault="005904E3" w:rsidP="00F1390B">
      <w:pPr>
        <w:spacing w:after="0" w:line="240" w:lineRule="auto"/>
      </w:pPr>
      <w:r>
        <w:separator/>
      </w:r>
    </w:p>
  </w:footnote>
  <w:footnote w:type="continuationSeparator" w:id="0">
    <w:p w14:paraId="09F6B541" w14:textId="77777777" w:rsidR="005904E3" w:rsidRDefault="005904E3" w:rsidP="00F13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ECA"/>
    <w:multiLevelType w:val="hybridMultilevel"/>
    <w:tmpl w:val="A14424D6"/>
    <w:lvl w:ilvl="0" w:tplc="04150001">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1" w15:restartNumberingAfterBreak="0">
    <w:nsid w:val="00B67768"/>
    <w:multiLevelType w:val="hybridMultilevel"/>
    <w:tmpl w:val="43FA56C2"/>
    <w:lvl w:ilvl="0" w:tplc="B34AAB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194D25"/>
    <w:multiLevelType w:val="hybridMultilevel"/>
    <w:tmpl w:val="7B4A4EBE"/>
    <w:lvl w:ilvl="0" w:tplc="C1148D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D63B1"/>
    <w:multiLevelType w:val="hybridMultilevel"/>
    <w:tmpl w:val="A814B1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3490CA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9F62D2"/>
    <w:multiLevelType w:val="hybridMultilevel"/>
    <w:tmpl w:val="9662D16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A262A"/>
    <w:multiLevelType w:val="hybridMultilevel"/>
    <w:tmpl w:val="6CCAF7D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F129F6"/>
    <w:multiLevelType w:val="hybridMultilevel"/>
    <w:tmpl w:val="CC4C3C24"/>
    <w:lvl w:ilvl="0" w:tplc="89D2B3FE">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C4CED"/>
    <w:multiLevelType w:val="hybridMultilevel"/>
    <w:tmpl w:val="39608D86"/>
    <w:lvl w:ilvl="0" w:tplc="991C5BD4">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DF16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0E4641"/>
    <w:multiLevelType w:val="multilevel"/>
    <w:tmpl w:val="79BA60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D83B80"/>
    <w:multiLevelType w:val="multilevel"/>
    <w:tmpl w:val="A31026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AD2394"/>
    <w:multiLevelType w:val="hybridMultilevel"/>
    <w:tmpl w:val="5CC43172"/>
    <w:lvl w:ilvl="0" w:tplc="9CA86F1E">
      <w:start w:val="1"/>
      <w:numFmt w:val="lowerLetter"/>
      <w:lvlText w:val="%1)"/>
      <w:lvlJc w:val="left"/>
      <w:pPr>
        <w:ind w:left="710" w:hanging="6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3" w15:restartNumberingAfterBreak="0">
    <w:nsid w:val="2DD50DC7"/>
    <w:multiLevelType w:val="hybridMultilevel"/>
    <w:tmpl w:val="815402EA"/>
    <w:lvl w:ilvl="0" w:tplc="48DE001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E97128"/>
    <w:multiLevelType w:val="hybridMultilevel"/>
    <w:tmpl w:val="1AC0C0F2"/>
    <w:lvl w:ilvl="0" w:tplc="BB543A5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4F4B64"/>
    <w:multiLevelType w:val="hybridMultilevel"/>
    <w:tmpl w:val="F9F6FF9A"/>
    <w:lvl w:ilvl="0" w:tplc="7760196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276D47"/>
    <w:multiLevelType w:val="multilevel"/>
    <w:tmpl w:val="8070D3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347405"/>
    <w:multiLevelType w:val="hybridMultilevel"/>
    <w:tmpl w:val="69289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A5543B"/>
    <w:multiLevelType w:val="hybridMultilevel"/>
    <w:tmpl w:val="3E5CA57A"/>
    <w:lvl w:ilvl="0" w:tplc="C1148D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6E6D45"/>
    <w:multiLevelType w:val="multilevel"/>
    <w:tmpl w:val="8070D3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8555EE"/>
    <w:multiLevelType w:val="hybridMultilevel"/>
    <w:tmpl w:val="6792E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68F4639"/>
    <w:multiLevelType w:val="hybridMultilevel"/>
    <w:tmpl w:val="76C62E92"/>
    <w:lvl w:ilvl="0" w:tplc="3B269794">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2" w15:restartNumberingAfterBreak="0">
    <w:nsid w:val="39AA7FBF"/>
    <w:multiLevelType w:val="hybridMultilevel"/>
    <w:tmpl w:val="2DC8D34A"/>
    <w:lvl w:ilvl="0" w:tplc="0415000F">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3" w15:restartNumberingAfterBreak="0">
    <w:nsid w:val="3A1D35DF"/>
    <w:multiLevelType w:val="hybridMultilevel"/>
    <w:tmpl w:val="E8CA3A06"/>
    <w:lvl w:ilvl="0" w:tplc="C1148D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C367B1"/>
    <w:multiLevelType w:val="hybridMultilevel"/>
    <w:tmpl w:val="8F0AF3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3D4A6F59"/>
    <w:multiLevelType w:val="hybridMultilevel"/>
    <w:tmpl w:val="FDF67CF4"/>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6" w15:restartNumberingAfterBreak="0">
    <w:nsid w:val="48D31AF0"/>
    <w:multiLevelType w:val="hybridMultilevel"/>
    <w:tmpl w:val="4EDCB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1A3122"/>
    <w:multiLevelType w:val="hybridMultilevel"/>
    <w:tmpl w:val="68D2D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02D058D"/>
    <w:multiLevelType w:val="hybridMultilevel"/>
    <w:tmpl w:val="3CC48EEE"/>
    <w:lvl w:ilvl="0" w:tplc="C1148D3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15:restartNumberingAfterBreak="0">
    <w:nsid w:val="549775BA"/>
    <w:multiLevelType w:val="hybridMultilevel"/>
    <w:tmpl w:val="5588D6BA"/>
    <w:lvl w:ilvl="0" w:tplc="C1148D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7410FA7"/>
    <w:multiLevelType w:val="multilevel"/>
    <w:tmpl w:val="3C08603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79D7D76"/>
    <w:multiLevelType w:val="hybridMultilevel"/>
    <w:tmpl w:val="2CEA7254"/>
    <w:lvl w:ilvl="0" w:tplc="C1148D30">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32" w15:restartNumberingAfterBreak="0">
    <w:nsid w:val="5A996C7F"/>
    <w:multiLevelType w:val="hybridMultilevel"/>
    <w:tmpl w:val="A13A95FC"/>
    <w:lvl w:ilvl="0" w:tplc="6C8EDA9E">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A915D5"/>
    <w:multiLevelType w:val="hybridMultilevel"/>
    <w:tmpl w:val="647EAA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DAF543D"/>
    <w:multiLevelType w:val="hybridMultilevel"/>
    <w:tmpl w:val="EDFED328"/>
    <w:lvl w:ilvl="0" w:tplc="514A0414">
      <w:start w:val="1"/>
      <w:numFmt w:val="upperRoman"/>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203A5D"/>
    <w:multiLevelType w:val="hybridMultilevel"/>
    <w:tmpl w:val="910028B0"/>
    <w:lvl w:ilvl="0" w:tplc="04150001">
      <w:start w:val="1"/>
      <w:numFmt w:val="bullet"/>
      <w:lvlText w:val=""/>
      <w:lvlJc w:val="left"/>
      <w:pPr>
        <w:ind w:left="121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0A26CD0"/>
    <w:multiLevelType w:val="hybridMultilevel"/>
    <w:tmpl w:val="8FD8C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0E45C4F"/>
    <w:multiLevelType w:val="hybridMultilevel"/>
    <w:tmpl w:val="26085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96659B"/>
    <w:multiLevelType w:val="hybridMultilevel"/>
    <w:tmpl w:val="924C1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316942"/>
    <w:multiLevelType w:val="hybridMultilevel"/>
    <w:tmpl w:val="653AC212"/>
    <w:lvl w:ilvl="0" w:tplc="44A6271C">
      <w:start w:val="1"/>
      <w:numFmt w:val="bullet"/>
      <w:lvlText w:val=""/>
      <w:lvlJc w:val="left"/>
      <w:pPr>
        <w:ind w:left="1440" w:hanging="360"/>
      </w:pPr>
      <w:rPr>
        <w:rFonts w:ascii="Symbol" w:hAnsi="Symbol" w:hint="default"/>
      </w:rPr>
    </w:lvl>
    <w:lvl w:ilvl="1" w:tplc="04150001">
      <w:start w:val="1"/>
      <w:numFmt w:val="bullet"/>
      <w:lvlText w:val=""/>
      <w:lvlJc w:val="left"/>
      <w:pPr>
        <w:ind w:left="121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1309C8"/>
    <w:multiLevelType w:val="multilevel"/>
    <w:tmpl w:val="8070D3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F47E4F"/>
    <w:multiLevelType w:val="hybridMultilevel"/>
    <w:tmpl w:val="F10616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8D6785"/>
    <w:multiLevelType w:val="hybridMultilevel"/>
    <w:tmpl w:val="2A4864D4"/>
    <w:lvl w:ilvl="0" w:tplc="D0FE33BE">
      <w:start w:val="1"/>
      <w:numFmt w:val="decimal"/>
      <w:lvlText w:val="%1."/>
      <w:lvlJc w:val="left"/>
      <w:pPr>
        <w:ind w:left="644"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C4C412A"/>
    <w:multiLevelType w:val="hybridMultilevel"/>
    <w:tmpl w:val="5A6C4A5E"/>
    <w:lvl w:ilvl="0" w:tplc="C1148D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D8E7224"/>
    <w:multiLevelType w:val="hybridMultilevel"/>
    <w:tmpl w:val="1D48D2E4"/>
    <w:lvl w:ilvl="0" w:tplc="72BE835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33834526">
    <w:abstractNumId w:val="21"/>
  </w:num>
  <w:num w:numId="2" w16cid:durableId="408313858">
    <w:abstractNumId w:val="17"/>
  </w:num>
  <w:num w:numId="3" w16cid:durableId="1784034440">
    <w:abstractNumId w:val="37"/>
  </w:num>
  <w:num w:numId="4" w16cid:durableId="1427461154">
    <w:abstractNumId w:val="41"/>
  </w:num>
  <w:num w:numId="5" w16cid:durableId="410007498">
    <w:abstractNumId w:val="36"/>
  </w:num>
  <w:num w:numId="6" w16cid:durableId="491724357">
    <w:abstractNumId w:val="26"/>
  </w:num>
  <w:num w:numId="7" w16cid:durableId="1811703819">
    <w:abstractNumId w:val="8"/>
  </w:num>
  <w:num w:numId="8" w16cid:durableId="794829114">
    <w:abstractNumId w:val="20"/>
  </w:num>
  <w:num w:numId="9" w16cid:durableId="1765808210">
    <w:abstractNumId w:val="12"/>
  </w:num>
  <w:num w:numId="10" w16cid:durableId="1885675712">
    <w:abstractNumId w:val="39"/>
  </w:num>
  <w:num w:numId="11" w16cid:durableId="1023820628">
    <w:abstractNumId w:val="10"/>
  </w:num>
  <w:num w:numId="12" w16cid:durableId="1855533855">
    <w:abstractNumId w:val="0"/>
  </w:num>
  <w:num w:numId="13" w16cid:durableId="795224711">
    <w:abstractNumId w:val="35"/>
  </w:num>
  <w:num w:numId="14" w16cid:durableId="1080326810">
    <w:abstractNumId w:val="25"/>
  </w:num>
  <w:num w:numId="15" w16cid:durableId="304236835">
    <w:abstractNumId w:val="15"/>
  </w:num>
  <w:num w:numId="16" w16cid:durableId="728649595">
    <w:abstractNumId w:val="32"/>
  </w:num>
  <w:num w:numId="17" w16cid:durableId="45570594">
    <w:abstractNumId w:val="27"/>
  </w:num>
  <w:num w:numId="18" w16cid:durableId="451098351">
    <w:abstractNumId w:val="3"/>
  </w:num>
  <w:num w:numId="19" w16cid:durableId="2129396200">
    <w:abstractNumId w:val="33"/>
  </w:num>
  <w:num w:numId="20" w16cid:durableId="666861265">
    <w:abstractNumId w:val="24"/>
  </w:num>
  <w:num w:numId="21" w16cid:durableId="1825706206">
    <w:abstractNumId w:val="13"/>
  </w:num>
  <w:num w:numId="22" w16cid:durableId="1063720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7285714">
    <w:abstractNumId w:val="34"/>
  </w:num>
  <w:num w:numId="24" w16cid:durableId="24066554">
    <w:abstractNumId w:val="1"/>
  </w:num>
  <w:num w:numId="25" w16cid:durableId="508253252">
    <w:abstractNumId w:val="5"/>
  </w:num>
  <w:num w:numId="26" w16cid:durableId="585185976">
    <w:abstractNumId w:val="11"/>
  </w:num>
  <w:num w:numId="27" w16cid:durableId="94787245">
    <w:abstractNumId w:val="7"/>
  </w:num>
  <w:num w:numId="28" w16cid:durableId="1488671513">
    <w:abstractNumId w:val="29"/>
  </w:num>
  <w:num w:numId="29" w16cid:durableId="23989217">
    <w:abstractNumId w:val="2"/>
  </w:num>
  <w:num w:numId="30" w16cid:durableId="412316856">
    <w:abstractNumId w:val="23"/>
  </w:num>
  <w:num w:numId="31" w16cid:durableId="2119521596">
    <w:abstractNumId w:val="18"/>
  </w:num>
  <w:num w:numId="32" w16cid:durableId="900946588">
    <w:abstractNumId w:val="6"/>
  </w:num>
  <w:num w:numId="33" w16cid:durableId="1657224323">
    <w:abstractNumId w:val="42"/>
  </w:num>
  <w:num w:numId="34" w16cid:durableId="1244029550">
    <w:abstractNumId w:val="14"/>
  </w:num>
  <w:num w:numId="35" w16cid:durableId="645671124">
    <w:abstractNumId w:val="43"/>
  </w:num>
  <w:num w:numId="36" w16cid:durableId="1624380323">
    <w:abstractNumId w:val="19"/>
  </w:num>
  <w:num w:numId="37" w16cid:durableId="1677686528">
    <w:abstractNumId w:val="16"/>
  </w:num>
  <w:num w:numId="38" w16cid:durableId="14771676">
    <w:abstractNumId w:val="30"/>
  </w:num>
  <w:num w:numId="39" w16cid:durableId="1592813334">
    <w:abstractNumId w:val="4"/>
  </w:num>
  <w:num w:numId="40" w16cid:durableId="1302072992">
    <w:abstractNumId w:val="9"/>
  </w:num>
  <w:num w:numId="41" w16cid:durableId="236979919">
    <w:abstractNumId w:val="40"/>
  </w:num>
  <w:num w:numId="42" w16cid:durableId="1785885150">
    <w:abstractNumId w:val="22"/>
  </w:num>
  <w:num w:numId="43" w16cid:durableId="897739744">
    <w:abstractNumId w:val="28"/>
  </w:num>
  <w:num w:numId="44" w16cid:durableId="1922987497">
    <w:abstractNumId w:val="31"/>
  </w:num>
  <w:num w:numId="45" w16cid:durableId="430859088">
    <w:abstractNumId w:val="38"/>
  </w:num>
  <w:num w:numId="46" w16cid:durableId="41702641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45"/>
    <w:rsid w:val="00001F63"/>
    <w:rsid w:val="0000356F"/>
    <w:rsid w:val="00004A60"/>
    <w:rsid w:val="00006CAA"/>
    <w:rsid w:val="000126EA"/>
    <w:rsid w:val="00012AA1"/>
    <w:rsid w:val="00014D97"/>
    <w:rsid w:val="00021C53"/>
    <w:rsid w:val="00021D71"/>
    <w:rsid w:val="0002490E"/>
    <w:rsid w:val="0003108F"/>
    <w:rsid w:val="0003158D"/>
    <w:rsid w:val="00033491"/>
    <w:rsid w:val="000354E3"/>
    <w:rsid w:val="000405ED"/>
    <w:rsid w:val="0004329F"/>
    <w:rsid w:val="000437D0"/>
    <w:rsid w:val="00045DC2"/>
    <w:rsid w:val="00050833"/>
    <w:rsid w:val="000526E8"/>
    <w:rsid w:val="00053CC6"/>
    <w:rsid w:val="00054D61"/>
    <w:rsid w:val="0005778A"/>
    <w:rsid w:val="00057A38"/>
    <w:rsid w:val="00060260"/>
    <w:rsid w:val="0006314E"/>
    <w:rsid w:val="000727EC"/>
    <w:rsid w:val="00075C23"/>
    <w:rsid w:val="00082549"/>
    <w:rsid w:val="00082BAB"/>
    <w:rsid w:val="00090005"/>
    <w:rsid w:val="00090E98"/>
    <w:rsid w:val="0009105E"/>
    <w:rsid w:val="00094F45"/>
    <w:rsid w:val="000953FF"/>
    <w:rsid w:val="00095556"/>
    <w:rsid w:val="0009711A"/>
    <w:rsid w:val="000A6592"/>
    <w:rsid w:val="000B3765"/>
    <w:rsid w:val="000B7875"/>
    <w:rsid w:val="000C1EA7"/>
    <w:rsid w:val="000C67E0"/>
    <w:rsid w:val="000C7DFA"/>
    <w:rsid w:val="000D05A5"/>
    <w:rsid w:val="000D276D"/>
    <w:rsid w:val="000D668E"/>
    <w:rsid w:val="000D7124"/>
    <w:rsid w:val="000E393F"/>
    <w:rsid w:val="000F40A2"/>
    <w:rsid w:val="001038EF"/>
    <w:rsid w:val="00103B5F"/>
    <w:rsid w:val="00103CCD"/>
    <w:rsid w:val="00105DCA"/>
    <w:rsid w:val="001077DE"/>
    <w:rsid w:val="00113F94"/>
    <w:rsid w:val="00115C27"/>
    <w:rsid w:val="00116222"/>
    <w:rsid w:val="001202F5"/>
    <w:rsid w:val="00121DC4"/>
    <w:rsid w:val="00123EDE"/>
    <w:rsid w:val="00125D4F"/>
    <w:rsid w:val="001260A8"/>
    <w:rsid w:val="00126E2C"/>
    <w:rsid w:val="00134109"/>
    <w:rsid w:val="001344EB"/>
    <w:rsid w:val="001355B5"/>
    <w:rsid w:val="0013783A"/>
    <w:rsid w:val="0014012B"/>
    <w:rsid w:val="00145149"/>
    <w:rsid w:val="00145A85"/>
    <w:rsid w:val="00152E32"/>
    <w:rsid w:val="00154654"/>
    <w:rsid w:val="00154C71"/>
    <w:rsid w:val="00164A45"/>
    <w:rsid w:val="001654BB"/>
    <w:rsid w:val="00170E70"/>
    <w:rsid w:val="001741AE"/>
    <w:rsid w:val="00180C5B"/>
    <w:rsid w:val="00182213"/>
    <w:rsid w:val="001847C3"/>
    <w:rsid w:val="001959DB"/>
    <w:rsid w:val="001A0855"/>
    <w:rsid w:val="001A33A9"/>
    <w:rsid w:val="001A4026"/>
    <w:rsid w:val="001A537C"/>
    <w:rsid w:val="001B1B48"/>
    <w:rsid w:val="001B7C87"/>
    <w:rsid w:val="001C0C6C"/>
    <w:rsid w:val="001C1644"/>
    <w:rsid w:val="001C232E"/>
    <w:rsid w:val="001C46FE"/>
    <w:rsid w:val="001C4ED5"/>
    <w:rsid w:val="001D5CA7"/>
    <w:rsid w:val="001D7957"/>
    <w:rsid w:val="001E19C3"/>
    <w:rsid w:val="001E1C36"/>
    <w:rsid w:val="001E488E"/>
    <w:rsid w:val="001E5ACA"/>
    <w:rsid w:val="001F0706"/>
    <w:rsid w:val="001F09DC"/>
    <w:rsid w:val="001F3980"/>
    <w:rsid w:val="001F7D24"/>
    <w:rsid w:val="00202383"/>
    <w:rsid w:val="0020305C"/>
    <w:rsid w:val="00205A2E"/>
    <w:rsid w:val="00205C13"/>
    <w:rsid w:val="00205D6F"/>
    <w:rsid w:val="00210D75"/>
    <w:rsid w:val="002117C4"/>
    <w:rsid w:val="0021359A"/>
    <w:rsid w:val="00214950"/>
    <w:rsid w:val="00222CFC"/>
    <w:rsid w:val="0022488B"/>
    <w:rsid w:val="00225119"/>
    <w:rsid w:val="00225B93"/>
    <w:rsid w:val="00226037"/>
    <w:rsid w:val="002273FF"/>
    <w:rsid w:val="00227DED"/>
    <w:rsid w:val="00230969"/>
    <w:rsid w:val="00231E5D"/>
    <w:rsid w:val="00234D36"/>
    <w:rsid w:val="00253FEB"/>
    <w:rsid w:val="00265BD3"/>
    <w:rsid w:val="00272F33"/>
    <w:rsid w:val="00280180"/>
    <w:rsid w:val="00287F52"/>
    <w:rsid w:val="00292060"/>
    <w:rsid w:val="00295DD2"/>
    <w:rsid w:val="002971E6"/>
    <w:rsid w:val="002A3AB0"/>
    <w:rsid w:val="002A5436"/>
    <w:rsid w:val="002A650F"/>
    <w:rsid w:val="002A759F"/>
    <w:rsid w:val="002B10ED"/>
    <w:rsid w:val="002B1D18"/>
    <w:rsid w:val="002B66C4"/>
    <w:rsid w:val="002D4C25"/>
    <w:rsid w:val="002D6F9C"/>
    <w:rsid w:val="002E6528"/>
    <w:rsid w:val="002E7F16"/>
    <w:rsid w:val="002F1DC0"/>
    <w:rsid w:val="002F611E"/>
    <w:rsid w:val="002F6C2C"/>
    <w:rsid w:val="00304FF4"/>
    <w:rsid w:val="00307D94"/>
    <w:rsid w:val="00321D7C"/>
    <w:rsid w:val="00321E90"/>
    <w:rsid w:val="00325B47"/>
    <w:rsid w:val="0033070E"/>
    <w:rsid w:val="00333C59"/>
    <w:rsid w:val="0033578B"/>
    <w:rsid w:val="00340419"/>
    <w:rsid w:val="003415E3"/>
    <w:rsid w:val="00342A79"/>
    <w:rsid w:val="00353B0A"/>
    <w:rsid w:val="00355635"/>
    <w:rsid w:val="0035602D"/>
    <w:rsid w:val="003642B6"/>
    <w:rsid w:val="003711A0"/>
    <w:rsid w:val="00371603"/>
    <w:rsid w:val="00371B16"/>
    <w:rsid w:val="00375213"/>
    <w:rsid w:val="003763A0"/>
    <w:rsid w:val="00376B58"/>
    <w:rsid w:val="00376D78"/>
    <w:rsid w:val="00376FA7"/>
    <w:rsid w:val="00377FB9"/>
    <w:rsid w:val="00382474"/>
    <w:rsid w:val="00382EB0"/>
    <w:rsid w:val="00385378"/>
    <w:rsid w:val="00390343"/>
    <w:rsid w:val="003930B2"/>
    <w:rsid w:val="00394098"/>
    <w:rsid w:val="00396D76"/>
    <w:rsid w:val="00397CAF"/>
    <w:rsid w:val="003A41AE"/>
    <w:rsid w:val="003A5A4E"/>
    <w:rsid w:val="003A698C"/>
    <w:rsid w:val="003B1943"/>
    <w:rsid w:val="003B25A5"/>
    <w:rsid w:val="003B281B"/>
    <w:rsid w:val="003B42F5"/>
    <w:rsid w:val="003C0A21"/>
    <w:rsid w:val="003C4CDE"/>
    <w:rsid w:val="003C5584"/>
    <w:rsid w:val="003C5655"/>
    <w:rsid w:val="003C6629"/>
    <w:rsid w:val="003C69EA"/>
    <w:rsid w:val="003C73BA"/>
    <w:rsid w:val="003D16D8"/>
    <w:rsid w:val="003D5488"/>
    <w:rsid w:val="003D5D9C"/>
    <w:rsid w:val="003E0533"/>
    <w:rsid w:val="003E2906"/>
    <w:rsid w:val="003E4F68"/>
    <w:rsid w:val="003E516E"/>
    <w:rsid w:val="003F497F"/>
    <w:rsid w:val="003F58FE"/>
    <w:rsid w:val="003F5A48"/>
    <w:rsid w:val="003F5C0A"/>
    <w:rsid w:val="003F6122"/>
    <w:rsid w:val="00400492"/>
    <w:rsid w:val="00404EE5"/>
    <w:rsid w:val="00405E28"/>
    <w:rsid w:val="00406A62"/>
    <w:rsid w:val="00406D17"/>
    <w:rsid w:val="00406E72"/>
    <w:rsid w:val="00413946"/>
    <w:rsid w:val="004152E6"/>
    <w:rsid w:val="00415867"/>
    <w:rsid w:val="004224D2"/>
    <w:rsid w:val="00423F06"/>
    <w:rsid w:val="004271B0"/>
    <w:rsid w:val="00427340"/>
    <w:rsid w:val="00433B2D"/>
    <w:rsid w:val="0043412D"/>
    <w:rsid w:val="004359C0"/>
    <w:rsid w:val="00440A87"/>
    <w:rsid w:val="0044774E"/>
    <w:rsid w:val="00450442"/>
    <w:rsid w:val="00453F5A"/>
    <w:rsid w:val="00454EE1"/>
    <w:rsid w:val="00462B8B"/>
    <w:rsid w:val="00466875"/>
    <w:rsid w:val="00477940"/>
    <w:rsid w:val="00482EA6"/>
    <w:rsid w:val="00484F11"/>
    <w:rsid w:val="00487B6D"/>
    <w:rsid w:val="004921CD"/>
    <w:rsid w:val="00492982"/>
    <w:rsid w:val="004940DE"/>
    <w:rsid w:val="004A2093"/>
    <w:rsid w:val="004A31B4"/>
    <w:rsid w:val="004A4CDE"/>
    <w:rsid w:val="004A52F2"/>
    <w:rsid w:val="004A6E89"/>
    <w:rsid w:val="004B380E"/>
    <w:rsid w:val="004C2DF0"/>
    <w:rsid w:val="004C421E"/>
    <w:rsid w:val="004C4372"/>
    <w:rsid w:val="004C7700"/>
    <w:rsid w:val="004D239C"/>
    <w:rsid w:val="004D4573"/>
    <w:rsid w:val="004D5BDC"/>
    <w:rsid w:val="004D6A8C"/>
    <w:rsid w:val="004E0D08"/>
    <w:rsid w:val="004E1153"/>
    <w:rsid w:val="004E3220"/>
    <w:rsid w:val="004E75DA"/>
    <w:rsid w:val="004F02DD"/>
    <w:rsid w:val="004F55B3"/>
    <w:rsid w:val="004F78F8"/>
    <w:rsid w:val="00503FB0"/>
    <w:rsid w:val="005040AE"/>
    <w:rsid w:val="005042A1"/>
    <w:rsid w:val="0050514F"/>
    <w:rsid w:val="0051167C"/>
    <w:rsid w:val="005124CD"/>
    <w:rsid w:val="00512C6D"/>
    <w:rsid w:val="005222A4"/>
    <w:rsid w:val="005228D7"/>
    <w:rsid w:val="0053274B"/>
    <w:rsid w:val="005361A7"/>
    <w:rsid w:val="00537E93"/>
    <w:rsid w:val="00541E36"/>
    <w:rsid w:val="00544F6D"/>
    <w:rsid w:val="00552703"/>
    <w:rsid w:val="0055469E"/>
    <w:rsid w:val="00560A06"/>
    <w:rsid w:val="00560A1A"/>
    <w:rsid w:val="0056440F"/>
    <w:rsid w:val="0056529A"/>
    <w:rsid w:val="00567B78"/>
    <w:rsid w:val="00572A1C"/>
    <w:rsid w:val="005759C2"/>
    <w:rsid w:val="005767B5"/>
    <w:rsid w:val="005776F4"/>
    <w:rsid w:val="00581310"/>
    <w:rsid w:val="005820A6"/>
    <w:rsid w:val="0058227A"/>
    <w:rsid w:val="005904E3"/>
    <w:rsid w:val="00590BED"/>
    <w:rsid w:val="00591312"/>
    <w:rsid w:val="00592357"/>
    <w:rsid w:val="0059715B"/>
    <w:rsid w:val="005A2815"/>
    <w:rsid w:val="005A3280"/>
    <w:rsid w:val="005A34DB"/>
    <w:rsid w:val="005A3BF8"/>
    <w:rsid w:val="005A4772"/>
    <w:rsid w:val="005A5B30"/>
    <w:rsid w:val="005B02A4"/>
    <w:rsid w:val="005B443A"/>
    <w:rsid w:val="005B57EB"/>
    <w:rsid w:val="005C04BE"/>
    <w:rsid w:val="005C61E0"/>
    <w:rsid w:val="005C7BAC"/>
    <w:rsid w:val="005D161D"/>
    <w:rsid w:val="005D3238"/>
    <w:rsid w:val="005E0800"/>
    <w:rsid w:val="005E4A85"/>
    <w:rsid w:val="005E7860"/>
    <w:rsid w:val="005F0845"/>
    <w:rsid w:val="005F397B"/>
    <w:rsid w:val="005F6F3C"/>
    <w:rsid w:val="005F7A7C"/>
    <w:rsid w:val="0061581C"/>
    <w:rsid w:val="006204CA"/>
    <w:rsid w:val="006215C4"/>
    <w:rsid w:val="00621D27"/>
    <w:rsid w:val="0062327C"/>
    <w:rsid w:val="00623AAF"/>
    <w:rsid w:val="0062617A"/>
    <w:rsid w:val="00631C48"/>
    <w:rsid w:val="00635428"/>
    <w:rsid w:val="006372FF"/>
    <w:rsid w:val="00641D96"/>
    <w:rsid w:val="006454B9"/>
    <w:rsid w:val="006470FD"/>
    <w:rsid w:val="00651176"/>
    <w:rsid w:val="00651CA8"/>
    <w:rsid w:val="0065519C"/>
    <w:rsid w:val="006615CC"/>
    <w:rsid w:val="0066320A"/>
    <w:rsid w:val="006641FE"/>
    <w:rsid w:val="006752BA"/>
    <w:rsid w:val="006823A5"/>
    <w:rsid w:val="00684083"/>
    <w:rsid w:val="00693017"/>
    <w:rsid w:val="006930EF"/>
    <w:rsid w:val="00693C0C"/>
    <w:rsid w:val="006954B2"/>
    <w:rsid w:val="006A1311"/>
    <w:rsid w:val="006A3132"/>
    <w:rsid w:val="006A3415"/>
    <w:rsid w:val="006A3D26"/>
    <w:rsid w:val="006A4E3D"/>
    <w:rsid w:val="006A5CB4"/>
    <w:rsid w:val="006A6935"/>
    <w:rsid w:val="006B1A30"/>
    <w:rsid w:val="006B1E7F"/>
    <w:rsid w:val="006B2BD0"/>
    <w:rsid w:val="006B7AF9"/>
    <w:rsid w:val="006B7D54"/>
    <w:rsid w:val="006C632B"/>
    <w:rsid w:val="006C78E4"/>
    <w:rsid w:val="006D0C67"/>
    <w:rsid w:val="006D1D78"/>
    <w:rsid w:val="006D2A72"/>
    <w:rsid w:val="006D3AC2"/>
    <w:rsid w:val="006D58DC"/>
    <w:rsid w:val="006E2908"/>
    <w:rsid w:val="006E4649"/>
    <w:rsid w:val="006E47D4"/>
    <w:rsid w:val="006F022C"/>
    <w:rsid w:val="006F4AD9"/>
    <w:rsid w:val="006F57E7"/>
    <w:rsid w:val="007007D4"/>
    <w:rsid w:val="00702B03"/>
    <w:rsid w:val="00703827"/>
    <w:rsid w:val="0070588C"/>
    <w:rsid w:val="007170D9"/>
    <w:rsid w:val="00723F02"/>
    <w:rsid w:val="00726D16"/>
    <w:rsid w:val="0073120E"/>
    <w:rsid w:val="00733D8A"/>
    <w:rsid w:val="007353BB"/>
    <w:rsid w:val="00736D71"/>
    <w:rsid w:val="00754F69"/>
    <w:rsid w:val="00760374"/>
    <w:rsid w:val="00761D46"/>
    <w:rsid w:val="007635FA"/>
    <w:rsid w:val="00765319"/>
    <w:rsid w:val="00774CD6"/>
    <w:rsid w:val="007765C3"/>
    <w:rsid w:val="00777903"/>
    <w:rsid w:val="007803FD"/>
    <w:rsid w:val="00793DB0"/>
    <w:rsid w:val="0079438A"/>
    <w:rsid w:val="00795DAC"/>
    <w:rsid w:val="007A5F6A"/>
    <w:rsid w:val="007A7C50"/>
    <w:rsid w:val="007B0CC4"/>
    <w:rsid w:val="007B0E84"/>
    <w:rsid w:val="007B27CA"/>
    <w:rsid w:val="007C1D7A"/>
    <w:rsid w:val="007C4EB2"/>
    <w:rsid w:val="007C664C"/>
    <w:rsid w:val="007C6934"/>
    <w:rsid w:val="007D193E"/>
    <w:rsid w:val="007D784D"/>
    <w:rsid w:val="007E05AC"/>
    <w:rsid w:val="007E2142"/>
    <w:rsid w:val="007E595A"/>
    <w:rsid w:val="007F072E"/>
    <w:rsid w:val="007F4D27"/>
    <w:rsid w:val="007F50BD"/>
    <w:rsid w:val="007F6A22"/>
    <w:rsid w:val="00801966"/>
    <w:rsid w:val="00803527"/>
    <w:rsid w:val="0080421E"/>
    <w:rsid w:val="0080451F"/>
    <w:rsid w:val="00806F69"/>
    <w:rsid w:val="00814AC5"/>
    <w:rsid w:val="008158EA"/>
    <w:rsid w:val="00815C59"/>
    <w:rsid w:val="008168F4"/>
    <w:rsid w:val="00822778"/>
    <w:rsid w:val="00822BF7"/>
    <w:rsid w:val="008241A6"/>
    <w:rsid w:val="00827E98"/>
    <w:rsid w:val="0083064C"/>
    <w:rsid w:val="00833F53"/>
    <w:rsid w:val="008356D9"/>
    <w:rsid w:val="00837B1B"/>
    <w:rsid w:val="00841BCD"/>
    <w:rsid w:val="0084266B"/>
    <w:rsid w:val="00843DF8"/>
    <w:rsid w:val="00852F7D"/>
    <w:rsid w:val="008534A6"/>
    <w:rsid w:val="00861768"/>
    <w:rsid w:val="008619F0"/>
    <w:rsid w:val="008713F1"/>
    <w:rsid w:val="00872CA3"/>
    <w:rsid w:val="00874AD9"/>
    <w:rsid w:val="00885F18"/>
    <w:rsid w:val="00887D63"/>
    <w:rsid w:val="008919E6"/>
    <w:rsid w:val="00897526"/>
    <w:rsid w:val="008A2EF3"/>
    <w:rsid w:val="008A7FC4"/>
    <w:rsid w:val="008B27B6"/>
    <w:rsid w:val="008B2910"/>
    <w:rsid w:val="008B4257"/>
    <w:rsid w:val="008D30CD"/>
    <w:rsid w:val="008D62E0"/>
    <w:rsid w:val="008D7617"/>
    <w:rsid w:val="008E0340"/>
    <w:rsid w:val="008E3ED7"/>
    <w:rsid w:val="008E577B"/>
    <w:rsid w:val="008E771A"/>
    <w:rsid w:val="008F1EDE"/>
    <w:rsid w:val="008F63A1"/>
    <w:rsid w:val="008F7013"/>
    <w:rsid w:val="00900E95"/>
    <w:rsid w:val="00904450"/>
    <w:rsid w:val="009117FB"/>
    <w:rsid w:val="00915969"/>
    <w:rsid w:val="00917C83"/>
    <w:rsid w:val="00920303"/>
    <w:rsid w:val="00922451"/>
    <w:rsid w:val="00922C63"/>
    <w:rsid w:val="00923368"/>
    <w:rsid w:val="009319A5"/>
    <w:rsid w:val="00934BB9"/>
    <w:rsid w:val="00935D59"/>
    <w:rsid w:val="0093763E"/>
    <w:rsid w:val="00940033"/>
    <w:rsid w:val="00944B5E"/>
    <w:rsid w:val="00953515"/>
    <w:rsid w:val="00960D0F"/>
    <w:rsid w:val="0096236D"/>
    <w:rsid w:val="009652F4"/>
    <w:rsid w:val="00975EF0"/>
    <w:rsid w:val="0098150B"/>
    <w:rsid w:val="00984238"/>
    <w:rsid w:val="009859FF"/>
    <w:rsid w:val="00992AEE"/>
    <w:rsid w:val="0099446F"/>
    <w:rsid w:val="00994783"/>
    <w:rsid w:val="009B1281"/>
    <w:rsid w:val="009B2E27"/>
    <w:rsid w:val="009B5FA6"/>
    <w:rsid w:val="009B63A9"/>
    <w:rsid w:val="009C558B"/>
    <w:rsid w:val="009C65CD"/>
    <w:rsid w:val="009D000E"/>
    <w:rsid w:val="009D5863"/>
    <w:rsid w:val="009E6994"/>
    <w:rsid w:val="009F62C5"/>
    <w:rsid w:val="009F74B0"/>
    <w:rsid w:val="009F7E58"/>
    <w:rsid w:val="00A00229"/>
    <w:rsid w:val="00A04CC3"/>
    <w:rsid w:val="00A04FDA"/>
    <w:rsid w:val="00A04FF7"/>
    <w:rsid w:val="00A0524F"/>
    <w:rsid w:val="00A068DE"/>
    <w:rsid w:val="00A07A14"/>
    <w:rsid w:val="00A122ED"/>
    <w:rsid w:val="00A144A6"/>
    <w:rsid w:val="00A1461D"/>
    <w:rsid w:val="00A1775F"/>
    <w:rsid w:val="00A20AA0"/>
    <w:rsid w:val="00A24373"/>
    <w:rsid w:val="00A251BF"/>
    <w:rsid w:val="00A26BB2"/>
    <w:rsid w:val="00A26C9A"/>
    <w:rsid w:val="00A2799D"/>
    <w:rsid w:val="00A30C83"/>
    <w:rsid w:val="00A374E9"/>
    <w:rsid w:val="00A42512"/>
    <w:rsid w:val="00A44C49"/>
    <w:rsid w:val="00A4573F"/>
    <w:rsid w:val="00A45E6A"/>
    <w:rsid w:val="00A512D3"/>
    <w:rsid w:val="00A53AFB"/>
    <w:rsid w:val="00A54EBF"/>
    <w:rsid w:val="00A565D2"/>
    <w:rsid w:val="00A57F64"/>
    <w:rsid w:val="00A66450"/>
    <w:rsid w:val="00A67109"/>
    <w:rsid w:val="00A67B50"/>
    <w:rsid w:val="00A7389F"/>
    <w:rsid w:val="00A75A8F"/>
    <w:rsid w:val="00A773D2"/>
    <w:rsid w:val="00A83166"/>
    <w:rsid w:val="00A86049"/>
    <w:rsid w:val="00A904DB"/>
    <w:rsid w:val="00A914DA"/>
    <w:rsid w:val="00A9213E"/>
    <w:rsid w:val="00A94A1F"/>
    <w:rsid w:val="00A9516A"/>
    <w:rsid w:val="00A95173"/>
    <w:rsid w:val="00A95408"/>
    <w:rsid w:val="00AA529C"/>
    <w:rsid w:val="00AA693D"/>
    <w:rsid w:val="00AA76A3"/>
    <w:rsid w:val="00AB1F5B"/>
    <w:rsid w:val="00AB2CFB"/>
    <w:rsid w:val="00AB768C"/>
    <w:rsid w:val="00AB7FBB"/>
    <w:rsid w:val="00AC13B4"/>
    <w:rsid w:val="00AC59C8"/>
    <w:rsid w:val="00AC5BDD"/>
    <w:rsid w:val="00AD0D19"/>
    <w:rsid w:val="00AD1B29"/>
    <w:rsid w:val="00AE09A9"/>
    <w:rsid w:val="00AE2897"/>
    <w:rsid w:val="00AE31DF"/>
    <w:rsid w:val="00AE3CFD"/>
    <w:rsid w:val="00AE593C"/>
    <w:rsid w:val="00AF6780"/>
    <w:rsid w:val="00B018D9"/>
    <w:rsid w:val="00B0586C"/>
    <w:rsid w:val="00B11A69"/>
    <w:rsid w:val="00B15A94"/>
    <w:rsid w:val="00B16A67"/>
    <w:rsid w:val="00B21077"/>
    <w:rsid w:val="00B21CA6"/>
    <w:rsid w:val="00B240B0"/>
    <w:rsid w:val="00B265E4"/>
    <w:rsid w:val="00B27D13"/>
    <w:rsid w:val="00B30181"/>
    <w:rsid w:val="00B301F1"/>
    <w:rsid w:val="00B346FA"/>
    <w:rsid w:val="00B4120C"/>
    <w:rsid w:val="00B43EDB"/>
    <w:rsid w:val="00B440D8"/>
    <w:rsid w:val="00B470AA"/>
    <w:rsid w:val="00B47421"/>
    <w:rsid w:val="00B47763"/>
    <w:rsid w:val="00B512FE"/>
    <w:rsid w:val="00B52006"/>
    <w:rsid w:val="00B526A0"/>
    <w:rsid w:val="00B52D84"/>
    <w:rsid w:val="00B56D0B"/>
    <w:rsid w:val="00B5727D"/>
    <w:rsid w:val="00B6051D"/>
    <w:rsid w:val="00B628E8"/>
    <w:rsid w:val="00B653BB"/>
    <w:rsid w:val="00B6560A"/>
    <w:rsid w:val="00B656B2"/>
    <w:rsid w:val="00B67353"/>
    <w:rsid w:val="00B70AAB"/>
    <w:rsid w:val="00B70E4C"/>
    <w:rsid w:val="00B719E8"/>
    <w:rsid w:val="00B74CF0"/>
    <w:rsid w:val="00B76BE2"/>
    <w:rsid w:val="00B81CD4"/>
    <w:rsid w:val="00B82287"/>
    <w:rsid w:val="00B84643"/>
    <w:rsid w:val="00B9099F"/>
    <w:rsid w:val="00B935D8"/>
    <w:rsid w:val="00B957C5"/>
    <w:rsid w:val="00B964A5"/>
    <w:rsid w:val="00B965FA"/>
    <w:rsid w:val="00B972E3"/>
    <w:rsid w:val="00BA19FE"/>
    <w:rsid w:val="00BA2A0A"/>
    <w:rsid w:val="00BA7C3F"/>
    <w:rsid w:val="00BA7ECD"/>
    <w:rsid w:val="00BB1C09"/>
    <w:rsid w:val="00BC4A48"/>
    <w:rsid w:val="00BC5002"/>
    <w:rsid w:val="00BC5312"/>
    <w:rsid w:val="00BC6B32"/>
    <w:rsid w:val="00BD3B0C"/>
    <w:rsid w:val="00BD6EC0"/>
    <w:rsid w:val="00BD76F6"/>
    <w:rsid w:val="00BE06DF"/>
    <w:rsid w:val="00BE3227"/>
    <w:rsid w:val="00BE3B0D"/>
    <w:rsid w:val="00BE5E3C"/>
    <w:rsid w:val="00BF0B07"/>
    <w:rsid w:val="00BF14E3"/>
    <w:rsid w:val="00BF4562"/>
    <w:rsid w:val="00BF5908"/>
    <w:rsid w:val="00C00EEE"/>
    <w:rsid w:val="00C0130F"/>
    <w:rsid w:val="00C01F35"/>
    <w:rsid w:val="00C04E6E"/>
    <w:rsid w:val="00C10860"/>
    <w:rsid w:val="00C12932"/>
    <w:rsid w:val="00C12B66"/>
    <w:rsid w:val="00C161EE"/>
    <w:rsid w:val="00C177A4"/>
    <w:rsid w:val="00C17C6C"/>
    <w:rsid w:val="00C207B5"/>
    <w:rsid w:val="00C21200"/>
    <w:rsid w:val="00C2608C"/>
    <w:rsid w:val="00C31DB8"/>
    <w:rsid w:val="00C31ED6"/>
    <w:rsid w:val="00C35200"/>
    <w:rsid w:val="00C35600"/>
    <w:rsid w:val="00C43F29"/>
    <w:rsid w:val="00C45D42"/>
    <w:rsid w:val="00C52CDF"/>
    <w:rsid w:val="00C5348A"/>
    <w:rsid w:val="00C53A8E"/>
    <w:rsid w:val="00C545B7"/>
    <w:rsid w:val="00C54C6C"/>
    <w:rsid w:val="00C6125A"/>
    <w:rsid w:val="00C62BC1"/>
    <w:rsid w:val="00C636ED"/>
    <w:rsid w:val="00C6393B"/>
    <w:rsid w:val="00C63A24"/>
    <w:rsid w:val="00C65D4D"/>
    <w:rsid w:val="00C67D69"/>
    <w:rsid w:val="00C72D5F"/>
    <w:rsid w:val="00C75908"/>
    <w:rsid w:val="00C75E6B"/>
    <w:rsid w:val="00C766B9"/>
    <w:rsid w:val="00C76A5E"/>
    <w:rsid w:val="00C77034"/>
    <w:rsid w:val="00C7747F"/>
    <w:rsid w:val="00C818E8"/>
    <w:rsid w:val="00C837DC"/>
    <w:rsid w:val="00C87A35"/>
    <w:rsid w:val="00C912C8"/>
    <w:rsid w:val="00C92AE6"/>
    <w:rsid w:val="00C934DA"/>
    <w:rsid w:val="00CA24B8"/>
    <w:rsid w:val="00CA2D1B"/>
    <w:rsid w:val="00CA332E"/>
    <w:rsid w:val="00CA40B9"/>
    <w:rsid w:val="00CA5FFD"/>
    <w:rsid w:val="00CA7D3B"/>
    <w:rsid w:val="00CB2F67"/>
    <w:rsid w:val="00CB613E"/>
    <w:rsid w:val="00CC42FC"/>
    <w:rsid w:val="00CD2A5E"/>
    <w:rsid w:val="00CE123E"/>
    <w:rsid w:val="00CE3CFD"/>
    <w:rsid w:val="00CE4220"/>
    <w:rsid w:val="00CE5554"/>
    <w:rsid w:val="00CE73C6"/>
    <w:rsid w:val="00CF42CA"/>
    <w:rsid w:val="00CF443B"/>
    <w:rsid w:val="00D00515"/>
    <w:rsid w:val="00D015B0"/>
    <w:rsid w:val="00D034AF"/>
    <w:rsid w:val="00D061F7"/>
    <w:rsid w:val="00D124B4"/>
    <w:rsid w:val="00D125C0"/>
    <w:rsid w:val="00D13442"/>
    <w:rsid w:val="00D13EC3"/>
    <w:rsid w:val="00D21973"/>
    <w:rsid w:val="00D26368"/>
    <w:rsid w:val="00D31109"/>
    <w:rsid w:val="00D36E0B"/>
    <w:rsid w:val="00D4381E"/>
    <w:rsid w:val="00D43906"/>
    <w:rsid w:val="00D46745"/>
    <w:rsid w:val="00D62250"/>
    <w:rsid w:val="00D63FD0"/>
    <w:rsid w:val="00D74A7A"/>
    <w:rsid w:val="00D74B2A"/>
    <w:rsid w:val="00D80425"/>
    <w:rsid w:val="00D81A22"/>
    <w:rsid w:val="00D84328"/>
    <w:rsid w:val="00D84970"/>
    <w:rsid w:val="00D8581E"/>
    <w:rsid w:val="00D85C6B"/>
    <w:rsid w:val="00D8686C"/>
    <w:rsid w:val="00D86904"/>
    <w:rsid w:val="00D8695A"/>
    <w:rsid w:val="00D90C46"/>
    <w:rsid w:val="00D95340"/>
    <w:rsid w:val="00D97D1A"/>
    <w:rsid w:val="00DA222F"/>
    <w:rsid w:val="00DA5C67"/>
    <w:rsid w:val="00DA5DEF"/>
    <w:rsid w:val="00DA7B91"/>
    <w:rsid w:val="00DB1379"/>
    <w:rsid w:val="00DB4338"/>
    <w:rsid w:val="00DB447C"/>
    <w:rsid w:val="00DC0AB7"/>
    <w:rsid w:val="00DC10DD"/>
    <w:rsid w:val="00DC2859"/>
    <w:rsid w:val="00DC2AC0"/>
    <w:rsid w:val="00DC30D0"/>
    <w:rsid w:val="00DC4695"/>
    <w:rsid w:val="00DC5A0D"/>
    <w:rsid w:val="00DD053E"/>
    <w:rsid w:val="00DD544C"/>
    <w:rsid w:val="00DD58FB"/>
    <w:rsid w:val="00DD66B8"/>
    <w:rsid w:val="00DD7B2E"/>
    <w:rsid w:val="00DE598E"/>
    <w:rsid w:val="00DE6E71"/>
    <w:rsid w:val="00DF0F82"/>
    <w:rsid w:val="00DF3A89"/>
    <w:rsid w:val="00DF41E1"/>
    <w:rsid w:val="00DF4D6B"/>
    <w:rsid w:val="00DF5420"/>
    <w:rsid w:val="00E0015A"/>
    <w:rsid w:val="00E003FD"/>
    <w:rsid w:val="00E006A8"/>
    <w:rsid w:val="00E0231B"/>
    <w:rsid w:val="00E040CA"/>
    <w:rsid w:val="00E04FFA"/>
    <w:rsid w:val="00E07F2A"/>
    <w:rsid w:val="00E127AD"/>
    <w:rsid w:val="00E16D28"/>
    <w:rsid w:val="00E1776E"/>
    <w:rsid w:val="00E17C53"/>
    <w:rsid w:val="00E2590F"/>
    <w:rsid w:val="00E260BE"/>
    <w:rsid w:val="00E26396"/>
    <w:rsid w:val="00E33AB6"/>
    <w:rsid w:val="00E37230"/>
    <w:rsid w:val="00E378C1"/>
    <w:rsid w:val="00E40C8F"/>
    <w:rsid w:val="00E426B7"/>
    <w:rsid w:val="00E4520D"/>
    <w:rsid w:val="00E457E6"/>
    <w:rsid w:val="00E45CFA"/>
    <w:rsid w:val="00E56EF1"/>
    <w:rsid w:val="00E57DC5"/>
    <w:rsid w:val="00E60AE7"/>
    <w:rsid w:val="00E62F31"/>
    <w:rsid w:val="00E64938"/>
    <w:rsid w:val="00E657CC"/>
    <w:rsid w:val="00E73A63"/>
    <w:rsid w:val="00E768D5"/>
    <w:rsid w:val="00E80C6D"/>
    <w:rsid w:val="00E8465A"/>
    <w:rsid w:val="00E87EEF"/>
    <w:rsid w:val="00E9136E"/>
    <w:rsid w:val="00E9204B"/>
    <w:rsid w:val="00E920F0"/>
    <w:rsid w:val="00E92987"/>
    <w:rsid w:val="00E97EB9"/>
    <w:rsid w:val="00EA5D20"/>
    <w:rsid w:val="00EA7355"/>
    <w:rsid w:val="00EB55E7"/>
    <w:rsid w:val="00EC2243"/>
    <w:rsid w:val="00EC2A79"/>
    <w:rsid w:val="00EC41E8"/>
    <w:rsid w:val="00EC4912"/>
    <w:rsid w:val="00EC5BBF"/>
    <w:rsid w:val="00ED2D83"/>
    <w:rsid w:val="00ED2E96"/>
    <w:rsid w:val="00ED3912"/>
    <w:rsid w:val="00EE0F35"/>
    <w:rsid w:val="00EE489A"/>
    <w:rsid w:val="00EE60EC"/>
    <w:rsid w:val="00EE6E5A"/>
    <w:rsid w:val="00EF2BEB"/>
    <w:rsid w:val="00EF3FF8"/>
    <w:rsid w:val="00EF41FE"/>
    <w:rsid w:val="00EF5215"/>
    <w:rsid w:val="00F02AC3"/>
    <w:rsid w:val="00F04774"/>
    <w:rsid w:val="00F103FD"/>
    <w:rsid w:val="00F117B4"/>
    <w:rsid w:val="00F12C25"/>
    <w:rsid w:val="00F1390B"/>
    <w:rsid w:val="00F154FE"/>
    <w:rsid w:val="00F237D0"/>
    <w:rsid w:val="00F24221"/>
    <w:rsid w:val="00F276D6"/>
    <w:rsid w:val="00F31C89"/>
    <w:rsid w:val="00F32A06"/>
    <w:rsid w:val="00F33FC4"/>
    <w:rsid w:val="00F3768A"/>
    <w:rsid w:val="00F40173"/>
    <w:rsid w:val="00F4018B"/>
    <w:rsid w:val="00F4160D"/>
    <w:rsid w:val="00F457AD"/>
    <w:rsid w:val="00F533FE"/>
    <w:rsid w:val="00F5438B"/>
    <w:rsid w:val="00F61439"/>
    <w:rsid w:val="00F6305C"/>
    <w:rsid w:val="00F63385"/>
    <w:rsid w:val="00F65B0B"/>
    <w:rsid w:val="00F66CE4"/>
    <w:rsid w:val="00F678E1"/>
    <w:rsid w:val="00F71002"/>
    <w:rsid w:val="00F772F4"/>
    <w:rsid w:val="00F773C7"/>
    <w:rsid w:val="00F8755F"/>
    <w:rsid w:val="00F8777E"/>
    <w:rsid w:val="00F97A8A"/>
    <w:rsid w:val="00FA16D3"/>
    <w:rsid w:val="00FA2596"/>
    <w:rsid w:val="00FA4266"/>
    <w:rsid w:val="00FA5A0B"/>
    <w:rsid w:val="00FA74C9"/>
    <w:rsid w:val="00FB17EE"/>
    <w:rsid w:val="00FB2B2E"/>
    <w:rsid w:val="00FB3CF6"/>
    <w:rsid w:val="00FB642A"/>
    <w:rsid w:val="00FC298B"/>
    <w:rsid w:val="00FC3D97"/>
    <w:rsid w:val="00FC5DA1"/>
    <w:rsid w:val="00FD1109"/>
    <w:rsid w:val="00FD1C88"/>
    <w:rsid w:val="00FD2B50"/>
    <w:rsid w:val="00FD5524"/>
    <w:rsid w:val="00FD57D3"/>
    <w:rsid w:val="00FD5A8D"/>
    <w:rsid w:val="00FD70A7"/>
    <w:rsid w:val="00FD7D57"/>
    <w:rsid w:val="00FE02C3"/>
    <w:rsid w:val="00FE0BA0"/>
    <w:rsid w:val="00FE1D87"/>
    <w:rsid w:val="00FE206A"/>
    <w:rsid w:val="00FE3CA8"/>
    <w:rsid w:val="00FE51CC"/>
    <w:rsid w:val="00FE5707"/>
    <w:rsid w:val="00FE582F"/>
    <w:rsid w:val="00FF0A55"/>
    <w:rsid w:val="00FF774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F10E7"/>
  <w15:chartTrackingRefBased/>
  <w15:docId w15:val="{5A310858-C4DF-462F-8B27-E0861467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5E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ITlitera">
    <w:name w:val="LIT – litera"/>
    <w:basedOn w:val="Normalny"/>
    <w:uiPriority w:val="14"/>
    <w:qFormat/>
    <w:rsid w:val="005C61E0"/>
    <w:pPr>
      <w:spacing w:after="0" w:line="360" w:lineRule="auto"/>
      <w:ind w:left="986" w:hanging="476"/>
      <w:jc w:val="both"/>
    </w:pPr>
    <w:rPr>
      <w:rFonts w:ascii="Times" w:eastAsiaTheme="minorEastAsia" w:hAnsi="Times" w:cs="Arial"/>
      <w:bCs/>
      <w:sz w:val="24"/>
      <w:szCs w:val="20"/>
      <w:lang w:eastAsia="pl-PL"/>
    </w:rPr>
  </w:style>
  <w:style w:type="paragraph" w:styleId="Tekstprzypisukocowego">
    <w:name w:val="endnote text"/>
    <w:basedOn w:val="Normalny"/>
    <w:link w:val="TekstprzypisukocowegoZnak"/>
    <w:uiPriority w:val="99"/>
    <w:semiHidden/>
    <w:unhideWhenUsed/>
    <w:rsid w:val="00F139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1390B"/>
    <w:rPr>
      <w:sz w:val="20"/>
      <w:szCs w:val="20"/>
    </w:rPr>
  </w:style>
  <w:style w:type="character" w:styleId="Odwoanieprzypisukocowego">
    <w:name w:val="endnote reference"/>
    <w:basedOn w:val="Domylnaczcionkaakapitu"/>
    <w:uiPriority w:val="99"/>
    <w:semiHidden/>
    <w:unhideWhenUsed/>
    <w:rsid w:val="00F1390B"/>
    <w:rPr>
      <w:vertAlign w:val="superscript"/>
    </w:rPr>
  </w:style>
  <w:style w:type="character" w:customStyle="1" w:styleId="object">
    <w:name w:val="object"/>
    <w:basedOn w:val="Domylnaczcionkaakapitu"/>
    <w:rsid w:val="00544F6D"/>
  </w:style>
  <w:style w:type="character" w:styleId="Pogrubienie">
    <w:name w:val="Strong"/>
    <w:basedOn w:val="Domylnaczcionkaakapitu"/>
    <w:uiPriority w:val="22"/>
    <w:qFormat/>
    <w:rsid w:val="00544F6D"/>
    <w:rPr>
      <w:b/>
      <w:bCs/>
    </w:rPr>
  </w:style>
  <w:style w:type="paragraph" w:styleId="Akapitzlist">
    <w:name w:val="List Paragraph"/>
    <w:basedOn w:val="Normalny"/>
    <w:uiPriority w:val="34"/>
    <w:qFormat/>
    <w:rsid w:val="00544F6D"/>
    <w:pPr>
      <w:ind w:left="720"/>
      <w:contextualSpacing/>
    </w:pPr>
  </w:style>
  <w:style w:type="paragraph" w:styleId="Tekstprzypisudolnego">
    <w:name w:val="footnote text"/>
    <w:basedOn w:val="Normalny"/>
    <w:link w:val="TekstprzypisudolnegoZnak"/>
    <w:uiPriority w:val="99"/>
    <w:semiHidden/>
    <w:unhideWhenUsed/>
    <w:rsid w:val="00D63FD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FD0"/>
    <w:rPr>
      <w:sz w:val="20"/>
      <w:szCs w:val="20"/>
    </w:rPr>
  </w:style>
  <w:style w:type="character" w:styleId="Odwoanieprzypisudolnego">
    <w:name w:val="footnote reference"/>
    <w:basedOn w:val="Domylnaczcionkaakapitu"/>
    <w:uiPriority w:val="99"/>
    <w:semiHidden/>
    <w:unhideWhenUsed/>
    <w:rsid w:val="00D63FD0"/>
    <w:rPr>
      <w:vertAlign w:val="superscript"/>
    </w:rPr>
  </w:style>
  <w:style w:type="paragraph" w:customStyle="1" w:styleId="Default">
    <w:name w:val="Default"/>
    <w:rsid w:val="00D63FD0"/>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DB44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447C"/>
    <w:rPr>
      <w:rFonts w:ascii="Segoe UI" w:hAnsi="Segoe UI" w:cs="Segoe UI"/>
      <w:sz w:val="18"/>
      <w:szCs w:val="18"/>
    </w:rPr>
  </w:style>
  <w:style w:type="character" w:styleId="Odwoaniedokomentarza">
    <w:name w:val="annotation reference"/>
    <w:basedOn w:val="Domylnaczcionkaakapitu"/>
    <w:uiPriority w:val="99"/>
    <w:semiHidden/>
    <w:unhideWhenUsed/>
    <w:rsid w:val="00DB447C"/>
    <w:rPr>
      <w:sz w:val="16"/>
      <w:szCs w:val="16"/>
    </w:rPr>
  </w:style>
  <w:style w:type="paragraph" w:styleId="Tekstkomentarza">
    <w:name w:val="annotation text"/>
    <w:basedOn w:val="Normalny"/>
    <w:link w:val="TekstkomentarzaZnak"/>
    <w:uiPriority w:val="99"/>
    <w:unhideWhenUsed/>
    <w:rsid w:val="00DB447C"/>
    <w:pPr>
      <w:spacing w:line="240" w:lineRule="auto"/>
    </w:pPr>
    <w:rPr>
      <w:sz w:val="20"/>
      <w:szCs w:val="20"/>
    </w:rPr>
  </w:style>
  <w:style w:type="character" w:customStyle="1" w:styleId="TekstkomentarzaZnak">
    <w:name w:val="Tekst komentarza Znak"/>
    <w:basedOn w:val="Domylnaczcionkaakapitu"/>
    <w:link w:val="Tekstkomentarza"/>
    <w:uiPriority w:val="99"/>
    <w:rsid w:val="00DB447C"/>
    <w:rPr>
      <w:sz w:val="20"/>
      <w:szCs w:val="20"/>
    </w:rPr>
  </w:style>
  <w:style w:type="paragraph" w:styleId="Tematkomentarza">
    <w:name w:val="annotation subject"/>
    <w:basedOn w:val="Tekstkomentarza"/>
    <w:next w:val="Tekstkomentarza"/>
    <w:link w:val="TematkomentarzaZnak"/>
    <w:uiPriority w:val="99"/>
    <w:semiHidden/>
    <w:unhideWhenUsed/>
    <w:rsid w:val="00DB447C"/>
    <w:rPr>
      <w:b/>
      <w:bCs/>
    </w:rPr>
  </w:style>
  <w:style w:type="character" w:customStyle="1" w:styleId="TematkomentarzaZnak">
    <w:name w:val="Temat komentarza Znak"/>
    <w:basedOn w:val="TekstkomentarzaZnak"/>
    <w:link w:val="Tematkomentarza"/>
    <w:uiPriority w:val="99"/>
    <w:semiHidden/>
    <w:rsid w:val="00DB447C"/>
    <w:rPr>
      <w:b/>
      <w:bCs/>
      <w:sz w:val="20"/>
      <w:szCs w:val="20"/>
    </w:rPr>
  </w:style>
  <w:style w:type="paragraph" w:styleId="Poprawka">
    <w:name w:val="Revision"/>
    <w:hidden/>
    <w:uiPriority w:val="99"/>
    <w:semiHidden/>
    <w:rsid w:val="00170E70"/>
    <w:pPr>
      <w:spacing w:after="0" w:line="240" w:lineRule="auto"/>
    </w:pPr>
  </w:style>
  <w:style w:type="paragraph" w:customStyle="1" w:styleId="USTustnpkodeksu">
    <w:name w:val="UST(§) – ust. (§ np. kodeksu)"/>
    <w:basedOn w:val="Normalny"/>
    <w:uiPriority w:val="12"/>
    <w:qFormat/>
    <w:rsid w:val="005B57EB"/>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customStyle="1" w:styleId="ZPKTzmpktartykuempunktem">
    <w:name w:val="Z/PKT – zm. pkt artykułem (punktem)"/>
    <w:basedOn w:val="Normalny"/>
    <w:uiPriority w:val="31"/>
    <w:qFormat/>
    <w:rsid w:val="005B57EB"/>
    <w:pPr>
      <w:spacing w:after="0" w:line="360" w:lineRule="auto"/>
      <w:ind w:left="1020" w:hanging="510"/>
      <w:jc w:val="both"/>
    </w:pPr>
    <w:rPr>
      <w:rFonts w:ascii="Times" w:eastAsiaTheme="minorEastAsia" w:hAnsi="Times" w:cs="Arial"/>
      <w:bCs/>
      <w:sz w:val="24"/>
      <w:szCs w:val="20"/>
      <w:lang w:eastAsia="pl-PL"/>
    </w:rPr>
  </w:style>
  <w:style w:type="paragraph" w:styleId="Nagwek">
    <w:name w:val="header"/>
    <w:basedOn w:val="Normalny"/>
    <w:link w:val="NagwekZnak"/>
    <w:uiPriority w:val="99"/>
    <w:unhideWhenUsed/>
    <w:rsid w:val="009535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3515"/>
  </w:style>
  <w:style w:type="paragraph" w:styleId="Stopka">
    <w:name w:val="footer"/>
    <w:basedOn w:val="Normalny"/>
    <w:link w:val="StopkaZnak"/>
    <w:uiPriority w:val="99"/>
    <w:unhideWhenUsed/>
    <w:rsid w:val="009535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3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8809">
      <w:bodyDiv w:val="1"/>
      <w:marLeft w:val="0"/>
      <w:marRight w:val="0"/>
      <w:marTop w:val="0"/>
      <w:marBottom w:val="0"/>
      <w:divBdr>
        <w:top w:val="none" w:sz="0" w:space="0" w:color="auto"/>
        <w:left w:val="none" w:sz="0" w:space="0" w:color="auto"/>
        <w:bottom w:val="none" w:sz="0" w:space="0" w:color="auto"/>
        <w:right w:val="none" w:sz="0" w:space="0" w:color="auto"/>
      </w:divBdr>
    </w:div>
    <w:div w:id="463235326">
      <w:bodyDiv w:val="1"/>
      <w:marLeft w:val="0"/>
      <w:marRight w:val="0"/>
      <w:marTop w:val="0"/>
      <w:marBottom w:val="0"/>
      <w:divBdr>
        <w:top w:val="none" w:sz="0" w:space="0" w:color="auto"/>
        <w:left w:val="none" w:sz="0" w:space="0" w:color="auto"/>
        <w:bottom w:val="none" w:sz="0" w:space="0" w:color="auto"/>
        <w:right w:val="none" w:sz="0" w:space="0" w:color="auto"/>
      </w:divBdr>
    </w:div>
    <w:div w:id="668754351">
      <w:bodyDiv w:val="1"/>
      <w:marLeft w:val="0"/>
      <w:marRight w:val="0"/>
      <w:marTop w:val="0"/>
      <w:marBottom w:val="0"/>
      <w:divBdr>
        <w:top w:val="none" w:sz="0" w:space="0" w:color="auto"/>
        <w:left w:val="none" w:sz="0" w:space="0" w:color="auto"/>
        <w:bottom w:val="none" w:sz="0" w:space="0" w:color="auto"/>
        <w:right w:val="none" w:sz="0" w:space="0" w:color="auto"/>
      </w:divBdr>
    </w:div>
    <w:div w:id="814300327">
      <w:bodyDiv w:val="1"/>
      <w:marLeft w:val="0"/>
      <w:marRight w:val="0"/>
      <w:marTop w:val="0"/>
      <w:marBottom w:val="0"/>
      <w:divBdr>
        <w:top w:val="none" w:sz="0" w:space="0" w:color="auto"/>
        <w:left w:val="none" w:sz="0" w:space="0" w:color="auto"/>
        <w:bottom w:val="none" w:sz="0" w:space="0" w:color="auto"/>
        <w:right w:val="none" w:sz="0" w:space="0" w:color="auto"/>
      </w:divBdr>
    </w:div>
    <w:div w:id="855196507">
      <w:bodyDiv w:val="1"/>
      <w:marLeft w:val="0"/>
      <w:marRight w:val="0"/>
      <w:marTop w:val="0"/>
      <w:marBottom w:val="0"/>
      <w:divBdr>
        <w:top w:val="none" w:sz="0" w:space="0" w:color="auto"/>
        <w:left w:val="none" w:sz="0" w:space="0" w:color="auto"/>
        <w:bottom w:val="none" w:sz="0" w:space="0" w:color="auto"/>
        <w:right w:val="none" w:sz="0" w:space="0" w:color="auto"/>
      </w:divBdr>
    </w:div>
    <w:div w:id="990451054">
      <w:bodyDiv w:val="1"/>
      <w:marLeft w:val="0"/>
      <w:marRight w:val="0"/>
      <w:marTop w:val="0"/>
      <w:marBottom w:val="0"/>
      <w:divBdr>
        <w:top w:val="none" w:sz="0" w:space="0" w:color="auto"/>
        <w:left w:val="none" w:sz="0" w:space="0" w:color="auto"/>
        <w:bottom w:val="none" w:sz="0" w:space="0" w:color="auto"/>
        <w:right w:val="none" w:sz="0" w:space="0" w:color="auto"/>
      </w:divBdr>
      <w:divsChild>
        <w:div w:id="1131290884">
          <w:marLeft w:val="0"/>
          <w:marRight w:val="0"/>
          <w:marTop w:val="180"/>
          <w:marBottom w:val="240"/>
          <w:divBdr>
            <w:top w:val="none" w:sz="0" w:space="0" w:color="auto"/>
            <w:left w:val="none" w:sz="0" w:space="0" w:color="auto"/>
            <w:bottom w:val="none" w:sz="0" w:space="0" w:color="auto"/>
            <w:right w:val="none" w:sz="0" w:space="0" w:color="auto"/>
          </w:divBdr>
        </w:div>
        <w:div w:id="962538432">
          <w:marLeft w:val="0"/>
          <w:marRight w:val="0"/>
          <w:marTop w:val="180"/>
          <w:marBottom w:val="240"/>
          <w:divBdr>
            <w:top w:val="none" w:sz="0" w:space="0" w:color="auto"/>
            <w:left w:val="none" w:sz="0" w:space="0" w:color="auto"/>
            <w:bottom w:val="none" w:sz="0" w:space="0" w:color="auto"/>
            <w:right w:val="none" w:sz="0" w:space="0" w:color="auto"/>
          </w:divBdr>
        </w:div>
        <w:div w:id="32122777">
          <w:marLeft w:val="0"/>
          <w:marRight w:val="0"/>
          <w:marTop w:val="180"/>
          <w:marBottom w:val="240"/>
          <w:divBdr>
            <w:top w:val="none" w:sz="0" w:space="0" w:color="auto"/>
            <w:left w:val="none" w:sz="0" w:space="0" w:color="auto"/>
            <w:bottom w:val="none" w:sz="0" w:space="0" w:color="auto"/>
            <w:right w:val="none" w:sz="0" w:space="0" w:color="auto"/>
          </w:divBdr>
        </w:div>
        <w:div w:id="1011296329">
          <w:marLeft w:val="0"/>
          <w:marRight w:val="0"/>
          <w:marTop w:val="180"/>
          <w:marBottom w:val="240"/>
          <w:divBdr>
            <w:top w:val="none" w:sz="0" w:space="0" w:color="auto"/>
            <w:left w:val="none" w:sz="0" w:space="0" w:color="auto"/>
            <w:bottom w:val="none" w:sz="0" w:space="0" w:color="auto"/>
            <w:right w:val="none" w:sz="0" w:space="0" w:color="auto"/>
          </w:divBdr>
        </w:div>
        <w:div w:id="489491647">
          <w:marLeft w:val="0"/>
          <w:marRight w:val="0"/>
          <w:marTop w:val="180"/>
          <w:marBottom w:val="240"/>
          <w:divBdr>
            <w:top w:val="none" w:sz="0" w:space="0" w:color="auto"/>
            <w:left w:val="none" w:sz="0" w:space="0" w:color="auto"/>
            <w:bottom w:val="none" w:sz="0" w:space="0" w:color="auto"/>
            <w:right w:val="none" w:sz="0" w:space="0" w:color="auto"/>
          </w:divBdr>
        </w:div>
        <w:div w:id="286399175">
          <w:marLeft w:val="0"/>
          <w:marRight w:val="0"/>
          <w:marTop w:val="180"/>
          <w:marBottom w:val="240"/>
          <w:divBdr>
            <w:top w:val="none" w:sz="0" w:space="0" w:color="auto"/>
            <w:left w:val="none" w:sz="0" w:space="0" w:color="auto"/>
            <w:bottom w:val="none" w:sz="0" w:space="0" w:color="auto"/>
            <w:right w:val="none" w:sz="0" w:space="0" w:color="auto"/>
          </w:divBdr>
        </w:div>
        <w:div w:id="1475561078">
          <w:marLeft w:val="0"/>
          <w:marRight w:val="0"/>
          <w:marTop w:val="180"/>
          <w:marBottom w:val="240"/>
          <w:divBdr>
            <w:top w:val="none" w:sz="0" w:space="0" w:color="auto"/>
            <w:left w:val="none" w:sz="0" w:space="0" w:color="auto"/>
            <w:bottom w:val="none" w:sz="0" w:space="0" w:color="auto"/>
            <w:right w:val="none" w:sz="0" w:space="0" w:color="auto"/>
          </w:divBdr>
        </w:div>
      </w:divsChild>
    </w:div>
    <w:div w:id="1054426620">
      <w:bodyDiv w:val="1"/>
      <w:marLeft w:val="0"/>
      <w:marRight w:val="0"/>
      <w:marTop w:val="0"/>
      <w:marBottom w:val="0"/>
      <w:divBdr>
        <w:top w:val="none" w:sz="0" w:space="0" w:color="auto"/>
        <w:left w:val="none" w:sz="0" w:space="0" w:color="auto"/>
        <w:bottom w:val="none" w:sz="0" w:space="0" w:color="auto"/>
        <w:right w:val="none" w:sz="0" w:space="0" w:color="auto"/>
      </w:divBdr>
    </w:div>
    <w:div w:id="1080373262">
      <w:bodyDiv w:val="1"/>
      <w:marLeft w:val="0"/>
      <w:marRight w:val="0"/>
      <w:marTop w:val="0"/>
      <w:marBottom w:val="0"/>
      <w:divBdr>
        <w:top w:val="none" w:sz="0" w:space="0" w:color="auto"/>
        <w:left w:val="none" w:sz="0" w:space="0" w:color="auto"/>
        <w:bottom w:val="none" w:sz="0" w:space="0" w:color="auto"/>
        <w:right w:val="none" w:sz="0" w:space="0" w:color="auto"/>
      </w:divBdr>
    </w:div>
    <w:div w:id="1151824494">
      <w:bodyDiv w:val="1"/>
      <w:marLeft w:val="0"/>
      <w:marRight w:val="0"/>
      <w:marTop w:val="0"/>
      <w:marBottom w:val="0"/>
      <w:divBdr>
        <w:top w:val="none" w:sz="0" w:space="0" w:color="auto"/>
        <w:left w:val="none" w:sz="0" w:space="0" w:color="auto"/>
        <w:bottom w:val="none" w:sz="0" w:space="0" w:color="auto"/>
        <w:right w:val="none" w:sz="0" w:space="0" w:color="auto"/>
      </w:divBdr>
    </w:div>
    <w:div w:id="1518813546">
      <w:bodyDiv w:val="1"/>
      <w:marLeft w:val="0"/>
      <w:marRight w:val="0"/>
      <w:marTop w:val="0"/>
      <w:marBottom w:val="0"/>
      <w:divBdr>
        <w:top w:val="none" w:sz="0" w:space="0" w:color="auto"/>
        <w:left w:val="none" w:sz="0" w:space="0" w:color="auto"/>
        <w:bottom w:val="none" w:sz="0" w:space="0" w:color="auto"/>
        <w:right w:val="none" w:sz="0" w:space="0" w:color="auto"/>
      </w:divBdr>
    </w:div>
    <w:div w:id="152359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B8176-8414-47BD-A909-3278C16C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12539</Words>
  <Characters>75239</Characters>
  <Application>Microsoft Office Word</Application>
  <DocSecurity>0</DocSecurity>
  <Lines>626</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Jankowska-Słomianko Dorota</dc:creator>
  <cp:keywords/>
  <dc:description/>
  <cp:lastModifiedBy>Wójcik Aleksandra</cp:lastModifiedBy>
  <cp:revision>3</cp:revision>
  <dcterms:created xsi:type="dcterms:W3CDTF">2026-08-19T08:34:00Z</dcterms:created>
  <dcterms:modified xsi:type="dcterms:W3CDTF">2026-08-19T08:40:00Z</dcterms:modified>
</cp:coreProperties>
</file>